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C030B" w14:textId="77777777" w:rsidR="000A5265" w:rsidRDefault="000A5265" w:rsidP="000A5265">
      <w:pPr>
        <w:pStyle w:val="Nadpis1"/>
      </w:pPr>
      <w:bookmarkStart w:id="0" w:name="_Toc185241008"/>
      <w:r w:rsidRPr="00787441">
        <w:rPr>
          <w:szCs w:val="32"/>
        </w:rPr>
        <w:t>8</w:t>
      </w:r>
      <w:r>
        <w:t>. </w:t>
      </w:r>
      <w:r w:rsidRPr="009110F7">
        <w:t>Státní rozpočet</w:t>
      </w:r>
      <w:bookmarkEnd w:id="0"/>
    </w:p>
    <w:tbl>
      <w:tblPr>
        <w:tblW w:w="9669" w:type="dxa"/>
        <w:tblInd w:w="-20" w:type="dxa"/>
        <w:tblLayout w:type="fixed"/>
        <w:tblCellMar>
          <w:left w:w="0" w:type="dxa"/>
          <w:right w:w="0" w:type="dxa"/>
        </w:tblCellMar>
        <w:tblLook w:val="00A0" w:firstRow="1" w:lastRow="0" w:firstColumn="1" w:lastColumn="0" w:noHBand="0" w:noVBand="0"/>
      </w:tblPr>
      <w:tblGrid>
        <w:gridCol w:w="1810"/>
        <w:gridCol w:w="203"/>
        <w:gridCol w:w="7656"/>
      </w:tblGrid>
      <w:tr w:rsidR="000A5265" w:rsidRPr="003C07E6" w14:paraId="3AF8B601" w14:textId="77777777" w:rsidTr="006D1E06">
        <w:trPr>
          <w:trHeight w:val="60"/>
        </w:trPr>
        <w:tc>
          <w:tcPr>
            <w:tcW w:w="1810" w:type="dxa"/>
            <w:shd w:val="clear" w:color="auto" w:fill="auto"/>
            <w:tcMar>
              <w:left w:w="0" w:type="dxa"/>
            </w:tcMar>
          </w:tcPr>
          <w:p w14:paraId="761DB780" w14:textId="77777777" w:rsidR="000A5265" w:rsidRDefault="000A5265" w:rsidP="00102C41">
            <w:pPr>
              <w:pStyle w:val="Marginlie"/>
            </w:pPr>
            <w:r>
              <w:t>Schodek SR zůstal na loňské úrovni. Významné deficity tíží rozpočet pátým rokem v řadě.</w:t>
            </w:r>
            <w:bookmarkStart w:id="1" w:name="_GoBack"/>
            <w:bookmarkEnd w:id="1"/>
          </w:p>
        </w:tc>
        <w:tc>
          <w:tcPr>
            <w:tcW w:w="203" w:type="dxa"/>
            <w:shd w:val="clear" w:color="auto" w:fill="auto"/>
            <w:tcMar>
              <w:left w:w="0" w:type="dxa"/>
            </w:tcMar>
          </w:tcPr>
          <w:p w14:paraId="6D15A907" w14:textId="77777777" w:rsidR="000A5265" w:rsidRDefault="000A5265" w:rsidP="00102C41">
            <w:pPr>
              <w:pStyle w:val="Textpoznpodarou"/>
              <w:jc w:val="both"/>
              <w:rPr>
                <w:spacing w:val="-4"/>
              </w:rPr>
            </w:pPr>
          </w:p>
        </w:tc>
        <w:tc>
          <w:tcPr>
            <w:tcW w:w="7656" w:type="dxa"/>
            <w:shd w:val="clear" w:color="auto" w:fill="auto"/>
            <w:tcMar>
              <w:left w:w="0" w:type="dxa"/>
            </w:tcMar>
          </w:tcPr>
          <w:p w14:paraId="73025160" w14:textId="77777777" w:rsidR="000A5265" w:rsidRPr="00B57210" w:rsidRDefault="000A5265" w:rsidP="00102C41">
            <w:pPr>
              <w:rPr>
                <w:spacing w:val="-4"/>
              </w:rPr>
            </w:pPr>
            <w:r>
              <w:rPr>
                <w:spacing w:val="-4"/>
              </w:rPr>
              <w:t>V 1. až 3. čtvrtletí 2024 hospodařil státní rozpočet (SR)</w:t>
            </w:r>
            <w:r w:rsidRPr="00B57210">
              <w:rPr>
                <w:rStyle w:val="Znakapoznpodarou"/>
                <w:spacing w:val="-4"/>
              </w:rPr>
              <w:footnoteReference w:id="1"/>
            </w:r>
            <w:r>
              <w:rPr>
                <w:spacing w:val="-4"/>
              </w:rPr>
              <w:t xml:space="preserve"> v Česku s významným schodkem ve výši 181,7 mld. korun</w:t>
            </w:r>
            <w:r>
              <w:rPr>
                <w:rStyle w:val="Znakapoznpodarou"/>
                <w:spacing w:val="-4"/>
              </w:rPr>
              <w:footnoteReference w:id="2"/>
            </w:r>
            <w:r>
              <w:rPr>
                <w:spacing w:val="-4"/>
              </w:rPr>
              <w:t>. Hluboký deficit tížil státní finance již pátým rokem v řadě. Při faktické meziroční stagnaci příjmů i výdajů SR se oproti loňsku významně nezměnil ani celkový schodek (+1 mld. korun)</w:t>
            </w:r>
            <w:r w:rsidRPr="00B57210">
              <w:rPr>
                <w:rStyle w:val="Znakapoznpodarou"/>
                <w:spacing w:val="-4"/>
              </w:rPr>
              <w:footnoteReference w:id="3"/>
            </w:r>
            <w:r>
              <w:rPr>
                <w:spacing w:val="-4"/>
              </w:rPr>
              <w:t xml:space="preserve">. Mezi klíčové faktory ovlivňující letošní bilanci SR patří postupné </w:t>
            </w:r>
            <w:r w:rsidRPr="00B72A69">
              <w:rPr>
                <w:spacing w:val="-5"/>
              </w:rPr>
              <w:t>odeznívání potřeby mimořádných výdajů domácnostem i firmám zasaženým dopady vysoké</w:t>
            </w:r>
            <w:r>
              <w:rPr>
                <w:spacing w:val="-4"/>
              </w:rPr>
              <w:t xml:space="preserve"> inflace, přetrvávající velmi slabý hospodářský růst a dále legislativní změny (dopady </w:t>
            </w:r>
            <w:r w:rsidRPr="009E7F3F">
              <w:rPr>
                <w:spacing w:val="-5"/>
              </w:rPr>
              <w:t>loni schváleného konsolidačního balíčku, vč. změny rozpočtového určení daní</w:t>
            </w:r>
            <w:r>
              <w:rPr>
                <w:spacing w:val="-5"/>
              </w:rPr>
              <w:t xml:space="preserve"> /RUD/</w:t>
            </w:r>
            <w:r w:rsidRPr="009E7F3F">
              <w:rPr>
                <w:spacing w:val="-5"/>
              </w:rPr>
              <w:t>, jež od</w:t>
            </w:r>
            <w:r>
              <w:rPr>
                <w:spacing w:val="-4"/>
              </w:rPr>
              <w:t xml:space="preserve"> ledna 2024 zvyšuje podíl na výnosu některých váhově významných daní ve prospěch SR</w:t>
            </w:r>
            <w:r>
              <w:rPr>
                <w:rStyle w:val="Znakapoznpodarou"/>
                <w:spacing w:val="-4"/>
              </w:rPr>
              <w:footnoteReference w:id="4"/>
            </w:r>
            <w:r>
              <w:rPr>
                <w:spacing w:val="-4"/>
              </w:rPr>
              <w:t>).</w:t>
            </w:r>
          </w:p>
        </w:tc>
      </w:tr>
      <w:tr w:rsidR="000A5265" w:rsidRPr="003C07E6" w14:paraId="4E5B868F" w14:textId="77777777" w:rsidTr="006D1E06">
        <w:trPr>
          <w:trHeight w:val="60"/>
        </w:trPr>
        <w:tc>
          <w:tcPr>
            <w:tcW w:w="1810" w:type="dxa"/>
            <w:shd w:val="clear" w:color="auto" w:fill="auto"/>
            <w:tcMar>
              <w:left w:w="0" w:type="dxa"/>
            </w:tcMar>
          </w:tcPr>
          <w:p w14:paraId="726B0E04" w14:textId="77777777" w:rsidR="000A5265" w:rsidRDefault="000A5265" w:rsidP="00102C41">
            <w:pPr>
              <w:pStyle w:val="Marginlie"/>
            </w:pPr>
            <w:r>
              <w:t>Velmi mírný růst příjmů byl podpořen zejména vyšším výběrem pojistného na sociální zabezpečení.</w:t>
            </w:r>
          </w:p>
        </w:tc>
        <w:tc>
          <w:tcPr>
            <w:tcW w:w="203" w:type="dxa"/>
            <w:shd w:val="clear" w:color="auto" w:fill="auto"/>
            <w:tcMar>
              <w:left w:w="0" w:type="dxa"/>
            </w:tcMar>
          </w:tcPr>
          <w:p w14:paraId="10059E80" w14:textId="77777777" w:rsidR="000A5265" w:rsidRDefault="000A5265" w:rsidP="00102C41">
            <w:pPr>
              <w:pStyle w:val="Textpoznpodarou"/>
              <w:jc w:val="both"/>
              <w:rPr>
                <w:spacing w:val="-4"/>
              </w:rPr>
            </w:pPr>
          </w:p>
        </w:tc>
        <w:tc>
          <w:tcPr>
            <w:tcW w:w="7656" w:type="dxa"/>
            <w:shd w:val="clear" w:color="auto" w:fill="auto"/>
            <w:tcMar>
              <w:left w:w="0" w:type="dxa"/>
            </w:tcMar>
          </w:tcPr>
          <w:p w14:paraId="429E4F78" w14:textId="77777777" w:rsidR="000A5265" w:rsidRPr="004F3AC4" w:rsidRDefault="000A5265" w:rsidP="00102C41">
            <w:pPr>
              <w:rPr>
                <w:color w:val="0D0D0D" w:themeColor="text1" w:themeTint="F2"/>
                <w:spacing w:val="-4"/>
              </w:rPr>
            </w:pPr>
            <w:r>
              <w:rPr>
                <w:color w:val="0D0D0D" w:themeColor="text1" w:themeTint="F2"/>
                <w:spacing w:val="-4"/>
              </w:rPr>
              <w:t xml:space="preserve">Celkové příjmy SR letos za tři čtvrtletí meziročně vzrostly o 0,6 % (nejméně ve srovnatelném období za poslední čtyři roky) a mírně zatím zaostávaly za celoročním plánovaným tempem (+1,4 %). K jejich růstu přispěl nejvíce výběr pojistného na sociální zabezpečení vč. aktivní politiky zaměstnanosti (+46,5 mld. korun, +9,1 %) reflektující </w:t>
            </w:r>
            <w:r>
              <w:rPr>
                <w:spacing w:val="-4"/>
              </w:rPr>
              <w:t>nejen aktuální oživení na trhu práce vlivem mírně zlepšeného výkonu ekonomiky, ale i dopady legislativních změn</w:t>
            </w:r>
            <w:r>
              <w:rPr>
                <w:rStyle w:val="Znakapoznpodarou"/>
                <w:spacing w:val="-4"/>
              </w:rPr>
              <w:footnoteReference w:id="5"/>
            </w:r>
            <w:r>
              <w:rPr>
                <w:spacing w:val="-4"/>
              </w:rPr>
              <w:t>.</w:t>
            </w:r>
            <w:r>
              <w:rPr>
                <w:color w:val="0D0D0D" w:themeColor="text1" w:themeTint="F2"/>
                <w:spacing w:val="-4"/>
              </w:rPr>
              <w:t xml:space="preserve"> Pozitivní vliv měly také daňové příjmy (+21,1 mld. korun). Opačně </w:t>
            </w:r>
            <w:r w:rsidRPr="0074508D">
              <w:rPr>
                <w:color w:val="0D0D0D" w:themeColor="text1" w:themeTint="F2"/>
                <w:spacing w:val="-6"/>
              </w:rPr>
              <w:t>působil očekávaný pokles nedaňových a</w:t>
            </w:r>
            <w:r>
              <w:rPr>
                <w:color w:val="0D0D0D" w:themeColor="text1" w:themeTint="F2"/>
                <w:spacing w:val="-6"/>
              </w:rPr>
              <w:t xml:space="preserve"> kapitálových příjmů</w:t>
            </w:r>
            <w:r w:rsidRPr="0074508D">
              <w:rPr>
                <w:color w:val="0D0D0D" w:themeColor="text1" w:themeTint="F2"/>
                <w:spacing w:val="-6"/>
              </w:rPr>
              <w:t xml:space="preserve"> transferů (</w:t>
            </w:r>
            <w:r>
              <w:rPr>
                <w:color w:val="0D0D0D" w:themeColor="text1" w:themeTint="F2"/>
                <w:spacing w:val="-6"/>
              </w:rPr>
              <w:t>−</w:t>
            </w:r>
            <w:r w:rsidRPr="0074508D">
              <w:rPr>
                <w:color w:val="0D0D0D" w:themeColor="text1" w:themeTint="F2"/>
                <w:spacing w:val="-6"/>
              </w:rPr>
              <w:t>59,7 mld.</w:t>
            </w:r>
            <w:r>
              <w:rPr>
                <w:color w:val="0D0D0D" w:themeColor="text1" w:themeTint="F2"/>
                <w:spacing w:val="-4"/>
              </w:rPr>
              <w:t xml:space="preserve"> korun) související s vysokými loňskými příjmy z rozpočtu EU (vlivem dobíhajících plateb </w:t>
            </w:r>
            <w:r w:rsidRPr="0074508D">
              <w:rPr>
                <w:color w:val="0D0D0D" w:themeColor="text1" w:themeTint="F2"/>
                <w:spacing w:val="-4"/>
              </w:rPr>
              <w:t xml:space="preserve">na konci programového období 2014 až 2020 i vyšším </w:t>
            </w:r>
            <w:r w:rsidRPr="0074508D">
              <w:rPr>
                <w:spacing w:val="-4"/>
              </w:rPr>
              <w:t>proplacením prostředků z Národního</w:t>
            </w:r>
            <w:r>
              <w:t xml:space="preserve"> plánu obnovy</w:t>
            </w:r>
            <w:r>
              <w:rPr>
                <w:rStyle w:val="Znakapoznpodarou"/>
              </w:rPr>
              <w:footnoteReference w:id="6"/>
            </w:r>
            <w:r>
              <w:t xml:space="preserve">). </w:t>
            </w:r>
          </w:p>
        </w:tc>
      </w:tr>
      <w:tr w:rsidR="000A5265" w:rsidRPr="003C07E6" w14:paraId="749E5217" w14:textId="77777777" w:rsidTr="006D1E06">
        <w:trPr>
          <w:trHeight w:val="60"/>
        </w:trPr>
        <w:tc>
          <w:tcPr>
            <w:tcW w:w="1810" w:type="dxa"/>
            <w:shd w:val="clear" w:color="auto" w:fill="auto"/>
            <w:tcMar>
              <w:left w:w="0" w:type="dxa"/>
            </w:tcMar>
          </w:tcPr>
          <w:p w14:paraId="2845FF3B" w14:textId="77777777" w:rsidR="000A5265" w:rsidRDefault="000A5265" w:rsidP="00102C41">
            <w:pPr>
              <w:pStyle w:val="Marginlie"/>
            </w:pPr>
            <w:r>
              <w:t xml:space="preserve">Meziroční růst celostátního daňového inkasa byl mírný a během roku slábl. Projevoval se vliv vyšší loňské základny u běžných i mimořádných korporátních daní. </w:t>
            </w:r>
          </w:p>
        </w:tc>
        <w:tc>
          <w:tcPr>
            <w:tcW w:w="203" w:type="dxa"/>
            <w:shd w:val="clear" w:color="auto" w:fill="auto"/>
            <w:tcMar>
              <w:left w:w="0" w:type="dxa"/>
            </w:tcMar>
          </w:tcPr>
          <w:p w14:paraId="205D47C3" w14:textId="77777777" w:rsidR="000A5265" w:rsidRDefault="000A5265" w:rsidP="00102C41">
            <w:pPr>
              <w:pStyle w:val="Textpoznpodarou"/>
              <w:jc w:val="both"/>
              <w:rPr>
                <w:spacing w:val="-4"/>
              </w:rPr>
            </w:pPr>
          </w:p>
        </w:tc>
        <w:tc>
          <w:tcPr>
            <w:tcW w:w="7656" w:type="dxa"/>
            <w:shd w:val="clear" w:color="auto" w:fill="auto"/>
            <w:tcMar>
              <w:left w:w="0" w:type="dxa"/>
            </w:tcMar>
          </w:tcPr>
          <w:p w14:paraId="3596C8B3" w14:textId="77777777" w:rsidR="000A5265" w:rsidRDefault="000A5265" w:rsidP="00102C41">
            <w:pPr>
              <w:rPr>
                <w:color w:val="0D0D0D" w:themeColor="text1" w:themeTint="F2"/>
                <w:spacing w:val="-4"/>
              </w:rPr>
            </w:pPr>
            <w:r>
              <w:rPr>
                <w:color w:val="0D0D0D" w:themeColor="text1" w:themeTint="F2"/>
                <w:spacing w:val="-4"/>
              </w:rPr>
              <w:t xml:space="preserve">Celostátní daňové inkaso (zohledňující příjmy na úrovni všech veřejných rozpočtů) se po </w:t>
            </w:r>
            <w:r>
              <w:rPr>
                <w:color w:val="0D0D0D" w:themeColor="text1" w:themeTint="F2"/>
                <w:spacing w:val="-5"/>
              </w:rPr>
              <w:t>svižném růstu v předchozích</w:t>
            </w:r>
            <w:r w:rsidRPr="009E7F3F">
              <w:rPr>
                <w:color w:val="0D0D0D" w:themeColor="text1" w:themeTint="F2"/>
                <w:spacing w:val="-5"/>
              </w:rPr>
              <w:t xml:space="preserve"> třech letech letos za tři čtvrtletí meziročně zvýšilo „jen“ o 2,6 %.</w:t>
            </w:r>
            <w:r>
              <w:rPr>
                <w:color w:val="0D0D0D" w:themeColor="text1" w:themeTint="F2"/>
                <w:spacing w:val="-4"/>
              </w:rPr>
              <w:t xml:space="preserve"> Zatímco v období 2021 až 2023 stálo za jeho růstem především vysoké inkaso přímých daní, letos žádná příjmová položka zatím nedominovala (nejvíce se projevila daň z příjmů fyzických osob</w:t>
            </w:r>
            <w:r w:rsidRPr="00A472E4">
              <w:rPr>
                <w:color w:val="0D0D0D" w:themeColor="text1" w:themeTint="F2"/>
                <w:spacing w:val="-4"/>
              </w:rPr>
              <w:t xml:space="preserve"> ze závislé činnosti</w:t>
            </w:r>
            <w:r>
              <w:rPr>
                <w:color w:val="0D0D0D" w:themeColor="text1" w:themeTint="F2"/>
                <w:spacing w:val="-4"/>
              </w:rPr>
              <w:t xml:space="preserve"> – příspěvek +1,8 p. b.). Naopak negativní dopad měl </w:t>
            </w:r>
            <w:r w:rsidRPr="00DA5BA1">
              <w:rPr>
                <w:color w:val="0D0D0D" w:themeColor="text1" w:themeTint="F2"/>
                <w:spacing w:val="-2"/>
              </w:rPr>
              <w:t xml:space="preserve">výběr </w:t>
            </w:r>
            <w:r>
              <w:rPr>
                <w:color w:val="0D0D0D" w:themeColor="text1" w:themeTint="F2"/>
                <w:spacing w:val="-2"/>
              </w:rPr>
              <w:t xml:space="preserve">korporátní daně </w:t>
            </w:r>
            <w:r w:rsidRPr="00DA5BA1">
              <w:rPr>
                <w:color w:val="0D0D0D" w:themeColor="text1" w:themeTint="F2"/>
                <w:spacing w:val="-2"/>
              </w:rPr>
              <w:t>včetně mimořádných dočasně zavedených daní</w:t>
            </w:r>
            <w:r>
              <w:rPr>
                <w:color w:val="0D0D0D" w:themeColor="text1" w:themeTint="F2"/>
                <w:spacing w:val="-2"/>
              </w:rPr>
              <w:t xml:space="preserve"> (</w:t>
            </w:r>
            <w:r>
              <w:rPr>
                <w:color w:val="0D0D0D" w:themeColor="text1" w:themeTint="F2"/>
                <w:spacing w:val="-4"/>
              </w:rPr>
              <w:t>−3,2</w:t>
            </w:r>
            <w:r>
              <w:rPr>
                <w:color w:val="0D0D0D" w:themeColor="text1" w:themeTint="F2"/>
                <w:spacing w:val="-2"/>
              </w:rPr>
              <w:t xml:space="preserve"> p. b.)</w:t>
            </w:r>
            <w:r w:rsidRPr="00DA5BA1">
              <w:rPr>
                <w:color w:val="0D0D0D" w:themeColor="text1" w:themeTint="F2"/>
                <w:spacing w:val="-2"/>
              </w:rPr>
              <w:t>. Na dani</w:t>
            </w:r>
            <w:r w:rsidRPr="00DA5BA1">
              <w:rPr>
                <w:color w:val="0D0D0D" w:themeColor="text1" w:themeTint="F2"/>
                <w:spacing w:val="-4"/>
              </w:rPr>
              <w:t xml:space="preserve"> </w:t>
            </w:r>
            <w:r>
              <w:rPr>
                <w:color w:val="0D0D0D" w:themeColor="text1" w:themeTint="F2"/>
                <w:spacing w:val="-4"/>
              </w:rPr>
              <w:t>z</w:t>
            </w:r>
            <w:r>
              <w:rPr>
                <w:color w:val="0D0D0D" w:themeColor="text1" w:themeTint="F2"/>
                <w:spacing w:val="-5"/>
              </w:rPr>
              <w:t> </w:t>
            </w:r>
            <w:r w:rsidRPr="00DA5BA1">
              <w:rPr>
                <w:color w:val="0D0D0D" w:themeColor="text1" w:themeTint="F2"/>
                <w:spacing w:val="-4"/>
              </w:rPr>
              <w:t>neočekávaných zisků</w:t>
            </w:r>
            <w:r>
              <w:rPr>
                <w:rStyle w:val="Znakapoznpodarou"/>
                <w:color w:val="0D0D0D" w:themeColor="text1" w:themeTint="F2"/>
                <w:spacing w:val="-4"/>
              </w:rPr>
              <w:footnoteReference w:id="7"/>
            </w:r>
            <w:r>
              <w:rPr>
                <w:color w:val="0D0D0D" w:themeColor="text1" w:themeTint="F2"/>
                <w:spacing w:val="-4"/>
              </w:rPr>
              <w:t xml:space="preserve"> totiž sice získal SR dosud letos 27,2 mld. korun (meziročně o</w:t>
            </w:r>
            <w:r>
              <w:rPr>
                <w:color w:val="0D0D0D" w:themeColor="text1" w:themeTint="F2"/>
                <w:spacing w:val="-5"/>
              </w:rPr>
              <w:t> </w:t>
            </w:r>
            <w:r>
              <w:rPr>
                <w:color w:val="0D0D0D" w:themeColor="text1" w:themeTint="F2"/>
                <w:spacing w:val="-4"/>
              </w:rPr>
              <w:t>6 % více a současné již o 60 % více než byl celoroční očekávaný objem</w:t>
            </w:r>
            <w:r>
              <w:rPr>
                <w:rStyle w:val="Znakapoznpodarou"/>
                <w:color w:val="0D0D0D" w:themeColor="text1" w:themeTint="F2"/>
                <w:spacing w:val="-4"/>
              </w:rPr>
              <w:footnoteReference w:id="8"/>
            </w:r>
            <w:r>
              <w:rPr>
                <w:color w:val="0D0D0D" w:themeColor="text1" w:themeTint="F2"/>
                <w:spacing w:val="-4"/>
              </w:rPr>
              <w:t>), z</w:t>
            </w:r>
            <w:r>
              <w:rPr>
                <w:color w:val="0D0D0D" w:themeColor="text1" w:themeTint="F2"/>
                <w:spacing w:val="-5"/>
              </w:rPr>
              <w:t> </w:t>
            </w:r>
            <w:r>
              <w:rPr>
                <w:color w:val="0D0D0D" w:themeColor="text1" w:themeTint="F2"/>
                <w:spacing w:val="-4"/>
              </w:rPr>
              <w:t>o</w:t>
            </w:r>
            <w:r w:rsidRPr="00DA5BA1">
              <w:rPr>
                <w:color w:val="0D0D0D" w:themeColor="text1" w:themeTint="F2"/>
                <w:spacing w:val="-4"/>
              </w:rPr>
              <w:t>dvod</w:t>
            </w:r>
            <w:r>
              <w:rPr>
                <w:color w:val="0D0D0D" w:themeColor="text1" w:themeTint="F2"/>
                <w:spacing w:val="-4"/>
              </w:rPr>
              <w:t>ů z</w:t>
            </w:r>
            <w:r>
              <w:rPr>
                <w:color w:val="0D0D0D" w:themeColor="text1" w:themeTint="F2"/>
                <w:spacing w:val="-5"/>
              </w:rPr>
              <w:t> </w:t>
            </w:r>
            <w:r w:rsidRPr="00DA5BA1">
              <w:rPr>
                <w:color w:val="0D0D0D" w:themeColor="text1" w:themeTint="F2"/>
                <w:spacing w:val="-4"/>
              </w:rPr>
              <w:t>nadměrných příjmů</w:t>
            </w:r>
            <w:r>
              <w:rPr>
                <w:rStyle w:val="Znakapoznpodarou"/>
                <w:color w:val="0D0D0D" w:themeColor="text1" w:themeTint="F2"/>
                <w:spacing w:val="-4"/>
              </w:rPr>
              <w:footnoteReference w:id="9"/>
            </w:r>
            <w:r>
              <w:rPr>
                <w:color w:val="0D0D0D" w:themeColor="text1" w:themeTint="F2"/>
                <w:spacing w:val="-4"/>
              </w:rPr>
              <w:t xml:space="preserve"> však již v souladu se schváleným SR letos žádné příjmy neplynuly (loni za stejné období šlo ale o 16,7 mld. korun). Celostátní daňové inkaso (bez mimořádných daní) tak bylo zatím letos meziročně vyšší o 4,3 %, jeho růst ovšem v průběhu roku zpomaloval (v samotném 3. čtvrtletí se dokonce zastavil).</w:t>
            </w:r>
          </w:p>
        </w:tc>
      </w:tr>
      <w:tr w:rsidR="000A5265" w:rsidRPr="003C07E6" w14:paraId="5D87130D" w14:textId="77777777" w:rsidTr="006D1E06">
        <w:trPr>
          <w:trHeight w:val="60"/>
        </w:trPr>
        <w:tc>
          <w:tcPr>
            <w:tcW w:w="1810" w:type="dxa"/>
            <w:shd w:val="clear" w:color="auto" w:fill="auto"/>
            <w:tcMar>
              <w:left w:w="0" w:type="dxa"/>
            </w:tcMar>
          </w:tcPr>
          <w:p w14:paraId="78C03F1A" w14:textId="77777777" w:rsidR="000A5265" w:rsidRPr="002F1340" w:rsidRDefault="000A5265" w:rsidP="00102C41">
            <w:pPr>
              <w:pStyle w:val="Marginlie"/>
              <w:rPr>
                <w:color w:val="0D0D0D" w:themeColor="text1" w:themeTint="F2"/>
              </w:rPr>
            </w:pPr>
            <w:r>
              <w:t xml:space="preserve">Dynamiku inkasa DPH podporuje zotavující se </w:t>
            </w:r>
            <w:r>
              <w:lastRenderedPageBreak/>
              <w:t xml:space="preserve">spotřeba domácností, opačně působí dezinflační tendence v ekonomice. Růst výběru DPH zůstává mírně za </w:t>
            </w:r>
            <w:r w:rsidRPr="00E91B09">
              <w:rPr>
                <w:spacing w:val="-4"/>
              </w:rPr>
              <w:t>rozpočtovým očekáváním.</w:t>
            </w:r>
            <w:r>
              <w:t xml:space="preserve"> </w:t>
            </w:r>
          </w:p>
        </w:tc>
        <w:tc>
          <w:tcPr>
            <w:tcW w:w="203" w:type="dxa"/>
            <w:shd w:val="clear" w:color="auto" w:fill="auto"/>
            <w:tcMar>
              <w:left w:w="0" w:type="dxa"/>
            </w:tcMar>
          </w:tcPr>
          <w:p w14:paraId="0241C74E" w14:textId="77777777" w:rsidR="000A5265" w:rsidRPr="002F1340" w:rsidRDefault="000A5265" w:rsidP="00102C41">
            <w:pPr>
              <w:pStyle w:val="Textpoznpodarou"/>
              <w:jc w:val="both"/>
              <w:rPr>
                <w:color w:val="0D0D0D" w:themeColor="text1" w:themeTint="F2"/>
                <w:spacing w:val="-4"/>
              </w:rPr>
            </w:pPr>
          </w:p>
        </w:tc>
        <w:tc>
          <w:tcPr>
            <w:tcW w:w="7656" w:type="dxa"/>
            <w:shd w:val="clear" w:color="auto" w:fill="auto"/>
            <w:tcMar>
              <w:left w:w="0" w:type="dxa"/>
            </w:tcMar>
          </w:tcPr>
          <w:p w14:paraId="30879C61" w14:textId="77777777" w:rsidR="000A5265" w:rsidRPr="008B3F65" w:rsidRDefault="000A5265" w:rsidP="00102C41">
            <w:pPr>
              <w:rPr>
                <w:color w:val="0D0D0D" w:themeColor="text1" w:themeTint="F2"/>
                <w:spacing w:val="-6"/>
              </w:rPr>
            </w:pPr>
            <w:r w:rsidRPr="008B3F65">
              <w:rPr>
                <w:spacing w:val="-6"/>
              </w:rPr>
              <w:t>Na váhově dominantní dani – DPH – získal SR v</w:t>
            </w:r>
            <w:r w:rsidRPr="008B3F65">
              <w:rPr>
                <w:color w:val="0D0D0D" w:themeColor="text1" w:themeTint="F2"/>
                <w:spacing w:val="-6"/>
              </w:rPr>
              <w:t xml:space="preserve"> 1. až 3. čtvrtletí 2024 meziročně </w:t>
            </w:r>
            <w:r w:rsidRPr="008B3F65">
              <w:rPr>
                <w:spacing w:val="-6"/>
              </w:rPr>
              <w:t xml:space="preserve">o 5,0 % více (+12,9 mld. korun). Tempo za rozpočtovým plánem lehce zaostávalo, byť méně výrazně </w:t>
            </w:r>
            <w:r w:rsidRPr="008B3F65">
              <w:rPr>
                <w:spacing w:val="-6"/>
              </w:rPr>
              <w:lastRenderedPageBreak/>
              <w:t xml:space="preserve">než loni.  Na úrovni všech veřejných rozpočtů dosáhl růst </w:t>
            </w:r>
            <w:r>
              <w:rPr>
                <w:spacing w:val="-6"/>
              </w:rPr>
              <w:t xml:space="preserve">inkasa </w:t>
            </w:r>
            <w:r w:rsidRPr="008B3F65">
              <w:rPr>
                <w:spacing w:val="-6"/>
              </w:rPr>
              <w:t xml:space="preserve">3,4 % (loni ve stejném </w:t>
            </w:r>
            <w:r>
              <w:rPr>
                <w:spacing w:val="-6"/>
              </w:rPr>
              <w:t xml:space="preserve">období </w:t>
            </w:r>
            <w:r w:rsidRPr="008B3F65">
              <w:rPr>
                <w:spacing w:val="-6"/>
              </w:rPr>
              <w:t>5,5 %). Zpomalení tempa odráží ustále</w:t>
            </w:r>
            <w:r>
              <w:rPr>
                <w:spacing w:val="-6"/>
              </w:rPr>
              <w:t xml:space="preserve">ní cenové hladiny v ekonomice. Pozitivně se naopak </w:t>
            </w:r>
            <w:r w:rsidRPr="008B3F65">
              <w:rPr>
                <w:spacing w:val="-6"/>
              </w:rPr>
              <w:t>promítá pozvolna se zotavující spotřeba domácností</w:t>
            </w:r>
            <w:r w:rsidRPr="008B3F65">
              <w:rPr>
                <w:rStyle w:val="Znakapoznpodarou"/>
                <w:spacing w:val="-6"/>
              </w:rPr>
              <w:footnoteReference w:id="10"/>
            </w:r>
            <w:r>
              <w:rPr>
                <w:spacing w:val="-6"/>
              </w:rPr>
              <w:t>. Vedle toho se</w:t>
            </w:r>
            <w:r w:rsidRPr="008B3F65">
              <w:rPr>
                <w:spacing w:val="-6"/>
              </w:rPr>
              <w:t xml:space="preserve"> od počátku roku začínají projevovat dopady úpravy sazeb daně</w:t>
            </w:r>
            <w:r w:rsidRPr="008B3F65">
              <w:rPr>
                <w:rStyle w:val="Znakapoznpodarou"/>
                <w:spacing w:val="-6"/>
              </w:rPr>
              <w:footnoteReference w:id="11"/>
            </w:r>
            <w:r>
              <w:rPr>
                <w:spacing w:val="-6"/>
              </w:rPr>
              <w:t>, a to</w:t>
            </w:r>
            <w:r w:rsidRPr="008B3F65">
              <w:rPr>
                <w:spacing w:val="-6"/>
              </w:rPr>
              <w:t xml:space="preserve"> </w:t>
            </w:r>
            <w:r>
              <w:rPr>
                <w:spacing w:val="-6"/>
              </w:rPr>
              <w:t>v souvislosti s</w:t>
            </w:r>
            <w:r w:rsidRPr="008B3F65">
              <w:rPr>
                <w:spacing w:val="-6"/>
              </w:rPr>
              <w:t xml:space="preserve"> účinnost</w:t>
            </w:r>
            <w:r>
              <w:rPr>
                <w:spacing w:val="-6"/>
              </w:rPr>
              <w:t>í</w:t>
            </w:r>
            <w:r w:rsidRPr="008B3F65">
              <w:rPr>
                <w:spacing w:val="-6"/>
              </w:rPr>
              <w:t xml:space="preserve"> konsolidačního balíčku.</w:t>
            </w:r>
          </w:p>
        </w:tc>
      </w:tr>
      <w:tr w:rsidR="000A5265" w:rsidRPr="003C07E6" w14:paraId="72F96ED4" w14:textId="77777777" w:rsidTr="006D1E06">
        <w:trPr>
          <w:trHeight w:val="60"/>
        </w:trPr>
        <w:tc>
          <w:tcPr>
            <w:tcW w:w="1810" w:type="dxa"/>
            <w:shd w:val="clear" w:color="auto" w:fill="auto"/>
            <w:tcMar>
              <w:left w:w="0" w:type="dxa"/>
            </w:tcMar>
          </w:tcPr>
          <w:p w14:paraId="21F2B417" w14:textId="77777777" w:rsidR="000A5265" w:rsidRDefault="000A5265" w:rsidP="00102C41">
            <w:pPr>
              <w:pStyle w:val="Marginlie"/>
            </w:pPr>
          </w:p>
        </w:tc>
        <w:tc>
          <w:tcPr>
            <w:tcW w:w="203" w:type="dxa"/>
            <w:shd w:val="clear" w:color="auto" w:fill="auto"/>
            <w:tcMar>
              <w:left w:w="0" w:type="dxa"/>
            </w:tcMar>
          </w:tcPr>
          <w:p w14:paraId="76F38C13" w14:textId="77777777" w:rsidR="000A5265" w:rsidRDefault="000A5265" w:rsidP="00102C41">
            <w:pPr>
              <w:pStyle w:val="Textpoznpodarou"/>
              <w:jc w:val="both"/>
              <w:rPr>
                <w:spacing w:val="-4"/>
              </w:rPr>
            </w:pPr>
          </w:p>
        </w:tc>
        <w:tc>
          <w:tcPr>
            <w:tcW w:w="7656" w:type="dxa"/>
            <w:shd w:val="clear" w:color="auto" w:fill="auto"/>
            <w:tcMar>
              <w:left w:w="0" w:type="dxa"/>
            </w:tcMar>
          </w:tcPr>
          <w:p w14:paraId="7851BE2B" w14:textId="77777777" w:rsidR="000A5265" w:rsidRPr="001B78B8" w:rsidRDefault="000A5265" w:rsidP="00102C41">
            <w:pPr>
              <w:spacing w:after="40"/>
              <w:rPr>
                <w:color w:val="0D0D0D" w:themeColor="text1" w:themeTint="F2"/>
                <w:spacing w:val="-4"/>
              </w:rPr>
            </w:pPr>
            <w:r w:rsidRPr="004457BD">
              <w:rPr>
                <w:rFonts w:cs="Arial"/>
                <w:b/>
                <w:bCs/>
                <w:color w:val="000000"/>
                <w:spacing w:val="-2"/>
                <w:szCs w:val="20"/>
              </w:rPr>
              <w:t xml:space="preserve">Graf č. 18 Příspěvek dílčích příjmů k meziročnímu růstu </w:t>
            </w:r>
            <w:r>
              <w:rPr>
                <w:rFonts w:cs="Arial"/>
                <w:b/>
                <w:bCs/>
                <w:color w:val="000000"/>
                <w:spacing w:val="-2"/>
                <w:szCs w:val="20"/>
              </w:rPr>
              <w:t xml:space="preserve">souhrnného </w:t>
            </w:r>
            <w:r w:rsidRPr="004457BD">
              <w:rPr>
                <w:rFonts w:cs="Arial"/>
                <w:b/>
                <w:bCs/>
                <w:color w:val="000000"/>
                <w:spacing w:val="-2"/>
                <w:szCs w:val="20"/>
              </w:rPr>
              <w:t xml:space="preserve">celostátního inkasa daňových příjmů </w:t>
            </w:r>
            <w:r w:rsidRPr="004457BD">
              <w:rPr>
                <w:rFonts w:cs="Arial"/>
                <w:bCs/>
                <w:color w:val="000000"/>
                <w:spacing w:val="-2"/>
                <w:szCs w:val="20"/>
              </w:rPr>
              <w:t xml:space="preserve">(v p. b.), </w:t>
            </w:r>
            <w:r w:rsidRPr="004457BD">
              <w:rPr>
                <w:rFonts w:cs="Arial"/>
                <w:b/>
                <w:bCs/>
                <w:color w:val="000000"/>
                <w:spacing w:val="-2"/>
                <w:szCs w:val="20"/>
              </w:rPr>
              <w:t>meziroční růst příjmů pojistného</w:t>
            </w:r>
            <w:r>
              <w:rPr>
                <w:rFonts w:cs="Arial"/>
                <w:b/>
                <w:bCs/>
                <w:color w:val="000000"/>
                <w:spacing w:val="-2"/>
                <w:szCs w:val="20"/>
              </w:rPr>
              <w:t xml:space="preserve"> na sociální</w:t>
            </w:r>
            <w:r w:rsidRPr="004457BD">
              <w:rPr>
                <w:rFonts w:cs="Arial"/>
                <w:b/>
                <w:bCs/>
                <w:color w:val="000000"/>
                <w:spacing w:val="-2"/>
                <w:szCs w:val="20"/>
              </w:rPr>
              <w:t xml:space="preserve"> zabezpečení</w:t>
            </w:r>
            <w:r w:rsidRPr="004457BD">
              <w:rPr>
                <w:rFonts w:cs="Arial"/>
                <w:bCs/>
                <w:color w:val="000000"/>
                <w:spacing w:val="-2"/>
                <w:szCs w:val="20"/>
              </w:rPr>
              <w:t xml:space="preserve"> (%) </w:t>
            </w:r>
            <w:r w:rsidRPr="004457BD">
              <w:rPr>
                <w:rFonts w:cs="Arial"/>
                <w:b/>
                <w:bCs/>
                <w:color w:val="000000"/>
                <w:spacing w:val="-2"/>
                <w:szCs w:val="20"/>
              </w:rPr>
              <w:t xml:space="preserve">a saldo státního rozpočtu </w:t>
            </w:r>
            <w:r w:rsidRPr="004457BD">
              <w:rPr>
                <w:rFonts w:cs="Arial"/>
                <w:bCs/>
                <w:color w:val="000000"/>
                <w:spacing w:val="-2"/>
                <w:szCs w:val="20"/>
              </w:rPr>
              <w:t>(v mld. korun)</w:t>
            </w:r>
            <w:r>
              <w:rPr>
                <w:rFonts w:cs="Arial"/>
                <w:bCs/>
                <w:color w:val="000000"/>
                <w:spacing w:val="-2"/>
                <w:szCs w:val="20"/>
              </w:rPr>
              <w:t xml:space="preserve"> </w:t>
            </w:r>
            <w:r>
              <w:rPr>
                <w:rFonts w:cs="Arial"/>
                <w:b/>
                <w:bCs/>
              </w:rPr>
              <w:t>v rámci 1. až 3. čtvrtletí</w:t>
            </w:r>
          </w:p>
        </w:tc>
      </w:tr>
      <w:tr w:rsidR="000A5265" w:rsidRPr="00F704D2" w14:paraId="20B6A225" w14:textId="77777777" w:rsidTr="006D1E06">
        <w:tblPrEx>
          <w:tblCellMar>
            <w:left w:w="70" w:type="dxa"/>
            <w:right w:w="70" w:type="dxa"/>
          </w:tblCellMar>
        </w:tblPrEx>
        <w:trPr>
          <w:trHeight w:val="170"/>
        </w:trPr>
        <w:tc>
          <w:tcPr>
            <w:tcW w:w="1810" w:type="dxa"/>
            <w:shd w:val="clear" w:color="auto" w:fill="auto"/>
          </w:tcPr>
          <w:p w14:paraId="661DBAEB" w14:textId="77777777" w:rsidR="000A5265" w:rsidRDefault="000A5265" w:rsidP="00102C41">
            <w:pPr>
              <w:pStyle w:val="Marginlie"/>
            </w:pPr>
          </w:p>
        </w:tc>
        <w:tc>
          <w:tcPr>
            <w:tcW w:w="203" w:type="dxa"/>
            <w:shd w:val="clear" w:color="auto" w:fill="auto"/>
          </w:tcPr>
          <w:p w14:paraId="1D98A59C" w14:textId="77777777" w:rsidR="000A5265" w:rsidRDefault="000A5265" w:rsidP="00102C41">
            <w:pPr>
              <w:pStyle w:val="Textpoznpodarou"/>
              <w:jc w:val="both"/>
              <w:rPr>
                <w:spacing w:val="-4"/>
              </w:rPr>
            </w:pPr>
          </w:p>
          <w:p w14:paraId="04161C28" w14:textId="77777777" w:rsidR="000A5265" w:rsidRDefault="000A5265" w:rsidP="00102C41">
            <w:pPr>
              <w:pStyle w:val="Textpoznpodarou"/>
              <w:jc w:val="both"/>
              <w:rPr>
                <w:spacing w:val="-4"/>
              </w:rPr>
            </w:pPr>
          </w:p>
        </w:tc>
        <w:tc>
          <w:tcPr>
            <w:tcW w:w="7656" w:type="dxa"/>
            <w:shd w:val="clear" w:color="auto" w:fill="auto"/>
          </w:tcPr>
          <w:p w14:paraId="5F42CCC6" w14:textId="77777777" w:rsidR="000A5265" w:rsidRPr="004457BD" w:rsidRDefault="000A5265" w:rsidP="00102C41">
            <w:pPr>
              <w:spacing w:after="40"/>
              <w:rPr>
                <w:rFonts w:cs="Arial"/>
                <w:b/>
                <w:bCs/>
                <w:color w:val="000000"/>
                <w:spacing w:val="-2"/>
                <w:szCs w:val="20"/>
              </w:rPr>
            </w:pPr>
            <w:r>
              <w:rPr>
                <w:noProof/>
              </w:rPr>
              <w:drawing>
                <wp:inline distT="0" distB="0" distL="0" distR="0" wp14:anchorId="675F18BF" wp14:editId="46453BA4">
                  <wp:extent cx="4757420" cy="3346939"/>
                  <wp:effectExtent l="0" t="0" r="5080" b="635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A5265" w:rsidRPr="007B3A78" w14:paraId="4BA59E2E" w14:textId="77777777" w:rsidTr="006D1E06">
        <w:trPr>
          <w:trHeight w:val="170"/>
        </w:trPr>
        <w:tc>
          <w:tcPr>
            <w:tcW w:w="1810" w:type="dxa"/>
            <w:shd w:val="clear" w:color="auto" w:fill="auto"/>
            <w:tcMar>
              <w:left w:w="0" w:type="dxa"/>
            </w:tcMar>
          </w:tcPr>
          <w:p w14:paraId="19773398" w14:textId="77777777" w:rsidR="000A5265" w:rsidRDefault="000A5265" w:rsidP="00102C41">
            <w:pPr>
              <w:pStyle w:val="Marginlie"/>
            </w:pPr>
          </w:p>
        </w:tc>
        <w:tc>
          <w:tcPr>
            <w:tcW w:w="203" w:type="dxa"/>
            <w:shd w:val="clear" w:color="auto" w:fill="auto"/>
            <w:tcMar>
              <w:left w:w="0" w:type="dxa"/>
            </w:tcMar>
          </w:tcPr>
          <w:p w14:paraId="0D031302" w14:textId="77777777" w:rsidR="000A5265" w:rsidRDefault="000A5265" w:rsidP="00102C41">
            <w:pPr>
              <w:pStyle w:val="Textpoznpodarou"/>
              <w:jc w:val="both"/>
              <w:rPr>
                <w:spacing w:val="-4"/>
              </w:rPr>
            </w:pPr>
          </w:p>
        </w:tc>
        <w:tc>
          <w:tcPr>
            <w:tcW w:w="7656" w:type="dxa"/>
            <w:shd w:val="clear" w:color="auto" w:fill="auto"/>
            <w:tcMar>
              <w:left w:w="0" w:type="dxa"/>
            </w:tcMar>
          </w:tcPr>
          <w:p w14:paraId="49FCDD76" w14:textId="77777777" w:rsidR="000A5265" w:rsidRDefault="000A5265" w:rsidP="00102C41">
            <w:pPr>
              <w:tabs>
                <w:tab w:val="right" w:pos="7683"/>
              </w:tabs>
              <w:spacing w:after="0" w:line="240" w:lineRule="auto"/>
              <w:jc w:val="left"/>
              <w:rPr>
                <w:spacing w:val="-2"/>
                <w:sz w:val="14"/>
                <w:szCs w:val="14"/>
              </w:rPr>
            </w:pPr>
            <w:r w:rsidRPr="004457BD">
              <w:rPr>
                <w:spacing w:val="-2"/>
                <w:sz w:val="14"/>
                <w:szCs w:val="14"/>
              </w:rPr>
              <w:t>*Zahrnují i příspěvky na státní politiku zaměstnanosti.</w:t>
            </w:r>
          </w:p>
          <w:p w14:paraId="04C8D861" w14:textId="77777777" w:rsidR="000A5265" w:rsidRDefault="000A5265" w:rsidP="00102C41">
            <w:pPr>
              <w:tabs>
                <w:tab w:val="right" w:pos="7683"/>
              </w:tabs>
              <w:spacing w:after="0" w:line="240" w:lineRule="auto"/>
              <w:jc w:val="left"/>
              <w:rPr>
                <w:spacing w:val="-2"/>
                <w:sz w:val="14"/>
                <w:szCs w:val="14"/>
              </w:rPr>
            </w:pPr>
            <w:r w:rsidRPr="004457BD">
              <w:rPr>
                <w:spacing w:val="-2"/>
                <w:sz w:val="14"/>
                <w:szCs w:val="14"/>
              </w:rPr>
              <w:t>**Saldo očištěné o prostředky na pro</w:t>
            </w:r>
            <w:r>
              <w:rPr>
                <w:spacing w:val="-2"/>
                <w:sz w:val="14"/>
                <w:szCs w:val="14"/>
              </w:rPr>
              <w:t>gramy/projekty z rozpočtu EU a f</w:t>
            </w:r>
            <w:r w:rsidRPr="004457BD">
              <w:rPr>
                <w:spacing w:val="-2"/>
                <w:sz w:val="14"/>
                <w:szCs w:val="14"/>
              </w:rPr>
              <w:t xml:space="preserve">inančních mechanismů, které byly předfinancovány ze SR a následně jsou propláceny z rozpočtu EU a FM. </w:t>
            </w:r>
            <w:r>
              <w:rPr>
                <w:spacing w:val="-2"/>
                <w:sz w:val="14"/>
                <w:szCs w:val="14"/>
              </w:rPr>
              <w:t xml:space="preserve">Celoroční údaje </w:t>
            </w:r>
            <w:r w:rsidRPr="004457BD">
              <w:rPr>
                <w:spacing w:val="-2"/>
                <w:sz w:val="14"/>
                <w:szCs w:val="14"/>
              </w:rPr>
              <w:t>jsou</w:t>
            </w:r>
            <w:r>
              <w:rPr>
                <w:spacing w:val="-2"/>
                <w:sz w:val="14"/>
                <w:szCs w:val="14"/>
              </w:rPr>
              <w:t xml:space="preserve"> k dispozici počínaje rokem 2013</w:t>
            </w:r>
            <w:r w:rsidRPr="004457BD">
              <w:rPr>
                <w:spacing w:val="-2"/>
                <w:sz w:val="14"/>
                <w:szCs w:val="14"/>
              </w:rPr>
              <w:t>.</w:t>
            </w:r>
          </w:p>
          <w:p w14:paraId="2821B2EB" w14:textId="77777777" w:rsidR="000A5265" w:rsidRDefault="000A5265" w:rsidP="00102C41">
            <w:pPr>
              <w:tabs>
                <w:tab w:val="right" w:pos="7683"/>
              </w:tabs>
              <w:spacing w:after="0" w:line="240" w:lineRule="auto"/>
              <w:jc w:val="left"/>
              <w:rPr>
                <w:sz w:val="16"/>
                <w:szCs w:val="16"/>
              </w:rPr>
            </w:pPr>
            <w:r>
              <w:rPr>
                <w:spacing w:val="-2"/>
                <w:sz w:val="14"/>
                <w:szCs w:val="14"/>
              </w:rPr>
              <w:t>FO = fyzické soby, PO = právnické osoby. Ostatní daně z příjmů FO zahrnují daně placené</w:t>
            </w:r>
            <w:r w:rsidRPr="005B05AD">
              <w:rPr>
                <w:spacing w:val="-2"/>
                <w:sz w:val="14"/>
                <w:szCs w:val="14"/>
              </w:rPr>
              <w:t xml:space="preserve"> poplatníky</w:t>
            </w:r>
            <w:r>
              <w:rPr>
                <w:spacing w:val="-2"/>
                <w:sz w:val="14"/>
                <w:szCs w:val="14"/>
              </w:rPr>
              <w:t xml:space="preserve"> (zejména z drobného podnikání) a dále daně vybírané</w:t>
            </w:r>
            <w:r w:rsidRPr="005B05AD">
              <w:rPr>
                <w:spacing w:val="-2"/>
                <w:sz w:val="14"/>
                <w:szCs w:val="14"/>
              </w:rPr>
              <w:t xml:space="preserve"> srážkou</w:t>
            </w:r>
            <w:r>
              <w:rPr>
                <w:spacing w:val="-2"/>
                <w:sz w:val="14"/>
                <w:szCs w:val="14"/>
              </w:rPr>
              <w:t xml:space="preserve"> (např. bankovní vklady, pracovní dohody).</w:t>
            </w:r>
          </w:p>
          <w:p w14:paraId="2FD9A542" w14:textId="77777777" w:rsidR="000A5265" w:rsidRDefault="000A5265" w:rsidP="00102C41">
            <w:pPr>
              <w:rPr>
                <w:spacing w:val="-4"/>
              </w:rPr>
            </w:pPr>
            <w:r>
              <w:rPr>
                <w:sz w:val="14"/>
                <w:szCs w:val="14"/>
              </w:rPr>
              <w:t>Ostatní daně a poplatky obsahují zejména daň z nemovitých věcí, d</w:t>
            </w:r>
            <w:r w:rsidRPr="001F4360">
              <w:rPr>
                <w:sz w:val="14"/>
                <w:szCs w:val="14"/>
              </w:rPr>
              <w:t>aň z hazardních her</w:t>
            </w:r>
            <w:r>
              <w:rPr>
                <w:sz w:val="14"/>
                <w:szCs w:val="14"/>
              </w:rPr>
              <w:t>, d</w:t>
            </w:r>
            <w:r w:rsidRPr="001F4360">
              <w:rPr>
                <w:sz w:val="14"/>
                <w:szCs w:val="14"/>
              </w:rPr>
              <w:t>álniční poplatek</w:t>
            </w:r>
            <w:r>
              <w:rPr>
                <w:sz w:val="14"/>
                <w:szCs w:val="14"/>
              </w:rPr>
              <w:t>, mýtné a od roku 2023 nově rovněž o</w:t>
            </w:r>
            <w:r w:rsidRPr="003C78E5">
              <w:rPr>
                <w:sz w:val="14"/>
                <w:szCs w:val="14"/>
              </w:rPr>
              <w:t>dvod z nadměrných příjmů</w:t>
            </w:r>
            <w:r>
              <w:rPr>
                <w:sz w:val="14"/>
                <w:szCs w:val="14"/>
              </w:rPr>
              <w:t xml:space="preserve"> a neočekávaných zisků.                                                            Zdroj: MF ČR</w:t>
            </w:r>
          </w:p>
        </w:tc>
      </w:tr>
      <w:tr w:rsidR="000A5265" w:rsidRPr="007B3A78" w14:paraId="27135A90" w14:textId="77777777" w:rsidTr="006D1E06">
        <w:trPr>
          <w:trHeight w:val="170"/>
        </w:trPr>
        <w:tc>
          <w:tcPr>
            <w:tcW w:w="1810" w:type="dxa"/>
            <w:shd w:val="clear" w:color="auto" w:fill="auto"/>
            <w:tcMar>
              <w:left w:w="0" w:type="dxa"/>
            </w:tcMar>
          </w:tcPr>
          <w:p w14:paraId="2BB2364F" w14:textId="77777777" w:rsidR="000A5265" w:rsidRDefault="000A5265" w:rsidP="00102C41">
            <w:pPr>
              <w:pStyle w:val="Marginlie"/>
            </w:pPr>
            <w:r>
              <w:t>Svižný růst inkasa spotřební daně souvisel primárně se zvýšením sazby u klíčových produktů – minerálních olejů a tabákových výrobků.</w:t>
            </w:r>
          </w:p>
        </w:tc>
        <w:tc>
          <w:tcPr>
            <w:tcW w:w="203" w:type="dxa"/>
            <w:shd w:val="clear" w:color="auto" w:fill="auto"/>
            <w:tcMar>
              <w:left w:w="0" w:type="dxa"/>
            </w:tcMar>
          </w:tcPr>
          <w:p w14:paraId="6EDA483E" w14:textId="77777777" w:rsidR="000A5265" w:rsidRDefault="000A5265" w:rsidP="00102C41">
            <w:pPr>
              <w:pStyle w:val="Textpoznpodarou"/>
              <w:jc w:val="both"/>
              <w:rPr>
                <w:spacing w:val="-4"/>
              </w:rPr>
            </w:pPr>
          </w:p>
        </w:tc>
        <w:tc>
          <w:tcPr>
            <w:tcW w:w="7656" w:type="dxa"/>
            <w:shd w:val="clear" w:color="auto" w:fill="auto"/>
            <w:tcMar>
              <w:left w:w="0" w:type="dxa"/>
            </w:tcMar>
          </w:tcPr>
          <w:p w14:paraId="471260AB" w14:textId="08A87BBB" w:rsidR="000A5265" w:rsidRPr="009124F8" w:rsidRDefault="000A5265" w:rsidP="00102C41">
            <w:pPr>
              <w:rPr>
                <w:color w:val="0D0D0D" w:themeColor="text1" w:themeTint="F2"/>
                <w:spacing w:val="-4"/>
                <w:szCs w:val="20"/>
              </w:rPr>
            </w:pPr>
            <w:r>
              <w:rPr>
                <w:spacing w:val="-4"/>
                <w:szCs w:val="20"/>
              </w:rPr>
              <w:t>Inkaso spotřební daně (vč.</w:t>
            </w:r>
            <w:r w:rsidRPr="000B2E46">
              <w:rPr>
                <w:spacing w:val="-4"/>
                <w:szCs w:val="20"/>
              </w:rPr>
              <w:t xml:space="preserve"> energetické daně)</w:t>
            </w:r>
            <w:r>
              <w:rPr>
                <w:spacing w:val="-4"/>
                <w:szCs w:val="20"/>
              </w:rPr>
              <w:t xml:space="preserve"> vzrostlo letos za tři čtvrtletí meziročně o 9,4</w:t>
            </w:r>
            <w:r>
              <w:rPr>
                <w:spacing w:val="-5"/>
              </w:rPr>
              <w:t> </w:t>
            </w:r>
            <w:r>
              <w:rPr>
                <w:spacing w:val="-4"/>
                <w:szCs w:val="20"/>
              </w:rPr>
              <w:t>%, k jeho posílení přispěly všechny významnější položky (vyjma daně z lihu</w:t>
            </w:r>
            <w:r>
              <w:rPr>
                <w:rStyle w:val="Znakapoznpodarou"/>
                <w:spacing w:val="-4"/>
                <w:szCs w:val="20"/>
              </w:rPr>
              <w:footnoteReference w:id="12"/>
            </w:r>
            <w:r>
              <w:rPr>
                <w:spacing w:val="-4"/>
                <w:szCs w:val="20"/>
              </w:rPr>
              <w:t>). Vývoj inkasa nejvíce ovlivnila klíčová daň z minerálních olejů, jejíž výběr svižně rostl (+14,3 %) primárně díky</w:t>
            </w:r>
            <w:r>
              <w:rPr>
                <w:spacing w:val="-4"/>
              </w:rPr>
              <w:t> </w:t>
            </w:r>
            <w:r w:rsidRPr="003579AA">
              <w:rPr>
                <w:spacing w:val="-5"/>
              </w:rPr>
              <w:t>návrat</w:t>
            </w:r>
            <w:r>
              <w:rPr>
                <w:spacing w:val="-5"/>
              </w:rPr>
              <w:t>u</w:t>
            </w:r>
            <w:r w:rsidRPr="003579AA">
              <w:rPr>
                <w:spacing w:val="-5"/>
              </w:rPr>
              <w:t xml:space="preserve"> sazby daně z motorové nafty na úroveň před vzplanutím energetické krize</w:t>
            </w:r>
            <w:r w:rsidRPr="003579AA">
              <w:rPr>
                <w:rStyle w:val="Znakapoznpodarou"/>
                <w:color w:val="0D0D0D" w:themeColor="text1" w:themeTint="F2"/>
                <w:spacing w:val="-5"/>
              </w:rPr>
              <w:footnoteReference w:id="13"/>
            </w:r>
            <w:r w:rsidRPr="003579AA">
              <w:rPr>
                <w:spacing w:val="-5"/>
              </w:rPr>
              <w:t>.</w:t>
            </w:r>
            <w:r>
              <w:rPr>
                <w:spacing w:val="-5"/>
              </w:rPr>
              <w:t xml:space="preserve"> Vliv však měla také vyšší spotřeba těchto produktů, podpořená příznivým vývojem jejich maloobchodních cen</w:t>
            </w:r>
            <w:r>
              <w:rPr>
                <w:rStyle w:val="Znakapoznpodarou"/>
                <w:spacing w:val="-5"/>
              </w:rPr>
              <w:footnoteReference w:id="14"/>
            </w:r>
            <w:r>
              <w:rPr>
                <w:spacing w:val="-5"/>
              </w:rPr>
              <w:t xml:space="preserve">. Z inkasa daně z tabákových výrobků získal SR o 5,7 % více, a přestože tempo výběru během letošního roku mírně posilovalo, zůstávalo zatím za rozpočtovým očekáváním. V dynamice inkasa se promítlo další navýšení sazby i rozšíření okruhu zdaněných produktů (nově náplně do e-cigaret, nikotinové sáčky). Dále rostl výběr energetických daní (zejména díky </w:t>
            </w:r>
            <w:r w:rsidRPr="00FA6942">
              <w:rPr>
                <w:spacing w:val="-5"/>
              </w:rPr>
              <w:t xml:space="preserve">zrušení některých osvobození od daně, </w:t>
            </w:r>
            <w:r w:rsidR="0079124F" w:rsidRPr="00FA6942">
              <w:rPr>
                <w:spacing w:val="-5"/>
              </w:rPr>
              <w:t xml:space="preserve">např. </w:t>
            </w:r>
            <w:r w:rsidR="0079124F" w:rsidRPr="00FA6942">
              <w:rPr>
                <w:spacing w:val="-5"/>
              </w:rPr>
              <w:lastRenderedPageBreak/>
              <w:t>v metalurgii</w:t>
            </w:r>
            <w:r w:rsidRPr="00FA6942">
              <w:rPr>
                <w:spacing w:val="-5"/>
              </w:rPr>
              <w:t>)</w:t>
            </w:r>
            <w:r>
              <w:rPr>
                <w:spacing w:val="-5"/>
              </w:rPr>
              <w:t>, avšak pomaleji než činilo rozpočtové očekávání (vlivem pokračujících úspor podniků i domácností v oblasti spotřeby a přechodem na ekologičtější druhy paliv).</w:t>
            </w:r>
          </w:p>
        </w:tc>
      </w:tr>
      <w:tr w:rsidR="000A5265" w:rsidRPr="007B3A78" w14:paraId="2BD766B9" w14:textId="77777777" w:rsidTr="006D1E06">
        <w:trPr>
          <w:trHeight w:val="170"/>
        </w:trPr>
        <w:tc>
          <w:tcPr>
            <w:tcW w:w="1810" w:type="dxa"/>
            <w:shd w:val="clear" w:color="auto" w:fill="auto"/>
            <w:tcMar>
              <w:left w:w="0" w:type="dxa"/>
            </w:tcMar>
          </w:tcPr>
          <w:p w14:paraId="2C860302" w14:textId="77777777" w:rsidR="000A5265" w:rsidRDefault="000A5265" w:rsidP="00102C41">
            <w:pPr>
              <w:pStyle w:val="Marginlie"/>
            </w:pPr>
            <w:r>
              <w:lastRenderedPageBreak/>
              <w:t>Výběr korporátní daně po svižném růstu v předchozích třech letech poklesl.</w:t>
            </w:r>
          </w:p>
          <w:p w14:paraId="2C2E1C26" w14:textId="77777777" w:rsidR="000A5265" w:rsidRDefault="000A5265" w:rsidP="00102C41">
            <w:pPr>
              <w:pStyle w:val="Marginlie"/>
            </w:pPr>
          </w:p>
          <w:p w14:paraId="7FFAAF06" w14:textId="77777777" w:rsidR="000A5265" w:rsidRDefault="000A5265" w:rsidP="00102C41">
            <w:pPr>
              <w:pStyle w:val="Marginlie"/>
            </w:pPr>
          </w:p>
          <w:p w14:paraId="4F19757C" w14:textId="77777777" w:rsidR="000A5265" w:rsidRDefault="000A5265" w:rsidP="00102C41">
            <w:pPr>
              <w:pStyle w:val="Marginlie"/>
            </w:pPr>
            <w:r>
              <w:t xml:space="preserve">Růst výběru DPFO nadále převyšoval rozpočtové očekávání. Projevovala se </w:t>
            </w:r>
            <w:r w:rsidRPr="009124F8">
              <w:rPr>
                <w:color w:val="0D0D0D" w:themeColor="text1" w:themeTint="F2"/>
                <w:spacing w:val="-4"/>
              </w:rPr>
              <w:t>vyšší zaměstnanost i svižný nominální růst p</w:t>
            </w:r>
            <w:r>
              <w:rPr>
                <w:color w:val="0D0D0D" w:themeColor="text1" w:themeTint="F2"/>
                <w:spacing w:val="-4"/>
              </w:rPr>
              <w:t>růměrné mzdy v podnikové sféře.</w:t>
            </w:r>
          </w:p>
          <w:p w14:paraId="1EBCFD13" w14:textId="77777777" w:rsidR="000A5265" w:rsidRDefault="000A5265" w:rsidP="00102C41">
            <w:pPr>
              <w:pStyle w:val="Marginlie"/>
            </w:pPr>
            <w:r>
              <w:t xml:space="preserve"> </w:t>
            </w:r>
          </w:p>
        </w:tc>
        <w:tc>
          <w:tcPr>
            <w:tcW w:w="203" w:type="dxa"/>
            <w:shd w:val="clear" w:color="auto" w:fill="auto"/>
            <w:tcMar>
              <w:left w:w="0" w:type="dxa"/>
            </w:tcMar>
          </w:tcPr>
          <w:p w14:paraId="53459260" w14:textId="77777777" w:rsidR="000A5265" w:rsidRDefault="000A5265" w:rsidP="00102C41">
            <w:pPr>
              <w:pStyle w:val="Textpoznpodarou"/>
              <w:jc w:val="both"/>
              <w:rPr>
                <w:spacing w:val="-4"/>
              </w:rPr>
            </w:pPr>
          </w:p>
        </w:tc>
        <w:tc>
          <w:tcPr>
            <w:tcW w:w="7656" w:type="dxa"/>
            <w:shd w:val="clear" w:color="auto" w:fill="auto"/>
            <w:tcMar>
              <w:left w:w="0" w:type="dxa"/>
            </w:tcMar>
          </w:tcPr>
          <w:p w14:paraId="2F0D49DD" w14:textId="77777777" w:rsidR="000A5265" w:rsidRPr="009124F8" w:rsidRDefault="000A5265" w:rsidP="00102C41">
            <w:pPr>
              <w:rPr>
                <w:color w:val="0D0D0D" w:themeColor="text1" w:themeTint="F2"/>
                <w:spacing w:val="-4"/>
                <w:szCs w:val="20"/>
              </w:rPr>
            </w:pPr>
            <w:r w:rsidRPr="009124F8">
              <w:rPr>
                <w:color w:val="0D0D0D" w:themeColor="text1" w:themeTint="F2"/>
                <w:spacing w:val="-4"/>
                <w:szCs w:val="20"/>
              </w:rPr>
              <w:t xml:space="preserve">Po dvojciferném růstu v předchozích třech letech získal zatím letos SR na korporátní dani (bez mimořádných daní) meziročně o 8,6 mld. korun, resp. o 5,4 % méně (na úrovni všech veřejných rozpočtů kleslo inkaso dokonce o 7,3 %). Výběr daně tak významněji zaostává za rozpočtovým očekáváním. Opačně je tomu u </w:t>
            </w:r>
            <w:r w:rsidRPr="009124F8">
              <w:rPr>
                <w:color w:val="0D0D0D" w:themeColor="text1" w:themeTint="F2"/>
                <w:spacing w:val="-4"/>
              </w:rPr>
              <w:t>daně z příjmů fyzických osob (DPFO), včetně všech jejích klíčových složek. Na DPFO odvedené plátci (zaměstnavateli) plynulo zatím letos do SR meziročně o 16,5 % více. Příznivě se v ní promítala jak přetrvávající dobrá kondice trhu práce (vyšší zaměstnanost i svižný nominální růst průměrné mzdy v podnikové sféře), tak legislativní změny (především snížení pásma pro druhou zvýšenou sazbu této daně, v menší míře i úprava zdanění vybraných nepeněžních benefitů či zrušení některých daňových slev a také změna RUD</w:t>
            </w:r>
            <w:r w:rsidRPr="009124F8">
              <w:rPr>
                <w:rStyle w:val="Znakapoznpodarou"/>
                <w:color w:val="0D0D0D" w:themeColor="text1" w:themeTint="F2"/>
                <w:spacing w:val="-4"/>
              </w:rPr>
              <w:footnoteReference w:id="15"/>
            </w:r>
            <w:r w:rsidRPr="009124F8">
              <w:rPr>
                <w:color w:val="0D0D0D" w:themeColor="text1" w:themeTint="F2"/>
                <w:spacing w:val="-4"/>
              </w:rPr>
              <w:t xml:space="preserve">). Svižně nadále rostlo inkaso DPFO vybírané srážkou (+12,4 %), což lze vysvětlit především zvýšenými úrokovými sazbami na vkladech </w:t>
            </w:r>
            <w:r>
              <w:rPr>
                <w:color w:val="0D0D0D" w:themeColor="text1" w:themeTint="F2"/>
                <w:spacing w:val="-5"/>
              </w:rPr>
              <w:t>a vysokou mírou</w:t>
            </w:r>
            <w:r w:rsidRPr="00AF6B39">
              <w:rPr>
                <w:color w:val="0D0D0D" w:themeColor="text1" w:themeTint="F2"/>
                <w:spacing w:val="-5"/>
              </w:rPr>
              <w:t xml:space="preserve"> úspor domácností. Nově se zde projevilo i snížení limitu pro osvobození příjmů</w:t>
            </w:r>
            <w:r w:rsidRPr="009124F8">
              <w:rPr>
                <w:color w:val="0D0D0D" w:themeColor="text1" w:themeTint="F2"/>
                <w:spacing w:val="-4"/>
              </w:rPr>
              <w:t xml:space="preserve"> </w:t>
            </w:r>
            <w:r w:rsidRPr="009124F8">
              <w:rPr>
                <w:color w:val="0D0D0D" w:themeColor="text1" w:themeTint="F2"/>
                <w:spacing w:val="-6"/>
              </w:rPr>
              <w:t>z tombol i hazardních her. Výběr DPFO placené poplatníky (hlavně ze samostatné výdělečné</w:t>
            </w:r>
            <w:r w:rsidRPr="009124F8">
              <w:rPr>
                <w:color w:val="0D0D0D" w:themeColor="text1" w:themeTint="F2"/>
                <w:spacing w:val="-4"/>
              </w:rPr>
              <w:t xml:space="preserve"> </w:t>
            </w:r>
            <w:r w:rsidRPr="009124F8">
              <w:rPr>
                <w:color w:val="0D0D0D" w:themeColor="text1" w:themeTint="F2"/>
                <w:spacing w:val="-5"/>
              </w:rPr>
              <w:t>činnosti) se zvýšil mírněji (+3,4 %), pozitivn</w:t>
            </w:r>
            <w:r>
              <w:rPr>
                <w:color w:val="0D0D0D" w:themeColor="text1" w:themeTint="F2"/>
                <w:spacing w:val="-5"/>
              </w:rPr>
              <w:t>í vliv zde měl</w:t>
            </w:r>
            <w:r w:rsidRPr="009124F8">
              <w:rPr>
                <w:color w:val="0D0D0D" w:themeColor="text1" w:themeTint="F2"/>
                <w:spacing w:val="-5"/>
              </w:rPr>
              <w:t xml:space="preserve"> růst počtu drobných podnikatelů</w:t>
            </w:r>
            <w:r>
              <w:rPr>
                <w:color w:val="0D0D0D" w:themeColor="text1" w:themeTint="F2"/>
                <w:spacing w:val="-4"/>
              </w:rPr>
              <w:t>, negativní</w:t>
            </w:r>
            <w:r w:rsidRPr="009124F8">
              <w:rPr>
                <w:color w:val="0D0D0D" w:themeColor="text1" w:themeTint="F2"/>
                <w:spacing w:val="-4"/>
              </w:rPr>
              <w:t xml:space="preserve"> </w:t>
            </w:r>
            <w:r>
              <w:rPr>
                <w:color w:val="0D0D0D" w:themeColor="text1" w:themeTint="F2"/>
                <w:spacing w:val="-4"/>
              </w:rPr>
              <w:t xml:space="preserve">pak </w:t>
            </w:r>
            <w:r w:rsidRPr="009124F8">
              <w:rPr>
                <w:color w:val="0D0D0D" w:themeColor="text1" w:themeTint="F2"/>
                <w:spacing w:val="-4"/>
              </w:rPr>
              <w:t xml:space="preserve">především </w:t>
            </w:r>
            <w:r>
              <w:rPr>
                <w:color w:val="0D0D0D" w:themeColor="text1" w:themeTint="F2"/>
                <w:spacing w:val="-4"/>
              </w:rPr>
              <w:t>úprava</w:t>
            </w:r>
            <w:r w:rsidRPr="009124F8">
              <w:rPr>
                <w:color w:val="0D0D0D" w:themeColor="text1" w:themeTint="F2"/>
                <w:spacing w:val="-4"/>
              </w:rPr>
              <w:t xml:space="preserve"> pro možnost vstupu paušálního režimu platby daně</w:t>
            </w:r>
            <w:r>
              <w:rPr>
                <w:rStyle w:val="Znakapoznpodarou"/>
                <w:color w:val="0D0D0D" w:themeColor="text1" w:themeTint="F2"/>
                <w:spacing w:val="-4"/>
              </w:rPr>
              <w:footnoteReference w:id="16"/>
            </w:r>
            <w:r w:rsidRPr="009124F8">
              <w:rPr>
                <w:color w:val="0D0D0D" w:themeColor="text1" w:themeTint="F2"/>
                <w:spacing w:val="-4"/>
              </w:rPr>
              <w:t>.</w:t>
            </w:r>
          </w:p>
        </w:tc>
      </w:tr>
      <w:tr w:rsidR="000A5265" w:rsidRPr="007B3A78" w14:paraId="14BDD5FF" w14:textId="77777777" w:rsidTr="006D1E06">
        <w:trPr>
          <w:trHeight w:val="170"/>
        </w:trPr>
        <w:tc>
          <w:tcPr>
            <w:tcW w:w="1810" w:type="dxa"/>
            <w:shd w:val="clear" w:color="auto" w:fill="auto"/>
            <w:tcMar>
              <w:left w:w="0" w:type="dxa"/>
            </w:tcMar>
          </w:tcPr>
          <w:p w14:paraId="018C8CF8" w14:textId="77777777" w:rsidR="000A5265" w:rsidRDefault="000A5265" w:rsidP="00102C41">
            <w:pPr>
              <w:pStyle w:val="Marginlie"/>
            </w:pPr>
            <w:r>
              <w:rPr>
                <w:spacing w:val="-5"/>
              </w:rPr>
              <w:t>Nedaňové a kapitálové příjmy byly ovlivněny hlubším poklesem příjmů z rozpočtu EU i nižšími příjmy z dividend.</w:t>
            </w:r>
          </w:p>
        </w:tc>
        <w:tc>
          <w:tcPr>
            <w:tcW w:w="203" w:type="dxa"/>
            <w:shd w:val="clear" w:color="auto" w:fill="auto"/>
            <w:tcMar>
              <w:left w:w="0" w:type="dxa"/>
            </w:tcMar>
          </w:tcPr>
          <w:p w14:paraId="0808BDB2" w14:textId="77777777" w:rsidR="000A5265" w:rsidRDefault="000A5265" w:rsidP="00102C41">
            <w:pPr>
              <w:pStyle w:val="Textpoznpodarou"/>
              <w:jc w:val="both"/>
              <w:rPr>
                <w:spacing w:val="-4"/>
              </w:rPr>
            </w:pPr>
          </w:p>
        </w:tc>
        <w:tc>
          <w:tcPr>
            <w:tcW w:w="7656" w:type="dxa"/>
            <w:shd w:val="clear" w:color="auto" w:fill="auto"/>
            <w:tcMar>
              <w:left w:w="0" w:type="dxa"/>
            </w:tcMar>
          </w:tcPr>
          <w:p w14:paraId="52620099" w14:textId="77777777" w:rsidR="000A5265" w:rsidRPr="00146F85" w:rsidRDefault="000A5265" w:rsidP="00102C41">
            <w:pPr>
              <w:rPr>
                <w:spacing w:val="-4"/>
              </w:rPr>
            </w:pPr>
            <w:r w:rsidRPr="005F5A3C">
              <w:rPr>
                <w:color w:val="0D0D0D" w:themeColor="text1" w:themeTint="F2"/>
                <w:spacing w:val="-4"/>
              </w:rPr>
              <w:t>Nedaňové a kapitálové příjmy</w:t>
            </w:r>
            <w:r>
              <w:rPr>
                <w:color w:val="0D0D0D" w:themeColor="text1" w:themeTint="F2"/>
                <w:spacing w:val="-4"/>
              </w:rPr>
              <w:t xml:space="preserve"> SR se v souladu s rozpočtovým očekáváním meziročně propadly, když byly v 1. pololetí nižší o čtvrtinu (60 mld. korun). Vedle výše uvedených slabších příjmů z rozpočtu EU k tomu vedlo i to, že loňské mimořádně vysoké příjmy z dividend od podniků s účastí státu se letos již v takové míře neopakovaly. </w:t>
            </w:r>
          </w:p>
        </w:tc>
      </w:tr>
      <w:tr w:rsidR="000A5265" w:rsidRPr="007B3A78" w14:paraId="758E0B09" w14:textId="77777777" w:rsidTr="006D1E06">
        <w:trPr>
          <w:trHeight w:val="170"/>
        </w:trPr>
        <w:tc>
          <w:tcPr>
            <w:tcW w:w="1810" w:type="dxa"/>
            <w:shd w:val="clear" w:color="auto" w:fill="auto"/>
            <w:tcMar>
              <w:left w:w="0" w:type="dxa"/>
            </w:tcMar>
          </w:tcPr>
          <w:p w14:paraId="51C762B7" w14:textId="77777777" w:rsidR="000A5265" w:rsidRDefault="000A5265" w:rsidP="00102C41">
            <w:pPr>
              <w:pStyle w:val="Marginlie"/>
            </w:pPr>
            <w:r>
              <w:rPr>
                <w:spacing w:val="-5"/>
              </w:rPr>
              <w:t>Růst běžných výdajů razantně zvolnil. Projevil se očekávaný útlum mimořádných dotací v energetice.</w:t>
            </w:r>
          </w:p>
        </w:tc>
        <w:tc>
          <w:tcPr>
            <w:tcW w:w="203" w:type="dxa"/>
            <w:shd w:val="clear" w:color="auto" w:fill="auto"/>
            <w:tcMar>
              <w:left w:w="0" w:type="dxa"/>
            </w:tcMar>
          </w:tcPr>
          <w:p w14:paraId="6922E078" w14:textId="77777777" w:rsidR="000A5265" w:rsidRDefault="000A5265" w:rsidP="00102C41">
            <w:pPr>
              <w:pStyle w:val="Textpoznpodarou"/>
              <w:jc w:val="both"/>
              <w:rPr>
                <w:spacing w:val="-4"/>
              </w:rPr>
            </w:pPr>
          </w:p>
        </w:tc>
        <w:tc>
          <w:tcPr>
            <w:tcW w:w="7656" w:type="dxa"/>
            <w:shd w:val="clear" w:color="auto" w:fill="auto"/>
            <w:tcMar>
              <w:left w:w="0" w:type="dxa"/>
            </w:tcMar>
          </w:tcPr>
          <w:p w14:paraId="7A0A3B33" w14:textId="77777777" w:rsidR="000A5265" w:rsidRDefault="000A5265" w:rsidP="00102C41">
            <w:pPr>
              <w:rPr>
                <w:spacing w:val="-4"/>
              </w:rPr>
            </w:pPr>
            <w:r w:rsidRPr="00C57B1B">
              <w:rPr>
                <w:color w:val="0D0D0D" w:themeColor="text1" w:themeTint="F2"/>
                <w:spacing w:val="-4"/>
              </w:rPr>
              <w:t>Celkové výdaje SR v 1</w:t>
            </w:r>
            <w:r>
              <w:rPr>
                <w:color w:val="0D0D0D" w:themeColor="text1" w:themeTint="F2"/>
                <w:spacing w:val="-4"/>
              </w:rPr>
              <w:t>. až 3. čtvrtletí 2024 fakticky stagnovaly (+0,6 %) a významně se zatím neodchylovaly od celoročního rozpočtového očekávání (</w:t>
            </w:r>
            <w:r>
              <w:rPr>
                <w:spacing w:val="-4"/>
              </w:rPr>
              <w:t>−</w:t>
            </w:r>
            <w:r>
              <w:rPr>
                <w:color w:val="0D0D0D" w:themeColor="text1" w:themeTint="F2"/>
                <w:spacing w:val="-4"/>
              </w:rPr>
              <w:t>0,5 %). Běžné výdaje se po dvouciferném loňském růstu letos zvýšily pouze o 1,9 % (+27,9 mld. korun). Toto razantní zvolnění souvisí hlavně s očekávaným útlumem podpory v oblasti energetiky (</w:t>
            </w:r>
            <w:r>
              <w:rPr>
                <w:spacing w:val="-4"/>
              </w:rPr>
              <w:t>−</w:t>
            </w:r>
            <w:r>
              <w:rPr>
                <w:color w:val="0D0D0D" w:themeColor="text1" w:themeTint="F2"/>
                <w:spacing w:val="-4"/>
              </w:rPr>
              <w:t>47,4</w:t>
            </w:r>
            <w:r w:rsidRPr="00793F70">
              <w:rPr>
                <w:color w:val="0D0D0D" w:themeColor="text1" w:themeTint="F2"/>
                <w:spacing w:val="-4"/>
              </w:rPr>
              <w:t xml:space="preserve"> mld. korun)</w:t>
            </w:r>
            <w:r>
              <w:rPr>
                <w:color w:val="0D0D0D" w:themeColor="text1" w:themeTint="F2"/>
                <w:spacing w:val="-4"/>
              </w:rPr>
              <w:t xml:space="preserve"> umožněným příznivým vývojem</w:t>
            </w:r>
            <w:r w:rsidRPr="003467F2">
              <w:rPr>
                <w:color w:val="0D0D0D" w:themeColor="text1" w:themeTint="F2"/>
                <w:spacing w:val="-4"/>
              </w:rPr>
              <w:t xml:space="preserve"> cen energií na světových trzích</w:t>
            </w:r>
            <w:r>
              <w:rPr>
                <w:color w:val="0D0D0D" w:themeColor="text1" w:themeTint="F2"/>
                <w:spacing w:val="-4"/>
              </w:rPr>
              <w:t>. Zklidnění cenového růstu v ekonomice se odrazilo i v nižším tlaku na valorizaci širokého spektra sociálních dávek. Ten byl dále u</w:t>
            </w:r>
            <w:r w:rsidRPr="00A66831">
              <w:rPr>
                <w:color w:val="0D0D0D" w:themeColor="text1" w:themeTint="F2"/>
                <w:spacing w:val="-5"/>
              </w:rPr>
              <w:t> </w:t>
            </w:r>
            <w:r>
              <w:rPr>
                <w:color w:val="0D0D0D" w:themeColor="text1" w:themeTint="F2"/>
                <w:spacing w:val="-4"/>
              </w:rPr>
              <w:t>důchodů zmírněn legislativními změnami řádné i mimořádné valorizace či zpřísněním podmínek přiznání předčasného důchodu.</w:t>
            </w:r>
          </w:p>
        </w:tc>
      </w:tr>
      <w:tr w:rsidR="000A5265" w:rsidRPr="007B3A78" w14:paraId="6D1E7071" w14:textId="77777777" w:rsidTr="006D1E06">
        <w:trPr>
          <w:trHeight w:val="170"/>
        </w:trPr>
        <w:tc>
          <w:tcPr>
            <w:tcW w:w="1810" w:type="dxa"/>
            <w:shd w:val="clear" w:color="auto" w:fill="auto"/>
            <w:tcMar>
              <w:left w:w="0" w:type="dxa"/>
            </w:tcMar>
          </w:tcPr>
          <w:p w14:paraId="654A4DAE" w14:textId="77777777" w:rsidR="000A5265" w:rsidRDefault="000A5265" w:rsidP="00102C41">
            <w:pPr>
              <w:pStyle w:val="Marginlie"/>
              <w:rPr>
                <w:spacing w:val="-5"/>
              </w:rPr>
            </w:pPr>
            <w:r>
              <w:rPr>
                <w:spacing w:val="-5"/>
              </w:rPr>
              <w:t xml:space="preserve">Výdaje na důchody se zvýšily relativně nejméně za posledních osm let. </w:t>
            </w:r>
          </w:p>
          <w:p w14:paraId="6E92FE53" w14:textId="77777777" w:rsidR="000A5265" w:rsidRDefault="000A5265" w:rsidP="00102C41">
            <w:pPr>
              <w:pStyle w:val="Marginlie"/>
              <w:rPr>
                <w:spacing w:val="-5"/>
              </w:rPr>
            </w:pPr>
          </w:p>
          <w:p w14:paraId="1833A87F" w14:textId="77777777" w:rsidR="000A5265" w:rsidRDefault="000A5265" w:rsidP="00102C41">
            <w:pPr>
              <w:pStyle w:val="Marginlie"/>
              <w:rPr>
                <w:spacing w:val="-5"/>
              </w:rPr>
            </w:pPr>
          </w:p>
          <w:p w14:paraId="10D3CACF" w14:textId="77777777" w:rsidR="000A5265" w:rsidRDefault="000A5265" w:rsidP="00102C41">
            <w:pPr>
              <w:pStyle w:val="Marginlie"/>
              <w:rPr>
                <w:spacing w:val="-5"/>
              </w:rPr>
            </w:pPr>
          </w:p>
          <w:p w14:paraId="2818234B" w14:textId="77777777" w:rsidR="000A5265" w:rsidRDefault="000A5265" w:rsidP="00102C41">
            <w:pPr>
              <w:pStyle w:val="Marginlie"/>
              <w:rPr>
                <w:spacing w:val="-5"/>
              </w:rPr>
            </w:pPr>
          </w:p>
          <w:p w14:paraId="410EC1A6" w14:textId="77777777" w:rsidR="000A5265" w:rsidRDefault="000A5265" w:rsidP="00102C41">
            <w:pPr>
              <w:pStyle w:val="Marginlie"/>
            </w:pPr>
            <w:r>
              <w:rPr>
                <w:spacing w:val="-5"/>
              </w:rPr>
              <w:t xml:space="preserve">Pololetní deficit důchodového účtu meziročně poklesl o čtvrtinu, i tak byl druhý </w:t>
            </w:r>
            <w:r>
              <w:rPr>
                <w:spacing w:val="-5"/>
              </w:rPr>
              <w:lastRenderedPageBreak/>
              <w:t>nejhlubší v novodobé historii.</w:t>
            </w:r>
          </w:p>
        </w:tc>
        <w:tc>
          <w:tcPr>
            <w:tcW w:w="203" w:type="dxa"/>
            <w:shd w:val="clear" w:color="auto" w:fill="auto"/>
            <w:tcMar>
              <w:left w:w="0" w:type="dxa"/>
            </w:tcMar>
          </w:tcPr>
          <w:p w14:paraId="6E27C921" w14:textId="77777777" w:rsidR="000A5265" w:rsidRDefault="000A5265" w:rsidP="00102C41">
            <w:pPr>
              <w:pStyle w:val="Textpoznpodarou"/>
              <w:jc w:val="both"/>
              <w:rPr>
                <w:spacing w:val="-4"/>
              </w:rPr>
            </w:pPr>
          </w:p>
        </w:tc>
        <w:tc>
          <w:tcPr>
            <w:tcW w:w="7656" w:type="dxa"/>
            <w:shd w:val="clear" w:color="auto" w:fill="auto"/>
            <w:tcMar>
              <w:left w:w="0" w:type="dxa"/>
            </w:tcMar>
          </w:tcPr>
          <w:p w14:paraId="075BF04D" w14:textId="77777777" w:rsidR="000A5265" w:rsidRPr="008828D3" w:rsidRDefault="000A5265" w:rsidP="00102C41">
            <w:pPr>
              <w:rPr>
                <w:color w:val="0D0D0D" w:themeColor="text1" w:themeTint="F2"/>
                <w:spacing w:val="-4"/>
              </w:rPr>
            </w:pPr>
            <w:r w:rsidRPr="008828D3">
              <w:rPr>
                <w:color w:val="0D0D0D" w:themeColor="text1" w:themeTint="F2"/>
                <w:spacing w:val="-4"/>
              </w:rPr>
              <w:t xml:space="preserve">Navzdory výše uvedenému přispěly k letošnímu růstu běžných výdajů nejvíce sociální dávky (+27,2 mld. korun), jež se i přes zpomalení svého meziročního růstu na veškerých výdajích SR podílely 41,6 % </w:t>
            </w:r>
            <w:r w:rsidRPr="008828D3">
              <w:rPr>
                <w:spacing w:val="-4"/>
              </w:rPr>
              <w:t>–</w:t>
            </w:r>
            <w:r w:rsidRPr="008828D3">
              <w:rPr>
                <w:color w:val="0D0D0D" w:themeColor="text1" w:themeTint="F2"/>
                <w:spacing w:val="-4"/>
              </w:rPr>
              <w:t xml:space="preserve"> nejvíce za posledních sedm let</w:t>
            </w:r>
            <w:r w:rsidRPr="008828D3">
              <w:rPr>
                <w:rStyle w:val="Znakapoznpodarou"/>
                <w:color w:val="0D0D0D" w:themeColor="text1" w:themeTint="F2"/>
                <w:spacing w:val="-4"/>
              </w:rPr>
              <w:footnoteReference w:id="17"/>
            </w:r>
            <w:r w:rsidRPr="008828D3">
              <w:rPr>
                <w:color w:val="0D0D0D" w:themeColor="text1" w:themeTint="F2"/>
                <w:spacing w:val="-4"/>
              </w:rPr>
              <w:t>. Drtivá většina letošního navýšení sociálních dávek souvisela tradičně s výdaji na důchody, které po rek</w:t>
            </w:r>
            <w:r>
              <w:rPr>
                <w:color w:val="0D0D0D" w:themeColor="text1" w:themeTint="F2"/>
                <w:spacing w:val="-4"/>
              </w:rPr>
              <w:t>ordním loňském růstu</w:t>
            </w:r>
            <w:r w:rsidRPr="008828D3">
              <w:rPr>
                <w:color w:val="0D0D0D" w:themeColor="text1" w:themeTint="F2"/>
                <w:spacing w:val="-4"/>
              </w:rPr>
              <w:t xml:space="preserve"> vzrostly o 3,9 %. </w:t>
            </w:r>
            <w:r w:rsidRPr="008828D3">
              <w:rPr>
                <w:spacing w:val="-4"/>
              </w:rPr>
              <w:t>Vlivem ústupu inflace i změny valorizačního mechanismu</w:t>
            </w:r>
            <w:r w:rsidRPr="008828D3">
              <w:rPr>
                <w:spacing w:val="-4"/>
                <w:vertAlign w:val="superscript"/>
              </w:rPr>
              <w:footnoteReference w:id="18"/>
            </w:r>
            <w:r w:rsidRPr="008828D3">
              <w:rPr>
                <w:spacing w:val="-4"/>
              </w:rPr>
              <w:t xml:space="preserve"> šlo ale o nejnižší posílení po roce 2016. Současně se ovšem počet příjemců důchodů (po poklesu v předchozích třech letech) opět zvýšil – na s</w:t>
            </w:r>
            <w:r>
              <w:rPr>
                <w:spacing w:val="-4"/>
              </w:rPr>
              <w:t>klonku září 2024 meziročně o 0,4</w:t>
            </w:r>
            <w:r w:rsidRPr="008828D3">
              <w:rPr>
                <w:spacing w:val="-4"/>
              </w:rPr>
              <w:t xml:space="preserve"> % (</w:t>
            </w:r>
            <w:r>
              <w:rPr>
                <w:spacing w:val="-4"/>
              </w:rPr>
              <w:t>spolu s letošním červnem šlo o nejvyšší tempo</w:t>
            </w:r>
            <w:r w:rsidRPr="008828D3">
              <w:rPr>
                <w:spacing w:val="-4"/>
              </w:rPr>
              <w:t xml:space="preserve"> od konce roku 2016). Přibylo držitelů invalidních důchodů, nadále rostl (byť pomaleji než loni) i zájem o předčasné penze</w:t>
            </w:r>
            <w:r w:rsidRPr="008828D3">
              <w:rPr>
                <w:rStyle w:val="Znakapoznpodarou"/>
                <w:color w:val="0D0D0D" w:themeColor="text1" w:themeTint="F2"/>
                <w:spacing w:val="-4"/>
              </w:rPr>
              <w:footnoteReference w:id="19"/>
            </w:r>
            <w:r w:rsidRPr="008828D3">
              <w:rPr>
                <w:spacing w:val="-4"/>
              </w:rPr>
              <w:t xml:space="preserve">. </w:t>
            </w:r>
            <w:r w:rsidRPr="008828D3">
              <w:rPr>
                <w:color w:val="0D0D0D" w:themeColor="text1" w:themeTint="F2"/>
                <w:spacing w:val="-4"/>
              </w:rPr>
              <w:t xml:space="preserve">Výdaje na důchody rostly poprvé po třech letech pomaleji než příjmy na důchodové </w:t>
            </w:r>
            <w:r w:rsidRPr="008828D3">
              <w:rPr>
                <w:color w:val="0D0D0D" w:themeColor="text1" w:themeTint="F2"/>
                <w:spacing w:val="-4"/>
              </w:rPr>
              <w:lastRenderedPageBreak/>
              <w:t>pojištění. Deficit</w:t>
            </w:r>
            <w:r w:rsidRPr="008828D3">
              <w:rPr>
                <w:rFonts w:cs="Arial"/>
                <w:color w:val="0D0D0D" w:themeColor="text1" w:themeTint="F2"/>
                <w:spacing w:val="-4"/>
              </w:rPr>
              <w:t xml:space="preserve"> systému důchodového pojištění</w:t>
            </w:r>
            <w:r w:rsidRPr="008828D3">
              <w:rPr>
                <w:rStyle w:val="Znakapoznpodarou"/>
                <w:color w:val="0D0D0D" w:themeColor="text1" w:themeTint="F2"/>
                <w:spacing w:val="-4"/>
              </w:rPr>
              <w:footnoteReference w:id="20"/>
            </w:r>
            <w:r w:rsidRPr="008828D3">
              <w:rPr>
                <w:rFonts w:cs="Arial"/>
                <w:color w:val="0D0D0D" w:themeColor="text1" w:themeTint="F2"/>
                <w:spacing w:val="-4"/>
              </w:rPr>
              <w:t xml:space="preserve"> se tak za tři kvartály snížil z loňských rekordních 58,1 mld. korun na 43,4 mld. korun. </w:t>
            </w:r>
          </w:p>
        </w:tc>
      </w:tr>
      <w:tr w:rsidR="000A5265" w:rsidRPr="007B3A78" w14:paraId="65056776" w14:textId="77777777" w:rsidTr="006D1E06">
        <w:trPr>
          <w:trHeight w:val="170"/>
        </w:trPr>
        <w:tc>
          <w:tcPr>
            <w:tcW w:w="1810" w:type="dxa"/>
            <w:shd w:val="clear" w:color="auto" w:fill="auto"/>
            <w:tcMar>
              <w:left w:w="0" w:type="dxa"/>
            </w:tcMar>
          </w:tcPr>
          <w:p w14:paraId="43CCA147" w14:textId="77777777" w:rsidR="000A5265" w:rsidRDefault="000A5265" w:rsidP="00102C41">
            <w:pPr>
              <w:pStyle w:val="Marginlie"/>
              <w:rPr>
                <w:color w:val="0D0D0D" w:themeColor="text1" w:themeTint="F2"/>
              </w:rPr>
            </w:pPr>
            <w:r>
              <w:rPr>
                <w:color w:val="0D0D0D" w:themeColor="text1" w:themeTint="F2"/>
              </w:rPr>
              <w:lastRenderedPageBreak/>
              <w:t>Růst výdajů na nedůchodové sociální dávky zrychlil, především vlivem vyšších příspěvků na péči a na bydlení a též podpory nezaměstnaným.</w:t>
            </w:r>
          </w:p>
          <w:p w14:paraId="1C53EEF2" w14:textId="77777777" w:rsidR="000A5265" w:rsidRDefault="000A5265" w:rsidP="00102C41">
            <w:pPr>
              <w:pStyle w:val="Marginlie"/>
              <w:rPr>
                <w:color w:val="0D0D0D" w:themeColor="text1" w:themeTint="F2"/>
              </w:rPr>
            </w:pPr>
          </w:p>
          <w:p w14:paraId="5B027EB2" w14:textId="77777777" w:rsidR="000A5265" w:rsidRDefault="000A5265" w:rsidP="00102C41">
            <w:pPr>
              <w:pStyle w:val="Marginlie"/>
              <w:rPr>
                <w:color w:val="0D0D0D" w:themeColor="text1" w:themeTint="F2"/>
              </w:rPr>
            </w:pPr>
          </w:p>
          <w:p w14:paraId="09C36921" w14:textId="77777777" w:rsidR="000A5265" w:rsidRDefault="000A5265" w:rsidP="00102C41">
            <w:pPr>
              <w:pStyle w:val="Marginlie"/>
              <w:rPr>
                <w:color w:val="0D0D0D" w:themeColor="text1" w:themeTint="F2"/>
              </w:rPr>
            </w:pPr>
          </w:p>
          <w:p w14:paraId="28A4D122" w14:textId="77777777" w:rsidR="000A5265" w:rsidRDefault="000A5265" w:rsidP="00102C41">
            <w:pPr>
              <w:pStyle w:val="Marginlie"/>
              <w:rPr>
                <w:color w:val="0D0D0D" w:themeColor="text1" w:themeTint="F2"/>
              </w:rPr>
            </w:pPr>
          </w:p>
          <w:p w14:paraId="55F7DD64" w14:textId="77777777" w:rsidR="000A5265" w:rsidRDefault="000A5265" w:rsidP="00102C41">
            <w:pPr>
              <w:pStyle w:val="Marginlie"/>
              <w:rPr>
                <w:color w:val="0D0D0D" w:themeColor="text1" w:themeTint="F2"/>
              </w:rPr>
            </w:pPr>
            <w:r>
              <w:rPr>
                <w:color w:val="0D0D0D" w:themeColor="text1" w:themeTint="F2"/>
              </w:rPr>
              <w:t>Pokles čerpání peněžité pomoci v mateřství i rodičovského příspěvku pokračoval.</w:t>
            </w:r>
          </w:p>
          <w:p w14:paraId="20F52F94" w14:textId="77777777" w:rsidR="000A5265" w:rsidRDefault="000A5265" w:rsidP="00102C41">
            <w:pPr>
              <w:pStyle w:val="Marginlie"/>
              <w:rPr>
                <w:color w:val="0D0D0D" w:themeColor="text1" w:themeTint="F2"/>
              </w:rPr>
            </w:pPr>
          </w:p>
          <w:p w14:paraId="792F09F8" w14:textId="77777777" w:rsidR="000A5265" w:rsidRDefault="000A5265" w:rsidP="00102C41">
            <w:pPr>
              <w:pStyle w:val="Marginlie"/>
              <w:rPr>
                <w:color w:val="0D0D0D" w:themeColor="text1" w:themeTint="F2"/>
              </w:rPr>
            </w:pPr>
          </w:p>
          <w:p w14:paraId="1C9E5AB1" w14:textId="77777777" w:rsidR="000A5265" w:rsidRDefault="000A5265" w:rsidP="00102C41">
            <w:pPr>
              <w:pStyle w:val="Marginlie"/>
              <w:rPr>
                <w:color w:val="0D0D0D" w:themeColor="text1" w:themeTint="F2"/>
              </w:rPr>
            </w:pPr>
          </w:p>
          <w:p w14:paraId="020A0BDA" w14:textId="77777777" w:rsidR="000A5265" w:rsidRDefault="000A5265" w:rsidP="00102C41">
            <w:pPr>
              <w:pStyle w:val="Marginlie"/>
              <w:rPr>
                <w:color w:val="0D0D0D" w:themeColor="text1" w:themeTint="F2"/>
              </w:rPr>
            </w:pPr>
            <w:r>
              <w:rPr>
                <w:color w:val="0D0D0D" w:themeColor="text1" w:themeTint="F2"/>
              </w:rPr>
              <w:t>Vlivem zákonného posílení příjmů skončila bilance nemocenského pojištění v mírném přebytku.</w:t>
            </w:r>
          </w:p>
          <w:p w14:paraId="56754B9D" w14:textId="77777777" w:rsidR="000A5265" w:rsidRPr="00C57B1B" w:rsidRDefault="000A5265" w:rsidP="00102C41">
            <w:pPr>
              <w:pStyle w:val="Marginlie"/>
              <w:rPr>
                <w:color w:val="0D0D0D" w:themeColor="text1" w:themeTint="F2"/>
              </w:rPr>
            </w:pPr>
          </w:p>
        </w:tc>
        <w:tc>
          <w:tcPr>
            <w:tcW w:w="203" w:type="dxa"/>
            <w:shd w:val="clear" w:color="auto" w:fill="auto"/>
            <w:tcMar>
              <w:left w:w="0" w:type="dxa"/>
            </w:tcMar>
          </w:tcPr>
          <w:p w14:paraId="6CE2A053" w14:textId="77777777" w:rsidR="000A5265" w:rsidRPr="00C57B1B" w:rsidRDefault="000A5265" w:rsidP="00102C41">
            <w:pPr>
              <w:pStyle w:val="Textpoznpodarou"/>
              <w:jc w:val="both"/>
              <w:rPr>
                <w:color w:val="0D0D0D" w:themeColor="text1" w:themeTint="F2"/>
                <w:spacing w:val="-4"/>
              </w:rPr>
            </w:pPr>
          </w:p>
        </w:tc>
        <w:tc>
          <w:tcPr>
            <w:tcW w:w="7656" w:type="dxa"/>
            <w:shd w:val="clear" w:color="auto" w:fill="auto"/>
            <w:tcMar>
              <w:left w:w="0" w:type="dxa"/>
            </w:tcMar>
          </w:tcPr>
          <w:p w14:paraId="4D2D7C46" w14:textId="77777777" w:rsidR="000A5265" w:rsidRPr="00774D08" w:rsidRDefault="000A5265" w:rsidP="00102C41">
            <w:pPr>
              <w:rPr>
                <w:color w:val="0D0D0D" w:themeColor="text1" w:themeTint="F2"/>
                <w:spacing w:val="-6"/>
              </w:rPr>
            </w:pPr>
            <w:r w:rsidRPr="007C76F7">
              <w:rPr>
                <w:color w:val="0D0D0D" w:themeColor="text1" w:themeTint="F2"/>
                <w:spacing w:val="-6"/>
              </w:rPr>
              <w:t>M</w:t>
            </w:r>
            <w:r>
              <w:rPr>
                <w:color w:val="0D0D0D" w:themeColor="text1" w:themeTint="F2"/>
                <w:spacing w:val="-6"/>
              </w:rPr>
              <w:t xml:space="preserve">eziroční růst výdajů na ostatní </w:t>
            </w:r>
            <w:r w:rsidRPr="007C76F7">
              <w:rPr>
                <w:color w:val="0D0D0D" w:themeColor="text1" w:themeTint="F2"/>
                <w:spacing w:val="-6"/>
              </w:rPr>
              <w:t>sociální dávky</w:t>
            </w:r>
            <w:r>
              <w:rPr>
                <w:color w:val="0D0D0D" w:themeColor="text1" w:themeTint="F2"/>
                <w:spacing w:val="-6"/>
              </w:rPr>
              <w:t xml:space="preserve"> oproti loňskému roku letos zrychlil na 5,2 % (+7,1 mld. korun) a podobně jako u důchodů zatím mírně překračoval rozpočtové očekávání. K jejich růstu přispěly nejvíce objemově významné příspěvky na péči pro dlouhodobě nemocné (+2,0 mld. korun)</w:t>
            </w:r>
            <w:r>
              <w:rPr>
                <w:rStyle w:val="Znakapoznpodarou"/>
                <w:color w:val="0D0D0D" w:themeColor="text1" w:themeTint="F2"/>
                <w:spacing w:val="-6"/>
              </w:rPr>
              <w:footnoteReference w:id="21"/>
            </w:r>
            <w:r>
              <w:rPr>
                <w:color w:val="0D0D0D" w:themeColor="text1" w:themeTint="F2"/>
                <w:spacing w:val="-6"/>
              </w:rPr>
              <w:t xml:space="preserve">. Opačně působily výplaty </w:t>
            </w:r>
            <w:r w:rsidRPr="0001347E">
              <w:rPr>
                <w:color w:val="0D0D0D" w:themeColor="text1" w:themeTint="F2"/>
                <w:spacing w:val="-6"/>
              </w:rPr>
              <w:t>rodičovského příspěvku (</w:t>
            </w:r>
            <w:r>
              <w:rPr>
                <w:spacing w:val="-6"/>
              </w:rPr>
              <w:t>−</w:t>
            </w:r>
            <w:r w:rsidRPr="0001347E">
              <w:rPr>
                <w:color w:val="0D0D0D" w:themeColor="text1" w:themeTint="F2"/>
                <w:spacing w:val="-6"/>
              </w:rPr>
              <w:t>1,5 mld. korun), jež se hlavně vlivem nepříznivého demografického</w:t>
            </w:r>
            <w:r>
              <w:rPr>
                <w:color w:val="0D0D0D" w:themeColor="text1" w:themeTint="F2"/>
                <w:spacing w:val="-4"/>
              </w:rPr>
              <w:t xml:space="preserve"> vývoje snižovaly čtvrtým rokem v řadě</w:t>
            </w:r>
            <w:r>
              <w:rPr>
                <w:rStyle w:val="Znakapoznpodarou"/>
                <w:color w:val="0D0D0D" w:themeColor="text1" w:themeTint="F2"/>
                <w:spacing w:val="-4"/>
              </w:rPr>
              <w:footnoteReference w:id="22"/>
            </w:r>
            <w:r>
              <w:rPr>
                <w:color w:val="0D0D0D" w:themeColor="text1" w:themeTint="F2"/>
                <w:spacing w:val="-4"/>
              </w:rPr>
              <w:t xml:space="preserve">. </w:t>
            </w:r>
            <w:r>
              <w:rPr>
                <w:color w:val="0D0D0D" w:themeColor="text1" w:themeTint="F2"/>
                <w:spacing w:val="-6"/>
              </w:rPr>
              <w:t xml:space="preserve">Druhým rokem v řadě se zvyšoval objem příspěvků na bydlení. Letos na ně ze SR směřovalo meziročně o šestinu více a počet jejich příjemců narostl skoro o desetinu (na </w:t>
            </w:r>
            <w:r>
              <w:rPr>
                <w:color w:val="0D0D0D" w:themeColor="text1" w:themeTint="F2"/>
                <w:spacing w:val="-6"/>
              </w:rPr>
              <w:br/>
              <w:t xml:space="preserve">290 tis.). </w:t>
            </w:r>
            <w:r>
              <w:rPr>
                <w:rFonts w:cs="Arial"/>
                <w:color w:val="0D0D0D" w:themeColor="text1" w:themeTint="F2"/>
                <w:spacing w:val="-5"/>
              </w:rPr>
              <w:t xml:space="preserve">Stále se zde </w:t>
            </w:r>
            <w:r>
              <w:rPr>
                <w:rFonts w:cs="Arial"/>
                <w:color w:val="0D0D0D" w:themeColor="text1" w:themeTint="F2"/>
                <w:spacing w:val="-4"/>
              </w:rPr>
              <w:t xml:space="preserve">projevoval dopad </w:t>
            </w:r>
            <w:r>
              <w:rPr>
                <w:color w:val="0D0D0D" w:themeColor="text1" w:themeTint="F2"/>
                <w:spacing w:val="-4"/>
              </w:rPr>
              <w:t>zvýšených cen energií</w:t>
            </w:r>
            <w:r>
              <w:rPr>
                <w:spacing w:val="-4"/>
              </w:rPr>
              <w:t>, ale i růstu povědomí o</w:t>
            </w:r>
            <w:r>
              <w:rPr>
                <w:color w:val="0D0D0D" w:themeColor="text1" w:themeTint="F2"/>
                <w:spacing w:val="-4"/>
              </w:rPr>
              <w:t> </w:t>
            </w:r>
            <w:r>
              <w:rPr>
                <w:spacing w:val="-4"/>
              </w:rPr>
              <w:t>možnosti čerpání této pomoci v populaci a zjednodušení procedury podání žádosti o</w:t>
            </w:r>
            <w:r>
              <w:rPr>
                <w:color w:val="0D0D0D" w:themeColor="text1" w:themeTint="F2"/>
                <w:spacing w:val="-4"/>
              </w:rPr>
              <w:t> </w:t>
            </w:r>
            <w:r>
              <w:rPr>
                <w:spacing w:val="-4"/>
              </w:rPr>
              <w:t>dávku.</w:t>
            </w:r>
            <w:r>
              <w:rPr>
                <w:color w:val="0D0D0D" w:themeColor="text1" w:themeTint="F2"/>
                <w:spacing w:val="-6"/>
              </w:rPr>
              <w:t xml:space="preserve"> Další příjmově testované dávky však posílily jen mírně (příspěvek na živobytí +3,1 %), nebo stagnovaly (přídavky na děti). Naopak skoro o čtvrtinu vzrostla podpora nezaměstnaným, na niž SR letos do konce září vydal bezmála 10 mld. korun (88 % celoroční rozpočtované částky). Stál za tím zejména meziročně vyšší počet osob s nárokem na podporu, dílčí vliv měl i nárůst průměrné výše podpory</w:t>
            </w:r>
            <w:r>
              <w:rPr>
                <w:rStyle w:val="Znakapoznpodarou"/>
                <w:color w:val="0D0D0D" w:themeColor="text1" w:themeTint="F2"/>
                <w:spacing w:val="-6"/>
              </w:rPr>
              <w:footnoteReference w:id="23"/>
            </w:r>
            <w:r>
              <w:rPr>
                <w:color w:val="0D0D0D" w:themeColor="text1" w:themeTint="F2"/>
                <w:spacing w:val="-6"/>
              </w:rPr>
              <w:t>. Více letos SR vydal rovněž na dávky nemocenského pojištění (+3,7</w:t>
            </w:r>
            <w:r w:rsidRPr="008828D3">
              <w:rPr>
                <w:color w:val="0D0D0D" w:themeColor="text1" w:themeTint="F2"/>
                <w:spacing w:val="-4"/>
              </w:rPr>
              <w:t> </w:t>
            </w:r>
            <w:r>
              <w:rPr>
                <w:color w:val="0D0D0D" w:themeColor="text1" w:themeTint="F2"/>
                <w:spacing w:val="-6"/>
              </w:rPr>
              <w:t xml:space="preserve">%), jejichž pokles trvající předchozí tři roky se zastavil (proti </w:t>
            </w:r>
            <w:r>
              <w:rPr>
                <w:color w:val="0D0D0D" w:themeColor="text1" w:themeTint="F2"/>
                <w:spacing w:val="-6"/>
              </w:rPr>
              <w:br/>
              <w:t xml:space="preserve">1. až 3. čtvrtletí roku 2019 bylo letos ale vyplaceno skoro o čtvrtinu více). Meziroční růst čerpání byl letos tažen takřka výhradně nemocenskou dávkou, naopak objem vyplaceného ošetřovného i peněžité pomoci v mateřství nadále klesal. </w:t>
            </w:r>
            <w:r>
              <w:rPr>
                <w:rFonts w:cs="Arial"/>
                <w:color w:val="0D0D0D" w:themeColor="text1" w:themeTint="F2"/>
                <w:spacing w:val="-5"/>
              </w:rPr>
              <w:t>Bilance nemocenského pojištění</w:t>
            </w:r>
            <w:r>
              <w:rPr>
                <w:rStyle w:val="Znakapoznpodarou"/>
                <w:color w:val="0D0D0D" w:themeColor="text1" w:themeTint="F2"/>
                <w:spacing w:val="-5"/>
              </w:rPr>
              <w:footnoteReference w:id="24"/>
            </w:r>
            <w:r>
              <w:rPr>
                <w:rFonts w:cs="Arial"/>
                <w:color w:val="0D0D0D" w:themeColor="text1" w:themeTint="F2"/>
                <w:spacing w:val="-5"/>
              </w:rPr>
              <w:t xml:space="preserve"> dosáhla díky významnému posílení jeho příjmové stránky letos přebytku (+5,6</w:t>
            </w:r>
            <w:r>
              <w:rPr>
                <w:color w:val="0D0D0D" w:themeColor="text1" w:themeTint="F2"/>
                <w:spacing w:val="-4"/>
              </w:rPr>
              <w:t> </w:t>
            </w:r>
            <w:r>
              <w:rPr>
                <w:rFonts w:cs="Arial"/>
                <w:color w:val="0D0D0D" w:themeColor="text1" w:themeTint="F2"/>
                <w:spacing w:val="-5"/>
              </w:rPr>
              <w:t>mld. korun), prvního po roce 2018.</w:t>
            </w:r>
          </w:p>
        </w:tc>
      </w:tr>
      <w:tr w:rsidR="000A5265" w:rsidRPr="007B3A78" w14:paraId="67F170C2" w14:textId="77777777" w:rsidTr="006D1E06">
        <w:trPr>
          <w:trHeight w:val="170"/>
        </w:trPr>
        <w:tc>
          <w:tcPr>
            <w:tcW w:w="1810" w:type="dxa"/>
            <w:shd w:val="clear" w:color="auto" w:fill="auto"/>
            <w:tcMar>
              <w:left w:w="0" w:type="dxa"/>
            </w:tcMar>
          </w:tcPr>
          <w:p w14:paraId="1B5F1880" w14:textId="77777777" w:rsidR="000A5265" w:rsidRDefault="000A5265" w:rsidP="00102C41">
            <w:pPr>
              <w:pStyle w:val="Marginlie"/>
            </w:pPr>
            <w:r>
              <w:t>Růst výdajů na obsluhu státního dluhu zrychlil.</w:t>
            </w:r>
          </w:p>
          <w:p w14:paraId="2A3B98EE" w14:textId="77777777" w:rsidR="000A5265" w:rsidRDefault="000A5265" w:rsidP="00102C41">
            <w:pPr>
              <w:pStyle w:val="Marginlie"/>
            </w:pPr>
          </w:p>
          <w:p w14:paraId="4B669F4D" w14:textId="77777777" w:rsidR="000A5265" w:rsidRDefault="000A5265" w:rsidP="00102C41">
            <w:pPr>
              <w:pStyle w:val="Marginlie"/>
            </w:pPr>
          </w:p>
          <w:p w14:paraId="3AFA39B2" w14:textId="77777777" w:rsidR="000A5265" w:rsidRDefault="000A5265" w:rsidP="00102C41">
            <w:pPr>
              <w:pStyle w:val="Marginlie"/>
              <w:rPr>
                <w:spacing w:val="-5"/>
              </w:rPr>
            </w:pPr>
            <w:r>
              <w:t xml:space="preserve">Vyšší výdaje na běžné nákupy souvisely s posilováním obrany a bezpečnosti. Došlo také k valorizaci výdajů na platby za státní pojištěnce a k posílení běžných dotací státním fondům. </w:t>
            </w:r>
          </w:p>
        </w:tc>
        <w:tc>
          <w:tcPr>
            <w:tcW w:w="203" w:type="dxa"/>
            <w:shd w:val="clear" w:color="auto" w:fill="auto"/>
            <w:tcMar>
              <w:left w:w="0" w:type="dxa"/>
            </w:tcMar>
          </w:tcPr>
          <w:p w14:paraId="2C842AA5" w14:textId="77777777" w:rsidR="000A5265" w:rsidRDefault="000A5265" w:rsidP="00102C41">
            <w:pPr>
              <w:pStyle w:val="Textpoznpodarou"/>
              <w:jc w:val="both"/>
              <w:rPr>
                <w:spacing w:val="-4"/>
              </w:rPr>
            </w:pPr>
          </w:p>
        </w:tc>
        <w:tc>
          <w:tcPr>
            <w:tcW w:w="7656" w:type="dxa"/>
            <w:shd w:val="clear" w:color="auto" w:fill="auto"/>
            <w:tcMar>
              <w:left w:w="0" w:type="dxa"/>
            </w:tcMar>
          </w:tcPr>
          <w:p w14:paraId="6564D2A2" w14:textId="77777777" w:rsidR="000A5265" w:rsidRPr="001346CF" w:rsidRDefault="000A5265" w:rsidP="00102C41">
            <w:pPr>
              <w:rPr>
                <w:color w:val="0D0D0D" w:themeColor="text1" w:themeTint="F2"/>
                <w:spacing w:val="-6"/>
              </w:rPr>
            </w:pPr>
            <w:r w:rsidRPr="001346CF">
              <w:rPr>
                <w:color w:val="0D0D0D" w:themeColor="text1" w:themeTint="F2"/>
                <w:spacing w:val="-6"/>
              </w:rPr>
              <w:t xml:space="preserve">K růstu běžných výdajů </w:t>
            </w:r>
            <w:r>
              <w:rPr>
                <w:color w:val="0D0D0D" w:themeColor="text1" w:themeTint="F2"/>
                <w:spacing w:val="-6"/>
              </w:rPr>
              <w:t xml:space="preserve">SR letos významně přispěly také dotace státním fondům, jež byly meziročně vyšší o 20 mld. korun (+56 %). Projevila se zejména vyšší alokace </w:t>
            </w:r>
            <w:r w:rsidRPr="001346CF">
              <w:rPr>
                <w:color w:val="0D0D0D" w:themeColor="text1" w:themeTint="F2"/>
                <w:spacing w:val="-6"/>
              </w:rPr>
              <w:t>do oblasti dopravní infrastruktury,</w:t>
            </w:r>
            <w:r>
              <w:rPr>
                <w:color w:val="0D0D0D" w:themeColor="text1" w:themeTint="F2"/>
                <w:spacing w:val="-6"/>
              </w:rPr>
              <w:t xml:space="preserve"> v menší míře i do zemědělství a životního prostředí. Podobný vliv měly i stále svižněji rostoucí výdaje na obsluhu státního dluhu, jež za tři letošní kvartály přesáhly 60</w:t>
            </w:r>
            <w:r w:rsidRPr="00EF55C3">
              <w:rPr>
                <w:color w:val="0D0D0D" w:themeColor="text1" w:themeTint="F2"/>
                <w:spacing w:val="-6"/>
              </w:rPr>
              <w:t> </w:t>
            </w:r>
            <w:r>
              <w:rPr>
                <w:color w:val="0D0D0D" w:themeColor="text1" w:themeTint="F2"/>
                <w:spacing w:val="-6"/>
              </w:rPr>
              <w:t xml:space="preserve">mld. korun (a za poslední dva roky se zdvojnásobily). Bezmála o třetinu, resp. 7 mld. korun, meziročně vzrostly i ostatní </w:t>
            </w:r>
            <w:r w:rsidRPr="00EF55C3">
              <w:rPr>
                <w:color w:val="0D0D0D" w:themeColor="text1" w:themeTint="F2"/>
                <w:spacing w:val="-6"/>
              </w:rPr>
              <w:t>neinvestiční nákupy a související výdaje</w:t>
            </w:r>
            <w:r>
              <w:rPr>
                <w:rStyle w:val="Znakapoznpodarou"/>
                <w:color w:val="0D0D0D" w:themeColor="text1" w:themeTint="F2"/>
                <w:spacing w:val="-6"/>
              </w:rPr>
              <w:footnoteReference w:id="25"/>
            </w:r>
            <w:r>
              <w:rPr>
                <w:color w:val="0D0D0D" w:themeColor="text1" w:themeTint="F2"/>
                <w:spacing w:val="-6"/>
              </w:rPr>
              <w:t>, a to především v</w:t>
            </w:r>
            <w:r w:rsidRPr="00EF55C3">
              <w:rPr>
                <w:color w:val="0D0D0D" w:themeColor="text1" w:themeTint="F2"/>
                <w:spacing w:val="-6"/>
              </w:rPr>
              <w:t> </w:t>
            </w:r>
            <w:r>
              <w:rPr>
                <w:color w:val="0D0D0D" w:themeColor="text1" w:themeTint="F2"/>
                <w:spacing w:val="-6"/>
              </w:rPr>
              <w:t>oblasti</w:t>
            </w:r>
            <w:r w:rsidRPr="00EF55C3">
              <w:rPr>
                <w:color w:val="0D0D0D" w:themeColor="text1" w:themeTint="F2"/>
                <w:spacing w:val="-6"/>
              </w:rPr>
              <w:t xml:space="preserve"> </w:t>
            </w:r>
            <w:r>
              <w:rPr>
                <w:spacing w:val="-6"/>
              </w:rPr>
              <w:t>obrany</w:t>
            </w:r>
            <w:r w:rsidRPr="00EF55C3">
              <w:rPr>
                <w:spacing w:val="-6"/>
              </w:rPr>
              <w:t xml:space="preserve"> a</w:t>
            </w:r>
            <w:r w:rsidRPr="00EF55C3">
              <w:rPr>
                <w:color w:val="0D0D0D" w:themeColor="text1" w:themeTint="F2"/>
                <w:spacing w:val="-6"/>
              </w:rPr>
              <w:t> </w:t>
            </w:r>
            <w:r>
              <w:rPr>
                <w:spacing w:val="-6"/>
              </w:rPr>
              <w:t xml:space="preserve">bezpečnosti, dílčí roli měly i vyšší výdaje za nákupy energií (elektřina, plyn). V souladu s rozpočtovým očekáváním vzrostly </w:t>
            </w:r>
            <w:r w:rsidRPr="00EF55C3">
              <w:rPr>
                <w:color w:val="0D0D0D" w:themeColor="text1" w:themeTint="F2"/>
                <w:spacing w:val="-6"/>
              </w:rPr>
              <w:t>vlivem automatické valorizace</w:t>
            </w:r>
            <w:r w:rsidRPr="00EF55C3">
              <w:rPr>
                <w:rStyle w:val="Znakapoznpodarou"/>
                <w:color w:val="0D0D0D" w:themeColor="text1" w:themeTint="F2"/>
                <w:spacing w:val="-6"/>
              </w:rPr>
              <w:footnoteReference w:id="26"/>
            </w:r>
            <w:r w:rsidRPr="00EF55C3">
              <w:rPr>
                <w:color w:val="0D0D0D" w:themeColor="text1" w:themeTint="F2"/>
                <w:spacing w:val="-6"/>
              </w:rPr>
              <w:t xml:space="preserve"> </w:t>
            </w:r>
            <w:r>
              <w:rPr>
                <w:spacing w:val="-6"/>
              </w:rPr>
              <w:t>bezmála o</w:t>
            </w:r>
            <w:r w:rsidRPr="00EF55C3">
              <w:rPr>
                <w:color w:val="0D0D0D" w:themeColor="text1" w:themeTint="F2"/>
                <w:spacing w:val="-6"/>
              </w:rPr>
              <w:t> </w:t>
            </w:r>
            <w:r>
              <w:rPr>
                <w:spacing w:val="-6"/>
              </w:rPr>
              <w:t xml:space="preserve">desetinu </w:t>
            </w:r>
            <w:r w:rsidRPr="00EF55C3">
              <w:rPr>
                <w:color w:val="0D0D0D" w:themeColor="text1" w:themeTint="F2"/>
                <w:spacing w:val="-6"/>
              </w:rPr>
              <w:t>výdaje na platby veřejného zdravotního pojiš</w:t>
            </w:r>
            <w:r>
              <w:rPr>
                <w:color w:val="0D0D0D" w:themeColor="text1" w:themeTint="F2"/>
                <w:spacing w:val="-6"/>
              </w:rPr>
              <w:t>tění za tzv. státní pojištěnce. Jen velmi mírný růst výdajů nastal u</w:t>
            </w:r>
            <w:r w:rsidRPr="00EF55C3">
              <w:rPr>
                <w:color w:val="0D0D0D" w:themeColor="text1" w:themeTint="F2"/>
                <w:spacing w:val="-6"/>
              </w:rPr>
              <w:t> </w:t>
            </w:r>
            <w:r>
              <w:rPr>
                <w:color w:val="0D0D0D" w:themeColor="text1" w:themeTint="F2"/>
                <w:spacing w:val="-6"/>
              </w:rPr>
              <w:t>příspěvkových organizací (zejména veřejné vysoké školy a</w:t>
            </w:r>
            <w:r w:rsidRPr="00EF55C3">
              <w:rPr>
                <w:color w:val="0D0D0D" w:themeColor="text1" w:themeTint="F2"/>
                <w:spacing w:val="-6"/>
              </w:rPr>
              <w:t> </w:t>
            </w:r>
            <w:r>
              <w:rPr>
                <w:color w:val="0D0D0D" w:themeColor="text1" w:themeTint="F2"/>
                <w:spacing w:val="-6"/>
              </w:rPr>
              <w:t>výzkumné instituce) a</w:t>
            </w:r>
            <w:r w:rsidRPr="00EF55C3">
              <w:rPr>
                <w:color w:val="0D0D0D" w:themeColor="text1" w:themeTint="F2"/>
                <w:spacing w:val="-6"/>
              </w:rPr>
              <w:t> </w:t>
            </w:r>
            <w:r>
              <w:rPr>
                <w:color w:val="0D0D0D" w:themeColor="text1" w:themeTint="F2"/>
                <w:spacing w:val="-6"/>
              </w:rPr>
              <w:t>neziskových institucí (zejména sport, další volnočasové aktivity a</w:t>
            </w:r>
            <w:r w:rsidRPr="00EF55C3">
              <w:rPr>
                <w:color w:val="0D0D0D" w:themeColor="text1" w:themeTint="F2"/>
                <w:spacing w:val="-6"/>
              </w:rPr>
              <w:t> </w:t>
            </w:r>
            <w:r>
              <w:rPr>
                <w:color w:val="0D0D0D" w:themeColor="text1" w:themeTint="F2"/>
                <w:spacing w:val="-6"/>
              </w:rPr>
              <w:t xml:space="preserve">sociální služby). </w:t>
            </w:r>
            <w:r w:rsidRPr="00EF55C3">
              <w:rPr>
                <w:color w:val="0D0D0D" w:themeColor="text1" w:themeTint="F2"/>
                <w:spacing w:val="-6"/>
              </w:rPr>
              <w:t>Obdobné platí i o výdajích na platy v organizačních složkách státu, kd</w:t>
            </w:r>
            <w:r>
              <w:rPr>
                <w:color w:val="0D0D0D" w:themeColor="text1" w:themeTint="F2"/>
                <w:spacing w:val="-6"/>
              </w:rPr>
              <w:t>e se promítá plošné snížení o 2</w:t>
            </w:r>
            <w:r w:rsidRPr="00EF55C3">
              <w:rPr>
                <w:color w:val="0D0D0D" w:themeColor="text1" w:themeTint="F2"/>
                <w:spacing w:val="-6"/>
              </w:rPr>
              <w:t> % související s realizací konsolidačního balíčku.</w:t>
            </w:r>
            <w:r>
              <w:rPr>
                <w:color w:val="0D0D0D" w:themeColor="text1" w:themeTint="F2"/>
                <w:spacing w:val="-6"/>
              </w:rPr>
              <w:t xml:space="preserve"> </w:t>
            </w:r>
          </w:p>
        </w:tc>
      </w:tr>
      <w:tr w:rsidR="000A5265" w:rsidRPr="007B3A78" w14:paraId="258B87D1" w14:textId="77777777" w:rsidTr="006D1E06">
        <w:trPr>
          <w:trHeight w:val="170"/>
        </w:trPr>
        <w:tc>
          <w:tcPr>
            <w:tcW w:w="1810" w:type="dxa"/>
            <w:shd w:val="clear" w:color="auto" w:fill="auto"/>
            <w:tcMar>
              <w:left w:w="0" w:type="dxa"/>
            </w:tcMar>
          </w:tcPr>
          <w:p w14:paraId="347FAF80" w14:textId="77777777" w:rsidR="000A5265" w:rsidRDefault="000A5265" w:rsidP="00102C41">
            <w:pPr>
              <w:pStyle w:val="Marginlie"/>
            </w:pPr>
            <w:r>
              <w:t>Běžné transfery podnikatelům klesly na nejnižší úroveň za poslední pětiletí.</w:t>
            </w:r>
          </w:p>
          <w:p w14:paraId="217C7FFE" w14:textId="77777777" w:rsidR="000A5265" w:rsidRDefault="000A5265" w:rsidP="00102C41">
            <w:pPr>
              <w:pStyle w:val="Marginlie"/>
            </w:pPr>
          </w:p>
          <w:p w14:paraId="4046F97B" w14:textId="77777777" w:rsidR="000A5265" w:rsidRDefault="000A5265" w:rsidP="00102C41">
            <w:pPr>
              <w:pStyle w:val="Marginlie"/>
            </w:pPr>
          </w:p>
          <w:p w14:paraId="7DDDC516" w14:textId="77777777" w:rsidR="000A5265" w:rsidRDefault="000A5265" w:rsidP="00102C41">
            <w:pPr>
              <w:pStyle w:val="Marginlie"/>
            </w:pPr>
          </w:p>
          <w:p w14:paraId="3FDEE24A" w14:textId="77777777" w:rsidR="000A5265" w:rsidRDefault="000A5265" w:rsidP="00102C41">
            <w:pPr>
              <w:pStyle w:val="Marginlie"/>
            </w:pPr>
          </w:p>
          <w:p w14:paraId="649C101D" w14:textId="77777777" w:rsidR="000A5265" w:rsidRDefault="000A5265" w:rsidP="00102C41">
            <w:pPr>
              <w:pStyle w:val="Marginlie"/>
            </w:pPr>
            <w:r>
              <w:lastRenderedPageBreak/>
              <w:t>Běžné dotace územním rozpočtům celkově poklesly i přes mírný růst výdajů na platy pracovníků v regionálním školství.</w:t>
            </w:r>
          </w:p>
        </w:tc>
        <w:tc>
          <w:tcPr>
            <w:tcW w:w="203" w:type="dxa"/>
            <w:shd w:val="clear" w:color="auto" w:fill="auto"/>
            <w:tcMar>
              <w:left w:w="0" w:type="dxa"/>
            </w:tcMar>
          </w:tcPr>
          <w:p w14:paraId="52232391" w14:textId="77777777" w:rsidR="000A5265" w:rsidRDefault="000A5265" w:rsidP="00102C41">
            <w:pPr>
              <w:pStyle w:val="Textpoznpodarou"/>
              <w:jc w:val="both"/>
              <w:rPr>
                <w:spacing w:val="-4"/>
              </w:rPr>
            </w:pPr>
          </w:p>
        </w:tc>
        <w:tc>
          <w:tcPr>
            <w:tcW w:w="7656" w:type="dxa"/>
            <w:shd w:val="clear" w:color="auto" w:fill="auto"/>
            <w:tcMar>
              <w:left w:w="0" w:type="dxa"/>
            </w:tcMar>
          </w:tcPr>
          <w:p w14:paraId="29185542" w14:textId="77777777" w:rsidR="000A5265" w:rsidRPr="0001033F" w:rsidRDefault="000A5265" w:rsidP="00102C41">
            <w:pPr>
              <w:rPr>
                <w:color w:val="0D0D0D" w:themeColor="text1" w:themeTint="F2"/>
                <w:spacing w:val="-5"/>
              </w:rPr>
            </w:pPr>
            <w:r w:rsidRPr="0001033F">
              <w:rPr>
                <w:color w:val="0D0D0D" w:themeColor="text1" w:themeTint="F2"/>
                <w:spacing w:val="-5"/>
              </w:rPr>
              <w:t>V hlubokém meziročním poklesu běžných transferů podnikatelům, k němuž došlo letos v</w:t>
            </w:r>
            <w:r>
              <w:rPr>
                <w:color w:val="0D0D0D" w:themeColor="text1" w:themeTint="F2"/>
                <w:spacing w:val="-5"/>
              </w:rPr>
              <w:t> </w:t>
            </w:r>
            <w:r w:rsidRPr="0001033F">
              <w:rPr>
                <w:color w:val="0D0D0D" w:themeColor="text1" w:themeTint="F2"/>
                <w:spacing w:val="-5"/>
              </w:rPr>
              <w:t>1</w:t>
            </w:r>
            <w:r>
              <w:rPr>
                <w:color w:val="0D0D0D" w:themeColor="text1" w:themeTint="F2"/>
                <w:spacing w:val="-5"/>
              </w:rPr>
              <w:t>.</w:t>
            </w:r>
            <w:r w:rsidRPr="0001033F">
              <w:rPr>
                <w:color w:val="0D0D0D" w:themeColor="text1" w:themeTint="F2"/>
                <w:spacing w:val="-5"/>
              </w:rPr>
              <w:t> až 3. čtvrtletí (</w:t>
            </w:r>
            <w:r>
              <w:rPr>
                <w:spacing w:val="-5"/>
              </w:rPr>
              <w:t>−</w:t>
            </w:r>
            <w:r w:rsidRPr="0001033F">
              <w:rPr>
                <w:color w:val="0D0D0D" w:themeColor="text1" w:themeTint="F2"/>
                <w:spacing w:val="-5"/>
              </w:rPr>
              <w:t xml:space="preserve">50 %, </w:t>
            </w:r>
            <w:r>
              <w:rPr>
                <w:spacing w:val="-5"/>
              </w:rPr>
              <w:t>−</w:t>
            </w:r>
            <w:r w:rsidRPr="0001033F">
              <w:rPr>
                <w:color w:val="0D0D0D" w:themeColor="text1" w:themeTint="F2"/>
                <w:spacing w:val="-5"/>
              </w:rPr>
              <w:t>50 mld. korun), se odráží očekávaný útlum podpory v energetice</w:t>
            </w:r>
            <w:r>
              <w:rPr>
                <w:color w:val="0D0D0D" w:themeColor="text1" w:themeTint="F2"/>
                <w:spacing w:val="-5"/>
              </w:rPr>
              <w:t xml:space="preserve">. Jde </w:t>
            </w:r>
            <w:r w:rsidRPr="0001033F">
              <w:rPr>
                <w:color w:val="0D0D0D" w:themeColor="text1" w:themeTint="F2"/>
                <w:spacing w:val="-6"/>
              </w:rPr>
              <w:t>hlavně o kompenzace za dodávku elektřiny a plynu zákazníkům a na ztráty kvůli zastropování</w:t>
            </w:r>
            <w:r w:rsidRPr="0001033F">
              <w:rPr>
                <w:color w:val="0D0D0D" w:themeColor="text1" w:themeTint="F2"/>
                <w:spacing w:val="-5"/>
              </w:rPr>
              <w:t xml:space="preserve"> jejich cen (</w:t>
            </w:r>
            <w:r>
              <w:rPr>
                <w:spacing w:val="-5"/>
              </w:rPr>
              <w:t>−</w:t>
            </w:r>
            <w:r w:rsidRPr="0001033F">
              <w:rPr>
                <w:color w:val="0D0D0D" w:themeColor="text1" w:themeTint="F2"/>
                <w:spacing w:val="-5"/>
              </w:rPr>
              <w:t xml:space="preserve">80 %) a </w:t>
            </w:r>
            <w:r>
              <w:rPr>
                <w:color w:val="0D0D0D" w:themeColor="text1" w:themeTint="F2"/>
                <w:spacing w:val="-5"/>
              </w:rPr>
              <w:t xml:space="preserve">dále </w:t>
            </w:r>
            <w:r w:rsidRPr="0001033F">
              <w:rPr>
                <w:color w:val="0D0D0D" w:themeColor="text1" w:themeTint="F2"/>
                <w:spacing w:val="-5"/>
              </w:rPr>
              <w:t>o dotace provozovateli přenosové soustavy (</w:t>
            </w:r>
            <w:r>
              <w:rPr>
                <w:spacing w:val="-5"/>
              </w:rPr>
              <w:t>−</w:t>
            </w:r>
            <w:r w:rsidRPr="0001033F">
              <w:rPr>
                <w:color w:val="0D0D0D" w:themeColor="text1" w:themeTint="F2"/>
                <w:spacing w:val="-5"/>
              </w:rPr>
              <w:t>89 %). Navíc pomoc firmám v energeticky náročných odvětvích byla letos zastavena úplně. Naopak u zálohových dotací na obnovitelné zdroje energií nastal jen relativně mírný pokles (</w:t>
            </w:r>
            <w:r>
              <w:rPr>
                <w:spacing w:val="-5"/>
              </w:rPr>
              <w:t>−</w:t>
            </w:r>
            <w:r w:rsidRPr="0001033F">
              <w:rPr>
                <w:color w:val="0D0D0D" w:themeColor="text1" w:themeTint="F2"/>
                <w:spacing w:val="-5"/>
              </w:rPr>
              <w:t>4 %)</w:t>
            </w:r>
            <w:r w:rsidRPr="0001033F">
              <w:rPr>
                <w:rStyle w:val="Znakapoznpodarou"/>
                <w:color w:val="0D0D0D" w:themeColor="text1" w:themeTint="F2"/>
                <w:spacing w:val="-5"/>
              </w:rPr>
              <w:footnoteReference w:id="27"/>
            </w:r>
            <w:r w:rsidRPr="0001033F">
              <w:rPr>
                <w:color w:val="0D0D0D" w:themeColor="text1" w:themeTint="F2"/>
                <w:spacing w:val="-5"/>
              </w:rPr>
              <w:t xml:space="preserve">. </w:t>
            </w:r>
            <w:r w:rsidRPr="0001033F">
              <w:rPr>
                <w:color w:val="0D0D0D" w:themeColor="text1" w:themeTint="F2"/>
                <w:spacing w:val="-5"/>
              </w:rPr>
              <w:lastRenderedPageBreak/>
              <w:t xml:space="preserve">Celková výše transferů podnikatelům v 1. až 3. čtvrtletí 2024 (50 mld. korun) </w:t>
            </w:r>
            <w:r>
              <w:rPr>
                <w:color w:val="0D0D0D" w:themeColor="text1" w:themeTint="F2"/>
                <w:spacing w:val="-5"/>
              </w:rPr>
              <w:t xml:space="preserve">tak </w:t>
            </w:r>
            <w:r w:rsidRPr="0001033F">
              <w:rPr>
                <w:color w:val="0D0D0D" w:themeColor="text1" w:themeTint="F2"/>
                <w:spacing w:val="-5"/>
              </w:rPr>
              <w:t>byla nejnižší za posledních pět let. SR letos dle očekávání méně zatížily i objemově významné běžné transfery územním rozpočtům, neboť se meziročně snížily o 3,5 % (</w:t>
            </w:r>
            <w:r>
              <w:rPr>
                <w:spacing w:val="-5"/>
              </w:rPr>
              <w:t>−</w:t>
            </w:r>
            <w:r w:rsidRPr="0001033F">
              <w:rPr>
                <w:color w:val="0D0D0D" w:themeColor="text1" w:themeTint="F2"/>
                <w:spacing w:val="-5"/>
              </w:rPr>
              <w:t xml:space="preserve">7,9 mld. korun). </w:t>
            </w:r>
            <w:r>
              <w:rPr>
                <w:color w:val="0D0D0D" w:themeColor="text1" w:themeTint="F2"/>
                <w:spacing w:val="-5"/>
              </w:rPr>
              <w:t xml:space="preserve">Nižší </w:t>
            </w:r>
            <w:r w:rsidRPr="00CD0BE5">
              <w:rPr>
                <w:color w:val="0D0D0D" w:themeColor="text1" w:themeTint="F2"/>
                <w:spacing w:val="-7"/>
              </w:rPr>
              <w:t>výdaje na evropské projekty (zejména na oblast vzdělávání) spolu s poklesem kompenzačního</w:t>
            </w:r>
            <w:r w:rsidRPr="0001033F">
              <w:rPr>
                <w:color w:val="0D0D0D" w:themeColor="text1" w:themeTint="F2"/>
                <w:spacing w:val="-5"/>
              </w:rPr>
              <w:t xml:space="preserve"> příspěvku na nouzové ubytování uprchlíků z Ukrajiny zde totiž převážil</w:t>
            </w:r>
            <w:r>
              <w:rPr>
                <w:color w:val="0D0D0D" w:themeColor="text1" w:themeTint="F2"/>
                <w:spacing w:val="-5"/>
              </w:rPr>
              <w:t xml:space="preserve">y nad dopadem </w:t>
            </w:r>
            <w:r w:rsidRPr="0001033F">
              <w:rPr>
                <w:color w:val="0D0D0D" w:themeColor="text1" w:themeTint="F2"/>
                <w:spacing w:val="-5"/>
              </w:rPr>
              <w:t>navýšení dotací regionálnímu školství (+2,7 %) urč</w:t>
            </w:r>
            <w:r>
              <w:rPr>
                <w:color w:val="0D0D0D" w:themeColor="text1" w:themeTint="F2"/>
                <w:spacing w:val="-5"/>
              </w:rPr>
              <w:t>ených hlav</w:t>
            </w:r>
            <w:r w:rsidRPr="0001033F">
              <w:rPr>
                <w:color w:val="0D0D0D" w:themeColor="text1" w:themeTint="F2"/>
                <w:spacing w:val="-5"/>
              </w:rPr>
              <w:t>ně na platy jeho pracovníků.</w:t>
            </w:r>
          </w:p>
        </w:tc>
      </w:tr>
      <w:tr w:rsidR="000A5265" w:rsidRPr="007B3A78" w14:paraId="11512E44" w14:textId="77777777" w:rsidTr="006D1E06">
        <w:trPr>
          <w:trHeight w:val="170"/>
        </w:trPr>
        <w:tc>
          <w:tcPr>
            <w:tcW w:w="1810" w:type="dxa"/>
            <w:shd w:val="clear" w:color="auto" w:fill="auto"/>
            <w:tcMar>
              <w:left w:w="0" w:type="dxa"/>
            </w:tcMar>
          </w:tcPr>
          <w:p w14:paraId="74E6114C" w14:textId="77777777" w:rsidR="000A5265" w:rsidRDefault="000A5265" w:rsidP="00102C41">
            <w:pPr>
              <w:pStyle w:val="Marginlie"/>
            </w:pPr>
            <w:r>
              <w:lastRenderedPageBreak/>
              <w:t>Investiční výdaje SR po svižném růstu v předchozích dvou letech letos mírně poklesly. To souvisí s přechodem na nové programové období EU.</w:t>
            </w:r>
          </w:p>
          <w:p w14:paraId="39328F8A" w14:textId="77777777" w:rsidR="000A5265" w:rsidRDefault="000A5265" w:rsidP="00102C41">
            <w:pPr>
              <w:pStyle w:val="Marginlie"/>
            </w:pPr>
          </w:p>
          <w:p w14:paraId="63B96F95" w14:textId="77777777" w:rsidR="000A5265" w:rsidRDefault="000A5265" w:rsidP="00102C41">
            <w:pPr>
              <w:pStyle w:val="Marginlie"/>
            </w:pPr>
          </w:p>
          <w:p w14:paraId="5BFA87C9" w14:textId="77777777" w:rsidR="000A5265" w:rsidRDefault="000A5265" w:rsidP="00102C41">
            <w:pPr>
              <w:pStyle w:val="Marginlie"/>
            </w:pPr>
          </w:p>
          <w:p w14:paraId="35380FFF" w14:textId="77777777" w:rsidR="000A5265" w:rsidRDefault="000A5265" w:rsidP="00102C41">
            <w:pPr>
              <w:pStyle w:val="Marginlie"/>
            </w:pPr>
          </w:p>
          <w:p w14:paraId="42CA8BA5" w14:textId="77777777" w:rsidR="000A5265" w:rsidRDefault="000A5265" w:rsidP="00102C41">
            <w:pPr>
              <w:pStyle w:val="Marginlie"/>
            </w:pPr>
            <w:r>
              <w:t>Růst výdajů na investiční nákupy zrychlil díky armádním zakázkám.</w:t>
            </w:r>
          </w:p>
          <w:p w14:paraId="6F5C02E5" w14:textId="77777777" w:rsidR="000A5265" w:rsidRDefault="000A5265" w:rsidP="00102C41">
            <w:pPr>
              <w:pStyle w:val="Marginlie"/>
            </w:pPr>
          </w:p>
        </w:tc>
        <w:tc>
          <w:tcPr>
            <w:tcW w:w="203" w:type="dxa"/>
            <w:shd w:val="clear" w:color="auto" w:fill="auto"/>
            <w:tcMar>
              <w:left w:w="0" w:type="dxa"/>
            </w:tcMar>
          </w:tcPr>
          <w:p w14:paraId="37E7EFBF" w14:textId="77777777" w:rsidR="000A5265" w:rsidRDefault="000A5265" w:rsidP="00102C41">
            <w:pPr>
              <w:pStyle w:val="Textpoznpodarou"/>
              <w:jc w:val="both"/>
              <w:rPr>
                <w:spacing w:val="-4"/>
              </w:rPr>
            </w:pPr>
          </w:p>
        </w:tc>
        <w:tc>
          <w:tcPr>
            <w:tcW w:w="7656" w:type="dxa"/>
            <w:shd w:val="clear" w:color="auto" w:fill="auto"/>
            <w:tcMar>
              <w:left w:w="0" w:type="dxa"/>
            </w:tcMar>
          </w:tcPr>
          <w:p w14:paraId="57E5433C" w14:textId="77777777" w:rsidR="000A5265" w:rsidRPr="001843D5" w:rsidRDefault="000A5265" w:rsidP="00102C41">
            <w:pPr>
              <w:rPr>
                <w:color w:val="0D0D0D" w:themeColor="text1" w:themeTint="F2"/>
                <w:spacing w:val="-4"/>
              </w:rPr>
            </w:pPr>
            <w:r w:rsidRPr="003F3E40">
              <w:rPr>
                <w:color w:val="0D0D0D" w:themeColor="text1" w:themeTint="F2"/>
                <w:spacing w:val="-6"/>
              </w:rPr>
              <w:t>Kapitálové výdaje SR se po dvojciferném růstu, k němuž došlo v 1. až 3. čtvrtletí 2022 i 2023</w:t>
            </w:r>
            <w:r w:rsidRPr="00994A17">
              <w:rPr>
                <w:color w:val="0D0D0D" w:themeColor="text1" w:themeTint="F2"/>
                <w:spacing w:val="-4"/>
              </w:rPr>
              <w:t>,</w:t>
            </w:r>
            <w:r>
              <w:rPr>
                <w:color w:val="0D0D0D" w:themeColor="text1" w:themeTint="F2"/>
                <w:spacing w:val="-4"/>
              </w:rPr>
              <w:t xml:space="preserve"> letos v souladu s rozpočtovým očekáváním meziročně výrazněji snížily o 14 % (</w:t>
            </w:r>
            <w:r>
              <w:rPr>
                <w:spacing w:val="-4"/>
              </w:rPr>
              <w:t>−</w:t>
            </w:r>
            <w:r>
              <w:rPr>
                <w:color w:val="0D0D0D" w:themeColor="text1" w:themeTint="F2"/>
                <w:spacing w:val="-4"/>
              </w:rPr>
              <w:t>18,8</w:t>
            </w:r>
            <w:r w:rsidRPr="00994A17">
              <w:rPr>
                <w:color w:val="0D0D0D" w:themeColor="text1" w:themeTint="F2"/>
                <w:spacing w:val="-4"/>
              </w:rPr>
              <w:t xml:space="preserve"> mld. korun). </w:t>
            </w:r>
            <w:r w:rsidRPr="000E0CA1">
              <w:rPr>
                <w:color w:val="0D0D0D" w:themeColor="text1" w:themeTint="F2"/>
                <w:spacing w:val="-4"/>
              </w:rPr>
              <w:t xml:space="preserve">Mírně nadpoloviční část dosud letos realizovaných investic směřovala </w:t>
            </w:r>
            <w:r>
              <w:rPr>
                <w:color w:val="0D0D0D" w:themeColor="text1" w:themeTint="F2"/>
                <w:spacing w:val="-4"/>
              </w:rPr>
              <w:t>na společné projekty ČR a EU (59</w:t>
            </w:r>
            <w:r w:rsidRPr="000E0CA1">
              <w:rPr>
                <w:color w:val="0D0D0D" w:themeColor="text1" w:themeTint="F2"/>
                <w:spacing w:val="-4"/>
              </w:rPr>
              <w:t xml:space="preserve"> mld. korun). Za celkovým poklesem investic stály nižší výdaje státním fondům – zejména na dopra</w:t>
            </w:r>
            <w:r>
              <w:rPr>
                <w:color w:val="0D0D0D" w:themeColor="text1" w:themeTint="F2"/>
                <w:spacing w:val="-4"/>
              </w:rPr>
              <w:t>vní infrastrukturu a životní prostředí, v menší míře také na</w:t>
            </w:r>
            <w:r w:rsidRPr="000E0CA1">
              <w:rPr>
                <w:color w:val="0D0D0D" w:themeColor="text1" w:themeTint="F2"/>
                <w:spacing w:val="-4"/>
              </w:rPr>
              <w:t xml:space="preserve"> zemědělství. V kontrastu s tím sviž</w:t>
            </w:r>
            <w:r>
              <w:rPr>
                <w:color w:val="0D0D0D" w:themeColor="text1" w:themeTint="F2"/>
                <w:spacing w:val="-4"/>
              </w:rPr>
              <w:t>ně rostly investiční nákupy (+12,8 %, +3,1 mld. korun), především</w:t>
            </w:r>
            <w:r w:rsidRPr="000E0CA1">
              <w:rPr>
                <w:color w:val="0D0D0D" w:themeColor="text1" w:themeTint="F2"/>
                <w:spacing w:val="-4"/>
              </w:rPr>
              <w:t xml:space="preserve"> na obranu ČR. V absolutním vyjádření </w:t>
            </w:r>
            <w:r>
              <w:rPr>
                <w:color w:val="0D0D0D" w:themeColor="text1" w:themeTint="F2"/>
                <w:spacing w:val="-4"/>
              </w:rPr>
              <w:t>se mírněji z</w:t>
            </w:r>
            <w:r w:rsidRPr="000E0CA1">
              <w:rPr>
                <w:color w:val="0D0D0D" w:themeColor="text1" w:themeTint="F2"/>
                <w:spacing w:val="-4"/>
              </w:rPr>
              <w:t>výšily</w:t>
            </w:r>
            <w:r>
              <w:rPr>
                <w:color w:val="0D0D0D" w:themeColor="text1" w:themeTint="F2"/>
                <w:spacing w:val="-4"/>
              </w:rPr>
              <w:t xml:space="preserve"> i</w:t>
            </w:r>
            <w:r w:rsidRPr="000E0CA1">
              <w:rPr>
                <w:color w:val="0D0D0D" w:themeColor="text1" w:themeTint="F2"/>
                <w:spacing w:val="-4"/>
              </w:rPr>
              <w:t xml:space="preserve"> transfery vysokým ško</w:t>
            </w:r>
            <w:r>
              <w:rPr>
                <w:color w:val="0D0D0D" w:themeColor="text1" w:themeTint="F2"/>
                <w:spacing w:val="-4"/>
              </w:rPr>
              <w:t>lám, alokované primárně</w:t>
            </w:r>
            <w:r w:rsidRPr="000E0CA1">
              <w:rPr>
                <w:color w:val="0D0D0D" w:themeColor="text1" w:themeTint="F2"/>
                <w:spacing w:val="-4"/>
              </w:rPr>
              <w:t xml:space="preserve"> na progr</w:t>
            </w:r>
            <w:r>
              <w:rPr>
                <w:color w:val="0D0D0D" w:themeColor="text1" w:themeTint="F2"/>
                <w:spacing w:val="-4"/>
              </w:rPr>
              <w:t>am Národního plánu obnovy a na vzdělávání.</w:t>
            </w:r>
            <w:r w:rsidRPr="000E0CA1">
              <w:rPr>
                <w:color w:val="0D0D0D" w:themeColor="text1" w:themeTint="F2"/>
                <w:spacing w:val="-4"/>
              </w:rPr>
              <w:t xml:space="preserve"> Celkové in</w:t>
            </w:r>
            <w:r>
              <w:rPr>
                <w:color w:val="0D0D0D" w:themeColor="text1" w:themeTint="F2"/>
                <w:spacing w:val="-4"/>
              </w:rPr>
              <w:t>vestice SR tvořily zatím letos 7,1</w:t>
            </w:r>
            <w:r w:rsidRPr="000E0CA1">
              <w:rPr>
                <w:color w:val="0D0D0D" w:themeColor="text1" w:themeTint="F2"/>
                <w:spacing w:val="-4"/>
              </w:rPr>
              <w:t xml:space="preserve"> </w:t>
            </w:r>
            <w:r>
              <w:rPr>
                <w:color w:val="0D0D0D" w:themeColor="text1" w:themeTint="F2"/>
                <w:spacing w:val="-4"/>
              </w:rPr>
              <w:t>% veškerých rozpočtových výdajů, což je nejméně za poslední tři roky V</w:t>
            </w:r>
            <w:r w:rsidRPr="000E0CA1">
              <w:rPr>
                <w:color w:val="0D0D0D" w:themeColor="text1" w:themeTint="F2"/>
                <w:spacing w:val="-4"/>
              </w:rPr>
              <w:t xml:space="preserve"> kontextu </w:t>
            </w:r>
            <w:r>
              <w:rPr>
                <w:color w:val="0D0D0D" w:themeColor="text1" w:themeTint="F2"/>
                <w:spacing w:val="-4"/>
              </w:rPr>
              <w:t xml:space="preserve">za </w:t>
            </w:r>
            <w:r w:rsidRPr="000E0CA1">
              <w:rPr>
                <w:color w:val="0D0D0D" w:themeColor="text1" w:themeTint="F2"/>
                <w:spacing w:val="-4"/>
              </w:rPr>
              <w:t xml:space="preserve">poslední </w:t>
            </w:r>
            <w:r>
              <w:rPr>
                <w:color w:val="0D0D0D" w:themeColor="text1" w:themeTint="F2"/>
                <w:spacing w:val="-4"/>
              </w:rPr>
              <w:t xml:space="preserve">dvě </w:t>
            </w:r>
            <w:r w:rsidRPr="000E0CA1">
              <w:rPr>
                <w:color w:val="0D0D0D" w:themeColor="text1" w:themeTint="F2"/>
                <w:spacing w:val="-4"/>
              </w:rPr>
              <w:t xml:space="preserve">dekády jde za toto období roku o </w:t>
            </w:r>
            <w:r>
              <w:rPr>
                <w:color w:val="0D0D0D" w:themeColor="text1" w:themeTint="F2"/>
                <w:spacing w:val="-4"/>
              </w:rPr>
              <w:t xml:space="preserve">lehce </w:t>
            </w:r>
            <w:r w:rsidRPr="000E0CA1">
              <w:rPr>
                <w:color w:val="0D0D0D" w:themeColor="text1" w:themeTint="F2"/>
                <w:spacing w:val="-4"/>
              </w:rPr>
              <w:t>p</w:t>
            </w:r>
            <w:r>
              <w:rPr>
                <w:color w:val="0D0D0D" w:themeColor="text1" w:themeTint="F2"/>
                <w:spacing w:val="-4"/>
              </w:rPr>
              <w:t>odp</w:t>
            </w:r>
            <w:r w:rsidRPr="000E0CA1">
              <w:rPr>
                <w:color w:val="0D0D0D" w:themeColor="text1" w:themeTint="F2"/>
                <w:spacing w:val="-4"/>
              </w:rPr>
              <w:t xml:space="preserve">růměrný podíl (a současně </w:t>
            </w:r>
            <w:r>
              <w:rPr>
                <w:color w:val="0D0D0D" w:themeColor="text1" w:themeTint="F2"/>
                <w:spacing w:val="-4"/>
              </w:rPr>
              <w:t>ale vyšší než v letech 2016 až</w:t>
            </w:r>
            <w:r w:rsidRPr="000E0CA1">
              <w:rPr>
                <w:color w:val="0D0D0D" w:themeColor="text1" w:themeTint="F2"/>
                <w:spacing w:val="-4"/>
              </w:rPr>
              <w:t xml:space="preserve"> 2018, kdy docházelo k přechodu na nové programové období EU).</w:t>
            </w:r>
          </w:p>
        </w:tc>
      </w:tr>
      <w:tr w:rsidR="000A5265" w:rsidRPr="007B3A78" w14:paraId="3A1AC1EE" w14:textId="77777777" w:rsidTr="006D1E06">
        <w:trPr>
          <w:trHeight w:val="170"/>
        </w:trPr>
        <w:tc>
          <w:tcPr>
            <w:tcW w:w="1810" w:type="dxa"/>
            <w:shd w:val="clear" w:color="auto" w:fill="auto"/>
            <w:tcMar>
              <w:left w:w="0" w:type="dxa"/>
            </w:tcMar>
          </w:tcPr>
          <w:p w14:paraId="72689588" w14:textId="77777777" w:rsidR="000A5265" w:rsidRDefault="000A5265" w:rsidP="00102C41">
            <w:pPr>
              <w:pStyle w:val="Marginlie"/>
            </w:pPr>
          </w:p>
        </w:tc>
        <w:tc>
          <w:tcPr>
            <w:tcW w:w="203" w:type="dxa"/>
            <w:shd w:val="clear" w:color="auto" w:fill="auto"/>
            <w:tcMar>
              <w:left w:w="0" w:type="dxa"/>
            </w:tcMar>
          </w:tcPr>
          <w:p w14:paraId="313D7067" w14:textId="77777777" w:rsidR="000A5265" w:rsidRDefault="000A5265" w:rsidP="00102C41">
            <w:pPr>
              <w:pStyle w:val="Textpoznpodarou"/>
              <w:jc w:val="both"/>
              <w:rPr>
                <w:spacing w:val="-4"/>
              </w:rPr>
            </w:pPr>
          </w:p>
        </w:tc>
        <w:tc>
          <w:tcPr>
            <w:tcW w:w="7656" w:type="dxa"/>
            <w:shd w:val="clear" w:color="auto" w:fill="auto"/>
            <w:tcMar>
              <w:left w:w="0" w:type="dxa"/>
            </w:tcMar>
          </w:tcPr>
          <w:p w14:paraId="1D0DEBC6" w14:textId="77777777" w:rsidR="000A5265" w:rsidRPr="008526E0" w:rsidRDefault="000A5265" w:rsidP="00102C41">
            <w:pPr>
              <w:spacing w:after="0"/>
              <w:rPr>
                <w:color w:val="0D0D0D" w:themeColor="text1" w:themeTint="F2"/>
                <w:spacing w:val="-3"/>
              </w:rPr>
            </w:pPr>
            <w:r w:rsidRPr="00E63A41">
              <w:rPr>
                <w:b/>
              </w:rPr>
              <w:t xml:space="preserve">Graf č. 19 </w:t>
            </w:r>
            <w:r w:rsidRPr="00E63A41">
              <w:rPr>
                <w:rFonts w:cs="Arial"/>
                <w:b/>
                <w:bCs/>
              </w:rPr>
              <w:t xml:space="preserve">Vybrané výdaje státního rozpočtu </w:t>
            </w:r>
            <w:r>
              <w:rPr>
                <w:rFonts w:cs="Arial"/>
                <w:b/>
                <w:bCs/>
              </w:rPr>
              <w:t>v rámci 1. až 3. čtvrtletí</w:t>
            </w:r>
          </w:p>
        </w:tc>
      </w:tr>
      <w:tr w:rsidR="000A5265" w:rsidRPr="007B3A78" w14:paraId="4B4D23F2" w14:textId="77777777" w:rsidTr="006D1E06">
        <w:tblPrEx>
          <w:tblCellMar>
            <w:left w:w="70" w:type="dxa"/>
            <w:right w:w="70" w:type="dxa"/>
          </w:tblCellMar>
        </w:tblPrEx>
        <w:trPr>
          <w:trHeight w:val="170"/>
        </w:trPr>
        <w:tc>
          <w:tcPr>
            <w:tcW w:w="1810" w:type="dxa"/>
            <w:shd w:val="clear" w:color="auto" w:fill="auto"/>
          </w:tcPr>
          <w:p w14:paraId="2F8E8760" w14:textId="77777777" w:rsidR="000A5265" w:rsidRDefault="000A5265" w:rsidP="00102C41">
            <w:pPr>
              <w:pStyle w:val="Marginlie"/>
            </w:pPr>
          </w:p>
        </w:tc>
        <w:tc>
          <w:tcPr>
            <w:tcW w:w="203" w:type="dxa"/>
            <w:shd w:val="clear" w:color="auto" w:fill="auto"/>
          </w:tcPr>
          <w:p w14:paraId="09EC4565" w14:textId="77777777" w:rsidR="000A5265" w:rsidRDefault="000A5265" w:rsidP="00102C41">
            <w:pPr>
              <w:pStyle w:val="Textpoznpodarou"/>
              <w:jc w:val="both"/>
              <w:rPr>
                <w:spacing w:val="-4"/>
              </w:rPr>
            </w:pPr>
          </w:p>
        </w:tc>
        <w:tc>
          <w:tcPr>
            <w:tcW w:w="7656" w:type="dxa"/>
            <w:shd w:val="clear" w:color="auto" w:fill="auto"/>
          </w:tcPr>
          <w:p w14:paraId="482EED29" w14:textId="77777777" w:rsidR="000A5265" w:rsidRPr="008526E0" w:rsidRDefault="000A5265" w:rsidP="00102C41">
            <w:pPr>
              <w:spacing w:after="0"/>
              <w:rPr>
                <w:color w:val="0D0D0D" w:themeColor="text1" w:themeTint="F2"/>
                <w:spacing w:val="-3"/>
              </w:rPr>
            </w:pPr>
            <w:r>
              <w:rPr>
                <w:noProof/>
              </w:rPr>
              <w:drawing>
                <wp:inline distT="0" distB="0" distL="0" distR="0" wp14:anchorId="690DDDC4" wp14:editId="54018437">
                  <wp:extent cx="4761865" cy="3646380"/>
                  <wp:effectExtent l="0" t="0" r="635"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A5265" w:rsidRPr="007B3A78" w14:paraId="22217682" w14:textId="77777777" w:rsidTr="006D1E06">
        <w:trPr>
          <w:trHeight w:val="170"/>
        </w:trPr>
        <w:tc>
          <w:tcPr>
            <w:tcW w:w="1810" w:type="dxa"/>
            <w:shd w:val="clear" w:color="auto" w:fill="auto"/>
            <w:tcMar>
              <w:left w:w="0" w:type="dxa"/>
            </w:tcMar>
          </w:tcPr>
          <w:p w14:paraId="6968E3E3" w14:textId="77777777" w:rsidR="000A5265" w:rsidRDefault="000A5265" w:rsidP="00102C41">
            <w:pPr>
              <w:pStyle w:val="Marginlie"/>
            </w:pPr>
          </w:p>
        </w:tc>
        <w:tc>
          <w:tcPr>
            <w:tcW w:w="203" w:type="dxa"/>
            <w:shd w:val="clear" w:color="auto" w:fill="auto"/>
            <w:tcMar>
              <w:left w:w="0" w:type="dxa"/>
            </w:tcMar>
          </w:tcPr>
          <w:p w14:paraId="77FB67A9" w14:textId="77777777" w:rsidR="000A5265" w:rsidRDefault="000A5265" w:rsidP="00102C41">
            <w:pPr>
              <w:pStyle w:val="Textpoznpodarou"/>
              <w:jc w:val="both"/>
              <w:rPr>
                <w:spacing w:val="-4"/>
              </w:rPr>
            </w:pPr>
          </w:p>
        </w:tc>
        <w:tc>
          <w:tcPr>
            <w:tcW w:w="7656" w:type="dxa"/>
            <w:shd w:val="clear" w:color="auto" w:fill="auto"/>
            <w:tcMar>
              <w:left w:w="0" w:type="dxa"/>
            </w:tcMar>
          </w:tcPr>
          <w:p w14:paraId="02C4A354" w14:textId="77777777" w:rsidR="000A5265" w:rsidRPr="008F2BE2" w:rsidRDefault="000A5265" w:rsidP="00102C41">
            <w:pPr>
              <w:pStyle w:val="Textpoznpodarou"/>
              <w:rPr>
                <w:spacing w:val="-4"/>
                <w:sz w:val="14"/>
                <w:szCs w:val="14"/>
              </w:rPr>
            </w:pPr>
            <w:r w:rsidRPr="008F2BE2">
              <w:rPr>
                <w:spacing w:val="-4"/>
                <w:sz w:val="14"/>
                <w:szCs w:val="14"/>
              </w:rPr>
              <w:t>*</w:t>
            </w:r>
            <w:r>
              <w:rPr>
                <w:spacing w:val="-4"/>
                <w:sz w:val="14"/>
                <w:szCs w:val="14"/>
              </w:rPr>
              <w:t xml:space="preserve"> </w:t>
            </w:r>
            <w:r w:rsidRPr="008F2BE2">
              <w:rPr>
                <w:spacing w:val="-4"/>
                <w:sz w:val="14"/>
                <w:szCs w:val="14"/>
              </w:rPr>
              <w:t>Pokrývají výdaje na platy v organizačních složkách státu. Nezahrnují například mzdové výdaje na regionální školství.</w:t>
            </w:r>
          </w:p>
          <w:p w14:paraId="4CBA7467" w14:textId="77777777" w:rsidR="000A5265" w:rsidRDefault="000A5265" w:rsidP="00102C41">
            <w:pPr>
              <w:pStyle w:val="Textpoznpodarou"/>
              <w:rPr>
                <w:spacing w:val="-4"/>
                <w:sz w:val="14"/>
                <w:szCs w:val="14"/>
              </w:rPr>
            </w:pPr>
            <w:r>
              <w:rPr>
                <w:spacing w:val="-4"/>
                <w:sz w:val="14"/>
                <w:szCs w:val="14"/>
              </w:rPr>
              <w:t xml:space="preserve">** Obsahuje také </w:t>
            </w:r>
            <w:r w:rsidRPr="008F2BE2">
              <w:rPr>
                <w:spacing w:val="-4"/>
                <w:sz w:val="14"/>
                <w:szCs w:val="14"/>
              </w:rPr>
              <w:t>dávky pěstounské péče.</w:t>
            </w:r>
          </w:p>
          <w:p w14:paraId="281077AD" w14:textId="77777777" w:rsidR="000A5265" w:rsidRPr="008F2BE2" w:rsidRDefault="000A5265" w:rsidP="00102C41">
            <w:pPr>
              <w:pStyle w:val="Textpoznpodarou"/>
              <w:rPr>
                <w:spacing w:val="-4"/>
                <w:sz w:val="14"/>
                <w:szCs w:val="14"/>
              </w:rPr>
            </w:pPr>
            <w:r>
              <w:rPr>
                <w:spacing w:val="-4"/>
                <w:sz w:val="14"/>
                <w:szCs w:val="14"/>
              </w:rPr>
              <w:t>*** Z</w:t>
            </w:r>
            <w:r w:rsidRPr="008F2BE2">
              <w:rPr>
                <w:spacing w:val="-4"/>
                <w:sz w:val="14"/>
                <w:szCs w:val="14"/>
              </w:rPr>
              <w:t>ahrnují dávky pomoci v hmotné nouzi, dávky osobám se zdravotním postižením, příspěvek na péči dle zákona o soc. službách.</w:t>
            </w:r>
            <w:r>
              <w:rPr>
                <w:spacing w:val="-4"/>
                <w:sz w:val="14"/>
                <w:szCs w:val="14"/>
              </w:rPr>
              <w:t xml:space="preserve"> Jsou zde obsaženy i dávky </w:t>
            </w:r>
            <w:r w:rsidRPr="00FB6649">
              <w:rPr>
                <w:spacing w:val="-4"/>
                <w:sz w:val="14"/>
                <w:szCs w:val="14"/>
              </w:rPr>
              <w:t>humanitární pomoc</w:t>
            </w:r>
            <w:r>
              <w:rPr>
                <w:spacing w:val="-4"/>
                <w:sz w:val="14"/>
                <w:szCs w:val="14"/>
              </w:rPr>
              <w:t>i poskytnuté občanům Ukrajiny.</w:t>
            </w:r>
          </w:p>
          <w:p w14:paraId="1ACBF3AD" w14:textId="77777777" w:rsidR="000A5265" w:rsidRDefault="000A5265" w:rsidP="00102C41">
            <w:pPr>
              <w:pStyle w:val="Textpoznpodarou"/>
              <w:rPr>
                <w:spacing w:val="-4"/>
                <w:sz w:val="14"/>
                <w:szCs w:val="14"/>
              </w:rPr>
            </w:pPr>
            <w:r>
              <w:rPr>
                <w:spacing w:val="-4"/>
                <w:sz w:val="14"/>
                <w:szCs w:val="14"/>
              </w:rPr>
              <w:t>**** O</w:t>
            </w:r>
            <w:r w:rsidRPr="008F2BE2">
              <w:rPr>
                <w:spacing w:val="-4"/>
                <w:sz w:val="14"/>
                <w:szCs w:val="14"/>
              </w:rPr>
              <w:t>bsahují zejména výdaje na nákup služeb, materiálu, energií či ostatních služeb (například výdaje na opravy a udržování).</w:t>
            </w:r>
          </w:p>
          <w:p w14:paraId="1D5006CC" w14:textId="77777777" w:rsidR="000A5265" w:rsidRPr="00257D9C" w:rsidRDefault="000A5265" w:rsidP="00102C41">
            <w:pPr>
              <w:pStyle w:val="Textpoznpodarou"/>
              <w:spacing w:after="180"/>
              <w:rPr>
                <w:spacing w:val="-4"/>
                <w:sz w:val="14"/>
                <w:szCs w:val="14"/>
              </w:rPr>
            </w:pPr>
            <w:r>
              <w:rPr>
                <w:spacing w:val="-4"/>
                <w:sz w:val="14"/>
                <w:szCs w:val="14"/>
              </w:rPr>
              <w:t>*****</w:t>
            </w:r>
            <w:r w:rsidRPr="00257D9C">
              <w:rPr>
                <w:spacing w:val="-4"/>
                <w:sz w:val="14"/>
                <w:szCs w:val="14"/>
              </w:rPr>
              <w:t xml:space="preserve"> Čisté výdaje odpovídají saldu rozpočtové kapitoly Státní dluh (č. 396).</w:t>
            </w:r>
            <w:r>
              <w:rPr>
                <w:spacing w:val="-4"/>
                <w:sz w:val="14"/>
                <w:szCs w:val="14"/>
              </w:rPr>
              <w:t xml:space="preserve">                                                                       Zdroj: MF ČR</w:t>
            </w:r>
          </w:p>
        </w:tc>
      </w:tr>
      <w:tr w:rsidR="000A5265" w14:paraId="46694AB7" w14:textId="77777777" w:rsidTr="006D1E06">
        <w:trPr>
          <w:trHeight w:val="170"/>
        </w:trPr>
        <w:tc>
          <w:tcPr>
            <w:tcW w:w="1810" w:type="dxa"/>
            <w:shd w:val="clear" w:color="auto" w:fill="auto"/>
            <w:tcMar>
              <w:left w:w="0" w:type="dxa"/>
            </w:tcMar>
          </w:tcPr>
          <w:p w14:paraId="78CC2E1E" w14:textId="77777777" w:rsidR="000A5265" w:rsidRDefault="000A5265" w:rsidP="00102C41">
            <w:pPr>
              <w:pStyle w:val="Marginlie"/>
            </w:pPr>
            <w:r>
              <w:t xml:space="preserve">Meziroční tempo růstu státního dluhu se od poloviny loňského roku stabilizovalo. </w:t>
            </w:r>
          </w:p>
          <w:p w14:paraId="4C122D62" w14:textId="77777777" w:rsidR="000A5265" w:rsidRDefault="000A5265" w:rsidP="00102C41">
            <w:pPr>
              <w:pStyle w:val="Marginlie"/>
            </w:pPr>
          </w:p>
          <w:p w14:paraId="7063E56F" w14:textId="77777777" w:rsidR="000A5265" w:rsidRDefault="000A5265" w:rsidP="00102C41">
            <w:pPr>
              <w:pStyle w:val="Marginlie"/>
            </w:pPr>
          </w:p>
          <w:p w14:paraId="4365D58D" w14:textId="77777777" w:rsidR="000A5265" w:rsidRDefault="000A5265" w:rsidP="00102C41">
            <w:pPr>
              <w:pStyle w:val="Marginlie"/>
            </w:pPr>
          </w:p>
          <w:p w14:paraId="34BE5060" w14:textId="77777777" w:rsidR="000A5265" w:rsidRDefault="000A5265" w:rsidP="00102C41">
            <w:pPr>
              <w:pStyle w:val="Marginlie"/>
            </w:pPr>
            <w:r>
              <w:lastRenderedPageBreak/>
              <w:t>Navýšení dluhu se týkalo výhradně vnitřní zadluženosti.</w:t>
            </w:r>
          </w:p>
          <w:p w14:paraId="041E37AA" w14:textId="77777777" w:rsidR="000A5265" w:rsidRDefault="000A5265" w:rsidP="00102C41">
            <w:pPr>
              <w:pStyle w:val="Marginlie"/>
            </w:pPr>
          </w:p>
          <w:p w14:paraId="164A1E7F" w14:textId="77777777" w:rsidR="000A5265" w:rsidRDefault="000A5265" w:rsidP="00102C41">
            <w:pPr>
              <w:pStyle w:val="Marginlie"/>
            </w:pPr>
          </w:p>
          <w:p w14:paraId="3480A848" w14:textId="77777777" w:rsidR="000A5265" w:rsidRDefault="000A5265" w:rsidP="00102C41">
            <w:pPr>
              <w:pStyle w:val="Marginlie"/>
            </w:pPr>
            <w:r>
              <w:t>Podíl nerezidentů mezi držiteli tuzemských dluhopisů od počátku letošního roku klesá.</w:t>
            </w:r>
          </w:p>
          <w:p w14:paraId="46C4AA32" w14:textId="77777777" w:rsidR="000A5265" w:rsidRDefault="000A5265" w:rsidP="00102C41">
            <w:pPr>
              <w:pStyle w:val="Marginlie"/>
            </w:pPr>
          </w:p>
        </w:tc>
        <w:tc>
          <w:tcPr>
            <w:tcW w:w="203" w:type="dxa"/>
            <w:shd w:val="clear" w:color="auto" w:fill="auto"/>
            <w:tcMar>
              <w:left w:w="0" w:type="dxa"/>
            </w:tcMar>
          </w:tcPr>
          <w:p w14:paraId="01C22A6B" w14:textId="77777777" w:rsidR="000A5265" w:rsidRDefault="000A5265" w:rsidP="00102C41">
            <w:pPr>
              <w:pStyle w:val="Textpoznpodarou"/>
              <w:jc w:val="both"/>
              <w:rPr>
                <w:spacing w:val="-4"/>
              </w:rPr>
            </w:pPr>
          </w:p>
        </w:tc>
        <w:tc>
          <w:tcPr>
            <w:tcW w:w="7656" w:type="dxa"/>
            <w:shd w:val="clear" w:color="auto" w:fill="auto"/>
            <w:tcMar>
              <w:left w:w="0" w:type="dxa"/>
            </w:tcMar>
          </w:tcPr>
          <w:p w14:paraId="10E1EDB7" w14:textId="77777777" w:rsidR="000A5265" w:rsidRPr="004143BE" w:rsidRDefault="000A5265" w:rsidP="00102C41">
            <w:pPr>
              <w:rPr>
                <w:color w:val="0D0D0D" w:themeColor="text1" w:themeTint="F2"/>
                <w:spacing w:val="-5"/>
              </w:rPr>
            </w:pPr>
            <w:r w:rsidRPr="004143BE">
              <w:rPr>
                <w:color w:val="0D0D0D" w:themeColor="text1" w:themeTint="F2"/>
                <w:spacing w:val="-5"/>
              </w:rPr>
              <w:t>Pokračující deficitní hospodaření SR se promítlo do státního</w:t>
            </w:r>
            <w:r>
              <w:rPr>
                <w:color w:val="0D0D0D" w:themeColor="text1" w:themeTint="F2"/>
                <w:spacing w:val="-5"/>
              </w:rPr>
              <w:t xml:space="preserve"> dluhu. Ten vystoupal na konci 3. čtvrtletí 2024 na 3 334</w:t>
            </w:r>
            <w:r w:rsidRPr="004143BE">
              <w:rPr>
                <w:color w:val="0D0D0D" w:themeColor="text1" w:themeTint="F2"/>
                <w:spacing w:val="-5"/>
              </w:rPr>
              <w:t xml:space="preserve"> mld. korun. Meziročně se </w:t>
            </w:r>
            <w:r>
              <w:rPr>
                <w:color w:val="0D0D0D" w:themeColor="text1" w:themeTint="F2"/>
                <w:spacing w:val="-5"/>
              </w:rPr>
              <w:t>zvyšoval již 21</w:t>
            </w:r>
            <w:r w:rsidRPr="004143BE">
              <w:rPr>
                <w:color w:val="0D0D0D" w:themeColor="text1" w:themeTint="F2"/>
                <w:spacing w:val="-5"/>
              </w:rPr>
              <w:t xml:space="preserve"> k</w:t>
            </w:r>
            <w:r>
              <w:rPr>
                <w:color w:val="0D0D0D" w:themeColor="text1" w:themeTint="F2"/>
                <w:spacing w:val="-5"/>
              </w:rPr>
              <w:t xml:space="preserve">vartálů </w:t>
            </w:r>
            <w:r>
              <w:rPr>
                <w:color w:val="0D0D0D" w:themeColor="text1" w:themeTint="F2"/>
                <w:spacing w:val="-8"/>
              </w:rPr>
              <w:t xml:space="preserve">v řadě, aktuálně vzrostl o rovných 7 % (podobné tempo přetrvává od poloviny loňského roku). </w:t>
            </w:r>
            <w:r w:rsidRPr="004143BE">
              <w:rPr>
                <w:color w:val="0D0D0D" w:themeColor="text1" w:themeTint="F2"/>
                <w:spacing w:val="-8"/>
              </w:rPr>
              <w:t>Od počátku</w:t>
            </w:r>
            <w:r>
              <w:rPr>
                <w:color w:val="0D0D0D" w:themeColor="text1" w:themeTint="F2"/>
                <w:spacing w:val="-5"/>
              </w:rPr>
              <w:t xml:space="preserve"> roku 2024 se dluh navýšil o 223 mld. korun – téměř shodně jako ve stejném období loni </w:t>
            </w:r>
            <w:r>
              <w:rPr>
                <w:color w:val="0D0D0D" w:themeColor="text1" w:themeTint="F2"/>
                <w:spacing w:val="-5"/>
              </w:rPr>
              <w:br/>
              <w:t>a současně však skoro o polovinu méně než v letech 2020 a 2022. Na letošním růstu se tradičně z drtivé části podílela vnitřní zadluženost. Korunová hodnota vnějšího dluhu se zvýšila jen o</w:t>
            </w:r>
            <w:r>
              <w:rPr>
                <w:color w:val="0D0D0D" w:themeColor="text1" w:themeTint="F2"/>
                <w:spacing w:val="-8"/>
              </w:rPr>
              <w:t> </w:t>
            </w:r>
            <w:r>
              <w:rPr>
                <w:color w:val="0D0D0D" w:themeColor="text1" w:themeTint="F2"/>
                <w:spacing w:val="-5"/>
              </w:rPr>
              <w:t xml:space="preserve">9 mld. korun (na 161 mld.), hlavně vlivem úvěrů realizovaných ve 3. čtvrtletí od </w:t>
            </w:r>
            <w:r>
              <w:rPr>
                <w:color w:val="0D0D0D" w:themeColor="text1" w:themeTint="F2"/>
                <w:spacing w:val="-5"/>
              </w:rPr>
              <w:lastRenderedPageBreak/>
              <w:t xml:space="preserve">Evropské investiční banky (na modernizaci železničního koridoru) a Rozvojové banky Rady </w:t>
            </w:r>
            <w:r w:rsidRPr="00CA3655">
              <w:rPr>
                <w:color w:val="0D0D0D" w:themeColor="text1" w:themeTint="F2"/>
                <w:spacing w:val="-6"/>
              </w:rPr>
              <w:t>Evropy (na výdaje související s pobytem ukrajinských uprchlíků v Česku). Vnitřní zadluženost</w:t>
            </w:r>
            <w:r>
              <w:rPr>
                <w:color w:val="0D0D0D" w:themeColor="text1" w:themeTint="F2"/>
                <w:spacing w:val="-5"/>
              </w:rPr>
              <w:t xml:space="preserve"> rostla jako obvykle hlavně v důsledku</w:t>
            </w:r>
            <w:r w:rsidRPr="004143BE">
              <w:rPr>
                <w:color w:val="0D0D0D" w:themeColor="text1" w:themeTint="F2"/>
                <w:spacing w:val="-5"/>
              </w:rPr>
              <w:t xml:space="preserve"> emise středně</w:t>
            </w:r>
            <w:r>
              <w:rPr>
                <w:color w:val="0D0D0D" w:themeColor="text1" w:themeTint="F2"/>
                <w:spacing w:val="-5"/>
              </w:rPr>
              <w:t>-</w:t>
            </w:r>
            <w:r w:rsidRPr="004143BE">
              <w:rPr>
                <w:color w:val="0D0D0D" w:themeColor="text1" w:themeTint="F2"/>
                <w:spacing w:val="-5"/>
              </w:rPr>
              <w:t xml:space="preserve"> a dlouhodobých státních dluhopisů</w:t>
            </w:r>
            <w:r w:rsidRPr="004143BE">
              <w:rPr>
                <w:rStyle w:val="Znakapoznpodarou"/>
                <w:color w:val="0D0D0D" w:themeColor="text1" w:themeTint="F2"/>
                <w:spacing w:val="-5"/>
              </w:rPr>
              <w:footnoteReference w:id="28"/>
            </w:r>
            <w:r w:rsidRPr="004143BE">
              <w:rPr>
                <w:color w:val="0D0D0D" w:themeColor="text1" w:themeTint="F2"/>
                <w:spacing w:val="-5"/>
              </w:rPr>
              <w:t xml:space="preserve">, v menší míře i emise státních pokladničních poukázek. </w:t>
            </w:r>
            <w:r>
              <w:rPr>
                <w:color w:val="0D0D0D" w:themeColor="text1" w:themeTint="F2"/>
                <w:spacing w:val="-5"/>
              </w:rPr>
              <w:t>Emisní činnost za tři čtvrtletí</w:t>
            </w:r>
            <w:r w:rsidRPr="004143BE">
              <w:rPr>
                <w:color w:val="0D0D0D" w:themeColor="text1" w:themeTint="F2"/>
                <w:spacing w:val="-5"/>
              </w:rPr>
              <w:t xml:space="preserve"> </w:t>
            </w:r>
            <w:r>
              <w:rPr>
                <w:color w:val="0D0D0D" w:themeColor="text1" w:themeTint="F2"/>
                <w:spacing w:val="-5"/>
              </w:rPr>
              <w:t xml:space="preserve">již </w:t>
            </w:r>
            <w:r w:rsidRPr="004143BE">
              <w:rPr>
                <w:color w:val="0D0D0D" w:themeColor="text1" w:themeTint="F2"/>
                <w:spacing w:val="-5"/>
              </w:rPr>
              <w:t xml:space="preserve">stačila k pokrytí </w:t>
            </w:r>
            <w:r>
              <w:rPr>
                <w:color w:val="0D0D0D" w:themeColor="text1" w:themeTint="F2"/>
                <w:spacing w:val="-5"/>
              </w:rPr>
              <w:t>všech letos plánovaných splátek</w:t>
            </w:r>
            <w:r w:rsidRPr="004143BE">
              <w:rPr>
                <w:color w:val="0D0D0D" w:themeColor="text1" w:themeTint="F2"/>
                <w:spacing w:val="-5"/>
              </w:rPr>
              <w:t xml:space="preserve"> státního dlu</w:t>
            </w:r>
            <w:r>
              <w:rPr>
                <w:color w:val="0D0D0D" w:themeColor="text1" w:themeTint="F2"/>
                <w:spacing w:val="-5"/>
              </w:rPr>
              <w:t>hu a z významné části předfinancovala také očekávaný letošní schodek SR.</w:t>
            </w:r>
            <w:r w:rsidRPr="004143BE">
              <w:rPr>
                <w:color w:val="0D0D0D" w:themeColor="text1" w:themeTint="F2"/>
                <w:spacing w:val="-5"/>
              </w:rPr>
              <w:t xml:space="preserve"> </w:t>
            </w:r>
            <w:r>
              <w:rPr>
                <w:color w:val="0D0D0D" w:themeColor="text1" w:themeTint="F2"/>
                <w:spacing w:val="-5"/>
              </w:rPr>
              <w:t>Mezi držiteli veškerých</w:t>
            </w:r>
            <w:r w:rsidRPr="004143BE">
              <w:rPr>
                <w:color w:val="0D0D0D" w:themeColor="text1" w:themeTint="F2"/>
                <w:spacing w:val="-5"/>
              </w:rPr>
              <w:t xml:space="preserve"> domácích dluhopisů v </w:t>
            </w:r>
            <w:r>
              <w:rPr>
                <w:color w:val="0D0D0D" w:themeColor="text1" w:themeTint="F2"/>
                <w:spacing w:val="-5"/>
              </w:rPr>
              <w:t>oběhu dominovaly na konci září 2024 finanční instituce (64,5</w:t>
            </w:r>
            <w:r w:rsidRPr="004143BE">
              <w:rPr>
                <w:color w:val="0D0D0D" w:themeColor="text1" w:themeTint="F2"/>
                <w:spacing w:val="-5"/>
              </w:rPr>
              <w:t xml:space="preserve"> %, zejména banky, ale i pojišťovny </w:t>
            </w:r>
            <w:r>
              <w:rPr>
                <w:color w:val="0D0D0D" w:themeColor="text1" w:themeTint="F2"/>
                <w:spacing w:val="-5"/>
              </w:rPr>
              <w:br/>
            </w:r>
            <w:r w:rsidRPr="004143BE">
              <w:rPr>
                <w:color w:val="0D0D0D" w:themeColor="text1" w:themeTint="F2"/>
                <w:spacing w:val="-5"/>
              </w:rPr>
              <w:t>a investiční a penzijní fond</w:t>
            </w:r>
            <w:r>
              <w:rPr>
                <w:color w:val="0D0D0D" w:themeColor="text1" w:themeTint="F2"/>
                <w:spacing w:val="-5"/>
              </w:rPr>
              <w:t>y), nerezidenti pak vlastnili 28,8 %</w:t>
            </w:r>
            <w:r w:rsidRPr="004143BE">
              <w:rPr>
                <w:color w:val="0D0D0D" w:themeColor="text1" w:themeTint="F2"/>
                <w:spacing w:val="-5"/>
              </w:rPr>
              <w:t xml:space="preserve"> a jejich podíl se od počátku roku sníž</w:t>
            </w:r>
            <w:r>
              <w:rPr>
                <w:color w:val="0D0D0D" w:themeColor="text1" w:themeTint="F2"/>
                <w:spacing w:val="-5"/>
              </w:rPr>
              <w:t>il o necelých 7</w:t>
            </w:r>
            <w:r w:rsidRPr="004143BE">
              <w:rPr>
                <w:color w:val="0D0D0D" w:themeColor="text1" w:themeTint="F2"/>
                <w:spacing w:val="-5"/>
              </w:rPr>
              <w:t xml:space="preserve"> p. b. (současně klesla i hodnota jimi držených dluhopisů).</w:t>
            </w:r>
          </w:p>
        </w:tc>
      </w:tr>
      <w:tr w:rsidR="000A5265" w14:paraId="2A7B7CE9" w14:textId="77777777" w:rsidTr="006D1E06">
        <w:trPr>
          <w:trHeight w:val="170"/>
        </w:trPr>
        <w:tc>
          <w:tcPr>
            <w:tcW w:w="1810" w:type="dxa"/>
            <w:shd w:val="clear" w:color="auto" w:fill="auto"/>
            <w:tcMar>
              <w:left w:w="0" w:type="dxa"/>
            </w:tcMar>
          </w:tcPr>
          <w:p w14:paraId="50643907" w14:textId="77777777" w:rsidR="000A5265" w:rsidRDefault="000A5265" w:rsidP="00102C41">
            <w:pPr>
              <w:pStyle w:val="Marginlie"/>
              <w:rPr>
                <w:color w:val="0D0D0D" w:themeColor="text1" w:themeTint="F2"/>
              </w:rPr>
            </w:pPr>
            <w:r>
              <w:rPr>
                <w:color w:val="0D0D0D" w:themeColor="text1" w:themeTint="F2"/>
              </w:rPr>
              <w:lastRenderedPageBreak/>
              <w:t>Růst celkových příjmů vládních institucí byl tažen zejména sociálními</w:t>
            </w:r>
            <w:r>
              <w:t> </w:t>
            </w:r>
            <w:r>
              <w:rPr>
                <w:color w:val="0D0D0D" w:themeColor="text1" w:themeTint="F2"/>
              </w:rPr>
              <w:t xml:space="preserve">příspěvky </w:t>
            </w:r>
            <w:r>
              <w:rPr>
                <w:color w:val="0D0D0D" w:themeColor="text1" w:themeTint="F2"/>
              </w:rPr>
              <w:br/>
              <w:t>a běžnými daněmi z důchodů.</w:t>
            </w:r>
          </w:p>
          <w:p w14:paraId="2FECA69F" w14:textId="77777777" w:rsidR="000A5265" w:rsidRDefault="000A5265" w:rsidP="00102C41">
            <w:pPr>
              <w:pStyle w:val="Marginlie"/>
              <w:rPr>
                <w:color w:val="0D0D0D" w:themeColor="text1" w:themeTint="F2"/>
              </w:rPr>
            </w:pPr>
          </w:p>
          <w:p w14:paraId="24C0FCE0" w14:textId="77777777" w:rsidR="000A5265" w:rsidRDefault="000A5265" w:rsidP="00102C41">
            <w:pPr>
              <w:pStyle w:val="Marginlie"/>
              <w:rPr>
                <w:color w:val="0D0D0D" w:themeColor="text1" w:themeTint="F2"/>
              </w:rPr>
            </w:pPr>
          </w:p>
          <w:p w14:paraId="1AB1F26C" w14:textId="77777777" w:rsidR="000A5265" w:rsidRDefault="000A5265" w:rsidP="00102C41">
            <w:pPr>
              <w:pStyle w:val="Marginlie"/>
              <w:rPr>
                <w:color w:val="0D0D0D" w:themeColor="text1" w:themeTint="F2"/>
              </w:rPr>
            </w:pPr>
          </w:p>
          <w:p w14:paraId="37ADD2EE" w14:textId="77777777" w:rsidR="000A5265" w:rsidRDefault="000A5265" w:rsidP="00102C41">
            <w:pPr>
              <w:pStyle w:val="Marginlie"/>
              <w:rPr>
                <w:color w:val="0D0D0D" w:themeColor="text1" w:themeTint="F2"/>
              </w:rPr>
            </w:pPr>
          </w:p>
          <w:p w14:paraId="2281C90F" w14:textId="77777777" w:rsidR="000A5265" w:rsidRPr="00D31D9C" w:rsidRDefault="000A5265" w:rsidP="00102C41">
            <w:pPr>
              <w:pStyle w:val="Marginlie"/>
              <w:rPr>
                <w:color w:val="0D0D0D" w:themeColor="text1" w:themeTint="F2"/>
              </w:rPr>
            </w:pPr>
            <w:r>
              <w:rPr>
                <w:color w:val="0D0D0D" w:themeColor="text1" w:themeTint="F2"/>
              </w:rPr>
              <w:t>Růst výdajů razantně zvolnil. Stál za tím útlum dotací, ale i zmírnění růstu mezispotřeby či vyplacených mezd. Investice klesly poprvé po roce 2016.</w:t>
            </w:r>
          </w:p>
        </w:tc>
        <w:tc>
          <w:tcPr>
            <w:tcW w:w="203" w:type="dxa"/>
            <w:shd w:val="clear" w:color="auto" w:fill="auto"/>
            <w:tcMar>
              <w:left w:w="0" w:type="dxa"/>
            </w:tcMar>
          </w:tcPr>
          <w:p w14:paraId="680AFAB2" w14:textId="77777777" w:rsidR="000A5265" w:rsidRPr="00D31D9C" w:rsidRDefault="000A5265" w:rsidP="00102C41">
            <w:pPr>
              <w:pStyle w:val="Textpoznpodarou"/>
              <w:jc w:val="both"/>
              <w:rPr>
                <w:color w:val="0D0D0D" w:themeColor="text1" w:themeTint="F2"/>
                <w:spacing w:val="-4"/>
              </w:rPr>
            </w:pPr>
          </w:p>
        </w:tc>
        <w:tc>
          <w:tcPr>
            <w:tcW w:w="7656" w:type="dxa"/>
            <w:shd w:val="clear" w:color="auto" w:fill="auto"/>
            <w:tcMar>
              <w:left w:w="0" w:type="dxa"/>
            </w:tcMar>
          </w:tcPr>
          <w:p w14:paraId="08406BFD" w14:textId="77777777" w:rsidR="000A5265" w:rsidRPr="0016194F" w:rsidRDefault="000A5265" w:rsidP="00102C41">
            <w:pPr>
              <w:rPr>
                <w:color w:val="0D0D0D" w:themeColor="text1" w:themeTint="F2"/>
                <w:spacing w:val="-3"/>
              </w:rPr>
            </w:pPr>
            <w:r w:rsidRPr="00200F58">
              <w:rPr>
                <w:color w:val="0D0D0D" w:themeColor="text1" w:themeTint="F2"/>
                <w:spacing w:val="-3"/>
              </w:rPr>
              <w:t>Sek</w:t>
            </w:r>
            <w:r>
              <w:rPr>
                <w:color w:val="0D0D0D" w:themeColor="text1" w:themeTint="F2"/>
                <w:spacing w:val="-3"/>
              </w:rPr>
              <w:t>tor vládních institucí (VI) v Česku</w:t>
            </w:r>
            <w:r w:rsidRPr="00200F58">
              <w:rPr>
                <w:color w:val="0D0D0D" w:themeColor="text1" w:themeTint="F2"/>
                <w:spacing w:val="-3"/>
              </w:rPr>
              <w:t xml:space="preserve"> </w:t>
            </w:r>
            <w:r>
              <w:rPr>
                <w:color w:val="0D0D0D" w:themeColor="text1" w:themeTint="F2"/>
                <w:spacing w:val="-3"/>
              </w:rPr>
              <w:t>hospodařil v 1. pololetí 2024</w:t>
            </w:r>
            <w:r w:rsidRPr="008526E0">
              <w:rPr>
                <w:rStyle w:val="Znakapoznpodarou"/>
                <w:color w:val="0D0D0D" w:themeColor="text1" w:themeTint="F2"/>
                <w:spacing w:val="-3"/>
              </w:rPr>
              <w:footnoteReference w:id="29"/>
            </w:r>
            <w:r>
              <w:rPr>
                <w:color w:val="0D0D0D" w:themeColor="text1" w:themeTint="F2"/>
                <w:spacing w:val="-3"/>
              </w:rPr>
              <w:t xml:space="preserve"> s deficitem 69</w:t>
            </w:r>
            <w:r w:rsidRPr="008526E0">
              <w:rPr>
                <w:color w:val="0D0D0D" w:themeColor="text1" w:themeTint="F2"/>
                <w:spacing w:val="-3"/>
              </w:rPr>
              <w:t xml:space="preserve"> mld. korun</w:t>
            </w:r>
            <w:r w:rsidRPr="008526E0">
              <w:rPr>
                <w:rStyle w:val="Znakapoznpodarou"/>
                <w:color w:val="0D0D0D" w:themeColor="text1" w:themeTint="F2"/>
                <w:spacing w:val="-3"/>
              </w:rPr>
              <w:footnoteReference w:id="30"/>
            </w:r>
            <w:r w:rsidRPr="008526E0">
              <w:rPr>
                <w:color w:val="0D0D0D" w:themeColor="text1" w:themeTint="F2"/>
                <w:spacing w:val="-3"/>
              </w:rPr>
              <w:t>,</w:t>
            </w:r>
            <w:r>
              <w:rPr>
                <w:color w:val="0D0D0D" w:themeColor="text1" w:themeTint="F2"/>
                <w:spacing w:val="-3"/>
              </w:rPr>
              <w:t xml:space="preserve"> jenž meziročně klesl skoro o polovinu (zároveň šlo o druhý nejnižší pololetní schodek od počátku pandemie covidu-19)</w:t>
            </w:r>
            <w:r>
              <w:rPr>
                <w:rStyle w:val="Znakapoznpodarou"/>
                <w:color w:val="0D0D0D" w:themeColor="text1" w:themeTint="F2"/>
                <w:spacing w:val="-3"/>
              </w:rPr>
              <w:footnoteReference w:id="31"/>
            </w:r>
            <w:r>
              <w:rPr>
                <w:color w:val="0D0D0D" w:themeColor="text1" w:themeTint="F2"/>
                <w:spacing w:val="-3"/>
              </w:rPr>
              <w:t>. Za meziročním zmírněním schodku stálo primárně citelné zvolnění růstu celkových výdajů (na 2,7 %), neboť tempo růstu příjmů (7,</w:t>
            </w:r>
            <w:r>
              <w:rPr>
                <w:color w:val="0D0D0D" w:themeColor="text1" w:themeTint="F2"/>
                <w:spacing w:val="-5"/>
              </w:rPr>
              <w:t>1</w:t>
            </w:r>
            <w:r w:rsidRPr="004143BE">
              <w:rPr>
                <w:color w:val="0D0D0D" w:themeColor="text1" w:themeTint="F2"/>
                <w:spacing w:val="-5"/>
              </w:rPr>
              <w:t> </w:t>
            </w:r>
            <w:r>
              <w:rPr>
                <w:color w:val="0D0D0D" w:themeColor="text1" w:themeTint="F2"/>
                <w:spacing w:val="-3"/>
              </w:rPr>
              <w:t>%) výrazněji nezvolnilo. Růst příjmů byl tažen zejména čistými sociálními příspěvky (i</w:t>
            </w:r>
            <w:r w:rsidRPr="004143BE">
              <w:rPr>
                <w:color w:val="0D0D0D" w:themeColor="text1" w:themeTint="F2"/>
                <w:spacing w:val="-5"/>
              </w:rPr>
              <w:t> </w:t>
            </w:r>
            <w:r>
              <w:rPr>
                <w:color w:val="0D0D0D" w:themeColor="text1" w:themeTint="F2"/>
                <w:spacing w:val="-3"/>
              </w:rPr>
              <w:t xml:space="preserve">vlivem vyšších plateb domácností na nemocenské pojištění), posilujícím výběrem běžných daní z důchodů a jmění a v menší míře i nepřímými daněmi (zejména daněmi z produktů). Naopak negativně působily přijaté důchody z vlastnictví, výhradně vlivem poklesu příjmů z dividend. Růst celkových výdajů byl tažen tradičně hlavně sociálními dávkami (vč. naturálních sociálních transferů), a to přesto, že jejich růst razantně zvolnil (na 5,8 %, v rámci prvních pololetí šlo o nejnižší tempo za posledních šest let). Zhruba na polovinu meziročně zmírnil rovněž růst mezispotřeby (na 7,7 %) a vyplacených náhrad zaměstnancům </w:t>
            </w:r>
            <w:r>
              <w:rPr>
                <w:color w:val="0D0D0D" w:themeColor="text1" w:themeTint="F2"/>
                <w:spacing w:val="-5"/>
              </w:rPr>
              <w:t>(4,1</w:t>
            </w:r>
            <w:r w:rsidRPr="00AB296D">
              <w:rPr>
                <w:color w:val="0D0D0D" w:themeColor="text1" w:themeTint="F2"/>
                <w:spacing w:val="-5"/>
              </w:rPr>
              <w:t> %).</w:t>
            </w:r>
            <w:r>
              <w:rPr>
                <w:color w:val="0D0D0D" w:themeColor="text1" w:themeTint="F2"/>
                <w:spacing w:val="-3"/>
              </w:rPr>
              <w:t xml:space="preserve"> </w:t>
            </w:r>
            <w:r w:rsidRPr="00AB296D">
              <w:rPr>
                <w:color w:val="0D0D0D" w:themeColor="text1" w:themeTint="F2"/>
                <w:spacing w:val="-5"/>
              </w:rPr>
              <w:t xml:space="preserve">Nejvýraznější změnou byl očekávaný hluboký útlum </w:t>
            </w:r>
            <w:r>
              <w:rPr>
                <w:color w:val="0D0D0D" w:themeColor="text1" w:themeTint="F2"/>
                <w:spacing w:val="-5"/>
              </w:rPr>
              <w:t xml:space="preserve">vyplacených </w:t>
            </w:r>
            <w:r w:rsidRPr="00AB296D">
              <w:rPr>
                <w:color w:val="0D0D0D" w:themeColor="text1" w:themeTint="F2"/>
                <w:spacing w:val="-5"/>
              </w:rPr>
              <w:t>dotací (</w:t>
            </w:r>
            <w:r>
              <w:rPr>
                <w:spacing w:val="-5"/>
              </w:rPr>
              <w:t>−</w:t>
            </w:r>
            <w:r>
              <w:rPr>
                <w:color w:val="0D0D0D" w:themeColor="text1" w:themeTint="F2"/>
                <w:spacing w:val="-5"/>
              </w:rPr>
              <w:t>25 %</w:t>
            </w:r>
            <w:r w:rsidRPr="00AB296D">
              <w:rPr>
                <w:color w:val="0D0D0D" w:themeColor="text1" w:themeTint="F2"/>
                <w:spacing w:val="-5"/>
              </w:rPr>
              <w:t>),</w:t>
            </w:r>
            <w:r>
              <w:rPr>
                <w:color w:val="0D0D0D" w:themeColor="text1" w:themeTint="F2"/>
                <w:spacing w:val="-3"/>
              </w:rPr>
              <w:t xml:space="preserve"> jejichž nominální úroveň klesla i pod úroveň 1. pololetí 2020. Došlo také k mírnému meziročnímu poklesu tvorby fixních investic (</w:t>
            </w:r>
            <w:r>
              <w:rPr>
                <w:spacing w:val="-6"/>
              </w:rPr>
              <w:t>−</w:t>
            </w:r>
            <w:r>
              <w:rPr>
                <w:color w:val="0D0D0D" w:themeColor="text1" w:themeTint="F2"/>
                <w:spacing w:val="-3"/>
              </w:rPr>
              <w:t xml:space="preserve">1,6 %), prvnímu po roce 2016. </w:t>
            </w:r>
          </w:p>
        </w:tc>
      </w:tr>
      <w:tr w:rsidR="000A5265" w14:paraId="703E3541" w14:textId="77777777" w:rsidTr="006D1E06">
        <w:trPr>
          <w:trHeight w:val="170"/>
        </w:trPr>
        <w:tc>
          <w:tcPr>
            <w:tcW w:w="1810" w:type="dxa"/>
            <w:shd w:val="clear" w:color="auto" w:fill="auto"/>
            <w:tcMar>
              <w:left w:w="0" w:type="dxa"/>
            </w:tcMar>
          </w:tcPr>
          <w:p w14:paraId="5E73D2BB" w14:textId="77777777" w:rsidR="000A5265" w:rsidRDefault="000A5265" w:rsidP="00102C41">
            <w:pPr>
              <w:pStyle w:val="Marginlie"/>
            </w:pPr>
            <w:r>
              <w:t>Schodek hospodaření vládních institucí v EU se ve 2. čtvrtletí 2024 zmírnil. V Česku klesl meziročně o třetinu a třetí kvartál v řadě byla jeho úroveň nižší než v EU.</w:t>
            </w:r>
          </w:p>
          <w:p w14:paraId="1C6832D7" w14:textId="77777777" w:rsidR="000A5265" w:rsidRDefault="000A5265" w:rsidP="00102C41">
            <w:pPr>
              <w:pStyle w:val="Marginlie"/>
            </w:pPr>
          </w:p>
          <w:p w14:paraId="647332F4" w14:textId="77777777" w:rsidR="000A5265" w:rsidRDefault="000A5265" w:rsidP="00102C41">
            <w:pPr>
              <w:pStyle w:val="Marginlie"/>
            </w:pPr>
          </w:p>
          <w:p w14:paraId="3276941B" w14:textId="77777777" w:rsidR="000A5265" w:rsidRDefault="000A5265" w:rsidP="00102C41">
            <w:pPr>
              <w:pStyle w:val="Marginlie"/>
            </w:pPr>
          </w:p>
          <w:p w14:paraId="0A1CA501" w14:textId="77777777" w:rsidR="000A5265" w:rsidRDefault="000A5265" w:rsidP="00102C41">
            <w:pPr>
              <w:pStyle w:val="Marginlie"/>
            </w:pPr>
          </w:p>
          <w:p w14:paraId="07F2DF00" w14:textId="77777777" w:rsidR="000A5265" w:rsidRDefault="000A5265" w:rsidP="00102C41">
            <w:pPr>
              <w:pStyle w:val="Marginlie"/>
            </w:pPr>
            <w:r>
              <w:t>Mezikvartální pokles míry zadluženosti v EU se letos po třech letech zastavil.</w:t>
            </w:r>
          </w:p>
          <w:p w14:paraId="0B61A8FE" w14:textId="77777777" w:rsidR="000A5265" w:rsidRDefault="000A5265" w:rsidP="00102C41">
            <w:pPr>
              <w:pStyle w:val="Marginlie"/>
            </w:pPr>
          </w:p>
          <w:p w14:paraId="3C9CCF45" w14:textId="77777777" w:rsidR="000A5265" w:rsidRDefault="000A5265" w:rsidP="00102C41">
            <w:pPr>
              <w:pStyle w:val="Marginlie"/>
            </w:pPr>
          </w:p>
          <w:p w14:paraId="66C87057" w14:textId="77777777" w:rsidR="000A5265" w:rsidRDefault="000A5265" w:rsidP="00102C41">
            <w:pPr>
              <w:pStyle w:val="Marginlie"/>
            </w:pPr>
          </w:p>
          <w:p w14:paraId="328AB77C" w14:textId="77777777" w:rsidR="000A5265" w:rsidRDefault="000A5265" w:rsidP="00102C41">
            <w:pPr>
              <w:pStyle w:val="Marginlie"/>
            </w:pPr>
          </w:p>
          <w:p w14:paraId="0EADEFE2" w14:textId="77777777" w:rsidR="000A5265" w:rsidRDefault="000A5265" w:rsidP="00102C41">
            <w:pPr>
              <w:pStyle w:val="Marginlie"/>
            </w:pPr>
            <w:r>
              <w:t xml:space="preserve">Míra zadlužení Česka byla v EU sedmá nejnižší a zároveň nejpříznivější ze všech států střední </w:t>
            </w:r>
            <w:r>
              <w:lastRenderedPageBreak/>
              <w:t>Evropy. V polovině zemí Unie překračovala 60 % HDP.</w:t>
            </w:r>
          </w:p>
        </w:tc>
        <w:tc>
          <w:tcPr>
            <w:tcW w:w="203" w:type="dxa"/>
            <w:shd w:val="clear" w:color="auto" w:fill="auto"/>
            <w:tcMar>
              <w:left w:w="0" w:type="dxa"/>
            </w:tcMar>
          </w:tcPr>
          <w:p w14:paraId="41D870CA" w14:textId="77777777" w:rsidR="000A5265" w:rsidRDefault="000A5265" w:rsidP="00102C41">
            <w:pPr>
              <w:pStyle w:val="Textpoznpodarou"/>
              <w:jc w:val="both"/>
              <w:rPr>
                <w:spacing w:val="-4"/>
              </w:rPr>
            </w:pPr>
          </w:p>
        </w:tc>
        <w:tc>
          <w:tcPr>
            <w:tcW w:w="7656" w:type="dxa"/>
            <w:shd w:val="clear" w:color="auto" w:fill="auto"/>
            <w:tcMar>
              <w:left w:w="0" w:type="dxa"/>
            </w:tcMar>
          </w:tcPr>
          <w:p w14:paraId="276BDE5C" w14:textId="77777777" w:rsidR="000A5265" w:rsidRPr="0040616A" w:rsidRDefault="000A5265" w:rsidP="00102C41">
            <w:pPr>
              <w:rPr>
                <w:color w:val="0D0D0D" w:themeColor="text1" w:themeTint="F2"/>
                <w:spacing w:val="-6"/>
              </w:rPr>
            </w:pPr>
            <w:r>
              <w:rPr>
                <w:color w:val="0D0D0D" w:themeColor="text1" w:themeTint="F2"/>
                <w:spacing w:val="-6"/>
              </w:rPr>
              <w:t>Zastavil se n</w:t>
            </w:r>
            <w:r w:rsidRPr="0040616A">
              <w:rPr>
                <w:color w:val="0D0D0D" w:themeColor="text1" w:themeTint="F2"/>
                <w:spacing w:val="-6"/>
              </w:rPr>
              <w:t xml:space="preserve">epříznivý trend </w:t>
            </w:r>
            <w:r>
              <w:rPr>
                <w:color w:val="0D0D0D" w:themeColor="text1" w:themeTint="F2"/>
                <w:spacing w:val="-6"/>
              </w:rPr>
              <w:t>související s pomalejším růstem</w:t>
            </w:r>
            <w:r w:rsidRPr="0040616A">
              <w:rPr>
                <w:color w:val="0D0D0D" w:themeColor="text1" w:themeTint="F2"/>
                <w:spacing w:val="-6"/>
              </w:rPr>
              <w:t xml:space="preserve"> celkových příjmů sektoru VI v EU než </w:t>
            </w:r>
            <w:r>
              <w:rPr>
                <w:color w:val="0D0D0D" w:themeColor="text1" w:themeTint="F2"/>
                <w:spacing w:val="-6"/>
              </w:rPr>
              <w:t xml:space="preserve">jejich </w:t>
            </w:r>
            <w:r w:rsidRPr="0040616A">
              <w:rPr>
                <w:color w:val="0D0D0D" w:themeColor="text1" w:themeTint="F2"/>
                <w:spacing w:val="-6"/>
              </w:rPr>
              <w:t>výdajů (vztažených k HDP)</w:t>
            </w:r>
            <w:r w:rsidRPr="0040616A">
              <w:rPr>
                <w:rStyle w:val="Znakapoznpodarou"/>
                <w:color w:val="0D0D0D" w:themeColor="text1" w:themeTint="F2"/>
                <w:spacing w:val="-6"/>
              </w:rPr>
              <w:footnoteReference w:id="32"/>
            </w:r>
            <w:r w:rsidRPr="0040616A">
              <w:rPr>
                <w:color w:val="0D0D0D" w:themeColor="text1" w:themeTint="F2"/>
                <w:spacing w:val="-6"/>
              </w:rPr>
              <w:t>, jenž byl patrný po větši</w:t>
            </w:r>
            <w:r>
              <w:rPr>
                <w:color w:val="0D0D0D" w:themeColor="text1" w:themeTint="F2"/>
                <w:spacing w:val="-6"/>
              </w:rPr>
              <w:t>nu loňského roku</w:t>
            </w:r>
            <w:r>
              <w:rPr>
                <w:color w:val="0D0D0D" w:themeColor="text1" w:themeTint="F2"/>
                <w:spacing w:val="-8"/>
              </w:rPr>
              <w:t>. Ve 2.</w:t>
            </w:r>
            <w:r>
              <w:rPr>
                <w:color w:val="0D0D0D" w:themeColor="text1" w:themeTint="F2"/>
                <w:spacing w:val="-3"/>
              </w:rPr>
              <w:t> </w:t>
            </w:r>
            <w:r>
              <w:rPr>
                <w:color w:val="0D0D0D" w:themeColor="text1" w:themeTint="F2"/>
                <w:spacing w:val="-8"/>
              </w:rPr>
              <w:t>čtvrtletí 2024 dosáhlo saldo hospodaření</w:t>
            </w:r>
            <w:r w:rsidRPr="0040616A">
              <w:rPr>
                <w:color w:val="0D0D0D" w:themeColor="text1" w:themeTint="F2"/>
                <w:spacing w:val="-6"/>
              </w:rPr>
              <w:t xml:space="preserve"> </w:t>
            </w:r>
            <w:r>
              <w:rPr>
                <w:color w:val="0D0D0D" w:themeColor="text1" w:themeTint="F2"/>
                <w:spacing w:val="-6"/>
              </w:rPr>
              <w:t xml:space="preserve">VI </w:t>
            </w:r>
            <w:r>
              <w:rPr>
                <w:spacing w:val="-6"/>
              </w:rPr>
              <w:t>−</w:t>
            </w:r>
            <w:r>
              <w:rPr>
                <w:color w:val="0D0D0D" w:themeColor="text1" w:themeTint="F2"/>
                <w:spacing w:val="-6"/>
              </w:rPr>
              <w:t>3,1 % HDP a stejně jako v předchozím kvartálu se meziročně velmi mírně snížilo (o 0,2 p. b.)</w:t>
            </w:r>
            <w:r w:rsidRPr="0040616A">
              <w:rPr>
                <w:color w:val="0D0D0D" w:themeColor="text1" w:themeTint="F2"/>
                <w:spacing w:val="-6"/>
              </w:rPr>
              <w:t xml:space="preserve">. </w:t>
            </w:r>
            <w:r>
              <w:rPr>
                <w:color w:val="0D0D0D" w:themeColor="text1" w:themeTint="F2"/>
                <w:spacing w:val="-6"/>
              </w:rPr>
              <w:t>V Česku se schodek redukoval vyšším tempem (o 1,3 p</w:t>
            </w:r>
            <w:r w:rsidRPr="0040616A">
              <w:rPr>
                <w:color w:val="0D0D0D" w:themeColor="text1" w:themeTint="F2"/>
                <w:spacing w:val="-6"/>
              </w:rPr>
              <w:t>.</w:t>
            </w:r>
            <w:r>
              <w:rPr>
                <w:color w:val="0D0D0D" w:themeColor="text1" w:themeTint="F2"/>
                <w:spacing w:val="-6"/>
              </w:rPr>
              <w:t xml:space="preserve"> b) na</w:t>
            </w:r>
            <w:r w:rsidRPr="0040616A">
              <w:rPr>
                <w:color w:val="0D0D0D" w:themeColor="text1" w:themeTint="F2"/>
                <w:spacing w:val="-6"/>
              </w:rPr>
              <w:t xml:space="preserve"> </w:t>
            </w:r>
            <w:r>
              <w:rPr>
                <w:spacing w:val="-6"/>
              </w:rPr>
              <w:t>−</w:t>
            </w:r>
            <w:r>
              <w:rPr>
                <w:color w:val="0D0D0D" w:themeColor="text1" w:themeTint="F2"/>
                <w:spacing w:val="-6"/>
              </w:rPr>
              <w:t>2,4</w:t>
            </w:r>
            <w:r w:rsidRPr="0040616A">
              <w:rPr>
                <w:color w:val="0D0D0D" w:themeColor="text1" w:themeTint="F2"/>
                <w:spacing w:val="-6"/>
              </w:rPr>
              <w:t xml:space="preserve"> % HDP </w:t>
            </w:r>
            <w:r>
              <w:rPr>
                <w:color w:val="0D0D0D" w:themeColor="text1" w:themeTint="F2"/>
                <w:spacing w:val="-6"/>
              </w:rPr>
              <w:t>(nižší deficit byl v celém období od počátku pandemie registrován jen v 1. čtvrtletí 2022)</w:t>
            </w:r>
            <w:r w:rsidRPr="0040616A">
              <w:rPr>
                <w:color w:val="0D0D0D" w:themeColor="text1" w:themeTint="F2"/>
                <w:spacing w:val="-6"/>
              </w:rPr>
              <w:t xml:space="preserve">. </w:t>
            </w:r>
            <w:r>
              <w:rPr>
                <w:color w:val="0D0D0D" w:themeColor="text1" w:themeTint="F2"/>
                <w:spacing w:val="-6"/>
              </w:rPr>
              <w:t xml:space="preserve">Obdobný schodek vykázalo i Německo, v ostatních středoevropských státech byl ovšem znatelně hlubší: Polsko (−8,1 %), Slovensko (−5,5 %), Maďarsko (−5,1 %), Rakousko (−3,9 %). Naopak přebytek převyšující 3 % HDP zaznamenaly v rámci celé Unie Dánsko, Irsko a Kypr, nižší kladné saldo měly dále Nizozemsko, Lucembursko, Řecko </w:t>
            </w:r>
            <w:r>
              <w:rPr>
                <w:color w:val="0D0D0D" w:themeColor="text1" w:themeTint="F2"/>
                <w:spacing w:val="-6"/>
              </w:rPr>
              <w:br/>
              <w:t>a Portugalsko. T</w:t>
            </w:r>
            <w:r w:rsidRPr="0040616A">
              <w:rPr>
                <w:color w:val="0D0D0D" w:themeColor="text1" w:themeTint="F2"/>
                <w:spacing w:val="-6"/>
              </w:rPr>
              <w:t xml:space="preserve">rend mezikvartálního poklesu míry zadlužení sektoru VI v EU (i eurozóně), trvající skoro tři roky, se </w:t>
            </w:r>
            <w:r>
              <w:rPr>
                <w:color w:val="0D0D0D" w:themeColor="text1" w:themeTint="F2"/>
                <w:spacing w:val="-6"/>
              </w:rPr>
              <w:t>na počátku roku 2024 zastavil a tento obrat potvrdilo i 2. čtvrtletí. Míra zadluženosti</w:t>
            </w:r>
            <w:r w:rsidRPr="0040616A">
              <w:rPr>
                <w:color w:val="0D0D0D" w:themeColor="text1" w:themeTint="F2"/>
                <w:spacing w:val="-6"/>
              </w:rPr>
              <w:t xml:space="preserve"> </w:t>
            </w:r>
            <w:r>
              <w:rPr>
                <w:color w:val="0D0D0D" w:themeColor="text1" w:themeTint="F2"/>
                <w:spacing w:val="-6"/>
              </w:rPr>
              <w:t>na jeho konci činila 81,5 % HDP (resp. 88,1</w:t>
            </w:r>
            <w:r w:rsidRPr="0040616A">
              <w:rPr>
                <w:color w:val="0D0D0D" w:themeColor="text1" w:themeTint="F2"/>
                <w:spacing w:val="-6"/>
              </w:rPr>
              <w:t xml:space="preserve"> %</w:t>
            </w:r>
            <w:r>
              <w:rPr>
                <w:color w:val="0D0D0D" w:themeColor="text1" w:themeTint="F2"/>
                <w:spacing w:val="-6"/>
              </w:rPr>
              <w:t xml:space="preserve">) a mezikvartálně vzrostla </w:t>
            </w:r>
            <w:r>
              <w:rPr>
                <w:color w:val="0D0D0D" w:themeColor="text1" w:themeTint="F2"/>
                <w:spacing w:val="-6"/>
              </w:rPr>
              <w:br/>
              <w:t>o 0,2</w:t>
            </w:r>
            <w:r w:rsidRPr="0040616A">
              <w:rPr>
                <w:color w:val="0D0D0D" w:themeColor="text1" w:themeTint="F2"/>
                <w:spacing w:val="-6"/>
              </w:rPr>
              <w:t xml:space="preserve"> p. b</w:t>
            </w:r>
            <w:r w:rsidRPr="00B54243">
              <w:rPr>
                <w:color w:val="0D0D0D" w:themeColor="text1" w:themeTint="F2"/>
                <w:spacing w:val="-2"/>
              </w:rPr>
              <w:t xml:space="preserve">. Meziroční pokles zadluženosti </w:t>
            </w:r>
            <w:r>
              <w:rPr>
                <w:color w:val="0D0D0D" w:themeColor="text1" w:themeTint="F2"/>
                <w:spacing w:val="-2"/>
              </w:rPr>
              <w:t xml:space="preserve">ale pokračoval, aktuálně </w:t>
            </w:r>
            <w:r w:rsidRPr="00B54243">
              <w:rPr>
                <w:color w:val="0D0D0D" w:themeColor="text1" w:themeTint="F2"/>
                <w:spacing w:val="-2"/>
              </w:rPr>
              <w:t>nastal ve 14 zemích – nejvýraznější byl na Kypru</w:t>
            </w:r>
            <w:r>
              <w:rPr>
                <w:color w:val="0D0D0D" w:themeColor="text1" w:themeTint="F2"/>
                <w:spacing w:val="-6"/>
              </w:rPr>
              <w:t xml:space="preserve"> (o 10 p. b.). Díky letošnímu přebytku </w:t>
            </w:r>
            <w:r w:rsidRPr="00A7605F">
              <w:rPr>
                <w:color w:val="0D0D0D" w:themeColor="text1" w:themeTint="F2"/>
                <w:spacing w:val="-6"/>
              </w:rPr>
              <w:t xml:space="preserve">hospodaření </w:t>
            </w:r>
            <w:r>
              <w:rPr>
                <w:color w:val="0D0D0D" w:themeColor="text1" w:themeTint="F2"/>
                <w:spacing w:val="-6"/>
              </w:rPr>
              <w:t xml:space="preserve">si polepšily </w:t>
            </w:r>
            <w:r>
              <w:rPr>
                <w:color w:val="0D0D0D" w:themeColor="text1" w:themeTint="F2"/>
                <w:spacing w:val="-6"/>
              </w:rPr>
              <w:br/>
              <w:t>i</w:t>
            </w:r>
            <w:r w:rsidRPr="00A7605F">
              <w:rPr>
                <w:color w:val="0D0D0D" w:themeColor="text1" w:themeTint="F2"/>
                <w:spacing w:val="-6"/>
              </w:rPr>
              <w:t xml:space="preserve"> </w:t>
            </w:r>
            <w:r w:rsidRPr="00F33AC6">
              <w:rPr>
                <w:color w:val="0D0D0D" w:themeColor="text1" w:themeTint="F2"/>
                <w:spacing w:val="-7"/>
              </w:rPr>
              <w:t>některé dlouhodobě vysoce zadlužené státy jako Řecko (</w:t>
            </w:r>
            <w:r>
              <w:rPr>
                <w:color w:val="0D0D0D" w:themeColor="text1" w:themeTint="F2"/>
                <w:spacing w:val="-7"/>
              </w:rPr>
              <w:t>−</w:t>
            </w:r>
            <w:r w:rsidRPr="00F33AC6">
              <w:rPr>
                <w:color w:val="0D0D0D" w:themeColor="text1" w:themeTint="F2"/>
                <w:spacing w:val="-7"/>
              </w:rPr>
              <w:t>8,9 p. b.) a Portugalsko (</w:t>
            </w:r>
            <w:r>
              <w:rPr>
                <w:color w:val="0D0D0D" w:themeColor="text1" w:themeTint="F2"/>
                <w:spacing w:val="-7"/>
              </w:rPr>
              <w:t>−</w:t>
            </w:r>
            <w:r w:rsidRPr="00F33AC6">
              <w:rPr>
                <w:color w:val="0D0D0D" w:themeColor="text1" w:themeTint="F2"/>
                <w:spacing w:val="-7"/>
              </w:rPr>
              <w:t>8,2 p. b.).</w:t>
            </w:r>
            <w:r>
              <w:rPr>
                <w:color w:val="0D0D0D" w:themeColor="text1" w:themeTint="F2"/>
                <w:spacing w:val="-6"/>
              </w:rPr>
              <w:t xml:space="preserve"> V Česku zadluženost stagnovala a její úroveň (42,6 % HDP) byla mezi členskými státy sedmá nejnižší (podobné výše dosahovaly také Irsko či Nizozemsko). V polovině států EU, </w:t>
            </w:r>
            <w:r>
              <w:rPr>
                <w:color w:val="0D0D0D" w:themeColor="text1" w:themeTint="F2"/>
                <w:spacing w:val="-5"/>
              </w:rPr>
              <w:t>včetně všech</w:t>
            </w:r>
            <w:r w:rsidRPr="00F33AC6">
              <w:rPr>
                <w:color w:val="0D0D0D" w:themeColor="text1" w:themeTint="F2"/>
                <w:spacing w:val="-5"/>
              </w:rPr>
              <w:t xml:space="preserve"> klíčových ekonomik, ale zadluženost překračovala 60 % HDP – z novějších</w:t>
            </w:r>
            <w:r>
              <w:rPr>
                <w:color w:val="0D0D0D" w:themeColor="text1" w:themeTint="F2"/>
                <w:spacing w:val="-6"/>
              </w:rPr>
              <w:t xml:space="preserve"> členských </w:t>
            </w:r>
            <w:r>
              <w:rPr>
                <w:color w:val="0D0D0D" w:themeColor="text1" w:themeTint="F2"/>
                <w:spacing w:val="-6"/>
              </w:rPr>
              <w:lastRenderedPageBreak/>
              <w:t xml:space="preserve">zemí šlo hlavně o Maďarsko (s dluhem ve výši 75,8 % HDP) a dále Kypr (70,5 %), Slovinsko (69,6 %). Těšně nad Maastrichtským dluhovým kritériem se pohybovaly Slovensko </w:t>
            </w:r>
            <w:r>
              <w:rPr>
                <w:color w:val="0D0D0D" w:themeColor="text1" w:themeTint="F2"/>
                <w:spacing w:val="-6"/>
              </w:rPr>
              <w:br/>
              <w:t xml:space="preserve">a Chorvatsko. Proti minimální výši </w:t>
            </w:r>
            <w:r w:rsidRPr="0040616A">
              <w:rPr>
                <w:color w:val="0D0D0D" w:themeColor="text1" w:themeTint="F2"/>
                <w:spacing w:val="-6"/>
              </w:rPr>
              <w:t>z konjunkturního obd</w:t>
            </w:r>
            <w:r>
              <w:rPr>
                <w:color w:val="0D0D0D" w:themeColor="text1" w:themeTint="F2"/>
                <w:spacing w:val="-6"/>
              </w:rPr>
              <w:t xml:space="preserve">obí (2015 až 2019) byla aktuální míra zadlužení v EU vyšší o 4 p. b., v Česku dokonce o 13 p. b. (ještě nepatrně horší pozici </w:t>
            </w:r>
            <w:r w:rsidRPr="006738D2">
              <w:rPr>
                <w:color w:val="0D0D0D" w:themeColor="text1" w:themeTint="F2"/>
                <w:spacing w:val="-8"/>
              </w:rPr>
              <w:t>měly Rumunsko, Estonsko, Finsko a Francie). Naopak osm členských států vykázalo zadlužení</w:t>
            </w:r>
            <w:r w:rsidRPr="006738D2">
              <w:rPr>
                <w:color w:val="0D0D0D" w:themeColor="text1" w:themeTint="F2"/>
                <w:spacing w:val="-7"/>
              </w:rPr>
              <w:t xml:space="preserve"> pod úr</w:t>
            </w:r>
            <w:r>
              <w:rPr>
                <w:color w:val="0D0D0D" w:themeColor="text1" w:themeTint="F2"/>
                <w:spacing w:val="-7"/>
              </w:rPr>
              <w:t>ovní výše uvedeného minima (mj</w:t>
            </w:r>
            <w:r w:rsidRPr="006738D2">
              <w:rPr>
                <w:color w:val="0D0D0D" w:themeColor="text1" w:themeTint="F2"/>
                <w:spacing w:val="-7"/>
              </w:rPr>
              <w:t>. Dánsko, Švédsko, Irsko, Nizozemsko či Chorvatsko).</w:t>
            </w:r>
          </w:p>
        </w:tc>
      </w:tr>
    </w:tbl>
    <w:p w14:paraId="1D8DE38B" w14:textId="77777777" w:rsidR="000A5265" w:rsidRPr="00777B55" w:rsidRDefault="000A5265" w:rsidP="000A5265">
      <w:pPr>
        <w:pStyle w:val="Nadpis11"/>
        <w:spacing w:after="0" w:line="240" w:lineRule="auto"/>
        <w:outlineLvl w:val="9"/>
        <w:rPr>
          <w:b w:val="0"/>
          <w:sz w:val="2"/>
          <w:szCs w:val="2"/>
        </w:rPr>
      </w:pPr>
    </w:p>
    <w:p w14:paraId="2143296F" w14:textId="056CBB00" w:rsidR="00A50D73" w:rsidRDefault="00A50D73" w:rsidP="00800216">
      <w:pPr>
        <w:spacing w:after="0"/>
      </w:pPr>
    </w:p>
    <w:sectPr w:rsidR="00A50D73" w:rsidSect="00085732">
      <w:headerReference w:type="even" r:id="rId13"/>
      <w:headerReference w:type="default" r:id="rId14"/>
      <w:footerReference w:type="even" r:id="rId15"/>
      <w:footerReference w:type="default" r:id="rId16"/>
      <w:pgSz w:w="11906" w:h="16838" w:code="9"/>
      <w:pgMar w:top="1134" w:right="1134" w:bottom="1418" w:left="1134" w:header="680" w:footer="680"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EF3C" w14:textId="77777777" w:rsidR="00DC48F1" w:rsidRDefault="00DC48F1" w:rsidP="00E71A58">
      <w:r>
        <w:separator/>
      </w:r>
    </w:p>
  </w:endnote>
  <w:endnote w:type="continuationSeparator" w:id="0">
    <w:p w14:paraId="70B7E2B6" w14:textId="77777777" w:rsidR="00DC48F1" w:rsidRDefault="00DC48F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8" w14:textId="39021DC9" w:rsidR="009855E1" w:rsidRPr="00932443" w:rsidRDefault="009855E1" w:rsidP="00A418BC">
    <w:pPr>
      <w:pStyle w:val="Zpat"/>
      <w:rPr>
        <w:szCs w:val="16"/>
      </w:rPr>
    </w:pPr>
    <w:r>
      <w:rPr>
        <w:szCs w:val="16"/>
        <w:lang w:eastAsia="cs-CZ"/>
      </w:rPr>
      <w:drawing>
        <wp:anchor distT="0" distB="0" distL="114300" distR="114300" simplePos="0" relativeHeight="251658240" behindDoc="0" locked="0" layoutInCell="1" allowOverlap="1" wp14:anchorId="2143298A" wp14:editId="2143298B">
          <wp:simplePos x="0" y="0"/>
          <wp:positionH relativeFrom="column">
            <wp:align>right</wp:align>
          </wp:positionH>
          <wp:positionV relativeFrom="paragraph">
            <wp:posOffset>-64770</wp:posOffset>
          </wp:positionV>
          <wp:extent cx="428625" cy="201295"/>
          <wp:effectExtent l="0" t="0" r="3175" b="1905"/>
          <wp:wrapNone/>
          <wp:docPr id="21"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085732">
      <w:rPr>
        <w:szCs w:val="16"/>
      </w:rPr>
      <w:t>44</w:t>
    </w:r>
    <w:r w:rsidRPr="00932443">
      <w:rPr>
        <w:szCs w:val="16"/>
      </w:rPr>
      <w:fldChar w:fldCharType="end"/>
    </w:r>
    <w:r w:rsidRPr="00932443">
      <w:rPr>
        <w:szCs w:val="16"/>
      </w:rPr>
      <w:tab/>
    </w:r>
    <w:r>
      <w:rPr>
        <w:szCs w:val="16"/>
      </w:rPr>
      <w:t>1. až 3. čtvrtletí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9" w14:textId="516372CE" w:rsidR="009855E1" w:rsidRPr="00932443" w:rsidRDefault="009855E1" w:rsidP="00A418BC">
    <w:pPr>
      <w:pStyle w:val="Zpat"/>
      <w:rPr>
        <w:szCs w:val="16"/>
      </w:rPr>
    </w:pPr>
    <w:r>
      <w:rPr>
        <w:szCs w:val="16"/>
        <w:lang w:eastAsia="cs-CZ"/>
      </w:rPr>
      <w:drawing>
        <wp:anchor distT="0" distB="0" distL="114300" distR="114300" simplePos="0" relativeHeight="251657216" behindDoc="0" locked="0" layoutInCell="1" allowOverlap="1" wp14:anchorId="2143298C" wp14:editId="2143298D">
          <wp:simplePos x="0" y="0"/>
          <wp:positionH relativeFrom="column">
            <wp:align>left</wp:align>
          </wp:positionH>
          <wp:positionV relativeFrom="paragraph">
            <wp:posOffset>-122555</wp:posOffset>
          </wp:positionV>
          <wp:extent cx="510540" cy="272415"/>
          <wp:effectExtent l="0" t="0" r="0" b="6985"/>
          <wp:wrapNone/>
          <wp:docPr id="22"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szCs w:val="16"/>
      </w:rPr>
      <w:t>1. až 3.čtvrtletí 2024</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085732">
      <w:rPr>
        <w:rStyle w:val="ZpatChar"/>
        <w:szCs w:val="16"/>
      </w:rPr>
      <w:t>45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D8F6" w14:textId="77777777" w:rsidR="00DC48F1" w:rsidRDefault="00DC48F1" w:rsidP="00EA4302">
      <w:pPr>
        <w:spacing w:after="0"/>
      </w:pPr>
      <w:r>
        <w:separator/>
      </w:r>
    </w:p>
  </w:footnote>
  <w:footnote w:type="continuationSeparator" w:id="0">
    <w:p w14:paraId="70CDBF0C" w14:textId="77777777" w:rsidR="00DC48F1" w:rsidRDefault="00DC48F1" w:rsidP="00E71A58">
      <w:r>
        <w:continuationSeparator/>
      </w:r>
    </w:p>
  </w:footnote>
  <w:footnote w:id="1">
    <w:p w14:paraId="593A0DEB" w14:textId="77777777" w:rsidR="009855E1" w:rsidRPr="008332EA" w:rsidRDefault="009855E1" w:rsidP="000A5265">
      <w:pPr>
        <w:pStyle w:val="Textpoznpodarou"/>
        <w:jc w:val="both"/>
        <w:rPr>
          <w:spacing w:val="-2"/>
          <w:sz w:val="16"/>
          <w:szCs w:val="16"/>
        </w:rPr>
      </w:pPr>
      <w:r w:rsidRPr="008332EA">
        <w:rPr>
          <w:rStyle w:val="Znakapoznpodarou"/>
          <w:spacing w:val="-2"/>
          <w:sz w:val="16"/>
          <w:szCs w:val="16"/>
        </w:rPr>
        <w:footnoteRef/>
      </w:r>
      <w:r w:rsidRPr="008332EA">
        <w:rPr>
          <w:spacing w:val="-2"/>
          <w:sz w:val="16"/>
          <w:szCs w:val="16"/>
        </w:rPr>
        <w:t xml:space="preserve"> </w:t>
      </w:r>
      <w:r w:rsidRPr="008332EA">
        <w:rPr>
          <w:color w:val="0D0D0D" w:themeColor="text1" w:themeTint="F2"/>
          <w:spacing w:val="-2"/>
          <w:sz w:val="16"/>
          <w:szCs w:val="16"/>
        </w:rPr>
        <w:t xml:space="preserve">Pokud není uvedeno jinak, vycházejí všechny údaje týkající se státního rozpočtu </w:t>
      </w:r>
      <w:r w:rsidRPr="008332EA">
        <w:rPr>
          <w:rFonts w:cs="Arial"/>
          <w:color w:val="0D0D0D" w:themeColor="text1" w:themeTint="F2"/>
          <w:spacing w:val="-2"/>
          <w:sz w:val="16"/>
          <w:szCs w:val="16"/>
        </w:rPr>
        <w:t xml:space="preserve">z dat Ministerstva financí </w:t>
      </w:r>
      <w:r>
        <w:rPr>
          <w:rFonts w:cs="Arial"/>
          <w:color w:val="0D0D0D" w:themeColor="text1" w:themeTint="F2"/>
          <w:spacing w:val="-2"/>
          <w:sz w:val="16"/>
          <w:szCs w:val="16"/>
        </w:rPr>
        <w:t xml:space="preserve">(MF) </w:t>
      </w:r>
      <w:r w:rsidRPr="008332EA">
        <w:rPr>
          <w:rFonts w:cs="Arial"/>
          <w:color w:val="0D0D0D" w:themeColor="text1" w:themeTint="F2"/>
          <w:spacing w:val="-2"/>
          <w:sz w:val="16"/>
          <w:szCs w:val="16"/>
        </w:rPr>
        <w:t>ČR o pokladním plnění.</w:t>
      </w:r>
    </w:p>
  </w:footnote>
  <w:footnote w:id="2">
    <w:p w14:paraId="2334C558" w14:textId="77777777" w:rsidR="009855E1" w:rsidRPr="008332EA" w:rsidRDefault="009855E1" w:rsidP="000A5265">
      <w:pPr>
        <w:pStyle w:val="Textpoznpodarou"/>
        <w:rPr>
          <w:spacing w:val="-2"/>
          <w:sz w:val="16"/>
          <w:szCs w:val="16"/>
        </w:rPr>
      </w:pPr>
      <w:r w:rsidRPr="008332EA">
        <w:rPr>
          <w:rStyle w:val="Znakapoznpodarou"/>
          <w:spacing w:val="-2"/>
          <w:sz w:val="16"/>
          <w:szCs w:val="16"/>
        </w:rPr>
        <w:footnoteRef/>
      </w:r>
      <w:r>
        <w:rPr>
          <w:spacing w:val="-2"/>
          <w:sz w:val="16"/>
          <w:szCs w:val="16"/>
        </w:rPr>
        <w:t xml:space="preserve"> To představuje více než 70</w:t>
      </w:r>
      <w:r w:rsidRPr="008332EA">
        <w:rPr>
          <w:spacing w:val="-2"/>
          <w:sz w:val="16"/>
          <w:szCs w:val="16"/>
        </w:rPr>
        <w:t xml:space="preserve"> % </w:t>
      </w:r>
      <w:r>
        <w:rPr>
          <w:spacing w:val="-2"/>
          <w:sz w:val="16"/>
          <w:szCs w:val="16"/>
        </w:rPr>
        <w:t xml:space="preserve">původně </w:t>
      </w:r>
      <w:r w:rsidRPr="008332EA">
        <w:rPr>
          <w:spacing w:val="-2"/>
          <w:sz w:val="16"/>
          <w:szCs w:val="16"/>
        </w:rPr>
        <w:t>plánov</w:t>
      </w:r>
      <w:r>
        <w:rPr>
          <w:spacing w:val="-2"/>
          <w:sz w:val="16"/>
          <w:szCs w:val="16"/>
        </w:rPr>
        <w:t>aného celoročního schodku dle z</w:t>
      </w:r>
      <w:r w:rsidRPr="008332EA">
        <w:rPr>
          <w:spacing w:val="-2"/>
          <w:sz w:val="16"/>
          <w:szCs w:val="16"/>
        </w:rPr>
        <w:t xml:space="preserve">ákona </w:t>
      </w:r>
      <w:r>
        <w:rPr>
          <w:spacing w:val="-2"/>
          <w:sz w:val="16"/>
          <w:szCs w:val="16"/>
        </w:rPr>
        <w:t>o státním rozpočtu na rok 2024 (</w:t>
      </w:r>
      <w:r w:rsidRPr="008332EA">
        <w:rPr>
          <w:spacing w:val="-2"/>
          <w:sz w:val="16"/>
          <w:szCs w:val="16"/>
        </w:rPr>
        <w:t>schválenéh</w:t>
      </w:r>
      <w:r>
        <w:rPr>
          <w:spacing w:val="-2"/>
          <w:sz w:val="16"/>
          <w:szCs w:val="16"/>
        </w:rPr>
        <w:t xml:space="preserve">o na konci listopadu 2023). Na počátku října 2024 byla následně schválena jeho novela, jež kvůli rychlému a pružnému řešení následků zářijových povodní počítá se zvýšením výdajů o 30 mld. korun a o stejnou částku navyšuje i rozpočtový schodek. </w:t>
      </w:r>
    </w:p>
  </w:footnote>
  <w:footnote w:id="3">
    <w:p w14:paraId="3A8373B2" w14:textId="77777777" w:rsidR="009855E1" w:rsidRPr="008332EA" w:rsidRDefault="009855E1" w:rsidP="000A5265">
      <w:pPr>
        <w:autoSpaceDE w:val="0"/>
        <w:autoSpaceDN w:val="0"/>
        <w:adjustRightInd w:val="0"/>
        <w:spacing w:after="0" w:line="240" w:lineRule="auto"/>
        <w:jc w:val="left"/>
        <w:rPr>
          <w:rFonts w:eastAsia="Calibri" w:cs="Arial"/>
          <w:spacing w:val="-2"/>
          <w:sz w:val="16"/>
          <w:szCs w:val="16"/>
          <w:lang w:eastAsia="en-US"/>
        </w:rPr>
      </w:pPr>
      <w:r w:rsidRPr="008332EA">
        <w:rPr>
          <w:rStyle w:val="Znakapoznpodarou"/>
          <w:spacing w:val="-2"/>
          <w:sz w:val="16"/>
          <w:szCs w:val="16"/>
        </w:rPr>
        <w:footnoteRef/>
      </w:r>
      <w:r w:rsidRPr="008332EA">
        <w:rPr>
          <w:spacing w:val="-2"/>
          <w:sz w:val="16"/>
          <w:szCs w:val="16"/>
        </w:rPr>
        <w:t xml:space="preserve"> </w:t>
      </w:r>
      <w:r>
        <w:rPr>
          <w:spacing w:val="-2"/>
          <w:sz w:val="16"/>
          <w:szCs w:val="16"/>
        </w:rPr>
        <w:t xml:space="preserve">Trend vývoje schodku je příznivější po jeho </w:t>
      </w:r>
      <w:r w:rsidRPr="008332EA">
        <w:rPr>
          <w:spacing w:val="-2"/>
          <w:sz w:val="16"/>
          <w:szCs w:val="16"/>
        </w:rPr>
        <w:t>očištění o</w:t>
      </w:r>
      <w:r>
        <w:rPr>
          <w:spacing w:val="-2"/>
          <w:sz w:val="16"/>
          <w:szCs w:val="16"/>
        </w:rPr>
        <w:t xml:space="preserve"> vliv prostředků z rozpočtu EU, vč.</w:t>
      </w:r>
      <w:r w:rsidRPr="008332EA">
        <w:rPr>
          <w:spacing w:val="-2"/>
          <w:sz w:val="16"/>
          <w:szCs w:val="16"/>
        </w:rPr>
        <w:t xml:space="preserve"> </w:t>
      </w:r>
      <w:r>
        <w:rPr>
          <w:spacing w:val="-2"/>
          <w:sz w:val="16"/>
          <w:szCs w:val="16"/>
        </w:rPr>
        <w:t xml:space="preserve">finančních </w:t>
      </w:r>
      <w:r w:rsidRPr="008332EA">
        <w:rPr>
          <w:spacing w:val="-2"/>
          <w:sz w:val="16"/>
          <w:szCs w:val="16"/>
        </w:rPr>
        <w:t>mechanismů</w:t>
      </w:r>
      <w:r>
        <w:rPr>
          <w:spacing w:val="-2"/>
          <w:sz w:val="16"/>
          <w:szCs w:val="16"/>
        </w:rPr>
        <w:t xml:space="preserve"> (FM). Jde o</w:t>
      </w:r>
      <w:r w:rsidRPr="008332EA">
        <w:rPr>
          <w:spacing w:val="-2"/>
          <w:sz w:val="16"/>
          <w:szCs w:val="16"/>
        </w:rPr>
        <w:t> prostředky na programy</w:t>
      </w:r>
      <w:r>
        <w:rPr>
          <w:rFonts w:cs="Arial"/>
          <w:spacing w:val="-2"/>
          <w:sz w:val="16"/>
          <w:szCs w:val="16"/>
        </w:rPr>
        <w:t xml:space="preserve"> z rozpočtu EU a FM, jež</w:t>
      </w:r>
      <w:r w:rsidRPr="008332EA">
        <w:rPr>
          <w:rFonts w:cs="Arial"/>
          <w:spacing w:val="-2"/>
          <w:sz w:val="16"/>
          <w:szCs w:val="16"/>
        </w:rPr>
        <w:t xml:space="preserve"> byly předfinanc</w:t>
      </w:r>
      <w:r>
        <w:rPr>
          <w:rFonts w:cs="Arial"/>
          <w:spacing w:val="-2"/>
          <w:sz w:val="16"/>
          <w:szCs w:val="16"/>
        </w:rPr>
        <w:t xml:space="preserve">ovány ze SR a následně </w:t>
      </w:r>
      <w:r w:rsidRPr="008332EA">
        <w:rPr>
          <w:rFonts w:cs="Arial"/>
          <w:spacing w:val="-2"/>
          <w:sz w:val="16"/>
          <w:szCs w:val="16"/>
        </w:rPr>
        <w:t>proplaceny z</w:t>
      </w:r>
      <w:r w:rsidRPr="008332EA">
        <w:rPr>
          <w:spacing w:val="-2"/>
          <w:sz w:val="16"/>
          <w:szCs w:val="16"/>
        </w:rPr>
        <w:t> </w:t>
      </w:r>
      <w:r w:rsidRPr="008332EA">
        <w:rPr>
          <w:rFonts w:cs="Arial"/>
          <w:spacing w:val="-2"/>
          <w:sz w:val="16"/>
          <w:szCs w:val="16"/>
        </w:rPr>
        <w:t xml:space="preserve">rozpočtu EU a FM. </w:t>
      </w:r>
      <w:r>
        <w:rPr>
          <w:rFonts w:eastAsia="Calibri" w:cs="Arial"/>
          <w:spacing w:val="-2"/>
          <w:sz w:val="16"/>
          <w:szCs w:val="16"/>
          <w:lang w:eastAsia="en-US"/>
        </w:rPr>
        <w:t>Bez těchto prostředků, jež jsou ve</w:t>
      </w:r>
      <w:r w:rsidRPr="008332EA">
        <w:rPr>
          <w:rFonts w:eastAsia="Calibri" w:cs="Arial"/>
          <w:spacing w:val="-2"/>
          <w:sz w:val="16"/>
          <w:szCs w:val="16"/>
          <w:lang w:eastAsia="en-US"/>
        </w:rPr>
        <w:t xml:space="preserve"> </w:t>
      </w:r>
      <w:r>
        <w:rPr>
          <w:rFonts w:eastAsia="Calibri" w:cs="Arial"/>
          <w:spacing w:val="-2"/>
          <w:sz w:val="16"/>
          <w:szCs w:val="16"/>
          <w:lang w:eastAsia="en-US"/>
        </w:rPr>
        <w:t xml:space="preserve">schváleném </w:t>
      </w:r>
      <w:r w:rsidRPr="008332EA">
        <w:rPr>
          <w:rFonts w:eastAsia="Calibri" w:cs="Arial"/>
          <w:spacing w:val="-2"/>
          <w:sz w:val="16"/>
          <w:szCs w:val="16"/>
          <w:lang w:eastAsia="en-US"/>
        </w:rPr>
        <w:t xml:space="preserve">SR zahrnuty s neutrálním dopadem, </w:t>
      </w:r>
      <w:r w:rsidRPr="008332EA">
        <w:rPr>
          <w:rFonts w:cs="Arial"/>
          <w:spacing w:val="-2"/>
          <w:sz w:val="16"/>
          <w:szCs w:val="16"/>
          <w:lang w:eastAsia="en-US"/>
        </w:rPr>
        <w:t xml:space="preserve">činil </w:t>
      </w:r>
      <w:r>
        <w:rPr>
          <w:rFonts w:cs="Arial"/>
          <w:spacing w:val="-2"/>
          <w:sz w:val="16"/>
          <w:szCs w:val="16"/>
          <w:lang w:eastAsia="en-US"/>
        </w:rPr>
        <w:t xml:space="preserve">schodek za tři </w:t>
      </w:r>
      <w:r w:rsidRPr="008332EA">
        <w:rPr>
          <w:rFonts w:cs="Arial"/>
          <w:spacing w:val="-2"/>
          <w:sz w:val="16"/>
          <w:szCs w:val="16"/>
          <w:lang w:eastAsia="en-US"/>
        </w:rPr>
        <w:t xml:space="preserve">letošní </w:t>
      </w:r>
      <w:r>
        <w:rPr>
          <w:rFonts w:cs="Arial"/>
          <w:spacing w:val="-2"/>
          <w:sz w:val="16"/>
          <w:szCs w:val="16"/>
          <w:lang w:eastAsia="en-US"/>
        </w:rPr>
        <w:t>čtvrtletí 188</w:t>
      </w:r>
      <w:r w:rsidRPr="008332EA">
        <w:rPr>
          <w:rFonts w:cs="Arial"/>
          <w:spacing w:val="-2"/>
          <w:sz w:val="16"/>
          <w:szCs w:val="16"/>
          <w:lang w:eastAsia="en-US"/>
        </w:rPr>
        <w:t>,2</w:t>
      </w:r>
      <w:r>
        <w:rPr>
          <w:rFonts w:eastAsia="Calibri" w:cs="Arial"/>
          <w:spacing w:val="-2"/>
          <w:sz w:val="16"/>
          <w:szCs w:val="16"/>
          <w:lang w:eastAsia="en-US"/>
        </w:rPr>
        <w:t xml:space="preserve"> mld. korun a</w:t>
      </w:r>
      <w:r w:rsidRPr="008332EA">
        <w:rPr>
          <w:spacing w:val="-2"/>
          <w:sz w:val="16"/>
          <w:szCs w:val="16"/>
        </w:rPr>
        <w:t> </w:t>
      </w:r>
      <w:r>
        <w:rPr>
          <w:rFonts w:eastAsia="Calibri" w:cs="Arial"/>
          <w:spacing w:val="-2"/>
          <w:sz w:val="16"/>
          <w:szCs w:val="16"/>
          <w:lang w:eastAsia="en-US"/>
        </w:rPr>
        <w:t>meziročně byl o 23,5 mld. nižší.</w:t>
      </w:r>
    </w:p>
  </w:footnote>
  <w:footnote w:id="4">
    <w:p w14:paraId="5FFA4C61" w14:textId="77777777" w:rsidR="009855E1" w:rsidRPr="008332EA" w:rsidRDefault="009855E1" w:rsidP="000A5265">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Díky této úpravě je letos dle odhadu MF očekáváno celoroční zvýšení inkasa SR u DPH o 5,6 mld. korun, u daně z příjmu fyzických osob o 2,3 mld. </w:t>
      </w:r>
      <w:r>
        <w:rPr>
          <w:spacing w:val="-2"/>
          <w:sz w:val="16"/>
          <w:szCs w:val="16"/>
        </w:rPr>
        <w:t xml:space="preserve">korun </w:t>
      </w:r>
      <w:r w:rsidRPr="008332EA">
        <w:rPr>
          <w:spacing w:val="-2"/>
          <w:sz w:val="16"/>
          <w:szCs w:val="16"/>
        </w:rPr>
        <w:t>a u korporátní daně o 2,9 mld.</w:t>
      </w:r>
      <w:r>
        <w:rPr>
          <w:spacing w:val="-2"/>
          <w:sz w:val="16"/>
          <w:szCs w:val="16"/>
        </w:rPr>
        <w:t xml:space="preserve"> korun. Za 1. až 3. čtvrtletí 2024 vlivem změny RUD již získal SR navíc 7,9 mld. korun.</w:t>
      </w:r>
    </w:p>
  </w:footnote>
  <w:footnote w:id="5">
    <w:p w14:paraId="2051017A" w14:textId="77777777" w:rsidR="009855E1" w:rsidRPr="008332EA" w:rsidRDefault="009855E1" w:rsidP="000A5265">
      <w:pPr>
        <w:spacing w:after="0" w:line="240" w:lineRule="auto"/>
        <w:rPr>
          <w:spacing w:val="-2"/>
        </w:rPr>
      </w:pPr>
      <w:r w:rsidRPr="008332EA">
        <w:rPr>
          <w:rStyle w:val="Znakapoznpodarou"/>
          <w:spacing w:val="-2"/>
          <w:sz w:val="16"/>
          <w:szCs w:val="16"/>
        </w:rPr>
        <w:footnoteRef/>
      </w:r>
      <w:r w:rsidRPr="008332EA">
        <w:rPr>
          <w:spacing w:val="-2"/>
          <w:sz w:val="16"/>
          <w:szCs w:val="16"/>
        </w:rPr>
        <w:t xml:space="preserve"> </w:t>
      </w:r>
      <w:r w:rsidRPr="008332EA">
        <w:rPr>
          <w:rFonts w:cs="Arial"/>
          <w:spacing w:val="-2"/>
          <w:sz w:val="16"/>
          <w:szCs w:val="16"/>
        </w:rPr>
        <w:t>Jedná se zejména o znovuzavedení placení pojistného z nemocenského pojištění hrazeného zaměstnancem (0,6 % vyměřovacího základu, do roku 2008 činila tato sazba 1,1 %). Rozpočtově méně významné je zvýšení vyměřovacího základu pro osoby samostatně výdělečně činné a stanovení limitů pro vznik účasti na pojištění zaměstnance pracujícího na základě dohody o provedení práce.</w:t>
      </w:r>
      <w:r w:rsidRPr="008332EA">
        <w:rPr>
          <w:rFonts w:cstheme="minorHAnsi"/>
          <w:spacing w:val="-2"/>
        </w:rPr>
        <w:t xml:space="preserve"> </w:t>
      </w:r>
      <w:r w:rsidRPr="008332EA">
        <w:rPr>
          <w:spacing w:val="-2"/>
          <w:sz w:val="16"/>
          <w:szCs w:val="16"/>
        </w:rPr>
        <w:t>Dle odhadu MF je vlivem těchto úprav letos očekáváno celoroční zvýšení inkasa SR o 18 mld. korun.</w:t>
      </w:r>
    </w:p>
  </w:footnote>
  <w:footnote w:id="6">
    <w:p w14:paraId="5EB26FCC" w14:textId="77777777" w:rsidR="009855E1" w:rsidRDefault="009855E1" w:rsidP="000A5265">
      <w:pPr>
        <w:pStyle w:val="Textpoznpodarou"/>
      </w:pPr>
      <w:r w:rsidRPr="004E0DF3">
        <w:rPr>
          <w:rStyle w:val="Znakapoznpodarou"/>
          <w:sz w:val="16"/>
          <w:szCs w:val="16"/>
        </w:rPr>
        <w:footnoteRef/>
      </w:r>
      <w:r w:rsidRPr="004E0DF3">
        <w:rPr>
          <w:sz w:val="16"/>
          <w:szCs w:val="16"/>
        </w:rPr>
        <w:t xml:space="preserve"> </w:t>
      </w:r>
      <w:r w:rsidRPr="004E0DF3">
        <w:rPr>
          <w:spacing w:val="-2"/>
          <w:sz w:val="16"/>
          <w:szCs w:val="16"/>
        </w:rPr>
        <w:t>Tento nástroj vznikl v souvislosti s potřebou řešit hosp</w:t>
      </w:r>
      <w:r>
        <w:rPr>
          <w:spacing w:val="-2"/>
          <w:sz w:val="16"/>
          <w:szCs w:val="16"/>
        </w:rPr>
        <w:t>odářské a sociální dopady pandemie</w:t>
      </w:r>
      <w:r w:rsidRPr="004E0DF3">
        <w:rPr>
          <w:spacing w:val="-2"/>
          <w:sz w:val="16"/>
          <w:szCs w:val="16"/>
        </w:rPr>
        <w:t xml:space="preserve"> covid</w:t>
      </w:r>
      <w:r>
        <w:rPr>
          <w:spacing w:val="-2"/>
          <w:sz w:val="16"/>
          <w:szCs w:val="16"/>
        </w:rPr>
        <w:t>u</w:t>
      </w:r>
      <w:r w:rsidRPr="004E0DF3">
        <w:rPr>
          <w:spacing w:val="-2"/>
          <w:sz w:val="16"/>
          <w:szCs w:val="16"/>
        </w:rPr>
        <w:t xml:space="preserve">-19. </w:t>
      </w:r>
      <w:r>
        <w:rPr>
          <w:spacing w:val="-2"/>
          <w:sz w:val="16"/>
          <w:szCs w:val="16"/>
        </w:rPr>
        <w:t>Cílí</w:t>
      </w:r>
      <w:r w:rsidRPr="004E0DF3">
        <w:rPr>
          <w:spacing w:val="-2"/>
          <w:sz w:val="16"/>
          <w:szCs w:val="16"/>
        </w:rPr>
        <w:t xml:space="preserve"> </w:t>
      </w:r>
      <w:r>
        <w:rPr>
          <w:spacing w:val="-2"/>
          <w:sz w:val="16"/>
          <w:szCs w:val="16"/>
        </w:rPr>
        <w:t xml:space="preserve">zejména </w:t>
      </w:r>
      <w:r w:rsidRPr="004E0DF3">
        <w:rPr>
          <w:spacing w:val="-2"/>
          <w:sz w:val="16"/>
          <w:szCs w:val="16"/>
        </w:rPr>
        <w:t>na obnovu trhu práce, sociální ochranu a systémy zdravotní péče, oživení potenciálu pro udržitelný růst a zaměstnanost, transformaci na zelenou a digitální ekonomiku, výzkum a inovace, podporu zemědělství a rozvoje venkova.</w:t>
      </w:r>
    </w:p>
  </w:footnote>
  <w:footnote w:id="7">
    <w:p w14:paraId="7E77D413" w14:textId="77777777" w:rsidR="009855E1" w:rsidRPr="00B4204A" w:rsidRDefault="009855E1" w:rsidP="000A5265">
      <w:pPr>
        <w:pStyle w:val="Textpoznpodarou"/>
        <w:rPr>
          <w:sz w:val="16"/>
          <w:szCs w:val="16"/>
        </w:rPr>
      </w:pPr>
      <w:r w:rsidRPr="00B4204A">
        <w:rPr>
          <w:rStyle w:val="Znakapoznpodarou"/>
          <w:sz w:val="16"/>
          <w:szCs w:val="16"/>
        </w:rPr>
        <w:footnoteRef/>
      </w:r>
      <w:r w:rsidRPr="00B4204A">
        <w:rPr>
          <w:sz w:val="16"/>
          <w:szCs w:val="16"/>
        </w:rPr>
        <w:t xml:space="preserve"> </w:t>
      </w:r>
      <w:r w:rsidRPr="008534DA">
        <w:rPr>
          <w:spacing w:val="-2"/>
          <w:sz w:val="16"/>
          <w:szCs w:val="16"/>
        </w:rPr>
        <w:t>Ta se týká energetických, petrochemických a těžebních firem</w:t>
      </w:r>
      <w:r>
        <w:rPr>
          <w:spacing w:val="-2"/>
          <w:sz w:val="16"/>
          <w:szCs w:val="16"/>
        </w:rPr>
        <w:t xml:space="preserve"> (v oblasti fosilních paliv) a zahrnuje rovněž velké banky</w:t>
      </w:r>
      <w:r w:rsidRPr="008534DA">
        <w:rPr>
          <w:spacing w:val="-2"/>
          <w:sz w:val="16"/>
          <w:szCs w:val="16"/>
        </w:rPr>
        <w:t xml:space="preserve">. </w:t>
      </w:r>
      <w:r w:rsidRPr="004E6893">
        <w:rPr>
          <w:spacing w:val="-2"/>
          <w:sz w:val="16"/>
          <w:szCs w:val="16"/>
        </w:rPr>
        <w:t>Funguje jako 60% daňová přirážka aplikovaná na nadměrný zisk těchto firem stanovený jako rozdíl mezi základem daně v letech 2023–2025 a průměrem základů daně za roky 2018 až 2021 navýšeným o 20 procent.</w:t>
      </w:r>
      <w:r>
        <w:rPr>
          <w:spacing w:val="-2"/>
          <w:sz w:val="16"/>
          <w:szCs w:val="16"/>
        </w:rPr>
        <w:t xml:space="preserve"> </w:t>
      </w:r>
      <w:r w:rsidRPr="008534DA">
        <w:rPr>
          <w:spacing w:val="-2"/>
          <w:sz w:val="16"/>
          <w:szCs w:val="16"/>
        </w:rPr>
        <w:t xml:space="preserve">Drtivá </w:t>
      </w:r>
      <w:r>
        <w:rPr>
          <w:spacing w:val="-2"/>
          <w:sz w:val="16"/>
          <w:szCs w:val="16"/>
        </w:rPr>
        <w:t xml:space="preserve">většina inkasa této daně ovšem plynula do SR </w:t>
      </w:r>
      <w:r w:rsidRPr="008534DA">
        <w:rPr>
          <w:spacing w:val="-2"/>
          <w:sz w:val="16"/>
          <w:szCs w:val="16"/>
        </w:rPr>
        <w:t>z odvětví energetiky</w:t>
      </w:r>
      <w:r>
        <w:rPr>
          <w:spacing w:val="-2"/>
          <w:sz w:val="16"/>
          <w:szCs w:val="16"/>
        </w:rPr>
        <w:t>.</w:t>
      </w:r>
    </w:p>
  </w:footnote>
  <w:footnote w:id="8">
    <w:p w14:paraId="560FDD7A" w14:textId="77777777" w:rsidR="009855E1" w:rsidRPr="002437ED" w:rsidRDefault="009855E1" w:rsidP="000A5265">
      <w:pPr>
        <w:pStyle w:val="Textpoznpodarou"/>
        <w:rPr>
          <w:sz w:val="16"/>
          <w:szCs w:val="16"/>
        </w:rPr>
      </w:pPr>
      <w:r w:rsidRPr="002437ED">
        <w:rPr>
          <w:rStyle w:val="Znakapoznpodarou"/>
          <w:sz w:val="16"/>
          <w:szCs w:val="16"/>
        </w:rPr>
        <w:footnoteRef/>
      </w:r>
      <w:r w:rsidRPr="002437ED">
        <w:rPr>
          <w:sz w:val="16"/>
          <w:szCs w:val="16"/>
        </w:rPr>
        <w:t xml:space="preserve"> Po výrazném nenaplnění příjmů této daně za celý loňský rok (plán: 85 mld. korun, skutečnost: 39 mld.), bylo na letošní rok rozpočtové očekávání stanoveno jen na 17 mld. korun.</w:t>
      </w:r>
    </w:p>
  </w:footnote>
  <w:footnote w:id="9">
    <w:p w14:paraId="39B085D6" w14:textId="77777777" w:rsidR="009855E1" w:rsidRDefault="009855E1" w:rsidP="000A5265">
      <w:pPr>
        <w:pStyle w:val="Textpoznpodarou"/>
      </w:pPr>
      <w:r w:rsidRPr="00B4204A">
        <w:rPr>
          <w:rStyle w:val="Znakapoznpodarou"/>
          <w:sz w:val="16"/>
          <w:szCs w:val="16"/>
        </w:rPr>
        <w:footnoteRef/>
      </w:r>
      <w:r>
        <w:t xml:space="preserve"> </w:t>
      </w:r>
      <w:r w:rsidRPr="008534DA">
        <w:rPr>
          <w:spacing w:val="-2"/>
          <w:sz w:val="16"/>
          <w:szCs w:val="16"/>
        </w:rPr>
        <w:t>Tento odvod (zdaněný 90% sazbou) představuje rozdíl mezi skutečným příjmem a stropem tržního příjmu z prodeje elektřiny nad stanovenou hranici (za období od 1. prosince 2022 do konce roku 2023).</w:t>
      </w:r>
    </w:p>
  </w:footnote>
  <w:footnote w:id="10">
    <w:p w14:paraId="440B2787" w14:textId="77777777" w:rsidR="009855E1" w:rsidRPr="008332EA" w:rsidRDefault="009855E1" w:rsidP="000A5265">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Reálné výdaje na konečnou spotřebu domácností </w:t>
      </w:r>
      <w:r>
        <w:rPr>
          <w:spacing w:val="-2"/>
          <w:sz w:val="16"/>
          <w:szCs w:val="16"/>
        </w:rPr>
        <w:t>se v 1. polo</w:t>
      </w:r>
      <w:r w:rsidRPr="008332EA">
        <w:rPr>
          <w:spacing w:val="-2"/>
          <w:sz w:val="16"/>
          <w:szCs w:val="16"/>
        </w:rPr>
        <w:t xml:space="preserve">letí 2024 po </w:t>
      </w:r>
      <w:r>
        <w:rPr>
          <w:spacing w:val="-2"/>
          <w:sz w:val="16"/>
          <w:szCs w:val="16"/>
        </w:rPr>
        <w:t>očištění meziročně zvýšily o 1,3</w:t>
      </w:r>
      <w:r w:rsidRPr="008332EA">
        <w:rPr>
          <w:spacing w:val="-2"/>
          <w:sz w:val="16"/>
          <w:szCs w:val="16"/>
        </w:rPr>
        <w:t xml:space="preserve"> % (vzr</w:t>
      </w:r>
      <w:r>
        <w:rPr>
          <w:spacing w:val="-2"/>
          <w:sz w:val="16"/>
          <w:szCs w:val="16"/>
        </w:rPr>
        <w:t xml:space="preserve">ostly poprvé od poloviny </w:t>
      </w:r>
      <w:r w:rsidRPr="002636F0">
        <w:rPr>
          <w:spacing w:val="-4"/>
          <w:sz w:val="16"/>
          <w:szCs w:val="16"/>
        </w:rPr>
        <w:t>roku 2022). Dle 1. odhadu HDP se tyto výdaje zvyšovaly i ve 3. čtvrtletí. Ještě svižněji vzrostly výdaje na spotřebu vládních institucí (+3,8 %).</w:t>
      </w:r>
    </w:p>
  </w:footnote>
  <w:footnote w:id="11">
    <w:p w14:paraId="7AF83623" w14:textId="77777777" w:rsidR="009855E1" w:rsidRPr="002632CD" w:rsidRDefault="009855E1" w:rsidP="000A5265">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w:t>
      </w:r>
      <w:r w:rsidRPr="00040E85">
        <w:rPr>
          <w:spacing w:val="-4"/>
          <w:sz w:val="16"/>
          <w:szCs w:val="16"/>
        </w:rPr>
        <w:t>To se týká sjednocení dvou snížených sazeb (10 % a 15 %) do jedné ve výši 12 % (vyjma knih, jež jsou nově od DPH zcela osvobozeny). Řada zboží a služeb nově podléhá nižšímu zdanění (např. základní potraviny, léky, zdravotnické výrobky, stavební práce). Negativní rozpočtový dopad je současně tlumen hlavně přesunem některých položek bez prokazatelného sociálního či zdravotního významu do základní 21% sazby daně (pivo, nealkoholické nápoje, služby autorů a umělců, kadeřnické služby, palivové dřevo, komunální odpad, úklidové práce).</w:t>
      </w:r>
    </w:p>
  </w:footnote>
  <w:footnote w:id="12">
    <w:p w14:paraId="1F41E397" w14:textId="77777777" w:rsidR="009855E1" w:rsidRPr="003C3705" w:rsidRDefault="009855E1" w:rsidP="000A5265">
      <w:pPr>
        <w:pStyle w:val="Textpoznpodarou"/>
        <w:rPr>
          <w:spacing w:val="-2"/>
          <w:sz w:val="16"/>
          <w:szCs w:val="16"/>
        </w:rPr>
      </w:pPr>
      <w:r w:rsidRPr="003C3705">
        <w:rPr>
          <w:rStyle w:val="Znakapoznpodarou"/>
          <w:spacing w:val="-2"/>
          <w:sz w:val="16"/>
          <w:szCs w:val="16"/>
        </w:rPr>
        <w:footnoteRef/>
      </w:r>
      <w:r w:rsidRPr="003C3705">
        <w:rPr>
          <w:spacing w:val="-2"/>
          <w:sz w:val="16"/>
          <w:szCs w:val="16"/>
        </w:rPr>
        <w:t xml:space="preserve"> Na letošní nižší inkaso této daně má vliv dřívější předzásobení nakupujících (kvůli navýšení sazby daně o 10 % platné od ledna 2024).</w:t>
      </w:r>
    </w:p>
  </w:footnote>
  <w:footnote w:id="13">
    <w:p w14:paraId="3DC4C989" w14:textId="77777777" w:rsidR="009855E1" w:rsidRDefault="009855E1" w:rsidP="000A5265">
      <w:pPr>
        <w:pStyle w:val="Textpoznpodarou"/>
      </w:pPr>
      <w:r w:rsidRPr="00441D45">
        <w:rPr>
          <w:rStyle w:val="Znakapoznpodarou"/>
          <w:sz w:val="16"/>
          <w:szCs w:val="16"/>
        </w:rPr>
        <w:footnoteRef/>
      </w:r>
      <w:r w:rsidRPr="00441D45">
        <w:rPr>
          <w:sz w:val="16"/>
          <w:szCs w:val="16"/>
        </w:rPr>
        <w:t xml:space="preserve"> K t</w:t>
      </w:r>
      <w:r>
        <w:rPr>
          <w:sz w:val="16"/>
          <w:szCs w:val="16"/>
        </w:rPr>
        <w:t>omuto zvýšení došlo loni od</w:t>
      </w:r>
      <w:r w:rsidRPr="00441D45">
        <w:rPr>
          <w:sz w:val="16"/>
          <w:szCs w:val="16"/>
        </w:rPr>
        <w:t xml:space="preserve"> srpna (o 1,5 korun na litr). Sazba spotřební daně z motorové nafty se tak vrátila na původní výši </w:t>
      </w:r>
      <w:r>
        <w:rPr>
          <w:sz w:val="16"/>
          <w:szCs w:val="16"/>
        </w:rPr>
        <w:br/>
      </w:r>
      <w:r w:rsidRPr="00441D45">
        <w:rPr>
          <w:sz w:val="16"/>
          <w:szCs w:val="16"/>
        </w:rPr>
        <w:t xml:space="preserve">(9,95 </w:t>
      </w:r>
      <w:r>
        <w:rPr>
          <w:sz w:val="16"/>
          <w:szCs w:val="16"/>
        </w:rPr>
        <w:t>korun/l) platnou do května 2022</w:t>
      </w:r>
      <w:r w:rsidRPr="00C2781C">
        <w:rPr>
          <w:sz w:val="16"/>
          <w:szCs w:val="16"/>
        </w:rPr>
        <w:t>.</w:t>
      </w:r>
    </w:p>
  </w:footnote>
  <w:footnote w:id="14">
    <w:p w14:paraId="417450A8" w14:textId="77777777" w:rsidR="009855E1" w:rsidRPr="00D1495C" w:rsidRDefault="009855E1" w:rsidP="000A5265">
      <w:pPr>
        <w:pStyle w:val="Textpoznpodarou"/>
        <w:rPr>
          <w:sz w:val="16"/>
          <w:szCs w:val="16"/>
        </w:rPr>
      </w:pPr>
      <w:r w:rsidRPr="00D1495C">
        <w:rPr>
          <w:rStyle w:val="Znakapoznpodarou"/>
          <w:sz w:val="16"/>
          <w:szCs w:val="16"/>
        </w:rPr>
        <w:footnoteRef/>
      </w:r>
      <w:r w:rsidRPr="00D1495C">
        <w:rPr>
          <w:sz w:val="16"/>
          <w:szCs w:val="16"/>
        </w:rPr>
        <w:t xml:space="preserve"> Dle údajů ČSÚ vzrostla od ledna do července 2024 spotřeba váhově nejvýznamnější položky – motorové nafty – meziročně o 1,1 %,</w:t>
      </w:r>
      <w:r>
        <w:rPr>
          <w:sz w:val="16"/>
          <w:szCs w:val="16"/>
        </w:rPr>
        <w:t xml:space="preserve"> motorového benzínu u 5,5 % a leteckého </w:t>
      </w:r>
      <w:r w:rsidRPr="00D1495C">
        <w:rPr>
          <w:sz w:val="16"/>
          <w:szCs w:val="16"/>
        </w:rPr>
        <w:t>petrolej</w:t>
      </w:r>
      <w:r>
        <w:rPr>
          <w:sz w:val="16"/>
          <w:szCs w:val="16"/>
        </w:rPr>
        <w:t xml:space="preserve">e bezmála o 30 %. Letos v září činila </w:t>
      </w:r>
      <w:r w:rsidRPr="00D1495C">
        <w:rPr>
          <w:sz w:val="16"/>
          <w:szCs w:val="16"/>
        </w:rPr>
        <w:t>průměrná spotřebitelská cena</w:t>
      </w:r>
      <w:r>
        <w:rPr>
          <w:sz w:val="16"/>
          <w:szCs w:val="16"/>
        </w:rPr>
        <w:t xml:space="preserve"> benzinu Natural 95 35,83 Kč/l a</w:t>
      </w:r>
      <w:r w:rsidRPr="00D1495C">
        <w:rPr>
          <w:sz w:val="16"/>
          <w:szCs w:val="16"/>
        </w:rPr>
        <w:t xml:space="preserve"> byla </w:t>
      </w:r>
      <w:r>
        <w:rPr>
          <w:sz w:val="16"/>
          <w:szCs w:val="16"/>
        </w:rPr>
        <w:t xml:space="preserve">to tak </w:t>
      </w:r>
      <w:r w:rsidRPr="00D1495C">
        <w:rPr>
          <w:sz w:val="16"/>
          <w:szCs w:val="16"/>
        </w:rPr>
        <w:t>ne</w:t>
      </w:r>
      <w:r>
        <w:rPr>
          <w:sz w:val="16"/>
          <w:szCs w:val="16"/>
        </w:rPr>
        <w:t>jnižší hodnota od října 2021. Průměrná cena motorové nafty dosahovala 34,22 Kč/l, nejméně</w:t>
      </w:r>
      <w:r w:rsidRPr="00D1495C">
        <w:rPr>
          <w:sz w:val="16"/>
          <w:szCs w:val="16"/>
        </w:rPr>
        <w:t xml:space="preserve"> od července 2023.</w:t>
      </w:r>
    </w:p>
  </w:footnote>
  <w:footnote w:id="15">
    <w:p w14:paraId="2647063D" w14:textId="77777777" w:rsidR="009855E1" w:rsidRPr="00F61BB1" w:rsidRDefault="009855E1" w:rsidP="000A5265">
      <w:pPr>
        <w:pStyle w:val="Textpoznpodarou"/>
        <w:rPr>
          <w:spacing w:val="-2"/>
          <w:sz w:val="16"/>
          <w:szCs w:val="16"/>
        </w:rPr>
      </w:pPr>
      <w:r w:rsidRPr="00F61BB1">
        <w:rPr>
          <w:rStyle w:val="Znakapoznpodarou"/>
          <w:sz w:val="16"/>
          <w:szCs w:val="16"/>
        </w:rPr>
        <w:footnoteRef/>
      </w:r>
      <w:r w:rsidRPr="00F61BB1">
        <w:rPr>
          <w:sz w:val="16"/>
          <w:szCs w:val="16"/>
        </w:rPr>
        <w:t xml:space="preserve"> </w:t>
      </w:r>
      <w:r>
        <w:rPr>
          <w:sz w:val="16"/>
          <w:szCs w:val="16"/>
        </w:rPr>
        <w:t>I</w:t>
      </w:r>
      <w:r w:rsidRPr="00F61BB1">
        <w:rPr>
          <w:sz w:val="16"/>
          <w:szCs w:val="16"/>
        </w:rPr>
        <w:t>n</w:t>
      </w:r>
      <w:r w:rsidRPr="00F61BB1">
        <w:rPr>
          <w:spacing w:val="-2"/>
          <w:sz w:val="16"/>
          <w:szCs w:val="16"/>
        </w:rPr>
        <w:t xml:space="preserve">kaso </w:t>
      </w:r>
      <w:r>
        <w:rPr>
          <w:spacing w:val="-2"/>
          <w:sz w:val="16"/>
          <w:szCs w:val="16"/>
        </w:rPr>
        <w:t>DPFO odvedené plátci posílilo</w:t>
      </w:r>
      <w:r w:rsidRPr="00F61BB1">
        <w:rPr>
          <w:spacing w:val="-2"/>
          <w:sz w:val="16"/>
          <w:szCs w:val="16"/>
        </w:rPr>
        <w:t xml:space="preserve"> </w:t>
      </w:r>
      <w:r w:rsidRPr="00592FF3">
        <w:rPr>
          <w:spacing w:val="-2"/>
          <w:sz w:val="16"/>
          <w:szCs w:val="16"/>
        </w:rPr>
        <w:t>(na úrov</w:t>
      </w:r>
      <w:r>
        <w:rPr>
          <w:spacing w:val="-2"/>
          <w:sz w:val="16"/>
          <w:szCs w:val="16"/>
        </w:rPr>
        <w:t xml:space="preserve">ni všech veřejných rozpočtů) v 1. až 3. čtvrtletí 2024 meziročně o 14,8 %. Ačkoli svižně rostlo již třetím rokem v řadě (ve stejném období loni dokonce o 20,9 %), stále se nacházelo zřetelně pod úrovní z </w:t>
      </w:r>
      <w:r w:rsidRPr="00592FF3">
        <w:rPr>
          <w:spacing w:val="-2"/>
          <w:sz w:val="16"/>
          <w:szCs w:val="16"/>
        </w:rPr>
        <w:t>r</w:t>
      </w:r>
      <w:r>
        <w:rPr>
          <w:spacing w:val="-2"/>
          <w:sz w:val="16"/>
          <w:szCs w:val="16"/>
        </w:rPr>
        <w:t>ekordního roku 2019 (o 7,4 %, resp. 11,7</w:t>
      </w:r>
      <w:r w:rsidRPr="00592FF3">
        <w:rPr>
          <w:spacing w:val="-2"/>
          <w:sz w:val="16"/>
          <w:szCs w:val="16"/>
        </w:rPr>
        <w:t xml:space="preserve"> mld. korun). Klíčovou r</w:t>
      </w:r>
      <w:r>
        <w:rPr>
          <w:spacing w:val="-2"/>
          <w:sz w:val="16"/>
          <w:szCs w:val="16"/>
        </w:rPr>
        <w:t>oli zde sehrálo zrušení tzv. superhrubé mzdy</w:t>
      </w:r>
      <w:r w:rsidRPr="00592FF3">
        <w:rPr>
          <w:spacing w:val="-2"/>
          <w:sz w:val="16"/>
          <w:szCs w:val="16"/>
        </w:rPr>
        <w:t>.</w:t>
      </w:r>
      <w:r>
        <w:rPr>
          <w:spacing w:val="-2"/>
          <w:sz w:val="16"/>
          <w:szCs w:val="16"/>
        </w:rPr>
        <w:t xml:space="preserve"> Naproti tomu inkaso korporátní daně (bez mimořádných daní) obdobnou úroveň převyšovalo o 57 % (+83 mld. korun).</w:t>
      </w:r>
    </w:p>
  </w:footnote>
  <w:footnote w:id="16">
    <w:p w14:paraId="0DC71766" w14:textId="77777777" w:rsidR="009855E1" w:rsidRPr="009124F8" w:rsidRDefault="009855E1" w:rsidP="000A5265">
      <w:pPr>
        <w:pStyle w:val="Textpoznpodarou"/>
        <w:rPr>
          <w:sz w:val="16"/>
          <w:szCs w:val="16"/>
        </w:rPr>
      </w:pPr>
      <w:r w:rsidRPr="009124F8">
        <w:rPr>
          <w:rStyle w:val="Znakapoznpodarou"/>
          <w:sz w:val="16"/>
          <w:szCs w:val="16"/>
        </w:rPr>
        <w:footnoteRef/>
      </w:r>
      <w:r w:rsidRPr="009124F8">
        <w:rPr>
          <w:sz w:val="16"/>
          <w:szCs w:val="16"/>
        </w:rPr>
        <w:t xml:space="preserve"> Od ledna 2023 se zvýšil limit </w:t>
      </w:r>
      <w:r>
        <w:rPr>
          <w:sz w:val="16"/>
          <w:szCs w:val="16"/>
        </w:rPr>
        <w:t xml:space="preserve">maximálních ročních příjmů </w:t>
      </w:r>
      <w:r w:rsidRPr="009124F8">
        <w:rPr>
          <w:sz w:val="16"/>
          <w:szCs w:val="16"/>
        </w:rPr>
        <w:t>pro vstup do paušálního režimu platby (z 1 na 2 mil. korun).</w:t>
      </w:r>
    </w:p>
  </w:footnote>
  <w:footnote w:id="17">
    <w:p w14:paraId="29D9513D" w14:textId="77777777" w:rsidR="009855E1" w:rsidRPr="005F5C7C" w:rsidRDefault="009855E1" w:rsidP="000A5265">
      <w:pPr>
        <w:pStyle w:val="Textpoznpodarou"/>
        <w:rPr>
          <w:sz w:val="16"/>
          <w:szCs w:val="16"/>
        </w:rPr>
      </w:pPr>
      <w:r w:rsidRPr="005F5C7C">
        <w:rPr>
          <w:rStyle w:val="Znakapoznpodarou"/>
          <w:sz w:val="16"/>
          <w:szCs w:val="16"/>
        </w:rPr>
        <w:footnoteRef/>
      </w:r>
      <w:r w:rsidRPr="005F5C7C">
        <w:rPr>
          <w:sz w:val="16"/>
          <w:szCs w:val="16"/>
        </w:rPr>
        <w:t xml:space="preserve"> V dlouhodobém p</w:t>
      </w:r>
      <w:r>
        <w:rPr>
          <w:sz w:val="16"/>
          <w:szCs w:val="16"/>
        </w:rPr>
        <w:t>ohledu však patřil letošní podíl</w:t>
      </w:r>
      <w:r w:rsidRPr="005F5C7C">
        <w:rPr>
          <w:sz w:val="16"/>
          <w:szCs w:val="16"/>
        </w:rPr>
        <w:t xml:space="preserve"> sociálních dávek </w:t>
      </w:r>
      <w:r>
        <w:rPr>
          <w:sz w:val="16"/>
          <w:szCs w:val="16"/>
        </w:rPr>
        <w:t xml:space="preserve">na všech výdajích </w:t>
      </w:r>
      <w:r w:rsidRPr="005F5C7C">
        <w:rPr>
          <w:sz w:val="16"/>
          <w:szCs w:val="16"/>
        </w:rPr>
        <w:t>k průměrným.</w:t>
      </w:r>
    </w:p>
  </w:footnote>
  <w:footnote w:id="18">
    <w:p w14:paraId="110E58F2" w14:textId="77777777" w:rsidR="009855E1" w:rsidRPr="00592FF3" w:rsidRDefault="009855E1" w:rsidP="000A5265">
      <w:pPr>
        <w:pStyle w:val="Textpoznpodarou"/>
        <w:rPr>
          <w:spacing w:val="-2"/>
          <w:sz w:val="16"/>
          <w:szCs w:val="16"/>
        </w:rPr>
      </w:pPr>
      <w:r w:rsidRPr="00592FF3">
        <w:rPr>
          <w:rStyle w:val="Znakapoznpodarou"/>
          <w:spacing w:val="-2"/>
          <w:sz w:val="16"/>
          <w:szCs w:val="16"/>
        </w:rPr>
        <w:footnoteRef/>
      </w:r>
      <w:r w:rsidRPr="00592FF3">
        <w:rPr>
          <w:spacing w:val="-2"/>
          <w:sz w:val="16"/>
          <w:szCs w:val="16"/>
        </w:rPr>
        <w:t xml:space="preserve"> Jde zejména o to, že při zvýšení důchodu se nově nezohledňuje polovina, ale pouze třetina nárůstu reálné</w:t>
      </w:r>
      <w:r>
        <w:rPr>
          <w:spacing w:val="-2"/>
          <w:sz w:val="16"/>
          <w:szCs w:val="16"/>
        </w:rPr>
        <w:t xml:space="preserve"> mzdy. Od ledna 2024 došlo</w:t>
      </w:r>
      <w:r w:rsidRPr="00592FF3">
        <w:rPr>
          <w:spacing w:val="-2"/>
          <w:sz w:val="16"/>
          <w:szCs w:val="16"/>
        </w:rPr>
        <w:t xml:space="preserve"> k navýšení </w:t>
      </w:r>
      <w:r>
        <w:rPr>
          <w:spacing w:val="-2"/>
          <w:sz w:val="16"/>
          <w:szCs w:val="16"/>
        </w:rPr>
        <w:t xml:space="preserve">pouze </w:t>
      </w:r>
      <w:r w:rsidRPr="00592FF3">
        <w:rPr>
          <w:spacing w:val="-2"/>
          <w:sz w:val="16"/>
          <w:szCs w:val="16"/>
        </w:rPr>
        <w:t xml:space="preserve">základní výměry všech důchodů (o 360 korun), procentní výměra nevzrostla. Průměrný </w:t>
      </w:r>
      <w:r>
        <w:rPr>
          <w:spacing w:val="-2"/>
          <w:sz w:val="16"/>
          <w:szCs w:val="16"/>
        </w:rPr>
        <w:t xml:space="preserve">měsíční </w:t>
      </w:r>
      <w:r w:rsidRPr="00592FF3">
        <w:rPr>
          <w:spacing w:val="-2"/>
          <w:sz w:val="16"/>
          <w:szCs w:val="16"/>
        </w:rPr>
        <w:t>s</w:t>
      </w:r>
      <w:r>
        <w:rPr>
          <w:spacing w:val="-2"/>
          <w:sz w:val="16"/>
          <w:szCs w:val="16"/>
        </w:rPr>
        <w:t xml:space="preserve">tarobní důchod </w:t>
      </w:r>
      <w:r w:rsidRPr="00592FF3">
        <w:rPr>
          <w:spacing w:val="-2"/>
          <w:sz w:val="16"/>
          <w:szCs w:val="16"/>
        </w:rPr>
        <w:t xml:space="preserve">(bez souběhu s ostatními důchody) </w:t>
      </w:r>
      <w:r>
        <w:rPr>
          <w:spacing w:val="-2"/>
          <w:sz w:val="16"/>
          <w:szCs w:val="16"/>
        </w:rPr>
        <w:t>byl na konci září</w:t>
      </w:r>
      <w:r w:rsidRPr="00592FF3">
        <w:rPr>
          <w:spacing w:val="-2"/>
          <w:sz w:val="16"/>
          <w:szCs w:val="16"/>
        </w:rPr>
        <w:t xml:space="preserve"> </w:t>
      </w:r>
      <w:r>
        <w:rPr>
          <w:spacing w:val="-2"/>
          <w:sz w:val="16"/>
          <w:szCs w:val="16"/>
        </w:rPr>
        <w:t xml:space="preserve">2024 meziročně vyšší o 2,1 %, když dosáhl </w:t>
      </w:r>
      <w:r w:rsidRPr="00592FF3">
        <w:rPr>
          <w:spacing w:val="-2"/>
          <w:sz w:val="16"/>
          <w:szCs w:val="16"/>
        </w:rPr>
        <w:t>u mužů 21,9 tis. korun</w:t>
      </w:r>
      <w:r>
        <w:rPr>
          <w:spacing w:val="-2"/>
          <w:sz w:val="16"/>
          <w:szCs w:val="16"/>
        </w:rPr>
        <w:t>, u žen 19,5</w:t>
      </w:r>
      <w:r w:rsidRPr="00592FF3">
        <w:rPr>
          <w:spacing w:val="-2"/>
          <w:sz w:val="16"/>
          <w:szCs w:val="16"/>
        </w:rPr>
        <w:t xml:space="preserve"> tis. korun.</w:t>
      </w:r>
    </w:p>
  </w:footnote>
  <w:footnote w:id="19">
    <w:p w14:paraId="6E76EFD6" w14:textId="77777777" w:rsidR="009855E1" w:rsidRPr="004A6934" w:rsidRDefault="009855E1" w:rsidP="000A5265">
      <w:pPr>
        <w:pStyle w:val="Textpoznpodarou"/>
        <w:rPr>
          <w:sz w:val="16"/>
          <w:szCs w:val="16"/>
        </w:rPr>
      </w:pPr>
      <w:r w:rsidRPr="00592FF3">
        <w:rPr>
          <w:rStyle w:val="Znakapoznpodarou"/>
          <w:spacing w:val="-2"/>
          <w:sz w:val="16"/>
          <w:szCs w:val="16"/>
        </w:rPr>
        <w:footnoteRef/>
      </w:r>
      <w:r w:rsidRPr="00592FF3">
        <w:rPr>
          <w:spacing w:val="-2"/>
          <w:sz w:val="16"/>
          <w:szCs w:val="16"/>
        </w:rPr>
        <w:t xml:space="preserve"> Růst počtu všech příjemců trvale krácených starobních důchodů (KSD) během loňského roku zrychloval </w:t>
      </w:r>
      <w:r>
        <w:rPr>
          <w:spacing w:val="-2"/>
          <w:sz w:val="16"/>
          <w:szCs w:val="16"/>
        </w:rPr>
        <w:t>a tento vývoj pokračoval i na počátku roku 2024 (v 1. čtvrtletí na 8,5</w:t>
      </w:r>
      <w:r w:rsidRPr="00592FF3">
        <w:rPr>
          <w:spacing w:val="-2"/>
          <w:sz w:val="16"/>
          <w:szCs w:val="16"/>
        </w:rPr>
        <w:t xml:space="preserve"> % meziročně, nejvíce od roku 2012)</w:t>
      </w:r>
      <w:r>
        <w:rPr>
          <w:spacing w:val="-2"/>
          <w:sz w:val="16"/>
          <w:szCs w:val="16"/>
        </w:rPr>
        <w:t xml:space="preserve">. Následně ale zvolnilo tempo i vlivem nové legislativní úpravy schválené v roce 2023 pro výpočet těchto důchodů (ve 3. čtvrtletí na 6,2 %). </w:t>
      </w:r>
      <w:r w:rsidRPr="00592FF3">
        <w:rPr>
          <w:spacing w:val="-2"/>
          <w:sz w:val="16"/>
          <w:szCs w:val="16"/>
        </w:rPr>
        <w:t xml:space="preserve">Do počtu KSD nejsou zahrnuty osoby, které podaly žádost </w:t>
      </w:r>
      <w:r>
        <w:rPr>
          <w:spacing w:val="-2"/>
          <w:sz w:val="16"/>
          <w:szCs w:val="16"/>
        </w:rPr>
        <w:br/>
      </w:r>
      <w:r w:rsidRPr="00592FF3">
        <w:rPr>
          <w:spacing w:val="-2"/>
          <w:sz w:val="16"/>
          <w:szCs w:val="16"/>
        </w:rPr>
        <w:t>o předčasný důchod, ale zahájení jeho výplaty si odložily.</w:t>
      </w:r>
    </w:p>
  </w:footnote>
  <w:footnote w:id="20">
    <w:p w14:paraId="63DBE039" w14:textId="77777777" w:rsidR="009855E1" w:rsidRPr="00777350" w:rsidRDefault="009855E1" w:rsidP="000A5265">
      <w:pPr>
        <w:pStyle w:val="Textpoznpodarou"/>
        <w:jc w:val="both"/>
        <w:rPr>
          <w:rFonts w:cs="Arial"/>
          <w:color w:val="000000" w:themeColor="text1"/>
          <w:spacing w:val="-4"/>
          <w:sz w:val="16"/>
          <w:szCs w:val="16"/>
        </w:rPr>
      </w:pPr>
      <w:r w:rsidRPr="00777350">
        <w:rPr>
          <w:rStyle w:val="Znakapoznpodarou"/>
          <w:spacing w:val="-4"/>
          <w:sz w:val="16"/>
          <w:szCs w:val="16"/>
        </w:rPr>
        <w:footnoteRef/>
      </w:r>
      <w:r w:rsidRPr="00777350">
        <w:rPr>
          <w:spacing w:val="-4"/>
          <w:sz w:val="16"/>
          <w:szCs w:val="16"/>
        </w:rPr>
        <w:t xml:space="preserve"> To vyjadřuje r</w:t>
      </w:r>
      <w:r w:rsidRPr="00777350">
        <w:rPr>
          <w:rFonts w:cs="Arial"/>
          <w:color w:val="000000" w:themeColor="text1"/>
          <w:spacing w:val="-4"/>
          <w:sz w:val="16"/>
          <w:szCs w:val="16"/>
        </w:rPr>
        <w:t>ozdíl mezi příjmy z pojistného na důchodové pojištění</w:t>
      </w:r>
      <w:r w:rsidRPr="00777350">
        <w:rPr>
          <w:rFonts w:ascii="Segoe UI" w:eastAsia="Times New Roman" w:hAnsi="Segoe UI" w:cs="Segoe UI"/>
          <w:b/>
          <w:bCs/>
          <w:color w:val="000000"/>
          <w:spacing w:val="-4"/>
          <w:sz w:val="16"/>
          <w:szCs w:val="16"/>
        </w:rPr>
        <w:t xml:space="preserve"> </w:t>
      </w:r>
      <w:r>
        <w:rPr>
          <w:rFonts w:cs="Arial"/>
          <w:color w:val="000000" w:themeColor="text1"/>
          <w:spacing w:val="-4"/>
          <w:sz w:val="16"/>
          <w:szCs w:val="16"/>
        </w:rPr>
        <w:t>a výdaji na dávky z tohoto</w:t>
      </w:r>
      <w:r w:rsidRPr="00777350">
        <w:rPr>
          <w:rFonts w:cs="Arial"/>
          <w:color w:val="000000" w:themeColor="text1"/>
          <w:spacing w:val="-4"/>
          <w:sz w:val="16"/>
          <w:szCs w:val="16"/>
        </w:rPr>
        <w:t xml:space="preserve"> </w:t>
      </w:r>
      <w:r w:rsidRPr="00777350">
        <w:rPr>
          <w:rFonts w:cs="Arial"/>
          <w:color w:val="0D0D0D" w:themeColor="text1" w:themeTint="F2"/>
          <w:spacing w:val="-4"/>
          <w:sz w:val="16"/>
          <w:szCs w:val="16"/>
        </w:rPr>
        <w:t>pojištění</w:t>
      </w:r>
      <w:r>
        <w:rPr>
          <w:rFonts w:cs="Arial"/>
          <w:color w:val="000000" w:themeColor="text1"/>
          <w:spacing w:val="-4"/>
          <w:sz w:val="16"/>
          <w:szCs w:val="16"/>
        </w:rPr>
        <w:t xml:space="preserve"> (vč. prostředků na správu systému) dle účetní bilance MF.</w:t>
      </w:r>
    </w:p>
  </w:footnote>
  <w:footnote w:id="21">
    <w:p w14:paraId="0535D1BD" w14:textId="77777777" w:rsidR="009855E1" w:rsidRPr="00310355" w:rsidRDefault="009855E1" w:rsidP="000A5265">
      <w:pPr>
        <w:pStyle w:val="Textpoznpodarou"/>
        <w:rPr>
          <w:sz w:val="16"/>
          <w:szCs w:val="16"/>
        </w:rPr>
      </w:pPr>
      <w:r w:rsidRPr="00310355">
        <w:rPr>
          <w:rStyle w:val="Znakapoznpodarou"/>
          <w:sz w:val="16"/>
          <w:szCs w:val="16"/>
        </w:rPr>
        <w:footnoteRef/>
      </w:r>
      <w:r w:rsidRPr="00310355">
        <w:rPr>
          <w:sz w:val="16"/>
          <w:szCs w:val="16"/>
        </w:rPr>
        <w:t xml:space="preserve"> Klíčovou roli zde sehrálo </w:t>
      </w:r>
      <w:r w:rsidRPr="00310355">
        <w:rPr>
          <w:color w:val="0D0D0D" w:themeColor="text1" w:themeTint="F2"/>
          <w:spacing w:val="-6"/>
          <w:sz w:val="16"/>
          <w:szCs w:val="16"/>
        </w:rPr>
        <w:t xml:space="preserve">zákonné navýšení částek pro osoby ve 2. až 4. stupni závislosti </w:t>
      </w:r>
      <w:r>
        <w:rPr>
          <w:color w:val="0D0D0D" w:themeColor="text1" w:themeTint="F2"/>
          <w:spacing w:val="-6"/>
          <w:sz w:val="16"/>
          <w:szCs w:val="16"/>
        </w:rPr>
        <w:t>(</w:t>
      </w:r>
      <w:r w:rsidRPr="00310355">
        <w:rPr>
          <w:color w:val="0D0D0D" w:themeColor="text1" w:themeTint="F2"/>
          <w:spacing w:val="-6"/>
          <w:sz w:val="16"/>
          <w:szCs w:val="16"/>
        </w:rPr>
        <w:t>od července 2024</w:t>
      </w:r>
      <w:r>
        <w:rPr>
          <w:color w:val="0D0D0D" w:themeColor="text1" w:themeTint="F2"/>
          <w:spacing w:val="-6"/>
          <w:sz w:val="16"/>
          <w:szCs w:val="16"/>
        </w:rPr>
        <w:t>)</w:t>
      </w:r>
      <w:r w:rsidRPr="00310355">
        <w:rPr>
          <w:color w:val="0D0D0D" w:themeColor="text1" w:themeTint="F2"/>
          <w:spacing w:val="-6"/>
          <w:sz w:val="16"/>
          <w:szCs w:val="16"/>
        </w:rPr>
        <w:t>.</w:t>
      </w:r>
    </w:p>
  </w:footnote>
  <w:footnote w:id="22">
    <w:p w14:paraId="7CBBE9C4" w14:textId="77777777" w:rsidR="009855E1" w:rsidRPr="00635BB8" w:rsidRDefault="009855E1" w:rsidP="000A5265">
      <w:pPr>
        <w:pStyle w:val="Textpoznpodarou"/>
        <w:rPr>
          <w:sz w:val="16"/>
          <w:szCs w:val="16"/>
        </w:rPr>
      </w:pPr>
      <w:r w:rsidRPr="00310355">
        <w:rPr>
          <w:rStyle w:val="Znakapoznpodarou"/>
          <w:sz w:val="16"/>
          <w:szCs w:val="16"/>
        </w:rPr>
        <w:footnoteRef/>
      </w:r>
      <w:r w:rsidRPr="00310355">
        <w:rPr>
          <w:sz w:val="16"/>
          <w:szCs w:val="16"/>
        </w:rPr>
        <w:t xml:space="preserve"> </w:t>
      </w:r>
      <w:r w:rsidRPr="00CD0BE5">
        <w:rPr>
          <w:color w:val="0D0D0D" w:themeColor="text1" w:themeTint="F2"/>
          <w:spacing w:val="-2"/>
          <w:sz w:val="16"/>
          <w:szCs w:val="16"/>
        </w:rPr>
        <w:t>K letošnímu pokle</w:t>
      </w:r>
      <w:r>
        <w:rPr>
          <w:color w:val="0D0D0D" w:themeColor="text1" w:themeTint="F2"/>
          <w:spacing w:val="-2"/>
          <w:sz w:val="16"/>
          <w:szCs w:val="16"/>
        </w:rPr>
        <w:t>su čerpání zde došlo i přesto</w:t>
      </w:r>
      <w:r w:rsidRPr="00CD0BE5">
        <w:rPr>
          <w:color w:val="0D0D0D" w:themeColor="text1" w:themeTint="F2"/>
          <w:spacing w:val="-2"/>
          <w:sz w:val="16"/>
          <w:szCs w:val="16"/>
        </w:rPr>
        <w:t xml:space="preserve">, že hodnota příspěvků u letos narozených dětí byla navýšena. </w:t>
      </w:r>
      <w:r w:rsidRPr="00CD0BE5">
        <w:rPr>
          <w:spacing w:val="-2"/>
          <w:sz w:val="16"/>
          <w:szCs w:val="16"/>
        </w:rPr>
        <w:t>Od ledna 2024 základní příspěvek vzrostl z 300 tis. na 350 tis. korun. Zároveň se zkrátila maximální doba pobírání příspěvku do 3 let věku dítěte (z</w:t>
      </w:r>
      <w:r w:rsidRPr="00CD0BE5">
        <w:rPr>
          <w:color w:val="0D0D0D" w:themeColor="text1" w:themeTint="F2"/>
          <w:spacing w:val="-2"/>
          <w:sz w:val="16"/>
          <w:szCs w:val="16"/>
        </w:rPr>
        <w:t> </w:t>
      </w:r>
      <w:r w:rsidRPr="00CD0BE5">
        <w:rPr>
          <w:spacing w:val="-2"/>
          <w:sz w:val="16"/>
          <w:szCs w:val="16"/>
        </w:rPr>
        <w:t>dřívějších 4 let).</w:t>
      </w:r>
    </w:p>
  </w:footnote>
  <w:footnote w:id="23">
    <w:p w14:paraId="5004078D" w14:textId="77777777" w:rsidR="009855E1" w:rsidRPr="00CD0BE5" w:rsidRDefault="009855E1" w:rsidP="000A5265">
      <w:pPr>
        <w:pStyle w:val="Textpoznpodarou"/>
        <w:rPr>
          <w:spacing w:val="-2"/>
          <w:sz w:val="16"/>
          <w:szCs w:val="16"/>
        </w:rPr>
      </w:pPr>
      <w:r w:rsidRPr="00CD0BE5">
        <w:rPr>
          <w:rStyle w:val="Znakapoznpodarou"/>
          <w:spacing w:val="-2"/>
          <w:sz w:val="16"/>
          <w:szCs w:val="16"/>
        </w:rPr>
        <w:footnoteRef/>
      </w:r>
      <w:r w:rsidRPr="00CD0BE5">
        <w:rPr>
          <w:spacing w:val="-2"/>
          <w:sz w:val="16"/>
          <w:szCs w:val="16"/>
        </w:rPr>
        <w:t xml:space="preserve"> Nárok na podporu mělo letos v září 84 tis. osob (29 % všech uchazečů o práci), o rok dříve 73 tis. (28 % uchazečů). Průměrná měsíční výše podpory činila letos analogicky 11,6 tis. korun, loni v září 10,7 tis.</w:t>
      </w:r>
      <w:r>
        <w:rPr>
          <w:spacing w:val="-2"/>
          <w:sz w:val="16"/>
          <w:szCs w:val="16"/>
        </w:rPr>
        <w:t xml:space="preserve"> korun. To souviselo i s rostou</w:t>
      </w:r>
      <w:r>
        <w:rPr>
          <w:color w:val="0D0D0D" w:themeColor="text1" w:themeTint="F2"/>
          <w:spacing w:val="-2"/>
          <w:sz w:val="16"/>
          <w:szCs w:val="16"/>
        </w:rPr>
        <w:t>cí</w:t>
      </w:r>
      <w:r w:rsidRPr="00CD0BE5">
        <w:rPr>
          <w:color w:val="0D0D0D" w:themeColor="text1" w:themeTint="F2"/>
          <w:spacing w:val="-2"/>
          <w:sz w:val="16"/>
          <w:szCs w:val="16"/>
        </w:rPr>
        <w:t xml:space="preserve"> mzdovou úrovní v ekonomice.</w:t>
      </w:r>
    </w:p>
  </w:footnote>
  <w:footnote w:id="24">
    <w:p w14:paraId="45A29619" w14:textId="77777777" w:rsidR="009855E1" w:rsidRPr="00C70FDA" w:rsidRDefault="009855E1" w:rsidP="000A5265">
      <w:pPr>
        <w:pStyle w:val="Textpoznpodarou"/>
        <w:rPr>
          <w:sz w:val="16"/>
          <w:szCs w:val="16"/>
        </w:rPr>
      </w:pPr>
      <w:r w:rsidRPr="00C70FDA">
        <w:rPr>
          <w:rStyle w:val="Znakapoznpodarou"/>
          <w:sz w:val="16"/>
          <w:szCs w:val="16"/>
        </w:rPr>
        <w:footnoteRef/>
      </w:r>
      <w:r w:rsidRPr="00C70FDA">
        <w:rPr>
          <w:sz w:val="16"/>
          <w:szCs w:val="16"/>
        </w:rPr>
        <w:t xml:space="preserve"> </w:t>
      </w:r>
      <w:r w:rsidRPr="00C70FDA">
        <w:rPr>
          <w:spacing w:val="-4"/>
          <w:sz w:val="16"/>
          <w:szCs w:val="16"/>
        </w:rPr>
        <w:t>To vyjadřuje r</w:t>
      </w:r>
      <w:r w:rsidRPr="00C70FDA">
        <w:rPr>
          <w:rFonts w:cs="Arial"/>
          <w:color w:val="000000" w:themeColor="text1"/>
          <w:spacing w:val="-4"/>
          <w:sz w:val="16"/>
          <w:szCs w:val="16"/>
        </w:rPr>
        <w:t>ozdíl mezi příjmy z pojistného na nemocenské pojištění</w:t>
      </w:r>
      <w:r w:rsidRPr="00C70FDA">
        <w:rPr>
          <w:rFonts w:ascii="Segoe UI" w:eastAsia="Times New Roman" w:hAnsi="Segoe UI" w:cs="Segoe UI"/>
          <w:b/>
          <w:bCs/>
          <w:color w:val="000000"/>
          <w:spacing w:val="-4"/>
          <w:sz w:val="16"/>
          <w:szCs w:val="16"/>
        </w:rPr>
        <w:t xml:space="preserve"> </w:t>
      </w:r>
      <w:r w:rsidRPr="00C70FDA">
        <w:rPr>
          <w:rFonts w:cs="Arial"/>
          <w:color w:val="000000" w:themeColor="text1"/>
          <w:spacing w:val="-4"/>
          <w:sz w:val="16"/>
          <w:szCs w:val="16"/>
        </w:rPr>
        <w:t xml:space="preserve">a výdaji na dávky z tohoto </w:t>
      </w:r>
      <w:r w:rsidRPr="00C70FDA">
        <w:rPr>
          <w:rFonts w:cs="Arial"/>
          <w:color w:val="0D0D0D" w:themeColor="text1" w:themeTint="F2"/>
          <w:spacing w:val="-4"/>
          <w:sz w:val="16"/>
          <w:szCs w:val="16"/>
        </w:rPr>
        <w:t>pojištění</w:t>
      </w:r>
      <w:r w:rsidRPr="00C70FDA">
        <w:rPr>
          <w:rFonts w:cs="Arial"/>
          <w:color w:val="000000" w:themeColor="text1"/>
          <w:spacing w:val="-4"/>
          <w:sz w:val="16"/>
          <w:szCs w:val="16"/>
        </w:rPr>
        <w:t xml:space="preserve"> dle účetní bilance ČSSZ.</w:t>
      </w:r>
    </w:p>
  </w:footnote>
  <w:footnote w:id="25">
    <w:p w14:paraId="096509D0" w14:textId="77777777" w:rsidR="009855E1" w:rsidRPr="0009704D" w:rsidRDefault="009855E1" w:rsidP="000A5265">
      <w:pPr>
        <w:pStyle w:val="Textpoznpodarou"/>
        <w:rPr>
          <w:sz w:val="16"/>
          <w:szCs w:val="16"/>
        </w:rPr>
      </w:pPr>
      <w:r w:rsidRPr="0009704D">
        <w:rPr>
          <w:rStyle w:val="Znakapoznpodarou"/>
          <w:sz w:val="16"/>
          <w:szCs w:val="16"/>
        </w:rPr>
        <w:footnoteRef/>
      </w:r>
      <w:r w:rsidRPr="0009704D">
        <w:rPr>
          <w:sz w:val="16"/>
          <w:szCs w:val="16"/>
        </w:rPr>
        <w:t xml:space="preserve"> Ty </w:t>
      </w:r>
      <w:r w:rsidRPr="0009704D">
        <w:rPr>
          <w:color w:val="0D0D0D" w:themeColor="text1" w:themeTint="F2"/>
          <w:spacing w:val="-6"/>
          <w:sz w:val="16"/>
          <w:szCs w:val="16"/>
        </w:rPr>
        <w:t>i tak stále skoro o desetinu zaostávaly za rekordním rokem 2022 ovlivněným zvýšenými nákupy státu</w:t>
      </w:r>
      <w:r>
        <w:rPr>
          <w:color w:val="0D0D0D" w:themeColor="text1" w:themeTint="F2"/>
          <w:spacing w:val="-6"/>
          <w:sz w:val="16"/>
          <w:szCs w:val="16"/>
        </w:rPr>
        <w:t xml:space="preserve"> v souvislosti s pandemií covidu</w:t>
      </w:r>
      <w:r w:rsidRPr="0009704D">
        <w:rPr>
          <w:color w:val="0D0D0D" w:themeColor="text1" w:themeTint="F2"/>
          <w:spacing w:val="-6"/>
          <w:sz w:val="16"/>
          <w:szCs w:val="16"/>
        </w:rPr>
        <w:t>-19 (vakcíny, zdravotnický materiál) a nastupující energetickou krizí (doplňování plynových zásobníků</w:t>
      </w:r>
      <w:r>
        <w:rPr>
          <w:color w:val="0D0D0D" w:themeColor="text1" w:themeTint="F2"/>
          <w:spacing w:val="-6"/>
          <w:sz w:val="16"/>
          <w:szCs w:val="16"/>
        </w:rPr>
        <w:t>).</w:t>
      </w:r>
    </w:p>
  </w:footnote>
  <w:footnote w:id="26">
    <w:p w14:paraId="0436240B" w14:textId="77777777" w:rsidR="009855E1" w:rsidRPr="00C52456" w:rsidRDefault="009855E1" w:rsidP="000A5265">
      <w:pPr>
        <w:pStyle w:val="Textpoznpodarou"/>
        <w:rPr>
          <w:sz w:val="16"/>
          <w:szCs w:val="16"/>
        </w:rPr>
      </w:pPr>
      <w:r w:rsidRPr="00C52456">
        <w:rPr>
          <w:rStyle w:val="Znakapoznpodarou"/>
          <w:sz w:val="16"/>
          <w:szCs w:val="16"/>
        </w:rPr>
        <w:footnoteRef/>
      </w:r>
      <w:r w:rsidRPr="00C52456">
        <w:rPr>
          <w:sz w:val="16"/>
          <w:szCs w:val="16"/>
        </w:rPr>
        <w:t xml:space="preserve"> Od letošního </w:t>
      </w:r>
      <w:r>
        <w:rPr>
          <w:sz w:val="16"/>
          <w:szCs w:val="16"/>
        </w:rPr>
        <w:t xml:space="preserve">ledna </w:t>
      </w:r>
      <w:r w:rsidRPr="00C52456">
        <w:rPr>
          <w:sz w:val="16"/>
          <w:szCs w:val="16"/>
        </w:rPr>
        <w:t>se zvýšila měsíční platba za osobu z 1 900 korun na 2 085 korun.</w:t>
      </w:r>
    </w:p>
  </w:footnote>
  <w:footnote w:id="27">
    <w:p w14:paraId="2C11654E" w14:textId="77777777" w:rsidR="009855E1" w:rsidRPr="00210566" w:rsidRDefault="009855E1" w:rsidP="000A5265">
      <w:pPr>
        <w:pStyle w:val="Textpoznpodarou"/>
        <w:rPr>
          <w:sz w:val="16"/>
          <w:szCs w:val="16"/>
        </w:rPr>
      </w:pPr>
      <w:r w:rsidRPr="00210566">
        <w:rPr>
          <w:rStyle w:val="Znakapoznpodarou"/>
          <w:sz w:val="16"/>
          <w:szCs w:val="16"/>
        </w:rPr>
        <w:footnoteRef/>
      </w:r>
      <w:r w:rsidRPr="00210566">
        <w:rPr>
          <w:sz w:val="16"/>
          <w:szCs w:val="16"/>
        </w:rPr>
        <w:t xml:space="preserve"> Celoroční plánovaná alokace na tuto oblast byla ve SR během letošního roku dokonce navýšena o 5</w:t>
      </w:r>
      <w:r>
        <w:rPr>
          <w:sz w:val="16"/>
          <w:szCs w:val="16"/>
        </w:rPr>
        <w:t>,8</w:t>
      </w:r>
      <w:r w:rsidRPr="00210566">
        <w:rPr>
          <w:sz w:val="16"/>
          <w:szCs w:val="16"/>
        </w:rPr>
        <w:t xml:space="preserve"> mld. korun.</w:t>
      </w:r>
    </w:p>
  </w:footnote>
  <w:footnote w:id="28">
    <w:p w14:paraId="32683ABA" w14:textId="77777777" w:rsidR="009855E1" w:rsidRPr="00C36080" w:rsidRDefault="009855E1" w:rsidP="000A5265">
      <w:pPr>
        <w:pStyle w:val="Textpoznpodarou"/>
        <w:rPr>
          <w:color w:val="0D0D0D" w:themeColor="text1" w:themeTint="F2"/>
          <w:spacing w:val="-2"/>
          <w:sz w:val="16"/>
          <w:szCs w:val="16"/>
        </w:rPr>
      </w:pPr>
      <w:r w:rsidRPr="00BA6711">
        <w:rPr>
          <w:rStyle w:val="Znakapoznpodarou"/>
          <w:spacing w:val="-2"/>
          <w:sz w:val="16"/>
          <w:szCs w:val="16"/>
        </w:rPr>
        <w:footnoteRef/>
      </w:r>
      <w:r>
        <w:rPr>
          <w:spacing w:val="-2"/>
          <w:sz w:val="16"/>
          <w:szCs w:val="16"/>
        </w:rPr>
        <w:t xml:space="preserve"> V 1. až 3. čtvrtletí </w:t>
      </w:r>
      <w:r w:rsidRPr="00BA6711">
        <w:rPr>
          <w:spacing w:val="-2"/>
          <w:sz w:val="16"/>
          <w:szCs w:val="16"/>
        </w:rPr>
        <w:t xml:space="preserve">2024 byly prodány </w:t>
      </w:r>
      <w:r>
        <w:rPr>
          <w:spacing w:val="-2"/>
          <w:sz w:val="16"/>
          <w:szCs w:val="16"/>
        </w:rPr>
        <w:t xml:space="preserve">korunové </w:t>
      </w:r>
      <w:r w:rsidRPr="00BA6711">
        <w:rPr>
          <w:spacing w:val="-2"/>
          <w:sz w:val="16"/>
          <w:szCs w:val="16"/>
        </w:rPr>
        <w:t xml:space="preserve">státní dluhopisy </w:t>
      </w:r>
      <w:r>
        <w:rPr>
          <w:spacing w:val="-2"/>
          <w:sz w:val="16"/>
          <w:szCs w:val="16"/>
        </w:rPr>
        <w:t xml:space="preserve">(se splatností nad 1 rok) </w:t>
      </w:r>
      <w:r w:rsidRPr="00BA6711">
        <w:rPr>
          <w:spacing w:val="-2"/>
          <w:sz w:val="16"/>
          <w:szCs w:val="16"/>
        </w:rPr>
        <w:t>v celkov</w:t>
      </w:r>
      <w:r>
        <w:rPr>
          <w:spacing w:val="-2"/>
          <w:sz w:val="16"/>
          <w:szCs w:val="16"/>
        </w:rPr>
        <w:t>é hodnotě 254 mld. korun, z drtivé části šlo o nové fixně úročené dluhopisy (s průměrným ročním výnosem 3,9 %</w:t>
      </w:r>
      <w:r w:rsidRPr="00BA6711">
        <w:rPr>
          <w:spacing w:val="-2"/>
          <w:sz w:val="16"/>
          <w:szCs w:val="16"/>
        </w:rPr>
        <w:t xml:space="preserve"> průměrnou </w:t>
      </w:r>
      <w:r>
        <w:rPr>
          <w:spacing w:val="-2"/>
          <w:sz w:val="16"/>
          <w:szCs w:val="16"/>
        </w:rPr>
        <w:t>zbytkovou dobou do splatnosti 10,1 let)</w:t>
      </w:r>
      <w:r w:rsidRPr="00BA6711">
        <w:rPr>
          <w:spacing w:val="-2"/>
          <w:sz w:val="16"/>
          <w:szCs w:val="16"/>
        </w:rPr>
        <w:t>.</w:t>
      </w:r>
      <w:r>
        <w:rPr>
          <w:spacing w:val="-2"/>
          <w:sz w:val="16"/>
          <w:szCs w:val="16"/>
        </w:rPr>
        <w:t xml:space="preserve"> Ve stejném období loni činila analogicky celková </w:t>
      </w:r>
      <w:r w:rsidRPr="001649A4">
        <w:rPr>
          <w:color w:val="0D0D0D" w:themeColor="text1" w:themeTint="F2"/>
          <w:spacing w:val="-2"/>
          <w:sz w:val="16"/>
          <w:szCs w:val="16"/>
        </w:rPr>
        <w:t xml:space="preserve">emise </w:t>
      </w:r>
      <w:r>
        <w:rPr>
          <w:color w:val="0D0D0D" w:themeColor="text1" w:themeTint="F2"/>
          <w:spacing w:val="-2"/>
          <w:sz w:val="16"/>
          <w:szCs w:val="16"/>
        </w:rPr>
        <w:t>dluhopisů 417</w:t>
      </w:r>
      <w:r w:rsidRPr="001649A4">
        <w:rPr>
          <w:color w:val="0D0D0D" w:themeColor="text1" w:themeTint="F2"/>
          <w:spacing w:val="-2"/>
          <w:sz w:val="16"/>
          <w:szCs w:val="16"/>
        </w:rPr>
        <w:t xml:space="preserve"> mld. korun, z toh</w:t>
      </w:r>
      <w:r>
        <w:rPr>
          <w:color w:val="0D0D0D" w:themeColor="text1" w:themeTint="F2"/>
          <w:spacing w:val="-2"/>
          <w:sz w:val="16"/>
          <w:szCs w:val="16"/>
        </w:rPr>
        <w:t>o fixně úročených za 362 mld. (s průměrným ročním výnosem 4,5 % a dobou splatnosti do 8,5</w:t>
      </w:r>
      <w:r w:rsidRPr="001649A4">
        <w:rPr>
          <w:color w:val="0D0D0D" w:themeColor="text1" w:themeTint="F2"/>
          <w:spacing w:val="-2"/>
          <w:sz w:val="16"/>
          <w:szCs w:val="16"/>
        </w:rPr>
        <w:t xml:space="preserve"> let</w:t>
      </w:r>
      <w:r>
        <w:rPr>
          <w:color w:val="0D0D0D" w:themeColor="text1" w:themeTint="F2"/>
          <w:spacing w:val="-2"/>
          <w:sz w:val="16"/>
          <w:szCs w:val="16"/>
        </w:rPr>
        <w:t>)</w:t>
      </w:r>
      <w:r w:rsidRPr="001649A4">
        <w:rPr>
          <w:color w:val="0D0D0D" w:themeColor="text1" w:themeTint="F2"/>
          <w:spacing w:val="-2"/>
          <w:sz w:val="16"/>
          <w:szCs w:val="16"/>
        </w:rPr>
        <w:t>.</w:t>
      </w:r>
    </w:p>
  </w:footnote>
  <w:footnote w:id="29">
    <w:p w14:paraId="63A1BFCB" w14:textId="77777777" w:rsidR="009855E1" w:rsidRPr="00E74176" w:rsidRDefault="009855E1" w:rsidP="000A5265">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Údaje o hospodaření</w:t>
      </w:r>
      <w:r>
        <w:rPr>
          <w:spacing w:val="-4"/>
          <w:sz w:val="16"/>
          <w:szCs w:val="16"/>
        </w:rPr>
        <w:t xml:space="preserve"> sektoru vládních institucí v ČR za 3. čtvrtletí 2024 zveřejní ČSÚ 3. ledna 2025, Eurostat za členské státy Unie následovně 22. ledna</w:t>
      </w:r>
      <w:r w:rsidRPr="00E74176">
        <w:rPr>
          <w:spacing w:val="-4"/>
          <w:sz w:val="16"/>
          <w:szCs w:val="16"/>
        </w:rPr>
        <w:t>. Detailnější z</w:t>
      </w:r>
      <w:r>
        <w:rPr>
          <w:spacing w:val="-4"/>
          <w:sz w:val="16"/>
          <w:szCs w:val="16"/>
        </w:rPr>
        <w:t>hodnocení tuzemského vývoje za 2. čtvrtletí 2024 nabízí publikace</w:t>
      </w:r>
      <w:r w:rsidRPr="00E74176">
        <w:rPr>
          <w:spacing w:val="-4"/>
          <w:sz w:val="16"/>
          <w:szCs w:val="16"/>
        </w:rPr>
        <w:t xml:space="preserve"> </w:t>
      </w:r>
      <w:hyperlink r:id="rId1" w:history="1">
        <w:r w:rsidRPr="00281EB4">
          <w:rPr>
            <w:rStyle w:val="Hypertextovodkaz"/>
            <w:i/>
            <w:spacing w:val="-4"/>
            <w:sz w:val="16"/>
            <w:szCs w:val="16"/>
          </w:rPr>
          <w:t>Analýza sektorových účtů</w:t>
        </w:r>
      </w:hyperlink>
      <w:r>
        <w:rPr>
          <w:rStyle w:val="Hypertextovodkaz"/>
          <w:i/>
          <w:spacing w:val="-4"/>
          <w:sz w:val="16"/>
          <w:szCs w:val="16"/>
        </w:rPr>
        <w:t>.</w:t>
      </w:r>
    </w:p>
  </w:footnote>
  <w:footnote w:id="30">
    <w:p w14:paraId="4F47C0DC" w14:textId="77777777" w:rsidR="009855E1" w:rsidRPr="00E74176" w:rsidRDefault="009855E1" w:rsidP="000A5265">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Není-li uvedeno jinak, jsou údaje o hospodaření sektoru VI v ČR vyjádřeny bez sezónního očištění.</w:t>
      </w:r>
    </w:p>
  </w:footnote>
  <w:footnote w:id="31">
    <w:p w14:paraId="0EBEAA44" w14:textId="77777777" w:rsidR="009855E1" w:rsidRPr="009160CF" w:rsidRDefault="009855E1" w:rsidP="000A5265">
      <w:pPr>
        <w:pStyle w:val="Textpoznpodarou"/>
        <w:rPr>
          <w:sz w:val="16"/>
          <w:szCs w:val="16"/>
        </w:rPr>
      </w:pPr>
      <w:r w:rsidRPr="009160CF">
        <w:rPr>
          <w:rStyle w:val="Znakapoznpodarou"/>
          <w:sz w:val="16"/>
          <w:szCs w:val="16"/>
        </w:rPr>
        <w:footnoteRef/>
      </w:r>
      <w:r w:rsidRPr="009160CF">
        <w:rPr>
          <w:sz w:val="16"/>
          <w:szCs w:val="16"/>
        </w:rPr>
        <w:t xml:space="preserve"> </w:t>
      </w:r>
      <w:r w:rsidRPr="00B65605">
        <w:rPr>
          <w:spacing w:val="-2"/>
          <w:sz w:val="16"/>
          <w:szCs w:val="16"/>
        </w:rPr>
        <w:t>Tento vývoj odrážel hlavně hospodaření ústředních vládních institucí, jež soustřeďovaly mimořádné výdaje související s dopady vnějších šoků na tuzemskou ekonomiku. Přebytek hospodaření místních vládních institucí (resp. rozpočtů měst a obcí) v posledních letech naopak rostl a v 1. pololetí 2024 činil rekordních 89 mld. korun. Stalo se tak i díky slabší dynamice tvorby fixních investic. Podíl místních vládních institucí na investicích celého sektoru vládních institucí zatím letos dosáhl 43 %, v letech 2018 i 2019 však mírně překračoval 50 %.</w:t>
      </w:r>
    </w:p>
  </w:footnote>
  <w:footnote w:id="32">
    <w:p w14:paraId="4396AD39" w14:textId="77777777" w:rsidR="009855E1" w:rsidRPr="00F0024E" w:rsidRDefault="009855E1" w:rsidP="000A5265">
      <w:pPr>
        <w:pStyle w:val="Textpoznpodarou"/>
        <w:rPr>
          <w:sz w:val="16"/>
          <w:szCs w:val="16"/>
        </w:rPr>
      </w:pPr>
      <w:r w:rsidRPr="00F0024E">
        <w:rPr>
          <w:rStyle w:val="Znakapoznpodarou"/>
          <w:sz w:val="16"/>
          <w:szCs w:val="16"/>
        </w:rPr>
        <w:footnoteRef/>
      </w:r>
      <w:r w:rsidRPr="00F0024E">
        <w:rPr>
          <w:sz w:val="16"/>
          <w:szCs w:val="16"/>
        </w:rPr>
        <w:t xml:space="preserve"> </w:t>
      </w:r>
      <w:r>
        <w:rPr>
          <w:sz w:val="16"/>
          <w:szCs w:val="16"/>
        </w:rPr>
        <w:t>V</w:t>
      </w:r>
      <w:r w:rsidRPr="00F0024E">
        <w:rPr>
          <w:sz w:val="16"/>
          <w:szCs w:val="16"/>
        </w:rPr>
        <w:t xml:space="preserve">šechny níže uvedené údaje o příjmech, výdajích a saldu </w:t>
      </w:r>
      <w:r>
        <w:rPr>
          <w:sz w:val="16"/>
          <w:szCs w:val="16"/>
        </w:rPr>
        <w:t xml:space="preserve">jsou </w:t>
      </w:r>
      <w:r w:rsidRPr="00F0024E">
        <w:rPr>
          <w:sz w:val="16"/>
          <w:szCs w:val="16"/>
        </w:rPr>
        <w:t xml:space="preserve">vyjádřeny po očištění o sezónnost </w:t>
      </w:r>
      <w:r>
        <w:rPr>
          <w:sz w:val="16"/>
          <w:szCs w:val="16"/>
        </w:rPr>
        <w:t xml:space="preserve">i </w:t>
      </w:r>
      <w:r w:rsidRPr="00F0024E">
        <w:rPr>
          <w:sz w:val="16"/>
          <w:szCs w:val="16"/>
        </w:rPr>
        <w:t>pracovní dny.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6" w14:textId="3C11EE3B" w:rsidR="009855E1" w:rsidRPr="00C27E4F" w:rsidRDefault="009855E1" w:rsidP="00C27E4F">
    <w:pPr>
      <w:pStyle w:val="Zhlav"/>
    </w:pPr>
    <w:r>
      <w:t>Vývoj ekonomiky České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7" w14:textId="4F78F164" w:rsidR="009855E1" w:rsidRPr="006F5416" w:rsidRDefault="009855E1" w:rsidP="00937AE2">
    <w:pPr>
      <w:pStyle w:val="Zhlav"/>
    </w:pPr>
    <w:r>
      <w:t>Vývoj ekonomiky 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B048D2"/>
    <w:multiLevelType w:val="hybridMultilevel"/>
    <w:tmpl w:val="D2A0F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7747AF"/>
    <w:multiLevelType w:val="hybridMultilevel"/>
    <w:tmpl w:val="76204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51B2D"/>
    <w:multiLevelType w:val="hybridMultilevel"/>
    <w:tmpl w:val="054EEC40"/>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20"/>
  </w:num>
  <w:num w:numId="14">
    <w:abstractNumId w:val="10"/>
  </w:num>
  <w:num w:numId="15">
    <w:abstractNumId w:val="16"/>
  </w:num>
  <w:num w:numId="16">
    <w:abstractNumId w:val="12"/>
  </w:num>
  <w:num w:numId="17">
    <w:abstractNumId w:val="21"/>
  </w:num>
  <w:num w:numId="18">
    <w:abstractNumId w:val="17"/>
  </w:num>
  <w:num w:numId="19">
    <w:abstractNumId w:val="22"/>
  </w:num>
  <w:num w:numId="20">
    <w:abstractNumId w:val="25"/>
  </w:num>
  <w:num w:numId="21">
    <w:abstractNumId w:val="19"/>
  </w:num>
  <w:num w:numId="22">
    <w:abstractNumId w:val="15"/>
  </w:num>
  <w:num w:numId="23">
    <w:abstractNumId w:val="13"/>
  </w:num>
  <w:num w:numId="24">
    <w:abstractNumId w:val="14"/>
  </w:num>
  <w:num w:numId="25">
    <w:abstractNumId w:val="23"/>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4097">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62"/>
    <w:rsid w:val="0000209D"/>
    <w:rsid w:val="00004D5A"/>
    <w:rsid w:val="000056D5"/>
    <w:rsid w:val="00006ABD"/>
    <w:rsid w:val="0000767A"/>
    <w:rsid w:val="00010256"/>
    <w:rsid w:val="00010702"/>
    <w:rsid w:val="00011912"/>
    <w:rsid w:val="0002195D"/>
    <w:rsid w:val="000234D6"/>
    <w:rsid w:val="00023D29"/>
    <w:rsid w:val="00026389"/>
    <w:rsid w:val="00031AE0"/>
    <w:rsid w:val="000322EF"/>
    <w:rsid w:val="00033FCD"/>
    <w:rsid w:val="00040D10"/>
    <w:rsid w:val="00041CEC"/>
    <w:rsid w:val="0004694F"/>
    <w:rsid w:val="000522E4"/>
    <w:rsid w:val="000610E1"/>
    <w:rsid w:val="00062EC5"/>
    <w:rsid w:val="00062F22"/>
    <w:rsid w:val="000712B3"/>
    <w:rsid w:val="0008263E"/>
    <w:rsid w:val="00082C19"/>
    <w:rsid w:val="00085395"/>
    <w:rsid w:val="00085732"/>
    <w:rsid w:val="00087634"/>
    <w:rsid w:val="00087F2B"/>
    <w:rsid w:val="00095135"/>
    <w:rsid w:val="000974D1"/>
    <w:rsid w:val="0009799E"/>
    <w:rsid w:val="000A1183"/>
    <w:rsid w:val="000A256D"/>
    <w:rsid w:val="000A3A2C"/>
    <w:rsid w:val="000A5265"/>
    <w:rsid w:val="000A57D4"/>
    <w:rsid w:val="000B7C8D"/>
    <w:rsid w:val="000C3408"/>
    <w:rsid w:val="000C6AFD"/>
    <w:rsid w:val="000D5637"/>
    <w:rsid w:val="000E6FBD"/>
    <w:rsid w:val="00100F5C"/>
    <w:rsid w:val="00101CDA"/>
    <w:rsid w:val="00102C41"/>
    <w:rsid w:val="00104C4C"/>
    <w:rsid w:val="00117623"/>
    <w:rsid w:val="0012192F"/>
    <w:rsid w:val="00125D69"/>
    <w:rsid w:val="001405FA"/>
    <w:rsid w:val="001425C3"/>
    <w:rsid w:val="001476BD"/>
    <w:rsid w:val="001612F4"/>
    <w:rsid w:val="0016256B"/>
    <w:rsid w:val="00163793"/>
    <w:rsid w:val="001706D6"/>
    <w:rsid w:val="001714F2"/>
    <w:rsid w:val="00175B9F"/>
    <w:rsid w:val="00181BBC"/>
    <w:rsid w:val="00184B08"/>
    <w:rsid w:val="00185010"/>
    <w:rsid w:val="0019143B"/>
    <w:rsid w:val="001A0487"/>
    <w:rsid w:val="001A552F"/>
    <w:rsid w:val="001B2CA9"/>
    <w:rsid w:val="001B3110"/>
    <w:rsid w:val="001B4729"/>
    <w:rsid w:val="001B6310"/>
    <w:rsid w:val="001B6C09"/>
    <w:rsid w:val="001C05CD"/>
    <w:rsid w:val="001D40D7"/>
    <w:rsid w:val="001D48D4"/>
    <w:rsid w:val="001D68B2"/>
    <w:rsid w:val="001E1C2E"/>
    <w:rsid w:val="001E504C"/>
    <w:rsid w:val="001E6062"/>
    <w:rsid w:val="001F4597"/>
    <w:rsid w:val="00203DA4"/>
    <w:rsid w:val="002118B9"/>
    <w:rsid w:val="00214CF7"/>
    <w:rsid w:val="00217C5B"/>
    <w:rsid w:val="0022139E"/>
    <w:rsid w:val="00222729"/>
    <w:rsid w:val="002252E0"/>
    <w:rsid w:val="002255F6"/>
    <w:rsid w:val="00227850"/>
    <w:rsid w:val="00227A53"/>
    <w:rsid w:val="00230C6E"/>
    <w:rsid w:val="00236443"/>
    <w:rsid w:val="00241B06"/>
    <w:rsid w:val="00242C10"/>
    <w:rsid w:val="002436BA"/>
    <w:rsid w:val="00244A15"/>
    <w:rsid w:val="00247319"/>
    <w:rsid w:val="0024799E"/>
    <w:rsid w:val="00253C0F"/>
    <w:rsid w:val="002558C1"/>
    <w:rsid w:val="00271465"/>
    <w:rsid w:val="0028207A"/>
    <w:rsid w:val="00285412"/>
    <w:rsid w:val="00291640"/>
    <w:rsid w:val="002A16D4"/>
    <w:rsid w:val="002A230C"/>
    <w:rsid w:val="002A66B0"/>
    <w:rsid w:val="002B2299"/>
    <w:rsid w:val="002B4845"/>
    <w:rsid w:val="002C43BD"/>
    <w:rsid w:val="002D0E59"/>
    <w:rsid w:val="002E02A1"/>
    <w:rsid w:val="002E42AC"/>
    <w:rsid w:val="002E4E4C"/>
    <w:rsid w:val="00302ADD"/>
    <w:rsid w:val="00304771"/>
    <w:rsid w:val="0030495D"/>
    <w:rsid w:val="003052D4"/>
    <w:rsid w:val="00306C5B"/>
    <w:rsid w:val="003103E0"/>
    <w:rsid w:val="00314F9F"/>
    <w:rsid w:val="003209D6"/>
    <w:rsid w:val="00321924"/>
    <w:rsid w:val="0032656E"/>
    <w:rsid w:val="00332190"/>
    <w:rsid w:val="0034335E"/>
    <w:rsid w:val="00344668"/>
    <w:rsid w:val="003462D9"/>
    <w:rsid w:val="00360C86"/>
    <w:rsid w:val="00360FBC"/>
    <w:rsid w:val="00362E90"/>
    <w:rsid w:val="00364FA0"/>
    <w:rsid w:val="003657F3"/>
    <w:rsid w:val="0038123E"/>
    <w:rsid w:val="003818DC"/>
    <w:rsid w:val="00384327"/>
    <w:rsid w:val="00385D98"/>
    <w:rsid w:val="003A2B4D"/>
    <w:rsid w:val="003A2D12"/>
    <w:rsid w:val="003A478C"/>
    <w:rsid w:val="003A5525"/>
    <w:rsid w:val="003A6B38"/>
    <w:rsid w:val="003B461F"/>
    <w:rsid w:val="003B5A32"/>
    <w:rsid w:val="003C3490"/>
    <w:rsid w:val="003C6550"/>
    <w:rsid w:val="003C7E62"/>
    <w:rsid w:val="003D6920"/>
    <w:rsid w:val="003E48F2"/>
    <w:rsid w:val="003E4C91"/>
    <w:rsid w:val="003E62A5"/>
    <w:rsid w:val="003F313C"/>
    <w:rsid w:val="003F37FC"/>
    <w:rsid w:val="003F4B2C"/>
    <w:rsid w:val="003F551C"/>
    <w:rsid w:val="003F62B0"/>
    <w:rsid w:val="003F72ED"/>
    <w:rsid w:val="003F7D23"/>
    <w:rsid w:val="00400DF4"/>
    <w:rsid w:val="00407C13"/>
    <w:rsid w:val="0041041D"/>
    <w:rsid w:val="00410638"/>
    <w:rsid w:val="0041501E"/>
    <w:rsid w:val="004159C3"/>
    <w:rsid w:val="00416EB7"/>
    <w:rsid w:val="00432A58"/>
    <w:rsid w:val="00434617"/>
    <w:rsid w:val="00440900"/>
    <w:rsid w:val="00441BF6"/>
    <w:rsid w:val="00443556"/>
    <w:rsid w:val="004441A0"/>
    <w:rsid w:val="004455BA"/>
    <w:rsid w:val="0045078A"/>
    <w:rsid w:val="0045086D"/>
    <w:rsid w:val="00451504"/>
    <w:rsid w:val="00460FB3"/>
    <w:rsid w:val="0046627E"/>
    <w:rsid w:val="00476240"/>
    <w:rsid w:val="00476439"/>
    <w:rsid w:val="0047735C"/>
    <w:rsid w:val="004776BC"/>
    <w:rsid w:val="0048139F"/>
    <w:rsid w:val="00481E40"/>
    <w:rsid w:val="00484ECE"/>
    <w:rsid w:val="00485567"/>
    <w:rsid w:val="004915CB"/>
    <w:rsid w:val="004924DC"/>
    <w:rsid w:val="004A14E4"/>
    <w:rsid w:val="004A3212"/>
    <w:rsid w:val="004A5494"/>
    <w:rsid w:val="004A61C5"/>
    <w:rsid w:val="004A77DF"/>
    <w:rsid w:val="004B1417"/>
    <w:rsid w:val="004B55B7"/>
    <w:rsid w:val="004B5A60"/>
    <w:rsid w:val="004B6468"/>
    <w:rsid w:val="004B7125"/>
    <w:rsid w:val="004C384C"/>
    <w:rsid w:val="004C3867"/>
    <w:rsid w:val="004C4CD0"/>
    <w:rsid w:val="004C70DC"/>
    <w:rsid w:val="004D0211"/>
    <w:rsid w:val="004D0794"/>
    <w:rsid w:val="004D5C93"/>
    <w:rsid w:val="004E7C6B"/>
    <w:rsid w:val="004F06F5"/>
    <w:rsid w:val="004F33A0"/>
    <w:rsid w:val="0050689D"/>
    <w:rsid w:val="005108C0"/>
    <w:rsid w:val="00511873"/>
    <w:rsid w:val="00512A2F"/>
    <w:rsid w:val="00513B7E"/>
    <w:rsid w:val="00515C74"/>
    <w:rsid w:val="0052007E"/>
    <w:rsid w:val="0052337A"/>
    <w:rsid w:val="00525137"/>
    <w:rsid w:val="005251DD"/>
    <w:rsid w:val="00532CE7"/>
    <w:rsid w:val="0053324C"/>
    <w:rsid w:val="00534A28"/>
    <w:rsid w:val="00541508"/>
    <w:rsid w:val="00543498"/>
    <w:rsid w:val="0055599F"/>
    <w:rsid w:val="00556D68"/>
    <w:rsid w:val="00563EB8"/>
    <w:rsid w:val="005647BF"/>
    <w:rsid w:val="00564AF1"/>
    <w:rsid w:val="0057364B"/>
    <w:rsid w:val="00574773"/>
    <w:rsid w:val="0058308D"/>
    <w:rsid w:val="00583FFD"/>
    <w:rsid w:val="005911BE"/>
    <w:rsid w:val="00593152"/>
    <w:rsid w:val="005A10F2"/>
    <w:rsid w:val="005A21E0"/>
    <w:rsid w:val="005A28FF"/>
    <w:rsid w:val="005A3DF8"/>
    <w:rsid w:val="005A5113"/>
    <w:rsid w:val="005A5549"/>
    <w:rsid w:val="005A7038"/>
    <w:rsid w:val="005B121D"/>
    <w:rsid w:val="005C06ED"/>
    <w:rsid w:val="005C2609"/>
    <w:rsid w:val="005D5802"/>
    <w:rsid w:val="005D7119"/>
    <w:rsid w:val="005D7890"/>
    <w:rsid w:val="005E7C78"/>
    <w:rsid w:val="005F18C5"/>
    <w:rsid w:val="005F3EB1"/>
    <w:rsid w:val="005F46D8"/>
    <w:rsid w:val="005F5469"/>
    <w:rsid w:val="00603FF5"/>
    <w:rsid w:val="00604307"/>
    <w:rsid w:val="0060487F"/>
    <w:rsid w:val="00604EAD"/>
    <w:rsid w:val="006104FB"/>
    <w:rsid w:val="00612A2F"/>
    <w:rsid w:val="00616E05"/>
    <w:rsid w:val="00622275"/>
    <w:rsid w:val="00624093"/>
    <w:rsid w:val="00625F8F"/>
    <w:rsid w:val="006350D5"/>
    <w:rsid w:val="006404A7"/>
    <w:rsid w:val="006451E4"/>
    <w:rsid w:val="00645B33"/>
    <w:rsid w:val="006516CB"/>
    <w:rsid w:val="00656FC8"/>
    <w:rsid w:val="00657E87"/>
    <w:rsid w:val="00664803"/>
    <w:rsid w:val="0066504F"/>
    <w:rsid w:val="00665BA4"/>
    <w:rsid w:val="00667AF2"/>
    <w:rsid w:val="006710C9"/>
    <w:rsid w:val="006741AC"/>
    <w:rsid w:val="00674D89"/>
    <w:rsid w:val="00675E37"/>
    <w:rsid w:val="0068174E"/>
    <w:rsid w:val="00681DCE"/>
    <w:rsid w:val="0068260E"/>
    <w:rsid w:val="00695BEF"/>
    <w:rsid w:val="006977F6"/>
    <w:rsid w:val="00697A13"/>
    <w:rsid w:val="006A109C"/>
    <w:rsid w:val="006B0F92"/>
    <w:rsid w:val="006B344A"/>
    <w:rsid w:val="006B78D8"/>
    <w:rsid w:val="006C113F"/>
    <w:rsid w:val="006C123E"/>
    <w:rsid w:val="006C1752"/>
    <w:rsid w:val="006C56D4"/>
    <w:rsid w:val="006C6924"/>
    <w:rsid w:val="006C7CA6"/>
    <w:rsid w:val="006D1E06"/>
    <w:rsid w:val="006D3E8A"/>
    <w:rsid w:val="006D61F6"/>
    <w:rsid w:val="006E279A"/>
    <w:rsid w:val="006E313B"/>
    <w:rsid w:val="006E7227"/>
    <w:rsid w:val="006F438E"/>
    <w:rsid w:val="006F5416"/>
    <w:rsid w:val="006F7076"/>
    <w:rsid w:val="00705242"/>
    <w:rsid w:val="00706AD4"/>
    <w:rsid w:val="00707150"/>
    <w:rsid w:val="007140BE"/>
    <w:rsid w:val="007211F5"/>
    <w:rsid w:val="00723946"/>
    <w:rsid w:val="007240E2"/>
    <w:rsid w:val="00725BB5"/>
    <w:rsid w:val="00730AE8"/>
    <w:rsid w:val="00730F1B"/>
    <w:rsid w:val="00741493"/>
    <w:rsid w:val="00752180"/>
    <w:rsid w:val="00753CAB"/>
    <w:rsid w:val="00755202"/>
    <w:rsid w:val="00755D3A"/>
    <w:rsid w:val="007578D3"/>
    <w:rsid w:val="007609C6"/>
    <w:rsid w:val="00760EA4"/>
    <w:rsid w:val="0076175D"/>
    <w:rsid w:val="00763B85"/>
    <w:rsid w:val="00764744"/>
    <w:rsid w:val="0076521E"/>
    <w:rsid w:val="007661E9"/>
    <w:rsid w:val="00776169"/>
    <w:rsid w:val="00776527"/>
    <w:rsid w:val="00780EF1"/>
    <w:rsid w:val="00790711"/>
    <w:rsid w:val="00790764"/>
    <w:rsid w:val="0079124F"/>
    <w:rsid w:val="0079453C"/>
    <w:rsid w:val="00794677"/>
    <w:rsid w:val="00797445"/>
    <w:rsid w:val="007A516D"/>
    <w:rsid w:val="007B6689"/>
    <w:rsid w:val="007C6BBD"/>
    <w:rsid w:val="007D40DF"/>
    <w:rsid w:val="007E29B4"/>
    <w:rsid w:val="007E435A"/>
    <w:rsid w:val="007E7E61"/>
    <w:rsid w:val="007E7FCE"/>
    <w:rsid w:val="007F0845"/>
    <w:rsid w:val="007F708D"/>
    <w:rsid w:val="00800216"/>
    <w:rsid w:val="00801E13"/>
    <w:rsid w:val="00807C82"/>
    <w:rsid w:val="00814B15"/>
    <w:rsid w:val="00816905"/>
    <w:rsid w:val="00821777"/>
    <w:rsid w:val="00821FF6"/>
    <w:rsid w:val="00822574"/>
    <w:rsid w:val="00825C4D"/>
    <w:rsid w:val="0083143E"/>
    <w:rsid w:val="00831CDE"/>
    <w:rsid w:val="00834304"/>
    <w:rsid w:val="00834FAA"/>
    <w:rsid w:val="00836086"/>
    <w:rsid w:val="00846121"/>
    <w:rsid w:val="008462A8"/>
    <w:rsid w:val="0084708F"/>
    <w:rsid w:val="008477C8"/>
    <w:rsid w:val="0085114D"/>
    <w:rsid w:val="00852217"/>
    <w:rsid w:val="00855408"/>
    <w:rsid w:val="00856D65"/>
    <w:rsid w:val="00861B41"/>
    <w:rsid w:val="00861BE3"/>
    <w:rsid w:val="00863434"/>
    <w:rsid w:val="00865E4C"/>
    <w:rsid w:val="008701E4"/>
    <w:rsid w:val="00871069"/>
    <w:rsid w:val="00875A32"/>
    <w:rsid w:val="00876086"/>
    <w:rsid w:val="008825B0"/>
    <w:rsid w:val="00884AD6"/>
    <w:rsid w:val="008873D4"/>
    <w:rsid w:val="0089126C"/>
    <w:rsid w:val="0089296D"/>
    <w:rsid w:val="00893E85"/>
    <w:rsid w:val="00894031"/>
    <w:rsid w:val="00895508"/>
    <w:rsid w:val="008A6CB4"/>
    <w:rsid w:val="008B5CF6"/>
    <w:rsid w:val="008B7C02"/>
    <w:rsid w:val="008B7D2B"/>
    <w:rsid w:val="008C0049"/>
    <w:rsid w:val="008C0E88"/>
    <w:rsid w:val="008C53CB"/>
    <w:rsid w:val="008D1E6A"/>
    <w:rsid w:val="008D2A16"/>
    <w:rsid w:val="008E2C57"/>
    <w:rsid w:val="008E31FF"/>
    <w:rsid w:val="008E6F06"/>
    <w:rsid w:val="008E7FC9"/>
    <w:rsid w:val="008F029B"/>
    <w:rsid w:val="008F3FC9"/>
    <w:rsid w:val="008F585B"/>
    <w:rsid w:val="009003A8"/>
    <w:rsid w:val="00902500"/>
    <w:rsid w:val="00902EFF"/>
    <w:rsid w:val="00906401"/>
    <w:rsid w:val="0091155E"/>
    <w:rsid w:val="00912A92"/>
    <w:rsid w:val="0091728D"/>
    <w:rsid w:val="0092180B"/>
    <w:rsid w:val="00921F14"/>
    <w:rsid w:val="009231A3"/>
    <w:rsid w:val="00924AC8"/>
    <w:rsid w:val="0092597A"/>
    <w:rsid w:val="00925E75"/>
    <w:rsid w:val="00930FB1"/>
    <w:rsid w:val="0093139F"/>
    <w:rsid w:val="00932443"/>
    <w:rsid w:val="00937AE2"/>
    <w:rsid w:val="0094427A"/>
    <w:rsid w:val="00945245"/>
    <w:rsid w:val="0095759C"/>
    <w:rsid w:val="009721DB"/>
    <w:rsid w:val="0097239B"/>
    <w:rsid w:val="00974923"/>
    <w:rsid w:val="009808F7"/>
    <w:rsid w:val="00980D3D"/>
    <w:rsid w:val="009855E1"/>
    <w:rsid w:val="00987A30"/>
    <w:rsid w:val="00992CF3"/>
    <w:rsid w:val="00994868"/>
    <w:rsid w:val="009968D6"/>
    <w:rsid w:val="009A1CAB"/>
    <w:rsid w:val="009A60D1"/>
    <w:rsid w:val="009B6FD3"/>
    <w:rsid w:val="009C1750"/>
    <w:rsid w:val="009C2E29"/>
    <w:rsid w:val="009C554B"/>
    <w:rsid w:val="009C719E"/>
    <w:rsid w:val="009C7A10"/>
    <w:rsid w:val="009D3ACD"/>
    <w:rsid w:val="009E5273"/>
    <w:rsid w:val="009E5DDB"/>
    <w:rsid w:val="009F4CA7"/>
    <w:rsid w:val="00A10D66"/>
    <w:rsid w:val="00A14114"/>
    <w:rsid w:val="00A1537C"/>
    <w:rsid w:val="00A16413"/>
    <w:rsid w:val="00A16E1D"/>
    <w:rsid w:val="00A17D5B"/>
    <w:rsid w:val="00A23E43"/>
    <w:rsid w:val="00A25216"/>
    <w:rsid w:val="00A30F65"/>
    <w:rsid w:val="00A33A89"/>
    <w:rsid w:val="00A40EAC"/>
    <w:rsid w:val="00A418BC"/>
    <w:rsid w:val="00A46DE0"/>
    <w:rsid w:val="00A47FCA"/>
    <w:rsid w:val="00A50D73"/>
    <w:rsid w:val="00A52CAD"/>
    <w:rsid w:val="00A53FC7"/>
    <w:rsid w:val="00A62CE1"/>
    <w:rsid w:val="00A668A3"/>
    <w:rsid w:val="00A6741E"/>
    <w:rsid w:val="00A75E40"/>
    <w:rsid w:val="00A77D1D"/>
    <w:rsid w:val="00A84A6A"/>
    <w:rsid w:val="00A857C0"/>
    <w:rsid w:val="00A90FED"/>
    <w:rsid w:val="00AA2996"/>
    <w:rsid w:val="00AA52BF"/>
    <w:rsid w:val="00AA559A"/>
    <w:rsid w:val="00AB2AF1"/>
    <w:rsid w:val="00AB535B"/>
    <w:rsid w:val="00AC45BD"/>
    <w:rsid w:val="00AD168E"/>
    <w:rsid w:val="00AD306C"/>
    <w:rsid w:val="00AD4F16"/>
    <w:rsid w:val="00AD68C4"/>
    <w:rsid w:val="00AE09B3"/>
    <w:rsid w:val="00AE0ED3"/>
    <w:rsid w:val="00AE1A83"/>
    <w:rsid w:val="00AE31A7"/>
    <w:rsid w:val="00AF6128"/>
    <w:rsid w:val="00B00913"/>
    <w:rsid w:val="00B01593"/>
    <w:rsid w:val="00B023F2"/>
    <w:rsid w:val="00B04705"/>
    <w:rsid w:val="00B07BBB"/>
    <w:rsid w:val="00B10A4D"/>
    <w:rsid w:val="00B14BC1"/>
    <w:rsid w:val="00B17E71"/>
    <w:rsid w:val="00B17FDE"/>
    <w:rsid w:val="00B2379C"/>
    <w:rsid w:val="00B25189"/>
    <w:rsid w:val="00B2687D"/>
    <w:rsid w:val="00B32DDB"/>
    <w:rsid w:val="00B34528"/>
    <w:rsid w:val="00B34CC9"/>
    <w:rsid w:val="00B402FC"/>
    <w:rsid w:val="00B439DA"/>
    <w:rsid w:val="00B46604"/>
    <w:rsid w:val="00B530CD"/>
    <w:rsid w:val="00B55F5E"/>
    <w:rsid w:val="00B5752E"/>
    <w:rsid w:val="00B63A11"/>
    <w:rsid w:val="00B63B6A"/>
    <w:rsid w:val="00B64C24"/>
    <w:rsid w:val="00B6608F"/>
    <w:rsid w:val="00B679FB"/>
    <w:rsid w:val="00B71EF7"/>
    <w:rsid w:val="00B76D1E"/>
    <w:rsid w:val="00B8028A"/>
    <w:rsid w:val="00B80EC6"/>
    <w:rsid w:val="00B84CF6"/>
    <w:rsid w:val="00B92D1D"/>
    <w:rsid w:val="00B938C5"/>
    <w:rsid w:val="00B95940"/>
    <w:rsid w:val="00BA6C2B"/>
    <w:rsid w:val="00BB46F3"/>
    <w:rsid w:val="00BB4CB1"/>
    <w:rsid w:val="00BB4F98"/>
    <w:rsid w:val="00BC5C12"/>
    <w:rsid w:val="00BC7154"/>
    <w:rsid w:val="00BC731E"/>
    <w:rsid w:val="00BD366B"/>
    <w:rsid w:val="00BD6D50"/>
    <w:rsid w:val="00BE18B9"/>
    <w:rsid w:val="00BE2495"/>
    <w:rsid w:val="00BF1578"/>
    <w:rsid w:val="00BF723F"/>
    <w:rsid w:val="00C21F94"/>
    <w:rsid w:val="00C27913"/>
    <w:rsid w:val="00C27E4F"/>
    <w:rsid w:val="00C32964"/>
    <w:rsid w:val="00C33B68"/>
    <w:rsid w:val="00C36A79"/>
    <w:rsid w:val="00C401D2"/>
    <w:rsid w:val="00C405D4"/>
    <w:rsid w:val="00C4431F"/>
    <w:rsid w:val="00C4513B"/>
    <w:rsid w:val="00C5390B"/>
    <w:rsid w:val="00C54697"/>
    <w:rsid w:val="00C65535"/>
    <w:rsid w:val="00C71E85"/>
    <w:rsid w:val="00C72884"/>
    <w:rsid w:val="00C73885"/>
    <w:rsid w:val="00C747B1"/>
    <w:rsid w:val="00C82191"/>
    <w:rsid w:val="00C83134"/>
    <w:rsid w:val="00C85545"/>
    <w:rsid w:val="00C90CF4"/>
    <w:rsid w:val="00C92EB6"/>
    <w:rsid w:val="00C93389"/>
    <w:rsid w:val="00CA0914"/>
    <w:rsid w:val="00CA6AB4"/>
    <w:rsid w:val="00CB4930"/>
    <w:rsid w:val="00CC2E7D"/>
    <w:rsid w:val="00CD10A5"/>
    <w:rsid w:val="00CD2076"/>
    <w:rsid w:val="00CD29B5"/>
    <w:rsid w:val="00CD6331"/>
    <w:rsid w:val="00CE670B"/>
    <w:rsid w:val="00CF4908"/>
    <w:rsid w:val="00CF51EC"/>
    <w:rsid w:val="00CF73AE"/>
    <w:rsid w:val="00D040DD"/>
    <w:rsid w:val="00D075BE"/>
    <w:rsid w:val="00D13986"/>
    <w:rsid w:val="00D21D83"/>
    <w:rsid w:val="00D235B7"/>
    <w:rsid w:val="00D23C02"/>
    <w:rsid w:val="00D25F28"/>
    <w:rsid w:val="00D26071"/>
    <w:rsid w:val="00D27973"/>
    <w:rsid w:val="00D35E1A"/>
    <w:rsid w:val="00D42211"/>
    <w:rsid w:val="00D50F46"/>
    <w:rsid w:val="00D57677"/>
    <w:rsid w:val="00D66223"/>
    <w:rsid w:val="00D71625"/>
    <w:rsid w:val="00D751DA"/>
    <w:rsid w:val="00D8084C"/>
    <w:rsid w:val="00D915EA"/>
    <w:rsid w:val="00DA7C0C"/>
    <w:rsid w:val="00DB08A9"/>
    <w:rsid w:val="00DB2EC8"/>
    <w:rsid w:val="00DB6566"/>
    <w:rsid w:val="00DC48F1"/>
    <w:rsid w:val="00DC5B3B"/>
    <w:rsid w:val="00DD129F"/>
    <w:rsid w:val="00DD4EFE"/>
    <w:rsid w:val="00DE02BD"/>
    <w:rsid w:val="00DF42FF"/>
    <w:rsid w:val="00E01C0E"/>
    <w:rsid w:val="00E03F9A"/>
    <w:rsid w:val="00E04694"/>
    <w:rsid w:val="00E063CE"/>
    <w:rsid w:val="00E12B1E"/>
    <w:rsid w:val="00E17262"/>
    <w:rsid w:val="00E253A2"/>
    <w:rsid w:val="00E3309D"/>
    <w:rsid w:val="00E43C1C"/>
    <w:rsid w:val="00E47EBA"/>
    <w:rsid w:val="00E50156"/>
    <w:rsid w:val="00E51643"/>
    <w:rsid w:val="00E53470"/>
    <w:rsid w:val="00E53874"/>
    <w:rsid w:val="00E539F6"/>
    <w:rsid w:val="00E6519D"/>
    <w:rsid w:val="00E67696"/>
    <w:rsid w:val="00E71A58"/>
    <w:rsid w:val="00E72A7A"/>
    <w:rsid w:val="00E75C94"/>
    <w:rsid w:val="00E93820"/>
    <w:rsid w:val="00E94A86"/>
    <w:rsid w:val="00E96143"/>
    <w:rsid w:val="00EA0987"/>
    <w:rsid w:val="00EA0C68"/>
    <w:rsid w:val="00EA32BC"/>
    <w:rsid w:val="00EA4302"/>
    <w:rsid w:val="00EB39C7"/>
    <w:rsid w:val="00EB3D8F"/>
    <w:rsid w:val="00EB4511"/>
    <w:rsid w:val="00EC03D7"/>
    <w:rsid w:val="00ED62C6"/>
    <w:rsid w:val="00ED64C1"/>
    <w:rsid w:val="00EE3446"/>
    <w:rsid w:val="00EE3E78"/>
    <w:rsid w:val="00EE4B1B"/>
    <w:rsid w:val="00EE7F19"/>
    <w:rsid w:val="00EF150D"/>
    <w:rsid w:val="00EF1F5A"/>
    <w:rsid w:val="00EF47BF"/>
    <w:rsid w:val="00EF6DB3"/>
    <w:rsid w:val="00F04811"/>
    <w:rsid w:val="00F0488C"/>
    <w:rsid w:val="00F10F11"/>
    <w:rsid w:val="00F15AAA"/>
    <w:rsid w:val="00F15BEF"/>
    <w:rsid w:val="00F24407"/>
    <w:rsid w:val="00F24931"/>
    <w:rsid w:val="00F24FAA"/>
    <w:rsid w:val="00F3364D"/>
    <w:rsid w:val="00F437CC"/>
    <w:rsid w:val="00F44537"/>
    <w:rsid w:val="00F44B6A"/>
    <w:rsid w:val="00F47067"/>
    <w:rsid w:val="00F50FC3"/>
    <w:rsid w:val="00F525EB"/>
    <w:rsid w:val="00F63DDE"/>
    <w:rsid w:val="00F63FB7"/>
    <w:rsid w:val="00F6421B"/>
    <w:rsid w:val="00F649D2"/>
    <w:rsid w:val="00F6602B"/>
    <w:rsid w:val="00F67C4E"/>
    <w:rsid w:val="00F73A0C"/>
    <w:rsid w:val="00F756DB"/>
    <w:rsid w:val="00F84E7D"/>
    <w:rsid w:val="00F85066"/>
    <w:rsid w:val="00F87A4D"/>
    <w:rsid w:val="00F9785E"/>
    <w:rsid w:val="00FA5D4D"/>
    <w:rsid w:val="00FA7115"/>
    <w:rsid w:val="00FB0EE2"/>
    <w:rsid w:val="00FB4423"/>
    <w:rsid w:val="00FB542E"/>
    <w:rsid w:val="00FC0E5F"/>
    <w:rsid w:val="00FC1A95"/>
    <w:rsid w:val="00FC56DE"/>
    <w:rsid w:val="00FC684B"/>
    <w:rsid w:val="00FD3265"/>
    <w:rsid w:val="00FD5F92"/>
    <w:rsid w:val="00FD66F9"/>
    <w:rsid w:val="00FE2F78"/>
    <w:rsid w:val="00FF7B96"/>
    <w:rsid w:val="11D0C0D9"/>
    <w:rsid w:val="30D0B3BE"/>
    <w:rsid w:val="7BDB84E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cf4dd,#eaecee,#fcec0a,#fcecdb,#f1daf5"/>
    </o:shapedefaults>
    <o:shapelayout v:ext="edit">
      <o:idmap v:ext="edit" data="2"/>
    </o:shapelayout>
  </w:shapeDefaults>
  <w:decimalSymbol w:val=","/>
  <w:listSeparator w:val=";"/>
  <w14:docId w14:val="21432897"/>
  <w15:docId w15:val="{3A7C6927-7F52-4209-ABA9-A0ACA86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EA0987"/>
    <w:pPr>
      <w:keepNext/>
      <w:keepLines/>
      <w:spacing w:after="100" w:line="276" w:lineRule="auto"/>
      <w:contextualSpacing/>
      <w:outlineLvl w:val="0"/>
    </w:pPr>
    <w:rPr>
      <w:rFonts w:ascii="Arial" w:eastAsia="MS Gothic" w:hAnsi="Arial"/>
      <w:b/>
      <w:bCs/>
      <w:color w:val="86BF5E"/>
      <w:sz w:val="32"/>
      <w:szCs w:val="28"/>
      <w:lang w:eastAsia="cs-CZ"/>
    </w:rPr>
  </w:style>
  <w:style w:type="paragraph" w:styleId="Nadpis2">
    <w:name w:val="heading 2"/>
    <w:next w:val="Normln"/>
    <w:link w:val="Nadpis2Char"/>
    <w:uiPriority w:val="9"/>
    <w:qFormat/>
    <w:rsid w:val="00EA0987"/>
    <w:pPr>
      <w:keepNext/>
      <w:keepLines/>
      <w:spacing w:line="276" w:lineRule="auto"/>
      <w:outlineLvl w:val="1"/>
    </w:pPr>
    <w:rPr>
      <w:rFonts w:ascii="Arial" w:eastAsia="MS Gothic" w:hAnsi="Arial"/>
      <w:b/>
      <w:bCs/>
      <w:color w:val="86BF5E"/>
      <w:sz w:val="28"/>
      <w:szCs w:val="26"/>
      <w:lang w:eastAsia="cs-CZ"/>
    </w:rPr>
  </w:style>
  <w:style w:type="paragraph" w:styleId="Nadpis3">
    <w:name w:val="heading 3"/>
    <w:next w:val="Normln"/>
    <w:link w:val="Nadpis3Char"/>
    <w:uiPriority w:val="9"/>
    <w:qFormat/>
    <w:rsid w:val="00EA0987"/>
    <w:pPr>
      <w:keepNext/>
      <w:keepLines/>
      <w:spacing w:line="276" w:lineRule="auto"/>
      <w:outlineLvl w:val="2"/>
    </w:pPr>
    <w:rPr>
      <w:rFonts w:ascii="Arial" w:eastAsia="MS Gothic" w:hAnsi="Arial"/>
      <w:b/>
      <w:bCs/>
      <w:color w:val="86BF5E"/>
      <w:sz w:val="24"/>
      <w:szCs w:val="24"/>
      <w:lang w:eastAsia="cs-CZ"/>
    </w:rPr>
  </w:style>
  <w:style w:type="paragraph" w:styleId="Nadpis4">
    <w:name w:val="heading 4"/>
    <w:next w:val="Normln"/>
    <w:link w:val="Nadpis4Char"/>
    <w:uiPriority w:val="9"/>
    <w:qFormat/>
    <w:rsid w:val="0041041D"/>
    <w:pPr>
      <w:keepNext/>
      <w:keepLines/>
      <w:spacing w:line="276" w:lineRule="auto"/>
      <w:outlineLvl w:val="3"/>
    </w:pPr>
    <w:rPr>
      <w:rFonts w:ascii="Arial" w:eastAsia="MS Gothic" w:hAnsi="Arial"/>
      <w:b/>
      <w:bCs/>
      <w:iCs/>
      <w:color w:val="86BF5E"/>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A0987"/>
    <w:rPr>
      <w:rFonts w:ascii="Arial" w:eastAsia="MS Gothic" w:hAnsi="Arial"/>
      <w:b/>
      <w:bCs/>
      <w:color w:val="86BF5E"/>
      <w:sz w:val="32"/>
      <w:szCs w:val="28"/>
      <w:lang w:eastAsia="cs-CZ"/>
    </w:rPr>
  </w:style>
  <w:style w:type="character" w:customStyle="1" w:styleId="Nadpis2Char">
    <w:name w:val="Nadpis 2 Char"/>
    <w:link w:val="Nadpis2"/>
    <w:uiPriority w:val="9"/>
    <w:rsid w:val="00EA0987"/>
    <w:rPr>
      <w:rFonts w:ascii="Arial" w:eastAsia="MS Gothic" w:hAnsi="Arial"/>
      <w:b/>
      <w:bCs/>
      <w:color w:val="86BF5E"/>
      <w:sz w:val="28"/>
      <w:szCs w:val="26"/>
      <w:lang w:eastAsia="cs-CZ"/>
    </w:rPr>
  </w:style>
  <w:style w:type="character" w:customStyle="1" w:styleId="Nadpis3Char">
    <w:name w:val="Nadpis 3 Char"/>
    <w:link w:val="Nadpis3"/>
    <w:uiPriority w:val="9"/>
    <w:rsid w:val="00EA0987"/>
    <w:rPr>
      <w:rFonts w:ascii="Arial" w:eastAsia="MS Gothic" w:hAnsi="Arial"/>
      <w:b/>
      <w:bCs/>
      <w:color w:val="86BF5E"/>
      <w:sz w:val="24"/>
      <w:szCs w:val="24"/>
      <w:lang w:eastAsia="cs-CZ"/>
    </w:rPr>
  </w:style>
  <w:style w:type="character" w:customStyle="1" w:styleId="Nadpis4Char">
    <w:name w:val="Nadpis 4 Char"/>
    <w:link w:val="Nadpis4"/>
    <w:uiPriority w:val="9"/>
    <w:rsid w:val="0041041D"/>
    <w:rPr>
      <w:rFonts w:ascii="Arial" w:eastAsia="MS Gothic" w:hAnsi="Arial"/>
      <w:b/>
      <w:bCs/>
      <w:iCs/>
      <w:color w:val="86BF5E"/>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0A57D4"/>
    <w:pPr>
      <w:spacing w:after="80" w:line="288" w:lineRule="auto"/>
    </w:pPr>
    <w:rPr>
      <w:rFonts w:ascii="Arial" w:eastAsia="Times New Roman" w:hAnsi="Arial"/>
      <w:b/>
      <w:color w:val="86BF5E"/>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EA0987"/>
    <w:pPr>
      <w:shd w:val="clear" w:color="auto" w:fill="F0F6E9"/>
      <w:spacing w:before="240" w:after="240" w:line="276" w:lineRule="auto"/>
      <w:contextualSpacing/>
      <w:jc w:val="both"/>
    </w:pPr>
    <w:rPr>
      <w:rFonts w:ascii="Arial" w:hAnsi="Arial" w:cs="Arial"/>
      <w:lang w:eastAsia="cs-CZ"/>
    </w:rPr>
  </w:style>
  <w:style w:type="paragraph" w:customStyle="1" w:styleId="A-Box2">
    <w:name w:val="A-Box 2"/>
    <w:next w:val="Normln"/>
    <w:qFormat/>
    <w:rsid w:val="00EA0987"/>
    <w:pPr>
      <w:spacing w:before="240" w:after="240" w:line="276" w:lineRule="auto"/>
      <w:contextualSpacing/>
      <w:jc w:val="both"/>
    </w:pPr>
    <w:rPr>
      <w:rFonts w:ascii="Arial" w:hAnsi="Arial" w:cs="Arial"/>
      <w:color w:val="86BF5E"/>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0A57D4"/>
    <w:pPr>
      <w:spacing w:after="40"/>
      <w:contextualSpacing/>
    </w:pPr>
    <w:rPr>
      <w:b/>
      <w:caps/>
      <w:sz w:val="24"/>
    </w:rPr>
  </w:style>
  <w:style w:type="paragraph" w:customStyle="1" w:styleId="TLKontakty">
    <w:name w:val="TL Kontakty"/>
    <w:qFormat/>
    <w:rsid w:val="000A57D4"/>
    <w:pPr>
      <w:spacing w:after="160" w:line="259" w:lineRule="auto"/>
      <w:contextualSpacing/>
    </w:pPr>
    <w:rPr>
      <w:rFonts w:ascii="Arial" w:eastAsia="Times New Roman" w:hAnsi="Arial"/>
      <w:b/>
      <w:color w:val="86BF5E"/>
      <w:lang w:eastAsia="cs-CZ"/>
    </w:rPr>
  </w:style>
  <w:style w:type="paragraph" w:styleId="Nzev">
    <w:name w:val="Title"/>
    <w:link w:val="NzevChar"/>
    <w:uiPriority w:val="10"/>
    <w:qFormat/>
    <w:rsid w:val="001E6062"/>
    <w:pPr>
      <w:spacing w:line="288" w:lineRule="auto"/>
    </w:pPr>
    <w:rPr>
      <w:rFonts w:ascii="Arial" w:eastAsia="Times New Roman" w:hAnsi="Arial"/>
      <w:b/>
      <w:bCs/>
      <w:caps/>
      <w:color w:val="000000" w:themeColor="text1"/>
      <w:kern w:val="28"/>
      <w:sz w:val="56"/>
      <w:szCs w:val="32"/>
      <w:lang w:eastAsia="cs-CZ"/>
    </w:rPr>
  </w:style>
  <w:style w:type="character" w:customStyle="1" w:styleId="NzevChar">
    <w:name w:val="Název Char"/>
    <w:link w:val="Nzev"/>
    <w:uiPriority w:val="10"/>
    <w:rsid w:val="001E6062"/>
    <w:rPr>
      <w:rFonts w:ascii="Arial" w:eastAsia="Times New Roman" w:hAnsi="Arial"/>
      <w:b/>
      <w:bCs/>
      <w:caps/>
      <w:color w:val="000000" w:themeColor="text1"/>
      <w:kern w:val="28"/>
      <w:sz w:val="56"/>
      <w:szCs w:val="32"/>
      <w:lang w:eastAsia="cs-CZ"/>
    </w:rPr>
  </w:style>
  <w:style w:type="paragraph" w:styleId="Podnadpis">
    <w:name w:val="Subtitle"/>
    <w:link w:val="PodnadpisChar"/>
    <w:uiPriority w:val="11"/>
    <w:qFormat/>
    <w:rsid w:val="001E6062"/>
    <w:pPr>
      <w:spacing w:line="288" w:lineRule="auto"/>
    </w:pPr>
    <w:rPr>
      <w:rFonts w:ascii="Arial" w:eastAsia="Times New Roman" w:hAnsi="Arial" w:cs="Arial"/>
      <w:b/>
      <w:color w:val="000000" w:themeColor="text1"/>
      <w:sz w:val="28"/>
      <w:szCs w:val="24"/>
      <w:lang w:eastAsia="cs-CZ"/>
    </w:rPr>
  </w:style>
  <w:style w:type="character" w:customStyle="1" w:styleId="PodnadpisChar">
    <w:name w:val="Podnadpis Char"/>
    <w:link w:val="Podnadpis"/>
    <w:uiPriority w:val="11"/>
    <w:rsid w:val="001E6062"/>
    <w:rPr>
      <w:rFonts w:ascii="Arial" w:eastAsia="Times New Roman" w:hAnsi="Arial" w:cs="Arial"/>
      <w:b/>
      <w:color w:val="000000" w:themeColor="text1"/>
      <w:sz w:val="28"/>
      <w:szCs w:val="24"/>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7"/>
      </w:numPr>
      <w:spacing w:after="240" w:line="276" w:lineRule="auto"/>
      <w:jc w:val="both"/>
    </w:pPr>
    <w:rPr>
      <w:rFonts w:ascii="Arial" w:eastAsia="Times New Roman" w:hAnsi="Arial"/>
      <w:szCs w:val="24"/>
      <w:lang w:eastAsia="cs-CZ"/>
    </w:rPr>
  </w:style>
  <w:style w:type="paragraph" w:customStyle="1" w:styleId="Box1">
    <w:name w:val="Box 1"/>
    <w:next w:val="Normln"/>
    <w:qFormat/>
    <w:rsid w:val="00EA0987"/>
    <w:pPr>
      <w:shd w:val="clear" w:color="auto" w:fill="F0F6E9"/>
      <w:spacing w:before="240" w:after="240" w:line="276" w:lineRule="auto"/>
      <w:ind w:left="709"/>
      <w:contextualSpacing/>
      <w:jc w:val="both"/>
    </w:pPr>
    <w:rPr>
      <w:rFonts w:ascii="Arial" w:hAnsi="Arial" w:cs="Arial"/>
      <w:lang w:eastAsia="cs-CZ"/>
    </w:rPr>
  </w:style>
  <w:style w:type="paragraph" w:customStyle="1" w:styleId="Box2">
    <w:name w:val="Box 2"/>
    <w:next w:val="Normln"/>
    <w:qFormat/>
    <w:rsid w:val="00EA0987"/>
    <w:pPr>
      <w:spacing w:before="240" w:after="240" w:line="276" w:lineRule="auto"/>
      <w:ind w:left="709"/>
      <w:contextualSpacing/>
      <w:jc w:val="both"/>
    </w:pPr>
    <w:rPr>
      <w:rFonts w:ascii="Arial" w:hAnsi="Arial" w:cs="Arial"/>
      <w:b/>
      <w:color w:val="86BF5E"/>
      <w:lang w:eastAsia="cs-CZ"/>
    </w:rPr>
  </w:style>
  <w:style w:type="character" w:styleId="Zdraznnintenzivn">
    <w:name w:val="Intense Emphasis"/>
    <w:basedOn w:val="Standardnpsmoodstavce"/>
    <w:uiPriority w:val="21"/>
    <w:qFormat/>
    <w:rsid w:val="001E6062"/>
    <w:rPr>
      <w:i/>
      <w:iCs/>
      <w:color w:val="000000" w:themeColor="text1"/>
    </w:rPr>
  </w:style>
  <w:style w:type="character" w:styleId="Odkazintenzivn">
    <w:name w:val="Intense Reference"/>
    <w:basedOn w:val="Standardnpsmoodstavce"/>
    <w:uiPriority w:val="32"/>
    <w:qFormat/>
    <w:rsid w:val="001E6062"/>
    <w:rPr>
      <w:b/>
      <w:bCs/>
      <w:smallCaps/>
      <w:color w:val="000000" w:themeColor="text1"/>
      <w:spacing w:val="5"/>
    </w:rPr>
  </w:style>
  <w:style w:type="character" w:styleId="Znakapoznpodarou">
    <w:name w:val="footnote reference"/>
    <w:basedOn w:val="Standardnpsmoodstavce"/>
    <w:rsid w:val="00E063CE"/>
    <w:rPr>
      <w:rFonts w:cs="Times New Roman"/>
      <w:vertAlign w:val="superscript"/>
    </w:rPr>
  </w:style>
  <w:style w:type="paragraph" w:customStyle="1" w:styleId="Nadpis11">
    <w:name w:val="Nadpis 11"/>
    <w:basedOn w:val="Normln"/>
    <w:uiPriority w:val="9"/>
    <w:qFormat/>
    <w:rsid w:val="008A6CB4"/>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8A6CB4"/>
    <w:pPr>
      <w:spacing w:after="0" w:line="240" w:lineRule="auto"/>
      <w:jc w:val="left"/>
    </w:pPr>
    <w:rPr>
      <w:rFonts w:eastAsia="Calibri"/>
      <w:szCs w:val="20"/>
    </w:rPr>
  </w:style>
  <w:style w:type="character" w:styleId="Zdraznn">
    <w:name w:val="Emphasis"/>
    <w:basedOn w:val="Standardnpsmoodstavce"/>
    <w:uiPriority w:val="20"/>
    <w:qFormat/>
    <w:rsid w:val="00C4431F"/>
    <w:rPr>
      <w:i/>
      <w:iCs/>
    </w:rPr>
  </w:style>
  <w:style w:type="character" w:customStyle="1" w:styleId="normaltextrun">
    <w:name w:val="normaltextrun"/>
    <w:basedOn w:val="Standardnpsmoodstavce"/>
    <w:rsid w:val="00C4431F"/>
  </w:style>
  <w:style w:type="paragraph" w:customStyle="1" w:styleId="paragraph">
    <w:name w:val="paragraph"/>
    <w:basedOn w:val="Normln"/>
    <w:rsid w:val="00C4431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C4431F"/>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dpisobsahu">
    <w:name w:val="TOC Heading"/>
    <w:basedOn w:val="Nadpis1"/>
    <w:next w:val="Normln"/>
    <w:uiPriority w:val="39"/>
    <w:unhideWhenUsed/>
    <w:qFormat/>
    <w:rsid w:val="00603FF5"/>
    <w:pPr>
      <w:spacing w:before="240" w:after="0" w:line="259" w:lineRule="auto"/>
      <w:contextualSpacing w:val="0"/>
      <w:outlineLvl w:val="9"/>
    </w:pPr>
    <w:rPr>
      <w:rFonts w:asciiTheme="majorHAnsi" w:eastAsiaTheme="majorEastAsia" w:hAnsiTheme="majorHAnsi" w:cstheme="majorBidi"/>
      <w:b w:val="0"/>
      <w:bCs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6344914">
      <w:bodyDiv w:val="1"/>
      <w:marLeft w:val="0"/>
      <w:marRight w:val="0"/>
      <w:marTop w:val="0"/>
      <w:marBottom w:val="0"/>
      <w:divBdr>
        <w:top w:val="none" w:sz="0" w:space="0" w:color="auto"/>
        <w:left w:val="none" w:sz="0" w:space="0" w:color="auto"/>
        <w:bottom w:val="none" w:sz="0" w:space="0" w:color="auto"/>
        <w:right w:val="none" w:sz="0" w:space="0" w:color="auto"/>
      </w:divBdr>
    </w:div>
    <w:div w:id="110517919">
      <w:bodyDiv w:val="1"/>
      <w:marLeft w:val="0"/>
      <w:marRight w:val="0"/>
      <w:marTop w:val="0"/>
      <w:marBottom w:val="0"/>
      <w:divBdr>
        <w:top w:val="none" w:sz="0" w:space="0" w:color="auto"/>
        <w:left w:val="none" w:sz="0" w:space="0" w:color="auto"/>
        <w:bottom w:val="none" w:sz="0" w:space="0" w:color="auto"/>
        <w:right w:val="none" w:sz="0" w:space="0" w:color="auto"/>
      </w:divBdr>
    </w:div>
    <w:div w:id="112676334">
      <w:bodyDiv w:val="1"/>
      <w:marLeft w:val="0"/>
      <w:marRight w:val="0"/>
      <w:marTop w:val="0"/>
      <w:marBottom w:val="0"/>
      <w:divBdr>
        <w:top w:val="none" w:sz="0" w:space="0" w:color="auto"/>
        <w:left w:val="none" w:sz="0" w:space="0" w:color="auto"/>
        <w:bottom w:val="none" w:sz="0" w:space="0" w:color="auto"/>
        <w:right w:val="none" w:sz="0" w:space="0" w:color="auto"/>
      </w:divBdr>
    </w:div>
    <w:div w:id="243729605">
      <w:bodyDiv w:val="1"/>
      <w:marLeft w:val="0"/>
      <w:marRight w:val="0"/>
      <w:marTop w:val="0"/>
      <w:marBottom w:val="0"/>
      <w:divBdr>
        <w:top w:val="none" w:sz="0" w:space="0" w:color="auto"/>
        <w:left w:val="none" w:sz="0" w:space="0" w:color="auto"/>
        <w:bottom w:val="none" w:sz="0" w:space="0" w:color="auto"/>
        <w:right w:val="none" w:sz="0" w:space="0" w:color="auto"/>
      </w:divBdr>
    </w:div>
    <w:div w:id="255015632">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8745877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83518353">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76136441">
      <w:bodyDiv w:val="1"/>
      <w:marLeft w:val="0"/>
      <w:marRight w:val="0"/>
      <w:marTop w:val="0"/>
      <w:marBottom w:val="0"/>
      <w:divBdr>
        <w:top w:val="none" w:sz="0" w:space="0" w:color="auto"/>
        <w:left w:val="none" w:sz="0" w:space="0" w:color="auto"/>
        <w:bottom w:val="none" w:sz="0" w:space="0" w:color="auto"/>
        <w:right w:val="none" w:sz="0" w:space="0" w:color="auto"/>
      </w:divBdr>
    </w:div>
    <w:div w:id="128300063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716924412">
      <w:bodyDiv w:val="1"/>
      <w:marLeft w:val="0"/>
      <w:marRight w:val="0"/>
      <w:marTop w:val="0"/>
      <w:marBottom w:val="0"/>
      <w:divBdr>
        <w:top w:val="none" w:sz="0" w:space="0" w:color="auto"/>
        <w:left w:val="none" w:sz="0" w:space="0" w:color="auto"/>
        <w:bottom w:val="none" w:sz="0" w:space="0" w:color="auto"/>
        <w:right w:val="none" w:sz="0" w:space="0" w:color="auto"/>
      </w:divBdr>
    </w:div>
    <w:div w:id="185696265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06206753">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su.gov.cz/rychle-informace/analyza-ctvrtletnich-sektorovych-uctu-2-ctvrtleti-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Qmakro-2024\1.a&#382;%203.%20&#269;tvrtlet&#237;\Grafy-st&#225;tn&#237;%20rozpo&#269;et-1.-3q-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Qmakro-2024\1.a&#382;%203.%20&#269;tvrtlet&#237;\Grafy-st&#225;tn&#237;%20rozpo&#269;et-1.-3q-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547146084085555E-2"/>
          <c:y val="1.7107287133586922E-2"/>
          <c:w val="0.83426501745522175"/>
          <c:h val="0.75194595942833931"/>
        </c:manualLayout>
      </c:layout>
      <c:barChart>
        <c:barDir val="col"/>
        <c:grouping val="stacked"/>
        <c:varyColors val="0"/>
        <c:ser>
          <c:idx val="1"/>
          <c:order val="1"/>
          <c:tx>
            <c:strRef>
              <c:f>'G1-SR-příjmy-příspěvky'!$A$35</c:f>
              <c:strCache>
                <c:ptCount val="1"/>
                <c:pt idx="0">
                  <c:v>Ostatní daně a poplatky</c:v>
                </c:pt>
              </c:strCache>
            </c:strRef>
          </c:tx>
          <c:spPr>
            <a:solidFill>
              <a:schemeClr val="bg1">
                <a:lumMod val="75000"/>
              </a:schemeClr>
            </a:solidFill>
            <a:ln w="12700">
              <a:noFill/>
              <a:prstDash val="solid"/>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'G1-SR-příjmy-příspěvky'!$E$35:$U$35</c:f>
              <c:numCache>
                <c:formatCode>0.0</c:formatCode>
                <c:ptCount val="17"/>
                <c:pt idx="0">
                  <c:v>0.39922458302144437</c:v>
                </c:pt>
                <c:pt idx="1">
                  <c:v>-0.52138580751874397</c:v>
                </c:pt>
                <c:pt idx="2">
                  <c:v>0.38494174134398501</c:v>
                </c:pt>
                <c:pt idx="3">
                  <c:v>0.75782132576051031</c:v>
                </c:pt>
                <c:pt idx="4">
                  <c:v>0.2043100893839277</c:v>
                </c:pt>
                <c:pt idx="5">
                  <c:v>-0.31949620849206267</c:v>
                </c:pt>
                <c:pt idx="6">
                  <c:v>3.5798749491447207E-2</c:v>
                </c:pt>
                <c:pt idx="7">
                  <c:v>0.40823718281484184</c:v>
                </c:pt>
                <c:pt idx="8">
                  <c:v>0.44161079131733477</c:v>
                </c:pt>
                <c:pt idx="9">
                  <c:v>0.24214568841864642</c:v>
                </c:pt>
                <c:pt idx="10">
                  <c:v>0.18312368925754779</c:v>
                </c:pt>
                <c:pt idx="11">
                  <c:v>0.47861875769007395</c:v>
                </c:pt>
                <c:pt idx="12">
                  <c:v>-1.674081489099593E-2</c:v>
                </c:pt>
                <c:pt idx="13">
                  <c:v>0.16236667714832503</c:v>
                </c:pt>
                <c:pt idx="14">
                  <c:v>0.62493574418475628</c:v>
                </c:pt>
                <c:pt idx="15">
                  <c:v>4.8591668672257606</c:v>
                </c:pt>
                <c:pt idx="16">
                  <c:v>-0.28513620990298505</c:v>
                </c:pt>
              </c:numCache>
            </c:numRef>
          </c:val>
          <c:extLst>
            <c:ext xmlns:c16="http://schemas.microsoft.com/office/drawing/2014/chart" uri="{C3380CC4-5D6E-409C-BE32-E72D297353CC}">
              <c16:uniqueId val="{00000000-2852-44FD-B2E1-AC53204589B7}"/>
            </c:ext>
          </c:extLst>
        </c:ser>
        <c:ser>
          <c:idx val="3"/>
          <c:order val="2"/>
          <c:tx>
            <c:strRef>
              <c:f>'G1-SR-příjmy-příspěvky'!$A$36</c:f>
              <c:strCache>
                <c:ptCount val="1"/>
                <c:pt idx="0">
                  <c:v>Daně z příjmů FO, placená plátci</c:v>
                </c:pt>
              </c:strCache>
            </c:strRef>
          </c:tx>
          <c:spPr>
            <a:solidFill>
              <a:srgbClr val="EA6C75"/>
            </a:solidFill>
            <a:ln w="19050">
              <a:noFill/>
              <a:prstDash val="sysDot"/>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'G1-SR-příjmy-příspěvky'!$E$36:$U$36</c:f>
              <c:numCache>
                <c:formatCode>0.0</c:formatCode>
                <c:ptCount val="17"/>
                <c:pt idx="0">
                  <c:v>-1.3185927333448506</c:v>
                </c:pt>
                <c:pt idx="1">
                  <c:v>-0.683195196059042</c:v>
                </c:pt>
                <c:pt idx="2">
                  <c:v>7.6574432417890456E-2</c:v>
                </c:pt>
                <c:pt idx="3">
                  <c:v>1.0717342254726578</c:v>
                </c:pt>
                <c:pt idx="4">
                  <c:v>0.15294141391213323</c:v>
                </c:pt>
                <c:pt idx="5">
                  <c:v>0.91307934029997739</c:v>
                </c:pt>
                <c:pt idx="6">
                  <c:v>0.69459138201652193</c:v>
                </c:pt>
                <c:pt idx="7">
                  <c:v>0.42746917494716125</c:v>
                </c:pt>
                <c:pt idx="8">
                  <c:v>1.6670040533465638</c:v>
                </c:pt>
                <c:pt idx="9">
                  <c:v>2.1330413189999518</c:v>
                </c:pt>
                <c:pt idx="10">
                  <c:v>2.6405684717277622</c:v>
                </c:pt>
                <c:pt idx="11">
                  <c:v>2.3517629294290785</c:v>
                </c:pt>
                <c:pt idx="12">
                  <c:v>-1.7215845900551052</c:v>
                </c:pt>
                <c:pt idx="13">
                  <c:v>-6.385816306553787</c:v>
                </c:pt>
                <c:pt idx="14">
                  <c:v>1.0956944710211212</c:v>
                </c:pt>
                <c:pt idx="15">
                  <c:v>2.5094032821549845</c:v>
                </c:pt>
                <c:pt idx="16">
                  <c:v>1.8377767117457617</c:v>
                </c:pt>
              </c:numCache>
            </c:numRef>
          </c:val>
          <c:extLst>
            <c:ext xmlns:c16="http://schemas.microsoft.com/office/drawing/2014/chart" uri="{C3380CC4-5D6E-409C-BE32-E72D297353CC}">
              <c16:uniqueId val="{00000001-2852-44FD-B2E1-AC53204589B7}"/>
            </c:ext>
          </c:extLst>
        </c:ser>
        <c:ser>
          <c:idx val="4"/>
          <c:order val="3"/>
          <c:tx>
            <c:strRef>
              <c:f>'G1-SR-příjmy-příspěvky'!$A$37</c:f>
              <c:strCache>
                <c:ptCount val="1"/>
                <c:pt idx="0">
                  <c:v>Daně z příjmů FO, ostatní</c:v>
                </c:pt>
              </c:strCache>
            </c:strRef>
          </c:tx>
          <c:spPr>
            <a:solidFill>
              <a:srgbClr val="FFD757"/>
            </a:solidFill>
            <a:ln w="19050">
              <a:noFill/>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'G1-SR-příjmy-příspěvky'!$E$37:$U$37</c:f>
              <c:numCache>
                <c:formatCode>0.0</c:formatCode>
                <c:ptCount val="17"/>
                <c:pt idx="0">
                  <c:v>0.42801481737394764</c:v>
                </c:pt>
                <c:pt idx="1">
                  <c:v>-1.7079879901476065</c:v>
                </c:pt>
                <c:pt idx="2">
                  <c:v>0.38287216208944641</c:v>
                </c:pt>
                <c:pt idx="3">
                  <c:v>-0.7974791877382762</c:v>
                </c:pt>
                <c:pt idx="4">
                  <c:v>0.41294181756276055</c:v>
                </c:pt>
                <c:pt idx="5">
                  <c:v>-0.14654359782591986</c:v>
                </c:pt>
                <c:pt idx="6">
                  <c:v>0.47341886300599878</c:v>
                </c:pt>
                <c:pt idx="7">
                  <c:v>-0.17898099601446246</c:v>
                </c:pt>
                <c:pt idx="8">
                  <c:v>0.73529483924047712</c:v>
                </c:pt>
                <c:pt idx="9">
                  <c:v>3.8558230639912365E-2</c:v>
                </c:pt>
                <c:pt idx="10">
                  <c:v>0.2061142420617183</c:v>
                </c:pt>
                <c:pt idx="11">
                  <c:v>0.49062640424296222</c:v>
                </c:pt>
                <c:pt idx="12">
                  <c:v>-0.45179074828909926</c:v>
                </c:pt>
                <c:pt idx="13">
                  <c:v>0.79251109518140295</c:v>
                </c:pt>
                <c:pt idx="14">
                  <c:v>1.1435578174620293</c:v>
                </c:pt>
                <c:pt idx="15">
                  <c:v>1.1361613440504152</c:v>
                </c:pt>
                <c:pt idx="16">
                  <c:v>0.36459743046335691</c:v>
                </c:pt>
              </c:numCache>
            </c:numRef>
          </c:val>
          <c:extLst>
            <c:ext xmlns:c16="http://schemas.microsoft.com/office/drawing/2014/chart" uri="{C3380CC4-5D6E-409C-BE32-E72D297353CC}">
              <c16:uniqueId val="{00000002-2852-44FD-B2E1-AC53204589B7}"/>
            </c:ext>
          </c:extLst>
        </c:ser>
        <c:ser>
          <c:idx val="2"/>
          <c:order val="4"/>
          <c:tx>
            <c:strRef>
              <c:f>'G1-SR-příjmy-příspěvky'!$A$38</c:f>
              <c:strCache>
                <c:ptCount val="1"/>
                <c:pt idx="0">
                  <c:v>Daně z příjmů PO</c:v>
                </c:pt>
              </c:strCache>
            </c:strRef>
          </c:tx>
          <c:spPr>
            <a:solidFill>
              <a:srgbClr val="F9B073"/>
            </a:solidFill>
            <a:ln>
              <a:noFill/>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'G1-SR-příjmy-příspěvky'!$E$38:$U$38</c:f>
              <c:numCache>
                <c:formatCode>0.0</c:formatCode>
                <c:ptCount val="17"/>
                <c:pt idx="0">
                  <c:v>4.0018425749985633</c:v>
                </c:pt>
                <c:pt idx="1">
                  <c:v>-9.4748386400819857</c:v>
                </c:pt>
                <c:pt idx="2">
                  <c:v>1.069972474595916</c:v>
                </c:pt>
                <c:pt idx="3">
                  <c:v>-1.1806582120905686</c:v>
                </c:pt>
                <c:pt idx="4">
                  <c:v>1.5944142400339956</c:v>
                </c:pt>
                <c:pt idx="5">
                  <c:v>-1.1178646244413311</c:v>
                </c:pt>
                <c:pt idx="6">
                  <c:v>1.5408961448419181</c:v>
                </c:pt>
                <c:pt idx="7">
                  <c:v>2.0070199067641155</c:v>
                </c:pt>
                <c:pt idx="8">
                  <c:v>2.4996667023494781</c:v>
                </c:pt>
                <c:pt idx="9">
                  <c:v>4.1642889091102551E-2</c:v>
                </c:pt>
                <c:pt idx="10">
                  <c:v>0.43384885916488058</c:v>
                </c:pt>
                <c:pt idx="11">
                  <c:v>1.5935221228717706</c:v>
                </c:pt>
                <c:pt idx="12">
                  <c:v>-3.6005022371045383</c:v>
                </c:pt>
                <c:pt idx="13">
                  <c:v>5.8351210797303867</c:v>
                </c:pt>
                <c:pt idx="14">
                  <c:v>3.5016495282490565</c:v>
                </c:pt>
                <c:pt idx="15">
                  <c:v>6.9319945761518396</c:v>
                </c:pt>
                <c:pt idx="16">
                  <c:v>-1.7617242671655271</c:v>
                </c:pt>
              </c:numCache>
            </c:numRef>
          </c:val>
          <c:extLst>
            <c:ext xmlns:c16="http://schemas.microsoft.com/office/drawing/2014/chart" uri="{C3380CC4-5D6E-409C-BE32-E72D297353CC}">
              <c16:uniqueId val="{00000003-2852-44FD-B2E1-AC53204589B7}"/>
            </c:ext>
          </c:extLst>
        </c:ser>
        <c:ser>
          <c:idx val="5"/>
          <c:order val="5"/>
          <c:tx>
            <c:strRef>
              <c:f>'G1-SR-příjmy-příspěvky'!$A$39</c:f>
              <c:strCache>
                <c:ptCount val="1"/>
                <c:pt idx="0">
                  <c:v>Spotřební daň</c:v>
                </c:pt>
              </c:strCache>
            </c:strRef>
          </c:tx>
          <c:spPr>
            <a:solidFill>
              <a:srgbClr val="00B050"/>
            </a:solidFill>
            <a:ln>
              <a:noFill/>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'G1-SR-příjmy-příspěvky'!$E$39:$U$39</c:f>
              <c:numCache>
                <c:formatCode>0.0</c:formatCode>
                <c:ptCount val="17"/>
                <c:pt idx="0">
                  <c:v>0.59883687453215706</c:v>
                </c:pt>
                <c:pt idx="1">
                  <c:v>-0.6130777943582455</c:v>
                </c:pt>
                <c:pt idx="2">
                  <c:v>1.3452265154494103</c:v>
                </c:pt>
                <c:pt idx="3">
                  <c:v>1.2409554189683412</c:v>
                </c:pt>
                <c:pt idx="4">
                  <c:v>-0.30205929247646662</c:v>
                </c:pt>
                <c:pt idx="5">
                  <c:v>-0.71956664060677211</c:v>
                </c:pt>
                <c:pt idx="6">
                  <c:v>0.39847610863053251</c:v>
                </c:pt>
                <c:pt idx="7">
                  <c:v>0.80107028313269024</c:v>
                </c:pt>
                <c:pt idx="8">
                  <c:v>1.2070250899860806</c:v>
                </c:pt>
                <c:pt idx="9">
                  <c:v>0.53056125360519379</c:v>
                </c:pt>
                <c:pt idx="10">
                  <c:v>0.26232721716946206</c:v>
                </c:pt>
                <c:pt idx="11">
                  <c:v>-3.9196048823818809E-2</c:v>
                </c:pt>
                <c:pt idx="12">
                  <c:v>-0.40403836868730225</c:v>
                </c:pt>
                <c:pt idx="13">
                  <c:v>-0.90340003396451163</c:v>
                </c:pt>
                <c:pt idx="14">
                  <c:v>1.2017788865854619</c:v>
                </c:pt>
                <c:pt idx="15">
                  <c:v>-0.63224507912749661</c:v>
                </c:pt>
                <c:pt idx="16">
                  <c:v>1.0820833258788904</c:v>
                </c:pt>
              </c:numCache>
            </c:numRef>
          </c:val>
          <c:extLst>
            <c:ext xmlns:c16="http://schemas.microsoft.com/office/drawing/2014/chart" uri="{C3380CC4-5D6E-409C-BE32-E72D297353CC}">
              <c16:uniqueId val="{00000004-2852-44FD-B2E1-AC53204589B7}"/>
            </c:ext>
          </c:extLst>
        </c:ser>
        <c:ser>
          <c:idx val="6"/>
          <c:order val="6"/>
          <c:tx>
            <c:strRef>
              <c:f>'G1-SR-příjmy-příspěvky'!$A$40</c:f>
              <c:strCache>
                <c:ptCount val="1"/>
                <c:pt idx="0">
                  <c:v>DPH</c:v>
                </c:pt>
              </c:strCache>
            </c:strRef>
          </c:tx>
          <c:spPr>
            <a:solidFill>
              <a:schemeClr val="accent5">
                <a:lumMod val="60000"/>
                <a:lumOff val="40000"/>
              </a:schemeClr>
            </a:solidFill>
            <a:ln w="19050">
              <a:noFill/>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'G1-SR-příjmy-příspěvky'!$E$40:$U$40</c:f>
              <c:numCache>
                <c:formatCode>0.0</c:formatCode>
                <c:ptCount val="17"/>
                <c:pt idx="0">
                  <c:v>2.6467822114738673</c:v>
                </c:pt>
                <c:pt idx="1">
                  <c:v>-0.12764962873734884</c:v>
                </c:pt>
                <c:pt idx="2">
                  <c:v>3.1416213083880091</c:v>
                </c:pt>
                <c:pt idx="3">
                  <c:v>0.64965377732825347</c:v>
                </c:pt>
                <c:pt idx="4">
                  <c:v>-0.30588282782426646</c:v>
                </c:pt>
                <c:pt idx="5">
                  <c:v>4.1746137739640945</c:v>
                </c:pt>
                <c:pt idx="6">
                  <c:v>2.047216704890801</c:v>
                </c:pt>
                <c:pt idx="7">
                  <c:v>4.5179668896857914E-2</c:v>
                </c:pt>
                <c:pt idx="8">
                  <c:v>2.2948585507802108</c:v>
                </c:pt>
                <c:pt idx="9">
                  <c:v>4.0193099619044652</c:v>
                </c:pt>
                <c:pt idx="10">
                  <c:v>2.9158679139220882</c:v>
                </c:pt>
                <c:pt idx="11">
                  <c:v>1.9070905134623097</c:v>
                </c:pt>
                <c:pt idx="12">
                  <c:v>-0.75630542506162945</c:v>
                </c:pt>
                <c:pt idx="13">
                  <c:v>3.0448827044485789</c:v>
                </c:pt>
                <c:pt idx="14">
                  <c:v>7.9526056162271859</c:v>
                </c:pt>
                <c:pt idx="15">
                  <c:v>2.4123384484940407</c:v>
                </c:pt>
                <c:pt idx="16">
                  <c:v>1.3659773849089574</c:v>
                </c:pt>
              </c:numCache>
            </c:numRef>
          </c:val>
          <c:extLst>
            <c:ext xmlns:c16="http://schemas.microsoft.com/office/drawing/2014/chart" uri="{C3380CC4-5D6E-409C-BE32-E72D297353CC}">
              <c16:uniqueId val="{00000005-2852-44FD-B2E1-AC53204589B7}"/>
            </c:ext>
          </c:extLst>
        </c:ser>
        <c:dLbls>
          <c:showLegendKey val="0"/>
          <c:showVal val="0"/>
          <c:showCatName val="0"/>
          <c:showSerName val="0"/>
          <c:showPercent val="0"/>
          <c:showBubbleSize val="0"/>
        </c:dLbls>
        <c:gapWidth val="49"/>
        <c:overlap val="100"/>
        <c:axId val="194467712"/>
        <c:axId val="194473984"/>
      </c:barChart>
      <c:lineChart>
        <c:grouping val="standard"/>
        <c:varyColors val="0"/>
        <c:ser>
          <c:idx val="0"/>
          <c:order val="0"/>
          <c:tx>
            <c:strRef>
              <c:f>'G1-SR-příjmy-příspěvky'!$A$34</c:f>
              <c:strCache>
                <c:ptCount val="1"/>
                <c:pt idx="0">
                  <c:v>Celk. daňové příjmy (bez pojistného na SZ)</c:v>
                </c:pt>
              </c:strCache>
            </c:strRef>
          </c:tx>
          <c:spPr>
            <a:ln w="19050">
              <a:noFill/>
            </a:ln>
          </c:spPr>
          <c:marker>
            <c:symbol val="circle"/>
            <c:size val="7"/>
            <c:spPr>
              <a:solidFill>
                <a:schemeClr val="bg1">
                  <a:lumMod val="95000"/>
                </a:schemeClr>
              </a:solidFill>
              <a:ln>
                <a:solidFill>
                  <a:schemeClr val="tx1">
                    <a:lumMod val="95000"/>
                    <a:lumOff val="5000"/>
                  </a:schemeClr>
                </a:solidFill>
              </a:ln>
            </c:spPr>
          </c:marker>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'G1-SR-příjmy-příspěvky'!$E$34:$U$34</c:f>
              <c:numCache>
                <c:formatCode>0.0</c:formatCode>
                <c:ptCount val="17"/>
                <c:pt idx="0">
                  <c:v>6.7561083280551344</c:v>
                </c:pt>
                <c:pt idx="1">
                  <c:v>-13.128135056902977</c:v>
                </c:pt>
                <c:pt idx="2">
                  <c:v>6.4012086342846573</c:v>
                </c:pt>
                <c:pt idx="3">
                  <c:v>1.742027347700926</c:v>
                </c:pt>
                <c:pt idx="4">
                  <c:v>1.756665440592073</c:v>
                </c:pt>
                <c:pt idx="5">
                  <c:v>2.7842220428979942</c:v>
                </c:pt>
                <c:pt idx="6">
                  <c:v>5.1903979528772197</c:v>
                </c:pt>
                <c:pt idx="7">
                  <c:v>3.5099952205412137</c:v>
                </c:pt>
                <c:pt idx="8">
                  <c:v>8.8454600270201382</c:v>
                </c:pt>
                <c:pt idx="9">
                  <c:v>7.0052593426592722</c:v>
                </c:pt>
                <c:pt idx="10">
                  <c:v>6.6418503933034572</c:v>
                </c:pt>
                <c:pt idx="11">
                  <c:v>6.7824246788723741</c:v>
                </c:pt>
                <c:pt idx="12">
                  <c:v>-6.9509621840886666</c:v>
                </c:pt>
                <c:pt idx="13">
                  <c:v>2.5456652159903967</c:v>
                </c:pt>
                <c:pt idx="14">
                  <c:v>15.520222063729605</c:v>
                </c:pt>
                <c:pt idx="15">
                  <c:v>17.216819438949543</c:v>
                </c:pt>
                <c:pt idx="16">
                  <c:v>2.60357437592846</c:v>
                </c:pt>
              </c:numCache>
            </c:numRef>
          </c:val>
          <c:smooth val="0"/>
          <c:extLst>
            <c:ext xmlns:c16="http://schemas.microsoft.com/office/drawing/2014/chart" uri="{C3380CC4-5D6E-409C-BE32-E72D297353CC}">
              <c16:uniqueId val="{00000006-2852-44FD-B2E1-AC53204589B7}"/>
            </c:ext>
          </c:extLst>
        </c:ser>
        <c:ser>
          <c:idx val="7"/>
          <c:order val="7"/>
          <c:tx>
            <c:strRef>
              <c:f>'G1-SR-příjmy-příspěvky'!$A$41</c:f>
              <c:strCache>
                <c:ptCount val="1"/>
                <c:pt idx="0">
                  <c:v>Příjmy z pojistného na soc. zabezpečení*</c:v>
                </c:pt>
              </c:strCache>
            </c:strRef>
          </c:tx>
          <c:spPr>
            <a:ln w="6350">
              <a:noFill/>
              <a:prstDash val="dash"/>
            </a:ln>
          </c:spPr>
          <c:marker>
            <c:symbol val="triangle"/>
            <c:size val="5"/>
            <c:spPr>
              <a:solidFill>
                <a:schemeClr val="bg2">
                  <a:lumMod val="90000"/>
                </a:schemeClr>
              </a:solidFill>
              <a:ln>
                <a:solidFill>
                  <a:schemeClr val="tx1">
                    <a:lumMod val="95000"/>
                    <a:lumOff val="5000"/>
                  </a:schemeClr>
                </a:solidFill>
              </a:ln>
            </c:spPr>
          </c:marker>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'G1-SR-příjmy-příspěvky'!$E$41:$U$41</c:f>
              <c:numCache>
                <c:formatCode>0.0</c:formatCode>
                <c:ptCount val="17"/>
                <c:pt idx="0">
                  <c:v>6.916973963571337</c:v>
                </c:pt>
                <c:pt idx="1">
                  <c:v>-9.0997770345596365</c:v>
                </c:pt>
                <c:pt idx="2">
                  <c:v>0.83933772803924001</c:v>
                </c:pt>
                <c:pt idx="3">
                  <c:v>3.4092204781270112</c:v>
                </c:pt>
                <c:pt idx="4">
                  <c:v>1.9222287562481739</c:v>
                </c:pt>
                <c:pt idx="5">
                  <c:v>-0.19472792182034482</c:v>
                </c:pt>
                <c:pt idx="6">
                  <c:v>2.6447953174115781</c:v>
                </c:pt>
                <c:pt idx="7">
                  <c:v>5.5651378084409941</c:v>
                </c:pt>
                <c:pt idx="8">
                  <c:v>5.9986662220740357</c:v>
                </c:pt>
                <c:pt idx="9">
                  <c:v>8.235553178772534</c:v>
                </c:pt>
                <c:pt idx="10">
                  <c:v>10.436829714883601</c:v>
                </c:pt>
                <c:pt idx="11">
                  <c:v>8.0021560545186361</c:v>
                </c:pt>
                <c:pt idx="12">
                  <c:v>-4.2777676411420771</c:v>
                </c:pt>
                <c:pt idx="13">
                  <c:v>12.359526659362288</c:v>
                </c:pt>
                <c:pt idx="14">
                  <c:v>6.5023279059018648</c:v>
                </c:pt>
                <c:pt idx="15">
                  <c:v>8.7749346102075236</c:v>
                </c:pt>
                <c:pt idx="16">
                  <c:v>9.101393198598501</c:v>
                </c:pt>
              </c:numCache>
            </c:numRef>
          </c:val>
          <c:smooth val="0"/>
          <c:extLst>
            <c:ext xmlns:c16="http://schemas.microsoft.com/office/drawing/2014/chart" uri="{C3380CC4-5D6E-409C-BE32-E72D297353CC}">
              <c16:uniqueId val="{00000007-2852-44FD-B2E1-AC53204589B7}"/>
            </c:ext>
          </c:extLst>
        </c:ser>
        <c:dLbls>
          <c:showLegendKey val="0"/>
          <c:showVal val="0"/>
          <c:showCatName val="0"/>
          <c:showSerName val="0"/>
          <c:showPercent val="0"/>
          <c:showBubbleSize val="0"/>
        </c:dLbls>
        <c:marker val="1"/>
        <c:smooth val="0"/>
        <c:axId val="194467712"/>
        <c:axId val="194473984"/>
      </c:lineChart>
      <c:lineChart>
        <c:grouping val="standard"/>
        <c:varyColors val="0"/>
        <c:ser>
          <c:idx val="8"/>
          <c:order val="8"/>
          <c:tx>
            <c:strRef>
              <c:f>'G1-SR-příjmy-příspěvky'!$A$42</c:f>
              <c:strCache>
                <c:ptCount val="1"/>
                <c:pt idx="0">
                  <c:v>Saldo státního rozpočtu</c:v>
                </c:pt>
              </c:strCache>
            </c:strRef>
          </c:tx>
          <c:spPr>
            <a:ln w="19050">
              <a:solidFill>
                <a:schemeClr val="bg2">
                  <a:lumMod val="50000"/>
                </a:schemeClr>
              </a:solidFill>
            </a:ln>
          </c:spPr>
          <c:marker>
            <c:symbol val="none"/>
          </c:marker>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'G1-SR-příjmy-příspěvky'!$E$42:$U$42</c:f>
              <c:numCache>
                <c:formatCode>#\ ##0.0</c:formatCode>
                <c:ptCount val="17"/>
                <c:pt idx="0">
                  <c:v>10.473000000000001</c:v>
                </c:pt>
                <c:pt idx="1">
                  <c:v>-87.296000000000006</c:v>
                </c:pt>
                <c:pt idx="2">
                  <c:v>-99.555000000000007</c:v>
                </c:pt>
                <c:pt idx="3">
                  <c:v>-105.13800000000001</c:v>
                </c:pt>
                <c:pt idx="4">
                  <c:v>-71.412000000000006</c:v>
                </c:pt>
                <c:pt idx="5">
                  <c:v>-38.241</c:v>
                </c:pt>
                <c:pt idx="6">
                  <c:v>-34.39</c:v>
                </c:pt>
                <c:pt idx="7">
                  <c:v>-2.77</c:v>
                </c:pt>
                <c:pt idx="8">
                  <c:v>82.27</c:v>
                </c:pt>
                <c:pt idx="9">
                  <c:v>17.399999999999999</c:v>
                </c:pt>
                <c:pt idx="10">
                  <c:v>16.77</c:v>
                </c:pt>
                <c:pt idx="11">
                  <c:v>-20.99</c:v>
                </c:pt>
                <c:pt idx="12">
                  <c:v>-252.66738666548986</c:v>
                </c:pt>
                <c:pt idx="13">
                  <c:v>-326.27150374008056</c:v>
                </c:pt>
                <c:pt idx="14">
                  <c:v>-270.87650309327955</c:v>
                </c:pt>
                <c:pt idx="15">
                  <c:v>-180.67727687643992</c:v>
                </c:pt>
                <c:pt idx="16">
                  <c:v>-181.74969187712009</c:v>
                </c:pt>
              </c:numCache>
            </c:numRef>
          </c:val>
          <c:smooth val="0"/>
          <c:extLst>
            <c:ext xmlns:c16="http://schemas.microsoft.com/office/drawing/2014/chart" uri="{C3380CC4-5D6E-409C-BE32-E72D297353CC}">
              <c16:uniqueId val="{00000008-2852-44FD-B2E1-AC53204589B7}"/>
            </c:ext>
          </c:extLst>
        </c:ser>
        <c:ser>
          <c:idx val="9"/>
          <c:order val="9"/>
          <c:tx>
            <c:strRef>
              <c:f>'G1-SR-příjmy-příspěvky'!$A$43</c:f>
              <c:strCache>
                <c:ptCount val="1"/>
                <c:pt idx="0">
                  <c:v>Saldo SR očišťěné o vliv EU a FM**</c:v>
                </c:pt>
              </c:strCache>
            </c:strRef>
          </c:tx>
          <c:spPr>
            <a:ln w="19050">
              <a:solidFill>
                <a:schemeClr val="bg2">
                  <a:lumMod val="50000"/>
                </a:schemeClr>
              </a:solidFill>
              <a:prstDash val="sysDash"/>
            </a:ln>
          </c:spPr>
          <c:marker>
            <c:symbol val="none"/>
          </c:marker>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'G1-SR-příjmy-příspěvky'!$E$43:$U$43</c:f>
              <c:numCache>
                <c:formatCode>General</c:formatCode>
                <c:ptCount val="17"/>
                <c:pt idx="5" formatCode="#\ ##0.0">
                  <c:v>-65.2</c:v>
                </c:pt>
                <c:pt idx="6" formatCode="#\ ##0.0">
                  <c:v>-52.7</c:v>
                </c:pt>
                <c:pt idx="7" formatCode="#\ ##0.0">
                  <c:v>-40.5</c:v>
                </c:pt>
                <c:pt idx="8" formatCode="#\ ##0.0">
                  <c:v>-7.2</c:v>
                </c:pt>
                <c:pt idx="9" formatCode="#\ ##0.0">
                  <c:v>0.9</c:v>
                </c:pt>
                <c:pt idx="10" formatCode="#\ ##0.0">
                  <c:v>-4.8</c:v>
                </c:pt>
                <c:pt idx="11" formatCode="#\ ##0.0">
                  <c:v>-19</c:v>
                </c:pt>
                <c:pt idx="12" formatCode="#\ ##0.0">
                  <c:v>-256.5839071952804</c:v>
                </c:pt>
                <c:pt idx="13" formatCode="#\ ##0.0">
                  <c:v>-325.0604759008105</c:v>
                </c:pt>
                <c:pt idx="14" formatCode="#\ ##0.0">
                  <c:v>-255.36323320623956</c:v>
                </c:pt>
                <c:pt idx="15" formatCode="#\ ##0.0">
                  <c:v>-211.71180325428986</c:v>
                </c:pt>
                <c:pt idx="16" formatCode="#\ ##0.0">
                  <c:v>-188.22488612304005</c:v>
                </c:pt>
              </c:numCache>
            </c:numRef>
          </c:val>
          <c:smooth val="0"/>
          <c:extLst>
            <c:ext xmlns:c16="http://schemas.microsoft.com/office/drawing/2014/chart" uri="{C3380CC4-5D6E-409C-BE32-E72D297353CC}">
              <c16:uniqueId val="{00000009-2852-44FD-B2E1-AC53204589B7}"/>
            </c:ext>
          </c:extLst>
        </c:ser>
        <c:dLbls>
          <c:showLegendKey val="0"/>
          <c:showVal val="0"/>
          <c:showCatName val="0"/>
          <c:showSerName val="0"/>
          <c:showPercent val="0"/>
          <c:showBubbleSize val="0"/>
        </c:dLbls>
        <c:marker val="1"/>
        <c:smooth val="0"/>
        <c:axId val="539204576"/>
        <c:axId val="556140592"/>
      </c:lineChart>
      <c:catAx>
        <c:axId val="194467712"/>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194473984"/>
        <c:crosses val="autoZero"/>
        <c:auto val="1"/>
        <c:lblAlgn val="ctr"/>
        <c:lblOffset val="0"/>
        <c:noMultiLvlLbl val="0"/>
      </c:catAx>
      <c:valAx>
        <c:axId val="194473984"/>
        <c:scaling>
          <c:orientation val="minMax"/>
          <c:max val="20"/>
          <c:min val="-28"/>
        </c:scaling>
        <c:delete val="0"/>
        <c:axPos val="l"/>
        <c:majorGridlines>
          <c:spPr>
            <a:ln w="6350">
              <a:solidFill>
                <a:schemeClr val="bg1">
                  <a:lumMod val="75000"/>
                </a:schemeClr>
              </a:solidFill>
            </a:ln>
          </c:spPr>
        </c:majorGridlines>
        <c:title>
          <c:tx>
            <c:rich>
              <a:bodyPr/>
              <a:lstStyle/>
              <a:p>
                <a:pPr>
                  <a:defRPr b="0"/>
                </a:pPr>
                <a:r>
                  <a:rPr lang="cs-CZ" b="0"/>
                  <a:t>Růst příjmů z pojistného, příspěvek k růstu daň. příjmů</a:t>
                </a:r>
              </a:p>
            </c:rich>
          </c:tx>
          <c:layout/>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94467712"/>
        <c:crosses val="autoZero"/>
        <c:crossBetween val="between"/>
        <c:majorUnit val="4"/>
      </c:valAx>
      <c:valAx>
        <c:axId val="556140592"/>
        <c:scaling>
          <c:orientation val="minMax"/>
          <c:max val="250"/>
          <c:min val="-350"/>
        </c:scaling>
        <c:delete val="0"/>
        <c:axPos val="r"/>
        <c:title>
          <c:tx>
            <c:rich>
              <a:bodyPr/>
              <a:lstStyle/>
              <a:p>
                <a:pPr>
                  <a:defRPr b="0"/>
                </a:pPr>
                <a:r>
                  <a:rPr lang="cs-CZ" b="0"/>
                  <a:t>Saldo státního rozpočtu</a:t>
                </a:r>
              </a:p>
            </c:rich>
          </c:tx>
          <c:layout>
            <c:manualLayout>
              <c:xMode val="edge"/>
              <c:yMode val="edge"/>
              <c:x val="0.97036646544776606"/>
              <c:y val="0.20963215506367217"/>
            </c:manualLayout>
          </c:layout>
          <c:overlay val="0"/>
        </c:title>
        <c:numFmt formatCode="#,##0" sourceLinked="0"/>
        <c:majorTickMark val="out"/>
        <c:minorTickMark val="none"/>
        <c:tickLblPos val="nextTo"/>
        <c:txPr>
          <a:bodyPr/>
          <a:lstStyle/>
          <a:p>
            <a:pPr>
              <a:defRPr sz="800" b="0" i="0"/>
            </a:pPr>
            <a:endParaRPr lang="cs-CZ"/>
          </a:p>
        </c:txPr>
        <c:crossAx val="539204576"/>
        <c:crosses val="max"/>
        <c:crossBetween val="between"/>
        <c:majorUnit val="50"/>
      </c:valAx>
      <c:catAx>
        <c:axId val="539204576"/>
        <c:scaling>
          <c:orientation val="minMax"/>
        </c:scaling>
        <c:delete val="1"/>
        <c:axPos val="b"/>
        <c:numFmt formatCode="General" sourceLinked="1"/>
        <c:majorTickMark val="out"/>
        <c:minorTickMark val="none"/>
        <c:tickLblPos val="nextTo"/>
        <c:crossAx val="556140592"/>
        <c:crosses val="autoZero"/>
        <c:auto val="1"/>
        <c:lblAlgn val="ctr"/>
        <c:lblOffset val="100"/>
        <c:noMultiLvlLbl val="0"/>
      </c:catAx>
      <c:spPr>
        <a:ln w="6350">
          <a:solidFill>
            <a:schemeClr val="tx1"/>
          </a:solidFill>
        </a:ln>
      </c:spPr>
    </c:plotArea>
    <c:legend>
      <c:legendPos val="b"/>
      <c:layout>
        <c:manualLayout>
          <c:xMode val="edge"/>
          <c:yMode val="edge"/>
          <c:x val="1.3404713427069706E-2"/>
          <c:y val="0.84262968908968383"/>
          <c:w val="0.97057855178488128"/>
          <c:h val="0.1536825215139327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76336352808819E-2"/>
          <c:y val="1.7698902479006788E-2"/>
          <c:w val="0.8350684878939636"/>
          <c:h val="0.71002184388104528"/>
        </c:manualLayout>
      </c:layout>
      <c:barChart>
        <c:barDir val="col"/>
        <c:grouping val="clustered"/>
        <c:varyColors val="0"/>
        <c:ser>
          <c:idx val="0"/>
          <c:order val="0"/>
          <c:tx>
            <c:strRef>
              <c:f>'G2-St.rozpočet-výdaje-2024'!$B$34</c:f>
              <c:strCache>
                <c:ptCount val="1"/>
                <c:pt idx="0">
                  <c:v>Běžné výdaje celkem (pravá osa)</c:v>
                </c:pt>
              </c:strCache>
            </c:strRef>
          </c:tx>
          <c:spPr>
            <a:solidFill>
              <a:srgbClr val="E8E8E8"/>
            </a:solidFill>
            <a:ln w="6350">
              <a:solidFill>
                <a:schemeClr val="bg1">
                  <a:lumMod val="65000"/>
                </a:schemeClr>
              </a:solidFill>
            </a:ln>
          </c:spPr>
          <c:invertIfNegative val="0"/>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'G2-St.rozpočet-výdaje-2024'!$B$38:$B$54</c:f>
              <c:numCache>
                <c:formatCode>0.0</c:formatCode>
                <c:ptCount val="17"/>
                <c:pt idx="0">
                  <c:v>707.04</c:v>
                </c:pt>
                <c:pt idx="1">
                  <c:v>734.05</c:v>
                </c:pt>
                <c:pt idx="2">
                  <c:v>754.15</c:v>
                </c:pt>
                <c:pt idx="3">
                  <c:v>764.93</c:v>
                </c:pt>
                <c:pt idx="4">
                  <c:v>755.57</c:v>
                </c:pt>
                <c:pt idx="5">
                  <c:v>786.27</c:v>
                </c:pt>
                <c:pt idx="6">
                  <c:v>801.1</c:v>
                </c:pt>
                <c:pt idx="7">
                  <c:v>822.78</c:v>
                </c:pt>
                <c:pt idx="8">
                  <c:v>831.33</c:v>
                </c:pt>
                <c:pt idx="9">
                  <c:v>881.38</c:v>
                </c:pt>
                <c:pt idx="10">
                  <c:v>946.49</c:v>
                </c:pt>
                <c:pt idx="11">
                  <c:v>1039.0999999999999</c:v>
                </c:pt>
                <c:pt idx="12">
                  <c:v>1205.0999999999999</c:v>
                </c:pt>
                <c:pt idx="13">
                  <c:v>1305.6640510130501</c:v>
                </c:pt>
                <c:pt idx="14">
                  <c:v>1325.9629190346895</c:v>
                </c:pt>
                <c:pt idx="15">
                  <c:v>1483.2224108149501</c:v>
                </c:pt>
                <c:pt idx="16">
                  <c:v>1511.1020499196604</c:v>
                </c:pt>
              </c:numCache>
            </c:numRef>
          </c:val>
          <c:extLst>
            <c:ext xmlns:c16="http://schemas.microsoft.com/office/drawing/2014/chart" uri="{C3380CC4-5D6E-409C-BE32-E72D297353CC}">
              <c16:uniqueId val="{00000000-AD31-4047-ACA8-E00D769793E3}"/>
            </c:ext>
          </c:extLst>
        </c:ser>
        <c:ser>
          <c:idx val="1"/>
          <c:order val="1"/>
          <c:tx>
            <c:strRef>
              <c:f>'G2-St.rozpočet-výdaje-2024'!$C$34</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'G2-St.rozpočet-výdaje-2024'!$C$38:$C$54</c:f>
              <c:numCache>
                <c:formatCode>0.0</c:formatCode>
                <c:ptCount val="17"/>
                <c:pt idx="0">
                  <c:v>231.07</c:v>
                </c:pt>
                <c:pt idx="1">
                  <c:v>252.57</c:v>
                </c:pt>
                <c:pt idx="2">
                  <c:v>259.05</c:v>
                </c:pt>
                <c:pt idx="3">
                  <c:v>275.47000000000003</c:v>
                </c:pt>
                <c:pt idx="4">
                  <c:v>280.8</c:v>
                </c:pt>
                <c:pt idx="5">
                  <c:v>279.36</c:v>
                </c:pt>
                <c:pt idx="6">
                  <c:v>281.19</c:v>
                </c:pt>
                <c:pt idx="7">
                  <c:v>288.64999999999998</c:v>
                </c:pt>
                <c:pt idx="8">
                  <c:v>297.27</c:v>
                </c:pt>
                <c:pt idx="9">
                  <c:v>309.5</c:v>
                </c:pt>
                <c:pt idx="10">
                  <c:v>323.53122860164001</c:v>
                </c:pt>
                <c:pt idx="11">
                  <c:v>351.63529293472999</c:v>
                </c:pt>
                <c:pt idx="12">
                  <c:v>378.3</c:v>
                </c:pt>
                <c:pt idx="13">
                  <c:v>399.18146849605995</c:v>
                </c:pt>
                <c:pt idx="14">
                  <c:v>435.85393680989</c:v>
                </c:pt>
                <c:pt idx="15">
                  <c:v>512.48866431517001</c:v>
                </c:pt>
                <c:pt idx="16">
                  <c:v>532.51334736386002</c:v>
                </c:pt>
              </c:numCache>
            </c:numRef>
          </c:val>
          <c:extLst>
            <c:ext xmlns:c16="http://schemas.microsoft.com/office/drawing/2014/chart" uri="{C3380CC4-5D6E-409C-BE32-E72D297353CC}">
              <c16:uniqueId val="{00000001-AD31-4047-ACA8-E00D769793E3}"/>
            </c:ext>
          </c:extLst>
        </c:ser>
        <c:dLbls>
          <c:showLegendKey val="0"/>
          <c:showVal val="0"/>
          <c:showCatName val="0"/>
          <c:showSerName val="0"/>
          <c:showPercent val="0"/>
          <c:showBubbleSize val="0"/>
        </c:dLbls>
        <c:gapWidth val="85"/>
        <c:overlap val="100"/>
        <c:axId val="72836608"/>
        <c:axId val="72835072"/>
      </c:barChart>
      <c:lineChart>
        <c:grouping val="standard"/>
        <c:varyColors val="0"/>
        <c:ser>
          <c:idx val="6"/>
          <c:order val="2"/>
          <c:tx>
            <c:strRef>
              <c:f>'G2-St.rozpočet-výdaje-2024'!$D$34</c:f>
              <c:strCache>
                <c:ptCount val="1"/>
                <c:pt idx="0">
                  <c:v>Platy státních zaměstnanců*</c:v>
                </c:pt>
              </c:strCache>
            </c:strRef>
          </c:tx>
          <c:spPr>
            <a:ln w="15875">
              <a:solidFill>
                <a:srgbClr val="D5D000"/>
              </a:solidFill>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'G2-St.rozpočet-výdaje-2024'!$D$38:$D$54</c:f>
              <c:numCache>
                <c:formatCode>0.0</c:formatCode>
                <c:ptCount val="17"/>
                <c:pt idx="0">
                  <c:v>61.44</c:v>
                </c:pt>
                <c:pt idx="1">
                  <c:v>63.79</c:v>
                </c:pt>
                <c:pt idx="2">
                  <c:v>63.5</c:v>
                </c:pt>
                <c:pt idx="3">
                  <c:v>57.88</c:v>
                </c:pt>
                <c:pt idx="4">
                  <c:v>58.77</c:v>
                </c:pt>
                <c:pt idx="5">
                  <c:v>60.04</c:v>
                </c:pt>
                <c:pt idx="6">
                  <c:v>61.89</c:v>
                </c:pt>
                <c:pt idx="7">
                  <c:v>67.66</c:v>
                </c:pt>
                <c:pt idx="8">
                  <c:v>70.25</c:v>
                </c:pt>
                <c:pt idx="9">
                  <c:v>76.150000000000006</c:v>
                </c:pt>
                <c:pt idx="10">
                  <c:v>86.54</c:v>
                </c:pt>
                <c:pt idx="11">
                  <c:v>93.2</c:v>
                </c:pt>
                <c:pt idx="12">
                  <c:v>97.9</c:v>
                </c:pt>
                <c:pt idx="13">
                  <c:v>99.897257290169975</c:v>
                </c:pt>
                <c:pt idx="14">
                  <c:v>99.259486878659985</c:v>
                </c:pt>
                <c:pt idx="15">
                  <c:v>108.40992696612</c:v>
                </c:pt>
                <c:pt idx="16">
                  <c:v>109.82206346999</c:v>
                </c:pt>
              </c:numCache>
            </c:numRef>
          </c:val>
          <c:smooth val="0"/>
          <c:extLst>
            <c:ext xmlns:c16="http://schemas.microsoft.com/office/drawing/2014/chart" uri="{C3380CC4-5D6E-409C-BE32-E72D297353CC}">
              <c16:uniqueId val="{00000002-AD31-4047-ACA8-E00D769793E3}"/>
            </c:ext>
          </c:extLst>
        </c:ser>
        <c:ser>
          <c:idx val="7"/>
          <c:order val="3"/>
          <c:tx>
            <c:strRef>
              <c:f>'G2-St.rozpočet-výdaje-2024'!$E$34</c:f>
              <c:strCache>
                <c:ptCount val="1"/>
                <c:pt idx="0">
                  <c:v>Podpora v nezaměstnanosti</c:v>
                </c:pt>
              </c:strCache>
            </c:strRef>
          </c:tx>
          <c:spPr>
            <a:ln w="15875">
              <a:solidFill>
                <a:schemeClr val="tx1">
                  <a:lumMod val="65000"/>
                  <a:lumOff val="35000"/>
                </a:schemeClr>
              </a:solidFill>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'G2-St.rozpočet-výdaje-2024'!$E$38:$E$54</c:f>
              <c:numCache>
                <c:formatCode>0.0</c:formatCode>
                <c:ptCount val="17"/>
                <c:pt idx="0">
                  <c:v>5.29</c:v>
                </c:pt>
                <c:pt idx="1">
                  <c:v>11.41</c:v>
                </c:pt>
                <c:pt idx="2">
                  <c:v>10.65</c:v>
                </c:pt>
                <c:pt idx="3">
                  <c:v>8.36</c:v>
                </c:pt>
                <c:pt idx="4">
                  <c:v>6.78</c:v>
                </c:pt>
                <c:pt idx="5">
                  <c:v>7.53</c:v>
                </c:pt>
                <c:pt idx="6">
                  <c:v>7.33</c:v>
                </c:pt>
                <c:pt idx="7">
                  <c:v>6.46</c:v>
                </c:pt>
                <c:pt idx="8">
                  <c:v>6.39</c:v>
                </c:pt>
                <c:pt idx="9">
                  <c:v>6.11</c:v>
                </c:pt>
                <c:pt idx="10">
                  <c:v>5.77</c:v>
                </c:pt>
                <c:pt idx="11">
                  <c:v>6.19</c:v>
                </c:pt>
                <c:pt idx="12">
                  <c:v>7.9929069492</c:v>
                </c:pt>
                <c:pt idx="13">
                  <c:v>7.7627423478799997</c:v>
                </c:pt>
                <c:pt idx="14">
                  <c:v>7.4629720642899997</c:v>
                </c:pt>
                <c:pt idx="15">
                  <c:v>7.9107194753300005</c:v>
                </c:pt>
                <c:pt idx="16">
                  <c:v>9.6934386969299986</c:v>
                </c:pt>
              </c:numCache>
            </c:numRef>
          </c:val>
          <c:smooth val="0"/>
          <c:extLst>
            <c:ext xmlns:c16="http://schemas.microsoft.com/office/drawing/2014/chart" uri="{C3380CC4-5D6E-409C-BE32-E72D297353CC}">
              <c16:uniqueId val="{00000003-AD31-4047-ACA8-E00D769793E3}"/>
            </c:ext>
          </c:extLst>
        </c:ser>
        <c:ser>
          <c:idx val="2"/>
          <c:order val="4"/>
          <c:tx>
            <c:strRef>
              <c:f>'G2-St.rozpočet-výdaje-2024'!$F$34</c:f>
              <c:strCache>
                <c:ptCount val="1"/>
                <c:pt idx="0">
                  <c:v>Státní sociální podpora**</c:v>
                </c:pt>
              </c:strCache>
            </c:strRef>
          </c:tx>
          <c:spPr>
            <a:ln w="15875">
              <a:solidFill>
                <a:schemeClr val="accent6">
                  <a:lumMod val="75000"/>
                </a:schemeClr>
              </a:solidFill>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'G2-St.rozpočet-výdaje-2024'!$F$38:$F$54</c:f>
              <c:numCache>
                <c:formatCode>0.0</c:formatCode>
                <c:ptCount val="17"/>
                <c:pt idx="0">
                  <c:v>31.98</c:v>
                </c:pt>
                <c:pt idx="1">
                  <c:v>30.95</c:v>
                </c:pt>
                <c:pt idx="2">
                  <c:v>30.85</c:v>
                </c:pt>
                <c:pt idx="3">
                  <c:v>27.32</c:v>
                </c:pt>
                <c:pt idx="4">
                  <c:v>26.77</c:v>
                </c:pt>
                <c:pt idx="5">
                  <c:v>28.04</c:v>
                </c:pt>
                <c:pt idx="6">
                  <c:v>28.22</c:v>
                </c:pt>
                <c:pt idx="7">
                  <c:v>28.27</c:v>
                </c:pt>
                <c:pt idx="8">
                  <c:v>28.38</c:v>
                </c:pt>
                <c:pt idx="9">
                  <c:v>28.02</c:v>
                </c:pt>
                <c:pt idx="10">
                  <c:v>29.32</c:v>
                </c:pt>
                <c:pt idx="11">
                  <c:v>28.28</c:v>
                </c:pt>
                <c:pt idx="12">
                  <c:v>38.692716178420007</c:v>
                </c:pt>
                <c:pt idx="13">
                  <c:v>36.585763589110002</c:v>
                </c:pt>
                <c:pt idx="14">
                  <c:v>42.228307252230003</c:v>
                </c:pt>
                <c:pt idx="15">
                  <c:v>44.905500191489999</c:v>
                </c:pt>
                <c:pt idx="16">
                  <c:v>45.409722380370006</c:v>
                </c:pt>
              </c:numCache>
            </c:numRef>
          </c:val>
          <c:smooth val="0"/>
          <c:extLst>
            <c:ext xmlns:c16="http://schemas.microsoft.com/office/drawing/2014/chart" uri="{C3380CC4-5D6E-409C-BE32-E72D297353CC}">
              <c16:uniqueId val="{00000004-AD31-4047-ACA8-E00D769793E3}"/>
            </c:ext>
          </c:extLst>
        </c:ser>
        <c:ser>
          <c:idx val="3"/>
          <c:order val="5"/>
          <c:tx>
            <c:strRef>
              <c:f>'G2-St.rozpočet-výdaje-2024'!$G$34</c:f>
              <c:strCache>
                <c:ptCount val="1"/>
                <c:pt idx="0">
                  <c:v>Dávky nemocenského pojištění</c:v>
                </c:pt>
              </c:strCache>
            </c:strRef>
          </c:tx>
          <c:spPr>
            <a:ln w="15875">
              <a:solidFill>
                <a:srgbClr val="00B0F0"/>
              </a:solidFill>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'G2-St.rozpočet-výdaje-2024'!$G$38:$G$54</c:f>
              <c:numCache>
                <c:formatCode>0.0</c:formatCode>
                <c:ptCount val="17"/>
                <c:pt idx="0">
                  <c:v>24.12</c:v>
                </c:pt>
                <c:pt idx="1">
                  <c:v>20.07</c:v>
                </c:pt>
                <c:pt idx="2">
                  <c:v>16.8</c:v>
                </c:pt>
                <c:pt idx="3">
                  <c:v>16.82</c:v>
                </c:pt>
                <c:pt idx="4">
                  <c:v>14.84</c:v>
                </c:pt>
                <c:pt idx="5">
                  <c:v>15.44</c:v>
                </c:pt>
                <c:pt idx="6">
                  <c:v>16.649999999999999</c:v>
                </c:pt>
                <c:pt idx="7">
                  <c:v>18.23</c:v>
                </c:pt>
                <c:pt idx="8">
                  <c:v>19.88</c:v>
                </c:pt>
                <c:pt idx="9">
                  <c:v>21.43</c:v>
                </c:pt>
                <c:pt idx="10">
                  <c:v>25.48</c:v>
                </c:pt>
                <c:pt idx="11">
                  <c:v>29.3</c:v>
                </c:pt>
                <c:pt idx="12">
                  <c:v>43.2</c:v>
                </c:pt>
                <c:pt idx="13">
                  <c:v>39.6</c:v>
                </c:pt>
                <c:pt idx="14">
                  <c:v>36.6</c:v>
                </c:pt>
                <c:pt idx="15">
                  <c:v>34.799999999999997</c:v>
                </c:pt>
                <c:pt idx="16">
                  <c:v>36.087599999999995</c:v>
                </c:pt>
              </c:numCache>
            </c:numRef>
          </c:val>
          <c:smooth val="0"/>
          <c:extLst>
            <c:ext xmlns:c16="http://schemas.microsoft.com/office/drawing/2014/chart" uri="{C3380CC4-5D6E-409C-BE32-E72D297353CC}">
              <c16:uniqueId val="{00000005-AD31-4047-ACA8-E00D769793E3}"/>
            </c:ext>
          </c:extLst>
        </c:ser>
        <c:ser>
          <c:idx val="4"/>
          <c:order val="6"/>
          <c:tx>
            <c:strRef>
              <c:f>'G2-St.rozpočet-výdaje-2024'!$H$34</c:f>
              <c:strCache>
                <c:ptCount val="1"/>
                <c:pt idx="0">
                  <c:v>Dávky sociální péče***</c:v>
                </c:pt>
              </c:strCache>
            </c:strRef>
          </c:tx>
          <c:spPr>
            <a:ln w="15875">
              <a:solidFill>
                <a:srgbClr val="00B050"/>
              </a:solidFill>
              <a:prstDash val="solid"/>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'G2-St.rozpočet-výdaje-2024'!$H$38:$H$54</c:f>
              <c:numCache>
                <c:formatCode>0.0</c:formatCode>
                <c:ptCount val="17"/>
                <c:pt idx="0">
                  <c:v>18.600000000000001</c:v>
                </c:pt>
                <c:pt idx="1">
                  <c:v>18.899999999999999</c:v>
                </c:pt>
                <c:pt idx="2">
                  <c:v>19.600000000000001</c:v>
                </c:pt>
                <c:pt idx="3">
                  <c:v>19.100000000000001</c:v>
                </c:pt>
                <c:pt idx="4">
                  <c:v>20.309999999999999</c:v>
                </c:pt>
                <c:pt idx="5">
                  <c:v>23.73</c:v>
                </c:pt>
                <c:pt idx="6">
                  <c:v>25.18</c:v>
                </c:pt>
                <c:pt idx="7">
                  <c:v>25.26</c:v>
                </c:pt>
                <c:pt idx="8">
                  <c:v>25.4</c:v>
                </c:pt>
                <c:pt idx="9">
                  <c:v>25.96</c:v>
                </c:pt>
                <c:pt idx="10">
                  <c:v>25.547999999999998</c:v>
                </c:pt>
                <c:pt idx="11">
                  <c:v>27.04</c:v>
                </c:pt>
                <c:pt idx="12">
                  <c:v>30.3</c:v>
                </c:pt>
                <c:pt idx="13">
                  <c:v>30.5</c:v>
                </c:pt>
                <c:pt idx="14">
                  <c:v>40</c:v>
                </c:pt>
                <c:pt idx="15">
                  <c:v>40.4</c:v>
                </c:pt>
                <c:pt idx="16">
                  <c:v>42.056399999999996</c:v>
                </c:pt>
              </c:numCache>
            </c:numRef>
          </c:val>
          <c:smooth val="0"/>
          <c:extLst>
            <c:ext xmlns:c16="http://schemas.microsoft.com/office/drawing/2014/chart" uri="{C3380CC4-5D6E-409C-BE32-E72D297353CC}">
              <c16:uniqueId val="{00000006-AD31-4047-ACA8-E00D769793E3}"/>
            </c:ext>
          </c:extLst>
        </c:ser>
        <c:ser>
          <c:idx val="5"/>
          <c:order val="7"/>
          <c:tx>
            <c:strRef>
              <c:f>'G2-St.rozpočet-výdaje-2024'!$I$34</c:f>
              <c:strCache>
                <c:ptCount val="1"/>
                <c:pt idx="0">
                  <c:v>Neinvestič. nákupy a souvis. výdaje****</c:v>
                </c:pt>
              </c:strCache>
            </c:strRef>
          </c:tx>
          <c:spPr>
            <a:ln w="15875">
              <a:solidFill>
                <a:schemeClr val="accent4">
                  <a:lumMod val="60000"/>
                  <a:lumOff val="40000"/>
                </a:schemeClr>
              </a:solidFill>
              <a:prstDash val="solid"/>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'G2-St.rozpočet-výdaje-2024'!$I$38:$I$54</c:f>
              <c:numCache>
                <c:formatCode>0.0</c:formatCode>
                <c:ptCount val="17"/>
                <c:pt idx="0">
                  <c:v>46.384999999999998</c:v>
                </c:pt>
                <c:pt idx="1">
                  <c:v>46.423000000000002</c:v>
                </c:pt>
                <c:pt idx="2">
                  <c:v>43.066999999999993</c:v>
                </c:pt>
                <c:pt idx="3">
                  <c:v>38.64</c:v>
                </c:pt>
                <c:pt idx="4">
                  <c:v>34.989999999999995</c:v>
                </c:pt>
                <c:pt idx="5">
                  <c:v>33.93</c:v>
                </c:pt>
                <c:pt idx="6">
                  <c:v>33.94</c:v>
                </c:pt>
                <c:pt idx="7">
                  <c:v>38.31</c:v>
                </c:pt>
                <c:pt idx="8">
                  <c:v>36.659999999999997</c:v>
                </c:pt>
                <c:pt idx="9">
                  <c:v>41.17</c:v>
                </c:pt>
                <c:pt idx="10">
                  <c:v>42.379999999999995</c:v>
                </c:pt>
                <c:pt idx="11">
                  <c:v>43.46</c:v>
                </c:pt>
                <c:pt idx="12">
                  <c:v>50.548159175919999</c:v>
                </c:pt>
                <c:pt idx="13">
                  <c:v>49.815340486700009</c:v>
                </c:pt>
                <c:pt idx="14">
                  <c:v>63.430957576870021</c:v>
                </c:pt>
                <c:pt idx="15">
                  <c:v>51.839341777679969</c:v>
                </c:pt>
                <c:pt idx="16">
                  <c:v>58.91262459946001</c:v>
                </c:pt>
              </c:numCache>
            </c:numRef>
          </c:val>
          <c:smooth val="0"/>
          <c:extLst>
            <c:ext xmlns:c16="http://schemas.microsoft.com/office/drawing/2014/chart" uri="{C3380CC4-5D6E-409C-BE32-E72D297353CC}">
              <c16:uniqueId val="{00000007-AD31-4047-ACA8-E00D769793E3}"/>
            </c:ext>
          </c:extLst>
        </c:ser>
        <c:ser>
          <c:idx val="9"/>
          <c:order val="8"/>
          <c:tx>
            <c:strRef>
              <c:f>'G2-St.rozpočet-výdaje-2024'!$J$34</c:f>
              <c:strCache>
                <c:ptCount val="1"/>
                <c:pt idx="0">
                  <c:v>Státní dluh (čisté výdaje)*****</c:v>
                </c:pt>
              </c:strCache>
            </c:strRef>
          </c:tx>
          <c:spPr>
            <a:ln w="6350">
              <a:noFill/>
              <a:prstDash val="sysDot"/>
            </a:ln>
          </c:spPr>
          <c:marker>
            <c:symbol val="diamond"/>
            <c:size val="5"/>
            <c:spPr>
              <a:solidFill>
                <a:srgbClr val="C00000"/>
              </a:solidFill>
              <a:ln>
                <a:noFill/>
              </a:ln>
            </c:spPr>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'G2-St.rozpočet-výdaje-2024'!$J$38:$J$54</c:f>
              <c:numCache>
                <c:formatCode>0.0</c:formatCode>
                <c:ptCount val="17"/>
                <c:pt idx="0">
                  <c:v>24.46</c:v>
                </c:pt>
                <c:pt idx="1">
                  <c:v>33.33</c:v>
                </c:pt>
                <c:pt idx="2">
                  <c:v>24.92</c:v>
                </c:pt>
                <c:pt idx="3">
                  <c:v>35.89</c:v>
                </c:pt>
                <c:pt idx="4">
                  <c:v>35.86</c:v>
                </c:pt>
                <c:pt idx="5">
                  <c:v>44.55</c:v>
                </c:pt>
                <c:pt idx="6">
                  <c:v>43.16</c:v>
                </c:pt>
                <c:pt idx="7">
                  <c:v>41.03</c:v>
                </c:pt>
                <c:pt idx="8">
                  <c:v>38.1</c:v>
                </c:pt>
                <c:pt idx="9">
                  <c:v>33.849999999999994</c:v>
                </c:pt>
                <c:pt idx="10">
                  <c:v>32.616999999999997</c:v>
                </c:pt>
                <c:pt idx="11">
                  <c:v>33.350999999999999</c:v>
                </c:pt>
                <c:pt idx="12">
                  <c:v>32.136847667730002</c:v>
                </c:pt>
                <c:pt idx="13">
                  <c:v>34.590381461649997</c:v>
                </c:pt>
                <c:pt idx="14">
                  <c:v>32.168013688009999</c:v>
                </c:pt>
                <c:pt idx="15">
                  <c:v>40.34588207561</c:v>
                </c:pt>
                <c:pt idx="16">
                  <c:v>60.482206392339997</c:v>
                </c:pt>
              </c:numCache>
            </c:numRef>
          </c:val>
          <c:smooth val="0"/>
          <c:extLst>
            <c:ext xmlns:c16="http://schemas.microsoft.com/office/drawing/2014/chart" uri="{C3380CC4-5D6E-409C-BE32-E72D297353CC}">
              <c16:uniqueId val="{00000008-AD31-4047-ACA8-E00D769793E3}"/>
            </c:ext>
          </c:extLst>
        </c:ser>
        <c:ser>
          <c:idx val="8"/>
          <c:order val="9"/>
          <c:tx>
            <c:strRef>
              <c:f>'G2-St.rozpočet-výdaje-2024'!$K$34</c:f>
              <c:strCache>
                <c:ptCount val="1"/>
                <c:pt idx="0">
                  <c:v>Neinvestič. transfery podnikatelům</c:v>
                </c:pt>
              </c:strCache>
            </c:strRef>
          </c:tx>
          <c:spPr>
            <a:ln w="15875">
              <a:noFill/>
              <a:prstDash val="dash"/>
            </a:ln>
          </c:spPr>
          <c:marker>
            <c:symbol val="square"/>
            <c:size val="5"/>
            <c:spPr>
              <a:solidFill>
                <a:schemeClr val="bg1"/>
              </a:solidFill>
              <a:ln>
                <a:solidFill>
                  <a:srgbClr val="996633"/>
                </a:solidFill>
              </a:ln>
            </c:spPr>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'G2-St.rozpočet-výdaje-2024'!$K$38:$K$54</c:f>
              <c:numCache>
                <c:formatCode>0.0</c:formatCode>
                <c:ptCount val="17"/>
                <c:pt idx="0" formatCode="General">
                  <c:v>11.3</c:v>
                </c:pt>
                <c:pt idx="1">
                  <c:v>11.452</c:v>
                </c:pt>
                <c:pt idx="2">
                  <c:v>11.497</c:v>
                </c:pt>
                <c:pt idx="3">
                  <c:v>15.079000000000001</c:v>
                </c:pt>
                <c:pt idx="4">
                  <c:v>25.56</c:v>
                </c:pt>
                <c:pt idx="5">
                  <c:v>24.34</c:v>
                </c:pt>
                <c:pt idx="6">
                  <c:v>27.89</c:v>
                </c:pt>
                <c:pt idx="7">
                  <c:v>27.62</c:v>
                </c:pt>
                <c:pt idx="8">
                  <c:v>26.25</c:v>
                </c:pt>
                <c:pt idx="9">
                  <c:v>33.24</c:v>
                </c:pt>
                <c:pt idx="10">
                  <c:v>40.24</c:v>
                </c:pt>
                <c:pt idx="11">
                  <c:v>40.869999999999997</c:v>
                </c:pt>
                <c:pt idx="12">
                  <c:v>73.104724736180003</c:v>
                </c:pt>
                <c:pt idx="13">
                  <c:v>106.18042459115</c:v>
                </c:pt>
                <c:pt idx="14">
                  <c:v>64.917558656219981</c:v>
                </c:pt>
                <c:pt idx="15">
                  <c:v>100.52152624010999</c:v>
                </c:pt>
                <c:pt idx="16">
                  <c:v>50.423866801759999</c:v>
                </c:pt>
              </c:numCache>
            </c:numRef>
          </c:val>
          <c:smooth val="0"/>
          <c:extLst>
            <c:ext xmlns:c16="http://schemas.microsoft.com/office/drawing/2014/chart" uri="{C3380CC4-5D6E-409C-BE32-E72D297353CC}">
              <c16:uniqueId val="{00000009-AD31-4047-ACA8-E00D769793E3}"/>
            </c:ext>
          </c:extLst>
        </c:ser>
        <c:ser>
          <c:idx val="10"/>
          <c:order val="10"/>
          <c:tx>
            <c:strRef>
              <c:f>'G2-St.rozpočet-výdaje-2024'!$L$34</c:f>
              <c:strCache>
                <c:ptCount val="1"/>
                <c:pt idx="0">
                  <c:v>Kapitálové výdaje</c:v>
                </c:pt>
              </c:strCache>
            </c:strRef>
          </c:tx>
          <c:spPr>
            <a:ln w="15875">
              <a:solidFill>
                <a:schemeClr val="tx1">
                  <a:lumMod val="85000"/>
                  <a:lumOff val="15000"/>
                </a:schemeClr>
              </a:solidFill>
              <a:prstDash val="sysDash"/>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'G2-St.rozpočet-výdaje-2024'!$L$38:$L$54</c:f>
              <c:numCache>
                <c:formatCode>0.0</c:formatCode>
                <c:ptCount val="17"/>
                <c:pt idx="0">
                  <c:v>76.95</c:v>
                </c:pt>
                <c:pt idx="1">
                  <c:v>80.024000000000001</c:v>
                </c:pt>
                <c:pt idx="2">
                  <c:v>91.36</c:v>
                </c:pt>
                <c:pt idx="3">
                  <c:v>82.07</c:v>
                </c:pt>
                <c:pt idx="4">
                  <c:v>72.98</c:v>
                </c:pt>
                <c:pt idx="5">
                  <c:v>58.39</c:v>
                </c:pt>
                <c:pt idx="6">
                  <c:v>59.67</c:v>
                </c:pt>
                <c:pt idx="7">
                  <c:v>88.53</c:v>
                </c:pt>
                <c:pt idx="8">
                  <c:v>51.6</c:v>
                </c:pt>
                <c:pt idx="9">
                  <c:v>41.37</c:v>
                </c:pt>
                <c:pt idx="10">
                  <c:v>60.93</c:v>
                </c:pt>
                <c:pt idx="11">
                  <c:v>85.1</c:v>
                </c:pt>
                <c:pt idx="12">
                  <c:v>105.9</c:v>
                </c:pt>
                <c:pt idx="13">
                  <c:v>99.658233900700012</c:v>
                </c:pt>
                <c:pt idx="14">
                  <c:v>112.84501467701</c:v>
                </c:pt>
                <c:pt idx="15">
                  <c:v>134.16495114721999</c:v>
                </c:pt>
                <c:pt idx="16">
                  <c:v>115.34367648059001</c:v>
                </c:pt>
              </c:numCache>
            </c:numRef>
          </c:val>
          <c:smooth val="0"/>
          <c:extLst>
            <c:ext xmlns:c16="http://schemas.microsoft.com/office/drawing/2014/chart" uri="{C3380CC4-5D6E-409C-BE32-E72D297353CC}">
              <c16:uniqueId val="{0000000A-AD31-4047-ACA8-E00D769793E3}"/>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txPr>
          <a:bodyPr rot="-1800000"/>
          <a:lstStyle/>
          <a:p>
            <a:pPr>
              <a:defRPr/>
            </a:pPr>
            <a:endParaRPr lang="cs-CZ"/>
          </a:p>
        </c:txPr>
        <c:crossAx val="72829184"/>
        <c:crosses val="autoZero"/>
        <c:auto val="1"/>
        <c:lblAlgn val="ctr"/>
        <c:lblOffset val="0"/>
        <c:noMultiLvlLbl val="0"/>
      </c:catAx>
      <c:valAx>
        <c:axId val="72829184"/>
        <c:scaling>
          <c:orientation val="minMax"/>
          <c:max val="153"/>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layout/>
          <c:overlay val="0"/>
        </c:title>
        <c:numFmt formatCode="0" sourceLinked="0"/>
        <c:majorTickMark val="out"/>
        <c:minorTickMark val="none"/>
        <c:tickLblPos val="nextTo"/>
        <c:spPr>
          <a:ln w="6350">
            <a:solidFill>
              <a:schemeClr val="tx1"/>
            </a:solidFill>
          </a:ln>
        </c:spPr>
        <c:crossAx val="72827648"/>
        <c:crosses val="autoZero"/>
        <c:crossBetween val="between"/>
        <c:majorUnit val="10"/>
      </c:valAx>
      <c:valAx>
        <c:axId val="72835072"/>
        <c:scaling>
          <c:orientation val="minMax"/>
          <c:max val="1530"/>
          <c:min val="0"/>
        </c:scaling>
        <c:delete val="0"/>
        <c:axPos val="r"/>
        <c:title>
          <c:tx>
            <c:rich>
              <a:bodyPr/>
              <a:lstStyle/>
              <a:p>
                <a:pPr>
                  <a:defRPr sz="700" b="0" i="1"/>
                </a:pPr>
                <a:r>
                  <a:rPr lang="cs-CZ" sz="700" b="0" i="1"/>
                  <a:t>Běžné výdaje celkem, důchody</a:t>
                </a:r>
              </a:p>
            </c:rich>
          </c:tx>
          <c:layout>
            <c:manualLayout>
              <c:xMode val="edge"/>
              <c:yMode val="edge"/>
              <c:x val="0.969049136463625"/>
              <c:y val="0.25018610067154745"/>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10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2.1702272398792893E-2"/>
          <c:y val="0.8012630320052242"/>
          <c:w val="0.95539399945882331"/>
          <c:h val="0.1879802972466069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1df8c39b067b5d25b5f5e865a8e6deb3">
  <xsd:schema xmlns:xsd="http://www.w3.org/2001/XMLSchema" xmlns:xs="http://www.w3.org/2001/XMLSchema" xmlns:p="http://schemas.microsoft.com/office/2006/metadata/properties" xmlns:ns3="b8c0c86d-151e-4fca-b0d5-747e6692fa1d" targetNamespace="http://schemas.microsoft.com/office/2006/metadata/properties" ma:root="true" ma:fieldsID="0a1e36cc980726b26aea9439dfb6e5b7"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A1E1-1E99-4B4F-B9B5-70567730AA3A}">
  <ds:schemaRefs>
    <ds:schemaRef ds:uri="http://schemas.microsoft.com/sharepoint/v3/contenttype/forms"/>
  </ds:schemaRefs>
</ds:datastoreItem>
</file>

<file path=customXml/itemProps2.xml><?xml version="1.0" encoding="utf-8"?>
<ds:datastoreItem xmlns:ds="http://schemas.openxmlformats.org/officeDocument/2006/customXml" ds:itemID="{1E7681AD-41B0-431A-9D34-CF6700A12FAC}">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b8c0c86d-151e-4fca-b0d5-747e6692fa1d"/>
    <ds:schemaRef ds:uri="http://purl.org/dc/terms/"/>
  </ds:schemaRefs>
</ds:datastoreItem>
</file>

<file path=customXml/itemProps3.xml><?xml version="1.0" encoding="utf-8"?>
<ds:datastoreItem xmlns:ds="http://schemas.openxmlformats.org/officeDocument/2006/customXml" ds:itemID="{C217542A-452A-49A6-BD70-25B5200F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1ACAF-4BAA-4594-A2E9-62D6718F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3208</Words>
  <Characters>18931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Jana</dc:creator>
  <cp:keywords/>
  <cp:lastModifiedBy>Zábojníková Karolína</cp:lastModifiedBy>
  <cp:revision>4</cp:revision>
  <cp:lastPrinted>2014-07-17T14:07:00Z</cp:lastPrinted>
  <dcterms:created xsi:type="dcterms:W3CDTF">2024-12-16T10:31:00Z</dcterms:created>
  <dcterms:modified xsi:type="dcterms:W3CDTF">2024-12-16T10:45:00Z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y fmtid="{D5CDD505-2E9C-101B-9397-08002B2CF9AE}" pid="3" name="Názevformuláře">
    <vt:lpwstr>Publikace CZ barevné - vícetematické analýzy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2018-04-17T07:00:00Z</vt:filetime>
  </property>
  <property fmtid="{D5CDD505-2E9C-101B-9397-08002B2CF9AE}" pid="8" name="Označení">
    <vt:lpwstr>Form_c444</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