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CDCFE" w14:textId="7F566E3C" w:rsidR="00995773" w:rsidRDefault="00995773" w:rsidP="00995773">
      <w:pPr>
        <w:spacing w:line="288" w:lineRule="auto"/>
        <w:rPr>
          <w:rFonts w:ascii="Arial" w:hAnsi="Arial" w:cs="Arial"/>
          <w:b/>
          <w:i/>
          <w:iCs/>
          <w:color w:val="0071BC"/>
          <w:sz w:val="32"/>
          <w:lang w:val="en-GB"/>
        </w:rPr>
      </w:pPr>
      <w:bookmarkStart w:id="0" w:name="_GoBack"/>
      <w:bookmarkEnd w:id="0"/>
      <w:r w:rsidRPr="00995773">
        <w:rPr>
          <w:rFonts w:ascii="Arial" w:hAnsi="Arial" w:cs="Arial"/>
          <w:b/>
          <w:i/>
          <w:iCs/>
          <w:color w:val="0071BC"/>
          <w:sz w:val="32"/>
          <w:lang w:val="en-GB"/>
        </w:rPr>
        <w:t>Introduction</w:t>
      </w:r>
    </w:p>
    <w:p w14:paraId="31CFE324" w14:textId="77777777" w:rsidR="00995773" w:rsidRPr="00995773" w:rsidRDefault="00995773" w:rsidP="00995773">
      <w:pPr>
        <w:spacing w:line="288" w:lineRule="auto"/>
        <w:rPr>
          <w:rFonts w:ascii="Arial" w:hAnsi="Arial" w:cs="Arial"/>
          <w:b/>
          <w:i/>
          <w:iCs/>
          <w:color w:val="0071BC"/>
          <w:sz w:val="32"/>
          <w:lang w:val="en-GB"/>
        </w:rPr>
      </w:pPr>
    </w:p>
    <w:p w14:paraId="2736E15B" w14:textId="77777777" w:rsidR="00995773" w:rsidRDefault="00995773" w:rsidP="00995773">
      <w:pPr>
        <w:spacing w:line="288" w:lineRule="auto"/>
        <w:ind w:firstLine="709"/>
        <w:jc w:val="both"/>
        <w:rPr>
          <w:rFonts w:ascii="Arial" w:hAnsi="Arial" w:cs="Arial"/>
          <w:i/>
          <w:sz w:val="20"/>
          <w:szCs w:val="20"/>
          <w:lang w:val="en-GB"/>
        </w:rPr>
      </w:pPr>
      <w:r>
        <w:rPr>
          <w:rFonts w:ascii="Arial" w:hAnsi="Arial" w:cs="Arial"/>
          <w:i/>
          <w:sz w:val="20"/>
          <w:szCs w:val="20"/>
          <w:lang w:val="en-GB"/>
        </w:rPr>
        <w:t xml:space="preserve">The Integrated Farm Survey was conducted during autumn 2023 on the basis of the amended EU legislation. It followed the system of structural surveys held in the Czech Republic since 2000. </w:t>
      </w:r>
      <w:r>
        <w:rPr>
          <w:rFonts w:ascii="Arial" w:hAnsi="Arial" w:cs="Arial"/>
          <w:i/>
          <w:iCs/>
          <w:sz w:val="20"/>
          <w:szCs w:val="20"/>
          <w:lang w:val="en-GB"/>
        </w:rPr>
        <w:t xml:space="preserve">Its aim was to obtain detailed and comprehensive information on agricultural holdings in the Czech Republic: their size, structure and development, equipment, production specialisation, </w:t>
      </w:r>
      <w:proofErr w:type="gramStart"/>
      <w:r>
        <w:rPr>
          <w:rFonts w:ascii="Arial" w:hAnsi="Arial" w:cs="Arial"/>
          <w:i/>
          <w:iCs/>
          <w:sz w:val="20"/>
          <w:szCs w:val="20"/>
          <w:lang w:val="en-GB"/>
        </w:rPr>
        <w:t>an</w:t>
      </w:r>
      <w:proofErr w:type="gramEnd"/>
      <w:r>
        <w:rPr>
          <w:rFonts w:ascii="Arial" w:hAnsi="Arial" w:cs="Arial"/>
          <w:i/>
          <w:iCs/>
          <w:sz w:val="20"/>
          <w:szCs w:val="20"/>
          <w:lang w:val="en-GB"/>
        </w:rPr>
        <w:t xml:space="preserve"> d other gainful activities. This survey also serves as a data source for updating of the Farm Register, which is a basis for annual surveys in agriculture.</w:t>
      </w:r>
    </w:p>
    <w:p w14:paraId="7F7014CE" w14:textId="77777777" w:rsidR="00995773" w:rsidRDefault="00995773" w:rsidP="00995773">
      <w:pPr>
        <w:spacing w:line="288" w:lineRule="auto"/>
        <w:ind w:firstLine="709"/>
        <w:jc w:val="both"/>
        <w:rPr>
          <w:rFonts w:ascii="Arial" w:hAnsi="Arial" w:cs="Arial"/>
          <w:i/>
          <w:sz w:val="20"/>
          <w:szCs w:val="20"/>
          <w:lang w:val="en-GB"/>
        </w:rPr>
      </w:pPr>
      <w:r>
        <w:rPr>
          <w:rFonts w:ascii="Arial" w:hAnsi="Arial" w:cs="Arial"/>
          <w:i/>
          <w:sz w:val="20"/>
          <w:szCs w:val="20"/>
          <w:lang w:val="en-GB"/>
        </w:rPr>
        <w:t>Integrated Farm Surveys are</w:t>
      </w:r>
      <w:r>
        <w:rPr>
          <w:rFonts w:ascii="Arial" w:hAnsi="Arial" w:cs="Arial"/>
          <w:i/>
          <w:iCs/>
          <w:sz w:val="20"/>
          <w:szCs w:val="20"/>
          <w:lang w:val="en-GB"/>
        </w:rPr>
        <w:t xml:space="preserve"> conducted in all the European Union member countries following requirements of the EU/EC legislation. The most important legal act is the </w:t>
      </w:r>
      <w:bookmarkStart w:id="1" w:name="cellar_b401f250-99ca-11e8-a408-01aa75ed7"/>
      <w:bookmarkEnd w:id="1"/>
      <w:r>
        <w:rPr>
          <w:rFonts w:ascii="Arial" w:hAnsi="Arial" w:cs="Arial"/>
          <w:i/>
          <w:iCs/>
          <w:color w:val="000000"/>
          <w:sz w:val="20"/>
          <w:szCs w:val="20"/>
          <w:lang w:val="en-GB"/>
        </w:rPr>
        <w:t>Regulation (EU) 2018/1091 of the European Parliament and of the Council of 18 July 2018 on integrated farm statistics and repealing Regulations (EC) No 1166/2008 and (EU) No 1337/2011</w:t>
      </w:r>
      <w:r>
        <w:rPr>
          <w:rFonts w:ascii="Arial" w:hAnsi="Arial" w:cs="Arial"/>
          <w:i/>
          <w:iCs/>
          <w:sz w:val="20"/>
          <w:szCs w:val="20"/>
          <w:lang w:val="en-GB"/>
        </w:rPr>
        <w:t xml:space="preserve">. The implementing regulation for the above Regulation applicable for 2023 is Commission Regulation (EC) </w:t>
      </w:r>
      <w:r w:rsidRPr="00412765">
        <w:rPr>
          <w:rFonts w:ascii="Arial" w:hAnsi="Arial" w:cs="Arial"/>
          <w:i/>
          <w:iCs/>
          <w:sz w:val="20"/>
          <w:szCs w:val="20"/>
          <w:lang w:val="en-GB"/>
        </w:rPr>
        <w:t>2021/2286</w:t>
      </w:r>
      <w:r>
        <w:rPr>
          <w:rFonts w:ascii="Arial" w:hAnsi="Arial" w:cs="Arial"/>
          <w:i/>
          <w:iCs/>
          <w:sz w:val="20"/>
          <w:szCs w:val="20"/>
          <w:lang w:val="en-GB"/>
        </w:rPr>
        <w:t xml:space="preserve"> of 16 December 2021.</w:t>
      </w:r>
    </w:p>
    <w:p w14:paraId="09DB1E3F" w14:textId="77777777" w:rsidR="00995773" w:rsidRDefault="00995773" w:rsidP="00995773">
      <w:pPr>
        <w:spacing w:line="288" w:lineRule="auto"/>
        <w:ind w:firstLine="709"/>
        <w:jc w:val="both"/>
        <w:rPr>
          <w:rFonts w:ascii="Arial" w:hAnsi="Arial" w:cs="Arial"/>
          <w:i/>
          <w:iCs/>
          <w:sz w:val="20"/>
          <w:szCs w:val="20"/>
          <w:lang w:val="en-GB"/>
        </w:rPr>
      </w:pPr>
      <w:r>
        <w:rPr>
          <w:rFonts w:ascii="Arial" w:hAnsi="Arial" w:cs="Arial"/>
          <w:i/>
          <w:iCs/>
          <w:sz w:val="20"/>
          <w:szCs w:val="20"/>
          <w:lang w:val="en-GB"/>
        </w:rPr>
        <w:t>Integrated Farm Surveys cover agricultural holdings</w:t>
      </w:r>
      <w:r>
        <w:rPr>
          <w:rStyle w:val="Ukotvenpoznmkypodarou"/>
          <w:rFonts w:ascii="Arial" w:hAnsi="Arial" w:cs="Arial"/>
          <w:i/>
          <w:iCs/>
          <w:sz w:val="20"/>
          <w:szCs w:val="20"/>
          <w:lang w:val="en-GB"/>
        </w:rPr>
        <w:footnoteReference w:id="1"/>
      </w:r>
      <w:r>
        <w:rPr>
          <w:rFonts w:ascii="Arial" w:hAnsi="Arial" w:cs="Arial"/>
          <w:i/>
          <w:iCs/>
          <w:sz w:val="20"/>
          <w:szCs w:val="20"/>
          <w:lang w:val="en-GB"/>
        </w:rPr>
        <w:t xml:space="preserve"> that meet at least one of the thresholds set by Regulation (EU) No 2018/1091 of the European Parliament and of the Council to ensure 98% coverage of total utilised agricultural area (excluding kitchen gardens) and 98% coverage of livestock units</w:t>
      </w:r>
      <w:r>
        <w:rPr>
          <w:rStyle w:val="Ukotvenpoznmkypodarou"/>
          <w:rFonts w:ascii="Arial" w:hAnsi="Arial" w:cs="Arial"/>
          <w:i/>
          <w:iCs/>
          <w:sz w:val="20"/>
          <w:szCs w:val="20"/>
          <w:lang w:val="en-GB"/>
        </w:rPr>
        <w:footnoteReference w:id="2"/>
      </w:r>
      <w:r>
        <w:rPr>
          <w:rFonts w:ascii="Arial" w:hAnsi="Arial" w:cs="Arial"/>
          <w:i/>
          <w:iCs/>
          <w:sz w:val="20"/>
          <w:szCs w:val="20"/>
          <w:lang w:val="en-GB"/>
        </w:rPr>
        <w:t xml:space="preserve">. </w:t>
      </w:r>
    </w:p>
    <w:p w14:paraId="362410A8" w14:textId="77777777" w:rsidR="00995773" w:rsidRPr="006B16FB" w:rsidRDefault="00995773" w:rsidP="00995773">
      <w:pPr>
        <w:spacing w:line="288" w:lineRule="auto"/>
        <w:ind w:firstLine="709"/>
        <w:jc w:val="both"/>
        <w:rPr>
          <w:rFonts w:ascii="Arial" w:hAnsi="Arial" w:cs="Arial"/>
          <w:i/>
          <w:iCs/>
          <w:sz w:val="20"/>
          <w:szCs w:val="20"/>
          <w:lang w:val="en-GB"/>
        </w:rPr>
      </w:pPr>
      <w:r w:rsidRPr="006B16FB">
        <w:rPr>
          <w:rFonts w:ascii="Arial" w:hAnsi="Arial" w:cs="Arial"/>
          <w:i/>
          <w:iCs/>
          <w:sz w:val="20"/>
          <w:szCs w:val="20"/>
          <w:lang w:val="en-GB"/>
        </w:rPr>
        <w:t>In the Integrated Survey 2023, the following thresholds were used for the Czech Republic:</w:t>
      </w:r>
    </w:p>
    <w:p w14:paraId="209FD899" w14:textId="77777777" w:rsidR="00995773" w:rsidRPr="006B16FB" w:rsidRDefault="00995773" w:rsidP="00995773">
      <w:pPr>
        <w:pStyle w:val="Zkladntext2"/>
        <w:numPr>
          <w:ilvl w:val="0"/>
          <w:numId w:val="7"/>
        </w:numPr>
        <w:tabs>
          <w:tab w:val="left" w:pos="851"/>
        </w:tabs>
        <w:spacing w:after="0" w:line="288" w:lineRule="auto"/>
        <w:ind w:left="1418" w:hanging="1134"/>
        <w:jc w:val="both"/>
        <w:rPr>
          <w:rFonts w:ascii="Arial" w:hAnsi="Arial" w:cs="Arial"/>
          <w:i/>
          <w:sz w:val="20"/>
          <w:lang w:val="en-GB"/>
        </w:rPr>
      </w:pPr>
      <w:r w:rsidRPr="006B16FB">
        <w:rPr>
          <w:rFonts w:ascii="Arial" w:hAnsi="Arial" w:cs="Arial"/>
          <w:i/>
          <w:sz w:val="20"/>
          <w:lang w:val="en-GB"/>
        </w:rPr>
        <w:t>5 ha of utilised agricultural area (own or rented), or</w:t>
      </w:r>
    </w:p>
    <w:p w14:paraId="2F4517B6" w14:textId="77777777" w:rsidR="00995773" w:rsidRPr="006B16FB" w:rsidRDefault="00995773" w:rsidP="00995773">
      <w:pPr>
        <w:pStyle w:val="Zkladntext2"/>
        <w:numPr>
          <w:ilvl w:val="0"/>
          <w:numId w:val="7"/>
        </w:numPr>
        <w:tabs>
          <w:tab w:val="left" w:pos="851"/>
        </w:tabs>
        <w:spacing w:after="0" w:line="288" w:lineRule="auto"/>
        <w:ind w:left="1418" w:hanging="1134"/>
        <w:jc w:val="both"/>
        <w:rPr>
          <w:rFonts w:ascii="Arial" w:hAnsi="Arial" w:cs="Arial"/>
          <w:i/>
          <w:sz w:val="20"/>
          <w:lang w:val="en-GB"/>
        </w:rPr>
      </w:pPr>
      <w:r w:rsidRPr="006B16FB">
        <w:rPr>
          <w:rFonts w:ascii="Arial" w:hAnsi="Arial" w:cs="Arial"/>
          <w:i/>
          <w:sz w:val="20"/>
          <w:lang w:val="en-GB"/>
        </w:rPr>
        <w:t>2 ha of arable land, or</w:t>
      </w:r>
    </w:p>
    <w:p w14:paraId="08AB6874" w14:textId="77777777" w:rsidR="00995773" w:rsidRPr="006B16FB" w:rsidRDefault="00995773" w:rsidP="00995773">
      <w:pPr>
        <w:pStyle w:val="Zkladntext2"/>
        <w:numPr>
          <w:ilvl w:val="0"/>
          <w:numId w:val="7"/>
        </w:numPr>
        <w:tabs>
          <w:tab w:val="left" w:pos="851"/>
        </w:tabs>
        <w:spacing w:after="0" w:line="288" w:lineRule="auto"/>
        <w:ind w:left="1418" w:hanging="1134"/>
        <w:jc w:val="both"/>
        <w:rPr>
          <w:rFonts w:ascii="Arial" w:hAnsi="Arial" w:cs="Arial"/>
          <w:i/>
          <w:sz w:val="20"/>
          <w:lang w:val="en-GB"/>
        </w:rPr>
      </w:pPr>
      <w:r w:rsidRPr="006B16FB">
        <w:rPr>
          <w:rFonts w:ascii="Arial" w:hAnsi="Arial" w:cs="Arial"/>
          <w:i/>
          <w:sz w:val="20"/>
          <w:lang w:val="en-GB"/>
        </w:rPr>
        <w:t>0.5 ha of potatoes, or</w:t>
      </w:r>
    </w:p>
    <w:p w14:paraId="32D2DA9F" w14:textId="77777777" w:rsidR="00995773" w:rsidRPr="006B16FB" w:rsidRDefault="00995773" w:rsidP="00995773">
      <w:pPr>
        <w:pStyle w:val="Zkladntext2"/>
        <w:numPr>
          <w:ilvl w:val="0"/>
          <w:numId w:val="7"/>
        </w:numPr>
        <w:tabs>
          <w:tab w:val="left" w:pos="851"/>
        </w:tabs>
        <w:spacing w:after="0" w:line="288" w:lineRule="auto"/>
        <w:ind w:left="1418" w:hanging="1134"/>
        <w:jc w:val="both"/>
        <w:rPr>
          <w:rFonts w:ascii="Arial" w:hAnsi="Arial" w:cs="Arial"/>
          <w:i/>
          <w:sz w:val="20"/>
          <w:lang w:val="en-GB"/>
        </w:rPr>
      </w:pPr>
      <w:r w:rsidRPr="006B16FB">
        <w:rPr>
          <w:rFonts w:ascii="Arial" w:hAnsi="Arial" w:cs="Arial"/>
          <w:i/>
          <w:sz w:val="20"/>
          <w:lang w:val="en-GB"/>
        </w:rPr>
        <w:t>0.5 ha of fresh vegetables and strawberries, or</w:t>
      </w:r>
    </w:p>
    <w:p w14:paraId="5E19CD3E" w14:textId="77777777" w:rsidR="00995773" w:rsidRPr="006B16FB" w:rsidRDefault="00995773" w:rsidP="00995773">
      <w:pPr>
        <w:pStyle w:val="Zkladntext2"/>
        <w:numPr>
          <w:ilvl w:val="0"/>
          <w:numId w:val="7"/>
        </w:numPr>
        <w:tabs>
          <w:tab w:val="left" w:pos="850"/>
          <w:tab w:val="left" w:pos="851"/>
        </w:tabs>
        <w:spacing w:after="0" w:line="288" w:lineRule="auto"/>
        <w:ind w:left="850" w:hanging="567"/>
        <w:jc w:val="both"/>
        <w:rPr>
          <w:rFonts w:ascii="Arial" w:hAnsi="Arial" w:cs="Arial"/>
          <w:i/>
          <w:sz w:val="20"/>
          <w:lang w:val="en-GB"/>
        </w:rPr>
      </w:pPr>
      <w:r w:rsidRPr="006B16FB">
        <w:rPr>
          <w:rFonts w:ascii="Arial" w:hAnsi="Arial" w:cs="Arial"/>
          <w:i/>
          <w:sz w:val="20"/>
          <w:lang w:val="en-GB"/>
        </w:rPr>
        <w:t>2,000 m</w:t>
      </w:r>
      <w:r w:rsidRPr="006B16FB">
        <w:rPr>
          <w:rFonts w:ascii="Arial" w:hAnsi="Arial" w:cs="Arial"/>
          <w:i/>
          <w:sz w:val="20"/>
          <w:vertAlign w:val="superscript"/>
          <w:lang w:val="en-GB"/>
        </w:rPr>
        <w:t>2</w:t>
      </w:r>
      <w:r w:rsidRPr="006B16FB">
        <w:rPr>
          <w:rFonts w:ascii="Arial" w:hAnsi="Arial" w:cs="Arial"/>
          <w:i/>
          <w:sz w:val="20"/>
          <w:lang w:val="en-GB"/>
        </w:rPr>
        <w:t xml:space="preserve"> of summed area of aromatic, medicinal and culinary plants, flowers and ornamental plants, seeds and seedlings, and nurseries, or</w:t>
      </w:r>
    </w:p>
    <w:p w14:paraId="1EE3A84E" w14:textId="77777777" w:rsidR="00995773" w:rsidRPr="006B16FB" w:rsidRDefault="00995773" w:rsidP="00995773">
      <w:pPr>
        <w:pStyle w:val="Zkladntext2"/>
        <w:numPr>
          <w:ilvl w:val="0"/>
          <w:numId w:val="7"/>
        </w:numPr>
        <w:tabs>
          <w:tab w:val="left" w:pos="851"/>
        </w:tabs>
        <w:spacing w:after="0" w:line="288" w:lineRule="auto"/>
        <w:ind w:left="850" w:hanging="567"/>
        <w:jc w:val="both"/>
      </w:pPr>
      <w:r w:rsidRPr="006B16FB">
        <w:rPr>
          <w:rFonts w:ascii="Arial" w:hAnsi="Arial" w:cs="Arial"/>
          <w:i/>
          <w:sz w:val="20"/>
          <w:lang w:val="en-GB"/>
        </w:rPr>
        <w:t>3,000 m</w:t>
      </w:r>
      <w:r w:rsidRPr="006B16FB">
        <w:rPr>
          <w:rFonts w:ascii="Arial" w:hAnsi="Arial" w:cs="Arial"/>
          <w:i/>
          <w:sz w:val="20"/>
          <w:vertAlign w:val="superscript"/>
          <w:lang w:val="en-GB"/>
        </w:rPr>
        <w:t>2</w:t>
      </w:r>
      <w:r w:rsidRPr="006B16FB">
        <w:rPr>
          <w:rFonts w:ascii="Arial" w:hAnsi="Arial" w:cs="Arial"/>
          <w:i/>
          <w:sz w:val="20"/>
          <w:lang w:val="en-GB"/>
        </w:rPr>
        <w:t xml:space="preserve"> of summed area of orchards and other permanent crops</w:t>
      </w:r>
    </w:p>
    <w:p w14:paraId="1EBC7794" w14:textId="77777777" w:rsidR="00995773" w:rsidRPr="006B16FB" w:rsidRDefault="00995773" w:rsidP="00995773">
      <w:pPr>
        <w:pStyle w:val="Zkladntext2"/>
        <w:numPr>
          <w:ilvl w:val="0"/>
          <w:numId w:val="7"/>
        </w:numPr>
        <w:tabs>
          <w:tab w:val="left" w:pos="851"/>
        </w:tabs>
        <w:spacing w:after="0" w:line="288" w:lineRule="auto"/>
        <w:ind w:left="1418" w:hanging="1134"/>
        <w:jc w:val="both"/>
        <w:rPr>
          <w:rFonts w:ascii="Arial" w:hAnsi="Arial" w:cs="Arial"/>
          <w:i/>
          <w:sz w:val="20"/>
          <w:lang w:val="en-GB"/>
        </w:rPr>
      </w:pPr>
      <w:r w:rsidRPr="006B16FB">
        <w:rPr>
          <w:rFonts w:ascii="Arial" w:hAnsi="Arial" w:cs="Arial"/>
          <w:i/>
          <w:sz w:val="20"/>
          <w:lang w:val="en-GB"/>
        </w:rPr>
        <w:t>1,000 m</w:t>
      </w:r>
      <w:r w:rsidRPr="006B16FB">
        <w:rPr>
          <w:rFonts w:ascii="Arial" w:hAnsi="Arial" w:cs="Arial"/>
          <w:i/>
          <w:sz w:val="20"/>
          <w:vertAlign w:val="superscript"/>
          <w:lang w:val="en-GB"/>
        </w:rPr>
        <w:t>2</w:t>
      </w:r>
      <w:r w:rsidRPr="006B16FB">
        <w:rPr>
          <w:rFonts w:ascii="Arial" w:hAnsi="Arial" w:cs="Arial"/>
          <w:i/>
          <w:sz w:val="20"/>
          <w:lang w:val="en-GB"/>
        </w:rPr>
        <w:t xml:space="preserve"> of vineyards, or</w:t>
      </w:r>
    </w:p>
    <w:p w14:paraId="3F4427EE" w14:textId="77777777" w:rsidR="00995773" w:rsidRPr="006B16FB" w:rsidRDefault="00995773" w:rsidP="00995773">
      <w:pPr>
        <w:pStyle w:val="Zkladntext2"/>
        <w:numPr>
          <w:ilvl w:val="0"/>
          <w:numId w:val="7"/>
        </w:numPr>
        <w:tabs>
          <w:tab w:val="left" w:pos="851"/>
        </w:tabs>
        <w:spacing w:after="0" w:line="288" w:lineRule="auto"/>
        <w:ind w:left="1418" w:hanging="1134"/>
        <w:jc w:val="both"/>
        <w:rPr>
          <w:rFonts w:ascii="Arial" w:hAnsi="Arial" w:cs="Arial"/>
          <w:i/>
          <w:sz w:val="20"/>
          <w:lang w:val="en-GB"/>
        </w:rPr>
      </w:pPr>
      <w:r w:rsidRPr="006B16FB">
        <w:rPr>
          <w:rFonts w:ascii="Arial" w:hAnsi="Arial" w:cs="Arial"/>
          <w:i/>
          <w:sz w:val="20"/>
          <w:lang w:val="en-GB"/>
        </w:rPr>
        <w:t>100 m</w:t>
      </w:r>
      <w:r w:rsidRPr="006B16FB">
        <w:rPr>
          <w:rFonts w:ascii="Arial" w:hAnsi="Arial" w:cs="Arial"/>
          <w:i/>
          <w:sz w:val="20"/>
          <w:vertAlign w:val="superscript"/>
          <w:lang w:val="en-GB"/>
        </w:rPr>
        <w:t xml:space="preserve">2 </w:t>
      </w:r>
      <w:r w:rsidRPr="006B16FB">
        <w:rPr>
          <w:rFonts w:ascii="Arial" w:hAnsi="Arial" w:cs="Arial"/>
          <w:i/>
          <w:sz w:val="20"/>
          <w:lang w:val="en-GB"/>
        </w:rPr>
        <w:t>of areas under cover, or</w:t>
      </w:r>
    </w:p>
    <w:p w14:paraId="34BCB405" w14:textId="77777777" w:rsidR="00995773" w:rsidRPr="006B16FB" w:rsidRDefault="00995773" w:rsidP="00995773">
      <w:pPr>
        <w:pStyle w:val="Zkladntext2"/>
        <w:numPr>
          <w:ilvl w:val="0"/>
          <w:numId w:val="7"/>
        </w:numPr>
        <w:tabs>
          <w:tab w:val="left" w:pos="851"/>
        </w:tabs>
        <w:spacing w:after="0" w:line="288" w:lineRule="auto"/>
        <w:ind w:left="1418" w:hanging="1134"/>
        <w:jc w:val="both"/>
        <w:rPr>
          <w:rFonts w:ascii="Arial" w:hAnsi="Arial" w:cs="Arial"/>
          <w:i/>
          <w:sz w:val="20"/>
          <w:lang w:val="en-GB"/>
        </w:rPr>
      </w:pPr>
      <w:r w:rsidRPr="006B16FB">
        <w:rPr>
          <w:rFonts w:ascii="Arial" w:hAnsi="Arial" w:cs="Arial"/>
          <w:i/>
          <w:sz w:val="20"/>
          <w:lang w:val="en-GB"/>
        </w:rPr>
        <w:t>100 m</w:t>
      </w:r>
      <w:r w:rsidRPr="006B16FB">
        <w:rPr>
          <w:rFonts w:ascii="Arial" w:hAnsi="Arial" w:cs="Arial"/>
          <w:i/>
          <w:sz w:val="20"/>
          <w:vertAlign w:val="superscript"/>
          <w:lang w:val="en-GB"/>
        </w:rPr>
        <w:t xml:space="preserve">2 </w:t>
      </w:r>
      <w:r w:rsidRPr="006B16FB">
        <w:rPr>
          <w:rFonts w:ascii="Arial" w:hAnsi="Arial" w:cs="Arial"/>
          <w:i/>
          <w:sz w:val="20"/>
          <w:lang w:val="en-GB"/>
        </w:rPr>
        <w:t>of cultivated mushrooms, or</w:t>
      </w:r>
    </w:p>
    <w:p w14:paraId="4653067F" w14:textId="77777777" w:rsidR="00995773" w:rsidRPr="006B16FB" w:rsidRDefault="00995773" w:rsidP="00995773">
      <w:pPr>
        <w:pStyle w:val="Zkladntext2"/>
        <w:numPr>
          <w:ilvl w:val="0"/>
          <w:numId w:val="7"/>
        </w:numPr>
        <w:tabs>
          <w:tab w:val="left" w:pos="851"/>
        </w:tabs>
        <w:spacing w:after="0" w:line="288" w:lineRule="auto"/>
        <w:ind w:left="1418" w:hanging="1134"/>
        <w:jc w:val="both"/>
        <w:rPr>
          <w:rFonts w:ascii="Arial" w:hAnsi="Arial" w:cs="Arial"/>
          <w:i/>
          <w:sz w:val="20"/>
          <w:lang w:val="en-GB"/>
        </w:rPr>
      </w:pPr>
      <w:r w:rsidRPr="006B16FB">
        <w:rPr>
          <w:rFonts w:ascii="Arial" w:hAnsi="Arial" w:cs="Arial"/>
          <w:i/>
          <w:sz w:val="20"/>
          <w:lang w:val="en-GB"/>
        </w:rPr>
        <w:t>1.7 livestock units.</w:t>
      </w:r>
    </w:p>
    <w:p w14:paraId="7A2D1870" w14:textId="77777777" w:rsidR="00995773" w:rsidRDefault="00995773" w:rsidP="00995773">
      <w:pPr>
        <w:spacing w:line="288" w:lineRule="auto"/>
        <w:ind w:firstLine="709"/>
        <w:jc w:val="both"/>
        <w:rPr>
          <w:rFonts w:ascii="Arial" w:hAnsi="Arial" w:cs="Arial"/>
          <w:i/>
          <w:sz w:val="20"/>
          <w:szCs w:val="20"/>
          <w:lang w:val="en-GB"/>
        </w:rPr>
      </w:pPr>
      <w:r w:rsidRPr="00634610">
        <w:rPr>
          <w:rFonts w:ascii="Arial" w:hAnsi="Arial" w:cs="Arial"/>
          <w:i/>
          <w:sz w:val="20"/>
          <w:szCs w:val="20"/>
          <w:lang w:val="en-GB"/>
        </w:rPr>
        <w:t xml:space="preserve">The publication presented consists of two autonomous parts that show possible ways of analytical classification and data utilisation. </w:t>
      </w:r>
    </w:p>
    <w:p w14:paraId="2F0F8CE1" w14:textId="77777777" w:rsidR="00995773" w:rsidRDefault="00995773" w:rsidP="00995773">
      <w:pPr>
        <w:spacing w:line="288" w:lineRule="auto"/>
        <w:ind w:firstLine="709"/>
        <w:jc w:val="both"/>
        <w:rPr>
          <w:rFonts w:ascii="Arial" w:hAnsi="Arial" w:cs="Arial"/>
          <w:i/>
          <w:sz w:val="20"/>
          <w:szCs w:val="20"/>
          <w:lang w:val="en-GB"/>
        </w:rPr>
      </w:pPr>
      <w:r w:rsidRPr="00634610">
        <w:rPr>
          <w:rFonts w:ascii="Arial" w:hAnsi="Arial" w:cs="Arial"/>
          <w:i/>
          <w:sz w:val="20"/>
          <w:szCs w:val="20"/>
          <w:lang w:val="en-GB"/>
        </w:rPr>
        <w:t xml:space="preserve">The first part focuses on farm typology; it was elaborated by authors from the Institute of Agricultural Economics and Information. </w:t>
      </w:r>
      <w:r>
        <w:rPr>
          <w:rFonts w:ascii="Arial" w:hAnsi="Arial" w:cs="Arial"/>
          <w:i/>
          <w:sz w:val="20"/>
          <w:szCs w:val="20"/>
          <w:lang w:val="en-GB"/>
        </w:rPr>
        <w:t>The classification of agricultural holdings by their type of farming, economic size, and by importance of their other gainful activities belongs among the most important results of the Integrated Farm Survey 2023. The farm typology [</w:t>
      </w:r>
      <w:r w:rsidRPr="00CA56E3">
        <w:rPr>
          <w:rFonts w:ascii="Arial" w:hAnsi="Arial" w:cs="Arial"/>
          <w:i/>
          <w:sz w:val="20"/>
          <w:szCs w:val="20"/>
          <w:lang w:val="en-GB"/>
        </w:rPr>
        <w:t xml:space="preserve">defined by Commission Implementation Regulation (EU) </w:t>
      </w:r>
      <w:bookmarkStart w:id="2" w:name="_Hlk499881714"/>
      <w:r w:rsidRPr="00CA56E3">
        <w:rPr>
          <w:rFonts w:ascii="Arial" w:hAnsi="Arial" w:cs="Arial"/>
          <w:i/>
          <w:sz w:val="20"/>
          <w:szCs w:val="20"/>
          <w:lang w:val="en-GB"/>
        </w:rPr>
        <w:t>No. 2015/220</w:t>
      </w:r>
      <w:bookmarkEnd w:id="2"/>
      <w:r w:rsidRPr="00CA56E3">
        <w:rPr>
          <w:rFonts w:ascii="Arial" w:hAnsi="Arial" w:cs="Arial"/>
          <w:i/>
          <w:sz w:val="20"/>
          <w:szCs w:val="20"/>
          <w:lang w:val="en-GB"/>
        </w:rPr>
        <w:t xml:space="preserve"> of 3 February 2015 laying down rules for the application of Council Regulation (EC) No 1217/2009 setting up a network for the collection of accountancy data on the incomes and business operation of agricultural holdings in the European Union</w:t>
      </w:r>
      <w:r>
        <w:rPr>
          <w:rFonts w:ascii="Arial" w:hAnsi="Arial" w:cs="Arial"/>
          <w:i/>
          <w:sz w:val="20"/>
          <w:szCs w:val="20"/>
          <w:lang w:val="en-GB"/>
        </w:rPr>
        <w:t xml:space="preserve">] in the Czech Republic is elaborated by the </w:t>
      </w:r>
      <w:r>
        <w:rPr>
          <w:rFonts w:ascii="Arial" w:hAnsi="Arial" w:cs="Arial"/>
          <w:bCs/>
          <w:i/>
          <w:sz w:val="20"/>
          <w:szCs w:val="20"/>
          <w:lang w:val="en-GB"/>
        </w:rPr>
        <w:t>Institute of Agricultural Economics and Information (IAEI), responsible for the Farm</w:t>
      </w:r>
      <w:r>
        <w:rPr>
          <w:rFonts w:ascii="Arial" w:hAnsi="Arial" w:cs="Arial"/>
          <w:i/>
          <w:sz w:val="20"/>
          <w:szCs w:val="20"/>
          <w:lang w:val="en-GB"/>
        </w:rPr>
        <w:t xml:space="preserve"> Accountancy Data Network (FADN), on the basis of detailed knowledge of microeconomic features of agricultural holdings based on the Integrated Farm Survey data.</w:t>
      </w:r>
    </w:p>
    <w:p w14:paraId="029C67E3" w14:textId="77777777" w:rsidR="00995773" w:rsidRPr="005C76F7" w:rsidRDefault="00995773" w:rsidP="00995773">
      <w:pPr>
        <w:pStyle w:val="Zkladntextodsazen"/>
        <w:spacing w:before="0" w:line="288" w:lineRule="auto"/>
        <w:rPr>
          <w:i/>
          <w:lang w:val="en-GB"/>
        </w:rPr>
      </w:pPr>
      <w:r>
        <w:rPr>
          <w:lang w:val="en-GB"/>
        </w:rPr>
        <w:t xml:space="preserve"> </w:t>
      </w:r>
      <w:r>
        <w:rPr>
          <w:i/>
          <w:lang w:val="en-GB"/>
        </w:rPr>
        <w:t>F</w:t>
      </w:r>
      <w:r w:rsidRPr="005C76F7">
        <w:rPr>
          <w:i/>
          <w:lang w:val="en-GB"/>
        </w:rPr>
        <w:t>or the farm typology analysis</w:t>
      </w:r>
      <w:r>
        <w:rPr>
          <w:i/>
          <w:lang w:val="en-GB"/>
        </w:rPr>
        <w:t>,</w:t>
      </w:r>
      <w:r w:rsidRPr="005C76F7">
        <w:rPr>
          <w:i/>
          <w:lang w:val="en-GB"/>
        </w:rPr>
        <w:t xml:space="preserve"> </w:t>
      </w:r>
      <w:r>
        <w:rPr>
          <w:i/>
          <w:lang w:val="en-GB"/>
        </w:rPr>
        <w:t>d</w:t>
      </w:r>
      <w:r w:rsidRPr="005C76F7">
        <w:rPr>
          <w:i/>
          <w:lang w:val="en-GB"/>
        </w:rPr>
        <w:t>ata in the same form as sent to Eurostat were used. They differ from the data published by the CZSO in several aspects:</w:t>
      </w:r>
    </w:p>
    <w:p w14:paraId="454A2244" w14:textId="77777777" w:rsidR="00995773" w:rsidRDefault="00995773" w:rsidP="00995773">
      <w:pPr>
        <w:pStyle w:val="Seznam"/>
        <w:numPr>
          <w:ilvl w:val="0"/>
          <w:numId w:val="8"/>
        </w:numPr>
        <w:spacing w:after="0" w:line="288" w:lineRule="auto"/>
        <w:ind w:left="425" w:hanging="425"/>
        <w:contextualSpacing/>
        <w:jc w:val="both"/>
        <w:rPr>
          <w:rFonts w:ascii="Arial" w:eastAsia="Times New Roman" w:hAnsi="Arial" w:cs="Arial"/>
          <w:i/>
          <w:sz w:val="20"/>
          <w:szCs w:val="20"/>
          <w:lang w:val="en-GB"/>
        </w:rPr>
      </w:pPr>
      <w:r w:rsidRPr="005C76F7">
        <w:rPr>
          <w:rFonts w:ascii="Arial" w:eastAsia="Times New Roman" w:hAnsi="Arial" w:cs="Arial"/>
          <w:i/>
          <w:sz w:val="20"/>
          <w:szCs w:val="20"/>
          <w:lang w:val="en-GB"/>
        </w:rPr>
        <w:lastRenderedPageBreak/>
        <w:t xml:space="preserve">According to the EU definition, hop is included in crops grown on arable land. In the Czech Republic, however, hop or hop-gardens are reported as permanent crops according to the Law No 252/1997 Coll., on agriculture, as amended. </w:t>
      </w:r>
    </w:p>
    <w:p w14:paraId="48116A64" w14:textId="77777777" w:rsidR="00995773" w:rsidRPr="000C2AC2" w:rsidRDefault="00995773" w:rsidP="00995773">
      <w:pPr>
        <w:pStyle w:val="Seznam"/>
        <w:numPr>
          <w:ilvl w:val="0"/>
          <w:numId w:val="8"/>
        </w:numPr>
        <w:spacing w:after="0" w:line="288" w:lineRule="auto"/>
        <w:ind w:left="425" w:hanging="425"/>
        <w:contextualSpacing/>
        <w:jc w:val="both"/>
        <w:rPr>
          <w:rFonts w:ascii="Arial" w:eastAsia="Times New Roman" w:hAnsi="Arial" w:cs="Arial"/>
          <w:i/>
          <w:sz w:val="20"/>
          <w:szCs w:val="20"/>
          <w:lang w:val="en-GB"/>
        </w:rPr>
      </w:pPr>
      <w:r w:rsidRPr="000C2AC2">
        <w:rPr>
          <w:rFonts w:ascii="Arial" w:eastAsia="Times New Roman" w:hAnsi="Arial" w:cs="Arial"/>
          <w:i/>
          <w:sz w:val="20"/>
          <w:szCs w:val="20"/>
          <w:lang w:val="en-GB"/>
        </w:rPr>
        <w:t>Areas of grain maize and of green maize differ due to difference in inclusion of corn-cob-mix. According to the EU methodology, it is included in grain maize unlike the practice in the Czech Republic where its areas are included in green maize</w:t>
      </w:r>
    </w:p>
    <w:p w14:paraId="5F2B4715" w14:textId="77777777" w:rsidR="00995773" w:rsidRPr="0095494E" w:rsidRDefault="00995773" w:rsidP="00995773">
      <w:pPr>
        <w:spacing w:line="288" w:lineRule="auto"/>
        <w:ind w:firstLine="709"/>
        <w:jc w:val="both"/>
        <w:rPr>
          <w:rFonts w:ascii="Arial" w:hAnsi="Arial" w:cs="Arial"/>
          <w:i/>
          <w:sz w:val="20"/>
          <w:szCs w:val="20"/>
          <w:lang w:val="en-GB"/>
        </w:rPr>
      </w:pPr>
      <w:r w:rsidRPr="0095494E">
        <w:rPr>
          <w:rFonts w:ascii="Arial" w:hAnsi="Arial" w:cs="Arial"/>
          <w:i/>
          <w:sz w:val="20"/>
          <w:szCs w:val="20"/>
          <w:lang w:val="en-GB"/>
        </w:rPr>
        <w:t xml:space="preserve">The second part </w:t>
      </w:r>
      <w:r>
        <w:rPr>
          <w:rFonts w:ascii="Arial" w:hAnsi="Arial" w:cs="Arial"/>
          <w:i/>
          <w:sz w:val="20"/>
          <w:szCs w:val="20"/>
          <w:lang w:val="en-GB"/>
        </w:rPr>
        <w:t xml:space="preserve">of the publication </w:t>
      </w:r>
      <w:r w:rsidRPr="0095494E">
        <w:rPr>
          <w:rFonts w:ascii="Arial" w:hAnsi="Arial" w:cs="Arial"/>
          <w:i/>
          <w:sz w:val="20"/>
          <w:szCs w:val="20"/>
          <w:lang w:val="en-GB"/>
        </w:rPr>
        <w:t>describes changes in the Czech agricultural sector by comparison of outcomes of the Integrated Farm Survey 202</w:t>
      </w:r>
      <w:r>
        <w:rPr>
          <w:rFonts w:ascii="Arial" w:hAnsi="Arial" w:cs="Arial"/>
          <w:i/>
          <w:sz w:val="20"/>
          <w:szCs w:val="20"/>
          <w:lang w:val="en-GB"/>
        </w:rPr>
        <w:t>3</w:t>
      </w:r>
      <w:r w:rsidRPr="0095494E">
        <w:rPr>
          <w:rFonts w:ascii="Arial" w:hAnsi="Arial" w:cs="Arial"/>
          <w:i/>
          <w:sz w:val="20"/>
          <w:szCs w:val="20"/>
          <w:lang w:val="en-GB"/>
        </w:rPr>
        <w:t xml:space="preserve"> and the Agricultural census 2000 (recalculated for the same thresholds)</w:t>
      </w:r>
      <w:r>
        <w:rPr>
          <w:rFonts w:ascii="Arial" w:hAnsi="Arial" w:cs="Arial"/>
          <w:i/>
          <w:sz w:val="20"/>
          <w:szCs w:val="20"/>
          <w:lang w:val="en-GB"/>
        </w:rPr>
        <w:t>,</w:t>
      </w:r>
      <w:r w:rsidRPr="0095494E">
        <w:rPr>
          <w:rFonts w:ascii="Arial" w:hAnsi="Arial" w:cs="Arial"/>
          <w:i/>
          <w:sz w:val="20"/>
          <w:szCs w:val="20"/>
          <w:lang w:val="en-GB"/>
        </w:rPr>
        <w:t xml:space="preserve"> </w:t>
      </w:r>
      <w:r>
        <w:rPr>
          <w:rFonts w:ascii="Arial" w:hAnsi="Arial" w:cs="Arial"/>
          <w:i/>
          <w:sz w:val="20"/>
          <w:szCs w:val="20"/>
          <w:lang w:val="en-GB"/>
        </w:rPr>
        <w:t>and analysis of agricultural holdings in quartiles</w:t>
      </w:r>
      <w:r w:rsidRPr="0095494E">
        <w:rPr>
          <w:rFonts w:ascii="Arial" w:hAnsi="Arial" w:cs="Arial"/>
          <w:i/>
          <w:sz w:val="20"/>
          <w:szCs w:val="20"/>
          <w:lang w:val="en-GB"/>
        </w:rPr>
        <w:t>. The chapter was written by authors from the Czech Statistical Office.</w:t>
      </w:r>
    </w:p>
    <w:p w14:paraId="1DD12380" w14:textId="2DFA255D" w:rsidR="004321D4" w:rsidRPr="002F00B5" w:rsidRDefault="004321D4" w:rsidP="00995773">
      <w:pPr>
        <w:spacing w:line="288" w:lineRule="auto"/>
      </w:pPr>
    </w:p>
    <w:sectPr w:rsidR="004321D4" w:rsidRPr="002F00B5" w:rsidSect="00AA368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D6767" w14:textId="77777777" w:rsidR="002A1691" w:rsidRDefault="002A1691">
      <w:r>
        <w:separator/>
      </w:r>
    </w:p>
  </w:endnote>
  <w:endnote w:type="continuationSeparator" w:id="0">
    <w:p w14:paraId="76ACA474" w14:textId="77777777" w:rsidR="002A1691" w:rsidRDefault="002A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58E1C" w14:textId="0C6EB5D6" w:rsidR="003F10D1" w:rsidRPr="003F10D1" w:rsidRDefault="003F10D1" w:rsidP="003F10D1">
    <w:pPr>
      <w:tabs>
        <w:tab w:val="center" w:pos="4820"/>
        <w:tab w:val="right" w:pos="9639"/>
      </w:tabs>
      <w:rPr>
        <w:rFonts w:ascii="Arial" w:eastAsia="Calibri" w:hAnsi="Arial" w:cs="Arial"/>
        <w:noProof/>
        <w:sz w:val="16"/>
        <w:szCs w:val="16"/>
        <w:lang w:val="cs-CZ" w:eastAsia="en-US"/>
      </w:rPr>
    </w:pPr>
    <w:r w:rsidRPr="003F10D1">
      <w:rPr>
        <w:rFonts w:ascii="Arial" w:eastAsia="Calibri" w:hAnsi="Arial" w:cs="Arial"/>
        <w:noProof/>
        <w:sz w:val="16"/>
        <w:szCs w:val="16"/>
        <w:lang w:val="cs-CZ"/>
      </w:rPr>
      <w:drawing>
        <wp:anchor distT="0" distB="0" distL="114300" distR="114300" simplePos="0" relativeHeight="251661312" behindDoc="0" locked="0" layoutInCell="1" allowOverlap="1" wp14:anchorId="0259B38C" wp14:editId="4649C080">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10D1">
      <w:rPr>
        <w:rFonts w:ascii="Arial" w:eastAsia="Calibri" w:hAnsi="Arial" w:cs="Arial"/>
        <w:noProof/>
        <w:sz w:val="16"/>
        <w:szCs w:val="16"/>
        <w:lang w:val="cs-CZ" w:eastAsia="en-US"/>
      </w:rPr>
      <w:fldChar w:fldCharType="begin"/>
    </w:r>
    <w:r w:rsidRPr="003F10D1">
      <w:rPr>
        <w:rFonts w:ascii="Arial" w:eastAsia="Calibri" w:hAnsi="Arial" w:cs="Arial"/>
        <w:noProof/>
        <w:sz w:val="16"/>
        <w:szCs w:val="16"/>
        <w:lang w:val="cs-CZ" w:eastAsia="en-US"/>
      </w:rPr>
      <w:instrText>PAGE   \* MERGEFORMAT</w:instrText>
    </w:r>
    <w:r w:rsidRPr="003F10D1">
      <w:rPr>
        <w:rFonts w:ascii="Arial" w:eastAsia="Calibri" w:hAnsi="Arial" w:cs="Arial"/>
        <w:noProof/>
        <w:sz w:val="16"/>
        <w:szCs w:val="16"/>
        <w:lang w:val="cs-CZ" w:eastAsia="en-US"/>
      </w:rPr>
      <w:fldChar w:fldCharType="separate"/>
    </w:r>
    <w:r w:rsidR="00F46A70">
      <w:rPr>
        <w:rFonts w:ascii="Arial" w:eastAsia="Calibri" w:hAnsi="Arial" w:cs="Arial"/>
        <w:noProof/>
        <w:sz w:val="16"/>
        <w:szCs w:val="16"/>
        <w:lang w:val="cs-CZ" w:eastAsia="en-US"/>
      </w:rPr>
      <w:t>2</w:t>
    </w:r>
    <w:r w:rsidRPr="003F10D1">
      <w:rPr>
        <w:rFonts w:ascii="Arial" w:eastAsia="Calibri" w:hAnsi="Arial" w:cs="Arial"/>
        <w:noProof/>
        <w:sz w:val="16"/>
        <w:szCs w:val="16"/>
        <w:lang w:val="cs-CZ" w:eastAsia="en-US"/>
      </w:rPr>
      <w:fldChar w:fldCharType="end"/>
    </w:r>
    <w:r w:rsidRPr="003F10D1">
      <w:rPr>
        <w:rFonts w:ascii="Arial" w:eastAsia="Calibri" w:hAnsi="Arial" w:cs="Arial"/>
        <w:noProof/>
        <w:sz w:val="16"/>
        <w:szCs w:val="16"/>
        <w:lang w:val="cs-CZ" w:eastAsia="en-US"/>
      </w:rPr>
      <w:tab/>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E5203" w14:textId="288B8ADF" w:rsidR="00AA3686" w:rsidRPr="00215C3C" w:rsidRDefault="00AA3686" w:rsidP="00AA3686">
    <w:pPr>
      <w:tabs>
        <w:tab w:val="center" w:pos="4820"/>
        <w:tab w:val="right" w:pos="9639"/>
      </w:tabs>
      <w:rPr>
        <w:rFonts w:ascii="Arial" w:eastAsia="Calibri" w:hAnsi="Arial" w:cs="Arial"/>
        <w:noProof/>
        <w:sz w:val="16"/>
        <w:szCs w:val="16"/>
        <w:lang w:val="cs-CZ" w:eastAsia="en-US"/>
      </w:rPr>
    </w:pPr>
    <w:r w:rsidRPr="00215C3C">
      <w:rPr>
        <w:rFonts w:ascii="Arial" w:eastAsia="Calibri" w:hAnsi="Arial" w:cs="Arial"/>
        <w:noProof/>
        <w:sz w:val="16"/>
        <w:szCs w:val="16"/>
        <w:lang w:val="cs-CZ"/>
      </w:rPr>
      <w:drawing>
        <wp:anchor distT="0" distB="0" distL="114300" distR="114300" simplePos="0" relativeHeight="251659264" behindDoc="0" locked="0" layoutInCell="1" allowOverlap="1" wp14:anchorId="27AD07F2" wp14:editId="34169400">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5C3C">
      <w:rPr>
        <w:rFonts w:ascii="Arial" w:eastAsia="Calibri" w:hAnsi="Arial" w:cs="Arial"/>
        <w:noProof/>
        <w:sz w:val="16"/>
        <w:szCs w:val="16"/>
        <w:lang w:val="cs-CZ" w:eastAsia="en-US"/>
      </w:rPr>
      <w:tab/>
      <w:t>2023</w:t>
    </w:r>
    <w:r w:rsidRPr="00215C3C">
      <w:rPr>
        <w:rFonts w:ascii="Arial" w:eastAsia="Calibri" w:hAnsi="Arial" w:cs="Arial"/>
        <w:noProof/>
        <w:sz w:val="16"/>
        <w:szCs w:val="16"/>
        <w:lang w:val="cs-CZ" w:eastAsia="en-US"/>
      </w:rPr>
      <w:tab/>
    </w:r>
    <w:r w:rsidRPr="00215C3C">
      <w:rPr>
        <w:rFonts w:ascii="Arial" w:eastAsia="Calibri" w:hAnsi="Arial" w:cs="Arial"/>
        <w:noProof/>
        <w:sz w:val="16"/>
        <w:szCs w:val="16"/>
        <w:lang w:val="cs-CZ" w:eastAsia="en-US"/>
      </w:rPr>
      <w:fldChar w:fldCharType="begin"/>
    </w:r>
    <w:r w:rsidRPr="00215C3C">
      <w:rPr>
        <w:rFonts w:ascii="Arial" w:eastAsia="Calibri" w:hAnsi="Arial" w:cs="Arial"/>
        <w:noProof/>
        <w:sz w:val="16"/>
        <w:szCs w:val="16"/>
        <w:lang w:val="cs-CZ" w:eastAsia="en-US"/>
      </w:rPr>
      <w:instrText>PAGE   \* MERGEFORMAT</w:instrText>
    </w:r>
    <w:r w:rsidRPr="00215C3C">
      <w:rPr>
        <w:rFonts w:ascii="Arial" w:eastAsia="Calibri" w:hAnsi="Arial" w:cs="Arial"/>
        <w:noProof/>
        <w:sz w:val="16"/>
        <w:szCs w:val="16"/>
        <w:lang w:val="cs-CZ" w:eastAsia="en-US"/>
      </w:rPr>
      <w:fldChar w:fldCharType="separate"/>
    </w:r>
    <w:r w:rsidR="00F46A70">
      <w:rPr>
        <w:rFonts w:ascii="Arial" w:eastAsia="Calibri" w:hAnsi="Arial" w:cs="Arial"/>
        <w:noProof/>
        <w:sz w:val="16"/>
        <w:szCs w:val="16"/>
        <w:lang w:val="cs-CZ" w:eastAsia="en-US"/>
      </w:rPr>
      <w:t>1</w:t>
    </w:r>
    <w:r w:rsidRPr="00215C3C">
      <w:rPr>
        <w:rFonts w:ascii="Arial" w:eastAsia="Calibri" w:hAnsi="Arial" w:cs="Arial"/>
        <w:noProof/>
        <w:sz w:val="16"/>
        <w:szCs w:val="16"/>
        <w:lang w:val="cs-CZ"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A4877" w14:textId="77777777" w:rsidR="004321D4" w:rsidRDefault="004321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CDA6E" w14:textId="77777777" w:rsidR="002A1691" w:rsidRDefault="002A1691">
      <w:r>
        <w:separator/>
      </w:r>
    </w:p>
  </w:footnote>
  <w:footnote w:type="continuationSeparator" w:id="0">
    <w:p w14:paraId="65387C85" w14:textId="77777777" w:rsidR="002A1691" w:rsidRDefault="002A1691">
      <w:r>
        <w:continuationSeparator/>
      </w:r>
    </w:p>
  </w:footnote>
  <w:footnote w:id="1">
    <w:p w14:paraId="77533690" w14:textId="77777777" w:rsidR="00995773" w:rsidRPr="00085240" w:rsidRDefault="00995773" w:rsidP="00995773">
      <w:pPr>
        <w:pStyle w:val="Textpoznpodarou"/>
        <w:jc w:val="both"/>
        <w:rPr>
          <w:rFonts w:ascii="Arial" w:hAnsi="Arial" w:cs="Arial"/>
          <w:i/>
          <w:color w:val="444444"/>
          <w:sz w:val="18"/>
          <w:szCs w:val="18"/>
        </w:rPr>
      </w:pPr>
      <w:r w:rsidRPr="00085240">
        <w:rPr>
          <w:rStyle w:val="Znakypropoznmkupodarou"/>
          <w:rFonts w:ascii="Arial" w:hAnsi="Arial" w:cs="Arial"/>
          <w:sz w:val="18"/>
          <w:szCs w:val="18"/>
          <w:vertAlign w:val="superscript"/>
        </w:rPr>
        <w:footnoteRef/>
      </w:r>
      <w:r w:rsidRPr="00085240">
        <w:rPr>
          <w:rFonts w:ascii="Arial" w:hAnsi="Arial" w:cs="Arial"/>
          <w:i/>
          <w:color w:val="444444"/>
          <w:sz w:val="18"/>
          <w:szCs w:val="18"/>
        </w:rPr>
        <w:t xml:space="preserve"> Agricultural holding means a single unit, both technically and economically, that has a single management and that undertakes economic activities in agriculture in accordance with Regulation (EC) No 1893/2006 belonging to groups A.01.1, A.01.2, A.01.3, A.01.4, A.01.5 or to the ‘maintenance of agricultural land in good agricultural and environmental condition’ of group A.01.6 within the economic territory of the Union, either as its primary or secondary activity. Regarding activities of class A.01.49, only the activities ‘Raising and breeding of semi-domesticated or other live animals’ (with the exception of raising of insects) and ‘Bee-keeping and production of honey and beeswax’ are included. </w:t>
      </w:r>
    </w:p>
  </w:footnote>
  <w:footnote w:id="2">
    <w:p w14:paraId="4E611E35" w14:textId="01E6BA57" w:rsidR="00995773" w:rsidRPr="00085240" w:rsidRDefault="00995773" w:rsidP="00995773">
      <w:pPr>
        <w:pStyle w:val="Textpoznpodarou"/>
        <w:jc w:val="both"/>
        <w:rPr>
          <w:rFonts w:ascii="Arial" w:hAnsi="Arial" w:cs="Arial"/>
          <w:sz w:val="18"/>
          <w:szCs w:val="18"/>
        </w:rPr>
      </w:pPr>
      <w:r w:rsidRPr="00085240">
        <w:rPr>
          <w:rStyle w:val="Znakypropoznmkupodarou"/>
          <w:rFonts w:ascii="Arial" w:hAnsi="Arial" w:cs="Arial"/>
          <w:sz w:val="18"/>
          <w:szCs w:val="18"/>
          <w:vertAlign w:val="superscript"/>
        </w:rPr>
        <w:footnoteRef/>
      </w:r>
      <w:r w:rsidRPr="00085240">
        <w:rPr>
          <w:rFonts w:ascii="Arial" w:hAnsi="Arial" w:cs="Arial"/>
          <w:color w:val="444444"/>
          <w:sz w:val="18"/>
          <w:szCs w:val="18"/>
        </w:rPr>
        <w:t xml:space="preserve"> </w:t>
      </w:r>
      <w:r w:rsidRPr="00085240">
        <w:rPr>
          <w:rFonts w:ascii="Arial" w:hAnsi="Arial" w:cs="Arial"/>
          <w:i/>
          <w:color w:val="444444"/>
          <w:sz w:val="18"/>
          <w:szCs w:val="18"/>
        </w:rPr>
        <w:t>Livestock unit means a standard measurement unit that allows for the aggregation of the various categories of livestock in order for them to be compared; the coefficients for establishing the livestock units for individual livestock categories are listed in Annex I of Regulation (EU) 2018/1091.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8EDC4" w14:textId="77777777" w:rsidR="004321D4" w:rsidRPr="003F10D1" w:rsidRDefault="004321D4" w:rsidP="004321D4">
    <w:pPr>
      <w:spacing w:line="288" w:lineRule="auto"/>
      <w:rPr>
        <w:rFonts w:ascii="Arial" w:eastAsia="Calibri" w:hAnsi="Arial"/>
        <w:sz w:val="16"/>
        <w:szCs w:val="22"/>
        <w:lang w:val="cs-CZ" w:eastAsia="en-US"/>
      </w:rPr>
    </w:pPr>
    <w:r w:rsidRPr="003F10D1">
      <w:rPr>
        <w:rFonts w:ascii="Arial" w:eastAsia="Calibri" w:hAnsi="Arial"/>
        <w:sz w:val="16"/>
        <w:szCs w:val="22"/>
        <w:lang w:val="cs-CZ" w:eastAsia="en-US"/>
      </w:rPr>
      <w:t>Integrované šetření v zemědělství – analytické vyhodnocení</w:t>
    </w:r>
  </w:p>
  <w:p w14:paraId="4C162CCD" w14:textId="77777777" w:rsidR="004321D4" w:rsidRPr="004321D4" w:rsidRDefault="004321D4" w:rsidP="004321D4">
    <w:pPr>
      <w:spacing w:line="288" w:lineRule="auto"/>
      <w:rPr>
        <w:rFonts w:ascii="Arial" w:eastAsia="Calibri" w:hAnsi="Arial"/>
        <w:i/>
        <w:sz w:val="16"/>
        <w:szCs w:val="22"/>
        <w:lang w:val="cs-CZ" w:eastAsia="en-US"/>
      </w:rPr>
    </w:pPr>
    <w:proofErr w:type="spellStart"/>
    <w:r w:rsidRPr="004321D4">
      <w:rPr>
        <w:rFonts w:ascii="Arial" w:eastAsia="Calibri" w:hAnsi="Arial"/>
        <w:i/>
        <w:sz w:val="16"/>
        <w:szCs w:val="22"/>
        <w:lang w:val="cs-CZ" w:eastAsia="en-US"/>
      </w:rPr>
      <w:t>Integrated</w:t>
    </w:r>
    <w:proofErr w:type="spellEnd"/>
    <w:r w:rsidRPr="004321D4">
      <w:rPr>
        <w:rFonts w:ascii="Arial" w:eastAsia="Calibri" w:hAnsi="Arial"/>
        <w:i/>
        <w:sz w:val="16"/>
        <w:szCs w:val="22"/>
        <w:lang w:val="cs-CZ" w:eastAsia="en-US"/>
      </w:rPr>
      <w:t xml:space="preserve"> </w:t>
    </w:r>
    <w:proofErr w:type="spellStart"/>
    <w:r w:rsidRPr="004321D4">
      <w:rPr>
        <w:rFonts w:ascii="Arial" w:eastAsia="Calibri" w:hAnsi="Arial"/>
        <w:i/>
        <w:sz w:val="16"/>
        <w:szCs w:val="22"/>
        <w:lang w:val="cs-CZ" w:eastAsia="en-US"/>
      </w:rPr>
      <w:t>Farm</w:t>
    </w:r>
    <w:proofErr w:type="spellEnd"/>
    <w:r w:rsidRPr="004321D4">
      <w:rPr>
        <w:rFonts w:ascii="Arial" w:eastAsia="Calibri" w:hAnsi="Arial"/>
        <w:i/>
        <w:sz w:val="16"/>
        <w:szCs w:val="22"/>
        <w:lang w:val="cs-CZ" w:eastAsia="en-US"/>
      </w:rPr>
      <w:t xml:space="preserve"> </w:t>
    </w:r>
    <w:proofErr w:type="spellStart"/>
    <w:r w:rsidRPr="004321D4">
      <w:rPr>
        <w:rFonts w:ascii="Arial" w:eastAsia="Calibri" w:hAnsi="Arial"/>
        <w:i/>
        <w:sz w:val="16"/>
        <w:szCs w:val="22"/>
        <w:lang w:val="cs-CZ" w:eastAsia="en-US"/>
      </w:rPr>
      <w:t>Survey</w:t>
    </w:r>
    <w:proofErr w:type="spellEnd"/>
    <w:r w:rsidRPr="004321D4">
      <w:rPr>
        <w:rFonts w:ascii="Arial" w:eastAsia="Calibri" w:hAnsi="Arial"/>
        <w:i/>
        <w:sz w:val="16"/>
        <w:szCs w:val="22"/>
        <w:lang w:val="cs-CZ" w:eastAsia="en-US"/>
      </w:rPr>
      <w:t xml:space="preserve"> – </w:t>
    </w:r>
    <w:proofErr w:type="spellStart"/>
    <w:r w:rsidRPr="004321D4">
      <w:rPr>
        <w:rFonts w:ascii="Arial" w:eastAsia="Calibri" w:hAnsi="Arial"/>
        <w:i/>
        <w:sz w:val="16"/>
        <w:szCs w:val="22"/>
        <w:lang w:val="cs-CZ" w:eastAsia="en-US"/>
      </w:rPr>
      <w:t>analytical</w:t>
    </w:r>
    <w:proofErr w:type="spellEnd"/>
    <w:r w:rsidRPr="004321D4">
      <w:rPr>
        <w:rFonts w:ascii="Arial" w:eastAsia="Calibri" w:hAnsi="Arial"/>
        <w:i/>
        <w:sz w:val="16"/>
        <w:szCs w:val="22"/>
        <w:lang w:val="cs-CZ" w:eastAsia="en-US"/>
      </w:rPr>
      <w:t xml:space="preserve"> </w:t>
    </w:r>
    <w:proofErr w:type="spellStart"/>
    <w:r w:rsidRPr="004321D4">
      <w:rPr>
        <w:rFonts w:ascii="Arial" w:eastAsia="Calibri" w:hAnsi="Arial"/>
        <w:i/>
        <w:sz w:val="16"/>
        <w:szCs w:val="22"/>
        <w:lang w:val="cs-CZ" w:eastAsia="en-US"/>
      </w:rPr>
      <w:t>evaluation</w:t>
    </w:r>
    <w:proofErr w:type="spellEnd"/>
  </w:p>
  <w:p w14:paraId="453961E1" w14:textId="77777777" w:rsidR="004321D4" w:rsidRDefault="004321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A99F" w14:textId="0EABCBA7" w:rsidR="004321D4" w:rsidRPr="004321D4" w:rsidRDefault="004321D4" w:rsidP="004321D4">
    <w:pPr>
      <w:pStyle w:val="Zhlav"/>
      <w:rPr>
        <w:rFonts w:ascii="Arial" w:eastAsia="Calibri" w:hAnsi="Arial"/>
        <w:sz w:val="16"/>
        <w:szCs w:val="22"/>
        <w:lang w:eastAsia="en-US"/>
      </w:rPr>
    </w:pPr>
    <w:proofErr w:type="spellStart"/>
    <w:r w:rsidRPr="004321D4">
      <w:rPr>
        <w:rFonts w:ascii="Arial" w:eastAsia="Calibri" w:hAnsi="Arial"/>
        <w:sz w:val="16"/>
        <w:szCs w:val="22"/>
        <w:lang w:eastAsia="en-US"/>
      </w:rPr>
      <w:t>Integrované</w:t>
    </w:r>
    <w:proofErr w:type="spellEnd"/>
    <w:r w:rsidRPr="004321D4">
      <w:rPr>
        <w:rFonts w:ascii="Arial" w:eastAsia="Calibri" w:hAnsi="Arial"/>
        <w:sz w:val="16"/>
        <w:szCs w:val="22"/>
        <w:lang w:eastAsia="en-US"/>
      </w:rPr>
      <w:t xml:space="preserve"> </w:t>
    </w:r>
    <w:proofErr w:type="spellStart"/>
    <w:r w:rsidRPr="004321D4">
      <w:rPr>
        <w:rFonts w:ascii="Arial" w:eastAsia="Calibri" w:hAnsi="Arial"/>
        <w:sz w:val="16"/>
        <w:szCs w:val="22"/>
        <w:lang w:eastAsia="en-US"/>
      </w:rPr>
      <w:t>šetření</w:t>
    </w:r>
    <w:proofErr w:type="spellEnd"/>
    <w:r w:rsidRPr="004321D4">
      <w:rPr>
        <w:rFonts w:ascii="Arial" w:eastAsia="Calibri" w:hAnsi="Arial"/>
        <w:sz w:val="16"/>
        <w:szCs w:val="22"/>
        <w:lang w:eastAsia="en-US"/>
      </w:rPr>
      <w:t xml:space="preserve"> v </w:t>
    </w:r>
    <w:proofErr w:type="spellStart"/>
    <w:r w:rsidRPr="004321D4">
      <w:rPr>
        <w:rFonts w:ascii="Arial" w:eastAsia="Calibri" w:hAnsi="Arial"/>
        <w:sz w:val="16"/>
        <w:szCs w:val="22"/>
        <w:lang w:eastAsia="en-US"/>
      </w:rPr>
      <w:t>zemědělství</w:t>
    </w:r>
    <w:proofErr w:type="spellEnd"/>
    <w:r w:rsidRPr="004321D4">
      <w:rPr>
        <w:rFonts w:ascii="Arial" w:eastAsia="Calibri" w:hAnsi="Arial"/>
        <w:sz w:val="16"/>
        <w:szCs w:val="22"/>
        <w:lang w:eastAsia="en-US"/>
      </w:rPr>
      <w:t xml:space="preserve"> – </w:t>
    </w:r>
    <w:proofErr w:type="spellStart"/>
    <w:r w:rsidRPr="004321D4">
      <w:rPr>
        <w:rFonts w:ascii="Arial" w:eastAsia="Calibri" w:hAnsi="Arial"/>
        <w:sz w:val="16"/>
        <w:szCs w:val="22"/>
        <w:lang w:eastAsia="en-US"/>
      </w:rPr>
      <w:t>analytické</w:t>
    </w:r>
    <w:proofErr w:type="spellEnd"/>
    <w:r w:rsidRPr="004321D4">
      <w:rPr>
        <w:rFonts w:ascii="Arial" w:eastAsia="Calibri" w:hAnsi="Arial"/>
        <w:sz w:val="16"/>
        <w:szCs w:val="22"/>
        <w:lang w:eastAsia="en-US"/>
      </w:rPr>
      <w:t xml:space="preserve"> </w:t>
    </w:r>
    <w:proofErr w:type="spellStart"/>
    <w:r w:rsidRPr="004321D4">
      <w:rPr>
        <w:rFonts w:ascii="Arial" w:eastAsia="Calibri" w:hAnsi="Arial"/>
        <w:sz w:val="16"/>
        <w:szCs w:val="22"/>
        <w:lang w:eastAsia="en-US"/>
      </w:rPr>
      <w:t>vyhodnocení</w:t>
    </w:r>
    <w:proofErr w:type="spellEnd"/>
  </w:p>
  <w:p w14:paraId="22B113A7" w14:textId="77777777" w:rsidR="004321D4" w:rsidRPr="004321D4" w:rsidRDefault="004321D4" w:rsidP="004321D4">
    <w:pPr>
      <w:spacing w:after="240" w:line="288" w:lineRule="auto"/>
      <w:rPr>
        <w:rFonts w:ascii="Arial" w:eastAsia="Calibri" w:hAnsi="Arial"/>
        <w:i/>
        <w:sz w:val="16"/>
        <w:szCs w:val="22"/>
        <w:lang w:val="cs-CZ" w:eastAsia="en-US"/>
      </w:rPr>
    </w:pPr>
    <w:proofErr w:type="spellStart"/>
    <w:r w:rsidRPr="004321D4">
      <w:rPr>
        <w:rFonts w:ascii="Arial" w:eastAsia="Calibri" w:hAnsi="Arial"/>
        <w:i/>
        <w:sz w:val="16"/>
        <w:szCs w:val="22"/>
        <w:lang w:val="cs-CZ" w:eastAsia="en-US"/>
      </w:rPr>
      <w:t>Integrated</w:t>
    </w:r>
    <w:proofErr w:type="spellEnd"/>
    <w:r w:rsidRPr="004321D4">
      <w:rPr>
        <w:rFonts w:ascii="Arial" w:eastAsia="Calibri" w:hAnsi="Arial"/>
        <w:i/>
        <w:sz w:val="16"/>
        <w:szCs w:val="22"/>
        <w:lang w:val="cs-CZ" w:eastAsia="en-US"/>
      </w:rPr>
      <w:t xml:space="preserve"> </w:t>
    </w:r>
    <w:proofErr w:type="spellStart"/>
    <w:r w:rsidRPr="004321D4">
      <w:rPr>
        <w:rFonts w:ascii="Arial" w:eastAsia="Calibri" w:hAnsi="Arial"/>
        <w:i/>
        <w:sz w:val="16"/>
        <w:szCs w:val="22"/>
        <w:lang w:val="cs-CZ" w:eastAsia="en-US"/>
      </w:rPr>
      <w:t>Farm</w:t>
    </w:r>
    <w:proofErr w:type="spellEnd"/>
    <w:r w:rsidRPr="004321D4">
      <w:rPr>
        <w:rFonts w:ascii="Arial" w:eastAsia="Calibri" w:hAnsi="Arial"/>
        <w:i/>
        <w:sz w:val="16"/>
        <w:szCs w:val="22"/>
        <w:lang w:val="cs-CZ" w:eastAsia="en-US"/>
      </w:rPr>
      <w:t xml:space="preserve"> </w:t>
    </w:r>
    <w:proofErr w:type="spellStart"/>
    <w:r w:rsidRPr="004321D4">
      <w:rPr>
        <w:rFonts w:ascii="Arial" w:eastAsia="Calibri" w:hAnsi="Arial"/>
        <w:i/>
        <w:sz w:val="16"/>
        <w:szCs w:val="22"/>
        <w:lang w:val="cs-CZ" w:eastAsia="en-US"/>
      </w:rPr>
      <w:t>Survey</w:t>
    </w:r>
    <w:proofErr w:type="spellEnd"/>
    <w:r w:rsidRPr="004321D4">
      <w:rPr>
        <w:rFonts w:ascii="Arial" w:eastAsia="Calibri" w:hAnsi="Arial"/>
        <w:i/>
        <w:sz w:val="16"/>
        <w:szCs w:val="22"/>
        <w:lang w:val="cs-CZ" w:eastAsia="en-US"/>
      </w:rPr>
      <w:t xml:space="preserve"> – </w:t>
    </w:r>
    <w:proofErr w:type="spellStart"/>
    <w:r w:rsidRPr="004321D4">
      <w:rPr>
        <w:rFonts w:ascii="Arial" w:eastAsia="Calibri" w:hAnsi="Arial"/>
        <w:i/>
        <w:sz w:val="16"/>
        <w:szCs w:val="22"/>
        <w:lang w:val="cs-CZ" w:eastAsia="en-US"/>
      </w:rPr>
      <w:t>analytical</w:t>
    </w:r>
    <w:proofErr w:type="spellEnd"/>
    <w:r w:rsidRPr="004321D4">
      <w:rPr>
        <w:rFonts w:ascii="Arial" w:eastAsia="Calibri" w:hAnsi="Arial"/>
        <w:i/>
        <w:sz w:val="16"/>
        <w:szCs w:val="22"/>
        <w:lang w:val="cs-CZ" w:eastAsia="en-US"/>
      </w:rPr>
      <w:t xml:space="preserve"> </w:t>
    </w:r>
    <w:proofErr w:type="spellStart"/>
    <w:r w:rsidRPr="004321D4">
      <w:rPr>
        <w:rFonts w:ascii="Arial" w:eastAsia="Calibri" w:hAnsi="Arial"/>
        <w:i/>
        <w:sz w:val="16"/>
        <w:szCs w:val="22"/>
        <w:lang w:val="cs-CZ" w:eastAsia="en-US"/>
      </w:rPr>
      <w:t>evaluation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BACE" w14:textId="77777777" w:rsidR="004321D4" w:rsidRDefault="004321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1" w15:restartNumberingAfterBreak="0">
    <w:nsid w:val="089B5EFB"/>
    <w:multiLevelType w:val="multilevel"/>
    <w:tmpl w:val="375C2726"/>
    <w:lvl w:ilvl="0">
      <w:start w:val="1"/>
      <w:numFmt w:val="bullet"/>
      <w:lvlText w:val=""/>
      <w:lvlJc w:val="left"/>
      <w:pPr>
        <w:tabs>
          <w:tab w:val="num" w:pos="0"/>
        </w:tabs>
        <w:ind w:left="1400" w:hanging="360"/>
      </w:pPr>
      <w:rPr>
        <w:rFonts w:ascii="Symbol" w:hAnsi="Symbol" w:cs="Symbol" w:hint="default"/>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2" w15:restartNumberingAfterBreak="0">
    <w:nsid w:val="1A474484"/>
    <w:multiLevelType w:val="hybridMultilevel"/>
    <w:tmpl w:val="A30EBF22"/>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C7575"/>
    <w:multiLevelType w:val="hybridMultilevel"/>
    <w:tmpl w:val="FD80BD1C"/>
    <w:lvl w:ilvl="0" w:tplc="1B561E9E">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04D0622"/>
    <w:multiLevelType w:val="multilevel"/>
    <w:tmpl w:val="E6FA8E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21B416D"/>
    <w:multiLevelType w:val="hybridMultilevel"/>
    <w:tmpl w:val="61987278"/>
    <w:lvl w:ilvl="0" w:tplc="5970B0B2">
      <w:start w:val="1"/>
      <w:numFmt w:val="bullet"/>
      <w:pStyle w:val="Sodrkami2"/>
      <w:lvlText w:val="-"/>
      <w:lvlJc w:val="left"/>
      <w:pPr>
        <w:tabs>
          <w:tab w:val="num" w:pos="1260"/>
        </w:tabs>
        <w:ind w:left="126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5"/>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45"/>
    <w:rsid w:val="00001415"/>
    <w:rsid w:val="00001F09"/>
    <w:rsid w:val="00004453"/>
    <w:rsid w:val="000052B0"/>
    <w:rsid w:val="00006D4A"/>
    <w:rsid w:val="000078F2"/>
    <w:rsid w:val="00011F50"/>
    <w:rsid w:val="000169A7"/>
    <w:rsid w:val="00016E26"/>
    <w:rsid w:val="0001729F"/>
    <w:rsid w:val="00017333"/>
    <w:rsid w:val="00020530"/>
    <w:rsid w:val="00027776"/>
    <w:rsid w:val="00031B05"/>
    <w:rsid w:val="00036A1B"/>
    <w:rsid w:val="00037474"/>
    <w:rsid w:val="00043DD8"/>
    <w:rsid w:val="00044275"/>
    <w:rsid w:val="00044285"/>
    <w:rsid w:val="00052634"/>
    <w:rsid w:val="00057EED"/>
    <w:rsid w:val="000611E9"/>
    <w:rsid w:val="00062416"/>
    <w:rsid w:val="00063761"/>
    <w:rsid w:val="00066DF4"/>
    <w:rsid w:val="00067E18"/>
    <w:rsid w:val="000758AF"/>
    <w:rsid w:val="00085240"/>
    <w:rsid w:val="000871EB"/>
    <w:rsid w:val="00097126"/>
    <w:rsid w:val="000B2549"/>
    <w:rsid w:val="000B6A87"/>
    <w:rsid w:val="000C47EA"/>
    <w:rsid w:val="000D0BDC"/>
    <w:rsid w:val="000D310D"/>
    <w:rsid w:val="000D3859"/>
    <w:rsid w:val="000E1999"/>
    <w:rsid w:val="000E2F59"/>
    <w:rsid w:val="000E5CB2"/>
    <w:rsid w:val="000E7DEE"/>
    <w:rsid w:val="000F6B59"/>
    <w:rsid w:val="001000D4"/>
    <w:rsid w:val="0010656E"/>
    <w:rsid w:val="00115D93"/>
    <w:rsid w:val="00124C57"/>
    <w:rsid w:val="001251C0"/>
    <w:rsid w:val="00132296"/>
    <w:rsid w:val="001325A6"/>
    <w:rsid w:val="00134C1A"/>
    <w:rsid w:val="00142920"/>
    <w:rsid w:val="00143B57"/>
    <w:rsid w:val="0014492F"/>
    <w:rsid w:val="0015248B"/>
    <w:rsid w:val="00152C8D"/>
    <w:rsid w:val="00157197"/>
    <w:rsid w:val="0016278A"/>
    <w:rsid w:val="00172A62"/>
    <w:rsid w:val="00174563"/>
    <w:rsid w:val="00181E2F"/>
    <w:rsid w:val="00182D6D"/>
    <w:rsid w:val="00186490"/>
    <w:rsid w:val="00194AE4"/>
    <w:rsid w:val="001979DC"/>
    <w:rsid w:val="001A1D0B"/>
    <w:rsid w:val="001B3B51"/>
    <w:rsid w:val="001B70FE"/>
    <w:rsid w:val="001C3647"/>
    <w:rsid w:val="001D43AC"/>
    <w:rsid w:val="001E2A1C"/>
    <w:rsid w:val="001E6F0E"/>
    <w:rsid w:val="001F3134"/>
    <w:rsid w:val="001F35CA"/>
    <w:rsid w:val="00204CFF"/>
    <w:rsid w:val="002073ED"/>
    <w:rsid w:val="00212068"/>
    <w:rsid w:val="00215C3C"/>
    <w:rsid w:val="00220231"/>
    <w:rsid w:val="00222D88"/>
    <w:rsid w:val="002255DC"/>
    <w:rsid w:val="00231177"/>
    <w:rsid w:val="002316CB"/>
    <w:rsid w:val="00237D3F"/>
    <w:rsid w:val="00244CD1"/>
    <w:rsid w:val="00246530"/>
    <w:rsid w:val="00250179"/>
    <w:rsid w:val="00271E0C"/>
    <w:rsid w:val="00272617"/>
    <w:rsid w:val="002734B9"/>
    <w:rsid w:val="00273717"/>
    <w:rsid w:val="0028589E"/>
    <w:rsid w:val="002A0131"/>
    <w:rsid w:val="002A1691"/>
    <w:rsid w:val="002A2840"/>
    <w:rsid w:val="002A2E95"/>
    <w:rsid w:val="002A3EF8"/>
    <w:rsid w:val="002B2926"/>
    <w:rsid w:val="002B342F"/>
    <w:rsid w:val="002B45F7"/>
    <w:rsid w:val="002B796E"/>
    <w:rsid w:val="002C6644"/>
    <w:rsid w:val="002C669F"/>
    <w:rsid w:val="002D2C8B"/>
    <w:rsid w:val="002D4551"/>
    <w:rsid w:val="002E2B1E"/>
    <w:rsid w:val="002F00B5"/>
    <w:rsid w:val="002F26EF"/>
    <w:rsid w:val="002F4D6B"/>
    <w:rsid w:val="002F6BF6"/>
    <w:rsid w:val="00300B9A"/>
    <w:rsid w:val="00301003"/>
    <w:rsid w:val="00310CAD"/>
    <w:rsid w:val="00313AA1"/>
    <w:rsid w:val="00313E66"/>
    <w:rsid w:val="0032220A"/>
    <w:rsid w:val="0032478F"/>
    <w:rsid w:val="0032574B"/>
    <w:rsid w:val="003263DA"/>
    <w:rsid w:val="0032701E"/>
    <w:rsid w:val="003275E3"/>
    <w:rsid w:val="00327A1F"/>
    <w:rsid w:val="00330FFF"/>
    <w:rsid w:val="0033463C"/>
    <w:rsid w:val="00334D28"/>
    <w:rsid w:val="00337278"/>
    <w:rsid w:val="003437A2"/>
    <w:rsid w:val="003452EC"/>
    <w:rsid w:val="00354059"/>
    <w:rsid w:val="00354D33"/>
    <w:rsid w:val="00356FD6"/>
    <w:rsid w:val="00360FD0"/>
    <w:rsid w:val="00365E79"/>
    <w:rsid w:val="003661FA"/>
    <w:rsid w:val="00371D34"/>
    <w:rsid w:val="00371F9A"/>
    <w:rsid w:val="00375E39"/>
    <w:rsid w:val="00377064"/>
    <w:rsid w:val="003770B5"/>
    <w:rsid w:val="00386C7A"/>
    <w:rsid w:val="00386F0E"/>
    <w:rsid w:val="0039740A"/>
    <w:rsid w:val="003A27B9"/>
    <w:rsid w:val="003A28CE"/>
    <w:rsid w:val="003A2E26"/>
    <w:rsid w:val="003C49CD"/>
    <w:rsid w:val="003D3421"/>
    <w:rsid w:val="003D5943"/>
    <w:rsid w:val="003E254A"/>
    <w:rsid w:val="003E4E25"/>
    <w:rsid w:val="003E5637"/>
    <w:rsid w:val="003F096B"/>
    <w:rsid w:val="003F10D1"/>
    <w:rsid w:val="004024B5"/>
    <w:rsid w:val="00403AE0"/>
    <w:rsid w:val="00404ED5"/>
    <w:rsid w:val="0040667A"/>
    <w:rsid w:val="00414989"/>
    <w:rsid w:val="0042319A"/>
    <w:rsid w:val="004319C5"/>
    <w:rsid w:val="00431D5F"/>
    <w:rsid w:val="004321D4"/>
    <w:rsid w:val="00437DBD"/>
    <w:rsid w:val="00440271"/>
    <w:rsid w:val="004469A0"/>
    <w:rsid w:val="00446E5A"/>
    <w:rsid w:val="0045321C"/>
    <w:rsid w:val="00457B9C"/>
    <w:rsid w:val="00464366"/>
    <w:rsid w:val="00465919"/>
    <w:rsid w:val="00466EE2"/>
    <w:rsid w:val="00470560"/>
    <w:rsid w:val="0047591B"/>
    <w:rsid w:val="004765D6"/>
    <w:rsid w:val="0048454E"/>
    <w:rsid w:val="00485EC2"/>
    <w:rsid w:val="004978E9"/>
    <w:rsid w:val="004A0C73"/>
    <w:rsid w:val="004A6EFA"/>
    <w:rsid w:val="004B4D6A"/>
    <w:rsid w:val="004B5DEB"/>
    <w:rsid w:val="004B61C6"/>
    <w:rsid w:val="004C3D8D"/>
    <w:rsid w:val="004C4E05"/>
    <w:rsid w:val="004D3A51"/>
    <w:rsid w:val="004D4680"/>
    <w:rsid w:val="004D4D52"/>
    <w:rsid w:val="004D586D"/>
    <w:rsid w:val="004D58DA"/>
    <w:rsid w:val="004E748D"/>
    <w:rsid w:val="0050074B"/>
    <w:rsid w:val="00500EFF"/>
    <w:rsid w:val="00501B5A"/>
    <w:rsid w:val="00501CD5"/>
    <w:rsid w:val="005040A8"/>
    <w:rsid w:val="005315ED"/>
    <w:rsid w:val="0053227C"/>
    <w:rsid w:val="005374BA"/>
    <w:rsid w:val="00541306"/>
    <w:rsid w:val="00550B7C"/>
    <w:rsid w:val="00551A9D"/>
    <w:rsid w:val="005528B5"/>
    <w:rsid w:val="00555F7A"/>
    <w:rsid w:val="005560A6"/>
    <w:rsid w:val="005615FC"/>
    <w:rsid w:val="005632DD"/>
    <w:rsid w:val="00564295"/>
    <w:rsid w:val="005769F9"/>
    <w:rsid w:val="00580B08"/>
    <w:rsid w:val="00586874"/>
    <w:rsid w:val="00591D84"/>
    <w:rsid w:val="00593FBD"/>
    <w:rsid w:val="00597F4D"/>
    <w:rsid w:val="005A11F0"/>
    <w:rsid w:val="005B502F"/>
    <w:rsid w:val="005B58C4"/>
    <w:rsid w:val="005C53A9"/>
    <w:rsid w:val="005C65F2"/>
    <w:rsid w:val="005C6AE9"/>
    <w:rsid w:val="005C7F82"/>
    <w:rsid w:val="005D10F6"/>
    <w:rsid w:val="005E0AC8"/>
    <w:rsid w:val="005E2B86"/>
    <w:rsid w:val="005F7716"/>
    <w:rsid w:val="006047E1"/>
    <w:rsid w:val="00607D65"/>
    <w:rsid w:val="00622829"/>
    <w:rsid w:val="006246A6"/>
    <w:rsid w:val="0062771C"/>
    <w:rsid w:val="0064346B"/>
    <w:rsid w:val="00661A14"/>
    <w:rsid w:val="00663E77"/>
    <w:rsid w:val="006658EC"/>
    <w:rsid w:val="00674093"/>
    <w:rsid w:val="006746DF"/>
    <w:rsid w:val="00683F54"/>
    <w:rsid w:val="00693723"/>
    <w:rsid w:val="006A191C"/>
    <w:rsid w:val="006A218F"/>
    <w:rsid w:val="006A4CB0"/>
    <w:rsid w:val="006A69E9"/>
    <w:rsid w:val="006B16FB"/>
    <w:rsid w:val="006B3F36"/>
    <w:rsid w:val="006B49B1"/>
    <w:rsid w:val="006B70FB"/>
    <w:rsid w:val="006D3D13"/>
    <w:rsid w:val="006D3E45"/>
    <w:rsid w:val="006E4160"/>
    <w:rsid w:val="006F1857"/>
    <w:rsid w:val="006F1BA5"/>
    <w:rsid w:val="006F4326"/>
    <w:rsid w:val="006F727A"/>
    <w:rsid w:val="00712FB1"/>
    <w:rsid w:val="00714D7B"/>
    <w:rsid w:val="00714E5A"/>
    <w:rsid w:val="007156AA"/>
    <w:rsid w:val="00716119"/>
    <w:rsid w:val="007165C0"/>
    <w:rsid w:val="00721BA3"/>
    <w:rsid w:val="00732CC8"/>
    <w:rsid w:val="00734E0F"/>
    <w:rsid w:val="00737202"/>
    <w:rsid w:val="00740DF4"/>
    <w:rsid w:val="00746008"/>
    <w:rsid w:val="0074782C"/>
    <w:rsid w:val="007509E2"/>
    <w:rsid w:val="00753CC1"/>
    <w:rsid w:val="00756248"/>
    <w:rsid w:val="00757D09"/>
    <w:rsid w:val="00762ACA"/>
    <w:rsid w:val="007658C4"/>
    <w:rsid w:val="00765F26"/>
    <w:rsid w:val="00767053"/>
    <w:rsid w:val="0077166C"/>
    <w:rsid w:val="00772607"/>
    <w:rsid w:val="00777D49"/>
    <w:rsid w:val="00782F5C"/>
    <w:rsid w:val="007875A3"/>
    <w:rsid w:val="007959F1"/>
    <w:rsid w:val="00797378"/>
    <w:rsid w:val="00797F74"/>
    <w:rsid w:val="007B4499"/>
    <w:rsid w:val="007C2567"/>
    <w:rsid w:val="007C26E7"/>
    <w:rsid w:val="007D3E4B"/>
    <w:rsid w:val="007E02AC"/>
    <w:rsid w:val="007E052A"/>
    <w:rsid w:val="007E30C7"/>
    <w:rsid w:val="007E6A0F"/>
    <w:rsid w:val="007F3616"/>
    <w:rsid w:val="007F7814"/>
    <w:rsid w:val="007F7A6A"/>
    <w:rsid w:val="0081594B"/>
    <w:rsid w:val="00816A3B"/>
    <w:rsid w:val="00820756"/>
    <w:rsid w:val="008233C8"/>
    <w:rsid w:val="00823C07"/>
    <w:rsid w:val="00824BCF"/>
    <w:rsid w:val="00834E1F"/>
    <w:rsid w:val="008418BF"/>
    <w:rsid w:val="00865DB7"/>
    <w:rsid w:val="0086646F"/>
    <w:rsid w:val="008813E4"/>
    <w:rsid w:val="00881493"/>
    <w:rsid w:val="00893A2F"/>
    <w:rsid w:val="008A11B4"/>
    <w:rsid w:val="008B3710"/>
    <w:rsid w:val="008C3E3B"/>
    <w:rsid w:val="008D4625"/>
    <w:rsid w:val="008D4B18"/>
    <w:rsid w:val="008E503F"/>
    <w:rsid w:val="008F6214"/>
    <w:rsid w:val="0090609A"/>
    <w:rsid w:val="0092256D"/>
    <w:rsid w:val="009432DD"/>
    <w:rsid w:val="00951AA2"/>
    <w:rsid w:val="00956D52"/>
    <w:rsid w:val="009570E3"/>
    <w:rsid w:val="00960DA4"/>
    <w:rsid w:val="00962F63"/>
    <w:rsid w:val="00965AD2"/>
    <w:rsid w:val="0099072B"/>
    <w:rsid w:val="00995773"/>
    <w:rsid w:val="009B203E"/>
    <w:rsid w:val="009B3BD3"/>
    <w:rsid w:val="009B7DE5"/>
    <w:rsid w:val="009C2B92"/>
    <w:rsid w:val="009C70ED"/>
    <w:rsid w:val="009C79B2"/>
    <w:rsid w:val="009D0777"/>
    <w:rsid w:val="009F2C4F"/>
    <w:rsid w:val="009F60C0"/>
    <w:rsid w:val="009F6EC5"/>
    <w:rsid w:val="009F7693"/>
    <w:rsid w:val="00A01732"/>
    <w:rsid w:val="00A13AEE"/>
    <w:rsid w:val="00A14996"/>
    <w:rsid w:val="00A205F1"/>
    <w:rsid w:val="00A349F8"/>
    <w:rsid w:val="00A372D1"/>
    <w:rsid w:val="00A40145"/>
    <w:rsid w:val="00A47654"/>
    <w:rsid w:val="00A50A1D"/>
    <w:rsid w:val="00A5127A"/>
    <w:rsid w:val="00A5437D"/>
    <w:rsid w:val="00A55DE3"/>
    <w:rsid w:val="00A57A25"/>
    <w:rsid w:val="00A60B3B"/>
    <w:rsid w:val="00A66403"/>
    <w:rsid w:val="00A7253C"/>
    <w:rsid w:val="00A840C3"/>
    <w:rsid w:val="00A90268"/>
    <w:rsid w:val="00A90C0C"/>
    <w:rsid w:val="00A97468"/>
    <w:rsid w:val="00AA3568"/>
    <w:rsid w:val="00AA3686"/>
    <w:rsid w:val="00AB011A"/>
    <w:rsid w:val="00AB4F3E"/>
    <w:rsid w:val="00AB7F07"/>
    <w:rsid w:val="00AC0E11"/>
    <w:rsid w:val="00AC2BE6"/>
    <w:rsid w:val="00AD1D20"/>
    <w:rsid w:val="00AD1F47"/>
    <w:rsid w:val="00AE03BC"/>
    <w:rsid w:val="00AE0A14"/>
    <w:rsid w:val="00AE2321"/>
    <w:rsid w:val="00AE4F8A"/>
    <w:rsid w:val="00AE6A49"/>
    <w:rsid w:val="00AF05BD"/>
    <w:rsid w:val="00AF0901"/>
    <w:rsid w:val="00AF1922"/>
    <w:rsid w:val="00AF1D1A"/>
    <w:rsid w:val="00B056FC"/>
    <w:rsid w:val="00B05882"/>
    <w:rsid w:val="00B1076A"/>
    <w:rsid w:val="00B1124F"/>
    <w:rsid w:val="00B17E06"/>
    <w:rsid w:val="00B20A75"/>
    <w:rsid w:val="00B233E3"/>
    <w:rsid w:val="00B25E5A"/>
    <w:rsid w:val="00B31604"/>
    <w:rsid w:val="00B31E17"/>
    <w:rsid w:val="00B33E1E"/>
    <w:rsid w:val="00B37804"/>
    <w:rsid w:val="00B40FA8"/>
    <w:rsid w:val="00B44059"/>
    <w:rsid w:val="00B5210A"/>
    <w:rsid w:val="00B529F1"/>
    <w:rsid w:val="00B55002"/>
    <w:rsid w:val="00B616B1"/>
    <w:rsid w:val="00B62260"/>
    <w:rsid w:val="00B64E1E"/>
    <w:rsid w:val="00B64FAF"/>
    <w:rsid w:val="00B67059"/>
    <w:rsid w:val="00B73935"/>
    <w:rsid w:val="00B8075F"/>
    <w:rsid w:val="00B81449"/>
    <w:rsid w:val="00B8446B"/>
    <w:rsid w:val="00B873C6"/>
    <w:rsid w:val="00B93789"/>
    <w:rsid w:val="00B93807"/>
    <w:rsid w:val="00B939FE"/>
    <w:rsid w:val="00B96005"/>
    <w:rsid w:val="00BA1C75"/>
    <w:rsid w:val="00BA4A36"/>
    <w:rsid w:val="00BA5A93"/>
    <w:rsid w:val="00BD3E23"/>
    <w:rsid w:val="00BE1C7D"/>
    <w:rsid w:val="00BE42BE"/>
    <w:rsid w:val="00BF2D87"/>
    <w:rsid w:val="00BF30A0"/>
    <w:rsid w:val="00BF6912"/>
    <w:rsid w:val="00BF6E03"/>
    <w:rsid w:val="00C10AF0"/>
    <w:rsid w:val="00C11043"/>
    <w:rsid w:val="00C14CE7"/>
    <w:rsid w:val="00C157D8"/>
    <w:rsid w:val="00C16723"/>
    <w:rsid w:val="00C22AD5"/>
    <w:rsid w:val="00C22DEA"/>
    <w:rsid w:val="00C256A6"/>
    <w:rsid w:val="00C30B5F"/>
    <w:rsid w:val="00C32E67"/>
    <w:rsid w:val="00C3589C"/>
    <w:rsid w:val="00C439EC"/>
    <w:rsid w:val="00C453D5"/>
    <w:rsid w:val="00C46B32"/>
    <w:rsid w:val="00C5125E"/>
    <w:rsid w:val="00C56E11"/>
    <w:rsid w:val="00C61CD3"/>
    <w:rsid w:val="00C62101"/>
    <w:rsid w:val="00C669A0"/>
    <w:rsid w:val="00C70E0A"/>
    <w:rsid w:val="00C72152"/>
    <w:rsid w:val="00C72166"/>
    <w:rsid w:val="00C7263F"/>
    <w:rsid w:val="00C77EF7"/>
    <w:rsid w:val="00C804AE"/>
    <w:rsid w:val="00C914D5"/>
    <w:rsid w:val="00C94974"/>
    <w:rsid w:val="00CA341B"/>
    <w:rsid w:val="00CA42A4"/>
    <w:rsid w:val="00CA56E3"/>
    <w:rsid w:val="00CB2F12"/>
    <w:rsid w:val="00CC5C36"/>
    <w:rsid w:val="00CC6EE9"/>
    <w:rsid w:val="00CE0FB8"/>
    <w:rsid w:val="00CE52C1"/>
    <w:rsid w:val="00CF4136"/>
    <w:rsid w:val="00CF7977"/>
    <w:rsid w:val="00D0412F"/>
    <w:rsid w:val="00D06769"/>
    <w:rsid w:val="00D07AA2"/>
    <w:rsid w:val="00D1366C"/>
    <w:rsid w:val="00D21A9E"/>
    <w:rsid w:val="00D221EB"/>
    <w:rsid w:val="00D3345E"/>
    <w:rsid w:val="00D337B3"/>
    <w:rsid w:val="00D35D6F"/>
    <w:rsid w:val="00D420B5"/>
    <w:rsid w:val="00D6155F"/>
    <w:rsid w:val="00D623F0"/>
    <w:rsid w:val="00D665C4"/>
    <w:rsid w:val="00D66E39"/>
    <w:rsid w:val="00D747AF"/>
    <w:rsid w:val="00D748A0"/>
    <w:rsid w:val="00D83179"/>
    <w:rsid w:val="00D83336"/>
    <w:rsid w:val="00D8429D"/>
    <w:rsid w:val="00D852D5"/>
    <w:rsid w:val="00D91451"/>
    <w:rsid w:val="00D976A1"/>
    <w:rsid w:val="00DA045C"/>
    <w:rsid w:val="00DA245D"/>
    <w:rsid w:val="00DA4D46"/>
    <w:rsid w:val="00DC2D9C"/>
    <w:rsid w:val="00DC78ED"/>
    <w:rsid w:val="00DD5E6B"/>
    <w:rsid w:val="00DE555B"/>
    <w:rsid w:val="00DE6435"/>
    <w:rsid w:val="00DE7EAB"/>
    <w:rsid w:val="00DF43DB"/>
    <w:rsid w:val="00DF670D"/>
    <w:rsid w:val="00E06056"/>
    <w:rsid w:val="00E154C1"/>
    <w:rsid w:val="00E17ACD"/>
    <w:rsid w:val="00E34FD8"/>
    <w:rsid w:val="00E41895"/>
    <w:rsid w:val="00E41C53"/>
    <w:rsid w:val="00E44491"/>
    <w:rsid w:val="00E45789"/>
    <w:rsid w:val="00E5170E"/>
    <w:rsid w:val="00E51E91"/>
    <w:rsid w:val="00E56B27"/>
    <w:rsid w:val="00E646D9"/>
    <w:rsid w:val="00E674C0"/>
    <w:rsid w:val="00E71600"/>
    <w:rsid w:val="00E72332"/>
    <w:rsid w:val="00E72722"/>
    <w:rsid w:val="00E72CDC"/>
    <w:rsid w:val="00E73374"/>
    <w:rsid w:val="00E76644"/>
    <w:rsid w:val="00E864F9"/>
    <w:rsid w:val="00E94B1F"/>
    <w:rsid w:val="00EA67E8"/>
    <w:rsid w:val="00EB0A90"/>
    <w:rsid w:val="00EC4A56"/>
    <w:rsid w:val="00EC6594"/>
    <w:rsid w:val="00ED0E69"/>
    <w:rsid w:val="00ED182E"/>
    <w:rsid w:val="00ED1A24"/>
    <w:rsid w:val="00ED45D9"/>
    <w:rsid w:val="00EE06BB"/>
    <w:rsid w:val="00EE4255"/>
    <w:rsid w:val="00EE472C"/>
    <w:rsid w:val="00EE52FD"/>
    <w:rsid w:val="00EF3D74"/>
    <w:rsid w:val="00EF483D"/>
    <w:rsid w:val="00EF6352"/>
    <w:rsid w:val="00F02572"/>
    <w:rsid w:val="00F03911"/>
    <w:rsid w:val="00F05C2E"/>
    <w:rsid w:val="00F116F3"/>
    <w:rsid w:val="00F170B6"/>
    <w:rsid w:val="00F21D4B"/>
    <w:rsid w:val="00F251E1"/>
    <w:rsid w:val="00F33623"/>
    <w:rsid w:val="00F35B56"/>
    <w:rsid w:val="00F410AD"/>
    <w:rsid w:val="00F4460C"/>
    <w:rsid w:val="00F45F37"/>
    <w:rsid w:val="00F46A70"/>
    <w:rsid w:val="00F53D3D"/>
    <w:rsid w:val="00F6030A"/>
    <w:rsid w:val="00F63DFC"/>
    <w:rsid w:val="00F72527"/>
    <w:rsid w:val="00F753C8"/>
    <w:rsid w:val="00F829D4"/>
    <w:rsid w:val="00F82DCE"/>
    <w:rsid w:val="00F97A4A"/>
    <w:rsid w:val="00FA09CF"/>
    <w:rsid w:val="00FA1317"/>
    <w:rsid w:val="00FA1990"/>
    <w:rsid w:val="00FB45CD"/>
    <w:rsid w:val="00FC2A3E"/>
    <w:rsid w:val="00FD1F8B"/>
    <w:rsid w:val="00FE705D"/>
    <w:rsid w:val="00FE7AED"/>
    <w:rsid w:val="00FF6784"/>
    <w:rsid w:val="00FF7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0B635"/>
  <w15:docId w15:val="{58FCA417-491F-45E3-AF5F-37963521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64F9"/>
    <w:rPr>
      <w:sz w:val="24"/>
      <w:szCs w:val="24"/>
      <w:lang w:val="en-US"/>
    </w:rPr>
  </w:style>
  <w:style w:type="paragraph" w:styleId="Nadpis1">
    <w:name w:val="heading 1"/>
    <w:basedOn w:val="Normln"/>
    <w:next w:val="Normln"/>
    <w:link w:val="Nadpis1Char"/>
    <w:qFormat/>
    <w:rsid w:val="00F753C8"/>
    <w:pPr>
      <w:keepNext/>
      <w:spacing w:before="240" w:after="60"/>
      <w:outlineLvl w:val="0"/>
    </w:pPr>
    <w:rPr>
      <w:rFonts w:ascii="Cambria" w:hAnsi="Cambria"/>
      <w:b/>
      <w:bCs/>
      <w:kern w:val="32"/>
      <w:sz w:val="32"/>
      <w:szCs w:val="32"/>
    </w:rPr>
  </w:style>
  <w:style w:type="paragraph" w:styleId="Nadpis3">
    <w:name w:val="heading 3"/>
    <w:basedOn w:val="Normln"/>
    <w:next w:val="Normln"/>
    <w:qFormat/>
    <w:rsid w:val="00C804AE"/>
    <w:pPr>
      <w:keepNext/>
      <w:spacing w:before="240" w:after="60" w:line="360" w:lineRule="auto"/>
      <w:ind w:firstLine="567"/>
      <w:jc w:val="both"/>
      <w:outlineLvl w:val="2"/>
    </w:pPr>
    <w:rPr>
      <w:rFonts w:ascii="Arial" w:hAnsi="Arial" w:cs="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A40145"/>
    <w:rPr>
      <w:sz w:val="20"/>
      <w:szCs w:val="20"/>
    </w:rPr>
  </w:style>
  <w:style w:type="character" w:styleId="Znakapoznpodarou">
    <w:name w:val="footnote reference"/>
    <w:semiHidden/>
    <w:rsid w:val="00A40145"/>
    <w:rPr>
      <w:vertAlign w:val="superscript"/>
    </w:rPr>
  </w:style>
  <w:style w:type="paragraph" w:styleId="Zpat">
    <w:name w:val="footer"/>
    <w:basedOn w:val="Normln"/>
    <w:rsid w:val="009F2C4F"/>
    <w:pPr>
      <w:tabs>
        <w:tab w:val="center" w:pos="4536"/>
        <w:tab w:val="right" w:pos="9072"/>
      </w:tabs>
    </w:pPr>
  </w:style>
  <w:style w:type="character" w:styleId="slostrnky">
    <w:name w:val="page number"/>
    <w:basedOn w:val="Standardnpsmoodstavce"/>
    <w:rsid w:val="009F2C4F"/>
  </w:style>
  <w:style w:type="paragraph" w:styleId="Normlnweb">
    <w:name w:val="Normal (Web)"/>
    <w:basedOn w:val="Normln"/>
    <w:rsid w:val="00C804AE"/>
    <w:pPr>
      <w:spacing w:before="120" w:line="360" w:lineRule="auto"/>
      <w:ind w:firstLine="567"/>
      <w:jc w:val="both"/>
    </w:pPr>
    <w:rPr>
      <w:lang w:val="cs-CZ"/>
    </w:rPr>
  </w:style>
  <w:style w:type="table" w:styleId="Mkatabulky">
    <w:name w:val="Table Grid"/>
    <w:basedOn w:val="Normlntabulka"/>
    <w:rsid w:val="00C14CE7"/>
    <w:pPr>
      <w:spacing w:before="120"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drkami2">
    <w:name w:val="S odrážkami 2"/>
    <w:basedOn w:val="Normln"/>
    <w:rsid w:val="0048454E"/>
    <w:pPr>
      <w:numPr>
        <w:numId w:val="2"/>
      </w:numPr>
      <w:spacing w:before="120" w:line="360" w:lineRule="auto"/>
      <w:jc w:val="both"/>
    </w:pPr>
    <w:rPr>
      <w:lang w:val="cs-CZ"/>
    </w:rPr>
  </w:style>
  <w:style w:type="paragraph" w:styleId="Zhlav">
    <w:name w:val="header"/>
    <w:basedOn w:val="Normln"/>
    <w:link w:val="ZhlavChar"/>
    <w:uiPriority w:val="99"/>
    <w:rsid w:val="00D976A1"/>
    <w:pPr>
      <w:tabs>
        <w:tab w:val="center" w:pos="4536"/>
        <w:tab w:val="right" w:pos="9072"/>
      </w:tabs>
    </w:pPr>
  </w:style>
  <w:style w:type="paragraph" w:styleId="Obsah1">
    <w:name w:val="toc 1"/>
    <w:basedOn w:val="Normln"/>
    <w:next w:val="Normln"/>
    <w:autoRedefine/>
    <w:uiPriority w:val="39"/>
    <w:rsid w:val="00DA245D"/>
    <w:pPr>
      <w:tabs>
        <w:tab w:val="left" w:pos="480"/>
        <w:tab w:val="right" w:leader="dot" w:pos="9060"/>
      </w:tabs>
      <w:spacing w:line="360" w:lineRule="auto"/>
    </w:pPr>
  </w:style>
  <w:style w:type="character" w:styleId="Hypertextovodkaz">
    <w:name w:val="Hyperlink"/>
    <w:uiPriority w:val="99"/>
    <w:rsid w:val="00B25E5A"/>
    <w:rPr>
      <w:color w:val="0000FF"/>
      <w:u w:val="single"/>
    </w:rPr>
  </w:style>
  <w:style w:type="character" w:customStyle="1" w:styleId="Nadpis1Char">
    <w:name w:val="Nadpis 1 Char"/>
    <w:link w:val="Nadpis1"/>
    <w:rsid w:val="00F753C8"/>
    <w:rPr>
      <w:rFonts w:ascii="Cambria" w:eastAsia="Times New Roman" w:hAnsi="Cambria" w:cs="Times New Roman"/>
      <w:b/>
      <w:bCs/>
      <w:kern w:val="32"/>
      <w:sz w:val="32"/>
      <w:szCs w:val="32"/>
      <w:lang w:val="en-US"/>
    </w:rPr>
  </w:style>
  <w:style w:type="paragraph" w:styleId="Textbubliny">
    <w:name w:val="Balloon Text"/>
    <w:basedOn w:val="Normln"/>
    <w:link w:val="TextbublinyChar"/>
    <w:semiHidden/>
    <w:unhideWhenUsed/>
    <w:rsid w:val="00AB4F3E"/>
    <w:rPr>
      <w:rFonts w:ascii="Segoe UI" w:hAnsi="Segoe UI" w:cs="Segoe UI"/>
      <w:sz w:val="18"/>
      <w:szCs w:val="18"/>
    </w:rPr>
  </w:style>
  <w:style w:type="character" w:customStyle="1" w:styleId="TextbublinyChar">
    <w:name w:val="Text bubliny Char"/>
    <w:basedOn w:val="Standardnpsmoodstavce"/>
    <w:link w:val="Textbubliny"/>
    <w:semiHidden/>
    <w:rsid w:val="00AB4F3E"/>
    <w:rPr>
      <w:rFonts w:ascii="Segoe UI" w:hAnsi="Segoe UI" w:cs="Segoe UI"/>
      <w:sz w:val="18"/>
      <w:szCs w:val="18"/>
      <w:lang w:val="en-US"/>
    </w:rPr>
  </w:style>
  <w:style w:type="paragraph" w:styleId="Odstavecseseznamem">
    <w:name w:val="List Paragraph"/>
    <w:basedOn w:val="Normln"/>
    <w:uiPriority w:val="34"/>
    <w:qFormat/>
    <w:rsid w:val="00C3589C"/>
    <w:pPr>
      <w:ind w:left="720"/>
      <w:contextualSpacing/>
    </w:pPr>
  </w:style>
  <w:style w:type="character" w:customStyle="1" w:styleId="ZhlavChar">
    <w:name w:val="Záhlaví Char"/>
    <w:basedOn w:val="Standardnpsmoodstavce"/>
    <w:link w:val="Zhlav"/>
    <w:uiPriority w:val="99"/>
    <w:rsid w:val="004321D4"/>
    <w:rPr>
      <w:sz w:val="24"/>
      <w:szCs w:val="24"/>
      <w:lang w:val="en-US"/>
    </w:rPr>
  </w:style>
  <w:style w:type="character" w:customStyle="1" w:styleId="Ukotvenpoznmkypodarou">
    <w:name w:val="Ukotvení poznámky pod čarou"/>
    <w:rsid w:val="00995773"/>
    <w:rPr>
      <w:vertAlign w:val="superscript"/>
    </w:rPr>
  </w:style>
  <w:style w:type="character" w:customStyle="1" w:styleId="Znakypropoznmkupodarou">
    <w:name w:val="Znaky pro poznámku pod čarou"/>
    <w:qFormat/>
    <w:rsid w:val="00995773"/>
  </w:style>
  <w:style w:type="paragraph" w:styleId="Seznam">
    <w:name w:val="List"/>
    <w:basedOn w:val="Zkladntext"/>
    <w:rsid w:val="00995773"/>
    <w:pPr>
      <w:suppressAutoHyphens/>
    </w:pPr>
    <w:rPr>
      <w:rFonts w:ascii="Calibri" w:eastAsia="Calibri" w:hAnsi="Calibri" w:cs="Lucida Sans"/>
      <w:sz w:val="22"/>
      <w:szCs w:val="22"/>
      <w:lang w:val="cs-CZ" w:eastAsia="en-US"/>
    </w:rPr>
  </w:style>
  <w:style w:type="paragraph" w:styleId="Zkladntext2">
    <w:name w:val="Body Text 2"/>
    <w:basedOn w:val="Normln"/>
    <w:link w:val="Zkladntext2Char"/>
    <w:semiHidden/>
    <w:unhideWhenUsed/>
    <w:qFormat/>
    <w:rsid w:val="00995773"/>
    <w:pPr>
      <w:suppressAutoHyphens/>
      <w:spacing w:after="120" w:line="480" w:lineRule="auto"/>
    </w:pPr>
    <w:rPr>
      <w:rFonts w:ascii="Calibri" w:eastAsia="Calibri" w:hAnsi="Calibri"/>
      <w:sz w:val="22"/>
      <w:szCs w:val="22"/>
      <w:lang w:val="cs-CZ" w:eastAsia="en-US"/>
    </w:rPr>
  </w:style>
  <w:style w:type="character" w:customStyle="1" w:styleId="Zkladntext2Char">
    <w:name w:val="Základní text 2 Char"/>
    <w:basedOn w:val="Standardnpsmoodstavce"/>
    <w:link w:val="Zkladntext2"/>
    <w:semiHidden/>
    <w:rsid w:val="00995773"/>
    <w:rPr>
      <w:rFonts w:ascii="Calibri" w:eastAsia="Calibri" w:hAnsi="Calibri"/>
      <w:sz w:val="22"/>
      <w:szCs w:val="22"/>
      <w:lang w:eastAsia="en-US"/>
    </w:rPr>
  </w:style>
  <w:style w:type="paragraph" w:styleId="Zkladntextodsazen">
    <w:name w:val="Body Text Indent"/>
    <w:basedOn w:val="Normln"/>
    <w:link w:val="ZkladntextodsazenChar"/>
    <w:semiHidden/>
    <w:rsid w:val="00995773"/>
    <w:pPr>
      <w:suppressAutoHyphens/>
      <w:spacing w:before="120"/>
      <w:ind w:firstLine="709"/>
      <w:jc w:val="both"/>
    </w:pPr>
    <w:rPr>
      <w:rFonts w:ascii="Arial" w:hAnsi="Arial" w:cs="Arial"/>
      <w:sz w:val="20"/>
      <w:szCs w:val="20"/>
      <w:lang w:val="cs-CZ" w:eastAsia="en-US"/>
    </w:rPr>
  </w:style>
  <w:style w:type="character" w:customStyle="1" w:styleId="ZkladntextodsazenChar">
    <w:name w:val="Základní text odsazený Char"/>
    <w:basedOn w:val="Standardnpsmoodstavce"/>
    <w:link w:val="Zkladntextodsazen"/>
    <w:semiHidden/>
    <w:rsid w:val="00995773"/>
    <w:rPr>
      <w:rFonts w:ascii="Arial" w:hAnsi="Arial" w:cs="Arial"/>
      <w:lang w:eastAsia="en-US"/>
    </w:rPr>
  </w:style>
  <w:style w:type="paragraph" w:styleId="Zkladntext">
    <w:name w:val="Body Text"/>
    <w:basedOn w:val="Normln"/>
    <w:link w:val="ZkladntextChar"/>
    <w:semiHidden/>
    <w:unhideWhenUsed/>
    <w:rsid w:val="00995773"/>
    <w:pPr>
      <w:spacing w:after="120"/>
    </w:pPr>
  </w:style>
  <w:style w:type="character" w:customStyle="1" w:styleId="ZkladntextChar">
    <w:name w:val="Základní text Char"/>
    <w:basedOn w:val="Standardnpsmoodstavce"/>
    <w:link w:val="Zkladntext"/>
    <w:semiHidden/>
    <w:rsid w:val="00995773"/>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A1C87-80F8-4E99-B15D-AFDB9A8A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573</Words>
  <Characters>3385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3951</CharactersWithSpaces>
  <SharedDoc>false</SharedDoc>
  <HLinks>
    <vt:vector size="36" baseType="variant">
      <vt:variant>
        <vt:i4>1703986</vt:i4>
      </vt:variant>
      <vt:variant>
        <vt:i4>32</vt:i4>
      </vt:variant>
      <vt:variant>
        <vt:i4>0</vt:i4>
      </vt:variant>
      <vt:variant>
        <vt:i4>5</vt:i4>
      </vt:variant>
      <vt:variant>
        <vt:lpwstr/>
      </vt:variant>
      <vt:variant>
        <vt:lpwstr>_Toc403568306</vt:lpwstr>
      </vt:variant>
      <vt:variant>
        <vt:i4>1703986</vt:i4>
      </vt:variant>
      <vt:variant>
        <vt:i4>26</vt:i4>
      </vt:variant>
      <vt:variant>
        <vt:i4>0</vt:i4>
      </vt:variant>
      <vt:variant>
        <vt:i4>5</vt:i4>
      </vt:variant>
      <vt:variant>
        <vt:lpwstr/>
      </vt:variant>
      <vt:variant>
        <vt:lpwstr>_Toc403568305</vt:lpwstr>
      </vt:variant>
      <vt:variant>
        <vt:i4>1703986</vt:i4>
      </vt:variant>
      <vt:variant>
        <vt:i4>20</vt:i4>
      </vt:variant>
      <vt:variant>
        <vt:i4>0</vt:i4>
      </vt:variant>
      <vt:variant>
        <vt:i4>5</vt:i4>
      </vt:variant>
      <vt:variant>
        <vt:lpwstr/>
      </vt:variant>
      <vt:variant>
        <vt:lpwstr>_Toc403568304</vt:lpwstr>
      </vt:variant>
      <vt:variant>
        <vt:i4>1703986</vt:i4>
      </vt:variant>
      <vt:variant>
        <vt:i4>14</vt:i4>
      </vt:variant>
      <vt:variant>
        <vt:i4>0</vt:i4>
      </vt:variant>
      <vt:variant>
        <vt:i4>5</vt:i4>
      </vt:variant>
      <vt:variant>
        <vt:lpwstr/>
      </vt:variant>
      <vt:variant>
        <vt:lpwstr>_Toc403568303</vt:lpwstr>
      </vt:variant>
      <vt:variant>
        <vt:i4>1703986</vt:i4>
      </vt:variant>
      <vt:variant>
        <vt:i4>8</vt:i4>
      </vt:variant>
      <vt:variant>
        <vt:i4>0</vt:i4>
      </vt:variant>
      <vt:variant>
        <vt:i4>5</vt:i4>
      </vt:variant>
      <vt:variant>
        <vt:lpwstr/>
      </vt:variant>
      <vt:variant>
        <vt:lpwstr>_Toc403568302</vt:lpwstr>
      </vt:variant>
      <vt:variant>
        <vt:i4>1703986</vt:i4>
      </vt:variant>
      <vt:variant>
        <vt:i4>2</vt:i4>
      </vt:variant>
      <vt:variant>
        <vt:i4>0</vt:i4>
      </vt:variant>
      <vt:variant>
        <vt:i4>5</vt:i4>
      </vt:variant>
      <vt:variant>
        <vt:lpwstr/>
      </vt:variant>
      <vt:variant>
        <vt:lpwstr>_Toc403568301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Macháčková Jana</dc:creator>
  <cp:lastModifiedBy>Olšovská Jelínková Lucie</cp:lastModifiedBy>
  <cp:revision>6</cp:revision>
  <cp:lastPrinted>2025-05-26T11:45:00Z</cp:lastPrinted>
  <dcterms:created xsi:type="dcterms:W3CDTF">2025-05-14T14:27:00Z</dcterms:created>
  <dcterms:modified xsi:type="dcterms:W3CDTF">2025-05-26T11:45:00Z</dcterms:modified>
</cp:coreProperties>
</file>