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F6D3" w14:textId="1BB6A260" w:rsidR="003B7AFA" w:rsidRPr="00F204DA" w:rsidRDefault="003B7AFA" w:rsidP="000C004E">
      <w:pPr>
        <w:pStyle w:val="Nadpis1"/>
      </w:pPr>
      <w:bookmarkStart w:id="0" w:name="_Toc176767109"/>
      <w:bookmarkStart w:id="1" w:name="_Toc200969291"/>
      <w:r>
        <w:t>4</w:t>
      </w:r>
      <w:bookmarkStart w:id="2" w:name="_Toc19090679"/>
      <w:bookmarkStart w:id="3" w:name="_Toc74643856"/>
      <w:bookmarkStart w:id="4" w:name="_Toc42852411"/>
      <w:bookmarkStart w:id="5" w:name="_Toc74643857"/>
      <w:bookmarkEnd w:id="2"/>
      <w:r>
        <w:t>. Vnější vztahy</w:t>
      </w:r>
      <w:bookmarkEnd w:id="1"/>
    </w:p>
    <w:tbl>
      <w:tblPr>
        <w:tblW w:w="9677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52"/>
        <w:gridCol w:w="2811"/>
        <w:gridCol w:w="57"/>
        <w:gridCol w:w="4809"/>
      </w:tblGrid>
      <w:tr w:rsidR="003B7AFA" w14:paraId="3B091C2A" w14:textId="77777777" w:rsidTr="003B7AFA">
        <w:trPr>
          <w:trHeight w:val="145"/>
        </w:trPr>
        <w:tc>
          <w:tcPr>
            <w:tcW w:w="1748" w:type="dxa"/>
            <w:hideMark/>
          </w:tcPr>
          <w:p w14:paraId="7EA6EA92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 xml:space="preserve">Vývoz zboží v 1. čtvrtletí meziročně </w:t>
            </w:r>
            <w:r>
              <w:rPr>
                <w:lang w:eastAsia="en-US"/>
              </w:rPr>
              <w:br/>
              <w:t xml:space="preserve">i mezičtvrtletně rostl. </w:t>
            </w:r>
          </w:p>
        </w:tc>
        <w:tc>
          <w:tcPr>
            <w:tcW w:w="252" w:type="dxa"/>
          </w:tcPr>
          <w:p w14:paraId="6481CEDC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62E9B672" w14:textId="77777777" w:rsidR="003B7AFA" w:rsidRDefault="003B7AFA" w:rsidP="003B7AFA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Hodnota vývozu zboží</w:t>
            </w:r>
            <w:r>
              <w:rPr>
                <w:rStyle w:val="Znakapoznpodarou"/>
                <w:spacing w:val="-4"/>
                <w:lang w:eastAsia="en-US"/>
              </w:rPr>
              <w:footnoteReference w:id="1"/>
            </w:r>
            <w:r>
              <w:rPr>
                <w:spacing w:val="-4"/>
                <w:lang w:eastAsia="en-US"/>
              </w:rPr>
              <w:t xml:space="preserve"> v 1. čtvrtletí 2025 dosáhla celkově 1 225,0 mld. korun a meziročně se zvýšila o 71,9 mld. korun (6,2 %). Meziroční přírůstek exportu v 1. čtvrtletí posílil oproti předchozímu kvartálu. Cenové posuny</w:t>
            </w:r>
            <w:r>
              <w:rPr>
                <w:rStyle w:val="Znakapoznpodarou"/>
                <w:spacing w:val="-4"/>
                <w:lang w:eastAsia="en-US"/>
              </w:rPr>
              <w:footnoteReference w:id="2"/>
            </w:r>
            <w:r>
              <w:rPr>
                <w:spacing w:val="-4"/>
                <w:lang w:eastAsia="en-US"/>
              </w:rPr>
              <w:t xml:space="preserve"> mírně posilovaly meziroční růst, ale neměly vliv na mezičtvrtletní dynamiku exportu. Podle sezónně očištěných údajů vývoz mezičtvrtletně vzrostl o 2,8 %. </w:t>
            </w:r>
          </w:p>
        </w:tc>
      </w:tr>
      <w:tr w:rsidR="003B7AFA" w14:paraId="7EB4B231" w14:textId="77777777" w:rsidTr="003B7AFA">
        <w:trPr>
          <w:trHeight w:val="145"/>
        </w:trPr>
        <w:tc>
          <w:tcPr>
            <w:tcW w:w="1748" w:type="dxa"/>
          </w:tcPr>
          <w:p w14:paraId="678A4E8C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Stále více rostl export mimo EU.</w:t>
            </w:r>
          </w:p>
        </w:tc>
        <w:tc>
          <w:tcPr>
            <w:tcW w:w="252" w:type="dxa"/>
          </w:tcPr>
          <w:p w14:paraId="3FF44227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189A9E39" w14:textId="77777777" w:rsidR="003B7AFA" w:rsidRDefault="003B7AFA" w:rsidP="003B7AFA">
            <w:pPr>
              <w:spacing w:after="22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Podobně jako po většinu loňského roku také v 1. čtvrtletí 2025 rostl meziročně výrazněji vývoz do zemí mimo EU (+36,8 mld. korun, 15,7 %) než do Evropské unie (+35,2 mld., 3,8 %). Vývoz do většiny zemí rostl, ale zatímco u mimounijních obchodních partnerů pokračoval trend silných přírůstků, export do řady zemí EU rostl mírně nebo stagnoval. Nejvíce se zvýšila hodnota vývozu do Německa (viz Tabulka č. 2), u kterého byly v posledních dvou letech přírůstky značně kolísavé a spíše mírnější. Výrazně v 1. čtvrtletí rostla (zejména z pohledu procentního navýšení) hodnota exportu do Velké Británie, Spojených států amerických</w:t>
            </w:r>
            <w:r>
              <w:rPr>
                <w:rStyle w:val="Znakapoznpodarou"/>
                <w:spacing w:val="-4"/>
                <w:lang w:eastAsia="en-US"/>
              </w:rPr>
              <w:footnoteReference w:id="3"/>
            </w:r>
            <w:r>
              <w:rPr>
                <w:spacing w:val="-4"/>
                <w:lang w:eastAsia="en-US"/>
              </w:rPr>
              <w:t xml:space="preserve"> a na Ukrajinu. Ve skupině mimounijních zemí, kam export </w:t>
            </w:r>
            <w:r>
              <w:rPr>
                <w:spacing w:val="-4"/>
                <w:lang w:eastAsia="en-US"/>
              </w:rPr>
              <w:br/>
              <w:t xml:space="preserve">v 1. čtvrtletí významně rostl, byly také Turecko či Izrael. Co se týká vývozu do EU, významný přírůstek byl zaznamenán také u Slovenska, Francie, Dánska a Švédska. Nejvíce klesl export do Španělska, Maďarska a Itálie. </w:t>
            </w:r>
          </w:p>
        </w:tc>
      </w:tr>
      <w:tr w:rsidR="003B7AFA" w14:paraId="0B03DDD6" w14:textId="77777777" w:rsidTr="003B7AFA">
        <w:trPr>
          <w:trHeight w:val="145"/>
        </w:trPr>
        <w:tc>
          <w:tcPr>
            <w:tcW w:w="1748" w:type="dxa"/>
          </w:tcPr>
          <w:p w14:paraId="7524F88F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Vývoz rostl u většiny komodit.</w:t>
            </w:r>
          </w:p>
        </w:tc>
        <w:tc>
          <w:tcPr>
            <w:tcW w:w="252" w:type="dxa"/>
          </w:tcPr>
          <w:p w14:paraId="26608268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5F779E61" w14:textId="77777777" w:rsidR="003B7AFA" w:rsidRDefault="003B7AFA" w:rsidP="003B7AFA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K celkovému meziročnímu přírůstku vývozu v 1. čtvrtletí významně přispělo jen několik ze všech sledovaných komodit, export ale rostl u většiny z nich. Oproti konci roku 2024 výrazně posílil růst exportu motorových vozidel (viz Tabulka č. 1) a blízko pod úrovní 10 mld. byly přírůstky exportu elektřiny, plynu, páry a klimatizovaného vzduchu, elektrických zařízení a počítačů, elektronických a optických přístrojů a zařízení. Rostl i vývoz potravinářských výrobků, ostatních dopravních prostředků a zařízení, strojů a zařízení nebo pryžových a plastových výrobků. U výrobků, u kterých vývoz meziročně klesl a kterých ale byla menšina, se propady nedostaly přes 0,5 mld. korun.</w:t>
            </w:r>
          </w:p>
        </w:tc>
      </w:tr>
      <w:tr w:rsidR="003B7AFA" w14:paraId="6DC6319A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2E62121E" w14:textId="77777777" w:rsidR="003B7AFA" w:rsidRDefault="003B7AFA" w:rsidP="003B7AFA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1 Oddíly klasifikace CPA s největším </w:t>
            </w:r>
          </w:p>
          <w:p w14:paraId="035DC54B" w14:textId="77777777" w:rsidR="003B7AFA" w:rsidRDefault="003B7AFA" w:rsidP="003B7AFA">
            <w:pPr>
              <w:spacing w:after="0"/>
              <w:jc w:val="left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vlivem na vývoj vývozu zboží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3F669128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5CDB8D3C" w14:textId="77777777" w:rsidR="003B7AFA" w:rsidRDefault="003B7AFA" w:rsidP="003B7AFA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2 Země s největším vlivem na vývoj vývozu zboží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3B7AFA" w14:paraId="4B11EF3A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79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17"/>
              <w:gridCol w:w="700"/>
              <w:gridCol w:w="680"/>
            </w:tblGrid>
            <w:tr w:rsidR="003B7AFA" w:rsidRPr="001F4BF2" w14:paraId="5E9876E9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9D5F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2F3E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37FB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3B7AFA" w:rsidRPr="001F4BF2" w14:paraId="71243A70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6AF2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Motorová vozidla (kromě motocyklů) a díly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A0AD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+24,5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F93C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+7,4</w:t>
                  </w:r>
                </w:p>
              </w:tc>
            </w:tr>
            <w:tr w:rsidR="003B7AFA" w:rsidRPr="001F4BF2" w14:paraId="201D566A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E2C71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D50B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+9,9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E6AA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+101,6</w:t>
                  </w:r>
                </w:p>
              </w:tc>
            </w:tr>
            <w:tr w:rsidR="003B7AFA" w:rsidRPr="001F4BF2" w14:paraId="3002EA91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88F5A1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3E22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7C2A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+7,5</w:t>
                  </w:r>
                </w:p>
              </w:tc>
            </w:tr>
            <w:tr w:rsidR="003B7AFA" w:rsidRPr="001F4BF2" w14:paraId="3F157F6C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ED801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89E4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D814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+7,2</w:t>
                  </w:r>
                </w:p>
              </w:tc>
            </w:tr>
            <w:tr w:rsidR="003B7AFA" w:rsidRPr="001F4BF2" w14:paraId="43F78D35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62B0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Potravinářské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D686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A645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+8,6</w:t>
                  </w:r>
                </w:p>
              </w:tc>
            </w:tr>
            <w:tr w:rsidR="003B7AFA" w:rsidRPr="001F4BF2" w14:paraId="00110A6A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F107E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Ostatní dopravní prostředky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977C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5942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+18,9</w:t>
                  </w:r>
                </w:p>
              </w:tc>
            </w:tr>
            <w:tr w:rsidR="003B7AFA" w:rsidRPr="001F4BF2" w14:paraId="7A2386EA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C9361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DB37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A441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+2,2</w:t>
                  </w:r>
                </w:p>
              </w:tc>
            </w:tr>
            <w:tr w:rsidR="003B7AFA" w:rsidRPr="001F4BF2" w14:paraId="48E436F9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FBA74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Pryžové a plastové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E558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4992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+5,1</w:t>
                  </w:r>
                </w:p>
              </w:tc>
            </w:tr>
            <w:tr w:rsidR="003B7AFA" w:rsidRPr="001F4BF2" w14:paraId="0212EC51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1DC51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Základní farmaceutické výrobky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E42D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7235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+10,2</w:t>
                  </w:r>
                </w:p>
              </w:tc>
            </w:tr>
            <w:tr w:rsidR="003B7AFA" w:rsidRPr="001F4BF2" w14:paraId="4754E6B9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0085B7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Chemické látky a chemické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6905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CB97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+2,3</w:t>
                  </w:r>
                </w:p>
              </w:tc>
            </w:tr>
            <w:tr w:rsidR="003B7AFA" w:rsidRPr="001F4BF2" w14:paraId="38ACDD2B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2419C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Ostatní výrobky zpracovatelského průmyslu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DC79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E3BE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+4,9</w:t>
                  </w:r>
                </w:p>
              </w:tc>
            </w:tr>
            <w:tr w:rsidR="003B7AFA" w:rsidRPr="001F4BF2" w14:paraId="0F2911DA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AD82B3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Dřevo a dřevěné a korkové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C033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3337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+9,5</w:t>
                  </w:r>
                </w:p>
              </w:tc>
            </w:tr>
            <w:tr w:rsidR="003B7AFA" w:rsidRPr="001F4BF2" w14:paraId="7E7AAE4E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9E9A9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Papír a výrobky z papíru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D1D6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E832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+4,5</w:t>
                  </w:r>
                </w:p>
              </w:tc>
            </w:tr>
            <w:tr w:rsidR="003B7AFA" w:rsidRPr="001F4BF2" w14:paraId="44C7F5FE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7DF48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Koks a rafinované ropné produkty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B95C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+0,8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D8A8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+7,1</w:t>
                  </w:r>
                </w:p>
              </w:tc>
            </w:tr>
            <w:tr w:rsidR="003B7AFA" w:rsidRPr="001F4BF2" w14:paraId="67057DCE" w14:textId="77777777" w:rsidTr="003B7AFA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34FDC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8490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+0,8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58E6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+2,0</w:t>
                  </w:r>
                </w:p>
              </w:tc>
            </w:tr>
          </w:tbl>
          <w:p w14:paraId="58B826FE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57" w:type="dxa"/>
          </w:tcPr>
          <w:p w14:paraId="2BBCD257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7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62"/>
              <w:gridCol w:w="700"/>
              <w:gridCol w:w="700"/>
            </w:tblGrid>
            <w:tr w:rsidR="003B7AFA" w:rsidRPr="001F4BF2" w14:paraId="1D80BC86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E14F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64A6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0232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3B7AFA" w:rsidRPr="001F4BF2" w14:paraId="7F2D13C5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D2D1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8492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+25,8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AA5F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+7,5</w:t>
                  </w:r>
                </w:p>
              </w:tc>
            </w:tr>
            <w:tr w:rsidR="003B7AFA" w:rsidRPr="001F4BF2" w14:paraId="44DE13C1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C6B1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Velká Británie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6648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+9,4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C121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+18,0</w:t>
                  </w:r>
                </w:p>
              </w:tc>
            </w:tr>
            <w:tr w:rsidR="003B7AFA" w:rsidRPr="001F4BF2" w14:paraId="614828F9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8BD7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Spojené státy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americké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841D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+6,3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37C6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+21,3</w:t>
                  </w:r>
                </w:p>
              </w:tc>
            </w:tr>
            <w:tr w:rsidR="003B7AFA" w:rsidRPr="001F4BF2" w14:paraId="529E4494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8C31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Slovensko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0C24F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B4E0D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+4,9</w:t>
                  </w:r>
                </w:p>
              </w:tc>
            </w:tr>
            <w:tr w:rsidR="003B7AFA" w:rsidRPr="001F4BF2" w14:paraId="11E0B7FE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9C559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Ukrajina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4AA2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10E5D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+51,9</w:t>
                  </w:r>
                </w:p>
              </w:tc>
            </w:tr>
            <w:tr w:rsidR="003B7AFA" w:rsidRPr="001F4BF2" w14:paraId="02FB1282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F333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Francie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C885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756D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+6,2</w:t>
                  </w:r>
                </w:p>
              </w:tc>
            </w:tr>
            <w:tr w:rsidR="003B7AFA" w:rsidRPr="001F4BF2" w14:paraId="1C2B8EFE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1B2A1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Turecko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ECD8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00C0F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+19,4</w:t>
                  </w:r>
                </w:p>
              </w:tc>
            </w:tr>
            <w:tr w:rsidR="003B7AFA" w:rsidRPr="001F4BF2" w14:paraId="3BC065AE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95D3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Dánsko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9267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5CB9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+45,7</w:t>
                  </w:r>
                </w:p>
              </w:tc>
            </w:tr>
            <w:tr w:rsidR="003B7AFA" w:rsidRPr="001F4BF2" w14:paraId="3187DC9F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9876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Izrael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D117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3531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+63,6</w:t>
                  </w:r>
                </w:p>
              </w:tc>
            </w:tr>
            <w:tr w:rsidR="003B7AFA" w:rsidRPr="001F4BF2" w14:paraId="2C8228B2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780E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Švédsko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7E54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458DF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+14,9</w:t>
                  </w:r>
                </w:p>
              </w:tc>
            </w:tr>
            <w:tr w:rsidR="003B7AFA" w:rsidRPr="001F4BF2" w14:paraId="5E61646A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00BA9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C017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0755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+1,6</w:t>
                  </w:r>
                </w:p>
              </w:tc>
            </w:tr>
            <w:tr w:rsidR="003B7AFA" w:rsidRPr="001F4BF2" w14:paraId="437781E9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614F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Norsko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02FF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DBCF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24,9</w:t>
                  </w:r>
                </w:p>
              </w:tc>
            </w:tr>
            <w:tr w:rsidR="003B7AFA" w:rsidRPr="001F4BF2" w14:paraId="5856DCF0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F9F3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Itálie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CA79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67A8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4,6</w:t>
                  </w:r>
                </w:p>
              </w:tc>
            </w:tr>
            <w:tr w:rsidR="003B7AFA" w:rsidRPr="001F4BF2" w14:paraId="3CA76CE3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6CBD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Maďarsko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7AD9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C08B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7,3</w:t>
                  </w:r>
                </w:p>
              </w:tc>
            </w:tr>
            <w:tr w:rsidR="003B7AFA" w:rsidRPr="001F4BF2" w14:paraId="2A5296C2" w14:textId="77777777" w:rsidTr="003B7AFA">
              <w:trPr>
                <w:trHeight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9057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Španělsko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3D7F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3,2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0CC8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</w:tr>
          </w:tbl>
          <w:p w14:paraId="3D6E49CC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</w:tr>
      <w:tr w:rsidR="003B7AFA" w14:paraId="69587098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0A134EED" w14:textId="77777777" w:rsidR="003B7AFA" w:rsidRDefault="003B7AFA" w:rsidP="003B7AFA">
            <w:pPr>
              <w:jc w:val="righ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21C79F2F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023293B0" w14:textId="77777777" w:rsidR="003B7AFA" w:rsidRDefault="003B7AFA" w:rsidP="003B7AFA">
            <w:pPr>
              <w:spacing w:after="0"/>
              <w:ind w:right="21"/>
              <w:jc w:val="righ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0733B7CD" w14:textId="77777777" w:rsidTr="003B7AFA">
        <w:trPr>
          <w:trHeight w:val="145"/>
        </w:trPr>
        <w:tc>
          <w:tcPr>
            <w:tcW w:w="1748" w:type="dxa"/>
            <w:hideMark/>
          </w:tcPr>
          <w:p w14:paraId="00E47721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Dovoz z většiny zemí meziročně rostl.</w:t>
            </w:r>
          </w:p>
        </w:tc>
        <w:tc>
          <w:tcPr>
            <w:tcW w:w="252" w:type="dxa"/>
          </w:tcPr>
          <w:p w14:paraId="57BAD36D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354DDD68" w14:textId="77777777" w:rsidR="003B7AFA" w:rsidRDefault="003B7AFA" w:rsidP="003B7AFA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V 1. čtvrtletí 2025 hodnota dovozu zboží meziročně vzrostla o 72,0 mld. korun (6,7 %) a vystoupala na 1 142,0 mld. Rovněž u importu cenový vývoj zčásti posílil jeho nominální dynamiku</w:t>
            </w:r>
            <w:r>
              <w:rPr>
                <w:rStyle w:val="Znakapoznpodarou"/>
                <w:spacing w:val="-4"/>
                <w:lang w:eastAsia="en-US"/>
              </w:rPr>
              <w:footnoteReference w:id="4"/>
            </w:r>
            <w:r>
              <w:rPr>
                <w:spacing w:val="-4"/>
                <w:lang w:eastAsia="en-US"/>
              </w:rPr>
              <w:t xml:space="preserve">. Sezónně očištěné údaje ukázaly na mezičtvrtletní přírůstek dovozu o 3,4 %. Více se meziročně zvýšil dovoz ze zemí mimo EU (+39,6 mld. korun, 10,5 %). Import z EU byl vyšší o 31,0 mld. (4,6 %). Nejvíce vzrostla hodnota dovozu z Číny (viz Tabulka č. 4). S odstupem se dál umístily Německo, Polsko a Slovensko a z unijních zemí mělo významnější navýšení dovozu do Česka ještě Rakousko. Rostl také import z Koreje, Turecka nebo Spojených států amerických. Jen u menšiny zemí dovoz meziročně klesal. Nejvíce u Ruska, Tchaj-wanu a Maďarska.    </w:t>
            </w:r>
          </w:p>
        </w:tc>
      </w:tr>
      <w:tr w:rsidR="003B7AFA" w14:paraId="534CC072" w14:textId="77777777" w:rsidTr="003B7AFA">
        <w:trPr>
          <w:trHeight w:val="145"/>
        </w:trPr>
        <w:tc>
          <w:tcPr>
            <w:tcW w:w="1748" w:type="dxa"/>
          </w:tcPr>
          <w:p w14:paraId="661EDEDB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Nejvíce rostl dovoz elektrických zařízení.</w:t>
            </w:r>
          </w:p>
        </w:tc>
        <w:tc>
          <w:tcPr>
            <w:tcW w:w="252" w:type="dxa"/>
          </w:tcPr>
          <w:p w14:paraId="495857EB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5D319C79" w14:textId="77777777" w:rsidR="003B7AFA" w:rsidRDefault="003B7AFA" w:rsidP="003B7AFA">
            <w:pPr>
              <w:spacing w:after="180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Také na straně dovozu byl v 1. čtvrtletí u většiny artiklů zaznamenán meziroční růst. Nejvíce se zvyšoval import elektrických zařízení</w:t>
            </w:r>
            <w:r>
              <w:rPr>
                <w:rStyle w:val="Znakapoznpodarou"/>
                <w:spacing w:val="-4"/>
                <w:lang w:eastAsia="en-US"/>
              </w:rPr>
              <w:footnoteReference w:id="5"/>
            </w:r>
            <w:r>
              <w:rPr>
                <w:spacing w:val="-4"/>
                <w:lang w:eastAsia="en-US"/>
              </w:rPr>
              <w:t xml:space="preserve"> (viz Tabulka č. 3), u kterých přírůstek značně posílil, a dále u kovodělných výrobků – dynamika importu u obou oddílů značně předčila zbytek klasifikace produkce. Významný byl nárůst u potravinářských výrobků, chemických látek a přípravků, počítačů, elektronických a optických přístrojů a zařízení, elektřiny, plynu páry a klimatizovaného vzduchu nebo ostatních dopravních prostředků a zařízení. Jediný významnější meziroční pokles importu byl zaznamenán u ropy a zemního plynu.    </w:t>
            </w:r>
          </w:p>
        </w:tc>
      </w:tr>
      <w:tr w:rsidR="003B7AFA" w14:paraId="7DA128A4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427FC43C" w14:textId="77777777" w:rsidR="003B7AFA" w:rsidRDefault="003B7AFA" w:rsidP="003B7AFA">
            <w:pPr>
              <w:spacing w:after="0"/>
              <w:jc w:val="left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3 Oddíly klasifikace CPA s největším vlivem na vývoj dovozu zboží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3A97FE13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73FAF54B" w14:textId="77777777" w:rsidR="003B7AFA" w:rsidRDefault="003B7AFA" w:rsidP="003B7AFA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4 Země s největším vlivem na vývoj dovozu zboží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3B7AFA" w:rsidRPr="005A40B7" w14:paraId="485F64EB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8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17"/>
              <w:gridCol w:w="700"/>
              <w:gridCol w:w="700"/>
            </w:tblGrid>
            <w:tr w:rsidR="003B7AFA" w:rsidRPr="001F4BF2" w14:paraId="466A2919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1191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C1E1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A00B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3B7AFA" w:rsidRPr="001F4BF2" w14:paraId="62368AC2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7875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0C81D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9C56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+20,4</w:t>
                  </w:r>
                </w:p>
              </w:tc>
            </w:tr>
            <w:tr w:rsidR="003B7AFA" w:rsidRPr="001F4BF2" w14:paraId="0829127C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61103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Kovodělné výrobky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kromě strojů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7867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D7B8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+26,4</w:t>
                  </w:r>
                </w:p>
              </w:tc>
            </w:tr>
            <w:tr w:rsidR="003B7AFA" w:rsidRPr="001F4BF2" w14:paraId="76BEAA47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6DF1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Potravinářské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A1AA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+6,1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C43B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+10,6</w:t>
                  </w:r>
                </w:p>
              </w:tc>
            </w:tr>
            <w:tr w:rsidR="003B7AFA" w:rsidRPr="001F4BF2" w14:paraId="2F76B15F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76E17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Chemické látky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72B6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9712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+6,3</w:t>
                  </w:r>
                </w:p>
              </w:tc>
            </w:tr>
            <w:tr w:rsidR="003B7AFA" w:rsidRPr="001F4BF2" w14:paraId="0209D020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F58E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3B75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D81D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+4,2</w:t>
                  </w:r>
                </w:p>
              </w:tc>
            </w:tr>
            <w:tr w:rsidR="003B7AFA" w:rsidRPr="001F4BF2" w14:paraId="1F02C80D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1FAA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96D6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7C52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+113,3</w:t>
                  </w:r>
                </w:p>
              </w:tc>
            </w:tr>
            <w:tr w:rsidR="003B7AFA" w:rsidRPr="001F4BF2" w14:paraId="562F44CF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1699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Ostatní dopravní prostředky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DDCD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EFDE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+28,1</w:t>
                  </w:r>
                </w:p>
              </w:tc>
            </w:tr>
            <w:tr w:rsidR="003B7AFA" w:rsidRPr="001F4BF2" w14:paraId="0DD68E73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F946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Ostatní výrobky zpracovatelského průmyslu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C75F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6D3C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+14,9</w:t>
                  </w:r>
                </w:p>
              </w:tc>
            </w:tr>
            <w:tr w:rsidR="003B7AFA" w:rsidRPr="001F4BF2" w14:paraId="3D917BD8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3848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Stroje a zařízení j. n.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F219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8070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+2,4</w:t>
                  </w:r>
                </w:p>
              </w:tc>
            </w:tr>
            <w:tr w:rsidR="003B7AFA" w:rsidRPr="001F4BF2" w14:paraId="04DC6983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8D614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9711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55A0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+2,7</w:t>
                  </w:r>
                </w:p>
              </w:tc>
            </w:tr>
            <w:tr w:rsidR="003B7AFA" w:rsidRPr="001F4BF2" w14:paraId="22B72B93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87054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Základní farmaceutické výrobky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A00A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82B7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+5,9</w:t>
                  </w:r>
                </w:p>
              </w:tc>
            </w:tr>
            <w:tr w:rsidR="003B7AFA" w:rsidRPr="001F4BF2" w14:paraId="39979FCC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F6F9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Produkty zemědělství a myslivosti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978E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02FD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+10,0</w:t>
                  </w:r>
                </w:p>
              </w:tc>
            </w:tr>
            <w:tr w:rsidR="003B7AFA" w:rsidRPr="001F4BF2" w14:paraId="2130DF91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A2F67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Oděvy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9312D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04C0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+12,5</w:t>
                  </w:r>
                </w:p>
              </w:tc>
            </w:tr>
            <w:tr w:rsidR="003B7AFA" w:rsidRPr="001F4BF2" w14:paraId="0F3111E2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D744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Pryžové a plastové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3716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28EE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</w:tr>
            <w:tr w:rsidR="003B7AFA" w:rsidRPr="001F4BF2" w14:paraId="79B7DD5F" w14:textId="77777777" w:rsidTr="003B7AFA">
              <w:trPr>
                <w:trHeight w:hRule="exact"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7B609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Ropa a zemní plyn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F542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D4B8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9,4</w:t>
                  </w:r>
                </w:p>
              </w:tc>
            </w:tr>
          </w:tbl>
          <w:p w14:paraId="1DB48976" w14:textId="77777777" w:rsidR="003B7AFA" w:rsidRPr="005A40B7" w:rsidRDefault="003B7AFA" w:rsidP="003B7AFA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7" w:type="dxa"/>
          </w:tcPr>
          <w:p w14:paraId="320A48C3" w14:textId="77777777" w:rsidR="003B7AFA" w:rsidRPr="005A40B7" w:rsidRDefault="003B7AFA" w:rsidP="003B7AFA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8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62"/>
              <w:gridCol w:w="748"/>
              <w:gridCol w:w="700"/>
            </w:tblGrid>
            <w:tr w:rsidR="003B7AFA" w:rsidRPr="001F4BF2" w14:paraId="73AA0C1C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632F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DE43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87AC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3B7AFA" w:rsidRPr="001F4BF2" w14:paraId="3F101C9A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F91B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Čína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724B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+20,7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8D35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+17,5</w:t>
                  </w:r>
                </w:p>
              </w:tc>
            </w:tr>
            <w:tr w:rsidR="003B7AFA" w:rsidRPr="001F4BF2" w14:paraId="06B7E0D3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606A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B06A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BB69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+3,4</w:t>
                  </w:r>
                </w:p>
              </w:tc>
            </w:tr>
            <w:tr w:rsidR="003B7AFA" w:rsidRPr="001F4BF2" w14:paraId="77E81280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8B3B3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Polsko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2CAF2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0757D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+8,5</w:t>
                  </w:r>
                </w:p>
              </w:tc>
            </w:tr>
            <w:tr w:rsidR="003B7AFA" w:rsidRPr="001F4BF2" w14:paraId="02582881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AAD64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Slovensko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A969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000B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+8,6</w:t>
                  </w:r>
                </w:p>
              </w:tc>
            </w:tr>
            <w:tr w:rsidR="003B7AFA" w:rsidRPr="001F4BF2" w14:paraId="6753FD24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67CF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Korejská republika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3ACC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8118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+17,1</w:t>
                  </w:r>
                </w:p>
              </w:tc>
            </w:tr>
            <w:tr w:rsidR="003B7AFA" w:rsidRPr="001F4BF2" w14:paraId="70B2E4FA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33D46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Turecko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26F3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0463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+27,3</w:t>
                  </w:r>
                </w:p>
              </w:tc>
            </w:tr>
            <w:tr w:rsidR="003B7AFA" w:rsidRPr="001F4BF2" w14:paraId="2B177BC5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736B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Rakousko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AF9E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1CA3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+12,5</w:t>
                  </w:r>
                </w:p>
              </w:tc>
            </w:tr>
            <w:tr w:rsidR="003B7AFA" w:rsidRPr="001F4BF2" w14:paraId="7E891D2B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3FB9A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Spojené státy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americké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814E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74A46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+7,2</w:t>
                  </w:r>
                </w:p>
              </w:tc>
            </w:tr>
            <w:tr w:rsidR="003B7AFA" w:rsidRPr="001F4BF2" w14:paraId="2034A16C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0EE3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Itálie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0582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1A5D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+3,9</w:t>
                  </w:r>
                </w:p>
              </w:tc>
            </w:tr>
            <w:tr w:rsidR="003B7AFA" w:rsidRPr="001F4BF2" w14:paraId="220D65B3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15E1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Švýcarsko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25DA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EF72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+16,5</w:t>
                  </w:r>
                </w:p>
              </w:tc>
            </w:tr>
            <w:tr w:rsidR="003B7AFA" w:rsidRPr="001F4BF2" w14:paraId="6720DC16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335AA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Indie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EB4B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73BE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+21,5</w:t>
                  </w:r>
                </w:p>
              </w:tc>
            </w:tr>
            <w:tr w:rsidR="003B7AFA" w:rsidRPr="001F4BF2" w14:paraId="3A0D5E91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81E6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Norsko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3D45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54BE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+12,8</w:t>
                  </w:r>
                </w:p>
              </w:tc>
            </w:tr>
            <w:tr w:rsidR="003B7AFA" w:rsidRPr="001F4BF2" w14:paraId="79D05FC5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1BA5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Maďarsko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76BE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29EB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</w:tr>
            <w:tr w:rsidR="003B7AFA" w:rsidRPr="001F4BF2" w14:paraId="757A4647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701BA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Tchaj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wan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A0B7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3,4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6DEB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30,1</w:t>
                  </w:r>
                </w:p>
              </w:tc>
            </w:tr>
            <w:tr w:rsidR="003B7AFA" w:rsidRPr="001F4BF2" w14:paraId="5E4BA599" w14:textId="77777777" w:rsidTr="003B7AFA">
              <w:trPr>
                <w:trHeight w:hRule="exact" w:val="255"/>
              </w:trPr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6F60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Rusko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A05B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967B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45,9</w:t>
                  </w:r>
                </w:p>
              </w:tc>
            </w:tr>
          </w:tbl>
          <w:p w14:paraId="171CD68C" w14:textId="77777777" w:rsidR="003B7AFA" w:rsidRPr="005A40B7" w:rsidRDefault="003B7AFA" w:rsidP="003B7AFA">
            <w:pPr>
              <w:spacing w:after="0"/>
              <w:rPr>
                <w:spacing w:val="-4"/>
                <w:sz w:val="16"/>
                <w:szCs w:val="16"/>
                <w:lang w:eastAsia="en-US"/>
              </w:rPr>
            </w:pPr>
          </w:p>
        </w:tc>
      </w:tr>
      <w:tr w:rsidR="003B7AFA" w14:paraId="505F1174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0EAF5DB8" w14:textId="77777777" w:rsidR="003B7AFA" w:rsidRDefault="003B7AFA" w:rsidP="003B7AFA">
            <w:pPr>
              <w:jc w:val="righ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78AB2738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590C8534" w14:textId="77777777" w:rsidR="003B7AFA" w:rsidRDefault="003B7AFA" w:rsidP="003B7AFA">
            <w:pPr>
              <w:spacing w:after="0"/>
              <w:ind w:right="21"/>
              <w:jc w:val="righ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2410700C" w14:textId="77777777" w:rsidTr="003B7AFA">
        <w:trPr>
          <w:trHeight w:val="145"/>
        </w:trPr>
        <w:tc>
          <w:tcPr>
            <w:tcW w:w="1748" w:type="dxa"/>
            <w:hideMark/>
          </w:tcPr>
          <w:p w14:paraId="6A2D68C1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Přebytek bilance zahraničního obchodu se zbožím byl rekordní.</w:t>
            </w:r>
          </w:p>
        </w:tc>
        <w:tc>
          <w:tcPr>
            <w:tcW w:w="252" w:type="dxa"/>
          </w:tcPr>
          <w:p w14:paraId="6B18973E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  <w:hideMark/>
          </w:tcPr>
          <w:p w14:paraId="296F0B47" w14:textId="2D09AE25" w:rsidR="003B7AFA" w:rsidRPr="002971BF" w:rsidRDefault="003B7AFA" w:rsidP="00B7665A">
            <w:pPr>
              <w:spacing w:after="180"/>
              <w:rPr>
                <w:spacing w:val="-4"/>
                <w:szCs w:val="20"/>
                <w:lang w:eastAsia="en-US"/>
              </w:rPr>
            </w:pPr>
            <w:r w:rsidRPr="002971BF">
              <w:rPr>
                <w:spacing w:val="-4"/>
                <w:szCs w:val="20"/>
                <w:lang w:eastAsia="en-US"/>
              </w:rPr>
              <w:t>Bilance zahraničního obchodu se zbožím v 1. čtvrtletí dosáhla</w:t>
            </w:r>
            <w:r>
              <w:rPr>
                <w:spacing w:val="-4"/>
                <w:szCs w:val="20"/>
                <w:lang w:eastAsia="en-US"/>
              </w:rPr>
              <w:t xml:space="preserve"> přebytku</w:t>
            </w:r>
            <w:r w:rsidRPr="002971BF">
              <w:rPr>
                <w:spacing w:val="-4"/>
                <w:szCs w:val="20"/>
                <w:lang w:eastAsia="en-US"/>
              </w:rPr>
              <w:t xml:space="preserve"> 8</w:t>
            </w:r>
            <w:r>
              <w:rPr>
                <w:spacing w:val="-4"/>
                <w:szCs w:val="20"/>
                <w:lang w:eastAsia="en-US"/>
              </w:rPr>
              <w:t>3,0</w:t>
            </w:r>
            <w:r w:rsidRPr="002971BF">
              <w:rPr>
                <w:spacing w:val="-4"/>
                <w:szCs w:val="20"/>
                <w:lang w:eastAsia="en-US"/>
              </w:rPr>
              <w:t xml:space="preserve"> mld. korun. </w:t>
            </w:r>
            <w:r>
              <w:rPr>
                <w:szCs w:val="20"/>
              </w:rPr>
              <w:t>M</w:t>
            </w:r>
            <w:r w:rsidRPr="002971BF">
              <w:rPr>
                <w:spacing w:val="-4"/>
                <w:szCs w:val="20"/>
                <w:lang w:eastAsia="en-US"/>
              </w:rPr>
              <w:t>eziročně</w:t>
            </w:r>
            <w:r>
              <w:rPr>
                <w:spacing w:val="-4"/>
                <w:szCs w:val="20"/>
                <w:lang w:eastAsia="en-US"/>
              </w:rPr>
              <w:t xml:space="preserve"> přebytek klesl o 23 mil. korun, </w:t>
            </w:r>
            <w:r w:rsidR="00B7665A">
              <w:rPr>
                <w:spacing w:val="-4"/>
                <w:szCs w:val="20"/>
                <w:lang w:eastAsia="en-US"/>
              </w:rPr>
              <w:t xml:space="preserve">takže se v zásadě udržel na </w:t>
            </w:r>
            <w:r>
              <w:rPr>
                <w:spacing w:val="-4"/>
                <w:szCs w:val="20"/>
                <w:lang w:eastAsia="en-US"/>
              </w:rPr>
              <w:t>mimořádně vysok</w:t>
            </w:r>
            <w:r w:rsidR="00B7665A">
              <w:rPr>
                <w:spacing w:val="-4"/>
                <w:szCs w:val="20"/>
                <w:lang w:eastAsia="en-US"/>
              </w:rPr>
              <w:t>é úrovni</w:t>
            </w:r>
            <w:r w:rsidR="00B7665A">
              <w:rPr>
                <w:rStyle w:val="Znakapoznpodarou"/>
                <w:spacing w:val="-4"/>
                <w:szCs w:val="20"/>
                <w:lang w:eastAsia="en-US"/>
              </w:rPr>
              <w:footnoteReference w:id="6"/>
            </w:r>
            <w:r w:rsidR="00B7665A">
              <w:rPr>
                <w:spacing w:val="-4"/>
                <w:szCs w:val="20"/>
                <w:lang w:eastAsia="en-US"/>
              </w:rPr>
              <w:t>.</w:t>
            </w:r>
            <w:r>
              <w:rPr>
                <w:spacing w:val="-4"/>
                <w:szCs w:val="20"/>
                <w:lang w:eastAsia="en-US"/>
              </w:rPr>
              <w:t xml:space="preserve"> Podle sezónně očištěných údajů se bilance zahraničního obchodu se zbožím v 1.</w:t>
            </w:r>
            <w:r w:rsidR="00B7665A">
              <w:rPr>
                <w:spacing w:val="-4"/>
                <w:szCs w:val="20"/>
                <w:lang w:eastAsia="en-US"/>
              </w:rPr>
              <w:t> </w:t>
            </w:r>
            <w:r>
              <w:rPr>
                <w:spacing w:val="-4"/>
                <w:szCs w:val="20"/>
                <w:lang w:eastAsia="en-US"/>
              </w:rPr>
              <w:t xml:space="preserve">čtvrtletí rovněž mezičtvrtletně mírně zhoršila. Ve směru meziročního zlepšení bilance zahraničního obchodu působil výhradně obchod s EU (+4,2 mld. korun), zatímco mohutné zlepšování bilance obchodu se zeměmi mimo EU patrné v posledních dvou letech se v 1. </w:t>
            </w:r>
            <w:r w:rsidR="00B7665A">
              <w:rPr>
                <w:spacing w:val="-4"/>
                <w:szCs w:val="20"/>
                <w:lang w:eastAsia="en-US"/>
              </w:rPr>
              <w:t> č</w:t>
            </w:r>
            <w:r>
              <w:rPr>
                <w:spacing w:val="-4"/>
                <w:szCs w:val="20"/>
                <w:lang w:eastAsia="en-US"/>
              </w:rPr>
              <w:t xml:space="preserve">tvrtletí zastavilo (−2,7 mld. korun). Ve směru zlepšení bilance působil nejvíce obchod s Německem (viz Tabulka č. 6), Velkou Británií, Ruskem a Spojenými státy americkými. Významné </w:t>
            </w:r>
            <w:r w:rsidR="00B7665A">
              <w:rPr>
                <w:spacing w:val="-4"/>
                <w:szCs w:val="20"/>
                <w:lang w:eastAsia="en-US"/>
              </w:rPr>
              <w:t xml:space="preserve">zlepšení bylo zaznamenáno také </w:t>
            </w:r>
            <w:r>
              <w:rPr>
                <w:spacing w:val="-4"/>
                <w:szCs w:val="20"/>
                <w:lang w:eastAsia="en-US"/>
              </w:rPr>
              <w:t xml:space="preserve">u Francie, Ukrajiny, Švédska nebo Dánska. Naopak velmi hluboké bylo prohloubení deficitu obchodu s Čínou a zhoršila se také bilance s Polskem, Španělskem, Itálií či Norskem. </w:t>
            </w:r>
          </w:p>
        </w:tc>
      </w:tr>
      <w:tr w:rsidR="003B7AFA" w14:paraId="6FA1E6F6" w14:textId="77777777" w:rsidTr="003B7AFA">
        <w:trPr>
          <w:trHeight w:val="145"/>
        </w:trPr>
        <w:tc>
          <w:tcPr>
            <w:tcW w:w="1748" w:type="dxa"/>
          </w:tcPr>
          <w:p w14:paraId="25A73A41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Ke zvyšování přebytku přispívala nejvíce motorová vozidla.</w:t>
            </w:r>
          </w:p>
        </w:tc>
        <w:tc>
          <w:tcPr>
            <w:tcW w:w="252" w:type="dxa"/>
          </w:tcPr>
          <w:p w14:paraId="1B728471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134F98B4" w14:textId="77777777" w:rsidR="003B7AFA" w:rsidRPr="002971BF" w:rsidRDefault="003B7AFA" w:rsidP="003B7AFA">
            <w:pPr>
              <w:spacing w:after="180"/>
              <w:rPr>
                <w:spacing w:val="-4"/>
                <w:szCs w:val="20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Meziroční stagnaci salda bilance zahraničního obchodu ukazuje také pohled na zbožovou strukturu bilance, kde bylo její zlepšení zaznamenáno asi u poloviny oddílů. Ve směru </w:t>
            </w:r>
            <w:r>
              <w:rPr>
                <w:spacing w:val="-4"/>
                <w:lang w:eastAsia="en-US"/>
              </w:rPr>
              <w:lastRenderedPageBreak/>
              <w:t xml:space="preserve">meziročního zlepšení bilance zahraničního obchodu v 1. čtvrtletí působil se značnou převahou zejména obchod s motorovými vozidly (viz Tabulka č. 5). Zlepšovalo se také saldo obchodu s elektřinou, plynem, párou a klimatizovaným vzduchem, ropou a zemním plynem nebo počítači, elektronickými a optickými přístroji a zařízeními. Naopak výrazně ve směru zhoršení bilance působil obchod s kovodělnými výrobky a elektrickými zařízeními. Zhoršení bylo zaznamenáno také u chemických látek a přípravků, produktů zemědělství a myslivosti, nebo potravinářských výrobků.  </w:t>
            </w:r>
          </w:p>
        </w:tc>
      </w:tr>
      <w:tr w:rsidR="003B7AFA" w14:paraId="78FBD050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312666B3" w14:textId="77777777" w:rsidR="003B7AFA" w:rsidRDefault="003B7AFA" w:rsidP="003B7AFA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Tabulka č. 5 Oddíly klasifikace CPA s největším </w:t>
            </w:r>
          </w:p>
          <w:p w14:paraId="293EBA45" w14:textId="77777777" w:rsidR="003B7AFA" w:rsidRDefault="003B7AFA" w:rsidP="003B7AFA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vlivem na vývoj bilance zahraničního obchodu se zbožím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  <w:tc>
          <w:tcPr>
            <w:tcW w:w="57" w:type="dxa"/>
          </w:tcPr>
          <w:p w14:paraId="667CA95A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5779DC0D" w14:textId="77777777" w:rsidR="003B7AFA" w:rsidRDefault="003B7AFA" w:rsidP="003B7AFA">
            <w:pPr>
              <w:spacing w:after="0"/>
              <w:jc w:val="left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Tabulka č. 6 Země s největším vlivem na vývoj bilance zahraničního obchodu se zbožím v 1. čtvrtletí 2025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en-US"/>
              </w:rPr>
              <w:t>(meziročně)</w:t>
            </w:r>
          </w:p>
        </w:tc>
      </w:tr>
      <w:tr w:rsidR="003B7AFA" w14:paraId="1A7D39D0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tbl>
            <w:tblPr>
              <w:tblW w:w="482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700"/>
            </w:tblGrid>
            <w:tr w:rsidR="003B7AFA" w:rsidRPr="001F4BF2" w14:paraId="4F7A86A2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374F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BE55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</w:tr>
            <w:tr w:rsidR="003B7AFA" w:rsidRPr="001F4BF2" w14:paraId="17CC26D8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BE5F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Motorová vozidla (kromě motocyklů) a díly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325C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+24,5</w:t>
                  </w:r>
                </w:p>
              </w:tc>
            </w:tr>
            <w:tr w:rsidR="003B7AFA" w:rsidRPr="001F4BF2" w14:paraId="4E1D92C5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FAFC1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Elektřina, plyn, pára a klimatizovaný vzduch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6E7F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+5,2</w:t>
                  </w:r>
                </w:p>
              </w:tc>
            </w:tr>
            <w:tr w:rsidR="003B7AFA" w:rsidRPr="001F4BF2" w14:paraId="7807AEC1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477A4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Ropa a zemní plyn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EB3E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+3,8</w:t>
                  </w:r>
                </w:p>
              </w:tc>
            </w:tr>
            <w:tr w:rsidR="003B7AFA" w:rsidRPr="001F4BF2" w14:paraId="1FC55241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8112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Počítače, elektron. a opt. přístroje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70CD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+2,0</w:t>
                  </w:r>
                </w:p>
              </w:tc>
            </w:tr>
            <w:tr w:rsidR="003B7AFA" w:rsidRPr="001F4BF2" w14:paraId="7F39DF15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144A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Pryžové a plastové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4A27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+1,4</w:t>
                  </w:r>
                </w:p>
              </w:tc>
            </w:tr>
            <w:tr w:rsidR="003B7AFA" w:rsidRPr="001F4BF2" w14:paraId="61766178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034B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Koks a rafinované ropné produkty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450A3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+1,0</w:t>
                  </w:r>
                </w:p>
              </w:tc>
            </w:tr>
            <w:tr w:rsidR="003B7AFA" w:rsidRPr="001F4BF2" w14:paraId="64796B0E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613C9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Usně a související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1BBA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1,2</w:t>
                  </w:r>
                </w:p>
              </w:tc>
            </w:tr>
            <w:tr w:rsidR="003B7AFA" w:rsidRPr="001F4BF2" w14:paraId="0DA73E16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CF36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Základní kovy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328F7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1,4</w:t>
                  </w:r>
                </w:p>
              </w:tc>
            </w:tr>
            <w:tr w:rsidR="003B7AFA" w:rsidRPr="001F4BF2" w14:paraId="27092C98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587D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Oděvy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A1A2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1,9</w:t>
                  </w:r>
                </w:p>
              </w:tc>
            </w:tr>
            <w:tr w:rsidR="003B7AFA" w:rsidRPr="001F4BF2" w14:paraId="40D5021B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09D6F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Ostatní výrobky zpracovatelského průmyslu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4797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1,9</w:t>
                  </w:r>
                </w:p>
              </w:tc>
            </w:tr>
            <w:tr w:rsidR="003B7AFA" w:rsidRPr="001F4BF2" w14:paraId="7A2D7AA2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E95E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Potravinářské výrobky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9D141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2,2</w:t>
                  </w:r>
                </w:p>
              </w:tc>
            </w:tr>
            <w:tr w:rsidR="003B7AFA" w:rsidRPr="001F4BF2" w14:paraId="341D472D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698C1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Produkty zemědělství a myslivosti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F005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2,3</w:t>
                  </w:r>
                </w:p>
              </w:tc>
            </w:tr>
            <w:tr w:rsidR="003B7AFA" w:rsidRPr="001F4BF2" w14:paraId="6129BAB5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051F4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Chemické látky a přípravky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94D7DA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4,0</w:t>
                  </w:r>
                </w:p>
              </w:tc>
            </w:tr>
            <w:tr w:rsidR="003B7AFA" w:rsidRPr="001F4BF2" w14:paraId="2A8EEBF6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C9CE7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Elektrická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C1A0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11,7</w:t>
                  </w:r>
                </w:p>
              </w:tc>
            </w:tr>
            <w:tr w:rsidR="003B7AFA" w:rsidRPr="001F4BF2" w14:paraId="7473301C" w14:textId="77777777" w:rsidTr="003B7AFA">
              <w:trPr>
                <w:trHeight w:val="255"/>
              </w:trPr>
              <w:tc>
                <w:tcPr>
                  <w:tcW w:w="4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F146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Kovodělné výrobky kromě strojů a zařízení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EC40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12,2</w:t>
                  </w:r>
                </w:p>
              </w:tc>
            </w:tr>
          </w:tbl>
          <w:p w14:paraId="02098DC6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57" w:type="dxa"/>
          </w:tcPr>
          <w:p w14:paraId="4390921D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tbl>
            <w:tblPr>
              <w:tblW w:w="4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71"/>
              <w:gridCol w:w="700"/>
            </w:tblGrid>
            <w:tr w:rsidR="003B7AFA" w:rsidRPr="001F4BF2" w14:paraId="0B319CE6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22A5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ascii="Calibri" w:hAnsi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E56B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mld. Kč</w:t>
                  </w:r>
                </w:p>
              </w:tc>
            </w:tr>
            <w:tr w:rsidR="003B7AFA" w:rsidRPr="001F4BF2" w14:paraId="5EE1A3B5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5CE50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Německo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BA765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+17,2</w:t>
                  </w:r>
                </w:p>
              </w:tc>
            </w:tr>
            <w:tr w:rsidR="003B7AFA" w:rsidRPr="001F4BF2" w14:paraId="485BC6EA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244AD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Velká Británie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1663C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+9,4</w:t>
                  </w:r>
                </w:p>
              </w:tc>
            </w:tr>
            <w:tr w:rsidR="003B7AFA" w:rsidRPr="001F4BF2" w14:paraId="2C809CA7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AE4EA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Rusko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C99AE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+8,7</w:t>
                  </w:r>
                </w:p>
              </w:tc>
            </w:tr>
            <w:tr w:rsidR="003B7AFA" w:rsidRPr="001F4BF2" w14:paraId="79D425D5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6707B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Spojené státy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americké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6194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+3,9</w:t>
                  </w:r>
                </w:p>
              </w:tc>
            </w:tr>
            <w:tr w:rsidR="003B7AFA" w:rsidRPr="001F4BF2" w14:paraId="08978218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C5E4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Francie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AAEF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+3,5</w:t>
                  </w:r>
                </w:p>
              </w:tc>
            </w:tr>
            <w:tr w:rsidR="003B7AFA" w:rsidRPr="001F4BF2" w14:paraId="0272C889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67AF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Švédsko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7D13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+3,4</w:t>
                  </w:r>
                </w:p>
              </w:tc>
            </w:tr>
            <w:tr w:rsidR="003B7AFA" w:rsidRPr="001F4BF2" w14:paraId="5C2A3636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3EC3E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Ukrajina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AAA0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+3,3</w:t>
                  </w:r>
                </w:p>
              </w:tc>
            </w:tr>
            <w:tr w:rsidR="003B7AFA" w:rsidRPr="001F4BF2" w14:paraId="78D9339D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E9872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Dánsko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B3DA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+3,0</w:t>
                  </w:r>
                </w:p>
              </w:tc>
            </w:tr>
            <w:tr w:rsidR="003B7AFA" w:rsidRPr="001F4BF2" w14:paraId="6D860D17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E0938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Izrael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47480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+2,9</w:t>
                  </w:r>
                </w:p>
              </w:tc>
            </w:tr>
            <w:tr w:rsidR="003B7AFA" w:rsidRPr="001F4BF2" w14:paraId="0CD94C9F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12D35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Tchaj-wan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01BDB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+2,5</w:t>
                  </w:r>
                </w:p>
              </w:tc>
            </w:tr>
            <w:tr w:rsidR="003B7AFA" w:rsidRPr="001F4BF2" w14:paraId="48FAE3B4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D1BC0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Norsko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E39C4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3,4</w:t>
                  </w:r>
                </w:p>
              </w:tc>
            </w:tr>
            <w:tr w:rsidR="003B7AFA" w:rsidRPr="001F4BF2" w14:paraId="3CFA3DD5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E3F83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Itálie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77D9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4,2</w:t>
                  </w:r>
                </w:p>
              </w:tc>
            </w:tr>
            <w:tr w:rsidR="003B7AFA" w:rsidRPr="001F4BF2" w14:paraId="4444A201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2F9C1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Španělsko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45819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4,5</w:t>
                  </w:r>
                </w:p>
              </w:tc>
            </w:tr>
            <w:tr w:rsidR="003B7AFA" w:rsidRPr="001F4BF2" w14:paraId="2F37DE71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7E1EC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Polsko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2E13F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7,1</w:t>
                  </w:r>
                </w:p>
              </w:tc>
            </w:tr>
            <w:tr w:rsidR="003B7AFA" w:rsidRPr="001F4BF2" w14:paraId="07154EA9" w14:textId="77777777" w:rsidTr="003B7AFA">
              <w:trPr>
                <w:trHeight w:val="255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D6381" w14:textId="77777777" w:rsidR="003B7AFA" w:rsidRPr="001F4BF2" w:rsidRDefault="003B7AFA" w:rsidP="003B7AFA">
                  <w:pPr>
                    <w:spacing w:after="0" w:line="240" w:lineRule="auto"/>
                    <w:jc w:val="lef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Čína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F11A8" w14:textId="77777777" w:rsidR="003B7AFA" w:rsidRPr="001F4BF2" w:rsidRDefault="003B7AFA" w:rsidP="003B7AFA">
                  <w:pPr>
                    <w:spacing w:after="0" w:line="240" w:lineRule="auto"/>
                    <w:jc w:val="right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−</w:t>
                  </w:r>
                  <w:r w:rsidRPr="001F4BF2">
                    <w:rPr>
                      <w:rFonts w:cs="Arial"/>
                      <w:color w:val="000000"/>
                      <w:sz w:val="16"/>
                      <w:szCs w:val="16"/>
                    </w:rPr>
                    <w:t>21,0</w:t>
                  </w:r>
                </w:p>
              </w:tc>
            </w:tr>
          </w:tbl>
          <w:p w14:paraId="5777657C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</w:tr>
      <w:tr w:rsidR="003B7AFA" w14:paraId="4392C1B2" w14:textId="77777777" w:rsidTr="003B7AFA">
        <w:trPr>
          <w:trHeight w:val="170"/>
        </w:trPr>
        <w:tc>
          <w:tcPr>
            <w:tcW w:w="4811" w:type="dxa"/>
            <w:gridSpan w:val="3"/>
            <w:hideMark/>
          </w:tcPr>
          <w:p w14:paraId="511FAC64" w14:textId="77777777" w:rsidR="003B7AFA" w:rsidRDefault="003B7AFA" w:rsidP="003B7AFA">
            <w:pPr>
              <w:jc w:val="right"/>
              <w:rPr>
                <w:spacing w:val="-4"/>
                <w:sz w:val="16"/>
                <w:szCs w:val="16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  <w:tc>
          <w:tcPr>
            <w:tcW w:w="57" w:type="dxa"/>
          </w:tcPr>
          <w:p w14:paraId="47254B46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</w:p>
        </w:tc>
        <w:tc>
          <w:tcPr>
            <w:tcW w:w="4809" w:type="dxa"/>
            <w:hideMark/>
          </w:tcPr>
          <w:p w14:paraId="7CC59930" w14:textId="77777777" w:rsidR="003B7AFA" w:rsidRDefault="003B7AFA" w:rsidP="003B7AFA">
            <w:pPr>
              <w:spacing w:after="0"/>
              <w:ind w:right="21"/>
              <w:jc w:val="right"/>
              <w:rPr>
                <w:spacing w:val="-4"/>
                <w:lang w:eastAsia="en-US"/>
              </w:rPr>
            </w:pPr>
            <w:r>
              <w:rPr>
                <w:spacing w:val="-4"/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2D694070" w14:textId="77777777" w:rsidTr="003B7AFA">
        <w:trPr>
          <w:trHeight w:val="170"/>
        </w:trPr>
        <w:tc>
          <w:tcPr>
            <w:tcW w:w="1748" w:type="dxa"/>
          </w:tcPr>
          <w:p w14:paraId="701D9BDC" w14:textId="77777777" w:rsidR="003B7AFA" w:rsidRDefault="003B7AFA" w:rsidP="003B7AFA">
            <w:pPr>
              <w:pStyle w:val="Marginlie"/>
              <w:rPr>
                <w:lang w:eastAsia="en-US"/>
              </w:rPr>
            </w:pPr>
          </w:p>
        </w:tc>
        <w:tc>
          <w:tcPr>
            <w:tcW w:w="252" w:type="dxa"/>
          </w:tcPr>
          <w:p w14:paraId="3AF12ABA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5100F950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Graf č. 9 Vývoz a dovoz zboží </w:t>
            </w:r>
            <w:r>
              <w:rPr>
                <w:rFonts w:cs="Arial"/>
                <w:bCs/>
                <w:color w:val="000000"/>
                <w:szCs w:val="20"/>
                <w:lang w:eastAsia="en-US"/>
              </w:rPr>
              <w:t>(meziročně v %)</w:t>
            </w: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a bilance zahraničního obchodu se zbožím </w:t>
            </w:r>
            <w:r>
              <w:rPr>
                <w:rFonts w:cs="Arial"/>
                <w:bCs/>
                <w:color w:val="000000"/>
                <w:szCs w:val="20"/>
                <w:lang w:eastAsia="en-US"/>
              </w:rPr>
              <w:t>(v mld. korun, pravá osa)</w:t>
            </w: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</w:p>
        </w:tc>
      </w:tr>
      <w:tr w:rsidR="003B7AFA" w14:paraId="33147FE8" w14:textId="77777777" w:rsidTr="003B7AFA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748" w:type="dxa"/>
            <w:vMerge/>
          </w:tcPr>
          <w:p w14:paraId="39D9E261" w14:textId="77777777" w:rsidR="003B7AFA" w:rsidRDefault="003B7AFA" w:rsidP="003B7AFA">
            <w:pPr>
              <w:pStyle w:val="Marginlie"/>
              <w:rPr>
                <w:lang w:eastAsia="en-US"/>
              </w:rPr>
            </w:pPr>
          </w:p>
        </w:tc>
        <w:tc>
          <w:tcPr>
            <w:tcW w:w="252" w:type="dxa"/>
            <w:vMerge/>
          </w:tcPr>
          <w:p w14:paraId="76CE66F8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67514016" w14:textId="77777777" w:rsidR="003B7AFA" w:rsidRDefault="003B7AFA" w:rsidP="003B7AFA">
            <w:pPr>
              <w:spacing w:after="0"/>
              <w:rPr>
                <w:spacing w:val="-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6D8541E" wp14:editId="141FE907">
                  <wp:extent cx="4752000" cy="3492000"/>
                  <wp:effectExtent l="0" t="0" r="0" b="0"/>
                  <wp:docPr id="24" name="Graf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B7AFA" w14:paraId="28B8E901" w14:textId="77777777" w:rsidTr="003B7AFA">
        <w:trPr>
          <w:trHeight w:val="170"/>
        </w:trPr>
        <w:tc>
          <w:tcPr>
            <w:tcW w:w="1748" w:type="dxa"/>
            <w:vMerge/>
          </w:tcPr>
          <w:p w14:paraId="347BC10C" w14:textId="77777777" w:rsidR="003B7AFA" w:rsidRDefault="003B7AFA" w:rsidP="003B7AFA">
            <w:pPr>
              <w:pStyle w:val="Marginlie"/>
              <w:rPr>
                <w:lang w:eastAsia="en-US"/>
              </w:rPr>
            </w:pPr>
          </w:p>
        </w:tc>
        <w:tc>
          <w:tcPr>
            <w:tcW w:w="252" w:type="dxa"/>
            <w:vMerge/>
          </w:tcPr>
          <w:p w14:paraId="0AA9B411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77" w:type="dxa"/>
            <w:gridSpan w:val="3"/>
          </w:tcPr>
          <w:p w14:paraId="2B6DA753" w14:textId="77777777" w:rsidR="003B7AFA" w:rsidRDefault="003B7AFA" w:rsidP="003B7AFA">
            <w:pPr>
              <w:rPr>
                <w:spacing w:val="-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bookmarkEnd w:id="3"/>
      <w:bookmarkEnd w:id="4"/>
      <w:bookmarkEnd w:id="5"/>
    </w:tbl>
    <w:p w14:paraId="58CF9AA3" w14:textId="77777777" w:rsidR="003B7AFA" w:rsidRDefault="003B7AFA" w:rsidP="003B7AFA">
      <w:pPr>
        <w:spacing w:after="0" w:line="240" w:lineRule="auto"/>
        <w:jc w:val="left"/>
        <w:rPr>
          <w:rFonts w:eastAsia="MS Gothic"/>
          <w:bCs/>
          <w:color w:val="71818C"/>
          <w:sz w:val="2"/>
          <w:szCs w:val="2"/>
        </w:rPr>
      </w:pPr>
    </w:p>
    <w:p w14:paraId="2F6C3FCC" w14:textId="77777777" w:rsidR="003B7AFA" w:rsidRDefault="003B7AFA" w:rsidP="003B7AFA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</w:rPr>
      </w:pPr>
      <w:bookmarkStart w:id="6" w:name="_GoBack"/>
      <w:bookmarkEnd w:id="6"/>
    </w:p>
    <w:bookmarkEnd w:id="0"/>
    <w:sectPr w:rsidR="003B7AFA" w:rsidSect="00FD5EBB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5941021C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FD5EBB">
      <w:rPr>
        <w:szCs w:val="16"/>
      </w:rPr>
      <w:t>22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1209ACAD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FD5EBB">
      <w:rPr>
        <w:rStyle w:val="ZpatChar"/>
        <w:szCs w:val="16"/>
      </w:rPr>
      <w:t>21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273B7B20" w14:textId="77777777" w:rsidR="00A04CEF" w:rsidRPr="001F1881" w:rsidRDefault="00A04CEF" w:rsidP="003B7AFA">
      <w:pPr>
        <w:pStyle w:val="Textpoznpodarou"/>
        <w:rPr>
          <w:rFonts w:cs="Arial"/>
          <w:iCs/>
          <w:sz w:val="16"/>
          <w:szCs w:val="16"/>
        </w:rPr>
      </w:pPr>
      <w:r w:rsidRPr="00B6522D">
        <w:rPr>
          <w:rStyle w:val="Znakapoznpodarou"/>
          <w:rFonts w:cs="Arial"/>
          <w:i/>
          <w:sz w:val="16"/>
          <w:szCs w:val="16"/>
        </w:rPr>
        <w:footnoteRef/>
      </w:r>
      <w:r w:rsidRPr="00B6522D">
        <w:rPr>
          <w:rFonts w:cs="Arial"/>
          <w:i/>
          <w:iCs/>
          <w:sz w:val="16"/>
          <w:szCs w:val="16"/>
        </w:rPr>
        <w:t xml:space="preserve"> </w:t>
      </w:r>
      <w:r w:rsidRPr="00B6522D">
        <w:rPr>
          <w:rStyle w:val="Zdraznn"/>
          <w:rFonts w:cs="Arial"/>
          <w:i w:val="0"/>
          <w:sz w:val="16"/>
          <w:szCs w:val="16"/>
          <w:bdr w:val="none" w:sz="0" w:space="0" w:color="auto" w:frame="1"/>
          <w:shd w:val="clear" w:color="auto" w:fill="FFFFFF"/>
        </w:rPr>
        <w:t>Údaje za zahraniční obchod se zbožím jsou od roku 2020 přepočítávány aktualizovanou metodou založenou na vyšší míře detailu, viz </w:t>
      </w:r>
      <w:hyperlink r:id="rId1" w:history="1">
        <w:r w:rsidRPr="00B6522D">
          <w:rPr>
            <w:rStyle w:val="Hypertextovodkaz"/>
            <w:rFonts w:cs="Arial"/>
            <w:i/>
            <w:sz w:val="16"/>
            <w:szCs w:val="16"/>
            <w:bdr w:val="none" w:sz="0" w:space="0" w:color="auto" w:frame="1"/>
            <w:shd w:val="clear" w:color="auto" w:fill="FFFFFF"/>
          </w:rPr>
          <w:t>https://www.czso.cz/csu/czso/aktualizace-metody-propoctu-zahranicni-obchod-se-zbozim</w:t>
        </w:r>
      </w:hyperlink>
      <w:r w:rsidRPr="00B6522D">
        <w:rPr>
          <w:rStyle w:val="Hypertextovodkaz"/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. </w:t>
      </w:r>
      <w:r w:rsidRPr="00B6522D">
        <w:rPr>
          <w:sz w:val="16"/>
          <w:szCs w:val="16"/>
        </w:rPr>
        <w:t>Není-li uvedeno jinak, jsou všechny údaje</w:t>
      </w:r>
      <w:r w:rsidRPr="001F1881">
        <w:rPr>
          <w:sz w:val="16"/>
          <w:szCs w:val="16"/>
        </w:rPr>
        <w:t xml:space="preserve"> sezónně neočištěné a v běžných cenách.</w:t>
      </w:r>
    </w:p>
  </w:footnote>
  <w:footnote w:id="2">
    <w:p w14:paraId="2FEF3C57" w14:textId="77777777" w:rsidR="00A04CEF" w:rsidRPr="007B30CA" w:rsidRDefault="00A04CEF" w:rsidP="003B7AFA">
      <w:pPr>
        <w:pStyle w:val="Textpoznpodarou"/>
        <w:rPr>
          <w:sz w:val="16"/>
          <w:szCs w:val="16"/>
        </w:rPr>
      </w:pPr>
      <w:r w:rsidRPr="000A5229">
        <w:rPr>
          <w:rStyle w:val="Znakapoznpodarou"/>
          <w:sz w:val="16"/>
          <w:szCs w:val="16"/>
        </w:rPr>
        <w:footnoteRef/>
      </w:r>
      <w:r w:rsidRPr="000A5229">
        <w:rPr>
          <w:sz w:val="16"/>
          <w:szCs w:val="16"/>
        </w:rPr>
        <w:t xml:space="preserve"> Ceny vývozu zboží</w:t>
      </w:r>
      <w:r>
        <w:rPr>
          <w:sz w:val="16"/>
          <w:szCs w:val="16"/>
        </w:rPr>
        <w:t xml:space="preserve"> za 1. čtvrtletí 2025 meziročně vzrostly o 2,3 % a mezičtvrtletně se nezměnily.</w:t>
      </w:r>
      <w:r w:rsidRPr="007B30CA">
        <w:rPr>
          <w:sz w:val="16"/>
          <w:szCs w:val="16"/>
        </w:rPr>
        <w:t xml:space="preserve"> </w:t>
      </w:r>
    </w:p>
  </w:footnote>
  <w:footnote w:id="3">
    <w:p w14:paraId="07EA948D" w14:textId="77777777" w:rsidR="00A04CEF" w:rsidRDefault="00A04CEF" w:rsidP="003B7AFA">
      <w:pPr>
        <w:pStyle w:val="Textpoznpodarou"/>
      </w:pPr>
      <w:r w:rsidRPr="007B30CA">
        <w:rPr>
          <w:rStyle w:val="Znakapoznpodarou"/>
          <w:sz w:val="16"/>
          <w:szCs w:val="16"/>
        </w:rPr>
        <w:footnoteRef/>
      </w:r>
      <w:r w:rsidRPr="007B30CA">
        <w:rPr>
          <w:sz w:val="16"/>
          <w:szCs w:val="16"/>
        </w:rPr>
        <w:t xml:space="preserve"> Zrychlení přírůstku v letošním 1. kvartálu bývá spojováno i se snahou o předzásobení v očekávání zavedení cel</w:t>
      </w:r>
      <w:r>
        <w:rPr>
          <w:sz w:val="16"/>
          <w:szCs w:val="16"/>
        </w:rPr>
        <w:t>, ale v</w:t>
      </w:r>
      <w:r w:rsidRPr="007B30CA">
        <w:rPr>
          <w:sz w:val="16"/>
          <w:szCs w:val="16"/>
        </w:rPr>
        <w:t>ývoz do USA značně posiloval po celý loňský rok.</w:t>
      </w:r>
    </w:p>
  </w:footnote>
  <w:footnote w:id="4">
    <w:p w14:paraId="4D518883" w14:textId="77777777" w:rsidR="00A04CEF" w:rsidRPr="000A5229" w:rsidRDefault="00A04CEF" w:rsidP="003B7AFA">
      <w:pPr>
        <w:pStyle w:val="Textpoznpodarou"/>
        <w:rPr>
          <w:sz w:val="16"/>
          <w:szCs w:val="16"/>
        </w:rPr>
      </w:pPr>
      <w:r w:rsidRPr="000A5229">
        <w:rPr>
          <w:rStyle w:val="Znakapoznpodarou"/>
          <w:sz w:val="16"/>
          <w:szCs w:val="16"/>
        </w:rPr>
        <w:footnoteRef/>
      </w:r>
      <w:r w:rsidRPr="000A5229">
        <w:rPr>
          <w:sz w:val="16"/>
          <w:szCs w:val="16"/>
        </w:rPr>
        <w:t xml:space="preserve"> Ceny dovozu </w:t>
      </w:r>
      <w:r>
        <w:rPr>
          <w:sz w:val="16"/>
          <w:szCs w:val="16"/>
        </w:rPr>
        <w:t>v 1</w:t>
      </w:r>
      <w:r w:rsidRPr="000A5229">
        <w:rPr>
          <w:sz w:val="16"/>
          <w:szCs w:val="16"/>
        </w:rPr>
        <w:t xml:space="preserve">. čtvrtletí meziročně </w:t>
      </w:r>
      <w:r>
        <w:rPr>
          <w:sz w:val="16"/>
          <w:szCs w:val="16"/>
        </w:rPr>
        <w:t>vzrostly o 2,2 % a mezičtvrtletně o 0,2 %.</w:t>
      </w:r>
    </w:p>
  </w:footnote>
  <w:footnote w:id="5">
    <w:p w14:paraId="4BEEF8A2" w14:textId="77777777" w:rsidR="00A04CEF" w:rsidRPr="00370717" w:rsidRDefault="00A04CEF" w:rsidP="003B7AFA">
      <w:pPr>
        <w:pStyle w:val="Textpoznpodarou"/>
        <w:rPr>
          <w:sz w:val="16"/>
          <w:szCs w:val="16"/>
        </w:rPr>
      </w:pPr>
      <w:r w:rsidRPr="00370717">
        <w:rPr>
          <w:rStyle w:val="Znakapoznpodarou"/>
          <w:sz w:val="16"/>
          <w:szCs w:val="16"/>
        </w:rPr>
        <w:footnoteRef/>
      </w:r>
      <w:r w:rsidRPr="00370717">
        <w:rPr>
          <w:sz w:val="16"/>
          <w:szCs w:val="16"/>
        </w:rPr>
        <w:t xml:space="preserve"> </w:t>
      </w:r>
      <w:r>
        <w:rPr>
          <w:sz w:val="16"/>
          <w:szCs w:val="16"/>
        </w:rPr>
        <w:t>Ve zvýšené míře se dovážely baterie, zejména do elektromobilů.</w:t>
      </w:r>
    </w:p>
  </w:footnote>
  <w:footnote w:id="6">
    <w:p w14:paraId="46F1FF2E" w14:textId="2D01DE5D" w:rsidR="00A04CEF" w:rsidRPr="00B7665A" w:rsidRDefault="00A04CEF">
      <w:pPr>
        <w:pStyle w:val="Textpoznpodarou"/>
        <w:rPr>
          <w:sz w:val="16"/>
          <w:szCs w:val="16"/>
        </w:rPr>
      </w:pPr>
      <w:r w:rsidRPr="00B7665A">
        <w:rPr>
          <w:rStyle w:val="Znakapoznpodarou"/>
          <w:sz w:val="16"/>
          <w:szCs w:val="16"/>
        </w:rPr>
        <w:footnoteRef/>
      </w:r>
      <w:r w:rsidRPr="00B7665A">
        <w:rPr>
          <w:sz w:val="16"/>
          <w:szCs w:val="16"/>
        </w:rPr>
        <w:t xml:space="preserve"> V loňském 1. čtvrtletí dosáhl přebytek rekordní úrovně.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EBB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aktualizace-metody-propoctu-zahranicni-obchod-se-zbozi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karolina_zabojnikova_czso_cz/Documents/Dokumenty/Anal&#253;za/Q/2025Q1/Makroanal&#253;za%20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324074074074073E-2"/>
          <c:y val="4.0005727376861394E-2"/>
          <c:w val="0.88059911616161612"/>
          <c:h val="0.76044243986254301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'Vnější vztahy'!$E$6</c:f>
              <c:strCache>
                <c:ptCount val="1"/>
                <c:pt idx="0">
                  <c:v>Bilance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  <a:effectLst/>
          </c:spPr>
          <c:invertIfNegative val="0"/>
          <c:cat>
            <c:multiLvlStrRef>
              <c:f>'Vnější vztahy'!$A$11:$B$31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'Vnější vztahy'!$E$11:$E$31</c:f>
              <c:numCache>
                <c:formatCode>0.0</c:formatCode>
                <c:ptCount val="21"/>
                <c:pt idx="0">
                  <c:v>36.182428658999996</c:v>
                </c:pt>
                <c:pt idx="1">
                  <c:v>9.2911503559999993</c:v>
                </c:pt>
                <c:pt idx="2">
                  <c:v>55.286836668000007</c:v>
                </c:pt>
                <c:pt idx="3">
                  <c:v>78.879761297999991</c:v>
                </c:pt>
                <c:pt idx="4">
                  <c:v>60.916821217999995</c:v>
                </c:pt>
                <c:pt idx="5">
                  <c:v>13.848192235000001</c:v>
                </c:pt>
                <c:pt idx="6">
                  <c:v>-54.700282055000002</c:v>
                </c:pt>
                <c:pt idx="7">
                  <c:v>-29.269374235000001</c:v>
                </c:pt>
                <c:pt idx="8">
                  <c:v>-12.635912592</c:v>
                </c:pt>
                <c:pt idx="9">
                  <c:v>-73.225200095999995</c:v>
                </c:pt>
                <c:pt idx="10">
                  <c:v>-64.314002961</c:v>
                </c:pt>
                <c:pt idx="11">
                  <c:v>-54.639469009000003</c:v>
                </c:pt>
                <c:pt idx="12">
                  <c:v>40.885161205999999</c:v>
                </c:pt>
                <c:pt idx="13">
                  <c:v>36.180839551999995</c:v>
                </c:pt>
                <c:pt idx="14">
                  <c:v>-1.2235418870000001</c:v>
                </c:pt>
                <c:pt idx="15">
                  <c:v>46.660049057999998</c:v>
                </c:pt>
                <c:pt idx="16">
                  <c:v>83.039238627000003</c:v>
                </c:pt>
                <c:pt idx="17">
                  <c:v>71.788561597000012</c:v>
                </c:pt>
                <c:pt idx="18">
                  <c:v>28.060848259</c:v>
                </c:pt>
                <c:pt idx="19">
                  <c:v>42.766267121999995</c:v>
                </c:pt>
                <c:pt idx="20">
                  <c:v>83.015868870999995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B4-418A-AAEC-41AD0477D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842150016"/>
        <c:axId val="1842137120"/>
      </c:barChart>
      <c:lineChart>
        <c:grouping val="standard"/>
        <c:varyColors val="0"/>
        <c:ser>
          <c:idx val="0"/>
          <c:order val="0"/>
          <c:tx>
            <c:strRef>
              <c:f>'Vnější vztahy'!$C$6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9"/>
            <c:spPr>
              <a:solidFill>
                <a:srgbClr val="0071BC"/>
              </a:solidFill>
              <a:ln w="9525">
                <a:noFill/>
              </a:ln>
              <a:effectLst/>
            </c:spPr>
          </c:marker>
          <c:cat>
            <c:multiLvlStrRef>
              <c:f>'Vnější vztahy'!$A$11:$B$31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'Vnější vztahy'!$C$11:$C$31</c:f>
              <c:numCache>
                <c:formatCode>0.0</c:formatCode>
                <c:ptCount val="21"/>
                <c:pt idx="0">
                  <c:v>-6.4135636115999972</c:v>
                </c:pt>
                <c:pt idx="1">
                  <c:v>-25.037497579399997</c:v>
                </c:pt>
                <c:pt idx="2">
                  <c:v>-3.5785611728999953</c:v>
                </c:pt>
                <c:pt idx="3">
                  <c:v>7.411852265899995</c:v>
                </c:pt>
                <c:pt idx="4">
                  <c:v>10.962313304399999</c:v>
                </c:pt>
                <c:pt idx="5">
                  <c:v>41.981094956100009</c:v>
                </c:pt>
                <c:pt idx="6">
                  <c:v>3.4515742189000065</c:v>
                </c:pt>
                <c:pt idx="7">
                  <c:v>2.749198525500006</c:v>
                </c:pt>
                <c:pt idx="8">
                  <c:v>8.0064988441999958</c:v>
                </c:pt>
                <c:pt idx="9">
                  <c:v>11.287163968300007</c:v>
                </c:pt>
                <c:pt idx="10">
                  <c:v>22.470879917399998</c:v>
                </c:pt>
                <c:pt idx="11">
                  <c:v>13.234980039600003</c:v>
                </c:pt>
                <c:pt idx="12">
                  <c:v>10.691327997000002</c:v>
                </c:pt>
                <c:pt idx="13">
                  <c:v>0.90534101039999371</c:v>
                </c:pt>
                <c:pt idx="14">
                  <c:v>-6.7264620790000009</c:v>
                </c:pt>
                <c:pt idx="15">
                  <c:v>-1.1504207308999952</c:v>
                </c:pt>
                <c:pt idx="16">
                  <c:v>-0.29047972690000279</c:v>
                </c:pt>
                <c:pt idx="17" formatCode="General">
                  <c:v>4.3557410849000036</c:v>
                </c:pt>
                <c:pt idx="18" formatCode="General">
                  <c:v>10.418200127099993</c:v>
                </c:pt>
                <c:pt idx="19" formatCode="General">
                  <c:v>4.596495509600004</c:v>
                </c:pt>
                <c:pt idx="20" formatCode="General">
                  <c:v>6.2383240693000062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B4-418A-AAEC-41AD0477D3A3}"/>
            </c:ext>
          </c:extLst>
        </c:ser>
        <c:ser>
          <c:idx val="1"/>
          <c:order val="1"/>
          <c:tx>
            <c:strRef>
              <c:f>'Vnější vztahy'!$D$6</c:f>
              <c:strCache>
                <c:ptCount val="1"/>
                <c:pt idx="0">
                  <c:v>Dovoz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9"/>
            <c:spPr>
              <a:solidFill>
                <a:srgbClr val="BD1B21"/>
              </a:solidFill>
              <a:ln w="9525">
                <a:noFill/>
              </a:ln>
              <a:effectLst/>
            </c:spPr>
          </c:marker>
          <c:cat>
            <c:multiLvlStrRef>
              <c:f>'Vnější vztahy'!$A$11:$B$31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'Vnější vztahy'!$D$11:$D$31</c:f>
              <c:numCache>
                <c:formatCode>0.0</c:formatCode>
                <c:ptCount val="21"/>
                <c:pt idx="0">
                  <c:v>-5.3981676209999989</c:v>
                </c:pt>
                <c:pt idx="1">
                  <c:v>-21.285728278400001</c:v>
                </c:pt>
                <c:pt idx="2">
                  <c:v>-6.8912364523999941</c:v>
                </c:pt>
                <c:pt idx="3">
                  <c:v>0.22314936540000474</c:v>
                </c:pt>
                <c:pt idx="4">
                  <c:v>8.4767312925000056</c:v>
                </c:pt>
                <c:pt idx="5">
                  <c:v>41.887499316600014</c:v>
                </c:pt>
                <c:pt idx="6">
                  <c:v>17.303793961099998</c:v>
                </c:pt>
                <c:pt idx="7">
                  <c:v>14.923030300799994</c:v>
                </c:pt>
                <c:pt idx="8">
                  <c:v>16.659765110899997</c:v>
                </c:pt>
                <c:pt idx="9">
                  <c:v>20.193090002000005</c:v>
                </c:pt>
                <c:pt idx="10">
                  <c:v>22.188267180799997</c:v>
                </c:pt>
                <c:pt idx="11">
                  <c:v>15.2991180633</c:v>
                </c:pt>
                <c:pt idx="12">
                  <c:v>5.5018043466999984</c:v>
                </c:pt>
                <c:pt idx="13">
                  <c:v>-8.2960208406999953</c:v>
                </c:pt>
                <c:pt idx="14">
                  <c:v>-11.801975368499996</c:v>
                </c:pt>
                <c:pt idx="15">
                  <c:v>-9.5344571271999996</c:v>
                </c:pt>
                <c:pt idx="16">
                  <c:v>-4.0799463495000055</c:v>
                </c:pt>
                <c:pt idx="17" formatCode="General">
                  <c:v>1.2534421651999992</c:v>
                </c:pt>
                <c:pt idx="18" formatCode="General">
                  <c:v>7.5379561156999983</c:v>
                </c:pt>
                <c:pt idx="19" formatCode="General">
                  <c:v>5.1523941088999976</c:v>
                </c:pt>
                <c:pt idx="20" formatCode="General">
                  <c:v>6.7246342530000049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B4-418A-AAEC-41AD0477D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1653648"/>
        <c:axId val="1621653232"/>
      </c:lineChart>
      <c:catAx>
        <c:axId val="162165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621653232"/>
        <c:crosses val="autoZero"/>
        <c:auto val="1"/>
        <c:lblAlgn val="ctr"/>
        <c:lblOffset val="100"/>
        <c:noMultiLvlLbl val="0"/>
      </c:catAx>
      <c:valAx>
        <c:axId val="1621653232"/>
        <c:scaling>
          <c:orientation val="minMax"/>
          <c:min val="-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621653648"/>
        <c:crosses val="autoZero"/>
        <c:crossBetween val="between"/>
      </c:valAx>
      <c:valAx>
        <c:axId val="1842137120"/>
        <c:scaling>
          <c:orientation val="minMax"/>
          <c:min val="-8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1842150016"/>
        <c:crosses val="max"/>
        <c:crossBetween val="between"/>
      </c:valAx>
      <c:catAx>
        <c:axId val="1842150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42137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7334595959595941E-2"/>
          <c:y val="0.9241869988545246"/>
          <c:w val="0.85464057239057234"/>
          <c:h val="5.3991695303550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8c0c86d-151e-4fca-b0d5-747e6692fa1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DB709-D2B2-4618-8046-34EAF66D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1295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