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93E" w:rsidRPr="007E0B70" w:rsidRDefault="009D493E" w:rsidP="009D493E">
      <w:pPr>
        <w:pStyle w:val="Nadpis1"/>
      </w:pPr>
      <w:bookmarkStart w:id="0" w:name="_Toc431994660"/>
      <w:bookmarkStart w:id="1" w:name="_Toc432579581"/>
      <w:r w:rsidRPr="007E0B70">
        <w:t>Úvod</w:t>
      </w:r>
      <w:bookmarkEnd w:id="0"/>
      <w:bookmarkEnd w:id="1"/>
    </w:p>
    <w:p w:rsidR="009D493E" w:rsidRDefault="009D493E" w:rsidP="009D493E">
      <w:pPr>
        <w:spacing w:before="60"/>
        <w:jc w:val="both"/>
      </w:pPr>
    </w:p>
    <w:p w:rsidR="009D493E" w:rsidRDefault="009D493E" w:rsidP="009D493E">
      <w:pPr>
        <w:spacing w:before="60"/>
        <w:jc w:val="both"/>
      </w:pPr>
      <w:r>
        <w:t>Publikace Školy a školská zařízení přináší základní údaje za oblast školství v České republice ve školním roce 2014/15. Představuje vybrané statistické ukazatele o počtu škol, tříd, dětí, žáků a studentů v českých školách, dále o nově přijatých do 1. ročníků, o absolventech škol v předchozím školním roce a o počtech pedagogických pracovníků. Údaje o žácích a studentech jsou prezentovány v četných členěních, především dle formy vzdělávání, věku, pohlaví, státního občanství apod., data o školách jsou v dispozici v členění dle zřizovatele, formy poskytovaného vzdělávání a kraje. Komentovaná část publikace nabízí shrnutí trendů v časových řadách za období posledních 10 let.</w:t>
      </w:r>
    </w:p>
    <w:p w:rsidR="009D493E" w:rsidRDefault="009D493E" w:rsidP="009D493E">
      <w:pPr>
        <w:jc w:val="both"/>
      </w:pPr>
      <w:r>
        <w:t>Součástí publikace je výčet užívaných pojmů a jejich definic.</w:t>
      </w:r>
    </w:p>
    <w:p w:rsidR="009D493E" w:rsidRDefault="009D493E" w:rsidP="009D493E">
      <w:pPr>
        <w:spacing w:before="60"/>
        <w:jc w:val="both"/>
      </w:pPr>
    </w:p>
    <w:p w:rsidR="009D493E" w:rsidRDefault="009D493E" w:rsidP="009D493E">
      <w:pPr>
        <w:spacing w:before="80"/>
        <w:jc w:val="both"/>
      </w:pPr>
      <w:r>
        <w:t>Převážná většina údajů v publikaci je získávána ze zdrojových souborů Ministerstva školství, mládeže a tělovýchovy České republiky (MŠMT). Údaje za školy v působnosti jiných resortů jsou získávány od Ministerstva obrany ČR a Ministerstva vnitra ČR.</w:t>
      </w:r>
    </w:p>
    <w:p w:rsidR="009D493E" w:rsidRDefault="009D493E" w:rsidP="009D493E">
      <w:pPr>
        <w:jc w:val="both"/>
      </w:pPr>
    </w:p>
    <w:p w:rsidR="009D493E" w:rsidRDefault="009D493E" w:rsidP="009D493E">
      <w:pPr>
        <w:jc w:val="both"/>
      </w:pPr>
    </w:p>
    <w:p w:rsidR="009D493E" w:rsidRDefault="009D493E" w:rsidP="009D493E">
      <w:pPr>
        <w:spacing w:after="120"/>
        <w:rPr>
          <w:b/>
        </w:rPr>
      </w:pPr>
      <w:r>
        <w:rPr>
          <w:b/>
        </w:rPr>
        <w:t>Důležité</w:t>
      </w:r>
      <w:r w:rsidRPr="00F841CD">
        <w:rPr>
          <w:b/>
        </w:rPr>
        <w:t xml:space="preserve"> odkazy:</w:t>
      </w:r>
    </w:p>
    <w:p w:rsidR="009D493E" w:rsidRDefault="009D493E" w:rsidP="009D493E">
      <w:pPr>
        <w:spacing w:before="60"/>
      </w:pPr>
      <w:r>
        <w:t xml:space="preserve">Sekce Školství na stránkách MŠMT ČR: </w:t>
      </w:r>
      <w:hyperlink r:id="rId5" w:history="1">
        <w:r w:rsidRPr="006325F1">
          <w:rPr>
            <w:rStyle w:val="Hypertextovodkaz"/>
            <w:rFonts w:eastAsia="MS Gothic"/>
          </w:rPr>
          <w:t>http://www.msmt.cz/vzdelavani/skolstvi-v-cr</w:t>
        </w:r>
      </w:hyperlink>
    </w:p>
    <w:p w:rsidR="009D493E" w:rsidRDefault="009D493E" w:rsidP="009D493E">
      <w:r>
        <w:t xml:space="preserve">Rozcestník statistických výstupů MŠMT ČR: </w:t>
      </w:r>
      <w:hyperlink r:id="rId6" w:history="1">
        <w:r w:rsidRPr="00E501F8">
          <w:rPr>
            <w:rStyle w:val="Hypertextovodkaz"/>
            <w:rFonts w:eastAsia="MS Gothic"/>
          </w:rPr>
          <w:t>https://www.czso.cz/csu/czso/ministerstvo-skolstvi-mladeze-a-telovychovy</w:t>
        </w:r>
      </w:hyperlink>
    </w:p>
    <w:p w:rsidR="009D493E" w:rsidRDefault="009D493E" w:rsidP="009D493E">
      <w:r w:rsidRPr="001958E9">
        <w:t>Klasifikace vzdělání ISCED-2011</w:t>
      </w:r>
      <w:r>
        <w:t xml:space="preserve">: </w:t>
      </w:r>
      <w:hyperlink r:id="rId7" w:history="1">
        <w:r w:rsidRPr="00872F2C">
          <w:rPr>
            <w:rStyle w:val="Hypertextovodkaz"/>
            <w:rFonts w:eastAsia="MS Gothic"/>
          </w:rPr>
          <w:t>https://www.czso.cz/csu/czso/klasifikace_vzdelani_cz_isced_2011</w:t>
        </w:r>
      </w:hyperlink>
    </w:p>
    <w:p w:rsidR="009D493E" w:rsidRDefault="009D493E" w:rsidP="009D493E"/>
    <w:p w:rsidR="009D493E" w:rsidRDefault="009D493E" w:rsidP="009D493E">
      <w:pPr>
        <w:pStyle w:val="Nadpis1"/>
      </w:pPr>
      <w:r>
        <w:br w:type="page"/>
      </w:r>
      <w:bookmarkStart w:id="2" w:name="_Toc431994661"/>
      <w:bookmarkStart w:id="3" w:name="_Toc432579582"/>
      <w:r>
        <w:lastRenderedPageBreak/>
        <w:t>Důležité pojmy a definice ze školského zákona</w:t>
      </w:r>
      <w:bookmarkEnd w:id="2"/>
      <w:bookmarkEnd w:id="3"/>
    </w:p>
    <w:p w:rsidR="009D493E" w:rsidRDefault="009D493E" w:rsidP="009D493E">
      <w:pPr>
        <w:pStyle w:val="Normlnweb"/>
        <w:spacing w:before="120" w:beforeAutospacing="0" w:after="240" w:afterAutospacing="0" w:line="288" w:lineRule="auto"/>
        <w:jc w:val="both"/>
        <w:rPr>
          <w:rFonts w:ascii="Arial" w:hAnsi="Arial" w:cs="Arial"/>
          <w:sz w:val="20"/>
          <w:szCs w:val="20"/>
        </w:rPr>
      </w:pPr>
      <w:r w:rsidRPr="00BD6300">
        <w:rPr>
          <w:rFonts w:ascii="Arial" w:hAnsi="Arial" w:cs="Arial"/>
          <w:sz w:val="20"/>
          <w:szCs w:val="20"/>
        </w:rPr>
        <w:t xml:space="preserve">Vzdělávací soustavu tvoří </w:t>
      </w:r>
      <w:r w:rsidRPr="00FE16BB">
        <w:rPr>
          <w:rFonts w:ascii="Arial" w:hAnsi="Arial" w:cs="Arial"/>
          <w:b/>
          <w:sz w:val="20"/>
          <w:szCs w:val="20"/>
        </w:rPr>
        <w:t>školy a školská zařízení</w:t>
      </w:r>
      <w:r>
        <w:rPr>
          <w:rFonts w:ascii="Arial" w:hAnsi="Arial" w:cs="Arial"/>
          <w:sz w:val="20"/>
          <w:szCs w:val="20"/>
        </w:rPr>
        <w:t>, kde získávají děti, žáci i studenti vzdělání.</w:t>
      </w:r>
      <w:r w:rsidRPr="00F14509">
        <w:rPr>
          <w:rFonts w:ascii="Arial" w:hAnsi="Arial" w:cs="Arial"/>
          <w:sz w:val="20"/>
          <w:szCs w:val="20"/>
        </w:rPr>
        <w:t xml:space="preserve"> K základním cílům vzdělávání patří naučit žáky učit se, vést je k logickému myšlení, naučit je účinně a</w:t>
      </w:r>
      <w:r>
        <w:rPr>
          <w:rFonts w:ascii="Arial" w:hAnsi="Arial" w:cs="Arial"/>
          <w:sz w:val="20"/>
          <w:szCs w:val="20"/>
        </w:rPr>
        <w:t> </w:t>
      </w:r>
      <w:r w:rsidRPr="00F14509">
        <w:rPr>
          <w:rFonts w:ascii="Arial" w:hAnsi="Arial" w:cs="Arial"/>
          <w:sz w:val="20"/>
          <w:szCs w:val="20"/>
        </w:rPr>
        <w:t>otevřeně komunikovat, naučit je schopnosti spolupracovat, naučit je zodpovědnosti k sobě samým i</w:t>
      </w:r>
      <w:r>
        <w:rPr>
          <w:rFonts w:ascii="Arial" w:hAnsi="Arial" w:cs="Arial"/>
          <w:sz w:val="20"/>
          <w:szCs w:val="20"/>
        </w:rPr>
        <w:t> </w:t>
      </w:r>
      <w:r w:rsidRPr="00F14509">
        <w:rPr>
          <w:rFonts w:ascii="Arial" w:hAnsi="Arial" w:cs="Arial"/>
          <w:sz w:val="20"/>
          <w:szCs w:val="20"/>
        </w:rPr>
        <w:t>k druhým, k</w:t>
      </w:r>
      <w:r>
        <w:rPr>
          <w:rFonts w:ascii="Arial" w:hAnsi="Arial" w:cs="Arial"/>
          <w:sz w:val="20"/>
          <w:szCs w:val="20"/>
        </w:rPr>
        <w:t> </w:t>
      </w:r>
      <w:r w:rsidRPr="00F14509">
        <w:rPr>
          <w:rFonts w:ascii="Arial" w:hAnsi="Arial" w:cs="Arial"/>
          <w:sz w:val="20"/>
          <w:szCs w:val="20"/>
        </w:rPr>
        <w:t xml:space="preserve">toleranci a ohleduplnosti k </w:t>
      </w:r>
      <w:r>
        <w:rPr>
          <w:rFonts w:ascii="Arial" w:hAnsi="Arial" w:cs="Arial"/>
          <w:sz w:val="20"/>
          <w:szCs w:val="20"/>
        </w:rPr>
        <w:t>ostatním</w:t>
      </w:r>
      <w:r w:rsidRPr="00F14509">
        <w:rPr>
          <w:rFonts w:ascii="Arial" w:hAnsi="Arial" w:cs="Arial"/>
          <w:sz w:val="20"/>
          <w:szCs w:val="20"/>
        </w:rPr>
        <w:t>, roz</w:t>
      </w:r>
      <w:r>
        <w:rPr>
          <w:rFonts w:ascii="Arial" w:hAnsi="Arial" w:cs="Arial"/>
          <w:sz w:val="20"/>
          <w:szCs w:val="20"/>
        </w:rPr>
        <w:t xml:space="preserve">víjet jejich vztahy k lidem, prostředí, </w:t>
      </w:r>
      <w:r w:rsidRPr="00F14509">
        <w:rPr>
          <w:rFonts w:ascii="Arial" w:hAnsi="Arial" w:cs="Arial"/>
          <w:sz w:val="20"/>
          <w:szCs w:val="20"/>
        </w:rPr>
        <w:t>přírodě. Naučit žáky aktivně rozvíjet a chránit fyzické, duševní a sociální zdraví a být za ně odpovědný. Naučit</w:t>
      </w:r>
      <w:r>
        <w:rPr>
          <w:rFonts w:ascii="Arial" w:hAnsi="Arial" w:cs="Arial"/>
          <w:sz w:val="20"/>
          <w:szCs w:val="20"/>
        </w:rPr>
        <w:t> </w:t>
      </w:r>
      <w:r w:rsidRPr="00F14509">
        <w:rPr>
          <w:rFonts w:ascii="Arial" w:hAnsi="Arial" w:cs="Arial"/>
          <w:sz w:val="20"/>
          <w:szCs w:val="20"/>
        </w:rPr>
        <w:t>je pochopit</w:t>
      </w:r>
      <w:r>
        <w:rPr>
          <w:rFonts w:ascii="Arial" w:hAnsi="Arial" w:cs="Arial"/>
          <w:sz w:val="20"/>
          <w:szCs w:val="20"/>
        </w:rPr>
        <w:t>,</w:t>
      </w:r>
      <w:r w:rsidRPr="00F14509">
        <w:rPr>
          <w:rFonts w:ascii="Arial" w:hAnsi="Arial" w:cs="Arial"/>
          <w:sz w:val="20"/>
          <w:szCs w:val="20"/>
        </w:rPr>
        <w:t xml:space="preserve"> co jsou jejich vlastní přednosti</w:t>
      </w:r>
      <w:r>
        <w:rPr>
          <w:rFonts w:ascii="Arial" w:hAnsi="Arial" w:cs="Arial"/>
          <w:sz w:val="20"/>
          <w:szCs w:val="20"/>
        </w:rPr>
        <w:t xml:space="preserve"> a</w:t>
      </w:r>
      <w:r w:rsidRPr="00F14509">
        <w:rPr>
          <w:rFonts w:ascii="Arial" w:hAnsi="Arial" w:cs="Arial"/>
          <w:sz w:val="20"/>
          <w:szCs w:val="20"/>
        </w:rPr>
        <w:t xml:space="preserve"> dovednosti</w:t>
      </w:r>
      <w:r>
        <w:rPr>
          <w:rFonts w:ascii="Arial" w:hAnsi="Arial" w:cs="Arial"/>
          <w:sz w:val="20"/>
          <w:szCs w:val="20"/>
        </w:rPr>
        <w:t xml:space="preserve"> tak</w:t>
      </w:r>
      <w:r w:rsidRPr="00F14509">
        <w:rPr>
          <w:rFonts w:ascii="Arial" w:hAnsi="Arial" w:cs="Arial"/>
          <w:sz w:val="20"/>
          <w:szCs w:val="20"/>
        </w:rPr>
        <w:t xml:space="preserve">, aby při rozhodování o </w:t>
      </w:r>
      <w:r>
        <w:rPr>
          <w:rFonts w:ascii="Arial" w:hAnsi="Arial" w:cs="Arial"/>
          <w:sz w:val="20"/>
          <w:szCs w:val="20"/>
        </w:rPr>
        <w:t>své</w:t>
      </w:r>
      <w:r w:rsidRPr="00F14509">
        <w:rPr>
          <w:rFonts w:ascii="Arial" w:hAnsi="Arial" w:cs="Arial"/>
          <w:sz w:val="20"/>
          <w:szCs w:val="20"/>
        </w:rPr>
        <w:t xml:space="preserve"> budoucí profesi, životě a dalším vzdělá</w:t>
      </w:r>
      <w:r>
        <w:rPr>
          <w:rFonts w:ascii="Arial" w:hAnsi="Arial" w:cs="Arial"/>
          <w:sz w:val="20"/>
          <w:szCs w:val="20"/>
        </w:rPr>
        <w:t>vá</w:t>
      </w:r>
      <w:r w:rsidRPr="00F14509">
        <w:rPr>
          <w:rFonts w:ascii="Arial" w:hAnsi="Arial" w:cs="Arial"/>
          <w:sz w:val="20"/>
          <w:szCs w:val="20"/>
        </w:rPr>
        <w:t>ní byli dobře připraveni.</w:t>
      </w:r>
    </w:p>
    <w:p w:rsidR="009D493E" w:rsidRPr="00F14509" w:rsidRDefault="009D493E" w:rsidP="009D493E">
      <w:pPr>
        <w:spacing w:before="120" w:after="120"/>
        <w:rPr>
          <w:rFonts w:cs="Arial"/>
          <w:szCs w:val="20"/>
        </w:rPr>
      </w:pPr>
      <w:r w:rsidRPr="00F14509">
        <w:rPr>
          <w:rFonts w:cs="Arial"/>
          <w:b/>
          <w:bCs/>
          <w:szCs w:val="20"/>
        </w:rPr>
        <w:t>Druhy škol</w:t>
      </w:r>
      <w:r w:rsidRPr="006C5812">
        <w:rPr>
          <w:rFonts w:cs="Arial"/>
          <w:b/>
          <w:bCs/>
          <w:szCs w:val="20"/>
        </w:rPr>
        <w:t>:</w:t>
      </w:r>
    </w:p>
    <w:p w:rsidR="009D493E" w:rsidRPr="00F14509" w:rsidRDefault="009D493E" w:rsidP="009D493E">
      <w:pPr>
        <w:numPr>
          <w:ilvl w:val="0"/>
          <w:numId w:val="1"/>
        </w:numPr>
        <w:ind w:left="714" w:hanging="357"/>
        <w:rPr>
          <w:rFonts w:cs="Arial"/>
          <w:szCs w:val="20"/>
        </w:rPr>
      </w:pPr>
      <w:r w:rsidRPr="00F14509">
        <w:rPr>
          <w:rFonts w:cs="Arial"/>
          <w:szCs w:val="20"/>
        </w:rPr>
        <w:t xml:space="preserve">mateřská škola </w:t>
      </w:r>
    </w:p>
    <w:p w:rsidR="009D493E" w:rsidRPr="00F14509" w:rsidRDefault="009D493E" w:rsidP="009D493E">
      <w:pPr>
        <w:numPr>
          <w:ilvl w:val="0"/>
          <w:numId w:val="1"/>
        </w:numPr>
        <w:ind w:left="714" w:hanging="357"/>
        <w:rPr>
          <w:rFonts w:cs="Arial"/>
          <w:szCs w:val="20"/>
        </w:rPr>
      </w:pPr>
      <w:r w:rsidRPr="00F14509">
        <w:rPr>
          <w:rFonts w:cs="Arial"/>
          <w:szCs w:val="20"/>
        </w:rPr>
        <w:t>základní škola</w:t>
      </w:r>
    </w:p>
    <w:p w:rsidR="009D493E" w:rsidRPr="00F14509" w:rsidRDefault="009D493E" w:rsidP="009D493E">
      <w:pPr>
        <w:numPr>
          <w:ilvl w:val="0"/>
          <w:numId w:val="1"/>
        </w:numPr>
        <w:ind w:left="714" w:hanging="357"/>
        <w:rPr>
          <w:rFonts w:cs="Arial"/>
          <w:szCs w:val="20"/>
        </w:rPr>
      </w:pPr>
      <w:r w:rsidRPr="00F14509">
        <w:rPr>
          <w:rFonts w:cs="Arial"/>
          <w:szCs w:val="20"/>
        </w:rPr>
        <w:t>střední škola (gymnázium, střední odborná škola a střední odborné učiliště)</w:t>
      </w:r>
    </w:p>
    <w:p w:rsidR="009D493E" w:rsidRPr="00F14509" w:rsidRDefault="009D493E" w:rsidP="009D493E">
      <w:pPr>
        <w:numPr>
          <w:ilvl w:val="0"/>
          <w:numId w:val="1"/>
        </w:numPr>
        <w:ind w:left="714" w:hanging="357"/>
        <w:rPr>
          <w:rFonts w:cs="Arial"/>
          <w:szCs w:val="20"/>
        </w:rPr>
      </w:pPr>
      <w:r w:rsidRPr="00F14509">
        <w:rPr>
          <w:rFonts w:cs="Arial"/>
          <w:szCs w:val="20"/>
        </w:rPr>
        <w:t>konzervatoř</w:t>
      </w:r>
    </w:p>
    <w:p w:rsidR="009D493E" w:rsidRDefault="009D493E" w:rsidP="009D493E">
      <w:pPr>
        <w:numPr>
          <w:ilvl w:val="0"/>
          <w:numId w:val="1"/>
        </w:numPr>
        <w:ind w:left="714" w:hanging="357"/>
        <w:rPr>
          <w:rFonts w:cs="Arial"/>
          <w:szCs w:val="20"/>
        </w:rPr>
      </w:pPr>
      <w:r w:rsidRPr="00F14509">
        <w:rPr>
          <w:rFonts w:cs="Arial"/>
          <w:szCs w:val="20"/>
        </w:rPr>
        <w:t>vyšší odborná škola</w:t>
      </w:r>
    </w:p>
    <w:p w:rsidR="009D493E" w:rsidRDefault="009D493E" w:rsidP="009D493E">
      <w:pPr>
        <w:numPr>
          <w:ilvl w:val="0"/>
          <w:numId w:val="1"/>
        </w:numPr>
        <w:ind w:left="714" w:hanging="357"/>
        <w:jc w:val="both"/>
        <w:rPr>
          <w:rFonts w:cs="Arial"/>
          <w:szCs w:val="20"/>
        </w:rPr>
      </w:pPr>
      <w:r>
        <w:rPr>
          <w:rFonts w:cs="Arial"/>
          <w:szCs w:val="20"/>
        </w:rPr>
        <w:t>vysoká škola</w:t>
      </w:r>
    </w:p>
    <w:p w:rsidR="009D493E" w:rsidRPr="00820281" w:rsidRDefault="009D493E" w:rsidP="009D493E">
      <w:pPr>
        <w:ind w:left="714"/>
        <w:jc w:val="both"/>
        <w:rPr>
          <w:rFonts w:cs="Arial"/>
          <w:szCs w:val="20"/>
        </w:rPr>
      </w:pPr>
    </w:p>
    <w:p w:rsidR="009D493E" w:rsidRPr="008F343B" w:rsidRDefault="009D493E" w:rsidP="009D493E">
      <w:pPr>
        <w:numPr>
          <w:ilvl w:val="0"/>
          <w:numId w:val="1"/>
        </w:numPr>
        <w:ind w:left="714" w:hanging="357"/>
        <w:jc w:val="both"/>
        <w:rPr>
          <w:rFonts w:cs="Arial"/>
          <w:szCs w:val="20"/>
        </w:rPr>
      </w:pPr>
      <w:r>
        <w:rPr>
          <w:rFonts w:cs="Arial"/>
          <w:szCs w:val="20"/>
        </w:rPr>
        <w:t>základní umělecká škola</w:t>
      </w:r>
    </w:p>
    <w:p w:rsidR="009D493E" w:rsidRDefault="009D493E" w:rsidP="009D493E">
      <w:pPr>
        <w:numPr>
          <w:ilvl w:val="0"/>
          <w:numId w:val="1"/>
        </w:numPr>
        <w:ind w:left="714" w:hanging="357"/>
        <w:jc w:val="both"/>
        <w:rPr>
          <w:rFonts w:cs="Arial"/>
          <w:szCs w:val="20"/>
        </w:rPr>
      </w:pPr>
      <w:r w:rsidRPr="008F343B">
        <w:rPr>
          <w:rFonts w:cs="Arial"/>
          <w:szCs w:val="20"/>
        </w:rPr>
        <w:t>jazyková škola s právem státní jazykové zkoušky</w:t>
      </w:r>
    </w:p>
    <w:p w:rsidR="009D493E" w:rsidRPr="006C5812" w:rsidRDefault="009D493E" w:rsidP="009D493E">
      <w:pPr>
        <w:spacing w:before="120" w:after="100" w:afterAutospacing="1"/>
        <w:jc w:val="both"/>
        <w:rPr>
          <w:rFonts w:cs="Arial"/>
          <w:szCs w:val="20"/>
        </w:rPr>
      </w:pPr>
      <w:r w:rsidRPr="00F14509">
        <w:rPr>
          <w:rFonts w:cs="Arial"/>
          <w:szCs w:val="20"/>
        </w:rPr>
        <w:t xml:space="preserve">Ministerstvo </w:t>
      </w:r>
      <w:r>
        <w:rPr>
          <w:rFonts w:cs="Arial"/>
          <w:szCs w:val="20"/>
        </w:rPr>
        <w:t xml:space="preserve">školství, mládeže a tělovýchovy </w:t>
      </w:r>
      <w:r w:rsidRPr="00F14509">
        <w:rPr>
          <w:rFonts w:cs="Arial"/>
          <w:szCs w:val="20"/>
        </w:rPr>
        <w:t>stanoví prováděcím právním předpisem typy škol podle jejich zaměření pro účely jejich o</w:t>
      </w:r>
      <w:r>
        <w:rPr>
          <w:rFonts w:cs="Arial"/>
          <w:szCs w:val="20"/>
        </w:rPr>
        <w:t>z</w:t>
      </w:r>
      <w:r w:rsidRPr="00F14509">
        <w:rPr>
          <w:rFonts w:cs="Arial"/>
          <w:szCs w:val="20"/>
        </w:rPr>
        <w:t xml:space="preserve">načování. </w:t>
      </w:r>
    </w:p>
    <w:p w:rsidR="009D493E" w:rsidRDefault="009D493E" w:rsidP="009D493E">
      <w:pPr>
        <w:spacing w:before="120" w:after="100" w:afterAutospacing="1"/>
        <w:jc w:val="both"/>
      </w:pPr>
      <w:r w:rsidRPr="00FE16BB">
        <w:rPr>
          <w:b/>
        </w:rPr>
        <w:t>Školsk</w:t>
      </w:r>
      <w:r>
        <w:rPr>
          <w:b/>
        </w:rPr>
        <w:t>á</w:t>
      </w:r>
      <w:r w:rsidRPr="00FE16BB">
        <w:rPr>
          <w:b/>
        </w:rPr>
        <w:t xml:space="preserve"> zařízení</w:t>
      </w:r>
      <w:r>
        <w:t xml:space="preserve"> poskytují služby a vzdělávání, doplňují nebo podporují vzdělávání ve školách nebo s ním přímo souvisí. Tato zařízení také např. zajišťují ústavní a ochrannou výchovu anebo preventivně výchovnou péči. Školská zařízení uskutečňují vzdělávání podle školního vzdělávacího programu. </w:t>
      </w:r>
    </w:p>
    <w:p w:rsidR="009D493E" w:rsidRPr="00E37A2F" w:rsidRDefault="009D493E" w:rsidP="009D493E">
      <w:pPr>
        <w:spacing w:before="480" w:after="240"/>
        <w:rPr>
          <w:b/>
          <w:color w:val="C0504D" w:themeColor="accent2"/>
          <w:sz w:val="24"/>
        </w:rPr>
      </w:pPr>
      <w:r>
        <w:rPr>
          <w:b/>
          <w:color w:val="C0504D" w:themeColor="accent2"/>
          <w:sz w:val="24"/>
        </w:rPr>
        <w:t>Legislativa</w:t>
      </w:r>
    </w:p>
    <w:p w:rsidR="009D493E" w:rsidRDefault="009D493E" w:rsidP="009D493E">
      <w:pPr>
        <w:pStyle w:val="Bezmezer"/>
        <w:jc w:val="both"/>
        <w:rPr>
          <w:rFonts w:ascii="Arial" w:hAnsi="Arial" w:cs="Arial"/>
          <w:sz w:val="20"/>
          <w:szCs w:val="20"/>
        </w:rPr>
      </w:pPr>
      <w:r w:rsidRPr="003A6458">
        <w:rPr>
          <w:rFonts w:ascii="Arial" w:hAnsi="Arial" w:cs="Arial"/>
          <w:sz w:val="20"/>
          <w:szCs w:val="20"/>
        </w:rPr>
        <w:t>Od roku 2005 je formování českého školského systému založeno na těchto zákonech:</w:t>
      </w:r>
    </w:p>
    <w:p w:rsidR="009D493E" w:rsidRDefault="009D493E" w:rsidP="009D493E">
      <w:pPr>
        <w:pStyle w:val="Bezmezer"/>
        <w:jc w:val="both"/>
        <w:rPr>
          <w:rFonts w:ascii="Arial" w:hAnsi="Arial" w:cs="Arial"/>
          <w:sz w:val="20"/>
          <w:szCs w:val="20"/>
        </w:rPr>
      </w:pPr>
    </w:p>
    <w:p w:rsidR="009D493E" w:rsidRPr="003A6458" w:rsidRDefault="009D493E" w:rsidP="009D493E">
      <w:pPr>
        <w:pStyle w:val="Bezmezer"/>
        <w:numPr>
          <w:ilvl w:val="0"/>
          <w:numId w:val="1"/>
        </w:numPr>
        <w:rPr>
          <w:rFonts w:ascii="Arial" w:hAnsi="Arial" w:cs="Arial"/>
          <w:b/>
          <w:sz w:val="20"/>
          <w:szCs w:val="20"/>
        </w:rPr>
      </w:pPr>
      <w:r w:rsidRPr="003A6458">
        <w:rPr>
          <w:rFonts w:ascii="Arial" w:hAnsi="Arial" w:cs="Arial"/>
          <w:b/>
          <w:sz w:val="20"/>
          <w:szCs w:val="20"/>
        </w:rPr>
        <w:t>zákon o předškolním, základním, středním, vyšším odborném a jiném vzdělávání (školský zákon)</w:t>
      </w:r>
    </w:p>
    <w:p w:rsidR="009D493E" w:rsidRPr="00957CA5" w:rsidRDefault="009D493E" w:rsidP="009D493E">
      <w:pPr>
        <w:pStyle w:val="Bezmezer"/>
        <w:numPr>
          <w:ilvl w:val="0"/>
          <w:numId w:val="1"/>
        </w:numPr>
        <w:rPr>
          <w:rFonts w:ascii="Arial" w:hAnsi="Arial" w:cs="Arial"/>
          <w:b/>
          <w:sz w:val="20"/>
          <w:szCs w:val="20"/>
        </w:rPr>
      </w:pPr>
      <w:r w:rsidRPr="003A6458">
        <w:rPr>
          <w:rFonts w:ascii="Arial" w:hAnsi="Arial" w:cs="Arial"/>
          <w:b/>
          <w:sz w:val="20"/>
          <w:szCs w:val="20"/>
        </w:rPr>
        <w:t>zákon o výkonu ústavní výchovy nebo ochranné výchovy ve školských zařízeních a</w:t>
      </w:r>
      <w:r>
        <w:rPr>
          <w:rFonts w:ascii="Arial" w:hAnsi="Arial" w:cs="Arial"/>
          <w:b/>
          <w:sz w:val="20"/>
          <w:szCs w:val="20"/>
        </w:rPr>
        <w:t> </w:t>
      </w:r>
      <w:r w:rsidRPr="00957CA5">
        <w:rPr>
          <w:rFonts w:ascii="Arial" w:hAnsi="Arial" w:cs="Arial"/>
          <w:b/>
          <w:sz w:val="20"/>
          <w:szCs w:val="20"/>
        </w:rPr>
        <w:t>o preventivně výchovné péči ve školských zařízeních</w:t>
      </w:r>
    </w:p>
    <w:p w:rsidR="009D493E" w:rsidRDefault="009D493E" w:rsidP="009D493E">
      <w:pPr>
        <w:numPr>
          <w:ilvl w:val="0"/>
          <w:numId w:val="1"/>
        </w:numPr>
        <w:ind w:left="714" w:hanging="357"/>
        <w:rPr>
          <w:rFonts w:cs="Arial"/>
          <w:szCs w:val="20"/>
        </w:rPr>
      </w:pPr>
      <w:r w:rsidRPr="003A6458">
        <w:rPr>
          <w:rFonts w:cs="Arial"/>
          <w:b/>
          <w:szCs w:val="20"/>
        </w:rPr>
        <w:t>zákon o poskytování dotací soukromým školám, předškolním a školským zařízením</w:t>
      </w:r>
      <w:r w:rsidRPr="00F14509">
        <w:rPr>
          <w:rFonts w:cs="Arial"/>
          <w:szCs w:val="20"/>
        </w:rPr>
        <w:t xml:space="preserve"> </w:t>
      </w:r>
    </w:p>
    <w:p w:rsidR="009D493E" w:rsidRPr="003A6458" w:rsidRDefault="009D493E" w:rsidP="009D493E">
      <w:pPr>
        <w:numPr>
          <w:ilvl w:val="0"/>
          <w:numId w:val="1"/>
        </w:numPr>
        <w:ind w:left="714" w:hanging="357"/>
        <w:jc w:val="both"/>
        <w:rPr>
          <w:rFonts w:cs="Arial"/>
          <w:szCs w:val="20"/>
        </w:rPr>
      </w:pPr>
      <w:r w:rsidRPr="003A6458">
        <w:rPr>
          <w:rFonts w:cs="Arial"/>
          <w:b/>
          <w:szCs w:val="20"/>
        </w:rPr>
        <w:t xml:space="preserve">zákon o vysokých školách </w:t>
      </w:r>
    </w:p>
    <w:p w:rsidR="009D493E" w:rsidRPr="003A6458" w:rsidRDefault="009D493E" w:rsidP="009D493E">
      <w:pPr>
        <w:numPr>
          <w:ilvl w:val="0"/>
          <w:numId w:val="1"/>
        </w:numPr>
        <w:ind w:left="714" w:hanging="357"/>
        <w:jc w:val="both"/>
        <w:rPr>
          <w:rFonts w:cs="Arial"/>
          <w:szCs w:val="20"/>
        </w:rPr>
      </w:pPr>
      <w:r w:rsidRPr="003A6458">
        <w:rPr>
          <w:rFonts w:cs="Arial"/>
          <w:b/>
          <w:szCs w:val="20"/>
        </w:rPr>
        <w:t>zákon o pedagogických pracovnících</w:t>
      </w:r>
    </w:p>
    <w:p w:rsidR="009D493E" w:rsidRPr="003A6458" w:rsidRDefault="009D493E" w:rsidP="009D493E">
      <w:pPr>
        <w:pStyle w:val="Bezmezer"/>
        <w:jc w:val="both"/>
        <w:rPr>
          <w:rFonts w:ascii="Arial" w:hAnsi="Arial" w:cs="Arial"/>
          <w:sz w:val="20"/>
          <w:szCs w:val="20"/>
        </w:rPr>
      </w:pPr>
    </w:p>
    <w:p w:rsidR="009D493E" w:rsidRPr="003A6458" w:rsidRDefault="009D493E" w:rsidP="009D493E">
      <w:pPr>
        <w:pStyle w:val="Bezmezer"/>
        <w:rPr>
          <w:rFonts w:ascii="Arial" w:hAnsi="Arial" w:cs="Arial"/>
          <w:b/>
          <w:sz w:val="20"/>
          <w:szCs w:val="20"/>
        </w:rPr>
      </w:pPr>
    </w:p>
    <w:p w:rsidR="009D493E" w:rsidRDefault="009D493E" w:rsidP="009D493E">
      <w:pPr>
        <w:pStyle w:val="Bezmezer"/>
        <w:jc w:val="both"/>
        <w:rPr>
          <w:rFonts w:ascii="Arial" w:hAnsi="Arial" w:cs="Arial"/>
          <w:sz w:val="20"/>
          <w:szCs w:val="20"/>
        </w:rPr>
      </w:pPr>
      <w:r w:rsidRPr="003A6458">
        <w:rPr>
          <w:rFonts w:ascii="Arial" w:hAnsi="Arial" w:cs="Arial"/>
          <w:sz w:val="20"/>
          <w:szCs w:val="20"/>
        </w:rPr>
        <w:t xml:space="preserve">Od </w:t>
      </w:r>
      <w:r w:rsidRPr="003A6458">
        <w:rPr>
          <w:rFonts w:ascii="Arial" w:hAnsi="Arial" w:cs="Arial"/>
          <w:b/>
          <w:sz w:val="20"/>
          <w:szCs w:val="20"/>
        </w:rPr>
        <w:t>1.1.2005 platí zákon č.561/2004Sb.,</w:t>
      </w:r>
      <w:r w:rsidRPr="003A6458">
        <w:rPr>
          <w:rFonts w:ascii="Arial" w:hAnsi="Arial" w:cs="Arial"/>
          <w:sz w:val="20"/>
          <w:szCs w:val="20"/>
        </w:rPr>
        <w:t xml:space="preserve"> </w:t>
      </w:r>
      <w:r w:rsidRPr="003A6458">
        <w:rPr>
          <w:rFonts w:ascii="Arial" w:hAnsi="Arial" w:cs="Arial"/>
          <w:b/>
          <w:sz w:val="20"/>
          <w:szCs w:val="20"/>
        </w:rPr>
        <w:t>o předškolním, základním, středním, vyšším odborném a</w:t>
      </w:r>
      <w:r>
        <w:rPr>
          <w:rFonts w:ascii="Arial" w:hAnsi="Arial" w:cs="Arial"/>
          <w:b/>
          <w:sz w:val="20"/>
          <w:szCs w:val="20"/>
        </w:rPr>
        <w:t> </w:t>
      </w:r>
      <w:r w:rsidRPr="003A6458">
        <w:rPr>
          <w:rFonts w:ascii="Arial" w:hAnsi="Arial" w:cs="Arial"/>
          <w:b/>
          <w:sz w:val="20"/>
          <w:szCs w:val="20"/>
        </w:rPr>
        <w:t>jiném vzdělávání (školský zákon)</w:t>
      </w:r>
      <w:r w:rsidRPr="003A6458">
        <w:rPr>
          <w:rFonts w:ascii="Arial" w:hAnsi="Arial" w:cs="Arial"/>
          <w:sz w:val="20"/>
          <w:szCs w:val="20"/>
        </w:rPr>
        <w:t xml:space="preserve"> ve znění pozdějších předpisů. Stanovuje podmínky, za nichž se vzdělávání a výchova uskutečňuje, vymezuje práva a povinnosti fyzických a právnických osob při vzdělávání a stanoví působnost orgánů vykonávajících státní správu a samosprávu ve školství.</w:t>
      </w:r>
    </w:p>
    <w:p w:rsidR="009D493E" w:rsidRPr="003A6458" w:rsidRDefault="009D493E" w:rsidP="009D493E">
      <w:pPr>
        <w:pStyle w:val="Bezmezer"/>
        <w:jc w:val="both"/>
        <w:rPr>
          <w:rFonts w:ascii="Arial" w:hAnsi="Arial" w:cs="Arial"/>
          <w:sz w:val="20"/>
          <w:szCs w:val="20"/>
        </w:rPr>
      </w:pPr>
    </w:p>
    <w:p w:rsidR="009D493E" w:rsidRDefault="009D493E" w:rsidP="009D493E">
      <w:pPr>
        <w:pStyle w:val="Bezmezer"/>
        <w:jc w:val="both"/>
        <w:rPr>
          <w:rFonts w:ascii="Arial" w:hAnsi="Arial" w:cs="Arial"/>
          <w:sz w:val="20"/>
          <w:szCs w:val="20"/>
        </w:rPr>
      </w:pPr>
      <w:r w:rsidRPr="003A6458">
        <w:rPr>
          <w:rFonts w:ascii="Arial" w:hAnsi="Arial" w:cs="Arial"/>
          <w:sz w:val="20"/>
          <w:szCs w:val="20"/>
        </w:rPr>
        <w:t>Podle nového školského zákona je vzdělávání v ČR založeno na vzdělávacích programech. Ministerstvo školství tělovýchovy a mládeže zpracovává Národní program vzdělávání, který</w:t>
      </w:r>
      <w:r>
        <w:rPr>
          <w:rFonts w:ascii="Arial" w:hAnsi="Arial" w:cs="Arial"/>
          <w:sz w:val="20"/>
          <w:szCs w:val="20"/>
        </w:rPr>
        <w:t> </w:t>
      </w:r>
      <w:r w:rsidRPr="003A6458">
        <w:rPr>
          <w:rFonts w:ascii="Arial" w:hAnsi="Arial" w:cs="Arial"/>
          <w:sz w:val="20"/>
          <w:szCs w:val="20"/>
        </w:rPr>
        <w:t xml:space="preserve">rozpracovává cíle vzdělávání. Pro každý obor vzdělání v základním a středním vzdělávání a pro předškolní, základní umělecké a jazykové vzdělávání se vydávají rámcové vzdělávací programy. Rámcové vzdělávací programy vymezují povinný obsah, rozsah a podmínky vzdělávání a jsou </w:t>
      </w:r>
      <w:r w:rsidRPr="003A6458">
        <w:rPr>
          <w:rFonts w:ascii="Arial" w:hAnsi="Arial" w:cs="Arial"/>
          <w:sz w:val="20"/>
          <w:szCs w:val="20"/>
        </w:rPr>
        <w:lastRenderedPageBreak/>
        <w:t>závazné pro tvorbu školních vzdělávacích programů. Vzdělávání v jednotlivé škole a školském zařízení se uskutečňuje podle školních vzdělávacích programů.</w:t>
      </w:r>
    </w:p>
    <w:p w:rsidR="009D493E" w:rsidRPr="003A6458" w:rsidRDefault="009D493E" w:rsidP="009D493E">
      <w:pPr>
        <w:pStyle w:val="Bezmezer"/>
        <w:jc w:val="both"/>
        <w:rPr>
          <w:rFonts w:ascii="Arial" w:hAnsi="Arial" w:cs="Arial"/>
          <w:sz w:val="20"/>
          <w:szCs w:val="20"/>
        </w:rPr>
      </w:pPr>
    </w:p>
    <w:p w:rsidR="009D493E" w:rsidRPr="003A6458" w:rsidRDefault="009D493E" w:rsidP="009D493E">
      <w:pPr>
        <w:pStyle w:val="Bezmezer"/>
        <w:jc w:val="both"/>
        <w:rPr>
          <w:rFonts w:ascii="Arial" w:hAnsi="Arial" w:cs="Arial"/>
          <w:sz w:val="20"/>
          <w:szCs w:val="20"/>
        </w:rPr>
      </w:pPr>
      <w:r w:rsidRPr="003A6458">
        <w:rPr>
          <w:rFonts w:ascii="Arial" w:hAnsi="Arial" w:cs="Arial"/>
          <w:sz w:val="20"/>
          <w:szCs w:val="20"/>
        </w:rPr>
        <w:t>Místo registru sítě škol je nově zaveden školský rejstřík. To je veřejný seznam, který se skládá z</w:t>
      </w:r>
      <w:r>
        <w:rPr>
          <w:rFonts w:ascii="Arial" w:hAnsi="Arial" w:cs="Arial"/>
          <w:sz w:val="20"/>
          <w:szCs w:val="20"/>
        </w:rPr>
        <w:t> </w:t>
      </w:r>
      <w:r w:rsidRPr="003A6458">
        <w:rPr>
          <w:rFonts w:ascii="Arial" w:hAnsi="Arial" w:cs="Arial"/>
          <w:sz w:val="20"/>
          <w:szCs w:val="20"/>
        </w:rPr>
        <w:t xml:space="preserve">rejstříku škol a školských zařízení a rejstříku školských právnických osob. </w:t>
      </w:r>
    </w:p>
    <w:p w:rsidR="009D493E" w:rsidRPr="00E37A2F" w:rsidRDefault="009D493E" w:rsidP="009D493E">
      <w:pPr>
        <w:spacing w:before="360" w:after="120"/>
        <w:rPr>
          <w:b/>
          <w:color w:val="C0504D" w:themeColor="accent2"/>
          <w:sz w:val="24"/>
        </w:rPr>
      </w:pPr>
      <w:bookmarkStart w:id="4" w:name="_Toc431985614"/>
      <w:r w:rsidRPr="00E37A2F">
        <w:rPr>
          <w:b/>
          <w:color w:val="C0504D" w:themeColor="accent2"/>
          <w:sz w:val="24"/>
        </w:rPr>
        <w:t>Vzdělávací programy</w:t>
      </w:r>
      <w:bookmarkEnd w:id="4"/>
      <w:r w:rsidRPr="00E37A2F">
        <w:rPr>
          <w:b/>
          <w:color w:val="C0504D" w:themeColor="accent2"/>
          <w:sz w:val="24"/>
        </w:rPr>
        <w:t xml:space="preserve"> </w:t>
      </w:r>
    </w:p>
    <w:p w:rsidR="009D493E" w:rsidRPr="00E74085" w:rsidRDefault="009D493E" w:rsidP="009D493E">
      <w:pPr>
        <w:spacing w:before="240" w:after="80"/>
        <w:rPr>
          <w:b/>
          <w:sz w:val="22"/>
        </w:rPr>
      </w:pPr>
      <w:bookmarkStart w:id="5" w:name="_Toc431985615"/>
      <w:r w:rsidRPr="00E74085">
        <w:rPr>
          <w:b/>
          <w:sz w:val="22"/>
        </w:rPr>
        <w:t>Národní program</w:t>
      </w:r>
      <w:bookmarkEnd w:id="5"/>
      <w:r w:rsidRPr="00E74085">
        <w:rPr>
          <w:b/>
          <w:sz w:val="22"/>
        </w:rPr>
        <w:t xml:space="preserve"> </w:t>
      </w:r>
      <w:r>
        <w:rPr>
          <w:b/>
          <w:sz w:val="22"/>
        </w:rPr>
        <w:t>vzdělávání</w:t>
      </w:r>
    </w:p>
    <w:p w:rsidR="009D493E" w:rsidRPr="003463AE" w:rsidRDefault="009D493E" w:rsidP="009D493E">
      <w:pPr>
        <w:pStyle w:val="Normlnweb"/>
        <w:spacing w:before="0" w:beforeAutospacing="0" w:after="0" w:afterAutospacing="0" w:line="288" w:lineRule="auto"/>
        <w:jc w:val="both"/>
        <w:rPr>
          <w:rFonts w:ascii="Arial" w:hAnsi="Arial" w:cs="Arial"/>
          <w:sz w:val="20"/>
          <w:szCs w:val="20"/>
        </w:rPr>
      </w:pPr>
      <w:r w:rsidRPr="003463AE">
        <w:rPr>
          <w:rFonts w:ascii="Arial" w:hAnsi="Arial" w:cs="Arial"/>
          <w:sz w:val="20"/>
          <w:szCs w:val="20"/>
        </w:rPr>
        <w:t>Ministerstvo školství, mládeže a tělovýchovy zpracovává Národní vzděláv</w:t>
      </w:r>
      <w:r>
        <w:rPr>
          <w:rFonts w:ascii="Arial" w:hAnsi="Arial" w:cs="Arial"/>
          <w:sz w:val="20"/>
          <w:szCs w:val="20"/>
        </w:rPr>
        <w:t xml:space="preserve">ací </w:t>
      </w:r>
      <w:r w:rsidRPr="003463AE">
        <w:rPr>
          <w:rFonts w:ascii="Arial" w:hAnsi="Arial" w:cs="Arial"/>
          <w:sz w:val="20"/>
          <w:szCs w:val="20"/>
        </w:rPr>
        <w:t>program, který musí být schválen vládou a poté Poslaneckou sněmovnou a Senátem Parlamentu, aby vstoupil v platnost. Národní</w:t>
      </w:r>
      <w:r>
        <w:rPr>
          <w:rFonts w:ascii="Arial" w:hAnsi="Arial" w:cs="Arial"/>
          <w:sz w:val="20"/>
          <w:szCs w:val="20"/>
        </w:rPr>
        <w:t xml:space="preserve"> vzdělávací </w:t>
      </w:r>
      <w:r w:rsidRPr="003463AE">
        <w:rPr>
          <w:rFonts w:ascii="Arial" w:hAnsi="Arial" w:cs="Arial"/>
          <w:sz w:val="20"/>
          <w:szCs w:val="20"/>
        </w:rPr>
        <w:t xml:space="preserve">program rozpracovává cíle vzdělávání stanovené školským zákonem a vymezuje hlavní oblasti vzdělávání, </w:t>
      </w:r>
      <w:r>
        <w:rPr>
          <w:rFonts w:ascii="Arial" w:hAnsi="Arial" w:cs="Arial"/>
          <w:sz w:val="20"/>
          <w:szCs w:val="20"/>
        </w:rPr>
        <w:t xml:space="preserve">jejich </w:t>
      </w:r>
      <w:r w:rsidRPr="003463AE">
        <w:rPr>
          <w:rFonts w:ascii="Arial" w:hAnsi="Arial" w:cs="Arial"/>
          <w:sz w:val="20"/>
          <w:szCs w:val="20"/>
        </w:rPr>
        <w:t>obsahy a prostředky, které jsou nezbytné k dosahování těchto cílů.</w:t>
      </w:r>
      <w:r>
        <w:rPr>
          <w:rFonts w:ascii="Arial" w:hAnsi="Arial" w:cs="Arial"/>
          <w:sz w:val="20"/>
          <w:szCs w:val="20"/>
        </w:rPr>
        <w:t xml:space="preserve"> Tento program zveřejňuje MŠMT</w:t>
      </w:r>
      <w:r w:rsidRPr="003463AE">
        <w:rPr>
          <w:rFonts w:ascii="Arial" w:hAnsi="Arial" w:cs="Arial"/>
          <w:sz w:val="20"/>
          <w:szCs w:val="20"/>
        </w:rPr>
        <w:t xml:space="preserve">. </w:t>
      </w:r>
      <w:r>
        <w:rPr>
          <w:rFonts w:ascii="Arial" w:hAnsi="Arial" w:cs="Arial"/>
          <w:sz w:val="20"/>
          <w:szCs w:val="20"/>
        </w:rPr>
        <w:t xml:space="preserve">viz odkazy: </w:t>
      </w:r>
      <w:r w:rsidRPr="003A6458">
        <w:rPr>
          <w:rFonts w:ascii="Arial" w:hAnsi="Arial" w:cs="Arial"/>
          <w:sz w:val="20"/>
          <w:szCs w:val="20"/>
        </w:rPr>
        <w:t xml:space="preserve">http://www.vzdelavani2020.cz/narodni-program-vzdelavani-cr-bila-kniha.html </w:t>
      </w:r>
      <w:r>
        <w:rPr>
          <w:rFonts w:ascii="Arial" w:hAnsi="Arial" w:cs="Arial"/>
          <w:sz w:val="20"/>
          <w:szCs w:val="20"/>
        </w:rPr>
        <w:t xml:space="preserve">, </w:t>
      </w:r>
      <w:r w:rsidRPr="003A6458">
        <w:rPr>
          <w:rFonts w:ascii="Arial" w:hAnsi="Arial" w:cs="Arial"/>
          <w:sz w:val="20"/>
          <w:szCs w:val="20"/>
        </w:rPr>
        <w:t>http://www.msmt.cz/vzdelavani/skolstvi-v-cr</w:t>
      </w:r>
      <w:r>
        <w:rPr>
          <w:rFonts w:ascii="Arial" w:hAnsi="Arial" w:cs="Arial"/>
          <w:sz w:val="20"/>
          <w:szCs w:val="20"/>
        </w:rPr>
        <w:t>).</w:t>
      </w:r>
      <w:r w:rsidRPr="003463AE">
        <w:rPr>
          <w:rFonts w:ascii="Arial" w:hAnsi="Arial" w:cs="Arial"/>
          <w:sz w:val="20"/>
          <w:szCs w:val="20"/>
        </w:rPr>
        <w:t xml:space="preserve"> </w:t>
      </w:r>
    </w:p>
    <w:p w:rsidR="009D493E" w:rsidRPr="00E74085" w:rsidRDefault="009D493E" w:rsidP="009D493E">
      <w:pPr>
        <w:spacing w:before="240" w:after="80"/>
        <w:rPr>
          <w:b/>
          <w:sz w:val="22"/>
        </w:rPr>
      </w:pPr>
      <w:bookmarkStart w:id="6" w:name="_Toc431985616"/>
      <w:r w:rsidRPr="00E74085">
        <w:rPr>
          <w:b/>
          <w:sz w:val="22"/>
        </w:rPr>
        <w:t>Rámcový vzdělávací program</w:t>
      </w:r>
      <w:bookmarkEnd w:id="6"/>
    </w:p>
    <w:p w:rsidR="009D493E" w:rsidRPr="00F14509" w:rsidRDefault="009D493E" w:rsidP="009D493E">
      <w:pPr>
        <w:pStyle w:val="Normlnweb"/>
        <w:spacing w:before="0" w:beforeAutospacing="0" w:after="0" w:afterAutospacing="0" w:line="288" w:lineRule="auto"/>
        <w:jc w:val="both"/>
        <w:rPr>
          <w:rFonts w:ascii="Arial" w:hAnsi="Arial" w:cs="Arial"/>
          <w:sz w:val="20"/>
          <w:szCs w:val="20"/>
        </w:rPr>
      </w:pPr>
      <w:r w:rsidRPr="00F14509">
        <w:rPr>
          <w:rFonts w:ascii="Arial" w:hAnsi="Arial" w:cs="Arial"/>
          <w:sz w:val="20"/>
          <w:szCs w:val="20"/>
        </w:rPr>
        <w:t xml:space="preserve">Rámcový vzdělávací program vychází z Národního </w:t>
      </w:r>
      <w:r>
        <w:rPr>
          <w:rFonts w:ascii="Arial" w:hAnsi="Arial" w:cs="Arial"/>
          <w:sz w:val="20"/>
          <w:szCs w:val="20"/>
        </w:rPr>
        <w:t>vzdělávacího programu</w:t>
      </w:r>
      <w:r w:rsidRPr="00F14509">
        <w:rPr>
          <w:rFonts w:ascii="Arial" w:hAnsi="Arial" w:cs="Arial"/>
          <w:sz w:val="20"/>
          <w:szCs w:val="20"/>
        </w:rPr>
        <w:t xml:space="preserve">. Rámcové vzdělávací programy stanoví zejména konkrétní cíle, formy, délku a povinný obsah vzdělávání, a to všeobecného a odborného </w:t>
      </w:r>
      <w:r>
        <w:rPr>
          <w:rFonts w:ascii="Arial" w:hAnsi="Arial" w:cs="Arial"/>
          <w:sz w:val="20"/>
          <w:szCs w:val="20"/>
        </w:rPr>
        <w:t xml:space="preserve">charakteru </w:t>
      </w:r>
      <w:r w:rsidRPr="00F14509">
        <w:rPr>
          <w:rFonts w:ascii="Arial" w:hAnsi="Arial" w:cs="Arial"/>
          <w:sz w:val="20"/>
          <w:szCs w:val="20"/>
        </w:rPr>
        <w:t>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w:t>
      </w:r>
      <w:r>
        <w:rPr>
          <w:rFonts w:ascii="Arial" w:hAnsi="Arial" w:cs="Arial"/>
          <w:sz w:val="20"/>
          <w:szCs w:val="20"/>
        </w:rPr>
        <w:t>y bezpečnosti a ochrany zdraví.</w:t>
      </w:r>
    </w:p>
    <w:p w:rsidR="009D493E" w:rsidRPr="00E74085" w:rsidRDefault="009D493E" w:rsidP="009D493E">
      <w:pPr>
        <w:spacing w:before="240" w:after="80"/>
        <w:rPr>
          <w:b/>
          <w:sz w:val="22"/>
        </w:rPr>
      </w:pPr>
      <w:bookmarkStart w:id="7" w:name="_Toc431985617"/>
      <w:r w:rsidRPr="00E74085">
        <w:rPr>
          <w:b/>
          <w:sz w:val="22"/>
        </w:rPr>
        <w:t>Školní vzdělávací program</w:t>
      </w:r>
      <w:bookmarkEnd w:id="7"/>
    </w:p>
    <w:p w:rsidR="009D493E" w:rsidRPr="00F14509" w:rsidRDefault="009D493E" w:rsidP="009D493E">
      <w:pPr>
        <w:pStyle w:val="Normlnweb"/>
        <w:spacing w:before="60" w:beforeAutospacing="0" w:after="0" w:afterAutospacing="0" w:line="288" w:lineRule="auto"/>
        <w:jc w:val="both"/>
        <w:rPr>
          <w:rFonts w:ascii="Arial" w:hAnsi="Arial" w:cs="Arial"/>
          <w:sz w:val="20"/>
          <w:szCs w:val="20"/>
        </w:rPr>
      </w:pPr>
      <w:r>
        <w:rPr>
          <w:rFonts w:ascii="Arial" w:hAnsi="Arial" w:cs="Arial"/>
          <w:sz w:val="20"/>
          <w:szCs w:val="20"/>
        </w:rPr>
        <w:t>Školní vzdělávací program vychází také z Národního vzdělávacího programu.</w:t>
      </w:r>
      <w:r w:rsidRPr="00F14509">
        <w:rPr>
          <w:rFonts w:ascii="Arial" w:hAnsi="Arial" w:cs="Arial"/>
          <w:sz w:val="20"/>
          <w:szCs w:val="20"/>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w:t>
      </w:r>
      <w:r>
        <w:rPr>
          <w:rFonts w:ascii="Arial" w:hAnsi="Arial" w:cs="Arial"/>
          <w:sz w:val="20"/>
          <w:szCs w:val="20"/>
        </w:rPr>
        <w:t> </w:t>
      </w:r>
      <w:r w:rsidRPr="00F14509">
        <w:rPr>
          <w:rFonts w:ascii="Arial" w:hAnsi="Arial" w:cs="Arial"/>
          <w:sz w:val="20"/>
          <w:szCs w:val="20"/>
        </w:rPr>
        <w:t>ekonomických podmínek a podmínek bezpečnosti práce a ochrany zdraví, za nichž se vzdělávání v</w:t>
      </w:r>
      <w:r>
        <w:rPr>
          <w:rFonts w:ascii="Arial" w:hAnsi="Arial" w:cs="Arial"/>
          <w:sz w:val="20"/>
          <w:szCs w:val="20"/>
        </w:rPr>
        <w:t> </w:t>
      </w:r>
      <w:r w:rsidRPr="00F14509">
        <w:rPr>
          <w:rFonts w:ascii="Arial" w:hAnsi="Arial" w:cs="Arial"/>
          <w:sz w:val="20"/>
          <w:szCs w:val="20"/>
        </w:rPr>
        <w:t>konkrétní škole nebo školském zařízení uskutečňuje. Školní</w:t>
      </w:r>
      <w:r>
        <w:rPr>
          <w:rFonts w:ascii="Arial" w:hAnsi="Arial" w:cs="Arial"/>
          <w:sz w:val="20"/>
          <w:szCs w:val="20"/>
        </w:rPr>
        <w:t> </w:t>
      </w:r>
      <w:r w:rsidRPr="00F14509">
        <w:rPr>
          <w:rFonts w:ascii="Arial" w:hAnsi="Arial" w:cs="Arial"/>
          <w:sz w:val="20"/>
          <w:szCs w:val="20"/>
        </w:rPr>
        <w:t>vzdělávací program vydává ředitel školy nebo školského zařízení.</w:t>
      </w:r>
    </w:p>
    <w:p w:rsidR="009D493E" w:rsidRPr="007A6E44" w:rsidRDefault="009D493E" w:rsidP="009D493E">
      <w:pPr>
        <w:spacing w:before="360" w:after="120"/>
        <w:rPr>
          <w:b/>
          <w:color w:val="C0504D" w:themeColor="accent2"/>
          <w:sz w:val="24"/>
        </w:rPr>
      </w:pPr>
      <w:bookmarkStart w:id="8" w:name="_Toc431985619"/>
      <w:r w:rsidRPr="007A6E44">
        <w:rPr>
          <w:b/>
          <w:color w:val="C0504D" w:themeColor="accent2"/>
          <w:sz w:val="24"/>
        </w:rPr>
        <w:t>Školní rok</w:t>
      </w:r>
      <w:bookmarkEnd w:id="8"/>
    </w:p>
    <w:p w:rsidR="009D493E" w:rsidRDefault="009D493E" w:rsidP="009D493E">
      <w:pPr>
        <w:spacing w:before="120" w:after="100" w:afterAutospacing="1"/>
        <w:jc w:val="both"/>
      </w:pPr>
      <w:r>
        <w:t>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 Toto se nevztahuje na vzdělávání v mateřských, jazykových školách s právem státní jazykové zkoušky a na vzdělávání ve vyšších odborných a vysokých školách.</w:t>
      </w:r>
    </w:p>
    <w:p w:rsidR="009D493E" w:rsidRPr="007A6E44" w:rsidRDefault="009D493E" w:rsidP="009D493E">
      <w:pPr>
        <w:spacing w:before="360" w:after="120"/>
        <w:rPr>
          <w:b/>
          <w:color w:val="C0504D" w:themeColor="accent2"/>
          <w:sz w:val="24"/>
        </w:rPr>
      </w:pPr>
      <w:bookmarkStart w:id="9" w:name="_Toc431985620"/>
      <w:r w:rsidRPr="007A6E44">
        <w:rPr>
          <w:b/>
          <w:color w:val="C0504D" w:themeColor="accent2"/>
          <w:sz w:val="24"/>
        </w:rPr>
        <w:t>Povinná školní docházka</w:t>
      </w:r>
      <w:bookmarkEnd w:id="9"/>
    </w:p>
    <w:p w:rsidR="009D493E" w:rsidRPr="00E00643" w:rsidRDefault="009D493E" w:rsidP="009D493E">
      <w:pPr>
        <w:jc w:val="both"/>
      </w:pPr>
      <w:bookmarkStart w:id="10" w:name="_Toc431985621"/>
      <w:r w:rsidRPr="00E00643">
        <w:t>Školní docházka je povinná po dobu devíti školních roků, nejvýše však do konce školního roku, v</w:t>
      </w:r>
      <w:r>
        <w:t> </w:t>
      </w:r>
      <w:r w:rsidRPr="00E00643">
        <w:t>němž žá</w:t>
      </w:r>
      <w:r>
        <w:t>k dosáhne sedmnáctého roku věku</w:t>
      </w:r>
      <w:r w:rsidRPr="00E00643">
        <w:t>. Povinná školní docházka se vztahuje na státní občany České republiky a</w:t>
      </w:r>
      <w:r>
        <w:t> </w:t>
      </w:r>
      <w:r w:rsidRPr="00E00643">
        <w:t>na občany jiného členského státu Evropské unie, kteří na území České republik</w:t>
      </w:r>
      <w:r>
        <w:t>y pobývají déle než 90 </w:t>
      </w:r>
      <w:r w:rsidRPr="00E00643">
        <w:t>dnů. Dále se povinná školní docházka vztahuje na jiné cizince, kteří jsou oprávněni pobývat na území České republiky trvale nebo</w:t>
      </w:r>
      <w:r>
        <w:t xml:space="preserve"> přechodně po dobu delší než 90 </w:t>
      </w:r>
      <w:r w:rsidRPr="00E00643">
        <w:t>dnů, a</w:t>
      </w:r>
      <w:r>
        <w:t> </w:t>
      </w:r>
      <w:r w:rsidRPr="00E00643">
        <w:t>na</w:t>
      </w:r>
      <w:r>
        <w:t> </w:t>
      </w:r>
      <w:r w:rsidRPr="00E00643">
        <w:t xml:space="preserve">účastníky řízení o udělení mezinárodní ochrany. Povinná školní docházka začíná počátkem </w:t>
      </w:r>
      <w:r w:rsidRPr="00E00643">
        <w:lastRenderedPageBreak/>
        <w:t>školního roku, který následuje po dni, kdy dítě dosáhne šestého roku věku, pokud mu není povolen odklad.</w:t>
      </w:r>
      <w:bookmarkEnd w:id="10"/>
    </w:p>
    <w:p w:rsidR="009D493E" w:rsidRPr="007A6E44" w:rsidRDefault="009D493E" w:rsidP="009D493E">
      <w:pPr>
        <w:spacing w:before="360" w:after="120"/>
        <w:rPr>
          <w:b/>
          <w:color w:val="C0504D" w:themeColor="accent2"/>
          <w:sz w:val="24"/>
        </w:rPr>
      </w:pPr>
      <w:bookmarkStart w:id="11" w:name="_Toc431985622"/>
      <w:r w:rsidRPr="007A6E44">
        <w:rPr>
          <w:b/>
          <w:color w:val="C0504D" w:themeColor="accent2"/>
          <w:sz w:val="24"/>
        </w:rPr>
        <w:t xml:space="preserve">Dítě, žák, student se </w:t>
      </w:r>
      <w:bookmarkEnd w:id="11"/>
      <w:r>
        <w:rPr>
          <w:b/>
          <w:color w:val="C0504D" w:themeColor="accent2"/>
          <w:sz w:val="24"/>
        </w:rPr>
        <w:t>speciálními vzdělávacími potřebami</w:t>
      </w:r>
    </w:p>
    <w:p w:rsidR="009D493E" w:rsidRDefault="009D493E" w:rsidP="009D493E">
      <w:pPr>
        <w:spacing w:before="120"/>
        <w:jc w:val="both"/>
      </w:pPr>
      <w:r>
        <w:t>Dítětem, žákem a studentem se speciálními vzdělávacími potřebami (SVP) je osoba se zdravotním postižením, zdravotním znevýhodněním nebo sociálním znevýhodněním. Zdravotním postižením je pro účely školského zákona mentální, tělesné, zrakové, nebo sluchové postižení, vady řeči, souběžné postižení více vadami, autismus a vývojové poruchy učení nebo chování.</w:t>
      </w:r>
    </w:p>
    <w:p w:rsidR="009D493E" w:rsidRDefault="009D493E" w:rsidP="009D493E">
      <w:pPr>
        <w:spacing w:before="120"/>
        <w:jc w:val="both"/>
      </w:pPr>
    </w:p>
    <w:p w:rsidR="009D493E" w:rsidRDefault="009D493E" w:rsidP="009D493E">
      <w:pPr>
        <w:spacing w:before="120"/>
        <w:jc w:val="both"/>
        <w:rPr>
          <w:b/>
          <w:color w:val="C0504D" w:themeColor="accent2"/>
          <w:sz w:val="24"/>
        </w:rPr>
      </w:pPr>
      <w:r>
        <w:rPr>
          <w:b/>
          <w:color w:val="C0504D" w:themeColor="accent2"/>
          <w:sz w:val="24"/>
        </w:rPr>
        <w:t>Pedagogický pracovník</w:t>
      </w:r>
    </w:p>
    <w:p w:rsidR="009D493E" w:rsidRPr="00F80707" w:rsidRDefault="009D493E" w:rsidP="009D493E">
      <w:pPr>
        <w:spacing w:before="120"/>
        <w:jc w:val="both"/>
        <w:rPr>
          <w:szCs w:val="20"/>
        </w:rPr>
      </w:pPr>
      <w:r>
        <w:rPr>
          <w:szCs w:val="20"/>
        </w:rPr>
        <w:t>V</w:t>
      </w:r>
      <w:r w:rsidRPr="00F80707">
        <w:rPr>
          <w:szCs w:val="20"/>
        </w:rPr>
        <w:t>šechny údaje v této publikaci uvádějí přepočtené počty na plně zaměstnané</w:t>
      </w:r>
      <w:r>
        <w:rPr>
          <w:szCs w:val="20"/>
        </w:rPr>
        <w:t>.</w:t>
      </w:r>
    </w:p>
    <w:p w:rsidR="009D493E" w:rsidRPr="007A6E44" w:rsidRDefault="009D493E" w:rsidP="009D493E">
      <w:pPr>
        <w:spacing w:before="360" w:after="120"/>
        <w:rPr>
          <w:b/>
          <w:color w:val="C0504D" w:themeColor="accent2"/>
          <w:sz w:val="24"/>
        </w:rPr>
      </w:pPr>
      <w:bookmarkStart w:id="12" w:name="_Toc431985623"/>
      <w:r w:rsidRPr="007A6E44">
        <w:rPr>
          <w:b/>
          <w:color w:val="C0504D" w:themeColor="accent2"/>
          <w:sz w:val="24"/>
        </w:rPr>
        <w:t>Formy vzdělávání</w:t>
      </w:r>
      <w:bookmarkEnd w:id="12"/>
    </w:p>
    <w:p w:rsidR="009D493E" w:rsidRDefault="009D493E" w:rsidP="009D493E">
      <w:pPr>
        <w:spacing w:before="120"/>
        <w:jc w:val="both"/>
      </w:pPr>
      <w:r>
        <w:t>Základní vzdělávání se uskutečňuje v denní formě vzdělávání. Střední a vyšší odborné vzdělávání se uskutečňuje v denní, večerní, dálkové, distanční a kombinované formě vzdělávání a vysokoškolské ve formě prezenční, distanční a kombinované. Vzdělání dosažené ve všech formách vzdělávání je rovnocenné.</w:t>
      </w:r>
    </w:p>
    <w:p w:rsidR="009D493E" w:rsidRDefault="009D493E" w:rsidP="009D493E">
      <w:pPr>
        <w:pStyle w:val="Normlnweb"/>
        <w:numPr>
          <w:ilvl w:val="0"/>
          <w:numId w:val="1"/>
        </w:numPr>
        <w:spacing w:before="60" w:beforeAutospacing="0" w:after="60" w:afterAutospacing="0" w:line="288" w:lineRule="auto"/>
        <w:ind w:left="714" w:hanging="357"/>
        <w:jc w:val="both"/>
        <w:rPr>
          <w:rFonts w:ascii="Arial" w:hAnsi="Arial" w:cs="Arial"/>
          <w:sz w:val="20"/>
          <w:szCs w:val="20"/>
        </w:rPr>
      </w:pPr>
      <w:r>
        <w:rPr>
          <w:rFonts w:ascii="Arial" w:hAnsi="Arial" w:cs="Arial"/>
          <w:sz w:val="20"/>
          <w:szCs w:val="20"/>
        </w:rPr>
        <w:t xml:space="preserve">Denní forma vzdělávání je </w:t>
      </w:r>
      <w:r w:rsidRPr="00EB1433">
        <w:rPr>
          <w:rFonts w:ascii="Arial" w:hAnsi="Arial" w:cs="Arial"/>
          <w:sz w:val="20"/>
          <w:szCs w:val="20"/>
        </w:rPr>
        <w:t>výuka organizovaná pravidelně každý den v pětidenním vyučovací</w:t>
      </w:r>
      <w:r>
        <w:rPr>
          <w:rFonts w:ascii="Arial" w:hAnsi="Arial" w:cs="Arial"/>
          <w:sz w:val="20"/>
          <w:szCs w:val="20"/>
        </w:rPr>
        <w:t>m týdnu v průběhu školního roku.</w:t>
      </w:r>
    </w:p>
    <w:p w:rsidR="009D493E" w:rsidRPr="00FD206F" w:rsidRDefault="009D493E" w:rsidP="009D493E">
      <w:pPr>
        <w:pStyle w:val="Normlnweb"/>
        <w:numPr>
          <w:ilvl w:val="0"/>
          <w:numId w:val="1"/>
        </w:numPr>
        <w:spacing w:before="60" w:beforeAutospacing="0" w:after="60" w:afterAutospacing="0" w:line="288" w:lineRule="auto"/>
        <w:ind w:left="714" w:hanging="357"/>
        <w:jc w:val="both"/>
        <w:rPr>
          <w:rFonts w:ascii="Arial" w:hAnsi="Arial" w:cs="Arial"/>
          <w:sz w:val="20"/>
          <w:szCs w:val="20"/>
        </w:rPr>
      </w:pPr>
      <w:r>
        <w:rPr>
          <w:rFonts w:ascii="Arial" w:hAnsi="Arial" w:cs="Arial"/>
          <w:sz w:val="20"/>
          <w:szCs w:val="20"/>
        </w:rPr>
        <w:t xml:space="preserve">Prezenční </w:t>
      </w:r>
      <w:r w:rsidRPr="00FD206F">
        <w:rPr>
          <w:rFonts w:ascii="Arial" w:hAnsi="Arial" w:cs="Arial"/>
          <w:sz w:val="20"/>
          <w:szCs w:val="20"/>
        </w:rPr>
        <w:t>forma studia</w:t>
      </w:r>
      <w:r>
        <w:rPr>
          <w:rFonts w:ascii="Arial" w:hAnsi="Arial" w:cs="Arial"/>
          <w:sz w:val="20"/>
          <w:szCs w:val="20"/>
        </w:rPr>
        <w:t xml:space="preserve"> (</w:t>
      </w:r>
      <w:r w:rsidRPr="00FD206F">
        <w:rPr>
          <w:rFonts w:ascii="Arial" w:hAnsi="Arial" w:cs="Arial"/>
          <w:sz w:val="20"/>
          <w:szCs w:val="20"/>
        </w:rPr>
        <w:t>dříve denní forma</w:t>
      </w:r>
      <w:r>
        <w:rPr>
          <w:rFonts w:ascii="Arial" w:hAnsi="Arial" w:cs="Arial"/>
          <w:sz w:val="20"/>
          <w:szCs w:val="20"/>
        </w:rPr>
        <w:t>) – výuka může probíhat kterýkoli</w:t>
      </w:r>
      <w:r w:rsidRPr="00FD206F">
        <w:rPr>
          <w:rFonts w:ascii="Arial" w:hAnsi="Arial" w:cs="Arial"/>
          <w:sz w:val="20"/>
          <w:szCs w:val="20"/>
        </w:rPr>
        <w:t xml:space="preserve"> všední den, dopoledne i odpoledne, student má povinnost navštěvovat povinné semináře</w:t>
      </w:r>
      <w:r>
        <w:rPr>
          <w:rFonts w:ascii="Arial" w:hAnsi="Arial" w:cs="Arial"/>
          <w:sz w:val="20"/>
          <w:szCs w:val="20"/>
        </w:rPr>
        <w:t>.</w:t>
      </w:r>
      <w:r w:rsidRPr="00FD206F">
        <w:rPr>
          <w:rFonts w:ascii="Arial" w:hAnsi="Arial" w:cs="Arial"/>
          <w:sz w:val="20"/>
          <w:szCs w:val="20"/>
        </w:rPr>
        <w:t xml:space="preserve"> </w:t>
      </w:r>
      <w:r>
        <w:rPr>
          <w:rFonts w:ascii="Arial" w:hAnsi="Arial" w:cs="Arial"/>
          <w:sz w:val="20"/>
          <w:szCs w:val="20"/>
        </w:rPr>
        <w:t xml:space="preserve"> Osoba studující</w:t>
      </w:r>
      <w:r w:rsidRPr="00FD206F">
        <w:rPr>
          <w:rFonts w:ascii="Arial" w:hAnsi="Arial" w:cs="Arial"/>
          <w:sz w:val="20"/>
          <w:szCs w:val="20"/>
        </w:rPr>
        <w:t xml:space="preserve"> </w:t>
      </w:r>
      <w:r>
        <w:rPr>
          <w:rFonts w:ascii="Arial" w:hAnsi="Arial" w:cs="Arial"/>
          <w:sz w:val="20"/>
          <w:szCs w:val="20"/>
        </w:rPr>
        <w:t>vysokou školu</w:t>
      </w:r>
      <w:r w:rsidRPr="00FD206F">
        <w:rPr>
          <w:rFonts w:ascii="Arial" w:hAnsi="Arial" w:cs="Arial"/>
          <w:sz w:val="20"/>
          <w:szCs w:val="20"/>
        </w:rPr>
        <w:t xml:space="preserve"> v prezenční formě má status studenta</w:t>
      </w:r>
      <w:r>
        <w:rPr>
          <w:rFonts w:ascii="Arial" w:hAnsi="Arial" w:cs="Arial"/>
          <w:sz w:val="20"/>
          <w:szCs w:val="20"/>
        </w:rPr>
        <w:t>.</w:t>
      </w:r>
    </w:p>
    <w:p w:rsidR="009D493E" w:rsidRPr="00EB1433" w:rsidRDefault="009D493E" w:rsidP="009D493E">
      <w:pPr>
        <w:pStyle w:val="Normlnweb"/>
        <w:numPr>
          <w:ilvl w:val="0"/>
          <w:numId w:val="1"/>
        </w:numPr>
        <w:spacing w:before="60" w:beforeAutospacing="0" w:after="60" w:afterAutospacing="0" w:line="288" w:lineRule="auto"/>
        <w:ind w:left="714" w:hanging="357"/>
        <w:jc w:val="both"/>
        <w:rPr>
          <w:rFonts w:ascii="Arial" w:hAnsi="Arial" w:cs="Arial"/>
          <w:sz w:val="20"/>
          <w:szCs w:val="20"/>
        </w:rPr>
      </w:pPr>
      <w:r w:rsidRPr="00EB1433">
        <w:rPr>
          <w:rFonts w:ascii="Arial" w:hAnsi="Arial" w:cs="Arial"/>
          <w:sz w:val="20"/>
          <w:szCs w:val="20"/>
        </w:rPr>
        <w:t>Večerní forma vzdělávání je výuka organizovaná pravidelně několikrát v týdnu v rozsahu 10</w:t>
      </w:r>
      <w:r>
        <w:rPr>
          <w:rFonts w:ascii="Arial" w:hAnsi="Arial" w:cs="Arial"/>
          <w:sz w:val="20"/>
          <w:szCs w:val="20"/>
        </w:rPr>
        <w:t> </w:t>
      </w:r>
      <w:r w:rsidRPr="00EB1433">
        <w:rPr>
          <w:rFonts w:ascii="Arial" w:hAnsi="Arial" w:cs="Arial"/>
          <w:sz w:val="20"/>
          <w:szCs w:val="20"/>
        </w:rPr>
        <w:t>až 18 hodin týdně v průběhu školního roku</w:t>
      </w:r>
      <w:r>
        <w:rPr>
          <w:rFonts w:ascii="Arial" w:hAnsi="Arial" w:cs="Arial"/>
          <w:sz w:val="20"/>
          <w:szCs w:val="20"/>
        </w:rPr>
        <w:t>,</w:t>
      </w:r>
      <w:r w:rsidRPr="00EB1433">
        <w:rPr>
          <w:rFonts w:ascii="Arial" w:hAnsi="Arial" w:cs="Arial"/>
          <w:sz w:val="20"/>
          <w:szCs w:val="20"/>
        </w:rPr>
        <w:t xml:space="preserve"> zpravidla v odpoledních a večerních hodinách</w:t>
      </w:r>
      <w:r>
        <w:rPr>
          <w:rFonts w:ascii="Arial" w:hAnsi="Arial" w:cs="Arial"/>
          <w:sz w:val="20"/>
          <w:szCs w:val="20"/>
        </w:rPr>
        <w:t>.</w:t>
      </w:r>
    </w:p>
    <w:p w:rsidR="009D493E" w:rsidRPr="00EB1433" w:rsidRDefault="009D493E" w:rsidP="009D493E">
      <w:pPr>
        <w:pStyle w:val="Normlnweb"/>
        <w:numPr>
          <w:ilvl w:val="0"/>
          <w:numId w:val="1"/>
        </w:numPr>
        <w:spacing w:before="60" w:beforeAutospacing="0" w:after="60" w:afterAutospacing="0" w:line="288" w:lineRule="auto"/>
        <w:ind w:left="714" w:hanging="357"/>
        <w:jc w:val="both"/>
        <w:rPr>
          <w:rFonts w:ascii="Arial" w:hAnsi="Arial" w:cs="Arial"/>
          <w:sz w:val="20"/>
          <w:szCs w:val="20"/>
        </w:rPr>
      </w:pPr>
      <w:r>
        <w:rPr>
          <w:rFonts w:ascii="Arial" w:hAnsi="Arial" w:cs="Arial"/>
          <w:sz w:val="20"/>
          <w:szCs w:val="20"/>
        </w:rPr>
        <w:t>Dálková forma</w:t>
      </w:r>
      <w:r w:rsidRPr="00EB1433">
        <w:rPr>
          <w:rFonts w:ascii="Arial" w:hAnsi="Arial" w:cs="Arial"/>
          <w:sz w:val="20"/>
          <w:szCs w:val="20"/>
        </w:rPr>
        <w:t xml:space="preserve"> vzdělávání je samostatné studium spojené s konzultacemi v rozsahu 200 až 220 konz</w:t>
      </w:r>
      <w:r>
        <w:rPr>
          <w:rFonts w:ascii="Arial" w:hAnsi="Arial" w:cs="Arial"/>
          <w:sz w:val="20"/>
          <w:szCs w:val="20"/>
        </w:rPr>
        <w:t>ultačních hodin ve školním roce.</w:t>
      </w:r>
    </w:p>
    <w:p w:rsidR="009D493E" w:rsidRPr="00EB1433" w:rsidRDefault="009D493E" w:rsidP="009D493E">
      <w:pPr>
        <w:pStyle w:val="Normlnweb"/>
        <w:numPr>
          <w:ilvl w:val="0"/>
          <w:numId w:val="1"/>
        </w:numPr>
        <w:spacing w:before="60" w:beforeAutospacing="0" w:after="60" w:afterAutospacing="0" w:line="288" w:lineRule="auto"/>
        <w:ind w:left="714" w:hanging="357"/>
        <w:jc w:val="both"/>
        <w:rPr>
          <w:rFonts w:ascii="Arial" w:hAnsi="Arial" w:cs="Arial"/>
          <w:sz w:val="20"/>
          <w:szCs w:val="20"/>
        </w:rPr>
      </w:pPr>
      <w:r w:rsidRPr="00EB1433">
        <w:rPr>
          <w:rFonts w:ascii="Arial" w:hAnsi="Arial" w:cs="Arial"/>
          <w:sz w:val="20"/>
          <w:szCs w:val="20"/>
        </w:rPr>
        <w:t>Distanční forma vzdělávání je také samostatné studium</w:t>
      </w:r>
      <w:r>
        <w:rPr>
          <w:rFonts w:ascii="Arial" w:hAnsi="Arial" w:cs="Arial"/>
          <w:sz w:val="20"/>
          <w:szCs w:val="20"/>
        </w:rPr>
        <w:t>,</w:t>
      </w:r>
      <w:r w:rsidRPr="00EB1433">
        <w:rPr>
          <w:rFonts w:ascii="Arial" w:hAnsi="Arial" w:cs="Arial"/>
          <w:sz w:val="20"/>
          <w:szCs w:val="20"/>
        </w:rPr>
        <w:t xml:space="preserve"> uskutečňované převážně nebo zcela prostřednictvím informačních technologií, popřípadě spojené s individuálními konzultacemi</w:t>
      </w:r>
      <w:r>
        <w:rPr>
          <w:rFonts w:ascii="Arial" w:hAnsi="Arial" w:cs="Arial"/>
          <w:sz w:val="20"/>
          <w:szCs w:val="20"/>
        </w:rPr>
        <w:t>.</w:t>
      </w:r>
    </w:p>
    <w:p w:rsidR="009D493E" w:rsidRPr="00EE2C2A" w:rsidRDefault="009D493E" w:rsidP="009D493E">
      <w:pPr>
        <w:pStyle w:val="Normlnweb"/>
        <w:numPr>
          <w:ilvl w:val="0"/>
          <w:numId w:val="1"/>
        </w:numPr>
        <w:spacing w:before="60" w:beforeAutospacing="0" w:after="60" w:afterAutospacing="0" w:line="288" w:lineRule="auto"/>
        <w:ind w:left="714" w:hanging="357"/>
        <w:jc w:val="both"/>
        <w:rPr>
          <w:rFonts w:ascii="Arial" w:hAnsi="Arial" w:cs="Arial"/>
          <w:sz w:val="20"/>
          <w:szCs w:val="20"/>
        </w:rPr>
      </w:pPr>
      <w:r>
        <w:rPr>
          <w:rFonts w:ascii="Arial" w:hAnsi="Arial" w:cs="Arial"/>
          <w:sz w:val="20"/>
          <w:szCs w:val="20"/>
        </w:rPr>
        <w:t>Kombinovaná forma</w:t>
      </w:r>
      <w:r w:rsidRPr="00EE2C2A">
        <w:rPr>
          <w:rFonts w:ascii="Arial" w:hAnsi="Arial" w:cs="Arial"/>
          <w:sz w:val="20"/>
          <w:szCs w:val="20"/>
        </w:rPr>
        <w:t xml:space="preserve"> vzdělávání je střídání denní a jiné formy vzdělávání stanovené školským zákonem</w:t>
      </w:r>
      <w:r>
        <w:rPr>
          <w:rFonts w:ascii="Arial" w:hAnsi="Arial" w:cs="Arial"/>
          <w:sz w:val="20"/>
          <w:szCs w:val="20"/>
        </w:rPr>
        <w:t>.</w:t>
      </w:r>
    </w:p>
    <w:p w:rsidR="009D493E" w:rsidRDefault="009D493E" w:rsidP="009D493E">
      <w:pPr>
        <w:pStyle w:val="Normlnweb"/>
        <w:spacing w:before="60" w:beforeAutospacing="0" w:after="0" w:afterAutospacing="0" w:line="288" w:lineRule="auto"/>
        <w:jc w:val="both"/>
        <w:rPr>
          <w:rFonts w:ascii="Arial" w:hAnsi="Arial" w:cs="Arial"/>
          <w:sz w:val="20"/>
          <w:szCs w:val="20"/>
        </w:rPr>
      </w:pPr>
      <w:r w:rsidRPr="00EB1433">
        <w:rPr>
          <w:rFonts w:ascii="Arial" w:hAnsi="Arial" w:cs="Arial"/>
          <w:sz w:val="20"/>
          <w:szCs w:val="20"/>
        </w:rPr>
        <w:t>Délka dálkového, večerního, distančního nebo kombinovaného vzdělávání je nejvýše o 1 rok delší než doba vzdělávání v denní formě.</w:t>
      </w:r>
    </w:p>
    <w:p w:rsidR="009D493E" w:rsidRPr="007A6E44" w:rsidRDefault="009D493E" w:rsidP="009D493E">
      <w:pPr>
        <w:spacing w:before="360" w:after="120"/>
        <w:rPr>
          <w:b/>
          <w:color w:val="C0504D" w:themeColor="accent2"/>
          <w:sz w:val="24"/>
        </w:rPr>
      </w:pPr>
      <w:bookmarkStart w:id="13" w:name="_Toc431985624"/>
      <w:r w:rsidRPr="007A6E44">
        <w:rPr>
          <w:b/>
          <w:color w:val="C0504D" w:themeColor="accent2"/>
          <w:sz w:val="24"/>
        </w:rPr>
        <w:t>Zřizovatelé škol a školských zařízení</w:t>
      </w:r>
      <w:bookmarkEnd w:id="13"/>
    </w:p>
    <w:p w:rsidR="009D493E" w:rsidRDefault="009D493E" w:rsidP="009D493E">
      <w:pPr>
        <w:pStyle w:val="Normlnweb"/>
        <w:numPr>
          <w:ilvl w:val="0"/>
          <w:numId w:val="1"/>
        </w:numPr>
        <w:spacing w:before="20" w:beforeAutospacing="0" w:after="20" w:afterAutospacing="0" w:line="288" w:lineRule="auto"/>
        <w:ind w:left="714" w:hanging="357"/>
        <w:jc w:val="both"/>
        <w:rPr>
          <w:rFonts w:ascii="Arial" w:hAnsi="Arial" w:cs="Arial"/>
          <w:sz w:val="20"/>
          <w:szCs w:val="20"/>
        </w:rPr>
      </w:pPr>
      <w:r>
        <w:rPr>
          <w:rFonts w:ascii="Arial" w:hAnsi="Arial" w:cs="Arial"/>
          <w:sz w:val="20"/>
          <w:szCs w:val="20"/>
        </w:rPr>
        <w:t>Ministerstvo školství mládeže a tělovýchovy</w:t>
      </w:r>
    </w:p>
    <w:p w:rsidR="009D493E" w:rsidRDefault="009D493E" w:rsidP="009D493E">
      <w:pPr>
        <w:pStyle w:val="Normlnweb"/>
        <w:numPr>
          <w:ilvl w:val="0"/>
          <w:numId w:val="1"/>
        </w:numPr>
        <w:spacing w:before="20" w:beforeAutospacing="0" w:after="20" w:afterAutospacing="0" w:line="288" w:lineRule="auto"/>
        <w:ind w:left="714" w:hanging="357"/>
        <w:jc w:val="both"/>
        <w:rPr>
          <w:rFonts w:ascii="Arial" w:hAnsi="Arial" w:cs="Arial"/>
          <w:sz w:val="20"/>
          <w:szCs w:val="20"/>
        </w:rPr>
      </w:pPr>
      <w:r>
        <w:rPr>
          <w:rFonts w:ascii="Arial" w:hAnsi="Arial" w:cs="Arial"/>
          <w:sz w:val="20"/>
          <w:szCs w:val="20"/>
        </w:rPr>
        <w:t>Obec</w:t>
      </w:r>
    </w:p>
    <w:p w:rsidR="009D493E" w:rsidRDefault="009D493E" w:rsidP="009D493E">
      <w:pPr>
        <w:pStyle w:val="Normlnweb"/>
        <w:numPr>
          <w:ilvl w:val="0"/>
          <w:numId w:val="1"/>
        </w:numPr>
        <w:spacing w:before="20" w:beforeAutospacing="0" w:after="20" w:afterAutospacing="0" w:line="288" w:lineRule="auto"/>
        <w:ind w:left="714" w:hanging="357"/>
        <w:jc w:val="both"/>
        <w:rPr>
          <w:rFonts w:ascii="Arial" w:hAnsi="Arial" w:cs="Arial"/>
          <w:sz w:val="20"/>
          <w:szCs w:val="20"/>
        </w:rPr>
      </w:pPr>
      <w:r>
        <w:rPr>
          <w:rFonts w:ascii="Arial" w:hAnsi="Arial" w:cs="Arial"/>
          <w:sz w:val="20"/>
          <w:szCs w:val="20"/>
        </w:rPr>
        <w:t>Kraj</w:t>
      </w:r>
    </w:p>
    <w:p w:rsidR="009D493E" w:rsidRDefault="009D493E" w:rsidP="009D493E">
      <w:pPr>
        <w:pStyle w:val="Normlnweb"/>
        <w:numPr>
          <w:ilvl w:val="0"/>
          <w:numId w:val="1"/>
        </w:numPr>
        <w:spacing w:before="20" w:beforeAutospacing="0" w:after="20" w:afterAutospacing="0" w:line="288" w:lineRule="auto"/>
        <w:ind w:left="714" w:hanging="357"/>
        <w:jc w:val="both"/>
        <w:rPr>
          <w:rFonts w:ascii="Arial" w:hAnsi="Arial" w:cs="Arial"/>
          <w:sz w:val="20"/>
          <w:szCs w:val="20"/>
        </w:rPr>
      </w:pPr>
      <w:r>
        <w:rPr>
          <w:rFonts w:ascii="Arial" w:hAnsi="Arial" w:cs="Arial"/>
          <w:sz w:val="20"/>
          <w:szCs w:val="20"/>
        </w:rPr>
        <w:t>Jiný resort</w:t>
      </w:r>
    </w:p>
    <w:p w:rsidR="009D493E" w:rsidRDefault="009D493E" w:rsidP="009D493E">
      <w:pPr>
        <w:pStyle w:val="Normlnweb"/>
        <w:numPr>
          <w:ilvl w:val="0"/>
          <w:numId w:val="1"/>
        </w:numPr>
        <w:spacing w:before="20" w:beforeAutospacing="0" w:after="20" w:afterAutospacing="0" w:line="288" w:lineRule="auto"/>
        <w:ind w:left="714" w:hanging="357"/>
        <w:jc w:val="both"/>
        <w:rPr>
          <w:rFonts w:ascii="Arial" w:hAnsi="Arial" w:cs="Arial"/>
          <w:sz w:val="20"/>
          <w:szCs w:val="20"/>
        </w:rPr>
      </w:pPr>
      <w:r>
        <w:rPr>
          <w:rFonts w:ascii="Arial" w:hAnsi="Arial" w:cs="Arial"/>
          <w:sz w:val="20"/>
          <w:szCs w:val="20"/>
        </w:rPr>
        <w:t>Privátní sektor</w:t>
      </w:r>
    </w:p>
    <w:p w:rsidR="009D493E" w:rsidRDefault="009D493E" w:rsidP="009D493E">
      <w:pPr>
        <w:pStyle w:val="Normlnweb"/>
        <w:numPr>
          <w:ilvl w:val="0"/>
          <w:numId w:val="1"/>
        </w:numPr>
        <w:spacing w:before="20" w:beforeAutospacing="0" w:after="20" w:afterAutospacing="0" w:line="288" w:lineRule="auto"/>
        <w:ind w:left="714" w:hanging="357"/>
        <w:jc w:val="both"/>
        <w:rPr>
          <w:rFonts w:ascii="Arial" w:hAnsi="Arial" w:cs="Arial"/>
          <w:sz w:val="20"/>
          <w:szCs w:val="20"/>
        </w:rPr>
      </w:pPr>
      <w:r>
        <w:rPr>
          <w:rFonts w:ascii="Arial" w:hAnsi="Arial" w:cs="Arial"/>
          <w:sz w:val="20"/>
          <w:szCs w:val="20"/>
        </w:rPr>
        <w:t>Církev</w:t>
      </w:r>
    </w:p>
    <w:p w:rsidR="009D493E" w:rsidRDefault="009D493E" w:rsidP="009D493E">
      <w:pPr>
        <w:spacing w:before="360" w:after="120"/>
        <w:rPr>
          <w:b/>
          <w:color w:val="C0504D" w:themeColor="accent2"/>
          <w:sz w:val="24"/>
        </w:rPr>
      </w:pPr>
      <w:bookmarkStart w:id="14" w:name="_Toc431985625"/>
    </w:p>
    <w:p w:rsidR="009D493E" w:rsidRPr="007A6E44" w:rsidRDefault="009D493E" w:rsidP="009D493E">
      <w:pPr>
        <w:spacing w:before="360" w:after="120"/>
        <w:rPr>
          <w:b/>
          <w:color w:val="C0504D" w:themeColor="accent2"/>
          <w:sz w:val="24"/>
        </w:rPr>
      </w:pPr>
      <w:r w:rsidRPr="007A6E44">
        <w:rPr>
          <w:b/>
          <w:color w:val="C0504D" w:themeColor="accent2"/>
          <w:sz w:val="24"/>
        </w:rPr>
        <w:lastRenderedPageBreak/>
        <w:t>Druhy závěrečných zkoušek v různých typech vzdělávání</w:t>
      </w:r>
      <w:bookmarkEnd w:id="14"/>
    </w:p>
    <w:p w:rsidR="009D493E" w:rsidRPr="00E74085" w:rsidRDefault="009D493E" w:rsidP="009D493E">
      <w:pPr>
        <w:spacing w:before="200" w:after="80"/>
        <w:rPr>
          <w:b/>
          <w:sz w:val="22"/>
        </w:rPr>
      </w:pPr>
      <w:bookmarkStart w:id="15" w:name="_Toc431985626"/>
      <w:r w:rsidRPr="00E74085">
        <w:rPr>
          <w:b/>
          <w:sz w:val="22"/>
        </w:rPr>
        <w:t>Závěrečná zkouška</w:t>
      </w:r>
      <w:bookmarkEnd w:id="15"/>
    </w:p>
    <w:p w:rsidR="009D493E" w:rsidRDefault="009D493E" w:rsidP="009D493E">
      <w:pPr>
        <w:jc w:val="both"/>
      </w:pPr>
      <w:r>
        <w:t>Závěrečná zkouška se týká oborů vzdělávání, v nichž se dosahuje středního vzdělání. Skládá se z praktické zkoušky z odborných předmětů a teoretické zkoušky z odborných předmětů. V oborech vzdělávání, v nichž se dosahuje středního vzdělání s výučním listem, se skládá z písemné zkoušky a ústní zkoušky a praktické zkoušky z odborného výcviku.</w:t>
      </w:r>
    </w:p>
    <w:p w:rsidR="009D493E" w:rsidRPr="00E74085" w:rsidRDefault="009D493E" w:rsidP="009D493E">
      <w:pPr>
        <w:spacing w:before="200" w:after="80"/>
        <w:rPr>
          <w:b/>
          <w:sz w:val="22"/>
        </w:rPr>
      </w:pPr>
      <w:bookmarkStart w:id="16" w:name="_Toc431985627"/>
      <w:r w:rsidRPr="00E74085">
        <w:rPr>
          <w:b/>
          <w:sz w:val="22"/>
        </w:rPr>
        <w:t>Maturitní zkouška</w:t>
      </w:r>
      <w:bookmarkEnd w:id="16"/>
    </w:p>
    <w:p w:rsidR="009D493E" w:rsidRDefault="009D493E" w:rsidP="009D493E">
      <w:pPr>
        <w:jc w:val="both"/>
      </w:pPr>
      <w:r>
        <w:t>Maturitní zkouška se skládá ze společné a profilové části. Zkušebními předměty společné části maturitní zkoušky jsou český jazyk a literatura, cizí jazyk, který si žák zvolí z nabídky stanovené právním předpisem školy; žák může zvolit pouze takový cizí jazyk, který je vyučován ve škole, již je žákem, anebo zvolit předmět matematika.</w:t>
      </w:r>
    </w:p>
    <w:p w:rsidR="009D493E" w:rsidRDefault="009D493E" w:rsidP="009D493E">
      <w:pPr>
        <w:jc w:val="both"/>
      </w:pPr>
      <w:r>
        <w:t>Profilová část maturitní zkoušky se skládá z 2 nebo 3 povinných zkoušek. Počet povinných zkoušek pro daný obor vzdělání stanoví rámcový vzdělávací program. Ve školách a třídách s vyučovacím jazykem národnostní menšiny je jednou z povinných zkoušek zkouška z jazyka národnostní menšiny.</w:t>
      </w:r>
      <w:r w:rsidRPr="00514781">
        <w:t xml:space="preserve"> </w:t>
      </w:r>
      <w:r>
        <w:t>Žák může volit nepovinné zkoušky z nabídky stanovené ředitelem školy.</w:t>
      </w:r>
    </w:p>
    <w:p w:rsidR="009D493E" w:rsidRDefault="009D493E" w:rsidP="009D493E">
      <w:pPr>
        <w:jc w:val="both"/>
      </w:pPr>
      <w:r>
        <w:t>Žák získá střední vzdělání s maturitní zkouškou, jestliže úspěšně vykoná obě části maturitní zkoušky.</w:t>
      </w:r>
    </w:p>
    <w:p w:rsidR="009D493E" w:rsidRPr="00E74085" w:rsidRDefault="009D493E" w:rsidP="009D493E">
      <w:pPr>
        <w:spacing w:before="200" w:after="80"/>
        <w:rPr>
          <w:b/>
          <w:sz w:val="22"/>
        </w:rPr>
      </w:pPr>
      <w:bookmarkStart w:id="17" w:name="_Toc431985628"/>
      <w:r w:rsidRPr="00E74085">
        <w:rPr>
          <w:b/>
          <w:sz w:val="22"/>
        </w:rPr>
        <w:t>Absolutorium v konzervatoři</w:t>
      </w:r>
      <w:bookmarkEnd w:id="17"/>
    </w:p>
    <w:p w:rsidR="009D493E" w:rsidRDefault="009D493E" w:rsidP="009D493E">
      <w:pPr>
        <w:jc w:val="both"/>
      </w:pPr>
      <w:r>
        <w:t>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w:t>
      </w:r>
    </w:p>
    <w:p w:rsidR="009D493E" w:rsidRPr="00E74085" w:rsidRDefault="009D493E" w:rsidP="009D493E">
      <w:pPr>
        <w:spacing w:before="200" w:after="80"/>
        <w:rPr>
          <w:b/>
          <w:sz w:val="22"/>
        </w:rPr>
      </w:pPr>
      <w:bookmarkStart w:id="18" w:name="_Toc431985629"/>
      <w:r w:rsidRPr="00E74085">
        <w:rPr>
          <w:b/>
          <w:sz w:val="22"/>
        </w:rPr>
        <w:t>Absolutorium</w:t>
      </w:r>
      <w:bookmarkEnd w:id="18"/>
      <w:r w:rsidRPr="00E74085">
        <w:rPr>
          <w:b/>
          <w:sz w:val="22"/>
        </w:rPr>
        <w:t xml:space="preserve"> </w:t>
      </w:r>
    </w:p>
    <w:p w:rsidR="009D493E" w:rsidRDefault="009D493E" w:rsidP="009D493E">
      <w:pPr>
        <w:jc w:val="both"/>
      </w:pPr>
      <w: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w:t>
      </w:r>
      <w:proofErr w:type="spellStart"/>
      <w:r>
        <w:t>DiS</w:t>
      </w:r>
      <w:proofErr w:type="spellEnd"/>
      <w: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 </w:t>
      </w:r>
    </w:p>
    <w:p w:rsidR="009D493E" w:rsidRDefault="009D493E" w:rsidP="009D493E">
      <w:pPr>
        <w:jc w:val="both"/>
      </w:pPr>
      <w:r>
        <w:t xml:space="preserve">Titul </w:t>
      </w:r>
      <w:proofErr w:type="spellStart"/>
      <w:r>
        <w:t>DiS</w:t>
      </w:r>
      <w:proofErr w:type="spellEnd"/>
      <w:r>
        <w:t>., který svým absolventům udělují vyšší odborné školy a konzervatoře, lze nyní získat i na většině vysokých škol po absolvování distančního specializačního studia, v rámci tzv. celoživotního vzdělávání.</w:t>
      </w:r>
    </w:p>
    <w:p w:rsidR="009D493E" w:rsidRPr="00E74085" w:rsidRDefault="009D493E" w:rsidP="009D493E">
      <w:pPr>
        <w:spacing w:before="200" w:after="80"/>
        <w:rPr>
          <w:b/>
          <w:sz w:val="22"/>
        </w:rPr>
      </w:pPr>
      <w:bookmarkStart w:id="19" w:name="_Toc431985630"/>
      <w:r w:rsidRPr="00E74085">
        <w:rPr>
          <w:b/>
          <w:sz w:val="22"/>
        </w:rPr>
        <w:t>Státní zkouška na vysokých školách</w:t>
      </w:r>
      <w:bookmarkEnd w:id="19"/>
    </w:p>
    <w:p w:rsidR="009D493E" w:rsidRDefault="009D493E" w:rsidP="009D493E">
      <w:pPr>
        <w:spacing w:after="60"/>
        <w:jc w:val="both"/>
      </w:pPr>
      <w:r>
        <w:t>Státní zkouška je souhrnná zkouška, kterou student uzavírá studium, případně je rozložena do několika menších zkoušek v průběhu celého studia, které dohromady tvoří státní závěrečnou zkoušku. Poté, co student úspěšně obhájí diplomovou práci a složí tuto zkoušku, obdrží titul. Diplomová práce se předkládá před zkušební komisi, kde se ústně obhajuje. Průběh i vyhlášení výsledků jsou veřejné. Zákon č. 111/1998 Sb., o vysokých školách, rozlišuje tyto druhy zkoušky:</w:t>
      </w:r>
    </w:p>
    <w:p w:rsidR="009D493E" w:rsidRPr="00E21273" w:rsidRDefault="009D493E" w:rsidP="009D493E">
      <w:pPr>
        <w:pStyle w:val="Normlnweb"/>
        <w:numPr>
          <w:ilvl w:val="0"/>
          <w:numId w:val="1"/>
        </w:numPr>
        <w:spacing w:before="20" w:beforeAutospacing="0" w:after="60" w:afterAutospacing="0" w:line="288" w:lineRule="auto"/>
        <w:ind w:left="714" w:hanging="357"/>
        <w:jc w:val="both"/>
        <w:rPr>
          <w:rFonts w:ascii="Arial" w:hAnsi="Arial" w:cs="Arial"/>
          <w:sz w:val="20"/>
          <w:szCs w:val="20"/>
        </w:rPr>
      </w:pPr>
      <w:r w:rsidRPr="00E21273">
        <w:rPr>
          <w:rFonts w:ascii="Arial" w:hAnsi="Arial" w:cs="Arial"/>
          <w:b/>
          <w:sz w:val="20"/>
          <w:szCs w:val="20"/>
        </w:rPr>
        <w:t xml:space="preserve">Státní závěrečná zkouška </w:t>
      </w:r>
      <w:r>
        <w:rPr>
          <w:rFonts w:ascii="Arial" w:hAnsi="Arial" w:cs="Arial"/>
          <w:sz w:val="20"/>
          <w:szCs w:val="20"/>
        </w:rPr>
        <w:t xml:space="preserve">- </w:t>
      </w:r>
      <w:r w:rsidRPr="00E21273">
        <w:rPr>
          <w:rFonts w:ascii="Arial" w:hAnsi="Arial" w:cs="Arial"/>
          <w:sz w:val="20"/>
          <w:szCs w:val="20"/>
        </w:rPr>
        <w:t>skládá se jak v bakalářském, tak ma</w:t>
      </w:r>
      <w:r>
        <w:rPr>
          <w:rFonts w:ascii="Arial" w:hAnsi="Arial" w:cs="Arial"/>
          <w:sz w:val="20"/>
          <w:szCs w:val="20"/>
        </w:rPr>
        <w:t>gisterském studijním programu (</w:t>
      </w:r>
      <w:r w:rsidRPr="00E21273">
        <w:rPr>
          <w:rFonts w:ascii="Arial" w:hAnsi="Arial" w:cs="Arial"/>
          <w:sz w:val="20"/>
          <w:szCs w:val="20"/>
        </w:rPr>
        <w:t>s výjimkou lékařských oborů).</w:t>
      </w:r>
    </w:p>
    <w:p w:rsidR="009D493E" w:rsidRPr="00E21273" w:rsidRDefault="009D493E" w:rsidP="009D493E">
      <w:pPr>
        <w:pStyle w:val="Normlnweb"/>
        <w:numPr>
          <w:ilvl w:val="0"/>
          <w:numId w:val="1"/>
        </w:numPr>
        <w:spacing w:before="20" w:beforeAutospacing="0" w:after="60" w:afterAutospacing="0" w:line="288" w:lineRule="auto"/>
        <w:ind w:left="714" w:hanging="357"/>
        <w:jc w:val="both"/>
        <w:rPr>
          <w:rFonts w:ascii="Arial" w:hAnsi="Arial" w:cs="Arial"/>
          <w:sz w:val="20"/>
          <w:szCs w:val="20"/>
        </w:rPr>
      </w:pPr>
      <w:r w:rsidRPr="00E21273">
        <w:rPr>
          <w:rFonts w:ascii="Arial" w:hAnsi="Arial" w:cs="Arial"/>
          <w:b/>
          <w:sz w:val="20"/>
          <w:szCs w:val="20"/>
        </w:rPr>
        <w:lastRenderedPageBreak/>
        <w:t>Státní rigorózní zkouška</w:t>
      </w:r>
      <w:r w:rsidRPr="00E21273">
        <w:rPr>
          <w:rFonts w:ascii="Arial" w:hAnsi="Arial" w:cs="Arial"/>
          <w:sz w:val="20"/>
          <w:szCs w:val="20"/>
        </w:rPr>
        <w:t xml:space="preserve"> - se skládá v magisterském studijním programu lékařství nebo veterinární lékařství a hygiena; dále ji mohou složit ti, kteří již dosáhli titulu Mgr.</w:t>
      </w:r>
    </w:p>
    <w:p w:rsidR="009D493E" w:rsidRPr="00E21273" w:rsidRDefault="009D493E" w:rsidP="009D493E">
      <w:pPr>
        <w:pStyle w:val="Normlnweb"/>
        <w:numPr>
          <w:ilvl w:val="0"/>
          <w:numId w:val="1"/>
        </w:numPr>
        <w:spacing w:before="20" w:beforeAutospacing="0" w:after="60" w:afterAutospacing="0" w:line="288" w:lineRule="auto"/>
        <w:ind w:left="714" w:hanging="357"/>
        <w:jc w:val="both"/>
        <w:rPr>
          <w:rFonts w:ascii="Arial" w:hAnsi="Arial" w:cs="Arial"/>
          <w:sz w:val="20"/>
          <w:szCs w:val="20"/>
        </w:rPr>
      </w:pPr>
      <w:r w:rsidRPr="00E21273">
        <w:rPr>
          <w:rFonts w:ascii="Arial" w:hAnsi="Arial" w:cs="Arial"/>
          <w:b/>
          <w:sz w:val="20"/>
          <w:szCs w:val="20"/>
        </w:rPr>
        <w:t>Státní doktorská zkouška</w:t>
      </w:r>
      <w:r w:rsidRPr="00E21273">
        <w:rPr>
          <w:rFonts w:ascii="Arial" w:hAnsi="Arial" w:cs="Arial"/>
          <w:sz w:val="20"/>
          <w:szCs w:val="20"/>
        </w:rPr>
        <w:t xml:space="preserve"> </w:t>
      </w:r>
      <w:r>
        <w:rPr>
          <w:rFonts w:ascii="Arial" w:hAnsi="Arial" w:cs="Arial"/>
          <w:sz w:val="20"/>
          <w:szCs w:val="20"/>
        </w:rPr>
        <w:t xml:space="preserve">- </w:t>
      </w:r>
      <w:r w:rsidRPr="00E21273">
        <w:rPr>
          <w:rFonts w:ascii="Arial" w:hAnsi="Arial" w:cs="Arial"/>
          <w:sz w:val="20"/>
          <w:szCs w:val="20"/>
        </w:rPr>
        <w:t>se skládá v doktorských studijních programech</w:t>
      </w:r>
      <w:r>
        <w:rPr>
          <w:rFonts w:ascii="Arial" w:hAnsi="Arial" w:cs="Arial"/>
          <w:sz w:val="20"/>
          <w:szCs w:val="20"/>
        </w:rPr>
        <w:t>.</w:t>
      </w:r>
    </w:p>
    <w:p w:rsidR="009D493E" w:rsidRPr="00E74085" w:rsidRDefault="009D493E" w:rsidP="009D493E">
      <w:pPr>
        <w:spacing w:before="200" w:after="80"/>
        <w:rPr>
          <w:b/>
          <w:sz w:val="22"/>
        </w:rPr>
      </w:pPr>
      <w:bookmarkStart w:id="20" w:name="_Toc431985631"/>
      <w:r w:rsidRPr="00E74085">
        <w:rPr>
          <w:b/>
          <w:sz w:val="22"/>
        </w:rPr>
        <w:t>Státní jazyková zkouška</w:t>
      </w:r>
      <w:bookmarkEnd w:id="20"/>
    </w:p>
    <w:p w:rsidR="009D493E" w:rsidRPr="00F14509" w:rsidRDefault="009D493E" w:rsidP="009D493E">
      <w:pPr>
        <w:jc w:val="both"/>
        <w:rPr>
          <w:rFonts w:cs="Arial"/>
          <w:szCs w:val="20"/>
        </w:rPr>
      </w:pPr>
      <w:r>
        <w:t xml:space="preserve">Zvláštními státními zkouškami jsou </w:t>
      </w:r>
      <w:r w:rsidRPr="00134F29">
        <w:t>státní jazykové zkoušky</w:t>
      </w:r>
      <w:r>
        <w:t xml:space="preserve"> (základní, všeobecné a speciální), které neukončují vysokoškolské studium. Skládají se pouze na jazykových školách s právem jazykové zkoušky a absolventi této zkoušky získávají certifikát vydaný Ministerstvem školství mládeže a tělovýchovy.</w:t>
      </w:r>
    </w:p>
    <w:p w:rsidR="009D493E" w:rsidRPr="007A6E44" w:rsidRDefault="009D493E" w:rsidP="009D493E">
      <w:pPr>
        <w:spacing w:before="360" w:after="120"/>
        <w:rPr>
          <w:b/>
          <w:color w:val="C0504D" w:themeColor="accent2"/>
          <w:sz w:val="24"/>
        </w:rPr>
      </w:pPr>
      <w:bookmarkStart w:id="21" w:name="_Toc431985632"/>
      <w:r w:rsidRPr="007A6E44">
        <w:rPr>
          <w:b/>
          <w:color w:val="C0504D" w:themeColor="accent2"/>
          <w:sz w:val="24"/>
        </w:rPr>
        <w:t>Boloňský proces</w:t>
      </w:r>
      <w:bookmarkEnd w:id="21"/>
    </w:p>
    <w:p w:rsidR="009D493E" w:rsidRDefault="009D493E" w:rsidP="009D493E">
      <w:pPr>
        <w:jc w:val="both"/>
      </w:pPr>
      <w:bookmarkStart w:id="22" w:name="_Toc431985633"/>
      <w:r>
        <w:t xml:space="preserve">Boloňský proces </w:t>
      </w:r>
      <w:r w:rsidRPr="00AB2505">
        <w:t xml:space="preserve">je dohoda 47 evropských i mimoevropských států, které chtějí zvýšit dostupnost, přitažlivost a kvalitu </w:t>
      </w:r>
      <w:r w:rsidRPr="00245109">
        <w:t>vysokoškolského vzdělávání</w:t>
      </w:r>
      <w:r w:rsidRPr="00AB2505">
        <w:t xml:space="preserve">. Jedním z dílčích cílů je podpořit </w:t>
      </w:r>
      <w:r>
        <w:t>mezinárodní mobilitu studentů a </w:t>
      </w:r>
      <w:r w:rsidRPr="00AB2505">
        <w:t>učitelů a zavést srovnatelné vysokoškolské tituly, aby se podpořilo vzájemné uznávání dosaženého vzdělání a tím i zaměstnatelnost absolventů.</w:t>
      </w:r>
      <w:r>
        <w:t xml:space="preserve"> Cíle tohoto procesu jsou:</w:t>
      </w:r>
      <w:bookmarkEnd w:id="22"/>
    </w:p>
    <w:p w:rsidR="009D493E" w:rsidRPr="00395BC1" w:rsidRDefault="009D493E" w:rsidP="009D493E">
      <w:pPr>
        <w:numPr>
          <w:ilvl w:val="0"/>
          <w:numId w:val="1"/>
        </w:numPr>
        <w:spacing w:before="60"/>
        <w:ind w:left="714" w:hanging="357"/>
        <w:rPr>
          <w:rFonts w:cs="Arial"/>
          <w:szCs w:val="20"/>
        </w:rPr>
      </w:pPr>
      <w:r w:rsidRPr="00395BC1">
        <w:rPr>
          <w:rFonts w:cs="Arial"/>
          <w:szCs w:val="20"/>
        </w:rPr>
        <w:t xml:space="preserve">srozumitelný a srovnatelný systém vysokoškolských titulů </w:t>
      </w:r>
    </w:p>
    <w:p w:rsidR="009D493E" w:rsidRPr="00395BC1" w:rsidRDefault="009D493E" w:rsidP="009D493E">
      <w:pPr>
        <w:numPr>
          <w:ilvl w:val="0"/>
          <w:numId w:val="1"/>
        </w:numPr>
        <w:ind w:left="714" w:hanging="357"/>
        <w:rPr>
          <w:rFonts w:cs="Arial"/>
          <w:szCs w:val="20"/>
        </w:rPr>
      </w:pPr>
      <w:r w:rsidRPr="00395BC1">
        <w:rPr>
          <w:rFonts w:cs="Arial"/>
          <w:szCs w:val="20"/>
        </w:rPr>
        <w:t>rozdělení studia do dvou (později tří) cyklů</w:t>
      </w:r>
    </w:p>
    <w:p w:rsidR="009D493E" w:rsidRPr="00395BC1" w:rsidRDefault="009D493E" w:rsidP="009D493E">
      <w:pPr>
        <w:numPr>
          <w:ilvl w:val="0"/>
          <w:numId w:val="1"/>
        </w:numPr>
        <w:ind w:left="714" w:hanging="357"/>
        <w:rPr>
          <w:rFonts w:cs="Arial"/>
          <w:szCs w:val="20"/>
        </w:rPr>
      </w:pPr>
      <w:r w:rsidRPr="00395BC1">
        <w:rPr>
          <w:rFonts w:cs="Arial"/>
          <w:szCs w:val="20"/>
        </w:rPr>
        <w:t xml:space="preserve">zavedení jednotného systému kreditů </w:t>
      </w:r>
      <w:r>
        <w:rPr>
          <w:rFonts w:cs="Arial"/>
          <w:szCs w:val="20"/>
        </w:rPr>
        <w:t>(ECTS)</w:t>
      </w:r>
    </w:p>
    <w:p w:rsidR="009D493E" w:rsidRPr="00395BC1" w:rsidRDefault="009D493E" w:rsidP="009D493E">
      <w:pPr>
        <w:numPr>
          <w:ilvl w:val="0"/>
          <w:numId w:val="1"/>
        </w:numPr>
        <w:ind w:left="714" w:hanging="357"/>
        <w:rPr>
          <w:rFonts w:cs="Arial"/>
          <w:szCs w:val="20"/>
        </w:rPr>
      </w:pPr>
      <w:r w:rsidRPr="00395BC1">
        <w:rPr>
          <w:rFonts w:cs="Arial"/>
          <w:szCs w:val="20"/>
        </w:rPr>
        <w:t>podpor</w:t>
      </w:r>
      <w:r>
        <w:rPr>
          <w:rFonts w:cs="Arial"/>
          <w:szCs w:val="20"/>
        </w:rPr>
        <w:t>a</w:t>
      </w:r>
      <w:r w:rsidRPr="00395BC1">
        <w:rPr>
          <w:rFonts w:cs="Arial"/>
          <w:szCs w:val="20"/>
        </w:rPr>
        <w:t xml:space="preserve"> mobility studentů i učitelů a spolupráce vysokých škol, včetně společných studijních programů,</w:t>
      </w:r>
    </w:p>
    <w:p w:rsidR="009D493E" w:rsidRPr="00395BC1" w:rsidRDefault="009D493E" w:rsidP="009D493E">
      <w:pPr>
        <w:numPr>
          <w:ilvl w:val="0"/>
          <w:numId w:val="1"/>
        </w:numPr>
        <w:ind w:left="714" w:hanging="357"/>
        <w:rPr>
          <w:rFonts w:cs="Arial"/>
          <w:szCs w:val="20"/>
        </w:rPr>
      </w:pPr>
      <w:r w:rsidRPr="00395BC1">
        <w:rPr>
          <w:rFonts w:cs="Arial"/>
          <w:szCs w:val="20"/>
        </w:rPr>
        <w:t>spolupráce při zajišťování kvality studia</w:t>
      </w:r>
    </w:p>
    <w:p w:rsidR="009D493E" w:rsidRPr="00395BC1" w:rsidRDefault="009D493E" w:rsidP="009D493E">
      <w:pPr>
        <w:spacing w:before="120"/>
        <w:jc w:val="both"/>
      </w:pPr>
      <w:r>
        <w:t xml:space="preserve">V ČR bylo v zákoně č. 111 z roku 1998 o vysokých školách zavedeno dělené studium a </w:t>
      </w:r>
      <w:r w:rsidRPr="00395BC1">
        <w:t>v</w:t>
      </w:r>
      <w:r w:rsidRPr="001B1548">
        <w:t xml:space="preserve"> </w:t>
      </w:r>
      <w:r w:rsidRPr="00395BC1">
        <w:t xml:space="preserve">roce 2001 </w:t>
      </w:r>
      <w:r>
        <w:t xml:space="preserve">byla do praxe </w:t>
      </w:r>
      <w:r w:rsidRPr="00395BC1">
        <w:t xml:space="preserve">zavedena třístupňová struktura vysokoškolského studia, kdy se dříve charakteristické </w:t>
      </w:r>
      <w:r>
        <w:t>čtyř až šesti</w:t>
      </w:r>
      <w:r w:rsidRPr="00395BC1">
        <w:t>leté studium na vysokých školách transformovalo do obvykle tříletých bakalářských studijních programů a</w:t>
      </w:r>
      <w:r>
        <w:t> </w:t>
      </w:r>
      <w:r w:rsidRPr="00395BC1">
        <w:t>do programů magisterských. Magisterské studijní programy jsou dvojího typu</w:t>
      </w:r>
      <w:r>
        <w:t>,</w:t>
      </w:r>
      <w:r w:rsidRPr="00395BC1">
        <w:t xml:space="preserve"> a</w:t>
      </w:r>
      <w:r>
        <w:t> </w:t>
      </w:r>
      <w:r w:rsidRPr="00395BC1">
        <w:t>to navazující magisterské, které umožňuj</w:t>
      </w:r>
      <w:r>
        <w:t>í</w:t>
      </w:r>
      <w:r w:rsidRPr="00395BC1">
        <w:t xml:space="preserve"> pokračovat ve studiu absolventům bakalářského studia (obvykle dvouleté) a tzv. dlouhé magisterské programy, u nichž nebylo rozdělení na dva stupně možné. Mezi</w:t>
      </w:r>
      <w:r>
        <w:t> </w:t>
      </w:r>
      <w:r w:rsidRPr="00395BC1">
        <w:t xml:space="preserve">dlouhé magisterské programy patří například studium medicíny, veterinárního lékařství nebo architektury. Po úspěšném ukončení magisterského programu mohou studenti dále pokračovat ve studiu doktorských programů (tří až čtyřletých) po jejichž ukončení se získává titul </w:t>
      </w:r>
      <w:proofErr w:type="spellStart"/>
      <w:r w:rsidRPr="00395BC1">
        <w:t>Ph.D</w:t>
      </w:r>
      <w:proofErr w:type="spellEnd"/>
      <w:r w:rsidRPr="00395BC1">
        <w:t>. a jejich studium je již zaměřeno více na vědeckou činnost. Titul</w:t>
      </w:r>
      <w:r>
        <w:t> </w:t>
      </w:r>
      <w:proofErr w:type="spellStart"/>
      <w:r w:rsidRPr="00395BC1">
        <w:t>Ph.D</w:t>
      </w:r>
      <w:proofErr w:type="spellEnd"/>
      <w:r w:rsidRPr="00395BC1">
        <w:t>. byl v</w:t>
      </w:r>
      <w:r>
        <w:t xml:space="preserve"> </w:t>
      </w:r>
      <w:r w:rsidRPr="00395BC1">
        <w:t xml:space="preserve">České republice zaveden v roce 1998 </w:t>
      </w:r>
      <w:r>
        <w:t xml:space="preserve">již zmiňovaným </w:t>
      </w:r>
      <w:r w:rsidRPr="00395BC1">
        <w:t xml:space="preserve">zákonem </w:t>
      </w:r>
      <w:r>
        <w:t xml:space="preserve">č. </w:t>
      </w:r>
      <w:r w:rsidRPr="00395BC1">
        <w:t>111/1998</w:t>
      </w:r>
      <w:r w:rsidRPr="001B1548">
        <w:t xml:space="preserve"> </w:t>
      </w:r>
      <w:r w:rsidRPr="00395BC1">
        <w:t>Sb., o</w:t>
      </w:r>
      <w:r>
        <w:t> </w:t>
      </w:r>
      <w:r w:rsidRPr="00395BC1">
        <w:t>vysokých školách</w:t>
      </w:r>
      <w:r>
        <w:t>.</w:t>
      </w:r>
    </w:p>
    <w:p w:rsidR="009D493E" w:rsidRDefault="009D493E" w:rsidP="009D493E">
      <w:pPr>
        <w:spacing w:before="120"/>
        <w:jc w:val="both"/>
        <w:rPr>
          <w:szCs w:val="20"/>
        </w:rPr>
      </w:pPr>
      <w:r>
        <w:t>Od</w:t>
      </w:r>
      <w:r w:rsidRPr="00AB2505">
        <w:rPr>
          <w:szCs w:val="20"/>
        </w:rPr>
        <w:t xml:space="preserve"> roku 2005</w:t>
      </w:r>
      <w:r>
        <w:rPr>
          <w:szCs w:val="20"/>
        </w:rPr>
        <w:t xml:space="preserve"> byl na vysokých školách v ČR</w:t>
      </w:r>
      <w:r w:rsidRPr="00AB2505">
        <w:rPr>
          <w:szCs w:val="20"/>
        </w:rPr>
        <w:t xml:space="preserve"> zaveden</w:t>
      </w:r>
      <w:r>
        <w:rPr>
          <w:szCs w:val="20"/>
        </w:rPr>
        <w:t xml:space="preserve"> jednotný </w:t>
      </w:r>
      <w:r w:rsidRPr="00AB2505">
        <w:rPr>
          <w:szCs w:val="20"/>
        </w:rPr>
        <w:t>systém</w:t>
      </w:r>
      <w:r>
        <w:rPr>
          <w:szCs w:val="20"/>
        </w:rPr>
        <w:t xml:space="preserve"> kreditů, kdy akademický rok odpovídá 60 ECTS kreditům. Pro absolvování jednotlivých studijních programů je nutné získat následující počet kreditů:</w:t>
      </w:r>
    </w:p>
    <w:p w:rsidR="009D493E" w:rsidRPr="003B42F5" w:rsidRDefault="009D493E" w:rsidP="009D493E">
      <w:pPr>
        <w:numPr>
          <w:ilvl w:val="0"/>
          <w:numId w:val="1"/>
        </w:numPr>
        <w:spacing w:before="60"/>
        <w:ind w:left="714" w:hanging="357"/>
        <w:rPr>
          <w:rFonts w:cs="Arial"/>
          <w:szCs w:val="20"/>
        </w:rPr>
      </w:pPr>
      <w:r w:rsidRPr="003B42F5">
        <w:rPr>
          <w:rFonts w:cs="Arial"/>
          <w:szCs w:val="20"/>
        </w:rPr>
        <w:t>bakalářský</w:t>
      </w:r>
      <w:r>
        <w:rPr>
          <w:rFonts w:cs="Arial"/>
          <w:szCs w:val="20"/>
        </w:rPr>
        <w:t xml:space="preserve"> studijní program - 180</w:t>
      </w:r>
      <w:r w:rsidRPr="003B42F5">
        <w:rPr>
          <w:rFonts w:cs="Arial"/>
          <w:szCs w:val="20"/>
        </w:rPr>
        <w:t>-</w:t>
      </w:r>
      <w:r>
        <w:rPr>
          <w:rFonts w:cs="Arial"/>
          <w:szCs w:val="20"/>
        </w:rPr>
        <w:t>240 kreditů</w:t>
      </w:r>
    </w:p>
    <w:p w:rsidR="009D493E" w:rsidRPr="003B42F5" w:rsidRDefault="009D493E" w:rsidP="009D493E">
      <w:pPr>
        <w:numPr>
          <w:ilvl w:val="0"/>
          <w:numId w:val="1"/>
        </w:numPr>
        <w:ind w:left="714" w:hanging="357"/>
        <w:rPr>
          <w:rFonts w:cs="Arial"/>
          <w:szCs w:val="20"/>
        </w:rPr>
      </w:pPr>
      <w:r>
        <w:rPr>
          <w:rFonts w:cs="Arial"/>
          <w:szCs w:val="20"/>
        </w:rPr>
        <w:t>magisterský</w:t>
      </w:r>
      <w:r w:rsidRPr="003B42F5">
        <w:rPr>
          <w:rFonts w:cs="Arial"/>
          <w:szCs w:val="20"/>
        </w:rPr>
        <w:t xml:space="preserve"> </w:t>
      </w:r>
      <w:r>
        <w:rPr>
          <w:rFonts w:cs="Arial"/>
          <w:szCs w:val="20"/>
        </w:rPr>
        <w:t>studijní program</w:t>
      </w:r>
      <w:r w:rsidRPr="003B42F5">
        <w:rPr>
          <w:rFonts w:cs="Arial"/>
          <w:szCs w:val="20"/>
        </w:rPr>
        <w:t xml:space="preserve"> </w:t>
      </w:r>
      <w:r>
        <w:rPr>
          <w:rFonts w:cs="Arial"/>
          <w:szCs w:val="20"/>
        </w:rPr>
        <w:t>- 90-120 kreditů</w:t>
      </w:r>
    </w:p>
    <w:p w:rsidR="009D493E" w:rsidRPr="003B42F5" w:rsidRDefault="009D493E" w:rsidP="009D493E">
      <w:pPr>
        <w:numPr>
          <w:ilvl w:val="0"/>
          <w:numId w:val="1"/>
        </w:numPr>
        <w:ind w:left="714" w:hanging="357"/>
        <w:rPr>
          <w:rFonts w:cs="Arial"/>
          <w:szCs w:val="20"/>
        </w:rPr>
      </w:pPr>
      <w:r>
        <w:rPr>
          <w:rFonts w:cs="Arial"/>
          <w:szCs w:val="20"/>
        </w:rPr>
        <w:t>doktorský</w:t>
      </w:r>
      <w:r w:rsidRPr="00AB2505">
        <w:rPr>
          <w:rFonts w:cs="Arial"/>
          <w:szCs w:val="20"/>
        </w:rPr>
        <w:t xml:space="preserve"> </w:t>
      </w:r>
      <w:r>
        <w:rPr>
          <w:rFonts w:cs="Arial"/>
          <w:szCs w:val="20"/>
        </w:rPr>
        <w:t>studijní program</w:t>
      </w:r>
      <w:r w:rsidRPr="003B42F5">
        <w:rPr>
          <w:rFonts w:cs="Arial"/>
          <w:szCs w:val="20"/>
        </w:rPr>
        <w:t xml:space="preserve"> </w:t>
      </w:r>
      <w:r w:rsidRPr="00AB2505">
        <w:rPr>
          <w:rFonts w:cs="Arial"/>
          <w:szCs w:val="20"/>
        </w:rPr>
        <w:t>- není vymezen kredity</w:t>
      </w:r>
    </w:p>
    <w:p w:rsidR="009D493E" w:rsidRPr="007A6E44" w:rsidRDefault="009D493E" w:rsidP="009D493E">
      <w:pPr>
        <w:spacing w:before="480" w:after="120"/>
        <w:rPr>
          <w:b/>
          <w:color w:val="C0504D" w:themeColor="accent2"/>
          <w:sz w:val="24"/>
        </w:rPr>
      </w:pPr>
      <w:bookmarkStart w:id="23" w:name="_Toc431985634"/>
      <w:r w:rsidRPr="007A6E44">
        <w:rPr>
          <w:b/>
          <w:color w:val="C0504D" w:themeColor="accent2"/>
          <w:sz w:val="24"/>
        </w:rPr>
        <w:t>Studijní programy na vysokých školách</w:t>
      </w:r>
      <w:bookmarkEnd w:id="23"/>
    </w:p>
    <w:p w:rsidR="009D493E" w:rsidRPr="004C57C7" w:rsidRDefault="009D493E" w:rsidP="009D493E">
      <w:pPr>
        <w:spacing w:before="120"/>
        <w:jc w:val="both"/>
        <w:rPr>
          <w:rFonts w:cs="Arial"/>
          <w:szCs w:val="20"/>
        </w:rPr>
      </w:pPr>
      <w:r w:rsidRPr="004C57C7">
        <w:rPr>
          <w:rFonts w:cs="Arial"/>
          <w:szCs w:val="20"/>
        </w:rPr>
        <w:t xml:space="preserve">Studijní program je ucelená forma </w:t>
      </w:r>
      <w:r w:rsidRPr="00820281">
        <w:rPr>
          <w:rFonts w:cs="Arial"/>
          <w:b/>
          <w:szCs w:val="20"/>
        </w:rPr>
        <w:t>vysokoškolského studia</w:t>
      </w:r>
      <w:r w:rsidRPr="004C57C7">
        <w:rPr>
          <w:rFonts w:cs="Arial"/>
          <w:szCs w:val="20"/>
        </w:rPr>
        <w:t>, kter</w:t>
      </w:r>
      <w:r>
        <w:rPr>
          <w:rFonts w:cs="Arial"/>
          <w:szCs w:val="20"/>
        </w:rPr>
        <w:t>á</w:t>
      </w:r>
      <w:r w:rsidRPr="004C57C7">
        <w:rPr>
          <w:rFonts w:cs="Arial"/>
          <w:szCs w:val="20"/>
        </w:rPr>
        <w:t xml:space="preserve"> se </w:t>
      </w:r>
      <w:r>
        <w:rPr>
          <w:rFonts w:cs="Arial"/>
          <w:szCs w:val="20"/>
        </w:rPr>
        <w:t>obvykle</w:t>
      </w:r>
      <w:r w:rsidRPr="004C57C7">
        <w:rPr>
          <w:rFonts w:cs="Arial"/>
          <w:szCs w:val="20"/>
        </w:rPr>
        <w:t xml:space="preserve"> </w:t>
      </w:r>
      <w:r>
        <w:rPr>
          <w:rFonts w:cs="Arial"/>
          <w:szCs w:val="20"/>
        </w:rPr>
        <w:t>dále</w:t>
      </w:r>
      <w:r w:rsidRPr="004C57C7">
        <w:rPr>
          <w:rFonts w:cs="Arial"/>
          <w:szCs w:val="20"/>
        </w:rPr>
        <w:t xml:space="preserve"> dělí na studijní obory. Aby mohl být </w:t>
      </w:r>
      <w:r>
        <w:rPr>
          <w:rFonts w:cs="Arial"/>
          <w:szCs w:val="20"/>
        </w:rPr>
        <w:t xml:space="preserve">studijní program </w:t>
      </w:r>
      <w:r w:rsidRPr="004C57C7">
        <w:rPr>
          <w:rFonts w:cs="Arial"/>
          <w:szCs w:val="20"/>
        </w:rPr>
        <w:t>na vysoké škole vyučován a studenti v něm mohli získat vysokoškolské vzdělání i profesní kvalifikaci, musí být akreditován. Studijní programy se dělí podle formy studia na prezenční, distanční nebo kombinované, a podle úrovně vysokoškolského vzdělání na typ bakalářský, magisterský a doktorský.</w:t>
      </w:r>
    </w:p>
    <w:p w:rsidR="009D493E" w:rsidRDefault="009D493E" w:rsidP="009D493E">
      <w:pPr>
        <w:spacing w:before="200" w:after="80"/>
        <w:rPr>
          <w:b/>
          <w:sz w:val="22"/>
        </w:rPr>
      </w:pPr>
      <w:bookmarkStart w:id="24" w:name="_Toc431985635"/>
    </w:p>
    <w:p w:rsidR="009D493E" w:rsidRPr="00E74085" w:rsidRDefault="009D493E" w:rsidP="009D493E">
      <w:pPr>
        <w:spacing w:before="200" w:after="80"/>
        <w:rPr>
          <w:b/>
          <w:sz w:val="22"/>
        </w:rPr>
      </w:pPr>
      <w:r w:rsidRPr="00E74085">
        <w:rPr>
          <w:b/>
          <w:sz w:val="22"/>
        </w:rPr>
        <w:t>Bakalářský studijní program</w:t>
      </w:r>
      <w:bookmarkEnd w:id="24"/>
    </w:p>
    <w:p w:rsidR="009D493E" w:rsidRDefault="009D493E" w:rsidP="009D493E">
      <w:pPr>
        <w:jc w:val="both"/>
      </w:pPr>
      <w:r w:rsidRPr="002B4A20">
        <w:t>Bakalářský studijní program</w:t>
      </w:r>
      <w:r>
        <w:t xml:space="preserve"> je zaměřen především na přípravu k výkonu povolání, případně i ke studiu v navazujícím magisterském studijním programu. Standardní doba studia včetně praxe je 3–4 roky, absolventi získávají akademický titul bakalář či bakalář umění.</w:t>
      </w:r>
    </w:p>
    <w:p w:rsidR="009D493E" w:rsidRPr="00E74085" w:rsidRDefault="009D493E" w:rsidP="009D493E">
      <w:pPr>
        <w:spacing w:before="200" w:after="80"/>
        <w:rPr>
          <w:b/>
          <w:sz w:val="22"/>
        </w:rPr>
      </w:pPr>
      <w:bookmarkStart w:id="25" w:name="_Toc431985636"/>
      <w:r w:rsidRPr="00E74085">
        <w:rPr>
          <w:b/>
          <w:sz w:val="22"/>
        </w:rPr>
        <w:t>Magisterský studijní program</w:t>
      </w:r>
      <w:bookmarkEnd w:id="25"/>
    </w:p>
    <w:p w:rsidR="009D493E" w:rsidRDefault="009D493E" w:rsidP="009D493E">
      <w:pPr>
        <w:jc w:val="both"/>
      </w:pPr>
      <w:r w:rsidRPr="002B4A20">
        <w:t>Magisterský studijní program (i navazující magisterský program) je zaměřen na získání teoretických</w:t>
      </w:r>
      <w:r>
        <w:t xml:space="preserve"> poznatků založených na soudobém stavu vědeckého poznání, výzkumu a vývoje, na zvládnutí jejich aplikace a na rozvinutí schopností k tvůrčí činnosti; v oblasti umění je zaměřen na náročnou uměleckou přípravu a rozvíjení talentu. Standardně navazuje na bakalářský studijní program, v takovém případě trvá zpravidla 1–3 roky, výjimečně (např. v případě programů Všeobecné lékařství nebo Právo a právní věda) je akreditován nenavazující program, trvající standardně 4–6 let. Absolventi získávají akademické tituly magistr (Mgr.), magistr umění (</w:t>
      </w:r>
      <w:proofErr w:type="spellStart"/>
      <w:r>
        <w:t>MgA</w:t>
      </w:r>
      <w:proofErr w:type="spellEnd"/>
      <w:r>
        <w:t>.), inženýr (Ing.), inženýr architekt (Ing. arch.), doktor práv (JUDr.), doktor medicíny (MUDr.), doktor zubního lékařství (</w:t>
      </w:r>
      <w:proofErr w:type="spellStart"/>
      <w:r>
        <w:t>MDDr</w:t>
      </w:r>
      <w:proofErr w:type="spellEnd"/>
      <w:r>
        <w:t>.) nebo doktor veterinární medicíny (MVDr.); absolventi s titulem Mgr. mohou navíc v téže oblasti studia vykonat rigorózní zkoušku.</w:t>
      </w:r>
    </w:p>
    <w:p w:rsidR="009D493E" w:rsidRPr="00E74085" w:rsidRDefault="009D493E" w:rsidP="009D493E">
      <w:pPr>
        <w:spacing w:before="200" w:after="80"/>
        <w:rPr>
          <w:b/>
          <w:sz w:val="22"/>
        </w:rPr>
      </w:pPr>
      <w:bookmarkStart w:id="26" w:name="_Toc431985637"/>
      <w:r w:rsidRPr="00E74085">
        <w:rPr>
          <w:b/>
          <w:sz w:val="22"/>
        </w:rPr>
        <w:t>Doktorský studijní program</w:t>
      </w:r>
      <w:bookmarkEnd w:id="26"/>
    </w:p>
    <w:p w:rsidR="009D493E" w:rsidRDefault="009D493E" w:rsidP="009D493E">
      <w:pPr>
        <w:jc w:val="both"/>
      </w:pPr>
      <w:r w:rsidRPr="002B4A20">
        <w:t>Doktorský studijní program</w:t>
      </w:r>
      <w:r>
        <w:t xml:space="preserve"> probíhá podle individuálního studijního plánu pod vedením školitele a je zaměřen na vědecké bádání a samostatnou tvůrčí činnost v oblasti výzkumu nebo vývoje nebo na samostatnou teoretickou a tvůrčí činnost v oblasti umění. Standardní doba studia včetně praxe je 3–4 roky, absolventi získávají akademický titul doktor </w:t>
      </w:r>
      <w:proofErr w:type="spellStart"/>
      <w:r>
        <w:t>Ph.D</w:t>
      </w:r>
      <w:proofErr w:type="spellEnd"/>
      <w:r>
        <w:t>.,</w:t>
      </w:r>
      <w:r w:rsidRPr="00E10A9A">
        <w:t xml:space="preserve"> </w:t>
      </w:r>
      <w:r>
        <w:t xml:space="preserve">pro umělecké obory </w:t>
      </w:r>
      <w:proofErr w:type="spellStart"/>
      <w:r w:rsidRPr="002B4A20">
        <w:t>ArtD</w:t>
      </w:r>
      <w:proofErr w:type="spellEnd"/>
      <w:r w:rsidRPr="002B4A20">
        <w:t>.</w:t>
      </w:r>
      <w:r>
        <w:t xml:space="preserve">, pro náboženské obory </w:t>
      </w:r>
      <w:proofErr w:type="spellStart"/>
      <w:r>
        <w:t>Th.D</w:t>
      </w:r>
      <w:proofErr w:type="spellEnd"/>
      <w:r>
        <w:t>.</w:t>
      </w:r>
    </w:p>
    <w:p w:rsidR="009D493E" w:rsidRPr="00E74085" w:rsidRDefault="009D493E" w:rsidP="009D493E">
      <w:pPr>
        <w:spacing w:before="200" w:after="80"/>
        <w:rPr>
          <w:b/>
          <w:sz w:val="22"/>
        </w:rPr>
      </w:pPr>
      <w:bookmarkStart w:id="27" w:name="_Toc431985638"/>
      <w:r w:rsidRPr="00E74085">
        <w:rPr>
          <w:b/>
          <w:sz w:val="22"/>
        </w:rPr>
        <w:t>Postgraduální studium</w:t>
      </w:r>
      <w:bookmarkEnd w:id="27"/>
    </w:p>
    <w:p w:rsidR="009D493E" w:rsidRDefault="009D493E" w:rsidP="009D493E">
      <w:pPr>
        <w:jc w:val="both"/>
      </w:pPr>
      <w:r w:rsidRPr="00373196">
        <w:t>Postgraduální studium</w:t>
      </w:r>
      <w:r>
        <w:t xml:space="preserve"> je studium navazující na ukončené vysokoškolské vzdělání. Je zde větší důraz na samostatné studium, přípravu na vědeckou činnost a prohloubení získaných znalostí. Student zpravidla působí na katedře jako vyučující nebo vědecký pracovník.</w:t>
      </w:r>
    </w:p>
    <w:p w:rsidR="009D493E" w:rsidRDefault="009D493E" w:rsidP="009D493E">
      <w:pPr>
        <w:jc w:val="both"/>
      </w:pPr>
    </w:p>
    <w:p w:rsidR="009D493E" w:rsidRDefault="009D493E" w:rsidP="009D493E">
      <w:pPr>
        <w:pStyle w:val="Nadpis1"/>
      </w:pPr>
    </w:p>
    <w:p w:rsidR="009D493E" w:rsidRDefault="009D493E" w:rsidP="009D493E">
      <w:pPr>
        <w:pStyle w:val="Nadpis1"/>
      </w:pPr>
    </w:p>
    <w:p w:rsidR="009D493E" w:rsidRDefault="009D493E" w:rsidP="009D493E">
      <w:pPr>
        <w:pStyle w:val="Nadpis1"/>
      </w:pPr>
    </w:p>
    <w:p w:rsidR="009D493E" w:rsidRDefault="009D493E" w:rsidP="009D493E">
      <w:pPr>
        <w:pStyle w:val="Nadpis1"/>
      </w:pPr>
    </w:p>
    <w:p w:rsidR="009D493E" w:rsidRPr="00F80707" w:rsidRDefault="009D493E" w:rsidP="009D493E"/>
    <w:p w:rsidR="009D493E" w:rsidRPr="00F80707" w:rsidRDefault="009D493E" w:rsidP="009D493E"/>
    <w:p w:rsidR="00CB3E2E" w:rsidRDefault="00CB3E2E"/>
    <w:sectPr w:rsidR="00CB3E2E" w:rsidSect="00CB3E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801C9"/>
    <w:multiLevelType w:val="multilevel"/>
    <w:tmpl w:val="46EC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D493E"/>
    <w:rsid w:val="009D493E"/>
    <w:rsid w:val="00CB3E2E"/>
    <w:rsid w:val="00E914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493E"/>
    <w:pPr>
      <w:spacing w:after="0" w:line="288" w:lineRule="auto"/>
    </w:pPr>
    <w:rPr>
      <w:rFonts w:ascii="Arial" w:eastAsia="Times New Roman" w:hAnsi="Arial" w:cs="Times New Roman"/>
      <w:sz w:val="20"/>
      <w:szCs w:val="24"/>
      <w:lang w:eastAsia="cs-CZ"/>
    </w:rPr>
  </w:style>
  <w:style w:type="paragraph" w:styleId="Nadpis1">
    <w:name w:val="heading 1"/>
    <w:next w:val="Normln"/>
    <w:link w:val="Nadpis1Char"/>
    <w:uiPriority w:val="9"/>
    <w:qFormat/>
    <w:rsid w:val="009D493E"/>
    <w:pPr>
      <w:keepNext/>
      <w:keepLines/>
      <w:spacing w:before="120" w:line="288" w:lineRule="auto"/>
      <w:outlineLvl w:val="0"/>
    </w:pPr>
    <w:rPr>
      <w:rFonts w:ascii="Arial" w:eastAsia="MS Gothic" w:hAnsi="Arial" w:cs="Times New Roman"/>
      <w:b/>
      <w:bCs/>
      <w:color w:val="BC091B"/>
      <w:sz w:val="32"/>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493E"/>
    <w:rPr>
      <w:rFonts w:ascii="Arial" w:eastAsia="MS Gothic" w:hAnsi="Arial" w:cs="Times New Roman"/>
      <w:b/>
      <w:bCs/>
      <w:color w:val="BC091B"/>
      <w:sz w:val="32"/>
      <w:szCs w:val="28"/>
      <w:lang w:eastAsia="cs-CZ"/>
    </w:rPr>
  </w:style>
  <w:style w:type="character" w:styleId="Hypertextovodkaz">
    <w:name w:val="Hyperlink"/>
    <w:uiPriority w:val="99"/>
    <w:rsid w:val="009D493E"/>
    <w:rPr>
      <w:color w:val="0000FF"/>
      <w:u w:val="single"/>
    </w:rPr>
  </w:style>
  <w:style w:type="paragraph" w:styleId="Normlnweb">
    <w:name w:val="Normal (Web)"/>
    <w:basedOn w:val="Normln"/>
    <w:uiPriority w:val="99"/>
    <w:unhideWhenUsed/>
    <w:rsid w:val="009D493E"/>
    <w:pPr>
      <w:spacing w:before="100" w:beforeAutospacing="1" w:after="100" w:afterAutospacing="1" w:line="240" w:lineRule="auto"/>
    </w:pPr>
    <w:rPr>
      <w:rFonts w:ascii="Times New Roman" w:hAnsi="Times New Roman"/>
      <w:sz w:val="24"/>
    </w:rPr>
  </w:style>
  <w:style w:type="paragraph" w:styleId="Bezmezer">
    <w:name w:val="No Spacing"/>
    <w:uiPriority w:val="1"/>
    <w:qFormat/>
    <w:rsid w:val="009D493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zso.cz/csu/czso/klasifikace_vzdelani_cz_isced_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zso.cz/csu/czso/ministerstvo-skolstvi-mladeze-a-telovychovy" TargetMode="External"/><Relationship Id="rId5" Type="http://schemas.openxmlformats.org/officeDocument/2006/relationships/hyperlink" Target="http://www.msmt.cz/vzdelavani/skolstvi-v-c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2623</Words>
  <Characters>15478</Characters>
  <Application>Microsoft Office Word</Application>
  <DocSecurity>0</DocSecurity>
  <Lines>128</Lines>
  <Paragraphs>36</Paragraphs>
  <ScaleCrop>false</ScaleCrop>
  <Company>ČSÚ</Company>
  <LinksUpToDate>false</LinksUpToDate>
  <CharactersWithSpaces>18065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watier5011</dc:creator>
  <cp:lastModifiedBy>watier5011</cp:lastModifiedBy>
  <cp:revision>1</cp:revision>
  <dcterms:created xsi:type="dcterms:W3CDTF">2015-10-23T07:45:00Z</dcterms:created>
  <dcterms:modified xsi:type="dcterms:W3CDTF">2015-10-23T07:47:00Z</dcterms:modified>
</cp:coreProperties>
</file>