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6D" w:rsidRPr="006E4CC9" w:rsidRDefault="00D7626D" w:rsidP="006E4CC9">
      <w:pPr>
        <w:pStyle w:val="Nadpis1"/>
      </w:pPr>
      <w:bookmarkStart w:id="0" w:name="_Toc451166910"/>
      <w:bookmarkStart w:id="1" w:name="_Toc451166926"/>
      <w:bookmarkStart w:id="2" w:name="_Toc451175099"/>
      <w:bookmarkStart w:id="3" w:name="_Toc451180155"/>
      <w:bookmarkStart w:id="4" w:name="_Toc483227177"/>
      <w:r w:rsidRPr="006E4CC9">
        <w:t>1. Ú</w:t>
      </w:r>
      <w:r w:rsidR="00DB6382" w:rsidRPr="006E4CC9">
        <w:t>vod</w:t>
      </w:r>
      <w:bookmarkEnd w:id="0"/>
      <w:bookmarkEnd w:id="1"/>
      <w:bookmarkEnd w:id="2"/>
      <w:bookmarkEnd w:id="3"/>
      <w:bookmarkEnd w:id="4"/>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Satelitní účet kultury ČR (dále také „účet kultury“) byl v návaznosti na úkol vyplývající z </w:t>
      </w:r>
      <w:r w:rsidRPr="00F17074">
        <w:rPr>
          <w:rFonts w:cs="Arial"/>
          <w:b/>
          <w:szCs w:val="20"/>
        </w:rPr>
        <w:t xml:space="preserve">usnesení vlády ČR č. 1452 z roku 2008, </w:t>
      </w:r>
      <w:r w:rsidRPr="00F17074">
        <w:rPr>
          <w:rFonts w:cs="Arial"/>
          <w:szCs w:val="20"/>
        </w:rPr>
        <w:t>poprvé zpracován v ověřovacím provedení za referenční rok 2009. V průběhu sestavování účtu i v rámci hodno</w:t>
      </w:r>
      <w:r w:rsidRPr="00F17074">
        <w:rPr>
          <w:rFonts w:cs="Arial"/>
          <w:szCs w:val="20"/>
        </w:rPr>
        <w:softHyphen/>
        <w:t>cení jeho výsledků za tento rok a za rok následující se ukázalo, že některé předpoklady a záměry obsažené v původním meto</w:t>
      </w:r>
      <w:r w:rsidRPr="00F17074">
        <w:rPr>
          <w:rFonts w:cs="Arial"/>
          <w:szCs w:val="20"/>
        </w:rPr>
        <w:softHyphen/>
        <w:t>dickém manuálu k účtu nemohou být zcela naplněny, resp. musí být po</w:t>
      </w:r>
      <w:r w:rsidRPr="00F17074">
        <w:rPr>
          <w:rFonts w:cs="Arial"/>
          <w:szCs w:val="20"/>
        </w:rPr>
        <w:softHyphen/>
        <w:t>opraven</w:t>
      </w:r>
      <w:proofErr w:type="spellStart"/>
      <w:r w:rsidRPr="00F17074">
        <w:rPr>
          <w:rFonts w:cs="Arial"/>
          <w:szCs w:val="20"/>
        </w:rPr>
        <w:t>y</w:t>
      </w:r>
      <w:proofErr w:type="spellEnd"/>
      <w:r w:rsidRPr="00F17074">
        <w:rPr>
          <w:rFonts w:cs="Arial"/>
          <w:szCs w:val="20"/>
        </w:rPr>
        <w:t>.</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Změny se týkaly zejména vymezení rozsahu sektoru kultury. S ohledem na složitost a různorodost kulturních aktivit byly řešeny otázky zahrnutí navazujících produkčních etap tvorby kulturních statků (např.</w:t>
      </w:r>
      <w:r w:rsidR="00B86977">
        <w:rPr>
          <w:rFonts w:cs="Arial"/>
          <w:szCs w:val="20"/>
        </w:rPr>
        <w:t> </w:t>
      </w:r>
      <w:r w:rsidRPr="00F17074">
        <w:rPr>
          <w:rFonts w:cs="Arial"/>
          <w:szCs w:val="20"/>
        </w:rPr>
        <w:t>nakladatelské a vydavatelské činnosti) a také maloobchodních činností (např. prodej knih, starožitností atd.).</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Pro prvé ověřovací sestavení kulturního účtu za rok 2009 byl sektor kultury vymezen v rámci dohody zainteresovaných insti</w:t>
      </w:r>
      <w:r w:rsidRPr="00F17074">
        <w:rPr>
          <w:rFonts w:cs="Arial"/>
          <w:szCs w:val="20"/>
        </w:rPr>
        <w:softHyphen/>
        <w:t xml:space="preserve">tucí (MK ČR resp. NIPOS a ČSÚ). Na podzim roku 2011 byl však ukončen projekt </w:t>
      </w:r>
      <w:proofErr w:type="spellStart"/>
      <w:r w:rsidRPr="00F17074">
        <w:rPr>
          <w:rFonts w:cs="Arial"/>
          <w:szCs w:val="20"/>
        </w:rPr>
        <w:t>ESSnet</w:t>
      </w:r>
      <w:proofErr w:type="spellEnd"/>
      <w:r w:rsidRPr="00F17074">
        <w:rPr>
          <w:rFonts w:cs="Arial"/>
          <w:szCs w:val="20"/>
        </w:rPr>
        <w:t xml:space="preserve"> </w:t>
      </w:r>
      <w:proofErr w:type="spellStart"/>
      <w:r w:rsidRPr="00F17074">
        <w:rPr>
          <w:rFonts w:cs="Arial"/>
          <w:szCs w:val="20"/>
        </w:rPr>
        <w:t>Culture</w:t>
      </w:r>
      <w:proofErr w:type="spellEnd"/>
      <w:r w:rsidRPr="00F17074">
        <w:rPr>
          <w:rFonts w:cs="Arial"/>
          <w:szCs w:val="20"/>
        </w:rPr>
        <w:t xml:space="preserve"> organizovaný </w:t>
      </w:r>
      <w:proofErr w:type="spellStart"/>
      <w:r w:rsidRPr="00F17074">
        <w:rPr>
          <w:rFonts w:cs="Arial"/>
          <w:szCs w:val="20"/>
        </w:rPr>
        <w:t>Eurosta</w:t>
      </w:r>
      <w:r w:rsidRPr="00F17074">
        <w:rPr>
          <w:rFonts w:cs="Arial"/>
          <w:szCs w:val="20"/>
        </w:rPr>
        <w:softHyphen/>
        <w:t>tem</w:t>
      </w:r>
      <w:proofErr w:type="spellEnd"/>
      <w:r w:rsidRPr="00F17074">
        <w:rPr>
          <w:rFonts w:cs="Arial"/>
          <w:szCs w:val="20"/>
        </w:rPr>
        <w:t xml:space="preserve">, jehož úkolem - mimo jiné - bylo jednotné vymezení sektoru kultury v rámci celé EU. Výsledky výše uvedeného projektu byly zapracovány do novelizované metodiky sestavení kulturního účtu a staly se východiskem pro sestavení účtu za rok 2010 a následující léta. </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Co se změn – v porovnání s původním pojetím kulturního účtu za rok 2009 – týče, byl sektor kultury rozšířen o některé maloobchodní činnosti (NACE 47.63, 78 a 79), překladatelské a tlumočnické služby (NACE 74.30), pronájem videokazet a disků (NACE 77.22) a umělecké vzdělávání (NACE 85.52). Nutno dodat, že některé maloobchodní aktivity (NACE 47.78 a 79) se však vztahují ke kultuře jen částečně a odpovídající data je proto nezbytné složitými postupy kvantifikovat (resp. částečně i odhadovat).</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Další odlišnosti oproti prvému ověřovacímu zpracování účtu spočívaly v rozsahu a kvalitě zjištěných dat. Pomocí doplňkových zjišťování (např. v uměleckých řemeslech, či v archivech) se postupně rozšiřoval okruh respondentů, jejichž data jsou k sestavení kulturního účtu využita. Svůj význam pro kvalitu dat měla také skutečnost, že si respondenti začali postupně zvykat na vyka</w:t>
      </w:r>
      <w:r w:rsidRPr="00F17074">
        <w:rPr>
          <w:rFonts w:cs="Arial"/>
          <w:szCs w:val="20"/>
        </w:rPr>
        <w:softHyphen/>
        <w:t xml:space="preserve">zování ekonomických údajů, které byly do statistických šetření KULT zavedeny teprve v referenčním roce 2009. </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Z výše uvedeného je patrné, že srovnávání výsledků účtů kultury v celé časové řadě má nemalá úskalí. Zejména data za referenční rok 2009, která vycházejí z užšího vymezení sektoru kultury, nejsou s daty za pozdější roční období v přijatelné míře porovnatelná. Tuto skutečnost je třeba mít - při práci s uvedenými údaji - vždy na paměti.</w:t>
      </w:r>
    </w:p>
    <w:p w:rsidR="00544C52" w:rsidRDefault="00F17074" w:rsidP="00F17074">
      <w:pPr>
        <w:widowControl w:val="0"/>
        <w:autoSpaceDE w:val="0"/>
        <w:autoSpaceDN w:val="0"/>
        <w:adjustRightInd w:val="0"/>
        <w:jc w:val="both"/>
        <w:rPr>
          <w:rFonts w:cs="Arial"/>
          <w:szCs w:val="20"/>
        </w:rPr>
      </w:pPr>
      <w:r w:rsidRPr="00F17074">
        <w:rPr>
          <w:rFonts w:cs="Arial"/>
          <w:szCs w:val="20"/>
        </w:rPr>
        <w:t xml:space="preserve">V roce 2015 byl </w:t>
      </w:r>
      <w:r w:rsidRPr="00F17074">
        <w:rPr>
          <w:rFonts w:cs="Arial"/>
          <w:b/>
          <w:szCs w:val="20"/>
        </w:rPr>
        <w:t>usnesením vlády ČR č. 266 k návrhu Státní kulturní politiky na léta 2015 – 2020</w:t>
      </w:r>
      <w:r w:rsidRPr="00F17074">
        <w:rPr>
          <w:rFonts w:cs="Arial"/>
          <w:szCs w:val="20"/>
        </w:rPr>
        <w:t xml:space="preserve"> (s výhledem do roku 2025) úkol týkající se sestavování Satelitního účtu kultury prodloužen do dalšího období a navíc rozšířen o vyhodnocení časové řady výsledků zmíněného účtu za léta 2010 – 2015. Toto zadání je formulováno jako společný úkol MK, resp. NIPOS a ČSÚ, jehož nositelem je MK (jak vyplývá z uvedeného usnesení).</w:t>
      </w:r>
    </w:p>
    <w:p w:rsidR="00D7626D" w:rsidRPr="006E4CC9" w:rsidRDefault="00D7626D" w:rsidP="006E4CC9">
      <w:pPr>
        <w:pStyle w:val="Nadpis2"/>
        <w:rPr>
          <w:szCs w:val="24"/>
        </w:rPr>
      </w:pPr>
      <w:bookmarkStart w:id="5" w:name="_Toc451166911"/>
      <w:bookmarkStart w:id="6" w:name="_Toc451166927"/>
      <w:bookmarkStart w:id="7" w:name="_Toc451175100"/>
      <w:bookmarkStart w:id="8" w:name="_Toc451180156"/>
      <w:bookmarkStart w:id="9" w:name="_Toc483227178"/>
      <w:r w:rsidRPr="006E4CC9">
        <w:t>1.1. Vymezení a členění sektoru kultury</w:t>
      </w:r>
      <w:bookmarkEnd w:id="5"/>
      <w:bookmarkEnd w:id="6"/>
      <w:bookmarkEnd w:id="7"/>
      <w:bookmarkEnd w:id="8"/>
      <w:bookmarkEnd w:id="9"/>
    </w:p>
    <w:p w:rsidR="00F17074" w:rsidRPr="00F17074" w:rsidRDefault="00F17074" w:rsidP="00F17074">
      <w:pPr>
        <w:widowControl w:val="0"/>
        <w:overflowPunct w:val="0"/>
        <w:autoSpaceDE w:val="0"/>
        <w:autoSpaceDN w:val="0"/>
        <w:adjustRightInd w:val="0"/>
        <w:jc w:val="both"/>
        <w:rPr>
          <w:rFonts w:cs="Arial"/>
        </w:rPr>
      </w:pPr>
      <w:r w:rsidRPr="00F17074">
        <w:rPr>
          <w:rFonts w:cs="Arial"/>
        </w:rPr>
        <w:t>Před vlastním zjišťováním a hodnocením ekonomického rozměru kultury je nutné jasně určit rozsah a strukturu objektu, který je předmětem našeho zájmu. Nejdříve je třeba odli</w:t>
      </w:r>
      <w:r w:rsidRPr="00F17074">
        <w:rPr>
          <w:rFonts w:cs="Arial"/>
        </w:rPr>
        <w:softHyphen/>
        <w:t>šit jeho vymezení z pohledu věcného od vymezení průřezového cha</w:t>
      </w:r>
      <w:r w:rsidRPr="00F17074">
        <w:rPr>
          <w:rFonts w:cs="Arial"/>
        </w:rPr>
        <w:softHyphen/>
        <w:t>rakteru, které vychází z účelu resp. funkce a z průběhu dějů v čase. V prvém případě lze hovořit o jednotlivých oblastech či sférách, poskytovatelích, kulturních a kreativních sektorech kultury a ve druhém o tzv. kulturním cyklu.</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V souladu s dostupnými mezinárodními dokumenty (</w:t>
      </w:r>
      <w:proofErr w:type="spellStart"/>
      <w:r w:rsidRPr="00F17074">
        <w:rPr>
          <w:rFonts w:cs="Arial"/>
        </w:rPr>
        <w:t>E</w:t>
      </w:r>
      <w:r w:rsidR="00E90EA6">
        <w:rPr>
          <w:rFonts w:cs="Arial"/>
        </w:rPr>
        <w:t>urostat</w:t>
      </w:r>
      <w:proofErr w:type="spellEnd"/>
      <w:r w:rsidRPr="00F17074">
        <w:rPr>
          <w:rFonts w:cs="Arial"/>
        </w:rPr>
        <w:t xml:space="preserve">, UNESCO, OECD) rozlišujeme tyto kulturní </w:t>
      </w:r>
      <w:r w:rsidRPr="00F17074">
        <w:rPr>
          <w:rFonts w:cs="Arial"/>
        </w:rPr>
        <w:lastRenderedPageBreak/>
        <w:t>oblasti či od</w:t>
      </w:r>
      <w:r w:rsidRPr="00F17074">
        <w:rPr>
          <w:rFonts w:cs="Arial"/>
        </w:rPr>
        <w:softHyphen/>
        <w:t>větví označené „O 11 – O 19“ (s uvedením CZ - NACE):</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kulturní dědictví - </w:t>
      </w:r>
      <w:proofErr w:type="gramStart"/>
      <w:r w:rsidRPr="00F17074">
        <w:rPr>
          <w:rFonts w:cs="Arial"/>
        </w:rPr>
        <w:t>O.11</w:t>
      </w:r>
      <w:proofErr w:type="gramEnd"/>
      <w:r w:rsidRPr="00F17074">
        <w:rPr>
          <w:rFonts w:cs="Arial"/>
        </w:rPr>
        <w:t xml:space="preserve"> (91.01, 02, 03, 47.78, 79)</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interpretační (scénické) umění - </w:t>
      </w:r>
      <w:proofErr w:type="gramStart"/>
      <w:r w:rsidRPr="00F17074">
        <w:rPr>
          <w:rFonts w:cs="Arial"/>
        </w:rPr>
        <w:t>O.12</w:t>
      </w:r>
      <w:proofErr w:type="gramEnd"/>
      <w:r w:rsidRPr="00F17074">
        <w:rPr>
          <w:rFonts w:cs="Arial"/>
        </w:rPr>
        <w:t xml:space="preserve"> (90.01, 02, 04)</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výtvarné (vizuální) umění a řemesla - </w:t>
      </w:r>
      <w:proofErr w:type="gramStart"/>
      <w:r w:rsidRPr="00F17074">
        <w:rPr>
          <w:rFonts w:cs="Arial"/>
        </w:rPr>
        <w:t>O.13</w:t>
      </w:r>
      <w:proofErr w:type="gramEnd"/>
      <w:r w:rsidRPr="00F17074">
        <w:rPr>
          <w:rFonts w:cs="Arial"/>
        </w:rPr>
        <w:t xml:space="preserve"> (74.10, 20, 90.03, část sekce C)</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periodický a neperiodický tisk - </w:t>
      </w:r>
      <w:proofErr w:type="gramStart"/>
      <w:r w:rsidRPr="00F17074">
        <w:rPr>
          <w:rFonts w:cs="Arial"/>
        </w:rPr>
        <w:t>O.14</w:t>
      </w:r>
      <w:proofErr w:type="gramEnd"/>
      <w:r w:rsidRPr="00F17074">
        <w:rPr>
          <w:rFonts w:cs="Arial"/>
        </w:rPr>
        <w:t xml:space="preserve"> (58.11,13, 63.91, 74.30, 47.61, 62)</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audiovizuální a interaktivní média </w:t>
      </w:r>
      <w:r w:rsidR="00E90EA6" w:rsidRPr="00F17074">
        <w:rPr>
          <w:rFonts w:cs="Arial"/>
        </w:rPr>
        <w:t>-</w:t>
      </w:r>
      <w:r w:rsidR="00E90EA6">
        <w:rPr>
          <w:rFonts w:cs="Arial"/>
        </w:rPr>
        <w:t xml:space="preserve"> </w:t>
      </w:r>
      <w:proofErr w:type="gramStart"/>
      <w:r w:rsidRPr="00F17074">
        <w:rPr>
          <w:rFonts w:cs="Arial"/>
        </w:rPr>
        <w:t>O.15</w:t>
      </w:r>
      <w:proofErr w:type="gramEnd"/>
      <w:r w:rsidRPr="00F17074">
        <w:rPr>
          <w:rFonts w:cs="Arial"/>
        </w:rPr>
        <w:t xml:space="preserve"> (58.21, 59.11, 12, 13, 14, 20, 60.10, 20, 47.63, 77.22)</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architektura </w:t>
      </w:r>
      <w:r w:rsidR="00E90EA6" w:rsidRPr="00F17074">
        <w:rPr>
          <w:rFonts w:cs="Arial"/>
        </w:rPr>
        <w:t>-</w:t>
      </w:r>
      <w:r w:rsidR="00E90EA6">
        <w:rPr>
          <w:rFonts w:cs="Arial"/>
        </w:rPr>
        <w:t xml:space="preserve"> </w:t>
      </w:r>
      <w:proofErr w:type="gramStart"/>
      <w:r w:rsidRPr="00F17074">
        <w:rPr>
          <w:rFonts w:cs="Arial"/>
        </w:rPr>
        <w:t>O.16</w:t>
      </w:r>
      <w:proofErr w:type="gramEnd"/>
      <w:r w:rsidRPr="00F17074">
        <w:rPr>
          <w:rFonts w:cs="Arial"/>
        </w:rPr>
        <w:t xml:space="preserve"> (71.11) </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reklama </w:t>
      </w:r>
      <w:r w:rsidR="00E90EA6" w:rsidRPr="00F17074">
        <w:rPr>
          <w:rFonts w:cs="Arial"/>
        </w:rPr>
        <w:t>-</w:t>
      </w:r>
      <w:r w:rsidR="00E90EA6">
        <w:rPr>
          <w:rFonts w:cs="Arial"/>
        </w:rPr>
        <w:t xml:space="preserve"> </w:t>
      </w:r>
      <w:proofErr w:type="gramStart"/>
      <w:r w:rsidRPr="00F17074">
        <w:rPr>
          <w:rFonts w:cs="Arial"/>
        </w:rPr>
        <w:t>O.17</w:t>
      </w:r>
      <w:proofErr w:type="gramEnd"/>
      <w:r w:rsidRPr="00F17074">
        <w:rPr>
          <w:rFonts w:cs="Arial"/>
        </w:rPr>
        <w:t xml:space="preserve"> (73.11) </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umělecké vzdělávání </w:t>
      </w:r>
      <w:r w:rsidR="00E90EA6" w:rsidRPr="00F17074">
        <w:rPr>
          <w:rFonts w:cs="Arial"/>
        </w:rPr>
        <w:t>-</w:t>
      </w:r>
      <w:r w:rsidR="00E90EA6">
        <w:rPr>
          <w:rFonts w:cs="Arial"/>
        </w:rPr>
        <w:t xml:space="preserve"> </w:t>
      </w:r>
      <w:proofErr w:type="gramStart"/>
      <w:r w:rsidRPr="00F17074">
        <w:rPr>
          <w:rFonts w:cs="Arial"/>
        </w:rPr>
        <w:t>O.18</w:t>
      </w:r>
      <w:proofErr w:type="gramEnd"/>
      <w:r w:rsidRPr="00F17074">
        <w:rPr>
          <w:rFonts w:cs="Arial"/>
        </w:rPr>
        <w:t xml:space="preserve"> (85.52)</w:t>
      </w:r>
    </w:p>
    <w:p w:rsid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správa kultury vč. její podpory </w:t>
      </w:r>
      <w:r w:rsidR="00E90EA6" w:rsidRPr="00F17074">
        <w:rPr>
          <w:rFonts w:cs="Arial"/>
        </w:rPr>
        <w:t>-</w:t>
      </w:r>
      <w:r w:rsidR="00E90EA6">
        <w:rPr>
          <w:rFonts w:cs="Arial"/>
        </w:rPr>
        <w:t xml:space="preserve"> </w:t>
      </w:r>
      <w:proofErr w:type="gramStart"/>
      <w:r w:rsidRPr="00F17074">
        <w:rPr>
          <w:rFonts w:cs="Arial"/>
        </w:rPr>
        <w:t>O.19</w:t>
      </w:r>
      <w:proofErr w:type="gramEnd"/>
      <w:r w:rsidRPr="00F17074">
        <w:rPr>
          <w:rFonts w:cs="Arial"/>
        </w:rPr>
        <w:t xml:space="preserve"> (84.11 - část, 12 - část, 94.99.2)</w:t>
      </w:r>
    </w:p>
    <w:p w:rsidR="00722C25" w:rsidRPr="00F17074" w:rsidRDefault="00722C25" w:rsidP="00722C25">
      <w:pPr>
        <w:widowControl w:val="0"/>
        <w:overflowPunct w:val="0"/>
        <w:autoSpaceDE w:val="0"/>
        <w:autoSpaceDN w:val="0"/>
        <w:adjustRightInd w:val="0"/>
        <w:spacing w:after="0"/>
        <w:ind w:left="641"/>
        <w:jc w:val="both"/>
        <w:rPr>
          <w:rFonts w:cs="Arial"/>
        </w:rPr>
      </w:pPr>
    </w:p>
    <w:p w:rsidR="00F17074" w:rsidRPr="00F17074" w:rsidRDefault="00F17074" w:rsidP="00F17074">
      <w:pPr>
        <w:widowControl w:val="0"/>
        <w:overflowPunct w:val="0"/>
        <w:autoSpaceDE w:val="0"/>
        <w:autoSpaceDN w:val="0"/>
        <w:adjustRightInd w:val="0"/>
        <w:jc w:val="both"/>
        <w:rPr>
          <w:rFonts w:cs="Arial"/>
        </w:rPr>
      </w:pPr>
      <w:r w:rsidRPr="00F17074">
        <w:rPr>
          <w:rFonts w:cs="Arial"/>
        </w:rPr>
        <w:t>Z praktických důvodů, souvisejících s problémy se získáním a členěním potřebných dat, je nutné výše uvedené oblasti do</w:t>
      </w:r>
      <w:r w:rsidRPr="00F17074">
        <w:rPr>
          <w:rFonts w:cs="Arial"/>
        </w:rPr>
        <w:softHyphen/>
        <w:t xml:space="preserve">plnit o další blíže neurčenou oblast či oblasti, kterou budeme nazývat „neznámá oblast“.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V rámci jednotlivých oblastí rozeznáváme kulturní činnosti (představují či zprostředkovávají kulturní projevy) jako např. čin</w:t>
      </w:r>
      <w:r w:rsidRPr="00F17074">
        <w:rPr>
          <w:rFonts w:cs="Arial"/>
        </w:rPr>
        <w:softHyphen/>
        <w:t>nost muzeí a galerií a dále kulturní služby či statky (např. konzervace a archivace v rámci muzeí či originály zvukových na</w:t>
      </w:r>
      <w:r w:rsidRPr="00F17074">
        <w:rPr>
          <w:rFonts w:cs="Arial"/>
        </w:rPr>
        <w:softHyphen/>
        <w:t>hrávek). Nositele uvedených kulturních činností, popř. služeb či statků, lze také souhrnně označit za poskytovatele kulturních statků a služeb (dále také „poskytovatele“). Mezi ně patří např. muzea, knihovny, divadla, kina, rozhlas či televize. Nutno dodat, že jejich počet je do značné míry dán pragmatickými důvody spočívajícími v dosažitelnosti statistických dat (zejména cestou statistických zjišťování). Jinými slovy řečeno to znamená, že data o některých významných kulturních aktivitách (např. archeo</w:t>
      </w:r>
      <w:r w:rsidRPr="00F17074">
        <w:rPr>
          <w:rFonts w:cs="Arial"/>
        </w:rPr>
        <w:softHyphen/>
        <w:t>logických nalezištích, uměleckých řemeslech, činnosti spisovatelů, malířů či sochařů apod.) v současné době nejsou, popř. z velké části nejsou k dispozici.</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V souladu se zaměřením prováděných statistických šetření v kultuře (KULT) přiřazujeme stávající institucionálně vyme</w:t>
      </w:r>
      <w:r w:rsidRPr="00F17074">
        <w:rPr>
          <w:rFonts w:cs="Arial"/>
        </w:rPr>
        <w:softHyphen/>
        <w:t xml:space="preserve">zené poskytovatele (respondenty šetření) k obsahově vymezeným kulturním oblastem (odvětvím) tj. </w:t>
      </w:r>
      <w:proofErr w:type="gramStart"/>
      <w:r w:rsidRPr="00F17074">
        <w:rPr>
          <w:rFonts w:cs="Arial"/>
        </w:rPr>
        <w:t>O.11</w:t>
      </w:r>
      <w:proofErr w:type="gramEnd"/>
      <w:r w:rsidRPr="00F17074">
        <w:rPr>
          <w:rFonts w:cs="Arial"/>
        </w:rPr>
        <w:t xml:space="preserve"> – O.19, takto : </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historická památka - (</w:t>
      </w:r>
      <w:proofErr w:type="gramStart"/>
      <w:r w:rsidRPr="00F17074">
        <w:rPr>
          <w:rFonts w:cs="Arial"/>
        </w:rPr>
        <w:t>O.11</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muzeum a galerie - (</w:t>
      </w:r>
      <w:proofErr w:type="gramStart"/>
      <w:r w:rsidRPr="00F17074">
        <w:rPr>
          <w:rFonts w:cs="Arial"/>
        </w:rPr>
        <w:t>O.11</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archiv - (</w:t>
      </w:r>
      <w:proofErr w:type="gramStart"/>
      <w:r w:rsidRPr="00F17074">
        <w:rPr>
          <w:rFonts w:cs="Arial"/>
        </w:rPr>
        <w:t>O.11</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knihovna - (O. 11)</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divadlo - (</w:t>
      </w:r>
      <w:proofErr w:type="gramStart"/>
      <w:r w:rsidRPr="00F17074">
        <w:rPr>
          <w:rFonts w:cs="Arial"/>
        </w:rPr>
        <w:t>O.12</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koncertní sál - (</w:t>
      </w:r>
      <w:proofErr w:type="gramStart"/>
      <w:r w:rsidRPr="00F17074">
        <w:rPr>
          <w:rFonts w:cs="Arial"/>
        </w:rPr>
        <w:t>O.12</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kulturní domy </w:t>
      </w:r>
      <w:r w:rsidR="00E90EA6" w:rsidRPr="00F17074">
        <w:rPr>
          <w:rFonts w:cs="Arial"/>
        </w:rPr>
        <w:t xml:space="preserve">- </w:t>
      </w:r>
      <w:r w:rsidRPr="00F17074">
        <w:rPr>
          <w:rFonts w:cs="Arial"/>
        </w:rPr>
        <w:t>(</w:t>
      </w:r>
      <w:proofErr w:type="gramStart"/>
      <w:r w:rsidRPr="00F17074">
        <w:rPr>
          <w:rFonts w:cs="Arial"/>
        </w:rPr>
        <w:t>O.12</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výstavní sál - (</w:t>
      </w:r>
      <w:proofErr w:type="gramStart"/>
      <w:r w:rsidRPr="00F17074">
        <w:rPr>
          <w:rFonts w:cs="Arial"/>
        </w:rPr>
        <w:t>O.13</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nakladatelství/vydavatelství - (</w:t>
      </w:r>
      <w:proofErr w:type="gramStart"/>
      <w:r w:rsidRPr="00F17074">
        <w:rPr>
          <w:rFonts w:cs="Arial"/>
        </w:rPr>
        <w:t>O.14</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výrobci a distributoři audiovizuálních děl - (</w:t>
      </w:r>
      <w:proofErr w:type="gramStart"/>
      <w:r w:rsidRPr="00F17074">
        <w:rPr>
          <w:rFonts w:cs="Arial"/>
        </w:rPr>
        <w:t>O.15</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rozhlas - (</w:t>
      </w:r>
      <w:proofErr w:type="gramStart"/>
      <w:r w:rsidRPr="00F17074">
        <w:rPr>
          <w:rFonts w:cs="Arial"/>
        </w:rPr>
        <w:t>O.15</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televize - (</w:t>
      </w:r>
      <w:proofErr w:type="gramStart"/>
      <w:r w:rsidRPr="00F17074">
        <w:rPr>
          <w:rFonts w:cs="Arial"/>
        </w:rPr>
        <w:t>O.15</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školy uměleckého vzdělávání </w:t>
      </w:r>
      <w:r w:rsidR="00E90EA6" w:rsidRPr="00F17074">
        <w:rPr>
          <w:rFonts w:cs="Arial"/>
        </w:rPr>
        <w:t>-</w:t>
      </w:r>
      <w:r w:rsidRPr="00F17074">
        <w:rPr>
          <w:rFonts w:cs="Arial"/>
        </w:rPr>
        <w:t xml:space="preserve"> (</w:t>
      </w:r>
      <w:proofErr w:type="gramStart"/>
      <w:r w:rsidRPr="00F17074">
        <w:rPr>
          <w:rFonts w:cs="Arial"/>
        </w:rPr>
        <w:t>O.18</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organizace ochrany aut.práv - (</w:t>
      </w:r>
      <w:proofErr w:type="gramStart"/>
      <w:r w:rsidRPr="00F17074">
        <w:rPr>
          <w:rFonts w:cs="Arial"/>
        </w:rPr>
        <w:t>O.19</w:t>
      </w:r>
      <w:proofErr w:type="gramEnd"/>
      <w:r w:rsidRPr="00F17074">
        <w:rPr>
          <w:rFonts w:cs="Arial"/>
        </w:rPr>
        <w:t>)</w:t>
      </w:r>
    </w:p>
    <w:p w:rsid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ostatní poskytovatelé - (</w:t>
      </w:r>
      <w:proofErr w:type="gramStart"/>
      <w:r w:rsidRPr="00F17074">
        <w:rPr>
          <w:rFonts w:cs="Arial"/>
        </w:rPr>
        <w:t>O.11</w:t>
      </w:r>
      <w:proofErr w:type="gramEnd"/>
      <w:r w:rsidRPr="00F17074">
        <w:rPr>
          <w:rFonts w:cs="Arial"/>
        </w:rPr>
        <w:t xml:space="preserve"> - O.19)</w:t>
      </w:r>
    </w:p>
    <w:p w:rsidR="00722C25" w:rsidRPr="00F17074" w:rsidRDefault="00722C25" w:rsidP="00722C25">
      <w:pPr>
        <w:widowControl w:val="0"/>
        <w:overflowPunct w:val="0"/>
        <w:autoSpaceDE w:val="0"/>
        <w:autoSpaceDN w:val="0"/>
        <w:adjustRightInd w:val="0"/>
        <w:spacing w:after="0"/>
        <w:ind w:left="641"/>
        <w:jc w:val="both"/>
        <w:rPr>
          <w:rFonts w:cs="Arial"/>
        </w:rPr>
      </w:pPr>
    </w:p>
    <w:p w:rsidR="00F17074" w:rsidRPr="00F17074" w:rsidRDefault="00F17074" w:rsidP="00F17074">
      <w:pPr>
        <w:widowControl w:val="0"/>
        <w:overflowPunct w:val="0"/>
        <w:autoSpaceDE w:val="0"/>
        <w:autoSpaceDN w:val="0"/>
        <w:adjustRightInd w:val="0"/>
        <w:jc w:val="both"/>
        <w:rPr>
          <w:rFonts w:cs="Arial"/>
        </w:rPr>
      </w:pPr>
      <w:r w:rsidRPr="00F17074">
        <w:rPr>
          <w:rFonts w:cs="Arial"/>
        </w:rPr>
        <w:t>Jak je z uvedeného členění patrné, např. ve velmi významné oblasti architektonických čin</w:t>
      </w:r>
      <w:r w:rsidRPr="00F17074">
        <w:rPr>
          <w:rFonts w:cs="Arial"/>
        </w:rPr>
        <w:softHyphen/>
        <w:t>ností (</w:t>
      </w:r>
      <w:proofErr w:type="gramStart"/>
      <w:r w:rsidRPr="00F17074">
        <w:rPr>
          <w:rFonts w:cs="Arial"/>
        </w:rPr>
        <w:t>O.16</w:t>
      </w:r>
      <w:proofErr w:type="gramEnd"/>
      <w:r w:rsidRPr="00F17074">
        <w:rPr>
          <w:rFonts w:cs="Arial"/>
        </w:rPr>
        <w:t>) se zatím žádný jed</w:t>
      </w:r>
      <w:r w:rsidRPr="00F17074">
        <w:rPr>
          <w:rFonts w:cs="Arial"/>
        </w:rPr>
        <w:softHyphen/>
        <w:t xml:space="preserve">noznačně vymezený poskytovatel - z důvodu nedostatku odpovídajících dat získávaných statistickými šetřeními - nenachází. Obvykle je rozsah kulturních oblastí širší než činnosti poskytovatelů, kteří do nich jsou zařazeni. Poskytovatelé jsou tak svým způsobem vybranými (statisticky zvlášť sledovanými) reprezentanty jednotlivých oblastí, kteří však vyčerpávajícím způsobem celou oblast nepokrývají.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lastRenderedPageBreak/>
        <w:t>Za údaje o ostatních poskytovatelích se považují zjišťovaná data o činnosti v těch kulturních oblastech, které</w:t>
      </w:r>
      <w:r w:rsidR="000D418C">
        <w:rPr>
          <w:rFonts w:cs="Arial"/>
        </w:rPr>
        <w:t> </w:t>
      </w:r>
      <w:r w:rsidRPr="00F17074">
        <w:rPr>
          <w:rFonts w:cs="Arial"/>
        </w:rPr>
        <w:t>nelze jedno</w:t>
      </w:r>
      <w:r w:rsidRPr="00F17074">
        <w:rPr>
          <w:rFonts w:cs="Arial"/>
        </w:rPr>
        <w:softHyphen/>
        <w:t>značně přiřadit k předcházejícím poskytovatelům (např. maloobchodní prodej knih, starožitností, uměleckých předmětů, tvorba hudebních nahrávek, služby designu, aktivity zpravodajských agentur, správní činnosti ministerstva kultury a jím řízených insti</w:t>
      </w:r>
      <w:r w:rsidRPr="00F17074">
        <w:rPr>
          <w:rFonts w:cs="Arial"/>
        </w:rPr>
        <w:softHyphen/>
        <w:t xml:space="preserve">tucí atd.).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 xml:space="preserve">Z podobných důvodů jako v případě oblastí </w:t>
      </w:r>
      <w:r w:rsidR="000D418C" w:rsidRPr="00F17074">
        <w:rPr>
          <w:rFonts w:cs="Arial"/>
        </w:rPr>
        <w:t>-</w:t>
      </w:r>
      <w:r w:rsidRPr="00F17074">
        <w:rPr>
          <w:rFonts w:cs="Arial"/>
        </w:rPr>
        <w:t xml:space="preserve"> tj. nemožnosti věrohodného rozčlenění souhrnných dat - je nutné před</w:t>
      </w:r>
      <w:r w:rsidRPr="00F17074">
        <w:rPr>
          <w:rFonts w:cs="Arial"/>
        </w:rPr>
        <w:softHyphen/>
        <w:t xml:space="preserve">pokládat i tzv. „neznámého poskytovatele“. V této souvislosti je patrné, že postupné snižování významu (váhy) dat uvedených za neznámou oblast či neznámého poskytovatele v relaci k celkovým údajům za kulturu by mělo být projevem zdokonalování účtu kultury jako takového. To je však velmi obtížný a dlouhodobý úkol související zejména s možnostmi rozšiřování a prohlubování statistického výkaznictví (ochota respondentů, finanční možnosti a pracovní kapacity statistických pracovišť, snahy o snižování administrativní zátěže apod.).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 xml:space="preserve">Jak je z výše uvedeného zřejmé, členění poskytovatelů kulturních služeb, které je do značné míry ovlivněno možnostmi získání potřebných dat za danou sféru kulturních aktivit, se bude se změnami ve statistickém zjišťování v čase měnit.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Lze použít i jiné členění sektoru kultury než je výše uvedené, které můžeme označit za výchozí či základní. Tak např. kul</w:t>
      </w:r>
      <w:r w:rsidRPr="00F17074">
        <w:rPr>
          <w:rFonts w:cs="Arial"/>
        </w:rPr>
        <w:softHyphen/>
        <w:t xml:space="preserve">turní oblasti lze seskupit do čtyř tzv. sfér. Každá z nich odráží rozhodující příbuzné rysy několika oblastí. Za takovou skupinu příbuzných oblastí lze považovat sféru kulturního (hmotného a nehmotného) dědictví, kam patří např. památky, archeologická naleziště, muzea a galerie, archivy a knihovny, dále sféru živé originální umělecké tvorby (např. interpretační a výtvarné umění, umělecká řemesla, design, architektura, reklama) a sféru kulturních medií (např. film, televize, rozhlas, vydávání software a tisk). Čtvrtou sféru </w:t>
      </w:r>
      <w:r w:rsidR="000D418C" w:rsidRPr="00F17074">
        <w:rPr>
          <w:rFonts w:cs="Arial"/>
        </w:rPr>
        <w:t>-</w:t>
      </w:r>
      <w:r w:rsidR="000D418C">
        <w:rPr>
          <w:rFonts w:cs="Arial"/>
        </w:rPr>
        <w:t xml:space="preserve"> </w:t>
      </w:r>
      <w:r w:rsidRPr="00F17074">
        <w:rPr>
          <w:rFonts w:cs="Arial"/>
        </w:rPr>
        <w:t xml:space="preserve">ač ne ryze kulturní - by mohly tvořit správní (režijní) činnosti (včetně ochrany autorských práv a podpory kultury), které </w:t>
      </w:r>
      <w:r w:rsidR="00EC42F4" w:rsidRPr="00F17074">
        <w:rPr>
          <w:rFonts w:cs="Arial"/>
        </w:rPr>
        <w:t>jsou s kulturou</w:t>
      </w:r>
      <w:r w:rsidRPr="00F17074">
        <w:rPr>
          <w:rFonts w:cs="Arial"/>
        </w:rPr>
        <w:t xml:space="preserve"> </w:t>
      </w:r>
      <w:r w:rsidR="000D418C" w:rsidRPr="00F17074">
        <w:rPr>
          <w:rFonts w:cs="Arial"/>
        </w:rPr>
        <w:t>-</w:t>
      </w:r>
      <w:r w:rsidRPr="00F17074">
        <w:rPr>
          <w:rFonts w:cs="Arial"/>
        </w:rPr>
        <w:t xml:space="preserve"> jako s každou jinou oblastí lidských aktivit - neoddělitelně spojeny a dále umělecké vzdělávání.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 xml:space="preserve">Samozřejmě nemalý význam mají i jiná členění kulturního sektoru. Evropská Komise člení kulturu v zásadě na kulturní sektor a kreativní sektor. Prvý tvoří oblast tradičního umění (výtvarné a interpretační umění, kulturní dědictví) a oblast kulturních průmyslů (film a video, televize a rozhlas, videohry, hudba, knihy a tisk), druhý </w:t>
      </w:r>
      <w:r w:rsidR="000D418C" w:rsidRPr="00F17074">
        <w:rPr>
          <w:rFonts w:cs="Arial"/>
        </w:rPr>
        <w:t>-</w:t>
      </w:r>
      <w:r w:rsidRPr="00F17074">
        <w:rPr>
          <w:rFonts w:cs="Arial"/>
        </w:rPr>
        <w:t xml:space="preserve"> kreativní sektor tvoří ob</w:t>
      </w:r>
      <w:r w:rsidRPr="00F17074">
        <w:rPr>
          <w:rFonts w:cs="Arial"/>
        </w:rPr>
        <w:softHyphen/>
        <w:t>last kreativních prů</w:t>
      </w:r>
      <w:r w:rsidRPr="00F17074">
        <w:rPr>
          <w:rFonts w:cs="Arial"/>
        </w:rPr>
        <w:softHyphen/>
        <w:t>myslů (design, architektura a reklamní průmysl) a oblast příbuzných odvětví (výroba PC, přehrávačů apod.). Jak dále uvidíme, toto členění má mimo jiné nemalý význam z pohledu uplatňování tržních vztahů v kultuře a v této souvislosti rozdílných ekono</w:t>
      </w:r>
      <w:r w:rsidRPr="00F17074">
        <w:rPr>
          <w:rFonts w:cs="Arial"/>
        </w:rPr>
        <w:softHyphen/>
        <w:t xml:space="preserve">mických výsledků kulturních oblastí.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V souvislosti s vymezením kultury z pohledu účelu či času hovoříme o druhém rozměru kultury - kulturním cyklu. Ten před</w:t>
      </w:r>
      <w:r w:rsidRPr="00F17074">
        <w:rPr>
          <w:rFonts w:cs="Arial"/>
        </w:rPr>
        <w:softHyphen/>
        <w:t xml:space="preserve">stavuje souhrn fází či etap členících kulturu (resp. její oblasti) na tvorbu či produkci, uchovávání hodnot, šíření kulturních služeb a statků, obchod s nimi, vzdělávání a spotřebu kulturní produkce. Průřezový charakter pojetí kulturního cyklu svým způsobem sektor kultury jako takový překračuje a zasahuje také do jiných odvětví či sfér lidských aktivit (např. vzdělávání, obchod).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Co se týče faktoru času, lze mezi kulturním cyklem a kulturními sférami (skupinami oblastí) nalézt určité styčné body. Za</w:t>
      </w:r>
      <w:r w:rsidRPr="00F17074">
        <w:rPr>
          <w:rFonts w:cs="Arial"/>
        </w:rPr>
        <w:softHyphen/>
        <w:t xml:space="preserve">tímco cyklus lze připodobnit k momentálnímu řezu právě probíhajícími kulturními aktivitami, tak sféry člení kulturu z dlouhodobého pohledu. S určitou mírou zobecnění lze říci, že kulturní dědictví vychází z minulosti, živá tvorba produkující kulturní služby a statky spotřebovávané v daném čase a na daném místě se váže na přítomnost a média rozšiřující zmíněné služby a statky směřují do budoucnosti.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Lze také říci, že výše uvedené čtyři sféry zároveň představují základní etapy kulturního cyklu (uchovávání kulturních hod</w:t>
      </w:r>
      <w:r w:rsidRPr="00F17074">
        <w:rPr>
          <w:rFonts w:cs="Arial"/>
        </w:rPr>
        <w:softHyphen/>
        <w:t xml:space="preserve">not, jejich tvorbu, šíření kulturních služeb a statků, umělecké vzdělávání a související správní činnosti).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 xml:space="preserve">Jak ukázaly již výsledky prvého zpracování kulturního účtu za rok 2009, z ekonomického pohledu se vine </w:t>
      </w:r>
      <w:r w:rsidRPr="00F17074">
        <w:rPr>
          <w:rFonts w:cs="Arial"/>
        </w:rPr>
        <w:lastRenderedPageBreak/>
        <w:t xml:space="preserve">silná dělicí čára mezi tzv. „tradičními“ a „novými“ kulturními obory či odvětvími. Mezi prvými lze uvést na čelném místě celou sféru kulturního dědictví a dále část živé originální umělecké tvory (divadlo, soubory, festivaly, výstavní sály a kulturní domy a režijní činnosti v kultuře). Tyto aktivity v zásadě nejsou finančně soběstačné a směřuje k nim 50 - 60 % veřejných výdajů na kulturu. Naopak tomu je v případě pořizování zvukových nahrávek, televizního a rozhlasového vysílání, výroby a distribuce audiovizuálních děl, tvorby videoher, architektonických, návrhářských a reklamních činností. </w:t>
      </w:r>
    </w:p>
    <w:p w:rsidR="00D7626D" w:rsidRDefault="00F17074" w:rsidP="00F17074">
      <w:pPr>
        <w:widowControl w:val="0"/>
        <w:overflowPunct w:val="0"/>
        <w:autoSpaceDE w:val="0"/>
        <w:autoSpaceDN w:val="0"/>
        <w:adjustRightInd w:val="0"/>
        <w:jc w:val="both"/>
        <w:rPr>
          <w:rFonts w:cs="Arial"/>
        </w:rPr>
      </w:pPr>
      <w:r w:rsidRPr="00F17074">
        <w:rPr>
          <w:rFonts w:cs="Arial"/>
        </w:rPr>
        <w:t xml:space="preserve">K otázce členění sektoru kultury je třeba dodat, že může být různorodé. Pro jeho odpovídající postižení je podstatné získat potřebná data za co nejnižší části celku, kterým je kulturní sektor jako takový, tj. za jednotlivé oblasti či poskytovatele kulturních služeb. S jejich využitím lze uspokojit informační potřeby spojené s různým členěním kulturního sektoru. </w:t>
      </w:r>
    </w:p>
    <w:p w:rsidR="00D7626D" w:rsidRPr="006E4CC9" w:rsidRDefault="00DB6382" w:rsidP="006E4CC9">
      <w:pPr>
        <w:pStyle w:val="Nadpis2"/>
      </w:pPr>
      <w:bookmarkStart w:id="10" w:name="_Toc451166912"/>
      <w:bookmarkStart w:id="11" w:name="_Toc451166928"/>
      <w:bookmarkStart w:id="12" w:name="_Toc451175101"/>
      <w:bookmarkStart w:id="13" w:name="_Toc451180157"/>
      <w:bookmarkStart w:id="14" w:name="_Toc483227179"/>
      <w:r w:rsidRPr="006E4CC9">
        <w:t xml:space="preserve">1.2. </w:t>
      </w:r>
      <w:r w:rsidR="00D7626D" w:rsidRPr="006E4CC9">
        <w:t>Zdroje dat a související problémy</w:t>
      </w:r>
      <w:bookmarkEnd w:id="10"/>
      <w:bookmarkEnd w:id="11"/>
      <w:bookmarkEnd w:id="12"/>
      <w:bookmarkEnd w:id="13"/>
      <w:bookmarkEnd w:id="14"/>
      <w:r w:rsidR="00D7626D" w:rsidRPr="006E4CC9">
        <w:t xml:space="preserve"> </w:t>
      </w:r>
    </w:p>
    <w:p w:rsidR="00722C25" w:rsidRPr="00722C25" w:rsidRDefault="00722C25" w:rsidP="00EC42F4">
      <w:pPr>
        <w:jc w:val="both"/>
      </w:pPr>
      <w:r w:rsidRPr="00722C25">
        <w:t>K sestavení účtu kultury se využívají různorodá data z administrativních zdrojů i ze statistických zjišťování. Do prvé skupiny patří v prvé řadě údaje z veřejných rozpočtů (státní rozpočet a místní rozpočty). Také sem patří dostupné údaje na internetu, obsahující data o některých poskytovatelích kulturních služeb.</w:t>
      </w:r>
    </w:p>
    <w:p w:rsidR="00722C25" w:rsidRPr="00722C25" w:rsidRDefault="00722C25" w:rsidP="00EC42F4">
      <w:pPr>
        <w:jc w:val="both"/>
      </w:pPr>
      <w:r w:rsidRPr="00722C25">
        <w:t>Druhou skupinu tvoří zejména data získaná šetřením v domácnostech (cestou tzv. rodinných účtů) a dále statistickým zjiš</w:t>
      </w:r>
      <w:r w:rsidRPr="00722C25">
        <w:softHyphen/>
        <w:t>ťováním přímo u kulturních institucí (pod označením KULT). Šetření v domácnostech provádí ČSÚ, který šetří také držitele licencí rozhlasového a televizního vysílání. Data od naprosté většiny dalších kulturních institucí (poskytovatelů) sbírá pomocí výše zmíněného šetření KULT (MK) NIPOS. Některá data (zejména o zpravodajských agenturách, činnosti archi</w:t>
      </w:r>
      <w:r w:rsidRPr="00722C25">
        <w:softHyphen/>
        <w:t>tektů, fotografické činnosti a činnosti reklamních agentur, maloobchodu atd. jsou získávána v rámci šetření tzv. podnikové sta</w:t>
      </w:r>
      <w:r w:rsidRPr="00722C25">
        <w:softHyphen/>
        <w:t>tis</w:t>
      </w:r>
      <w:r w:rsidRPr="00722C25">
        <w:softHyphen/>
        <w:t>ti</w:t>
      </w:r>
      <w:proofErr w:type="spellStart"/>
      <w:r w:rsidRPr="00722C25">
        <w:t>ky</w:t>
      </w:r>
      <w:proofErr w:type="spellEnd"/>
      <w:r w:rsidRPr="00722C25">
        <w:t xml:space="preserve"> ČSÚ (SBS). Ze</w:t>
      </w:r>
      <w:r w:rsidR="000D418C">
        <w:t> </w:t>
      </w:r>
      <w:r w:rsidRPr="00722C25">
        <w:t>statistického zjišťování tohoto úřadu (NI 1-01) jsou získávána také data o neziskových institucích (včetně</w:t>
      </w:r>
      <w:r w:rsidR="000D418C">
        <w:t> o</w:t>
      </w:r>
      <w:r w:rsidRPr="00722C25">
        <w:t xml:space="preserve">rganizací ochrany autorských práv). </w:t>
      </w:r>
    </w:p>
    <w:p w:rsidR="00722C25" w:rsidRPr="00722C25" w:rsidRDefault="00722C25" w:rsidP="00EC42F4">
      <w:pPr>
        <w:jc w:val="both"/>
      </w:pPr>
      <w:r w:rsidRPr="00722C25">
        <w:t xml:space="preserve">V referenčním roce 2014 byla v návaznosti na záměry </w:t>
      </w:r>
      <w:proofErr w:type="spellStart"/>
      <w:r w:rsidRPr="00722C25">
        <w:t>Eurostatu</w:t>
      </w:r>
      <w:proofErr w:type="spellEnd"/>
      <w:r w:rsidRPr="00722C25">
        <w:t xml:space="preserve"> a dle specifikace výrobků uměleckých řemesel provedené Národním ústavem lidové kultury zkvalitněna metodika kvantifikace obratu zahraničního obchodu s kulturními službami a statky. O rok později došlo k významnému posunu v souvislosti s využitím nového zdroje dat charakterizujícího celkový rozsah živé práce vynaložené v kulturních aktivitách a to jak v institucích s převažující kulturní činností, tak i mimo ně (Výběrové šetření pracovních sil).</w:t>
      </w:r>
    </w:p>
    <w:p w:rsidR="00722C25" w:rsidRPr="00722C25" w:rsidRDefault="00722C25" w:rsidP="00EC42F4">
      <w:pPr>
        <w:jc w:val="both"/>
      </w:pPr>
      <w:r w:rsidRPr="00722C25">
        <w:t xml:space="preserve">Pro potřeby sestavení účtu se dále využívají různé doplňkové zdroje informací. Některé údaje o zaměstnanosti lze čerpat ze statistiky práce a mezd a také z Registru </w:t>
      </w:r>
      <w:r w:rsidR="00EC42F4" w:rsidRPr="00722C25">
        <w:t>ekonomických</w:t>
      </w:r>
      <w:r w:rsidRPr="00722C25">
        <w:t xml:space="preserve"> subjektů (počty pojištěnců). Uvedená zjišťování provádí ČSÚ, který také dodává makroekonomická data z národního účetnictví (zejména ve formě matice dodávek a užití). </w:t>
      </w:r>
    </w:p>
    <w:p w:rsidR="00722C25" w:rsidRPr="00722C25" w:rsidRDefault="00722C25" w:rsidP="00EC42F4">
      <w:pPr>
        <w:jc w:val="both"/>
      </w:pPr>
      <w:r w:rsidRPr="00722C25">
        <w:t xml:space="preserve">Údaje o archivech má k dispozici MV ČR, některé informace o kinech Unie filmových distributorů atd. </w:t>
      </w:r>
    </w:p>
    <w:p w:rsidR="00722C25" w:rsidRPr="00722C25" w:rsidRDefault="00722C25" w:rsidP="00EC42F4">
      <w:pPr>
        <w:jc w:val="both"/>
      </w:pPr>
      <w:r w:rsidRPr="00722C25">
        <w:t>Konečně informace o některých kulturních institucích a aktivitách nezahrnutých do pravidelných statistických šetření jsou zjišťována NIPOS u vybraných respondentů jednorázově formou tzv. doplňkových šetření (archivy, uměle</w:t>
      </w:r>
      <w:r w:rsidR="000D418C">
        <w:t xml:space="preserve">cká řemesla, amatérská divadla </w:t>
      </w:r>
      <w:r w:rsidRPr="00722C25">
        <w:t>atd.).</w:t>
      </w:r>
    </w:p>
    <w:p w:rsidR="00722C25" w:rsidRPr="00722C25" w:rsidRDefault="00722C25" w:rsidP="00EC42F4">
      <w:pPr>
        <w:jc w:val="both"/>
      </w:pPr>
      <w:r w:rsidRPr="00722C25">
        <w:t>Nutno dodat, že se na mapě statistického sledování sektoru kultury najdou ještě “bílá místa”. Některé</w:t>
      </w:r>
      <w:r w:rsidR="000D418C">
        <w:t> </w:t>
      </w:r>
      <w:r w:rsidRPr="00722C25">
        <w:t>činnosti prozatím nejsou statistickým zjišťováním pokryty (např. archeologická naleziště), zatímco jiné jsou pokryty jen částečně (např. umělecká řemesla). Ani v případě zahrnutí daných kulturních aktivit do statistického zjišťování však není získání potřebných údajů snadné. Základní překážkou je vysoká míra neodpovědí (</w:t>
      </w:r>
      <w:proofErr w:type="spellStart"/>
      <w:r w:rsidRPr="00722C25">
        <w:t>nonresponse</w:t>
      </w:r>
      <w:proofErr w:type="spellEnd"/>
      <w:r w:rsidRPr="00722C25">
        <w:t>) a to zejména v případě ekonomických údajů, které jsou pro sesta</w:t>
      </w:r>
      <w:r w:rsidRPr="00722C25">
        <w:softHyphen/>
        <w:t>vení kulturního účtu nezbytnou podmínkou.</w:t>
      </w:r>
    </w:p>
    <w:p w:rsidR="00722C25" w:rsidRPr="00722C25" w:rsidRDefault="00722C25" w:rsidP="00EC42F4">
      <w:pPr>
        <w:jc w:val="both"/>
      </w:pPr>
      <w:r w:rsidRPr="00722C25">
        <w:lastRenderedPageBreak/>
        <w:t>Získáním dat však nesnáze nekončí. Je třeba se vypořádat s </w:t>
      </w:r>
      <w:r w:rsidR="00EC42F4" w:rsidRPr="00722C25">
        <w:t>problémy</w:t>
      </w:r>
      <w:r w:rsidRPr="00722C25">
        <w:t xml:space="preserve"> souvisejícími s kl</w:t>
      </w:r>
      <w:r w:rsidR="000D418C">
        <w:t>asifikacemi (NACE,</w:t>
      </w:r>
      <w:r w:rsidR="00B86977">
        <w:t> </w:t>
      </w:r>
      <w:r w:rsidR="000D418C">
        <w:t>COICOP, ISCO</w:t>
      </w:r>
      <w:r w:rsidRPr="00722C25">
        <w:t>). Údaje o kulturních činnostech jsou velmi často zahrnuty v agregovaných položkách s jinými aktivitami. V případech, kdy nejsou, bývá z úsporných důvodů výběrový soubor šetření nedostatečně velký na to, aby bylo možno získat a dopočítávat výsledky v potřebném jemném členění (např.</w:t>
      </w:r>
      <w:r w:rsidR="00B86977">
        <w:t> </w:t>
      </w:r>
      <w:r w:rsidRPr="00722C25">
        <w:t xml:space="preserve">na čtyři místa </w:t>
      </w:r>
      <w:r w:rsidR="000D418C">
        <w:t xml:space="preserve">klasifikace </w:t>
      </w:r>
      <w:r w:rsidRPr="00722C25">
        <w:t xml:space="preserve">NACE). </w:t>
      </w:r>
    </w:p>
    <w:p w:rsidR="00722C25" w:rsidRPr="00722C25" w:rsidRDefault="00722C25" w:rsidP="00EC42F4">
      <w:pPr>
        <w:jc w:val="both"/>
      </w:pPr>
      <w:r w:rsidRPr="00722C25">
        <w:t xml:space="preserve">Jednou věcí je získat data (velmi často ne zcela úplná a „čistá“, popř. v jiném než potřebném členění) a druhou získat je v potřebném či přijatelném časovém termínu. Data o veřejných výdajích jsou k dispozici zhruba pět měsíců, údaje o výdajích domácností osm a o podnicích či neziskových institucích až třináct měsíců po referenčním období. Podobné to je s dopočtenými údaji sbíranými od kulturních institucí (poskytovatelů). Nejpozději jsou dosažitelná data ze systému národního účetnictví (více než rok po referenčním období), která jsou navíc postupně zpřesňována. V porovnání s koncem referenčního období (roku) jsou proto výsledky účtu kultury o cca 16 měsíců opožděny. </w:t>
      </w:r>
    </w:p>
    <w:p w:rsidR="00D83178" w:rsidRPr="00AE0C87" w:rsidRDefault="00722C25" w:rsidP="00AE0C87">
      <w:pPr>
        <w:widowControl w:val="0"/>
        <w:overflowPunct w:val="0"/>
        <w:autoSpaceDE w:val="0"/>
        <w:autoSpaceDN w:val="0"/>
        <w:adjustRightInd w:val="0"/>
        <w:jc w:val="both"/>
        <w:rPr>
          <w:rFonts w:cs="Arial"/>
        </w:rPr>
      </w:pPr>
      <w:r w:rsidRPr="00722C25">
        <w:rPr>
          <w:rFonts w:cs="Arial"/>
        </w:rPr>
        <w:t>Samozřejmě nemalé rozdíly jsou i v kvalitě informací. Vysokou věrohodnost lze předpo</w:t>
      </w:r>
      <w:r w:rsidRPr="00722C25">
        <w:rPr>
          <w:rFonts w:cs="Arial"/>
        </w:rPr>
        <w:softHyphen/>
        <w:t>kládat u dat týkajících se veřejných výdajů na kulturu, která vycházejí z čerpání státního rozpočtu. Problematičtější v tomto směru jsou všechny údaje zjištěné statistickým šetřením, ať už v domácnostech (rodinné účty, výběrové šetření pracovních sil), tak zejména specializovanými zjišťováními v kulturních institucích (výběrová statistická šetření KULT prováděná NIPOS a ČSÚ), dalšími šetřeními ČSÚ v podnicích a šetřeními doplňkovými. Kvalita těchto dat je ovlivněna všemi problematickými okolnostmi, počínaje úplností základního souboru respondentů, metodami sestavení výběrového souboru, mírou neodpovědí, úrovní dopočtů apod.</w:t>
      </w:r>
    </w:p>
    <w:sectPr w:rsidR="00D83178" w:rsidRPr="00AE0C87" w:rsidSect="00406308">
      <w:headerReference w:type="even" r:id="rId8"/>
      <w:headerReference w:type="default" r:id="rId9"/>
      <w:footerReference w:type="even" r:id="rId10"/>
      <w:footerReference w:type="default" r:id="rId11"/>
      <w:pgSz w:w="11906" w:h="16838" w:code="9"/>
      <w:pgMar w:top="1387" w:right="1134" w:bottom="1418" w:left="1134" w:header="680" w:footer="68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90D" w:rsidRDefault="005F290D" w:rsidP="00E71A58">
      <w:r>
        <w:separator/>
      </w:r>
    </w:p>
  </w:endnote>
  <w:endnote w:type="continuationSeparator" w:id="0">
    <w:p w:rsidR="005F290D" w:rsidRDefault="005F290D"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1B" w:rsidRPr="00932443" w:rsidRDefault="007D1E34" w:rsidP="002405CB">
    <w:pPr>
      <w:pStyle w:val="Zpat"/>
      <w:tabs>
        <w:tab w:val="clear" w:pos="9639"/>
      </w:tabs>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11.2pt;margin-top:-5.1pt;width:33.75pt;height:15.85pt;z-index:2;mso-position-horizontal:right">
          <v:imagedata r:id="rId1" o:title="CSU RGB CZ logo-01"/>
        </v:shape>
      </w:pict>
    </w:r>
    <w:r w:rsidRPr="00932443">
      <w:rPr>
        <w:szCs w:val="16"/>
      </w:rPr>
      <w:fldChar w:fldCharType="begin"/>
    </w:r>
    <w:r w:rsidR="00C73D1B" w:rsidRPr="00932443">
      <w:rPr>
        <w:szCs w:val="16"/>
      </w:rPr>
      <w:instrText>PAGE   \* MERGEFORMAT</w:instrText>
    </w:r>
    <w:r w:rsidRPr="00932443">
      <w:rPr>
        <w:szCs w:val="16"/>
      </w:rPr>
      <w:fldChar w:fldCharType="separate"/>
    </w:r>
    <w:r w:rsidR="008F606F">
      <w:rPr>
        <w:szCs w:val="16"/>
      </w:rPr>
      <w:t>4</w:t>
    </w:r>
    <w:r w:rsidRPr="00932443">
      <w:rPr>
        <w:szCs w:val="16"/>
      </w:rPr>
      <w:fldChar w:fldCharType="end"/>
    </w:r>
    <w:r w:rsidR="00C73D1B" w:rsidRPr="00932443">
      <w:rPr>
        <w:szCs w:val="16"/>
      </w:rPr>
      <w:tab/>
    </w:r>
    <w:r w:rsidR="00C73D1B">
      <w:rPr>
        <w:szCs w:val="16"/>
      </w:rPr>
      <w:t>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1B" w:rsidRPr="00932443" w:rsidRDefault="007D1E34" w:rsidP="002405CB">
    <w:pPr>
      <w:pStyle w:val="Zpat"/>
      <w:tabs>
        <w:tab w:val="clear" w:pos="4820"/>
        <w:tab w:val="clear" w:pos="9639"/>
        <w:tab w:val="left" w:pos="4253"/>
        <w:tab w:val="left" w:pos="4536"/>
        <w:tab w:val="left" w:pos="9356"/>
        <w:tab w:val="left" w:pos="13750"/>
      </w:tabs>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9.65pt;width:40.2pt;height:21.45pt;z-index:1;mso-position-horizontal:left">
          <v:imagedata r:id="rId1" o:title="CSU RGB CZ logo-02"/>
        </v:shape>
      </w:pict>
    </w:r>
    <w:r w:rsidR="00C73D1B" w:rsidRPr="00932443">
      <w:rPr>
        <w:szCs w:val="16"/>
      </w:rPr>
      <w:tab/>
    </w:r>
    <w:r w:rsidR="00C73D1B">
      <w:rPr>
        <w:szCs w:val="16"/>
      </w:rPr>
      <w:tab/>
    </w:r>
    <w:r w:rsidR="00C73D1B">
      <w:rPr>
        <w:rStyle w:val="ZpatChar"/>
        <w:szCs w:val="16"/>
      </w:rPr>
      <w:t>2015</w:t>
    </w:r>
    <w:r w:rsidR="00C73D1B" w:rsidRPr="00932443">
      <w:rPr>
        <w:szCs w:val="16"/>
      </w:rPr>
      <w:tab/>
    </w:r>
    <w:r w:rsidRPr="00932443">
      <w:rPr>
        <w:rStyle w:val="ZpatChar"/>
        <w:szCs w:val="16"/>
      </w:rPr>
      <w:fldChar w:fldCharType="begin"/>
    </w:r>
    <w:r w:rsidR="00C73D1B" w:rsidRPr="00932443">
      <w:rPr>
        <w:rStyle w:val="ZpatChar"/>
        <w:szCs w:val="16"/>
      </w:rPr>
      <w:instrText>PAGE   \* MERGEFORMAT</w:instrText>
    </w:r>
    <w:r w:rsidRPr="00932443">
      <w:rPr>
        <w:rStyle w:val="ZpatChar"/>
        <w:szCs w:val="16"/>
      </w:rPr>
      <w:fldChar w:fldCharType="separate"/>
    </w:r>
    <w:r w:rsidR="008F606F">
      <w:rPr>
        <w:rStyle w:val="ZpatChar"/>
        <w:szCs w:val="16"/>
      </w:rPr>
      <w:t>5</w:t>
    </w:r>
    <w:r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90D" w:rsidRPr="00311229" w:rsidRDefault="005F290D" w:rsidP="00311229">
      <w:pPr>
        <w:pStyle w:val="Zpat"/>
      </w:pPr>
    </w:p>
  </w:footnote>
  <w:footnote w:type="continuationSeparator" w:id="0">
    <w:p w:rsidR="005F290D" w:rsidRPr="00311229" w:rsidRDefault="005F290D" w:rsidP="00311229">
      <w:pPr>
        <w:pStyle w:val="Zpa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1B" w:rsidRPr="006F5416" w:rsidRDefault="00C73D1B" w:rsidP="00CE08A5">
    <w:pPr>
      <w:pStyle w:val="Zhlav"/>
    </w:pPr>
    <w:r>
      <w:t>Satelitní účet kultury</w:t>
    </w:r>
  </w:p>
  <w:p w:rsidR="00C73D1B" w:rsidRDefault="00C73D1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1B" w:rsidRPr="006F5416" w:rsidRDefault="00C73D1B" w:rsidP="00CE08A5">
    <w:pPr>
      <w:pStyle w:val="Zhlav"/>
    </w:pPr>
    <w:r>
      <w:t>Satelitní účet kultury</w:t>
    </w:r>
  </w:p>
  <w:p w:rsidR="00C73D1B" w:rsidRDefault="00C73D1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149A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0000029"/>
    <w:multiLevelType w:val="hybridMultilevel"/>
    <w:tmpl w:val="61545646"/>
    <w:lvl w:ilvl="0" w:tplc="04050001">
      <w:start w:val="1"/>
      <w:numFmt w:val="bullet"/>
      <w:lvlText w:val=""/>
      <w:lvlJc w:val="left"/>
      <w:pPr>
        <w:tabs>
          <w:tab w:val="num" w:pos="644"/>
        </w:tabs>
        <w:ind w:left="644"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CD6"/>
    <w:multiLevelType w:val="hybridMultilevel"/>
    <w:tmpl w:val="000072AE"/>
    <w:lvl w:ilvl="0" w:tplc="00006952">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A836952"/>
    <w:multiLevelType w:val="hybridMultilevel"/>
    <w:tmpl w:val="7BF86E04"/>
    <w:lvl w:ilvl="0" w:tplc="2A80F076">
      <w:start w:val="1"/>
      <w:numFmt w:val="decimal"/>
      <w:lvlText w:val="%1)"/>
      <w:lvlJc w:val="left"/>
      <w:pPr>
        <w:ind w:left="-349" w:hanging="360"/>
      </w:pPr>
      <w:rPr>
        <w:rFonts w:cs="Arial" w:hint="default"/>
        <w:sz w:val="18"/>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14">
    <w:nsid w:val="0C53742F"/>
    <w:multiLevelType w:val="hybridMultilevel"/>
    <w:tmpl w:val="E668DF54"/>
    <w:lvl w:ilvl="0" w:tplc="164A6B68">
      <w:start w:val="1"/>
      <w:numFmt w:val="decimal"/>
      <w:lvlText w:val="%1)"/>
      <w:lvlJc w:val="left"/>
      <w:pPr>
        <w:ind w:left="11" w:hanging="360"/>
      </w:pPr>
      <w:rPr>
        <w:rFonts w:cs="Arial" w:hint="default"/>
        <w:sz w:val="18"/>
        <w:vertAlign w:val="superscrip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15">
    <w:nsid w:val="16B14236"/>
    <w:multiLevelType w:val="hybridMultilevel"/>
    <w:tmpl w:val="12E2E4EA"/>
    <w:lvl w:ilvl="0" w:tplc="02E21B48">
      <w:start w:val="22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DE740A2"/>
    <w:multiLevelType w:val="hybridMultilevel"/>
    <w:tmpl w:val="B09E4A68"/>
    <w:lvl w:ilvl="0" w:tplc="0405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3044EEC"/>
    <w:multiLevelType w:val="hybridMultilevel"/>
    <w:tmpl w:val="8B3E32C4"/>
    <w:lvl w:ilvl="0" w:tplc="C2862074">
      <w:start w:val="1"/>
      <w:numFmt w:val="decimal"/>
      <w:lvlText w:val="%1)"/>
      <w:lvlJc w:val="left"/>
      <w:pPr>
        <w:ind w:left="212" w:hanging="360"/>
      </w:pPr>
      <w:rPr>
        <w:rFonts w:hint="default"/>
        <w:sz w:val="16"/>
      </w:rPr>
    </w:lvl>
    <w:lvl w:ilvl="1" w:tplc="04050019" w:tentative="1">
      <w:start w:val="1"/>
      <w:numFmt w:val="lowerLetter"/>
      <w:lvlText w:val="%2."/>
      <w:lvlJc w:val="left"/>
      <w:pPr>
        <w:ind w:left="932" w:hanging="360"/>
      </w:pPr>
    </w:lvl>
    <w:lvl w:ilvl="2" w:tplc="0405001B" w:tentative="1">
      <w:start w:val="1"/>
      <w:numFmt w:val="lowerRoman"/>
      <w:lvlText w:val="%3."/>
      <w:lvlJc w:val="right"/>
      <w:pPr>
        <w:ind w:left="1652" w:hanging="180"/>
      </w:pPr>
    </w:lvl>
    <w:lvl w:ilvl="3" w:tplc="0405000F" w:tentative="1">
      <w:start w:val="1"/>
      <w:numFmt w:val="decimal"/>
      <w:lvlText w:val="%4."/>
      <w:lvlJc w:val="left"/>
      <w:pPr>
        <w:ind w:left="2372" w:hanging="360"/>
      </w:pPr>
    </w:lvl>
    <w:lvl w:ilvl="4" w:tplc="04050019" w:tentative="1">
      <w:start w:val="1"/>
      <w:numFmt w:val="lowerLetter"/>
      <w:lvlText w:val="%5."/>
      <w:lvlJc w:val="left"/>
      <w:pPr>
        <w:ind w:left="3092" w:hanging="360"/>
      </w:pPr>
    </w:lvl>
    <w:lvl w:ilvl="5" w:tplc="0405001B" w:tentative="1">
      <w:start w:val="1"/>
      <w:numFmt w:val="lowerRoman"/>
      <w:lvlText w:val="%6."/>
      <w:lvlJc w:val="right"/>
      <w:pPr>
        <w:ind w:left="3812" w:hanging="180"/>
      </w:pPr>
    </w:lvl>
    <w:lvl w:ilvl="6" w:tplc="0405000F" w:tentative="1">
      <w:start w:val="1"/>
      <w:numFmt w:val="decimal"/>
      <w:lvlText w:val="%7."/>
      <w:lvlJc w:val="left"/>
      <w:pPr>
        <w:ind w:left="4532" w:hanging="360"/>
      </w:pPr>
    </w:lvl>
    <w:lvl w:ilvl="7" w:tplc="04050019" w:tentative="1">
      <w:start w:val="1"/>
      <w:numFmt w:val="lowerLetter"/>
      <w:lvlText w:val="%8."/>
      <w:lvlJc w:val="left"/>
      <w:pPr>
        <w:ind w:left="5252" w:hanging="360"/>
      </w:pPr>
    </w:lvl>
    <w:lvl w:ilvl="8" w:tplc="0405001B" w:tentative="1">
      <w:start w:val="1"/>
      <w:numFmt w:val="lowerRoman"/>
      <w:lvlText w:val="%9."/>
      <w:lvlJc w:val="right"/>
      <w:pPr>
        <w:ind w:left="5972" w:hanging="180"/>
      </w:pPr>
    </w:lvl>
  </w:abstractNum>
  <w:abstractNum w:abstractNumId="19">
    <w:nsid w:val="428E0569"/>
    <w:multiLevelType w:val="hybridMultilevel"/>
    <w:tmpl w:val="94449E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2632FB"/>
    <w:multiLevelType w:val="hybridMultilevel"/>
    <w:tmpl w:val="CA3AB02C"/>
    <w:lvl w:ilvl="0" w:tplc="28F81CD6">
      <w:start w:val="1"/>
      <w:numFmt w:val="decimal"/>
      <w:lvlText w:val="%1)"/>
      <w:lvlJc w:val="left"/>
      <w:pPr>
        <w:ind w:left="720" w:hanging="360"/>
      </w:pPr>
      <w:rPr>
        <w:rFonts w:ascii="Arial" w:hAnsi="Arial" w:cs="Arial"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CE7A50"/>
    <w:multiLevelType w:val="hybridMultilevel"/>
    <w:tmpl w:val="707A9686"/>
    <w:lvl w:ilvl="0" w:tplc="2A0A20F6">
      <w:start w:val="1"/>
      <w:numFmt w:val="decimal"/>
      <w:lvlText w:val="%1)"/>
      <w:lvlJc w:val="left"/>
      <w:pPr>
        <w:ind w:left="-207" w:hanging="360"/>
      </w:pPr>
      <w:rPr>
        <w:rFonts w:hint="default"/>
        <w:vertAlign w:val="superscrip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2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21"/>
  </w:num>
  <w:num w:numId="14">
    <w:abstractNumId w:val="10"/>
  </w:num>
  <w:num w:numId="15">
    <w:abstractNumId w:val="12"/>
  </w:num>
  <w:num w:numId="16">
    <w:abstractNumId w:val="11"/>
  </w:num>
  <w:num w:numId="17">
    <w:abstractNumId w:val="17"/>
  </w:num>
  <w:num w:numId="18">
    <w:abstractNumId w:val="19"/>
  </w:num>
  <w:num w:numId="19">
    <w:abstractNumId w:val="22"/>
  </w:num>
  <w:num w:numId="20">
    <w:abstractNumId w:val="15"/>
  </w:num>
  <w:num w:numId="21">
    <w:abstractNumId w:val="18"/>
  </w:num>
  <w:num w:numId="22">
    <w:abstractNumId w:val="13"/>
  </w:num>
  <w:num w:numId="23">
    <w:abstractNumId w:val="1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stylePaneFormatFilter w:val="1001"/>
  <w:stylePaneSortMethod w:val="0004"/>
  <w:doNotTrackMoves/>
  <w:defaultTabStop w:val="708"/>
  <w:hyphenationZone w:val="425"/>
  <w:evenAndOddHeaders/>
  <w:drawingGridHorizontalSpacing w:val="100"/>
  <w:displayHorizontalDrawingGridEvery w:val="2"/>
  <w:characterSpacingControl w:val="doNotCompress"/>
  <w:hdrShapeDefaults>
    <o:shapedefaults v:ext="edit" spidmax="5122">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6382"/>
    <w:rsid w:val="0000209D"/>
    <w:rsid w:val="00004721"/>
    <w:rsid w:val="00004D5A"/>
    <w:rsid w:val="000056D5"/>
    <w:rsid w:val="0000767A"/>
    <w:rsid w:val="00010702"/>
    <w:rsid w:val="000234D6"/>
    <w:rsid w:val="00023D29"/>
    <w:rsid w:val="00026389"/>
    <w:rsid w:val="00031AE0"/>
    <w:rsid w:val="000322EF"/>
    <w:rsid w:val="00033FCD"/>
    <w:rsid w:val="00041CEC"/>
    <w:rsid w:val="00044667"/>
    <w:rsid w:val="0004694F"/>
    <w:rsid w:val="000522E4"/>
    <w:rsid w:val="000610E1"/>
    <w:rsid w:val="00062EC5"/>
    <w:rsid w:val="00062F22"/>
    <w:rsid w:val="00064869"/>
    <w:rsid w:val="000712B3"/>
    <w:rsid w:val="0008263E"/>
    <w:rsid w:val="00082C19"/>
    <w:rsid w:val="00085395"/>
    <w:rsid w:val="00087569"/>
    <w:rsid w:val="00087634"/>
    <w:rsid w:val="00087F2B"/>
    <w:rsid w:val="000974D1"/>
    <w:rsid w:val="0009799E"/>
    <w:rsid w:val="000A1183"/>
    <w:rsid w:val="000A256D"/>
    <w:rsid w:val="000A3A2C"/>
    <w:rsid w:val="000C3408"/>
    <w:rsid w:val="000C6AFD"/>
    <w:rsid w:val="000C7FDC"/>
    <w:rsid w:val="000D418C"/>
    <w:rsid w:val="000D5637"/>
    <w:rsid w:val="000E48B4"/>
    <w:rsid w:val="000E6FBD"/>
    <w:rsid w:val="00100F5C"/>
    <w:rsid w:val="00104C4C"/>
    <w:rsid w:val="00107E8D"/>
    <w:rsid w:val="001205D8"/>
    <w:rsid w:val="0012192F"/>
    <w:rsid w:val="00125D69"/>
    <w:rsid w:val="001405FA"/>
    <w:rsid w:val="001425C3"/>
    <w:rsid w:val="0016169F"/>
    <w:rsid w:val="0016256B"/>
    <w:rsid w:val="00163793"/>
    <w:rsid w:val="001669D2"/>
    <w:rsid w:val="001706D6"/>
    <w:rsid w:val="001714F2"/>
    <w:rsid w:val="0017712F"/>
    <w:rsid w:val="00184B08"/>
    <w:rsid w:val="00185010"/>
    <w:rsid w:val="00186071"/>
    <w:rsid w:val="00197713"/>
    <w:rsid w:val="001A552F"/>
    <w:rsid w:val="001B2CA9"/>
    <w:rsid w:val="001B3110"/>
    <w:rsid w:val="001B4729"/>
    <w:rsid w:val="001B6C09"/>
    <w:rsid w:val="001C05CD"/>
    <w:rsid w:val="001C795A"/>
    <w:rsid w:val="001D68B2"/>
    <w:rsid w:val="001F4597"/>
    <w:rsid w:val="00207D23"/>
    <w:rsid w:val="002118B9"/>
    <w:rsid w:val="00216B43"/>
    <w:rsid w:val="00217C5B"/>
    <w:rsid w:val="0022139E"/>
    <w:rsid w:val="00224971"/>
    <w:rsid w:val="002252E0"/>
    <w:rsid w:val="002255F6"/>
    <w:rsid w:val="002269AB"/>
    <w:rsid w:val="00227850"/>
    <w:rsid w:val="00227A53"/>
    <w:rsid w:val="00230C6E"/>
    <w:rsid w:val="002315E3"/>
    <w:rsid w:val="00236443"/>
    <w:rsid w:val="002405CB"/>
    <w:rsid w:val="002436BA"/>
    <w:rsid w:val="00244A15"/>
    <w:rsid w:val="00247319"/>
    <w:rsid w:val="0024799E"/>
    <w:rsid w:val="00253C0F"/>
    <w:rsid w:val="00271465"/>
    <w:rsid w:val="00275A70"/>
    <w:rsid w:val="00285412"/>
    <w:rsid w:val="0028655A"/>
    <w:rsid w:val="002A00BE"/>
    <w:rsid w:val="002A16D4"/>
    <w:rsid w:val="002A230C"/>
    <w:rsid w:val="002C43BD"/>
    <w:rsid w:val="002D0E59"/>
    <w:rsid w:val="002E02A1"/>
    <w:rsid w:val="002E4E4C"/>
    <w:rsid w:val="002E6C5B"/>
    <w:rsid w:val="00304771"/>
    <w:rsid w:val="003052D4"/>
    <w:rsid w:val="00306C5B"/>
    <w:rsid w:val="00311229"/>
    <w:rsid w:val="003209D6"/>
    <w:rsid w:val="00321924"/>
    <w:rsid w:val="0032656E"/>
    <w:rsid w:val="00332190"/>
    <w:rsid w:val="00344668"/>
    <w:rsid w:val="003462D9"/>
    <w:rsid w:val="00360C86"/>
    <w:rsid w:val="003657F3"/>
    <w:rsid w:val="0037672E"/>
    <w:rsid w:val="003818DC"/>
    <w:rsid w:val="0038246B"/>
    <w:rsid w:val="00384327"/>
    <w:rsid w:val="00385D98"/>
    <w:rsid w:val="003A2B4D"/>
    <w:rsid w:val="003A3673"/>
    <w:rsid w:val="003A478C"/>
    <w:rsid w:val="003A5525"/>
    <w:rsid w:val="003A6B38"/>
    <w:rsid w:val="003B4B72"/>
    <w:rsid w:val="003B5A32"/>
    <w:rsid w:val="003C3490"/>
    <w:rsid w:val="003D6920"/>
    <w:rsid w:val="003E4C91"/>
    <w:rsid w:val="003F313C"/>
    <w:rsid w:val="003F4B2C"/>
    <w:rsid w:val="003F551C"/>
    <w:rsid w:val="003F7D23"/>
    <w:rsid w:val="0040293A"/>
    <w:rsid w:val="00406308"/>
    <w:rsid w:val="00407C13"/>
    <w:rsid w:val="00410638"/>
    <w:rsid w:val="00432A58"/>
    <w:rsid w:val="00434617"/>
    <w:rsid w:val="00435C42"/>
    <w:rsid w:val="00440900"/>
    <w:rsid w:val="004441A0"/>
    <w:rsid w:val="00460FB3"/>
    <w:rsid w:val="00476240"/>
    <w:rsid w:val="00476439"/>
    <w:rsid w:val="0047735C"/>
    <w:rsid w:val="004776BC"/>
    <w:rsid w:val="0048139F"/>
    <w:rsid w:val="00481E40"/>
    <w:rsid w:val="00484ECE"/>
    <w:rsid w:val="004900FF"/>
    <w:rsid w:val="004915CB"/>
    <w:rsid w:val="004924DC"/>
    <w:rsid w:val="004A14E4"/>
    <w:rsid w:val="004A3212"/>
    <w:rsid w:val="004A61C5"/>
    <w:rsid w:val="004A77DF"/>
    <w:rsid w:val="004B1417"/>
    <w:rsid w:val="004B55B7"/>
    <w:rsid w:val="004B6468"/>
    <w:rsid w:val="004B6594"/>
    <w:rsid w:val="004C0490"/>
    <w:rsid w:val="004C384C"/>
    <w:rsid w:val="004C3867"/>
    <w:rsid w:val="004C4CD0"/>
    <w:rsid w:val="004C70DC"/>
    <w:rsid w:val="004D0211"/>
    <w:rsid w:val="004D0794"/>
    <w:rsid w:val="004D7B74"/>
    <w:rsid w:val="004F06F5"/>
    <w:rsid w:val="004F33A0"/>
    <w:rsid w:val="004F69CE"/>
    <w:rsid w:val="00500A8A"/>
    <w:rsid w:val="00503E39"/>
    <w:rsid w:val="005108C0"/>
    <w:rsid w:val="00511873"/>
    <w:rsid w:val="00512A2F"/>
    <w:rsid w:val="00513B7E"/>
    <w:rsid w:val="00515C74"/>
    <w:rsid w:val="0052007E"/>
    <w:rsid w:val="0052337A"/>
    <w:rsid w:val="00525137"/>
    <w:rsid w:val="005251DD"/>
    <w:rsid w:val="00532CE7"/>
    <w:rsid w:val="0053324C"/>
    <w:rsid w:val="00534A28"/>
    <w:rsid w:val="00541508"/>
    <w:rsid w:val="00544C52"/>
    <w:rsid w:val="0055599F"/>
    <w:rsid w:val="00556D68"/>
    <w:rsid w:val="00557456"/>
    <w:rsid w:val="005647BF"/>
    <w:rsid w:val="0057364B"/>
    <w:rsid w:val="00574773"/>
    <w:rsid w:val="00583FFD"/>
    <w:rsid w:val="00584309"/>
    <w:rsid w:val="005911BE"/>
    <w:rsid w:val="00593152"/>
    <w:rsid w:val="005A10F2"/>
    <w:rsid w:val="005A21E0"/>
    <w:rsid w:val="005A28FF"/>
    <w:rsid w:val="005A3DF8"/>
    <w:rsid w:val="005A5549"/>
    <w:rsid w:val="005B121D"/>
    <w:rsid w:val="005C06ED"/>
    <w:rsid w:val="005D38C8"/>
    <w:rsid w:val="005D5802"/>
    <w:rsid w:val="005D7890"/>
    <w:rsid w:val="005E7C78"/>
    <w:rsid w:val="005F1BB0"/>
    <w:rsid w:val="005F290D"/>
    <w:rsid w:val="005F3EB1"/>
    <w:rsid w:val="005F5469"/>
    <w:rsid w:val="005F5FA2"/>
    <w:rsid w:val="00600392"/>
    <w:rsid w:val="00604307"/>
    <w:rsid w:val="0060487F"/>
    <w:rsid w:val="00604EAD"/>
    <w:rsid w:val="006104FB"/>
    <w:rsid w:val="00612A2F"/>
    <w:rsid w:val="00616E05"/>
    <w:rsid w:val="006214EF"/>
    <w:rsid w:val="00624093"/>
    <w:rsid w:val="006404A7"/>
    <w:rsid w:val="00644D5B"/>
    <w:rsid w:val="006451E4"/>
    <w:rsid w:val="00645B33"/>
    <w:rsid w:val="00646A76"/>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B344A"/>
    <w:rsid w:val="006B78D8"/>
    <w:rsid w:val="006B7B66"/>
    <w:rsid w:val="006C113F"/>
    <w:rsid w:val="006C123E"/>
    <w:rsid w:val="006C56D4"/>
    <w:rsid w:val="006C6924"/>
    <w:rsid w:val="006C7CA6"/>
    <w:rsid w:val="006D3E8A"/>
    <w:rsid w:val="006D61F6"/>
    <w:rsid w:val="006E279A"/>
    <w:rsid w:val="006E313B"/>
    <w:rsid w:val="006E4CC9"/>
    <w:rsid w:val="006F41CA"/>
    <w:rsid w:val="006F5416"/>
    <w:rsid w:val="006F7137"/>
    <w:rsid w:val="00706AD4"/>
    <w:rsid w:val="007140BE"/>
    <w:rsid w:val="00715C9D"/>
    <w:rsid w:val="007211F5"/>
    <w:rsid w:val="00722C25"/>
    <w:rsid w:val="00725BB5"/>
    <w:rsid w:val="00730AE8"/>
    <w:rsid w:val="00741493"/>
    <w:rsid w:val="00752180"/>
    <w:rsid w:val="00755202"/>
    <w:rsid w:val="00755D3A"/>
    <w:rsid w:val="007578D3"/>
    <w:rsid w:val="007609C6"/>
    <w:rsid w:val="0076175D"/>
    <w:rsid w:val="0076521E"/>
    <w:rsid w:val="007661E9"/>
    <w:rsid w:val="00776169"/>
    <w:rsid w:val="00776527"/>
    <w:rsid w:val="00780EF1"/>
    <w:rsid w:val="00790764"/>
    <w:rsid w:val="0079453C"/>
    <w:rsid w:val="00794677"/>
    <w:rsid w:val="00794C02"/>
    <w:rsid w:val="007A0F41"/>
    <w:rsid w:val="007B6689"/>
    <w:rsid w:val="007B7C7D"/>
    <w:rsid w:val="007D1E34"/>
    <w:rsid w:val="007D40DF"/>
    <w:rsid w:val="007E667A"/>
    <w:rsid w:val="007E7E61"/>
    <w:rsid w:val="007F0845"/>
    <w:rsid w:val="007F4399"/>
    <w:rsid w:val="007F4532"/>
    <w:rsid w:val="00807C82"/>
    <w:rsid w:val="00816905"/>
    <w:rsid w:val="00821FF6"/>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2FF9"/>
    <w:rsid w:val="008873D4"/>
    <w:rsid w:val="00893E85"/>
    <w:rsid w:val="00894031"/>
    <w:rsid w:val="008B7C02"/>
    <w:rsid w:val="008B7D2B"/>
    <w:rsid w:val="008C0049"/>
    <w:rsid w:val="008C0E88"/>
    <w:rsid w:val="008C684C"/>
    <w:rsid w:val="008D1E6A"/>
    <w:rsid w:val="008D2A16"/>
    <w:rsid w:val="008E2C57"/>
    <w:rsid w:val="008E31FF"/>
    <w:rsid w:val="008E6F06"/>
    <w:rsid w:val="008F029B"/>
    <w:rsid w:val="008F3FC9"/>
    <w:rsid w:val="008F585B"/>
    <w:rsid w:val="008F606F"/>
    <w:rsid w:val="008F7AD4"/>
    <w:rsid w:val="009003A8"/>
    <w:rsid w:val="00901FF2"/>
    <w:rsid w:val="00902500"/>
    <w:rsid w:val="00902EFF"/>
    <w:rsid w:val="00906401"/>
    <w:rsid w:val="0091155E"/>
    <w:rsid w:val="00912A92"/>
    <w:rsid w:val="0091728D"/>
    <w:rsid w:val="0092180B"/>
    <w:rsid w:val="00921F14"/>
    <w:rsid w:val="00924AC8"/>
    <w:rsid w:val="0092597A"/>
    <w:rsid w:val="00932443"/>
    <w:rsid w:val="00937AE2"/>
    <w:rsid w:val="0094427A"/>
    <w:rsid w:val="00944A3B"/>
    <w:rsid w:val="00947A2C"/>
    <w:rsid w:val="00954DD8"/>
    <w:rsid w:val="00963C66"/>
    <w:rsid w:val="00974923"/>
    <w:rsid w:val="0097636A"/>
    <w:rsid w:val="00980D3D"/>
    <w:rsid w:val="00987A30"/>
    <w:rsid w:val="00992CF3"/>
    <w:rsid w:val="009968D6"/>
    <w:rsid w:val="009A1CAB"/>
    <w:rsid w:val="009A60D1"/>
    <w:rsid w:val="009B0DDB"/>
    <w:rsid w:val="009B6FD3"/>
    <w:rsid w:val="009C1750"/>
    <w:rsid w:val="009C2E29"/>
    <w:rsid w:val="009C554B"/>
    <w:rsid w:val="009C719E"/>
    <w:rsid w:val="009D3ACD"/>
    <w:rsid w:val="009E5273"/>
    <w:rsid w:val="009E5DDB"/>
    <w:rsid w:val="009F4CA7"/>
    <w:rsid w:val="00A0370B"/>
    <w:rsid w:val="00A10D66"/>
    <w:rsid w:val="00A12C6B"/>
    <w:rsid w:val="00A14114"/>
    <w:rsid w:val="00A16413"/>
    <w:rsid w:val="00A23E43"/>
    <w:rsid w:val="00A30F65"/>
    <w:rsid w:val="00A344E4"/>
    <w:rsid w:val="00A418BC"/>
    <w:rsid w:val="00A46DE0"/>
    <w:rsid w:val="00A50D73"/>
    <w:rsid w:val="00A52CAD"/>
    <w:rsid w:val="00A53FC7"/>
    <w:rsid w:val="00A62CE1"/>
    <w:rsid w:val="00A6741E"/>
    <w:rsid w:val="00A75E40"/>
    <w:rsid w:val="00A77D1D"/>
    <w:rsid w:val="00A857C0"/>
    <w:rsid w:val="00A97EFA"/>
    <w:rsid w:val="00AA2996"/>
    <w:rsid w:val="00AA52BF"/>
    <w:rsid w:val="00AA559A"/>
    <w:rsid w:val="00AB2AF1"/>
    <w:rsid w:val="00AD306C"/>
    <w:rsid w:val="00AE09B3"/>
    <w:rsid w:val="00AE0C87"/>
    <w:rsid w:val="00AE1A83"/>
    <w:rsid w:val="00AE1CDC"/>
    <w:rsid w:val="00AE670B"/>
    <w:rsid w:val="00AF6470"/>
    <w:rsid w:val="00B00913"/>
    <w:rsid w:val="00B01593"/>
    <w:rsid w:val="00B0245A"/>
    <w:rsid w:val="00B10A4D"/>
    <w:rsid w:val="00B1159B"/>
    <w:rsid w:val="00B1557F"/>
    <w:rsid w:val="00B15659"/>
    <w:rsid w:val="00B17E71"/>
    <w:rsid w:val="00B17FDE"/>
    <w:rsid w:val="00B21295"/>
    <w:rsid w:val="00B2379C"/>
    <w:rsid w:val="00B261B7"/>
    <w:rsid w:val="00B2687D"/>
    <w:rsid w:val="00B32DDB"/>
    <w:rsid w:val="00B34528"/>
    <w:rsid w:val="00B402FC"/>
    <w:rsid w:val="00B405D1"/>
    <w:rsid w:val="00B41E17"/>
    <w:rsid w:val="00B46604"/>
    <w:rsid w:val="00B530CD"/>
    <w:rsid w:val="00B55F5E"/>
    <w:rsid w:val="00B5752E"/>
    <w:rsid w:val="00B63A11"/>
    <w:rsid w:val="00B64C24"/>
    <w:rsid w:val="00B6608F"/>
    <w:rsid w:val="00B66950"/>
    <w:rsid w:val="00B679FB"/>
    <w:rsid w:val="00B76D1E"/>
    <w:rsid w:val="00B80EC6"/>
    <w:rsid w:val="00B8513E"/>
    <w:rsid w:val="00B86977"/>
    <w:rsid w:val="00B91411"/>
    <w:rsid w:val="00B92D1D"/>
    <w:rsid w:val="00B938C5"/>
    <w:rsid w:val="00B95940"/>
    <w:rsid w:val="00BB46F3"/>
    <w:rsid w:val="00BB4CB1"/>
    <w:rsid w:val="00BB4F98"/>
    <w:rsid w:val="00BC7154"/>
    <w:rsid w:val="00BD366B"/>
    <w:rsid w:val="00BD6D50"/>
    <w:rsid w:val="00BE18B9"/>
    <w:rsid w:val="00BE2495"/>
    <w:rsid w:val="00BE7698"/>
    <w:rsid w:val="00BF1578"/>
    <w:rsid w:val="00C21F94"/>
    <w:rsid w:val="00C27913"/>
    <w:rsid w:val="00C27ECC"/>
    <w:rsid w:val="00C33B68"/>
    <w:rsid w:val="00C36A79"/>
    <w:rsid w:val="00C405D4"/>
    <w:rsid w:val="00C4513B"/>
    <w:rsid w:val="00C54697"/>
    <w:rsid w:val="00C73885"/>
    <w:rsid w:val="00C73D1B"/>
    <w:rsid w:val="00C747B1"/>
    <w:rsid w:val="00C82191"/>
    <w:rsid w:val="00C8600F"/>
    <w:rsid w:val="00C90CF4"/>
    <w:rsid w:val="00C92EB6"/>
    <w:rsid w:val="00C93389"/>
    <w:rsid w:val="00CA1BEC"/>
    <w:rsid w:val="00CB3041"/>
    <w:rsid w:val="00CB4930"/>
    <w:rsid w:val="00CC2E7D"/>
    <w:rsid w:val="00CD10A5"/>
    <w:rsid w:val="00CD2076"/>
    <w:rsid w:val="00CD3593"/>
    <w:rsid w:val="00CD67B6"/>
    <w:rsid w:val="00CE08A5"/>
    <w:rsid w:val="00CE670B"/>
    <w:rsid w:val="00CF51EC"/>
    <w:rsid w:val="00CF73AE"/>
    <w:rsid w:val="00D040DD"/>
    <w:rsid w:val="00D13986"/>
    <w:rsid w:val="00D14FA7"/>
    <w:rsid w:val="00D157AD"/>
    <w:rsid w:val="00D16837"/>
    <w:rsid w:val="00D22DB3"/>
    <w:rsid w:val="00D235B7"/>
    <w:rsid w:val="00D25F28"/>
    <w:rsid w:val="00D27973"/>
    <w:rsid w:val="00D50F46"/>
    <w:rsid w:val="00D66223"/>
    <w:rsid w:val="00D7626D"/>
    <w:rsid w:val="00D8084C"/>
    <w:rsid w:val="00D83178"/>
    <w:rsid w:val="00D8415C"/>
    <w:rsid w:val="00D90076"/>
    <w:rsid w:val="00D9786F"/>
    <w:rsid w:val="00DA7C0C"/>
    <w:rsid w:val="00DB2EC8"/>
    <w:rsid w:val="00DB6382"/>
    <w:rsid w:val="00DC5B3B"/>
    <w:rsid w:val="00DD129F"/>
    <w:rsid w:val="00DF42FF"/>
    <w:rsid w:val="00DF5C19"/>
    <w:rsid w:val="00E01C0E"/>
    <w:rsid w:val="00E03F9A"/>
    <w:rsid w:val="00E04694"/>
    <w:rsid w:val="00E12B1E"/>
    <w:rsid w:val="00E16AE6"/>
    <w:rsid w:val="00E17262"/>
    <w:rsid w:val="00E253A2"/>
    <w:rsid w:val="00E3309D"/>
    <w:rsid w:val="00E450D9"/>
    <w:rsid w:val="00E50156"/>
    <w:rsid w:val="00E506B2"/>
    <w:rsid w:val="00E53470"/>
    <w:rsid w:val="00E539F6"/>
    <w:rsid w:val="00E6519D"/>
    <w:rsid w:val="00E67696"/>
    <w:rsid w:val="00E71A58"/>
    <w:rsid w:val="00E72A7A"/>
    <w:rsid w:val="00E75C94"/>
    <w:rsid w:val="00E77FDD"/>
    <w:rsid w:val="00E8591F"/>
    <w:rsid w:val="00E86F88"/>
    <w:rsid w:val="00E90EA6"/>
    <w:rsid w:val="00E93820"/>
    <w:rsid w:val="00EA0C68"/>
    <w:rsid w:val="00EA2D0C"/>
    <w:rsid w:val="00EA32BC"/>
    <w:rsid w:val="00EB4511"/>
    <w:rsid w:val="00EC03D7"/>
    <w:rsid w:val="00EC42F4"/>
    <w:rsid w:val="00ED62C6"/>
    <w:rsid w:val="00ED64C1"/>
    <w:rsid w:val="00EE3446"/>
    <w:rsid w:val="00EE3E78"/>
    <w:rsid w:val="00EE4B1B"/>
    <w:rsid w:val="00EE6FF8"/>
    <w:rsid w:val="00EF150D"/>
    <w:rsid w:val="00EF1710"/>
    <w:rsid w:val="00EF1F5A"/>
    <w:rsid w:val="00EF47BF"/>
    <w:rsid w:val="00F04811"/>
    <w:rsid w:val="00F0488C"/>
    <w:rsid w:val="00F05F5E"/>
    <w:rsid w:val="00F10F11"/>
    <w:rsid w:val="00F1429D"/>
    <w:rsid w:val="00F15AAA"/>
    <w:rsid w:val="00F15BEF"/>
    <w:rsid w:val="00F17074"/>
    <w:rsid w:val="00F24407"/>
    <w:rsid w:val="00F24FAA"/>
    <w:rsid w:val="00F3364D"/>
    <w:rsid w:val="00F40D51"/>
    <w:rsid w:val="00F437CC"/>
    <w:rsid w:val="00F47067"/>
    <w:rsid w:val="00F525EB"/>
    <w:rsid w:val="00F63DDE"/>
    <w:rsid w:val="00F63FB7"/>
    <w:rsid w:val="00F649D2"/>
    <w:rsid w:val="00F6602B"/>
    <w:rsid w:val="00F7260E"/>
    <w:rsid w:val="00F73A0C"/>
    <w:rsid w:val="00F756DB"/>
    <w:rsid w:val="00F85066"/>
    <w:rsid w:val="00F9539D"/>
    <w:rsid w:val="00FA5D25"/>
    <w:rsid w:val="00FA5D4D"/>
    <w:rsid w:val="00FB0EE2"/>
    <w:rsid w:val="00FB2021"/>
    <w:rsid w:val="00FB542E"/>
    <w:rsid w:val="00FC0E5F"/>
    <w:rsid w:val="00FC1A95"/>
    <w:rsid w:val="00FC2440"/>
    <w:rsid w:val="00FC56DE"/>
    <w:rsid w:val="00FC684B"/>
    <w:rsid w:val="00FC73E3"/>
    <w:rsid w:val="00FD3265"/>
    <w:rsid w:val="00FE2F78"/>
    <w:rsid w:val="00FF7B9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rPr>
  </w:style>
  <w:style w:type="paragraph" w:styleId="Nadpis2">
    <w:name w:val="heading 2"/>
    <w:next w:val="Normln"/>
    <w:link w:val="Nadpis2Char"/>
    <w:uiPriority w:val="9"/>
    <w:qFormat/>
    <w:rsid w:val="00544C52"/>
    <w:pPr>
      <w:keepNext/>
      <w:keepLines/>
      <w:spacing w:before="240" w:after="24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lang w:bidi="ar-SA"/>
    </w:rPr>
  </w:style>
  <w:style w:type="character" w:customStyle="1" w:styleId="Nadpis2Char">
    <w:name w:val="Nadpis 2 Char"/>
    <w:link w:val="Nadpis2"/>
    <w:uiPriority w:val="9"/>
    <w:rsid w:val="00544C52"/>
    <w:rPr>
      <w:rFonts w:ascii="Arial" w:eastAsia="MS Gothic" w:hAnsi="Arial"/>
      <w:b/>
      <w:bCs/>
      <w:color w:val="BC091B"/>
      <w:sz w:val="28"/>
      <w:szCs w:val="26"/>
      <w:lang w:bidi="ar-SA"/>
    </w:rPr>
  </w:style>
  <w:style w:type="character" w:customStyle="1" w:styleId="Nadpis3Char">
    <w:name w:val="Nadpis 3 Char"/>
    <w:link w:val="Nadpis3"/>
    <w:uiPriority w:val="9"/>
    <w:rsid w:val="004900FF"/>
    <w:rPr>
      <w:rFonts w:ascii="Arial" w:eastAsia="MS Gothic" w:hAnsi="Arial"/>
      <w:b/>
      <w:bCs/>
      <w:color w:val="BC091B"/>
      <w:sz w:val="24"/>
      <w:szCs w:val="24"/>
      <w:lang w:bidi="ar-SA"/>
    </w:rPr>
  </w:style>
  <w:style w:type="character" w:customStyle="1" w:styleId="Nadpis4Char">
    <w:name w:val="Nadpis 4 Char"/>
    <w:link w:val="Nadpis4"/>
    <w:uiPriority w:val="9"/>
    <w:rsid w:val="004900FF"/>
    <w:rPr>
      <w:rFonts w:ascii="Arial" w:eastAsia="MS Gothic" w:hAnsi="Arial"/>
      <w:b/>
      <w:bCs/>
      <w:iCs/>
      <w:color w:val="BC091B"/>
      <w:szCs w:val="24"/>
      <w:lang w:bidi="ar-SA"/>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bidi="ar-SA"/>
    </w:rPr>
  </w:style>
  <w:style w:type="paragraph" w:styleId="Zpat">
    <w:name w:val="footer"/>
    <w:link w:val="ZpatChar"/>
    <w:uiPriority w:val="99"/>
    <w:unhideWhenUsed/>
    <w:qFormat/>
    <w:rsid w:val="00031AE0"/>
    <w:pPr>
      <w:tabs>
        <w:tab w:val="center" w:pos="4820"/>
        <w:tab w:val="right" w:pos="9639"/>
      </w:tabs>
    </w:pPr>
    <w:rPr>
      <w:rFonts w:ascii="Arial" w:hAnsi="Arial"/>
      <w:noProof/>
      <w:sz w:val="16"/>
      <w:lang w:eastAsia="en-US"/>
    </w:rPr>
  </w:style>
  <w:style w:type="character" w:customStyle="1" w:styleId="ZpatChar">
    <w:name w:val="Zápatí Char"/>
    <w:link w:val="Zpat"/>
    <w:uiPriority w:val="99"/>
    <w:rsid w:val="00031AE0"/>
    <w:rPr>
      <w:rFonts w:ascii="Arial" w:hAnsi="Arial"/>
      <w:noProof/>
      <w:sz w:val="16"/>
      <w:lang w:eastAsia="en-US" w:bidi="ar-SA"/>
    </w:rPr>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olor w:val="000000"/>
      <w:szCs w:val="24"/>
    </w:rPr>
  </w:style>
  <w:style w:type="character" w:customStyle="1" w:styleId="ZkladnodstavecChar">
    <w:name w:val="[Základní odstavec] Char"/>
    <w:link w:val="Zkladnodstavec"/>
    <w:uiPriority w:val="99"/>
    <w:rsid w:val="0008263E"/>
    <w:rPr>
      <w:rFonts w:ascii="Arial" w:hAnsi="Arial"/>
      <w:color w:val="000000"/>
      <w:szCs w:val="24"/>
      <w:lang w:bidi="ar-SA"/>
    </w:rPr>
  </w:style>
  <w:style w:type="paragraph" w:styleId="Obsah1">
    <w:name w:val="toc 1"/>
    <w:basedOn w:val="Obsahpoloky"/>
    <w:next w:val="Obsahpoloky"/>
    <w:autoRedefine/>
    <w:uiPriority w:val="39"/>
    <w:unhideWhenUsed/>
    <w:rsid w:val="00F9539D"/>
    <w:pPr>
      <w:spacing w:line="480" w:lineRule="auto"/>
    </w:pPr>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rPr>
  </w:style>
  <w:style w:type="paragraph" w:customStyle="1" w:styleId="Box2">
    <w:name w:val="Box 2"/>
    <w:qFormat/>
    <w:rsid w:val="004900FF"/>
    <w:pPr>
      <w:spacing w:before="240" w:after="240" w:line="288" w:lineRule="auto"/>
      <w:ind w:left="709"/>
      <w:contextualSpacing/>
    </w:pPr>
    <w:rPr>
      <w:rFonts w:ascii="Arial" w:hAnsi="Arial" w:cs="Arial"/>
      <w:color w:val="BC091B"/>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rPr>
  </w:style>
  <w:style w:type="character" w:customStyle="1" w:styleId="NzevChar">
    <w:name w:val="Název Char"/>
    <w:link w:val="Nzev"/>
    <w:uiPriority w:val="10"/>
    <w:rsid w:val="004900FF"/>
    <w:rPr>
      <w:rFonts w:ascii="Arial" w:eastAsia="Times New Roman" w:hAnsi="Arial"/>
      <w:b/>
      <w:bCs/>
      <w:caps/>
      <w:color w:val="BC091B"/>
      <w:kern w:val="28"/>
      <w:sz w:val="56"/>
      <w:szCs w:val="32"/>
      <w:lang w:bidi="ar-SA"/>
    </w:rPr>
  </w:style>
  <w:style w:type="paragraph" w:styleId="Podtitul">
    <w:name w:val="Subtitle"/>
    <w:link w:val="PodtitulChar"/>
    <w:uiPriority w:val="11"/>
    <w:qFormat/>
    <w:rsid w:val="004900FF"/>
    <w:pPr>
      <w:spacing w:line="288" w:lineRule="auto"/>
    </w:pPr>
    <w:rPr>
      <w:rFonts w:ascii="Arial" w:eastAsia="Times New Roman" w:hAnsi="Arial"/>
      <w:b/>
      <w:color w:val="BC091B"/>
      <w:sz w:val="28"/>
      <w:szCs w:val="24"/>
    </w:rPr>
  </w:style>
  <w:style w:type="character" w:customStyle="1" w:styleId="PodtitulChar">
    <w:name w:val="Podtitul Char"/>
    <w:link w:val="Podtitul"/>
    <w:uiPriority w:val="11"/>
    <w:rsid w:val="004900FF"/>
    <w:rPr>
      <w:rFonts w:ascii="Arial" w:eastAsia="Times New Roman" w:hAnsi="Arial"/>
      <w:b/>
      <w:color w:val="BC091B"/>
      <w:sz w:val="28"/>
      <w:szCs w:val="24"/>
      <w:lang w:bidi="ar-SA"/>
    </w:rPr>
  </w:style>
  <w:style w:type="paragraph" w:styleId="Nadpisobsahu">
    <w:name w:val="TOC Heading"/>
    <w:basedOn w:val="Nadpis1"/>
    <w:next w:val="Normln"/>
    <w:uiPriority w:val="39"/>
    <w:semiHidden/>
    <w:unhideWhenUsed/>
    <w:qFormat/>
    <w:rsid w:val="00DB6382"/>
    <w:pPr>
      <w:spacing w:before="480" w:after="0" w:line="276" w:lineRule="auto"/>
      <w:contextualSpacing w:val="0"/>
      <w:outlineLvl w:val="9"/>
    </w:pPr>
    <w:rPr>
      <w:rFonts w:ascii="Cambria" w:eastAsia="Times New Roman" w:hAnsi="Cambria"/>
      <w:color w:val="365F91"/>
      <w:sz w:val="28"/>
      <w:lang w:eastAsia="en-US"/>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9539D"/>
    <w:pPr>
      <w:ind w:left="426"/>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table" w:styleId="Mkatabulky">
    <w:name w:val="Table Grid"/>
    <w:basedOn w:val="Normlntabulka"/>
    <w:uiPriority w:val="59"/>
    <w:rsid w:val="00EE6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087569"/>
    <w:rPr>
      <w:szCs w:val="20"/>
    </w:rPr>
  </w:style>
  <w:style w:type="character" w:customStyle="1" w:styleId="TextpoznpodarouChar">
    <w:name w:val="Text pozn. pod čarou Char"/>
    <w:basedOn w:val="Standardnpsmoodstavce"/>
    <w:link w:val="Textpoznpodarou"/>
    <w:uiPriority w:val="99"/>
    <w:semiHidden/>
    <w:rsid w:val="00087569"/>
    <w:rPr>
      <w:rFonts w:ascii="Arial" w:eastAsia="Times New Roman" w:hAnsi="Arial"/>
    </w:rPr>
  </w:style>
  <w:style w:type="character" w:styleId="Znakapoznpodarou">
    <w:name w:val="footnote reference"/>
    <w:basedOn w:val="Standardnpsmoodstavce"/>
    <w:uiPriority w:val="99"/>
    <w:semiHidden/>
    <w:unhideWhenUsed/>
    <w:rsid w:val="00087569"/>
    <w:rPr>
      <w:vertAlign w:val="superscript"/>
    </w:rPr>
  </w:style>
  <w:style w:type="character" w:styleId="Odkaznakoment">
    <w:name w:val="annotation reference"/>
    <w:basedOn w:val="Standardnpsmoodstavce"/>
    <w:uiPriority w:val="99"/>
    <w:semiHidden/>
    <w:unhideWhenUsed/>
    <w:rsid w:val="00311229"/>
    <w:rPr>
      <w:sz w:val="16"/>
      <w:szCs w:val="16"/>
    </w:rPr>
  </w:style>
  <w:style w:type="paragraph" w:styleId="Textkomente">
    <w:name w:val="annotation text"/>
    <w:basedOn w:val="Normln"/>
    <w:link w:val="TextkomenteChar"/>
    <w:uiPriority w:val="99"/>
    <w:semiHidden/>
    <w:unhideWhenUsed/>
    <w:rsid w:val="00311229"/>
    <w:rPr>
      <w:szCs w:val="20"/>
    </w:rPr>
  </w:style>
  <w:style w:type="character" w:customStyle="1" w:styleId="TextkomenteChar">
    <w:name w:val="Text komentáře Char"/>
    <w:basedOn w:val="Standardnpsmoodstavce"/>
    <w:link w:val="Textkomente"/>
    <w:uiPriority w:val="99"/>
    <w:semiHidden/>
    <w:rsid w:val="00311229"/>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311229"/>
    <w:rPr>
      <w:b/>
      <w:bCs/>
    </w:rPr>
  </w:style>
  <w:style w:type="character" w:customStyle="1" w:styleId="PedmtkomenteChar">
    <w:name w:val="Předmět komentáře Char"/>
    <w:basedOn w:val="TextkomenteChar"/>
    <w:link w:val="Pedmtkomente"/>
    <w:uiPriority w:val="99"/>
    <w:semiHidden/>
    <w:rsid w:val="00311229"/>
    <w:rPr>
      <w:b/>
      <w:bCs/>
    </w:rPr>
  </w:style>
  <w:style w:type="paragraph" w:customStyle="1" w:styleId="Default">
    <w:name w:val="Default"/>
    <w:rsid w:val="00D8415C"/>
    <w:pPr>
      <w:autoSpaceDE w:val="0"/>
      <w:autoSpaceDN w:val="0"/>
      <w:adjustRightInd w:val="0"/>
    </w:pPr>
    <w:rPr>
      <w:rFonts w:ascii="Arial" w:hAnsi="Arial" w:cs="Arial"/>
      <w:color w:val="000000"/>
      <w:sz w:val="24"/>
      <w:szCs w:val="24"/>
    </w:rPr>
  </w:style>
  <w:style w:type="paragraph" w:styleId="Zkladntextodsazen2">
    <w:name w:val="Body Text Indent 2"/>
    <w:basedOn w:val="Normln"/>
    <w:link w:val="Zkladntextodsazen2Char"/>
    <w:uiPriority w:val="99"/>
    <w:semiHidden/>
    <w:unhideWhenUsed/>
    <w:rsid w:val="00F1707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17074"/>
    <w:rPr>
      <w:rFonts w:ascii="Arial" w:eastAsia="Times New Roman" w:hAnsi="Arial"/>
      <w:szCs w:val="24"/>
    </w:rPr>
  </w:style>
  <w:style w:type="paragraph" w:styleId="Seznamsodrkami2">
    <w:name w:val="List Bullet 2"/>
    <w:basedOn w:val="Normln"/>
    <w:autoRedefine/>
    <w:uiPriority w:val="99"/>
    <w:unhideWhenUsed/>
    <w:rsid w:val="00F17074"/>
    <w:pPr>
      <w:spacing w:after="0" w:line="240" w:lineRule="auto"/>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3335765">
      <w:bodyDiv w:val="1"/>
      <w:marLeft w:val="0"/>
      <w:marRight w:val="0"/>
      <w:marTop w:val="0"/>
      <w:marBottom w:val="0"/>
      <w:divBdr>
        <w:top w:val="none" w:sz="0" w:space="0" w:color="auto"/>
        <w:left w:val="none" w:sz="0" w:space="0" w:color="auto"/>
        <w:bottom w:val="none" w:sz="0" w:space="0" w:color="auto"/>
        <w:right w:val="none" w:sz="0" w:space="0" w:color="auto"/>
      </w:divBdr>
    </w:div>
    <w:div w:id="107354285">
      <w:bodyDiv w:val="1"/>
      <w:marLeft w:val="0"/>
      <w:marRight w:val="0"/>
      <w:marTop w:val="0"/>
      <w:marBottom w:val="0"/>
      <w:divBdr>
        <w:top w:val="none" w:sz="0" w:space="0" w:color="auto"/>
        <w:left w:val="none" w:sz="0" w:space="0" w:color="auto"/>
        <w:bottom w:val="none" w:sz="0" w:space="0" w:color="auto"/>
        <w:right w:val="none" w:sz="0" w:space="0" w:color="auto"/>
      </w:divBdr>
    </w:div>
    <w:div w:id="126553671">
      <w:bodyDiv w:val="1"/>
      <w:marLeft w:val="0"/>
      <w:marRight w:val="0"/>
      <w:marTop w:val="0"/>
      <w:marBottom w:val="0"/>
      <w:divBdr>
        <w:top w:val="none" w:sz="0" w:space="0" w:color="auto"/>
        <w:left w:val="none" w:sz="0" w:space="0" w:color="auto"/>
        <w:bottom w:val="none" w:sz="0" w:space="0" w:color="auto"/>
        <w:right w:val="none" w:sz="0" w:space="0" w:color="auto"/>
      </w:divBdr>
    </w:div>
    <w:div w:id="222788653">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75604331">
      <w:bodyDiv w:val="1"/>
      <w:marLeft w:val="0"/>
      <w:marRight w:val="0"/>
      <w:marTop w:val="0"/>
      <w:marBottom w:val="0"/>
      <w:divBdr>
        <w:top w:val="none" w:sz="0" w:space="0" w:color="auto"/>
        <w:left w:val="none" w:sz="0" w:space="0" w:color="auto"/>
        <w:bottom w:val="none" w:sz="0" w:space="0" w:color="auto"/>
        <w:right w:val="none" w:sz="0" w:space="0" w:color="auto"/>
      </w:divBdr>
    </w:div>
    <w:div w:id="294144084">
      <w:bodyDiv w:val="1"/>
      <w:marLeft w:val="0"/>
      <w:marRight w:val="0"/>
      <w:marTop w:val="0"/>
      <w:marBottom w:val="0"/>
      <w:divBdr>
        <w:top w:val="none" w:sz="0" w:space="0" w:color="auto"/>
        <w:left w:val="none" w:sz="0" w:space="0" w:color="auto"/>
        <w:bottom w:val="none" w:sz="0" w:space="0" w:color="auto"/>
        <w:right w:val="none" w:sz="0" w:space="0" w:color="auto"/>
      </w:divBdr>
    </w:div>
    <w:div w:id="297878521">
      <w:bodyDiv w:val="1"/>
      <w:marLeft w:val="0"/>
      <w:marRight w:val="0"/>
      <w:marTop w:val="0"/>
      <w:marBottom w:val="0"/>
      <w:divBdr>
        <w:top w:val="none" w:sz="0" w:space="0" w:color="auto"/>
        <w:left w:val="none" w:sz="0" w:space="0" w:color="auto"/>
        <w:bottom w:val="none" w:sz="0" w:space="0" w:color="auto"/>
        <w:right w:val="none" w:sz="0" w:space="0" w:color="auto"/>
      </w:divBdr>
    </w:div>
    <w:div w:id="306864837">
      <w:bodyDiv w:val="1"/>
      <w:marLeft w:val="0"/>
      <w:marRight w:val="0"/>
      <w:marTop w:val="0"/>
      <w:marBottom w:val="0"/>
      <w:divBdr>
        <w:top w:val="none" w:sz="0" w:space="0" w:color="auto"/>
        <w:left w:val="none" w:sz="0" w:space="0" w:color="auto"/>
        <w:bottom w:val="none" w:sz="0" w:space="0" w:color="auto"/>
        <w:right w:val="none" w:sz="0" w:space="0" w:color="auto"/>
      </w:divBdr>
    </w:div>
    <w:div w:id="310015693">
      <w:bodyDiv w:val="1"/>
      <w:marLeft w:val="0"/>
      <w:marRight w:val="0"/>
      <w:marTop w:val="0"/>
      <w:marBottom w:val="0"/>
      <w:divBdr>
        <w:top w:val="none" w:sz="0" w:space="0" w:color="auto"/>
        <w:left w:val="none" w:sz="0" w:space="0" w:color="auto"/>
        <w:bottom w:val="none" w:sz="0" w:space="0" w:color="auto"/>
        <w:right w:val="none" w:sz="0" w:space="0" w:color="auto"/>
      </w:divBdr>
    </w:div>
    <w:div w:id="349651884">
      <w:bodyDiv w:val="1"/>
      <w:marLeft w:val="0"/>
      <w:marRight w:val="0"/>
      <w:marTop w:val="0"/>
      <w:marBottom w:val="0"/>
      <w:divBdr>
        <w:top w:val="none" w:sz="0" w:space="0" w:color="auto"/>
        <w:left w:val="none" w:sz="0" w:space="0" w:color="auto"/>
        <w:bottom w:val="none" w:sz="0" w:space="0" w:color="auto"/>
        <w:right w:val="none" w:sz="0" w:space="0" w:color="auto"/>
      </w:divBdr>
    </w:div>
    <w:div w:id="367335944">
      <w:bodyDiv w:val="1"/>
      <w:marLeft w:val="0"/>
      <w:marRight w:val="0"/>
      <w:marTop w:val="0"/>
      <w:marBottom w:val="0"/>
      <w:divBdr>
        <w:top w:val="none" w:sz="0" w:space="0" w:color="auto"/>
        <w:left w:val="none" w:sz="0" w:space="0" w:color="auto"/>
        <w:bottom w:val="none" w:sz="0" w:space="0" w:color="auto"/>
        <w:right w:val="none" w:sz="0" w:space="0" w:color="auto"/>
      </w:divBdr>
    </w:div>
    <w:div w:id="448820682">
      <w:bodyDiv w:val="1"/>
      <w:marLeft w:val="0"/>
      <w:marRight w:val="0"/>
      <w:marTop w:val="0"/>
      <w:marBottom w:val="0"/>
      <w:divBdr>
        <w:top w:val="none" w:sz="0" w:space="0" w:color="auto"/>
        <w:left w:val="none" w:sz="0" w:space="0" w:color="auto"/>
        <w:bottom w:val="none" w:sz="0" w:space="0" w:color="auto"/>
        <w:right w:val="none" w:sz="0" w:space="0" w:color="auto"/>
      </w:divBdr>
    </w:div>
    <w:div w:id="49028904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24292452">
      <w:bodyDiv w:val="1"/>
      <w:marLeft w:val="0"/>
      <w:marRight w:val="0"/>
      <w:marTop w:val="0"/>
      <w:marBottom w:val="0"/>
      <w:divBdr>
        <w:top w:val="none" w:sz="0" w:space="0" w:color="auto"/>
        <w:left w:val="none" w:sz="0" w:space="0" w:color="auto"/>
        <w:bottom w:val="none" w:sz="0" w:space="0" w:color="auto"/>
        <w:right w:val="none" w:sz="0" w:space="0" w:color="auto"/>
      </w:divBdr>
    </w:div>
    <w:div w:id="524682877">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80263244">
      <w:bodyDiv w:val="1"/>
      <w:marLeft w:val="0"/>
      <w:marRight w:val="0"/>
      <w:marTop w:val="0"/>
      <w:marBottom w:val="0"/>
      <w:divBdr>
        <w:top w:val="none" w:sz="0" w:space="0" w:color="auto"/>
        <w:left w:val="none" w:sz="0" w:space="0" w:color="auto"/>
        <w:bottom w:val="none" w:sz="0" w:space="0" w:color="auto"/>
        <w:right w:val="none" w:sz="0" w:space="0" w:color="auto"/>
      </w:divBdr>
    </w:div>
    <w:div w:id="589392418">
      <w:bodyDiv w:val="1"/>
      <w:marLeft w:val="0"/>
      <w:marRight w:val="0"/>
      <w:marTop w:val="0"/>
      <w:marBottom w:val="0"/>
      <w:divBdr>
        <w:top w:val="none" w:sz="0" w:space="0" w:color="auto"/>
        <w:left w:val="none" w:sz="0" w:space="0" w:color="auto"/>
        <w:bottom w:val="none" w:sz="0" w:space="0" w:color="auto"/>
        <w:right w:val="none" w:sz="0" w:space="0" w:color="auto"/>
      </w:divBdr>
    </w:div>
    <w:div w:id="589510218">
      <w:bodyDiv w:val="1"/>
      <w:marLeft w:val="0"/>
      <w:marRight w:val="0"/>
      <w:marTop w:val="0"/>
      <w:marBottom w:val="0"/>
      <w:divBdr>
        <w:top w:val="none" w:sz="0" w:space="0" w:color="auto"/>
        <w:left w:val="none" w:sz="0" w:space="0" w:color="auto"/>
        <w:bottom w:val="none" w:sz="0" w:space="0" w:color="auto"/>
        <w:right w:val="none" w:sz="0" w:space="0" w:color="auto"/>
      </w:divBdr>
    </w:div>
    <w:div w:id="601650656">
      <w:bodyDiv w:val="1"/>
      <w:marLeft w:val="0"/>
      <w:marRight w:val="0"/>
      <w:marTop w:val="0"/>
      <w:marBottom w:val="0"/>
      <w:divBdr>
        <w:top w:val="none" w:sz="0" w:space="0" w:color="auto"/>
        <w:left w:val="none" w:sz="0" w:space="0" w:color="auto"/>
        <w:bottom w:val="none" w:sz="0" w:space="0" w:color="auto"/>
        <w:right w:val="none" w:sz="0" w:space="0" w:color="auto"/>
      </w:divBdr>
    </w:div>
    <w:div w:id="631327174">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5736648">
      <w:bodyDiv w:val="1"/>
      <w:marLeft w:val="0"/>
      <w:marRight w:val="0"/>
      <w:marTop w:val="0"/>
      <w:marBottom w:val="0"/>
      <w:divBdr>
        <w:top w:val="none" w:sz="0" w:space="0" w:color="auto"/>
        <w:left w:val="none" w:sz="0" w:space="0" w:color="auto"/>
        <w:bottom w:val="none" w:sz="0" w:space="0" w:color="auto"/>
        <w:right w:val="none" w:sz="0" w:space="0" w:color="auto"/>
      </w:divBdr>
    </w:div>
    <w:div w:id="726925808">
      <w:bodyDiv w:val="1"/>
      <w:marLeft w:val="0"/>
      <w:marRight w:val="0"/>
      <w:marTop w:val="0"/>
      <w:marBottom w:val="0"/>
      <w:divBdr>
        <w:top w:val="none" w:sz="0" w:space="0" w:color="auto"/>
        <w:left w:val="none" w:sz="0" w:space="0" w:color="auto"/>
        <w:bottom w:val="none" w:sz="0" w:space="0" w:color="auto"/>
        <w:right w:val="none" w:sz="0" w:space="0" w:color="auto"/>
      </w:divBdr>
    </w:div>
    <w:div w:id="742214059">
      <w:bodyDiv w:val="1"/>
      <w:marLeft w:val="0"/>
      <w:marRight w:val="0"/>
      <w:marTop w:val="0"/>
      <w:marBottom w:val="0"/>
      <w:divBdr>
        <w:top w:val="none" w:sz="0" w:space="0" w:color="auto"/>
        <w:left w:val="none" w:sz="0" w:space="0" w:color="auto"/>
        <w:bottom w:val="none" w:sz="0" w:space="0" w:color="auto"/>
        <w:right w:val="none" w:sz="0" w:space="0" w:color="auto"/>
      </w:divBdr>
    </w:div>
    <w:div w:id="813567036">
      <w:bodyDiv w:val="1"/>
      <w:marLeft w:val="0"/>
      <w:marRight w:val="0"/>
      <w:marTop w:val="0"/>
      <w:marBottom w:val="0"/>
      <w:divBdr>
        <w:top w:val="none" w:sz="0" w:space="0" w:color="auto"/>
        <w:left w:val="none" w:sz="0" w:space="0" w:color="auto"/>
        <w:bottom w:val="none" w:sz="0" w:space="0" w:color="auto"/>
        <w:right w:val="none" w:sz="0" w:space="0" w:color="auto"/>
      </w:divBdr>
    </w:div>
    <w:div w:id="903486380">
      <w:bodyDiv w:val="1"/>
      <w:marLeft w:val="0"/>
      <w:marRight w:val="0"/>
      <w:marTop w:val="0"/>
      <w:marBottom w:val="0"/>
      <w:divBdr>
        <w:top w:val="none" w:sz="0" w:space="0" w:color="auto"/>
        <w:left w:val="none" w:sz="0" w:space="0" w:color="auto"/>
        <w:bottom w:val="none" w:sz="0" w:space="0" w:color="auto"/>
        <w:right w:val="none" w:sz="0" w:space="0" w:color="auto"/>
      </w:divBdr>
    </w:div>
    <w:div w:id="936795066">
      <w:bodyDiv w:val="1"/>
      <w:marLeft w:val="0"/>
      <w:marRight w:val="0"/>
      <w:marTop w:val="0"/>
      <w:marBottom w:val="0"/>
      <w:divBdr>
        <w:top w:val="none" w:sz="0" w:space="0" w:color="auto"/>
        <w:left w:val="none" w:sz="0" w:space="0" w:color="auto"/>
        <w:bottom w:val="none" w:sz="0" w:space="0" w:color="auto"/>
        <w:right w:val="none" w:sz="0" w:space="0" w:color="auto"/>
      </w:divBdr>
    </w:div>
    <w:div w:id="945846299">
      <w:bodyDiv w:val="1"/>
      <w:marLeft w:val="0"/>
      <w:marRight w:val="0"/>
      <w:marTop w:val="0"/>
      <w:marBottom w:val="0"/>
      <w:divBdr>
        <w:top w:val="none" w:sz="0" w:space="0" w:color="auto"/>
        <w:left w:val="none" w:sz="0" w:space="0" w:color="auto"/>
        <w:bottom w:val="none" w:sz="0" w:space="0" w:color="auto"/>
        <w:right w:val="none" w:sz="0" w:space="0" w:color="auto"/>
      </w:divBdr>
    </w:div>
    <w:div w:id="1083338904">
      <w:bodyDiv w:val="1"/>
      <w:marLeft w:val="0"/>
      <w:marRight w:val="0"/>
      <w:marTop w:val="0"/>
      <w:marBottom w:val="0"/>
      <w:divBdr>
        <w:top w:val="none" w:sz="0" w:space="0" w:color="auto"/>
        <w:left w:val="none" w:sz="0" w:space="0" w:color="auto"/>
        <w:bottom w:val="none" w:sz="0" w:space="0" w:color="auto"/>
        <w:right w:val="none" w:sz="0" w:space="0" w:color="auto"/>
      </w:divBdr>
    </w:div>
    <w:div w:id="110063791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16551455">
      <w:bodyDiv w:val="1"/>
      <w:marLeft w:val="0"/>
      <w:marRight w:val="0"/>
      <w:marTop w:val="0"/>
      <w:marBottom w:val="0"/>
      <w:divBdr>
        <w:top w:val="none" w:sz="0" w:space="0" w:color="auto"/>
        <w:left w:val="none" w:sz="0" w:space="0" w:color="auto"/>
        <w:bottom w:val="none" w:sz="0" w:space="0" w:color="auto"/>
        <w:right w:val="none" w:sz="0" w:space="0" w:color="auto"/>
      </w:divBdr>
    </w:div>
    <w:div w:id="1295406421">
      <w:bodyDiv w:val="1"/>
      <w:marLeft w:val="0"/>
      <w:marRight w:val="0"/>
      <w:marTop w:val="0"/>
      <w:marBottom w:val="0"/>
      <w:divBdr>
        <w:top w:val="none" w:sz="0" w:space="0" w:color="auto"/>
        <w:left w:val="none" w:sz="0" w:space="0" w:color="auto"/>
        <w:bottom w:val="none" w:sz="0" w:space="0" w:color="auto"/>
        <w:right w:val="none" w:sz="0" w:space="0" w:color="auto"/>
      </w:divBdr>
    </w:div>
    <w:div w:id="134520286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7451731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00342100">
      <w:bodyDiv w:val="1"/>
      <w:marLeft w:val="0"/>
      <w:marRight w:val="0"/>
      <w:marTop w:val="0"/>
      <w:marBottom w:val="0"/>
      <w:divBdr>
        <w:top w:val="none" w:sz="0" w:space="0" w:color="auto"/>
        <w:left w:val="none" w:sz="0" w:space="0" w:color="auto"/>
        <w:bottom w:val="none" w:sz="0" w:space="0" w:color="auto"/>
        <w:right w:val="none" w:sz="0" w:space="0" w:color="auto"/>
      </w:divBdr>
    </w:div>
    <w:div w:id="1503400420">
      <w:bodyDiv w:val="1"/>
      <w:marLeft w:val="0"/>
      <w:marRight w:val="0"/>
      <w:marTop w:val="0"/>
      <w:marBottom w:val="0"/>
      <w:divBdr>
        <w:top w:val="none" w:sz="0" w:space="0" w:color="auto"/>
        <w:left w:val="none" w:sz="0" w:space="0" w:color="auto"/>
        <w:bottom w:val="none" w:sz="0" w:space="0" w:color="auto"/>
        <w:right w:val="none" w:sz="0" w:space="0" w:color="auto"/>
      </w:divBdr>
    </w:div>
    <w:div w:id="1524323366">
      <w:bodyDiv w:val="1"/>
      <w:marLeft w:val="0"/>
      <w:marRight w:val="0"/>
      <w:marTop w:val="0"/>
      <w:marBottom w:val="0"/>
      <w:divBdr>
        <w:top w:val="none" w:sz="0" w:space="0" w:color="auto"/>
        <w:left w:val="none" w:sz="0" w:space="0" w:color="auto"/>
        <w:bottom w:val="none" w:sz="0" w:space="0" w:color="auto"/>
        <w:right w:val="none" w:sz="0" w:space="0" w:color="auto"/>
      </w:divBdr>
    </w:div>
    <w:div w:id="1623076774">
      <w:bodyDiv w:val="1"/>
      <w:marLeft w:val="0"/>
      <w:marRight w:val="0"/>
      <w:marTop w:val="0"/>
      <w:marBottom w:val="0"/>
      <w:divBdr>
        <w:top w:val="none" w:sz="0" w:space="0" w:color="auto"/>
        <w:left w:val="none" w:sz="0" w:space="0" w:color="auto"/>
        <w:bottom w:val="none" w:sz="0" w:space="0" w:color="auto"/>
        <w:right w:val="none" w:sz="0" w:space="0" w:color="auto"/>
      </w:divBdr>
    </w:div>
    <w:div w:id="1726949801">
      <w:bodyDiv w:val="1"/>
      <w:marLeft w:val="0"/>
      <w:marRight w:val="0"/>
      <w:marTop w:val="0"/>
      <w:marBottom w:val="0"/>
      <w:divBdr>
        <w:top w:val="none" w:sz="0" w:space="0" w:color="auto"/>
        <w:left w:val="none" w:sz="0" w:space="0" w:color="auto"/>
        <w:bottom w:val="none" w:sz="0" w:space="0" w:color="auto"/>
        <w:right w:val="none" w:sz="0" w:space="0" w:color="auto"/>
      </w:divBdr>
    </w:div>
    <w:div w:id="1843549023">
      <w:bodyDiv w:val="1"/>
      <w:marLeft w:val="0"/>
      <w:marRight w:val="0"/>
      <w:marTop w:val="0"/>
      <w:marBottom w:val="0"/>
      <w:divBdr>
        <w:top w:val="none" w:sz="0" w:space="0" w:color="auto"/>
        <w:left w:val="none" w:sz="0" w:space="0" w:color="auto"/>
        <w:bottom w:val="none" w:sz="0" w:space="0" w:color="auto"/>
        <w:right w:val="none" w:sz="0" w:space="0" w:color="auto"/>
      </w:divBdr>
    </w:div>
    <w:div w:id="1858151404">
      <w:bodyDiv w:val="1"/>
      <w:marLeft w:val="0"/>
      <w:marRight w:val="0"/>
      <w:marTop w:val="0"/>
      <w:marBottom w:val="0"/>
      <w:divBdr>
        <w:top w:val="none" w:sz="0" w:space="0" w:color="auto"/>
        <w:left w:val="none" w:sz="0" w:space="0" w:color="auto"/>
        <w:bottom w:val="none" w:sz="0" w:space="0" w:color="auto"/>
        <w:right w:val="none" w:sz="0" w:space="0" w:color="auto"/>
      </w:divBdr>
    </w:div>
    <w:div w:id="1863320186">
      <w:bodyDiv w:val="1"/>
      <w:marLeft w:val="0"/>
      <w:marRight w:val="0"/>
      <w:marTop w:val="0"/>
      <w:marBottom w:val="0"/>
      <w:divBdr>
        <w:top w:val="none" w:sz="0" w:space="0" w:color="auto"/>
        <w:left w:val="none" w:sz="0" w:space="0" w:color="auto"/>
        <w:bottom w:val="none" w:sz="0" w:space="0" w:color="auto"/>
        <w:right w:val="none" w:sz="0" w:space="0" w:color="auto"/>
      </w:divBdr>
    </w:div>
    <w:div w:id="187407451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40679426">
      <w:bodyDiv w:val="1"/>
      <w:marLeft w:val="0"/>
      <w:marRight w:val="0"/>
      <w:marTop w:val="0"/>
      <w:marBottom w:val="0"/>
      <w:divBdr>
        <w:top w:val="none" w:sz="0" w:space="0" w:color="auto"/>
        <w:left w:val="none" w:sz="0" w:space="0" w:color="auto"/>
        <w:bottom w:val="none" w:sz="0" w:space="0" w:color="auto"/>
        <w:right w:val="none" w:sz="0" w:space="0" w:color="auto"/>
      </w:divBdr>
    </w:div>
    <w:div w:id="2051417258">
      <w:bodyDiv w:val="1"/>
      <w:marLeft w:val="0"/>
      <w:marRight w:val="0"/>
      <w:marTop w:val="0"/>
      <w:marBottom w:val="0"/>
      <w:divBdr>
        <w:top w:val="none" w:sz="0" w:space="0" w:color="auto"/>
        <w:left w:val="none" w:sz="0" w:space="0" w:color="auto"/>
        <w:bottom w:val="none" w:sz="0" w:space="0" w:color="auto"/>
        <w:right w:val="none" w:sz="0" w:space="0" w:color="auto"/>
      </w:divBdr>
    </w:div>
    <w:div w:id="208228631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23958897">
      <w:bodyDiv w:val="1"/>
      <w:marLeft w:val="0"/>
      <w:marRight w:val="0"/>
      <w:marTop w:val="0"/>
      <w:marBottom w:val="0"/>
      <w:divBdr>
        <w:top w:val="none" w:sz="0" w:space="0" w:color="auto"/>
        <w:left w:val="none" w:sz="0" w:space="0" w:color="auto"/>
        <w:bottom w:val="none" w:sz="0" w:space="0" w:color="auto"/>
        <w:right w:val="none" w:sz="0" w:space="0" w:color="auto"/>
      </w:divBdr>
    </w:div>
    <w:div w:id="214396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6-03-29.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D712F-C8F2-466E-8079-F5834231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spolecnost_2016-03-29</Template>
  <TotalTime>5</TotalTime>
  <Pages>5</Pages>
  <Words>2369</Words>
  <Characters>13983</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pubalova6594</dc:creator>
  <cp:lastModifiedBy>Milan Dedera</cp:lastModifiedBy>
  <cp:revision>5</cp:revision>
  <cp:lastPrinted>2017-05-24T13:19:00Z</cp:lastPrinted>
  <dcterms:created xsi:type="dcterms:W3CDTF">2017-05-25T10:29:00Z</dcterms:created>
  <dcterms:modified xsi:type="dcterms:W3CDTF">2017-05-25T15:28:00Z</dcterms:modified>
</cp:coreProperties>
</file>