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57" w:rsidRDefault="003822BA" w:rsidP="006E3865">
      <w:pPr>
        <w:pStyle w:val="Nadpis3"/>
        <w:rPr>
          <w:sz w:val="32"/>
          <w:szCs w:val="28"/>
        </w:rPr>
      </w:pPr>
      <w:r>
        <w:rPr>
          <w:sz w:val="32"/>
          <w:szCs w:val="28"/>
        </w:rPr>
        <w:t>GBA</w:t>
      </w:r>
      <w:r w:rsidR="00C93F57" w:rsidRPr="00C93F57">
        <w:rPr>
          <w:sz w:val="32"/>
          <w:szCs w:val="28"/>
        </w:rPr>
        <w:t xml:space="preserve">RD podle </w:t>
      </w:r>
      <w:r w:rsidR="001826FF">
        <w:rPr>
          <w:sz w:val="32"/>
          <w:szCs w:val="28"/>
        </w:rPr>
        <w:t>socioekonomických cílů NABS 2007</w:t>
      </w:r>
    </w:p>
    <w:p w:rsidR="001826FF" w:rsidRDefault="001826FF" w:rsidP="001826FF">
      <w:pPr>
        <w:spacing w:before="120"/>
        <w:jc w:val="both"/>
      </w:pPr>
      <w:r>
        <w:t xml:space="preserve">V roce 2007 byla poprvé použita revidovaná klasifikace socioekonomických cílů NABS 2007, jež je v důsledku redukce většiny podcílů výrazně jednodušší než předcházející verze (NABS 1992). Některé socioekonomické cíle NABS 2007 přímo korespondují se socioekonomickými cíli NABS 1992, jiné jsou naopak zcela nové. Socioekonomický cíl SEO 08 – společenské struktury a vztahy byl nově rozdělen do 3 socioekonomických cílů. Zásadní změnou je také vypuštění SEO 12 – ostatní civilní výzkum. Položky v tomto cíli musely </w:t>
      </w:r>
      <w:r w:rsidR="00574BF4">
        <w:t>být rozděleny do ostatních cílů</w:t>
      </w:r>
      <w:r w:rsidR="00574BF4">
        <w:rPr>
          <w:rStyle w:val="Znakapoznpodarou"/>
        </w:rPr>
        <w:footnoteReference w:id="1"/>
      </w:r>
      <w:r>
        <w:t xml:space="preserve">. </w:t>
      </w:r>
    </w:p>
    <w:p w:rsidR="001826FF" w:rsidRDefault="001826FF" w:rsidP="001826FF">
      <w:pPr>
        <w:spacing w:before="120"/>
        <w:jc w:val="both"/>
      </w:pPr>
      <w:r>
        <w:t xml:space="preserve">V členění podle klasifikace NABS 2007 směřovalo nejvíce statní rozpočtové podpory do </w:t>
      </w:r>
      <w:r w:rsidRPr="001826FF">
        <w:rPr>
          <w:b/>
        </w:rPr>
        <w:t>všeobecného rozvoje znalostí</w:t>
      </w:r>
      <w:r>
        <w:t xml:space="preserve">, jenž se dále člení na VaV financovaný z všeobecných </w:t>
      </w:r>
      <w:r w:rsidR="00383EE0">
        <w:t xml:space="preserve">univerzitních fondů (NABS2007 – </w:t>
      </w:r>
      <w:r>
        <w:t>SEO 12) a VaV financovaný</w:t>
      </w:r>
      <w:r w:rsidR="00383EE0">
        <w:t xml:space="preserve"> z ostatních zdrojů (NABS 2007 – </w:t>
      </w:r>
      <w:r>
        <w:t>SEO 13). Podíly těchto socioekonomických cílů na c</w:t>
      </w:r>
      <w:r w:rsidR="00383EE0">
        <w:t>elkových GBA</w:t>
      </w:r>
      <w:r w:rsidR="00672297">
        <w:t>RD byly v roce 2014</w:t>
      </w:r>
      <w:r>
        <w:t xml:space="preserve"> následující: </w:t>
      </w:r>
      <w:r w:rsidRPr="001826FF">
        <w:rPr>
          <w:b/>
        </w:rPr>
        <w:t>VaV f</w:t>
      </w:r>
      <w:r w:rsidR="007546C7">
        <w:rPr>
          <w:b/>
        </w:rPr>
        <w:t>inancovaný z ostatních zdrojů 31,9</w:t>
      </w:r>
      <w:r w:rsidRPr="001826FF">
        <w:rPr>
          <w:b/>
        </w:rPr>
        <w:t xml:space="preserve"> % a VaV financovaný z všeo</w:t>
      </w:r>
      <w:r w:rsidR="007546C7">
        <w:rPr>
          <w:b/>
        </w:rPr>
        <w:t>becných univerzitních fondů 23</w:t>
      </w:r>
      <w:r w:rsidR="00774D08">
        <w:rPr>
          <w:b/>
        </w:rPr>
        <w:t> </w:t>
      </w:r>
      <w:r w:rsidRPr="001826FF">
        <w:rPr>
          <w:b/>
        </w:rPr>
        <w:t>%</w:t>
      </w:r>
      <w:r>
        <w:t>. V pořadí třetím nejpodporovanějším soc</w:t>
      </w:r>
      <w:r w:rsidR="007546C7">
        <w:t>ioekonomickým cílem s podílem 12,9</w:t>
      </w:r>
      <w:r>
        <w:t xml:space="preserve"> % byla průmyslová výroba a technologie</w:t>
      </w:r>
      <w:r w:rsidR="00774D08">
        <w:t xml:space="preserve"> (SEO 06)</w:t>
      </w:r>
      <w:r>
        <w:t>. Nejmenší podporu naopak získaly výzkumné aktivity v oblasti kultury, re</w:t>
      </w:r>
      <w:r w:rsidR="00CF2259">
        <w:t>kreace, náboženství a medií (1,4</w:t>
      </w:r>
      <w:r>
        <w:t xml:space="preserve"> %). Za nízkou lze považovat i výši finanční podpory, již v roc</w:t>
      </w:r>
      <w:r w:rsidR="00766007">
        <w:t>e 2014</w:t>
      </w:r>
      <w:r>
        <w:t xml:space="preserve"> získal </w:t>
      </w:r>
      <w:r w:rsidRPr="001826FF">
        <w:rPr>
          <w:b/>
        </w:rPr>
        <w:t>vojenský (obranný</w:t>
      </w:r>
      <w:r w:rsidR="002E00DB">
        <w:rPr>
          <w:b/>
        </w:rPr>
        <w:t>) výzkum (1,4</w:t>
      </w:r>
      <w:r>
        <w:rPr>
          <w:b/>
        </w:rPr>
        <w:t xml:space="preserve"> % z celkových GBA</w:t>
      </w:r>
      <w:r w:rsidRPr="001826FF">
        <w:rPr>
          <w:b/>
        </w:rPr>
        <w:t>RD)</w:t>
      </w:r>
      <w:r>
        <w:t xml:space="preserve">. </w:t>
      </w:r>
    </w:p>
    <w:p w:rsidR="0085659D" w:rsidRPr="001826FF" w:rsidRDefault="001826FF" w:rsidP="001826FF">
      <w:pPr>
        <w:spacing w:before="120"/>
        <w:jc w:val="both"/>
        <w:rPr>
          <w:b/>
        </w:rPr>
      </w:pPr>
      <w:r w:rsidRPr="001826FF">
        <w:rPr>
          <w:b/>
        </w:rPr>
        <w:t>GRAF 3-1: GBARD podle socioekonomických cílů NABS 2007 v roce 2005, 2010, 2013 a 2014 (mil. Kč)</w:t>
      </w:r>
    </w:p>
    <w:p w:rsidR="0085659D" w:rsidRDefault="0085659D" w:rsidP="007504B3">
      <w:pPr>
        <w:rPr>
          <w:b/>
        </w:rPr>
      </w:pPr>
    </w:p>
    <w:p w:rsidR="006E42AF" w:rsidRPr="007504B3" w:rsidRDefault="00E12482" w:rsidP="007504B3">
      <w:pPr>
        <w:rPr>
          <w:b/>
        </w:rPr>
      </w:pPr>
      <w:r>
        <w:rPr>
          <w:noProof/>
        </w:rPr>
        <w:drawing>
          <wp:inline distT="0" distB="0" distL="0" distR="0" wp14:anchorId="74E94EAA" wp14:editId="5C866584">
            <wp:extent cx="5972810" cy="4734560"/>
            <wp:effectExtent l="0" t="0" r="8890" b="889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sectPr w:rsidR="006E42AF" w:rsidRPr="007504B3" w:rsidSect="00374920">
      <w:headerReference w:type="even" r:id="rId10"/>
      <w:headerReference w:type="default" r:id="rId11"/>
      <w:footerReference w:type="even" r:id="rId12"/>
      <w:footerReference w:type="default" r:id="rId13"/>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90D" w:rsidRDefault="00F1090D" w:rsidP="00E71A58">
      <w:r>
        <w:separator/>
      </w:r>
    </w:p>
  </w:endnote>
  <w:endnote w:type="continuationSeparator" w:id="0">
    <w:p w:rsidR="00F1090D" w:rsidRDefault="00F1090D"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Default="009C5518"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16"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8B397D" w:rsidRPr="005A21E0">
      <w:rPr>
        <w:rFonts w:ascii="Arial" w:hAnsi="Arial" w:cs="Arial"/>
        <w:sz w:val="16"/>
        <w:szCs w:val="16"/>
      </w:rPr>
      <w:fldChar w:fldCharType="begin"/>
    </w:r>
    <w:r w:rsidRPr="005A21E0">
      <w:rPr>
        <w:rFonts w:ascii="Arial" w:hAnsi="Arial" w:cs="Arial"/>
        <w:sz w:val="16"/>
        <w:szCs w:val="16"/>
      </w:rPr>
      <w:instrText>PAGE   \* MERGEFORMAT</w:instrText>
    </w:r>
    <w:r w:rsidR="008B397D" w:rsidRPr="005A21E0">
      <w:rPr>
        <w:rFonts w:ascii="Arial" w:hAnsi="Arial" w:cs="Arial"/>
        <w:sz w:val="16"/>
        <w:szCs w:val="16"/>
      </w:rPr>
      <w:fldChar w:fldCharType="separate"/>
    </w:r>
    <w:r w:rsidR="00574BF4">
      <w:rPr>
        <w:rFonts w:ascii="Arial" w:hAnsi="Arial" w:cs="Arial"/>
        <w:noProof/>
        <w:sz w:val="16"/>
        <w:szCs w:val="16"/>
      </w:rPr>
      <w:t>2</w:t>
    </w:r>
    <w:r w:rsidR="008B397D" w:rsidRPr="005A21E0">
      <w:rPr>
        <w:rFonts w:ascii="Arial" w:hAnsi="Arial" w:cs="Arial"/>
        <w:sz w:val="16"/>
        <w:szCs w:val="16"/>
      </w:rPr>
      <w:fldChar w:fldCharType="end"/>
    </w:r>
    <w:r>
      <w:rPr>
        <w:rFonts w:ascii="Arial" w:hAnsi="Arial" w:cs="Arial"/>
        <w:sz w:val="16"/>
        <w:szCs w:val="16"/>
      </w:rPr>
      <w:tab/>
      <w:t>2013</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Default="009C5518"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17"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9C5518" w:rsidRDefault="007266B1"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2014</w:t>
    </w:r>
    <w:r w:rsidR="009C5518">
      <w:tab/>
    </w:r>
    <w:r w:rsidR="009C5518">
      <w:tab/>
    </w:r>
    <w:r w:rsidR="008B397D" w:rsidRPr="00B6608F">
      <w:rPr>
        <w:rFonts w:ascii="Arial" w:hAnsi="Arial" w:cs="Arial"/>
        <w:sz w:val="16"/>
        <w:szCs w:val="16"/>
      </w:rPr>
      <w:fldChar w:fldCharType="begin"/>
    </w:r>
    <w:r w:rsidR="009C5518" w:rsidRPr="00B6608F">
      <w:rPr>
        <w:rFonts w:ascii="Arial" w:hAnsi="Arial" w:cs="Arial"/>
        <w:sz w:val="16"/>
        <w:szCs w:val="16"/>
      </w:rPr>
      <w:instrText>PAGE   \* MERGEFORMAT</w:instrText>
    </w:r>
    <w:r w:rsidR="008B397D" w:rsidRPr="00B6608F">
      <w:rPr>
        <w:rFonts w:ascii="Arial" w:hAnsi="Arial" w:cs="Arial"/>
        <w:sz w:val="16"/>
        <w:szCs w:val="16"/>
      </w:rPr>
      <w:fldChar w:fldCharType="separate"/>
    </w:r>
    <w:r w:rsidR="00E12482">
      <w:rPr>
        <w:rFonts w:ascii="Arial" w:hAnsi="Arial" w:cs="Arial"/>
        <w:noProof/>
        <w:sz w:val="16"/>
        <w:szCs w:val="16"/>
      </w:rPr>
      <w:t>1</w:t>
    </w:r>
    <w:r w:rsidR="008B397D"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90D" w:rsidRDefault="00F1090D" w:rsidP="00E71A58">
      <w:r>
        <w:separator/>
      </w:r>
    </w:p>
  </w:footnote>
  <w:footnote w:type="continuationSeparator" w:id="0">
    <w:p w:rsidR="00F1090D" w:rsidRDefault="00F1090D" w:rsidP="00E71A58">
      <w:r>
        <w:continuationSeparator/>
      </w:r>
    </w:p>
  </w:footnote>
  <w:footnote w:id="1">
    <w:p w:rsidR="00574BF4" w:rsidRPr="00574BF4" w:rsidRDefault="00574BF4">
      <w:pPr>
        <w:pStyle w:val="Textpoznpodarou"/>
        <w:rPr>
          <w:rFonts w:cs="Arial"/>
          <w:sz w:val="18"/>
          <w:szCs w:val="18"/>
        </w:rPr>
      </w:pPr>
      <w:r w:rsidRPr="00574BF4">
        <w:rPr>
          <w:rStyle w:val="Znakapoznpodarou"/>
          <w:rFonts w:cs="Arial"/>
          <w:sz w:val="18"/>
          <w:szCs w:val="18"/>
        </w:rPr>
        <w:footnoteRef/>
      </w:r>
      <w:r w:rsidRPr="00574BF4">
        <w:rPr>
          <w:rFonts w:cs="Arial"/>
          <w:sz w:val="18"/>
          <w:szCs w:val="18"/>
        </w:rPr>
        <w:t xml:space="preserve"> Převážná část finančních prostředků bývalého cíle NABS1992-SEO 12 – Ostatní civilní výzkum byla v rámci klasifikace socioekonomických cílů NABS 2007 zařazena do SEO 12: Všeobecný rozvoj znalostí – VaV financovaný z ostatních zdrojů.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Pr="00AD306C" w:rsidRDefault="009C5518" w:rsidP="00AD306C">
    <w:pPr>
      <w:pStyle w:val="Zhlav"/>
      <w:tabs>
        <w:tab w:val="clear" w:pos="4536"/>
        <w:tab w:val="clear" w:pos="9072"/>
        <w:tab w:val="left" w:pos="-6379"/>
        <w:tab w:val="center" w:pos="4820"/>
        <w:tab w:val="right" w:pos="9639"/>
      </w:tabs>
      <w:rPr>
        <w:rFonts w:ascii="Arial" w:hAnsi="Arial" w:cs="Arial"/>
        <w:sz w:val="16"/>
        <w:szCs w:val="16"/>
      </w:rPr>
    </w:pPr>
    <w:r w:rsidRPr="00BC6AC1">
      <w:rPr>
        <w:rFonts w:ascii="Arial" w:hAnsi="Arial" w:cs="Arial"/>
        <w:sz w:val="16"/>
        <w:szCs w:val="16"/>
      </w:rPr>
      <w:t>PŘÍMÁ VEŘEJNÁ PODPORA VÝZKUMU A VÝVOJE V ČESKÉ REPUBLICE</w:t>
    </w:r>
    <w:r>
      <w:rPr>
        <w:rFonts w:ascii="Arial" w:hAnsi="Arial" w:cs="Arial"/>
        <w:sz w:val="16"/>
        <w:szCs w:val="16"/>
      </w:rPr>
      <w:t xml:space="preserve"> / ZÁKLADNÍ ÚDAJE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Default="009C5518" w:rsidP="00AD306C">
    <w:pPr>
      <w:pStyle w:val="Zhlav"/>
      <w:tabs>
        <w:tab w:val="clear" w:pos="4536"/>
        <w:tab w:val="clear" w:pos="9072"/>
        <w:tab w:val="left" w:pos="-6379"/>
        <w:tab w:val="center" w:pos="4820"/>
        <w:tab w:val="right" w:pos="9639"/>
      </w:tabs>
      <w:rPr>
        <w:rFonts w:ascii="Arial" w:hAnsi="Arial" w:cs="Arial"/>
        <w:sz w:val="16"/>
        <w:szCs w:val="16"/>
      </w:rPr>
    </w:pPr>
    <w:r w:rsidRPr="00BC6AC1">
      <w:rPr>
        <w:rFonts w:ascii="Arial" w:hAnsi="Arial" w:cs="Arial"/>
        <w:sz w:val="16"/>
        <w:szCs w:val="16"/>
      </w:rPr>
      <w:t>PŘÍMÁ VEŘEJNÁ PODPORA VÝZKUMU A VÝVOJE V ČESKÉ REPUBLICE</w:t>
    </w:r>
    <w:r w:rsidR="001826FF">
      <w:rPr>
        <w:rFonts w:ascii="Arial" w:hAnsi="Arial" w:cs="Arial"/>
        <w:sz w:val="16"/>
        <w:szCs w:val="16"/>
      </w:rPr>
      <w:t>/ GBARD PODLE NABS 2007</w:t>
    </w:r>
  </w:p>
  <w:p w:rsidR="009C5518" w:rsidRPr="00DC5B3B" w:rsidRDefault="009C5518"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3CE2"/>
    <w:multiLevelType w:val="hybridMultilevel"/>
    <w:tmpl w:val="C1AED6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8C1721"/>
    <w:multiLevelType w:val="hybridMultilevel"/>
    <w:tmpl w:val="17740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Böhm">
    <w15:presenceInfo w15:providerId="Windows Live" w15:userId="33f0ba4ce07661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410D5F"/>
    <w:rsid w:val="00000A97"/>
    <w:rsid w:val="0000316C"/>
    <w:rsid w:val="00004431"/>
    <w:rsid w:val="0000517D"/>
    <w:rsid w:val="00006457"/>
    <w:rsid w:val="00006FA4"/>
    <w:rsid w:val="0000767A"/>
    <w:rsid w:val="000077E7"/>
    <w:rsid w:val="00007CF5"/>
    <w:rsid w:val="000100CF"/>
    <w:rsid w:val="00010702"/>
    <w:rsid w:val="00010728"/>
    <w:rsid w:val="00011090"/>
    <w:rsid w:val="000119C9"/>
    <w:rsid w:val="00011AD9"/>
    <w:rsid w:val="000133D7"/>
    <w:rsid w:val="00014FA5"/>
    <w:rsid w:val="000158B9"/>
    <w:rsid w:val="00016CCE"/>
    <w:rsid w:val="00020A5D"/>
    <w:rsid w:val="000262A4"/>
    <w:rsid w:val="00027052"/>
    <w:rsid w:val="000313F1"/>
    <w:rsid w:val="000318CE"/>
    <w:rsid w:val="00031D06"/>
    <w:rsid w:val="00033D24"/>
    <w:rsid w:val="0003523C"/>
    <w:rsid w:val="00035E0B"/>
    <w:rsid w:val="000368A7"/>
    <w:rsid w:val="00036CDB"/>
    <w:rsid w:val="000372D7"/>
    <w:rsid w:val="00037A9F"/>
    <w:rsid w:val="00040041"/>
    <w:rsid w:val="00041946"/>
    <w:rsid w:val="00043A7E"/>
    <w:rsid w:val="0004694F"/>
    <w:rsid w:val="000472C0"/>
    <w:rsid w:val="000472ED"/>
    <w:rsid w:val="00050F9D"/>
    <w:rsid w:val="00051C4D"/>
    <w:rsid w:val="0005456B"/>
    <w:rsid w:val="000556B7"/>
    <w:rsid w:val="0005739C"/>
    <w:rsid w:val="000576D7"/>
    <w:rsid w:val="00062EC5"/>
    <w:rsid w:val="00064171"/>
    <w:rsid w:val="00065675"/>
    <w:rsid w:val="00065E55"/>
    <w:rsid w:val="00065F83"/>
    <w:rsid w:val="00066B31"/>
    <w:rsid w:val="00066B5A"/>
    <w:rsid w:val="00067636"/>
    <w:rsid w:val="00067EB6"/>
    <w:rsid w:val="00072EB4"/>
    <w:rsid w:val="00073592"/>
    <w:rsid w:val="0007414B"/>
    <w:rsid w:val="000741A9"/>
    <w:rsid w:val="00080E37"/>
    <w:rsid w:val="000812FD"/>
    <w:rsid w:val="00081AAC"/>
    <w:rsid w:val="00081AB2"/>
    <w:rsid w:val="00082F96"/>
    <w:rsid w:val="00085870"/>
    <w:rsid w:val="00085C2F"/>
    <w:rsid w:val="000867D1"/>
    <w:rsid w:val="00087634"/>
    <w:rsid w:val="00087A0A"/>
    <w:rsid w:val="00090449"/>
    <w:rsid w:val="00090E52"/>
    <w:rsid w:val="00091E44"/>
    <w:rsid w:val="00093C42"/>
    <w:rsid w:val="00093D46"/>
    <w:rsid w:val="00094263"/>
    <w:rsid w:val="00094AC2"/>
    <w:rsid w:val="000A05A7"/>
    <w:rsid w:val="000A0CD3"/>
    <w:rsid w:val="000A1183"/>
    <w:rsid w:val="000A1EC6"/>
    <w:rsid w:val="000A2D07"/>
    <w:rsid w:val="000A403D"/>
    <w:rsid w:val="000A46E5"/>
    <w:rsid w:val="000A4977"/>
    <w:rsid w:val="000A5CF5"/>
    <w:rsid w:val="000A76ED"/>
    <w:rsid w:val="000A7E0B"/>
    <w:rsid w:val="000B05FC"/>
    <w:rsid w:val="000B0735"/>
    <w:rsid w:val="000B0777"/>
    <w:rsid w:val="000B3D2A"/>
    <w:rsid w:val="000B409F"/>
    <w:rsid w:val="000B46B1"/>
    <w:rsid w:val="000B67B8"/>
    <w:rsid w:val="000C06D6"/>
    <w:rsid w:val="000C0AF8"/>
    <w:rsid w:val="000C1883"/>
    <w:rsid w:val="000C1CE8"/>
    <w:rsid w:val="000C3408"/>
    <w:rsid w:val="000C3D1A"/>
    <w:rsid w:val="000C4625"/>
    <w:rsid w:val="000C4ABE"/>
    <w:rsid w:val="000C4C58"/>
    <w:rsid w:val="000C5C5D"/>
    <w:rsid w:val="000C5EE6"/>
    <w:rsid w:val="000D009C"/>
    <w:rsid w:val="000D0EAF"/>
    <w:rsid w:val="000D2A47"/>
    <w:rsid w:val="000E0C52"/>
    <w:rsid w:val="000E2043"/>
    <w:rsid w:val="000E36B0"/>
    <w:rsid w:val="000E42CB"/>
    <w:rsid w:val="000E4300"/>
    <w:rsid w:val="000F0B7C"/>
    <w:rsid w:val="000F1F88"/>
    <w:rsid w:val="000F34FD"/>
    <w:rsid w:val="000F393A"/>
    <w:rsid w:val="000F41F1"/>
    <w:rsid w:val="000F525F"/>
    <w:rsid w:val="000F5C63"/>
    <w:rsid w:val="000F5D9B"/>
    <w:rsid w:val="000F6A39"/>
    <w:rsid w:val="000F7212"/>
    <w:rsid w:val="00105AEC"/>
    <w:rsid w:val="00106DA0"/>
    <w:rsid w:val="001103C6"/>
    <w:rsid w:val="00110CA8"/>
    <w:rsid w:val="0011197B"/>
    <w:rsid w:val="00112972"/>
    <w:rsid w:val="00112DEE"/>
    <w:rsid w:val="00114D74"/>
    <w:rsid w:val="001153FB"/>
    <w:rsid w:val="00117EB4"/>
    <w:rsid w:val="00121CFA"/>
    <w:rsid w:val="00122D2E"/>
    <w:rsid w:val="00123A9C"/>
    <w:rsid w:val="00124784"/>
    <w:rsid w:val="00127CDF"/>
    <w:rsid w:val="00130C70"/>
    <w:rsid w:val="00135C14"/>
    <w:rsid w:val="0013656F"/>
    <w:rsid w:val="00136C92"/>
    <w:rsid w:val="00137995"/>
    <w:rsid w:val="00137A58"/>
    <w:rsid w:val="001405FA"/>
    <w:rsid w:val="0014079D"/>
    <w:rsid w:val="00140A1B"/>
    <w:rsid w:val="00140B28"/>
    <w:rsid w:val="001410BB"/>
    <w:rsid w:val="001425C3"/>
    <w:rsid w:val="00142861"/>
    <w:rsid w:val="00143453"/>
    <w:rsid w:val="00144E72"/>
    <w:rsid w:val="00145800"/>
    <w:rsid w:val="00146553"/>
    <w:rsid w:val="001475F6"/>
    <w:rsid w:val="001544C2"/>
    <w:rsid w:val="00154AC5"/>
    <w:rsid w:val="00155181"/>
    <w:rsid w:val="00156866"/>
    <w:rsid w:val="00156A62"/>
    <w:rsid w:val="00156C72"/>
    <w:rsid w:val="00156F9A"/>
    <w:rsid w:val="00157324"/>
    <w:rsid w:val="001604A9"/>
    <w:rsid w:val="001608FF"/>
    <w:rsid w:val="00160BB7"/>
    <w:rsid w:val="00162076"/>
    <w:rsid w:val="00163793"/>
    <w:rsid w:val="0016425E"/>
    <w:rsid w:val="0016610C"/>
    <w:rsid w:val="00166CFA"/>
    <w:rsid w:val="001673AF"/>
    <w:rsid w:val="00170BC0"/>
    <w:rsid w:val="001714F2"/>
    <w:rsid w:val="00171CD8"/>
    <w:rsid w:val="00172871"/>
    <w:rsid w:val="00172948"/>
    <w:rsid w:val="00175980"/>
    <w:rsid w:val="00175A98"/>
    <w:rsid w:val="00176B3E"/>
    <w:rsid w:val="001775E7"/>
    <w:rsid w:val="00177999"/>
    <w:rsid w:val="00180381"/>
    <w:rsid w:val="00181A8D"/>
    <w:rsid w:val="00181D98"/>
    <w:rsid w:val="00182307"/>
    <w:rsid w:val="001826FF"/>
    <w:rsid w:val="00182C43"/>
    <w:rsid w:val="0018408A"/>
    <w:rsid w:val="00185010"/>
    <w:rsid w:val="001876D6"/>
    <w:rsid w:val="0018773B"/>
    <w:rsid w:val="00190BF6"/>
    <w:rsid w:val="00191E4B"/>
    <w:rsid w:val="00191F3E"/>
    <w:rsid w:val="0019317E"/>
    <w:rsid w:val="0019470B"/>
    <w:rsid w:val="00195C8C"/>
    <w:rsid w:val="00195D5A"/>
    <w:rsid w:val="00195FB6"/>
    <w:rsid w:val="001960C2"/>
    <w:rsid w:val="00196897"/>
    <w:rsid w:val="001969C9"/>
    <w:rsid w:val="001972E3"/>
    <w:rsid w:val="001A364E"/>
    <w:rsid w:val="001A3B6E"/>
    <w:rsid w:val="001A4051"/>
    <w:rsid w:val="001A42D3"/>
    <w:rsid w:val="001A4F0B"/>
    <w:rsid w:val="001A51D6"/>
    <w:rsid w:val="001A552F"/>
    <w:rsid w:val="001A5BBB"/>
    <w:rsid w:val="001A6513"/>
    <w:rsid w:val="001B0260"/>
    <w:rsid w:val="001B0672"/>
    <w:rsid w:val="001B0CFD"/>
    <w:rsid w:val="001B26AC"/>
    <w:rsid w:val="001B2E25"/>
    <w:rsid w:val="001B3110"/>
    <w:rsid w:val="001B75ED"/>
    <w:rsid w:val="001B7941"/>
    <w:rsid w:val="001B7C2E"/>
    <w:rsid w:val="001C30F8"/>
    <w:rsid w:val="001C3BB4"/>
    <w:rsid w:val="001C4C36"/>
    <w:rsid w:val="001C51A8"/>
    <w:rsid w:val="001C628C"/>
    <w:rsid w:val="001C7670"/>
    <w:rsid w:val="001D03CD"/>
    <w:rsid w:val="001D264D"/>
    <w:rsid w:val="001D3DFA"/>
    <w:rsid w:val="001D406B"/>
    <w:rsid w:val="001D5183"/>
    <w:rsid w:val="001D622E"/>
    <w:rsid w:val="001D73FD"/>
    <w:rsid w:val="001D7670"/>
    <w:rsid w:val="001D7A62"/>
    <w:rsid w:val="001D7FBC"/>
    <w:rsid w:val="001E0904"/>
    <w:rsid w:val="001E0912"/>
    <w:rsid w:val="001E2E1C"/>
    <w:rsid w:val="001E42DA"/>
    <w:rsid w:val="001E5CBD"/>
    <w:rsid w:val="001E74D7"/>
    <w:rsid w:val="001F0082"/>
    <w:rsid w:val="001F199C"/>
    <w:rsid w:val="001F28A3"/>
    <w:rsid w:val="001F36C7"/>
    <w:rsid w:val="001F3E03"/>
    <w:rsid w:val="001F4597"/>
    <w:rsid w:val="001F46EA"/>
    <w:rsid w:val="001F4C47"/>
    <w:rsid w:val="001F50E8"/>
    <w:rsid w:val="001F52C4"/>
    <w:rsid w:val="001F60F4"/>
    <w:rsid w:val="001F647A"/>
    <w:rsid w:val="001F68A0"/>
    <w:rsid w:val="001F7541"/>
    <w:rsid w:val="00201371"/>
    <w:rsid w:val="00201A1B"/>
    <w:rsid w:val="0020344B"/>
    <w:rsid w:val="00203AC6"/>
    <w:rsid w:val="00203D12"/>
    <w:rsid w:val="0020498B"/>
    <w:rsid w:val="0020650B"/>
    <w:rsid w:val="00206C36"/>
    <w:rsid w:val="002073DB"/>
    <w:rsid w:val="00207A19"/>
    <w:rsid w:val="00211943"/>
    <w:rsid w:val="0021282D"/>
    <w:rsid w:val="00215943"/>
    <w:rsid w:val="00215E0F"/>
    <w:rsid w:val="00216EB6"/>
    <w:rsid w:val="002201D9"/>
    <w:rsid w:val="00220822"/>
    <w:rsid w:val="0022139E"/>
    <w:rsid w:val="002216A8"/>
    <w:rsid w:val="002216F1"/>
    <w:rsid w:val="00222322"/>
    <w:rsid w:val="0022439C"/>
    <w:rsid w:val="002248D4"/>
    <w:rsid w:val="002252E0"/>
    <w:rsid w:val="002255F6"/>
    <w:rsid w:val="00225C66"/>
    <w:rsid w:val="00225EE9"/>
    <w:rsid w:val="00230FA2"/>
    <w:rsid w:val="00234209"/>
    <w:rsid w:val="0023512E"/>
    <w:rsid w:val="00236333"/>
    <w:rsid w:val="00236443"/>
    <w:rsid w:val="00237219"/>
    <w:rsid w:val="0024129B"/>
    <w:rsid w:val="002436BA"/>
    <w:rsid w:val="0024379D"/>
    <w:rsid w:val="002439D6"/>
    <w:rsid w:val="002443A5"/>
    <w:rsid w:val="00244A15"/>
    <w:rsid w:val="00244F0F"/>
    <w:rsid w:val="002451FF"/>
    <w:rsid w:val="002478CD"/>
    <w:rsid w:val="0024799E"/>
    <w:rsid w:val="0025149F"/>
    <w:rsid w:val="002516CC"/>
    <w:rsid w:val="00254352"/>
    <w:rsid w:val="002543A4"/>
    <w:rsid w:val="00264463"/>
    <w:rsid w:val="00267C5E"/>
    <w:rsid w:val="002704E6"/>
    <w:rsid w:val="00270567"/>
    <w:rsid w:val="0027191E"/>
    <w:rsid w:val="00271B2A"/>
    <w:rsid w:val="00273BD1"/>
    <w:rsid w:val="0027673C"/>
    <w:rsid w:val="00276B63"/>
    <w:rsid w:val="002771CE"/>
    <w:rsid w:val="00277478"/>
    <w:rsid w:val="002810FD"/>
    <w:rsid w:val="00281435"/>
    <w:rsid w:val="00283284"/>
    <w:rsid w:val="002835A8"/>
    <w:rsid w:val="002835D8"/>
    <w:rsid w:val="002872C2"/>
    <w:rsid w:val="00290C0F"/>
    <w:rsid w:val="00290EFB"/>
    <w:rsid w:val="00292845"/>
    <w:rsid w:val="00293CEF"/>
    <w:rsid w:val="00293F7A"/>
    <w:rsid w:val="00295694"/>
    <w:rsid w:val="0029633E"/>
    <w:rsid w:val="002976B9"/>
    <w:rsid w:val="00297FBA"/>
    <w:rsid w:val="002A0702"/>
    <w:rsid w:val="002A07F7"/>
    <w:rsid w:val="002A1933"/>
    <w:rsid w:val="002A20BA"/>
    <w:rsid w:val="002A21A2"/>
    <w:rsid w:val="002A2CF9"/>
    <w:rsid w:val="002A3AE1"/>
    <w:rsid w:val="002A4F13"/>
    <w:rsid w:val="002A67A5"/>
    <w:rsid w:val="002B1DF8"/>
    <w:rsid w:val="002B2848"/>
    <w:rsid w:val="002B3B30"/>
    <w:rsid w:val="002B439B"/>
    <w:rsid w:val="002B4B62"/>
    <w:rsid w:val="002B6CDB"/>
    <w:rsid w:val="002B782B"/>
    <w:rsid w:val="002C0D94"/>
    <w:rsid w:val="002C0DD9"/>
    <w:rsid w:val="002C0FFC"/>
    <w:rsid w:val="002C1CCB"/>
    <w:rsid w:val="002C2278"/>
    <w:rsid w:val="002C31C4"/>
    <w:rsid w:val="002C31D3"/>
    <w:rsid w:val="002C43BD"/>
    <w:rsid w:val="002C5239"/>
    <w:rsid w:val="002C63C8"/>
    <w:rsid w:val="002D0D0A"/>
    <w:rsid w:val="002D13DD"/>
    <w:rsid w:val="002D3010"/>
    <w:rsid w:val="002D3DF2"/>
    <w:rsid w:val="002D3EAF"/>
    <w:rsid w:val="002D3F0F"/>
    <w:rsid w:val="002D4104"/>
    <w:rsid w:val="002D47D8"/>
    <w:rsid w:val="002D487C"/>
    <w:rsid w:val="002D6AFD"/>
    <w:rsid w:val="002D7465"/>
    <w:rsid w:val="002D7515"/>
    <w:rsid w:val="002D7A34"/>
    <w:rsid w:val="002E0064"/>
    <w:rsid w:val="002E00DB"/>
    <w:rsid w:val="002E02A1"/>
    <w:rsid w:val="002E0AD7"/>
    <w:rsid w:val="002E0C7F"/>
    <w:rsid w:val="002E19C4"/>
    <w:rsid w:val="002E4155"/>
    <w:rsid w:val="002E53EB"/>
    <w:rsid w:val="002E7D89"/>
    <w:rsid w:val="002F1C06"/>
    <w:rsid w:val="002F23F1"/>
    <w:rsid w:val="002F2B9F"/>
    <w:rsid w:val="002F3032"/>
    <w:rsid w:val="002F313B"/>
    <w:rsid w:val="002F3249"/>
    <w:rsid w:val="002F455B"/>
    <w:rsid w:val="002F473A"/>
    <w:rsid w:val="002F4840"/>
    <w:rsid w:val="002F53A6"/>
    <w:rsid w:val="002F5C54"/>
    <w:rsid w:val="002F7080"/>
    <w:rsid w:val="002F7590"/>
    <w:rsid w:val="0030115C"/>
    <w:rsid w:val="00301A1D"/>
    <w:rsid w:val="00301C0F"/>
    <w:rsid w:val="00304147"/>
    <w:rsid w:val="00304771"/>
    <w:rsid w:val="00305F36"/>
    <w:rsid w:val="003061B7"/>
    <w:rsid w:val="00306C5B"/>
    <w:rsid w:val="00307719"/>
    <w:rsid w:val="00311453"/>
    <w:rsid w:val="00311D3E"/>
    <w:rsid w:val="00313553"/>
    <w:rsid w:val="00314145"/>
    <w:rsid w:val="00314AAB"/>
    <w:rsid w:val="003155FB"/>
    <w:rsid w:val="003156E7"/>
    <w:rsid w:val="003209D6"/>
    <w:rsid w:val="00320DA4"/>
    <w:rsid w:val="0032123E"/>
    <w:rsid w:val="0032168E"/>
    <w:rsid w:val="00321F4E"/>
    <w:rsid w:val="0032208D"/>
    <w:rsid w:val="003225B0"/>
    <w:rsid w:val="00322A85"/>
    <w:rsid w:val="00322B58"/>
    <w:rsid w:val="003257F5"/>
    <w:rsid w:val="0032669A"/>
    <w:rsid w:val="00327A2B"/>
    <w:rsid w:val="00327C7C"/>
    <w:rsid w:val="00331292"/>
    <w:rsid w:val="00331641"/>
    <w:rsid w:val="00332DE4"/>
    <w:rsid w:val="0033380D"/>
    <w:rsid w:val="003357F1"/>
    <w:rsid w:val="00336576"/>
    <w:rsid w:val="00341E45"/>
    <w:rsid w:val="003429AA"/>
    <w:rsid w:val="00342A7A"/>
    <w:rsid w:val="00347A9E"/>
    <w:rsid w:val="00350DF6"/>
    <w:rsid w:val="00354634"/>
    <w:rsid w:val="00354986"/>
    <w:rsid w:val="00354B78"/>
    <w:rsid w:val="003559DE"/>
    <w:rsid w:val="00356039"/>
    <w:rsid w:val="003562CA"/>
    <w:rsid w:val="00356A61"/>
    <w:rsid w:val="00356ABD"/>
    <w:rsid w:val="00357CC8"/>
    <w:rsid w:val="003603CE"/>
    <w:rsid w:val="00361F49"/>
    <w:rsid w:val="003657F3"/>
    <w:rsid w:val="003665AB"/>
    <w:rsid w:val="00370721"/>
    <w:rsid w:val="003715C8"/>
    <w:rsid w:val="00371906"/>
    <w:rsid w:val="00372ECF"/>
    <w:rsid w:val="003738F1"/>
    <w:rsid w:val="00374920"/>
    <w:rsid w:val="00377B43"/>
    <w:rsid w:val="00381287"/>
    <w:rsid w:val="00381B38"/>
    <w:rsid w:val="003822BA"/>
    <w:rsid w:val="00383531"/>
    <w:rsid w:val="00383C4C"/>
    <w:rsid w:val="00383EE0"/>
    <w:rsid w:val="003855FD"/>
    <w:rsid w:val="00385D98"/>
    <w:rsid w:val="003864AE"/>
    <w:rsid w:val="003869AD"/>
    <w:rsid w:val="00386CFD"/>
    <w:rsid w:val="003909D7"/>
    <w:rsid w:val="0039159A"/>
    <w:rsid w:val="00391639"/>
    <w:rsid w:val="00391B49"/>
    <w:rsid w:val="00391F64"/>
    <w:rsid w:val="0039328F"/>
    <w:rsid w:val="00394398"/>
    <w:rsid w:val="00394756"/>
    <w:rsid w:val="00395EBF"/>
    <w:rsid w:val="003A071A"/>
    <w:rsid w:val="003A139A"/>
    <w:rsid w:val="003A2B4D"/>
    <w:rsid w:val="003A4766"/>
    <w:rsid w:val="003A478C"/>
    <w:rsid w:val="003A5525"/>
    <w:rsid w:val="003A6B38"/>
    <w:rsid w:val="003A7D04"/>
    <w:rsid w:val="003B07C1"/>
    <w:rsid w:val="003B07D7"/>
    <w:rsid w:val="003B2C29"/>
    <w:rsid w:val="003B3719"/>
    <w:rsid w:val="003B3854"/>
    <w:rsid w:val="003B5A32"/>
    <w:rsid w:val="003B75E7"/>
    <w:rsid w:val="003C1606"/>
    <w:rsid w:val="003C2B86"/>
    <w:rsid w:val="003C3177"/>
    <w:rsid w:val="003C4755"/>
    <w:rsid w:val="003C48BB"/>
    <w:rsid w:val="003C54D3"/>
    <w:rsid w:val="003C5BE5"/>
    <w:rsid w:val="003C5FB3"/>
    <w:rsid w:val="003C6ABE"/>
    <w:rsid w:val="003C77D1"/>
    <w:rsid w:val="003D20B9"/>
    <w:rsid w:val="003D3D33"/>
    <w:rsid w:val="003D4D7C"/>
    <w:rsid w:val="003D5042"/>
    <w:rsid w:val="003D53AA"/>
    <w:rsid w:val="003E081A"/>
    <w:rsid w:val="003E22E9"/>
    <w:rsid w:val="003E2BEE"/>
    <w:rsid w:val="003E4697"/>
    <w:rsid w:val="003E6D10"/>
    <w:rsid w:val="003E7003"/>
    <w:rsid w:val="003E71A3"/>
    <w:rsid w:val="003E733C"/>
    <w:rsid w:val="003E796F"/>
    <w:rsid w:val="003E7A25"/>
    <w:rsid w:val="003F0699"/>
    <w:rsid w:val="003F1F84"/>
    <w:rsid w:val="003F313C"/>
    <w:rsid w:val="003F52E9"/>
    <w:rsid w:val="003F62AA"/>
    <w:rsid w:val="00400636"/>
    <w:rsid w:val="00402062"/>
    <w:rsid w:val="004039E7"/>
    <w:rsid w:val="00403ED7"/>
    <w:rsid w:val="00405CD5"/>
    <w:rsid w:val="00405D48"/>
    <w:rsid w:val="00406C11"/>
    <w:rsid w:val="004073A2"/>
    <w:rsid w:val="00407605"/>
    <w:rsid w:val="00410D5F"/>
    <w:rsid w:val="00412F1A"/>
    <w:rsid w:val="0041398E"/>
    <w:rsid w:val="00414240"/>
    <w:rsid w:val="0041550A"/>
    <w:rsid w:val="004166B2"/>
    <w:rsid w:val="0041734A"/>
    <w:rsid w:val="00420985"/>
    <w:rsid w:val="00421359"/>
    <w:rsid w:val="00422315"/>
    <w:rsid w:val="004236B3"/>
    <w:rsid w:val="00423910"/>
    <w:rsid w:val="00424AB7"/>
    <w:rsid w:val="00426330"/>
    <w:rsid w:val="00426422"/>
    <w:rsid w:val="00427185"/>
    <w:rsid w:val="00427309"/>
    <w:rsid w:val="00427765"/>
    <w:rsid w:val="00430090"/>
    <w:rsid w:val="00430CE0"/>
    <w:rsid w:val="004313F0"/>
    <w:rsid w:val="0043194A"/>
    <w:rsid w:val="004322C6"/>
    <w:rsid w:val="0043232A"/>
    <w:rsid w:val="004341DF"/>
    <w:rsid w:val="00434E4A"/>
    <w:rsid w:val="00434EA2"/>
    <w:rsid w:val="00435439"/>
    <w:rsid w:val="00436048"/>
    <w:rsid w:val="004362C7"/>
    <w:rsid w:val="00440AB9"/>
    <w:rsid w:val="0044161B"/>
    <w:rsid w:val="004423DA"/>
    <w:rsid w:val="00443FBC"/>
    <w:rsid w:val="00443FF7"/>
    <w:rsid w:val="00446906"/>
    <w:rsid w:val="00446C05"/>
    <w:rsid w:val="0044781D"/>
    <w:rsid w:val="004479AD"/>
    <w:rsid w:val="004531E8"/>
    <w:rsid w:val="00454B4B"/>
    <w:rsid w:val="00455781"/>
    <w:rsid w:val="004618CF"/>
    <w:rsid w:val="00463277"/>
    <w:rsid w:val="004644D9"/>
    <w:rsid w:val="00466611"/>
    <w:rsid w:val="004670EF"/>
    <w:rsid w:val="0047159E"/>
    <w:rsid w:val="00471D56"/>
    <w:rsid w:val="00472688"/>
    <w:rsid w:val="00473149"/>
    <w:rsid w:val="00473708"/>
    <w:rsid w:val="00475D13"/>
    <w:rsid w:val="00475FE9"/>
    <w:rsid w:val="00480A0A"/>
    <w:rsid w:val="0048139F"/>
    <w:rsid w:val="00481B3C"/>
    <w:rsid w:val="00482062"/>
    <w:rsid w:val="00483CCC"/>
    <w:rsid w:val="00484781"/>
    <w:rsid w:val="00485EF6"/>
    <w:rsid w:val="0048673C"/>
    <w:rsid w:val="00486EDF"/>
    <w:rsid w:val="0048734B"/>
    <w:rsid w:val="0049040D"/>
    <w:rsid w:val="0049134F"/>
    <w:rsid w:val="004918CF"/>
    <w:rsid w:val="00492782"/>
    <w:rsid w:val="00492D73"/>
    <w:rsid w:val="004932FD"/>
    <w:rsid w:val="00494BB0"/>
    <w:rsid w:val="00497328"/>
    <w:rsid w:val="004976DF"/>
    <w:rsid w:val="004A0961"/>
    <w:rsid w:val="004A0C12"/>
    <w:rsid w:val="004A2ED0"/>
    <w:rsid w:val="004A3B8F"/>
    <w:rsid w:val="004A4D9F"/>
    <w:rsid w:val="004A774A"/>
    <w:rsid w:val="004A77DF"/>
    <w:rsid w:val="004A7F6D"/>
    <w:rsid w:val="004B0CF8"/>
    <w:rsid w:val="004B0EFC"/>
    <w:rsid w:val="004B1EFD"/>
    <w:rsid w:val="004B38CF"/>
    <w:rsid w:val="004B55B7"/>
    <w:rsid w:val="004C1966"/>
    <w:rsid w:val="004C2E6C"/>
    <w:rsid w:val="004C3867"/>
    <w:rsid w:val="004C4121"/>
    <w:rsid w:val="004C43FF"/>
    <w:rsid w:val="004C4CD0"/>
    <w:rsid w:val="004C5960"/>
    <w:rsid w:val="004C6F38"/>
    <w:rsid w:val="004C70DC"/>
    <w:rsid w:val="004D0211"/>
    <w:rsid w:val="004D059E"/>
    <w:rsid w:val="004D3AA6"/>
    <w:rsid w:val="004D4ED3"/>
    <w:rsid w:val="004D6E66"/>
    <w:rsid w:val="004D70A1"/>
    <w:rsid w:val="004D7622"/>
    <w:rsid w:val="004E0DA0"/>
    <w:rsid w:val="004E3005"/>
    <w:rsid w:val="004E3936"/>
    <w:rsid w:val="004E3D6B"/>
    <w:rsid w:val="004E3E7B"/>
    <w:rsid w:val="004E44F4"/>
    <w:rsid w:val="004E46DF"/>
    <w:rsid w:val="004E4AF3"/>
    <w:rsid w:val="004E57C7"/>
    <w:rsid w:val="004E5C31"/>
    <w:rsid w:val="004E6919"/>
    <w:rsid w:val="004E6BC8"/>
    <w:rsid w:val="004E7551"/>
    <w:rsid w:val="004E789E"/>
    <w:rsid w:val="004E7A13"/>
    <w:rsid w:val="004E7D3D"/>
    <w:rsid w:val="004F06F5"/>
    <w:rsid w:val="004F0BD9"/>
    <w:rsid w:val="004F0F92"/>
    <w:rsid w:val="004F1915"/>
    <w:rsid w:val="004F25E7"/>
    <w:rsid w:val="004F33A0"/>
    <w:rsid w:val="004F411B"/>
    <w:rsid w:val="004F4FE7"/>
    <w:rsid w:val="004F5578"/>
    <w:rsid w:val="004F6BBE"/>
    <w:rsid w:val="00500B29"/>
    <w:rsid w:val="00500D87"/>
    <w:rsid w:val="0050264F"/>
    <w:rsid w:val="00502D0B"/>
    <w:rsid w:val="00502D0E"/>
    <w:rsid w:val="00503044"/>
    <w:rsid w:val="00503A24"/>
    <w:rsid w:val="00505692"/>
    <w:rsid w:val="005072D0"/>
    <w:rsid w:val="00507F95"/>
    <w:rsid w:val="005108C0"/>
    <w:rsid w:val="00510A30"/>
    <w:rsid w:val="00510CB2"/>
    <w:rsid w:val="005110A5"/>
    <w:rsid w:val="005116AE"/>
    <w:rsid w:val="0051183F"/>
    <w:rsid w:val="00511873"/>
    <w:rsid w:val="00512441"/>
    <w:rsid w:val="005130E9"/>
    <w:rsid w:val="00513433"/>
    <w:rsid w:val="00513B7E"/>
    <w:rsid w:val="00514924"/>
    <w:rsid w:val="00515B56"/>
    <w:rsid w:val="005161B9"/>
    <w:rsid w:val="00516807"/>
    <w:rsid w:val="00516A92"/>
    <w:rsid w:val="00516C32"/>
    <w:rsid w:val="00516CC3"/>
    <w:rsid w:val="005171EB"/>
    <w:rsid w:val="00517B67"/>
    <w:rsid w:val="00524BA7"/>
    <w:rsid w:val="00525137"/>
    <w:rsid w:val="005251DD"/>
    <w:rsid w:val="00527020"/>
    <w:rsid w:val="0052748E"/>
    <w:rsid w:val="0052775C"/>
    <w:rsid w:val="00527BD3"/>
    <w:rsid w:val="00527E4A"/>
    <w:rsid w:val="00530BFD"/>
    <w:rsid w:val="0053208A"/>
    <w:rsid w:val="005323FC"/>
    <w:rsid w:val="0053254A"/>
    <w:rsid w:val="00533F4C"/>
    <w:rsid w:val="00535248"/>
    <w:rsid w:val="00535DB6"/>
    <w:rsid w:val="005361D3"/>
    <w:rsid w:val="005363FE"/>
    <w:rsid w:val="00536462"/>
    <w:rsid w:val="005419BA"/>
    <w:rsid w:val="005438A7"/>
    <w:rsid w:val="005438DE"/>
    <w:rsid w:val="0054507F"/>
    <w:rsid w:val="00545AFD"/>
    <w:rsid w:val="005460E9"/>
    <w:rsid w:val="005529F6"/>
    <w:rsid w:val="00552F1A"/>
    <w:rsid w:val="0055358A"/>
    <w:rsid w:val="0055454F"/>
    <w:rsid w:val="00560C17"/>
    <w:rsid w:val="00560FB2"/>
    <w:rsid w:val="005629BB"/>
    <w:rsid w:val="00562E49"/>
    <w:rsid w:val="00562F22"/>
    <w:rsid w:val="00563888"/>
    <w:rsid w:val="00563D83"/>
    <w:rsid w:val="0056597A"/>
    <w:rsid w:val="00565A4E"/>
    <w:rsid w:val="005679C5"/>
    <w:rsid w:val="005706B1"/>
    <w:rsid w:val="005709D3"/>
    <w:rsid w:val="00570CD6"/>
    <w:rsid w:val="0057105D"/>
    <w:rsid w:val="00571D93"/>
    <w:rsid w:val="005729F5"/>
    <w:rsid w:val="00573FFF"/>
    <w:rsid w:val="00574490"/>
    <w:rsid w:val="00574547"/>
    <w:rsid w:val="00574590"/>
    <w:rsid w:val="00574BF4"/>
    <w:rsid w:val="00575AFF"/>
    <w:rsid w:val="00576FE4"/>
    <w:rsid w:val="00577F03"/>
    <w:rsid w:val="00581B79"/>
    <w:rsid w:val="00583F8C"/>
    <w:rsid w:val="00583FFD"/>
    <w:rsid w:val="0058628D"/>
    <w:rsid w:val="0058644C"/>
    <w:rsid w:val="005866E9"/>
    <w:rsid w:val="005872D8"/>
    <w:rsid w:val="005874A9"/>
    <w:rsid w:val="00590645"/>
    <w:rsid w:val="00593152"/>
    <w:rsid w:val="00593415"/>
    <w:rsid w:val="00593616"/>
    <w:rsid w:val="005938F5"/>
    <w:rsid w:val="0059475B"/>
    <w:rsid w:val="0059538A"/>
    <w:rsid w:val="00595B7A"/>
    <w:rsid w:val="005962A0"/>
    <w:rsid w:val="005A0714"/>
    <w:rsid w:val="005A21E0"/>
    <w:rsid w:val="005A28B5"/>
    <w:rsid w:val="005A2ADA"/>
    <w:rsid w:val="005A35C9"/>
    <w:rsid w:val="005A3CEB"/>
    <w:rsid w:val="005A4539"/>
    <w:rsid w:val="005A5FA9"/>
    <w:rsid w:val="005A609D"/>
    <w:rsid w:val="005A7741"/>
    <w:rsid w:val="005A7D8C"/>
    <w:rsid w:val="005B259E"/>
    <w:rsid w:val="005B4204"/>
    <w:rsid w:val="005B4A27"/>
    <w:rsid w:val="005B52EE"/>
    <w:rsid w:val="005B5CDE"/>
    <w:rsid w:val="005B5E34"/>
    <w:rsid w:val="005B609E"/>
    <w:rsid w:val="005B6B27"/>
    <w:rsid w:val="005B7AFC"/>
    <w:rsid w:val="005C0BF9"/>
    <w:rsid w:val="005C11AC"/>
    <w:rsid w:val="005C2E31"/>
    <w:rsid w:val="005C665F"/>
    <w:rsid w:val="005C66E8"/>
    <w:rsid w:val="005C7143"/>
    <w:rsid w:val="005D353F"/>
    <w:rsid w:val="005D3651"/>
    <w:rsid w:val="005D37AA"/>
    <w:rsid w:val="005D3A8D"/>
    <w:rsid w:val="005D44A6"/>
    <w:rsid w:val="005D5733"/>
    <w:rsid w:val="005D5802"/>
    <w:rsid w:val="005D5C82"/>
    <w:rsid w:val="005D5E5F"/>
    <w:rsid w:val="005E2022"/>
    <w:rsid w:val="005E2DDB"/>
    <w:rsid w:val="005E33B5"/>
    <w:rsid w:val="005E3A2D"/>
    <w:rsid w:val="005E3FBD"/>
    <w:rsid w:val="005E505B"/>
    <w:rsid w:val="005E5795"/>
    <w:rsid w:val="005E5841"/>
    <w:rsid w:val="005E68B8"/>
    <w:rsid w:val="005E763D"/>
    <w:rsid w:val="005F0BD1"/>
    <w:rsid w:val="005F0E7E"/>
    <w:rsid w:val="005F2478"/>
    <w:rsid w:val="005F260F"/>
    <w:rsid w:val="005F3C22"/>
    <w:rsid w:val="005F5310"/>
    <w:rsid w:val="005F6461"/>
    <w:rsid w:val="005F6F84"/>
    <w:rsid w:val="006010B5"/>
    <w:rsid w:val="00601C10"/>
    <w:rsid w:val="0060342E"/>
    <w:rsid w:val="00603BF6"/>
    <w:rsid w:val="00604307"/>
    <w:rsid w:val="00604311"/>
    <w:rsid w:val="00604542"/>
    <w:rsid w:val="0060487F"/>
    <w:rsid w:val="00605D3C"/>
    <w:rsid w:val="00607283"/>
    <w:rsid w:val="006078AD"/>
    <w:rsid w:val="00610EDF"/>
    <w:rsid w:val="006119BF"/>
    <w:rsid w:val="006137B9"/>
    <w:rsid w:val="00613EFD"/>
    <w:rsid w:val="00615C91"/>
    <w:rsid w:val="00616B56"/>
    <w:rsid w:val="006179E9"/>
    <w:rsid w:val="00620044"/>
    <w:rsid w:val="00620179"/>
    <w:rsid w:val="00623456"/>
    <w:rsid w:val="00624093"/>
    <w:rsid w:val="006257D8"/>
    <w:rsid w:val="0062654A"/>
    <w:rsid w:val="006269EA"/>
    <w:rsid w:val="00626F55"/>
    <w:rsid w:val="0063056C"/>
    <w:rsid w:val="0063382F"/>
    <w:rsid w:val="006343AA"/>
    <w:rsid w:val="00635C2B"/>
    <w:rsid w:val="0063630B"/>
    <w:rsid w:val="006400ED"/>
    <w:rsid w:val="006404A7"/>
    <w:rsid w:val="0064152C"/>
    <w:rsid w:val="00641532"/>
    <w:rsid w:val="00643C82"/>
    <w:rsid w:val="00644401"/>
    <w:rsid w:val="00644C9D"/>
    <w:rsid w:val="006451E4"/>
    <w:rsid w:val="006451F0"/>
    <w:rsid w:val="00645B93"/>
    <w:rsid w:val="00652AFC"/>
    <w:rsid w:val="006532F0"/>
    <w:rsid w:val="00656BF8"/>
    <w:rsid w:val="00657E87"/>
    <w:rsid w:val="00660575"/>
    <w:rsid w:val="00662212"/>
    <w:rsid w:val="00662635"/>
    <w:rsid w:val="00662A19"/>
    <w:rsid w:val="00663E02"/>
    <w:rsid w:val="006646F2"/>
    <w:rsid w:val="006652C4"/>
    <w:rsid w:val="006655D8"/>
    <w:rsid w:val="006664F5"/>
    <w:rsid w:val="006710C9"/>
    <w:rsid w:val="0067118A"/>
    <w:rsid w:val="00671F0C"/>
    <w:rsid w:val="00672297"/>
    <w:rsid w:val="00673310"/>
    <w:rsid w:val="00673CD6"/>
    <w:rsid w:val="00675E37"/>
    <w:rsid w:val="00681EC9"/>
    <w:rsid w:val="0068221E"/>
    <w:rsid w:val="0068260E"/>
    <w:rsid w:val="00682E35"/>
    <w:rsid w:val="00683E98"/>
    <w:rsid w:val="006845D1"/>
    <w:rsid w:val="00687495"/>
    <w:rsid w:val="006902F9"/>
    <w:rsid w:val="00690FC3"/>
    <w:rsid w:val="00692262"/>
    <w:rsid w:val="00693C50"/>
    <w:rsid w:val="00693D68"/>
    <w:rsid w:val="006954F9"/>
    <w:rsid w:val="00695BEF"/>
    <w:rsid w:val="006977F6"/>
    <w:rsid w:val="00697A13"/>
    <w:rsid w:val="00697C74"/>
    <w:rsid w:val="006A109C"/>
    <w:rsid w:val="006A281E"/>
    <w:rsid w:val="006A2DAC"/>
    <w:rsid w:val="006A3AB0"/>
    <w:rsid w:val="006A41F7"/>
    <w:rsid w:val="006A4FCA"/>
    <w:rsid w:val="006A68FD"/>
    <w:rsid w:val="006B2637"/>
    <w:rsid w:val="006B44EB"/>
    <w:rsid w:val="006B6C1B"/>
    <w:rsid w:val="006B78D8"/>
    <w:rsid w:val="006B79DE"/>
    <w:rsid w:val="006C113F"/>
    <w:rsid w:val="006C2600"/>
    <w:rsid w:val="006C27E6"/>
    <w:rsid w:val="006C3601"/>
    <w:rsid w:val="006C3C9F"/>
    <w:rsid w:val="006C446E"/>
    <w:rsid w:val="006C4F1F"/>
    <w:rsid w:val="006C7525"/>
    <w:rsid w:val="006C7EA7"/>
    <w:rsid w:val="006D0D80"/>
    <w:rsid w:val="006D1CB5"/>
    <w:rsid w:val="006D24BB"/>
    <w:rsid w:val="006D2559"/>
    <w:rsid w:val="006D2BB0"/>
    <w:rsid w:val="006D2BDA"/>
    <w:rsid w:val="006D34C1"/>
    <w:rsid w:val="006D4821"/>
    <w:rsid w:val="006D566D"/>
    <w:rsid w:val="006D61F6"/>
    <w:rsid w:val="006D7F8A"/>
    <w:rsid w:val="006E022D"/>
    <w:rsid w:val="006E0792"/>
    <w:rsid w:val="006E0C18"/>
    <w:rsid w:val="006E0C59"/>
    <w:rsid w:val="006E20A5"/>
    <w:rsid w:val="006E279A"/>
    <w:rsid w:val="006E30C5"/>
    <w:rsid w:val="006E313B"/>
    <w:rsid w:val="006E3865"/>
    <w:rsid w:val="006E42AF"/>
    <w:rsid w:val="006E4920"/>
    <w:rsid w:val="006E4DBB"/>
    <w:rsid w:val="006E5CD2"/>
    <w:rsid w:val="006E77B8"/>
    <w:rsid w:val="006E7C47"/>
    <w:rsid w:val="006F1594"/>
    <w:rsid w:val="006F1979"/>
    <w:rsid w:val="006F1D47"/>
    <w:rsid w:val="006F3933"/>
    <w:rsid w:val="006F44F9"/>
    <w:rsid w:val="006F51D5"/>
    <w:rsid w:val="006F5D28"/>
    <w:rsid w:val="006F5D5F"/>
    <w:rsid w:val="006F62F4"/>
    <w:rsid w:val="006F6A6F"/>
    <w:rsid w:val="006F6BF4"/>
    <w:rsid w:val="006F7318"/>
    <w:rsid w:val="006F7D6F"/>
    <w:rsid w:val="0070046A"/>
    <w:rsid w:val="007011A3"/>
    <w:rsid w:val="007018F7"/>
    <w:rsid w:val="0070199D"/>
    <w:rsid w:val="00702312"/>
    <w:rsid w:val="00703A95"/>
    <w:rsid w:val="00704E80"/>
    <w:rsid w:val="007066ED"/>
    <w:rsid w:val="00707ACC"/>
    <w:rsid w:val="00710016"/>
    <w:rsid w:val="00710A84"/>
    <w:rsid w:val="00710C31"/>
    <w:rsid w:val="00711334"/>
    <w:rsid w:val="00711A84"/>
    <w:rsid w:val="00714941"/>
    <w:rsid w:val="00714A89"/>
    <w:rsid w:val="007158BD"/>
    <w:rsid w:val="00715C3C"/>
    <w:rsid w:val="007211F5"/>
    <w:rsid w:val="00721870"/>
    <w:rsid w:val="007266B1"/>
    <w:rsid w:val="00730645"/>
    <w:rsid w:val="00730AE2"/>
    <w:rsid w:val="00730AE8"/>
    <w:rsid w:val="00730E5F"/>
    <w:rsid w:val="00731782"/>
    <w:rsid w:val="007325E4"/>
    <w:rsid w:val="00732A80"/>
    <w:rsid w:val="00733287"/>
    <w:rsid w:val="00733953"/>
    <w:rsid w:val="007357DE"/>
    <w:rsid w:val="00737392"/>
    <w:rsid w:val="00737F64"/>
    <w:rsid w:val="00740247"/>
    <w:rsid w:val="00741493"/>
    <w:rsid w:val="0074449E"/>
    <w:rsid w:val="007504B3"/>
    <w:rsid w:val="0075203E"/>
    <w:rsid w:val="00752180"/>
    <w:rsid w:val="00753D5E"/>
    <w:rsid w:val="007546C7"/>
    <w:rsid w:val="0075538A"/>
    <w:rsid w:val="00755AFC"/>
    <w:rsid w:val="00755D3A"/>
    <w:rsid w:val="00757E60"/>
    <w:rsid w:val="00757F64"/>
    <w:rsid w:val="0076034C"/>
    <w:rsid w:val="007609C6"/>
    <w:rsid w:val="0076194D"/>
    <w:rsid w:val="00761B3D"/>
    <w:rsid w:val="00763242"/>
    <w:rsid w:val="00764739"/>
    <w:rsid w:val="00764CB6"/>
    <w:rsid w:val="00766007"/>
    <w:rsid w:val="0076676A"/>
    <w:rsid w:val="007701FB"/>
    <w:rsid w:val="00771C4D"/>
    <w:rsid w:val="00772FD6"/>
    <w:rsid w:val="00774D08"/>
    <w:rsid w:val="00776527"/>
    <w:rsid w:val="00776925"/>
    <w:rsid w:val="00776E52"/>
    <w:rsid w:val="00777A7F"/>
    <w:rsid w:val="00782419"/>
    <w:rsid w:val="00782C2D"/>
    <w:rsid w:val="00784FF8"/>
    <w:rsid w:val="0078609D"/>
    <w:rsid w:val="007862F6"/>
    <w:rsid w:val="007866DC"/>
    <w:rsid w:val="007902DA"/>
    <w:rsid w:val="00790BA8"/>
    <w:rsid w:val="00792E1B"/>
    <w:rsid w:val="0079384B"/>
    <w:rsid w:val="00797B10"/>
    <w:rsid w:val="00797F5F"/>
    <w:rsid w:val="007A04CE"/>
    <w:rsid w:val="007A1D16"/>
    <w:rsid w:val="007A2F09"/>
    <w:rsid w:val="007A33E4"/>
    <w:rsid w:val="007A3CED"/>
    <w:rsid w:val="007A5211"/>
    <w:rsid w:val="007A5252"/>
    <w:rsid w:val="007A5794"/>
    <w:rsid w:val="007B05E9"/>
    <w:rsid w:val="007B06B2"/>
    <w:rsid w:val="007B06EC"/>
    <w:rsid w:val="007B077B"/>
    <w:rsid w:val="007B27B9"/>
    <w:rsid w:val="007B31E6"/>
    <w:rsid w:val="007B39E8"/>
    <w:rsid w:val="007C0837"/>
    <w:rsid w:val="007C1FCD"/>
    <w:rsid w:val="007C295A"/>
    <w:rsid w:val="007C2A31"/>
    <w:rsid w:val="007C3F6A"/>
    <w:rsid w:val="007C4C1A"/>
    <w:rsid w:val="007C626D"/>
    <w:rsid w:val="007C632B"/>
    <w:rsid w:val="007D0303"/>
    <w:rsid w:val="007D0714"/>
    <w:rsid w:val="007D0CCD"/>
    <w:rsid w:val="007D1FB5"/>
    <w:rsid w:val="007D2C7A"/>
    <w:rsid w:val="007D4055"/>
    <w:rsid w:val="007D51F1"/>
    <w:rsid w:val="007D66A3"/>
    <w:rsid w:val="007E2B9E"/>
    <w:rsid w:val="007E2CCC"/>
    <w:rsid w:val="007E3FA2"/>
    <w:rsid w:val="007E41A1"/>
    <w:rsid w:val="007E575C"/>
    <w:rsid w:val="007E7E61"/>
    <w:rsid w:val="007F0845"/>
    <w:rsid w:val="007F146E"/>
    <w:rsid w:val="007F1DB7"/>
    <w:rsid w:val="007F21F2"/>
    <w:rsid w:val="007F234B"/>
    <w:rsid w:val="007F2C20"/>
    <w:rsid w:val="007F3DCD"/>
    <w:rsid w:val="007F43BF"/>
    <w:rsid w:val="007F54C9"/>
    <w:rsid w:val="007F5A1B"/>
    <w:rsid w:val="007F6055"/>
    <w:rsid w:val="007F7649"/>
    <w:rsid w:val="007F7CD2"/>
    <w:rsid w:val="0080002C"/>
    <w:rsid w:val="0080103E"/>
    <w:rsid w:val="00801042"/>
    <w:rsid w:val="00801128"/>
    <w:rsid w:val="008046CE"/>
    <w:rsid w:val="0080498A"/>
    <w:rsid w:val="00804F81"/>
    <w:rsid w:val="0080500B"/>
    <w:rsid w:val="0080521C"/>
    <w:rsid w:val="00805E10"/>
    <w:rsid w:val="0080613B"/>
    <w:rsid w:val="00807C33"/>
    <w:rsid w:val="008101D1"/>
    <w:rsid w:val="00811FFE"/>
    <w:rsid w:val="0081287F"/>
    <w:rsid w:val="008132DA"/>
    <w:rsid w:val="008144AC"/>
    <w:rsid w:val="00817A19"/>
    <w:rsid w:val="00817E1F"/>
    <w:rsid w:val="00820B41"/>
    <w:rsid w:val="00821847"/>
    <w:rsid w:val="00821FF6"/>
    <w:rsid w:val="00822FAF"/>
    <w:rsid w:val="008239D7"/>
    <w:rsid w:val="00825F7B"/>
    <w:rsid w:val="00831054"/>
    <w:rsid w:val="0083143E"/>
    <w:rsid w:val="0083159F"/>
    <w:rsid w:val="008315BD"/>
    <w:rsid w:val="00832251"/>
    <w:rsid w:val="00832F47"/>
    <w:rsid w:val="0083479A"/>
    <w:rsid w:val="00834FAA"/>
    <w:rsid w:val="00836086"/>
    <w:rsid w:val="00840136"/>
    <w:rsid w:val="00840C7B"/>
    <w:rsid w:val="00840E30"/>
    <w:rsid w:val="00841063"/>
    <w:rsid w:val="00842E41"/>
    <w:rsid w:val="00844545"/>
    <w:rsid w:val="00844734"/>
    <w:rsid w:val="008458BA"/>
    <w:rsid w:val="00847509"/>
    <w:rsid w:val="00847B1D"/>
    <w:rsid w:val="00847E75"/>
    <w:rsid w:val="008503D2"/>
    <w:rsid w:val="0085164D"/>
    <w:rsid w:val="008530CD"/>
    <w:rsid w:val="0085659D"/>
    <w:rsid w:val="00856E6C"/>
    <w:rsid w:val="00857CF9"/>
    <w:rsid w:val="00861533"/>
    <w:rsid w:val="0086188F"/>
    <w:rsid w:val="008623C5"/>
    <w:rsid w:val="00862F08"/>
    <w:rsid w:val="00863620"/>
    <w:rsid w:val="00863D57"/>
    <w:rsid w:val="00866C5B"/>
    <w:rsid w:val="00867F87"/>
    <w:rsid w:val="008705D5"/>
    <w:rsid w:val="00870BD2"/>
    <w:rsid w:val="0087136A"/>
    <w:rsid w:val="00874347"/>
    <w:rsid w:val="00874492"/>
    <w:rsid w:val="0087478F"/>
    <w:rsid w:val="00875ACA"/>
    <w:rsid w:val="00875DD5"/>
    <w:rsid w:val="00876086"/>
    <w:rsid w:val="00876CA7"/>
    <w:rsid w:val="00876ED6"/>
    <w:rsid w:val="00877369"/>
    <w:rsid w:val="00877587"/>
    <w:rsid w:val="00877B42"/>
    <w:rsid w:val="00880A24"/>
    <w:rsid w:val="008819DC"/>
    <w:rsid w:val="00881B2C"/>
    <w:rsid w:val="008821EB"/>
    <w:rsid w:val="00882361"/>
    <w:rsid w:val="008829B8"/>
    <w:rsid w:val="00882CA7"/>
    <w:rsid w:val="00883EF6"/>
    <w:rsid w:val="00885F25"/>
    <w:rsid w:val="0088724D"/>
    <w:rsid w:val="0088749F"/>
    <w:rsid w:val="008877F9"/>
    <w:rsid w:val="00887973"/>
    <w:rsid w:val="00887BDA"/>
    <w:rsid w:val="00891172"/>
    <w:rsid w:val="0089338B"/>
    <w:rsid w:val="008937CB"/>
    <w:rsid w:val="00893EC7"/>
    <w:rsid w:val="008A1882"/>
    <w:rsid w:val="008A1F0F"/>
    <w:rsid w:val="008A23EC"/>
    <w:rsid w:val="008A2CD5"/>
    <w:rsid w:val="008A2E30"/>
    <w:rsid w:val="008A31DC"/>
    <w:rsid w:val="008A5856"/>
    <w:rsid w:val="008A5FFF"/>
    <w:rsid w:val="008A69D9"/>
    <w:rsid w:val="008A6C6F"/>
    <w:rsid w:val="008A7D69"/>
    <w:rsid w:val="008B272B"/>
    <w:rsid w:val="008B2742"/>
    <w:rsid w:val="008B2B07"/>
    <w:rsid w:val="008B397D"/>
    <w:rsid w:val="008B4E2F"/>
    <w:rsid w:val="008B5E16"/>
    <w:rsid w:val="008B7A7D"/>
    <w:rsid w:val="008B7C02"/>
    <w:rsid w:val="008C0003"/>
    <w:rsid w:val="008C07F6"/>
    <w:rsid w:val="008C082F"/>
    <w:rsid w:val="008C0B92"/>
    <w:rsid w:val="008C0E88"/>
    <w:rsid w:val="008C1A57"/>
    <w:rsid w:val="008C2B90"/>
    <w:rsid w:val="008C3A0F"/>
    <w:rsid w:val="008C608F"/>
    <w:rsid w:val="008D0BD0"/>
    <w:rsid w:val="008D2A16"/>
    <w:rsid w:val="008D3CBD"/>
    <w:rsid w:val="008D6563"/>
    <w:rsid w:val="008D68F3"/>
    <w:rsid w:val="008E183C"/>
    <w:rsid w:val="008E31FF"/>
    <w:rsid w:val="008E4065"/>
    <w:rsid w:val="008E6520"/>
    <w:rsid w:val="008F0178"/>
    <w:rsid w:val="008F0538"/>
    <w:rsid w:val="008F1814"/>
    <w:rsid w:val="008F196F"/>
    <w:rsid w:val="008F1F72"/>
    <w:rsid w:val="008F371B"/>
    <w:rsid w:val="008F5169"/>
    <w:rsid w:val="008F5329"/>
    <w:rsid w:val="009003A8"/>
    <w:rsid w:val="00901510"/>
    <w:rsid w:val="00902EFF"/>
    <w:rsid w:val="009037D1"/>
    <w:rsid w:val="009059F0"/>
    <w:rsid w:val="009064E1"/>
    <w:rsid w:val="00906960"/>
    <w:rsid w:val="00910405"/>
    <w:rsid w:val="00910A05"/>
    <w:rsid w:val="00912CAA"/>
    <w:rsid w:val="00914A9A"/>
    <w:rsid w:val="00915C41"/>
    <w:rsid w:val="00916458"/>
    <w:rsid w:val="00916650"/>
    <w:rsid w:val="0091687C"/>
    <w:rsid w:val="00917541"/>
    <w:rsid w:val="00920C74"/>
    <w:rsid w:val="00921108"/>
    <w:rsid w:val="0092187B"/>
    <w:rsid w:val="00921F14"/>
    <w:rsid w:val="00922BE8"/>
    <w:rsid w:val="009230B4"/>
    <w:rsid w:val="00924E49"/>
    <w:rsid w:val="009259D3"/>
    <w:rsid w:val="00925CA7"/>
    <w:rsid w:val="00927A01"/>
    <w:rsid w:val="00927C8B"/>
    <w:rsid w:val="009311FE"/>
    <w:rsid w:val="00932499"/>
    <w:rsid w:val="00933073"/>
    <w:rsid w:val="009338E5"/>
    <w:rsid w:val="0093390B"/>
    <w:rsid w:val="00933D08"/>
    <w:rsid w:val="00935B0F"/>
    <w:rsid w:val="00936C49"/>
    <w:rsid w:val="00941519"/>
    <w:rsid w:val="00941A36"/>
    <w:rsid w:val="00942A69"/>
    <w:rsid w:val="0094427A"/>
    <w:rsid w:val="0094535A"/>
    <w:rsid w:val="00946733"/>
    <w:rsid w:val="00947596"/>
    <w:rsid w:val="00950886"/>
    <w:rsid w:val="00952983"/>
    <w:rsid w:val="009558BD"/>
    <w:rsid w:val="00955B8B"/>
    <w:rsid w:val="00956737"/>
    <w:rsid w:val="009571CF"/>
    <w:rsid w:val="00960870"/>
    <w:rsid w:val="00960C15"/>
    <w:rsid w:val="0096165E"/>
    <w:rsid w:val="00961E31"/>
    <w:rsid w:val="00962A7A"/>
    <w:rsid w:val="00963F00"/>
    <w:rsid w:val="00965629"/>
    <w:rsid w:val="0096694B"/>
    <w:rsid w:val="00970275"/>
    <w:rsid w:val="00970D6B"/>
    <w:rsid w:val="009711D5"/>
    <w:rsid w:val="0097142A"/>
    <w:rsid w:val="00971E56"/>
    <w:rsid w:val="00974923"/>
    <w:rsid w:val="009757A9"/>
    <w:rsid w:val="00976B35"/>
    <w:rsid w:val="00977E3B"/>
    <w:rsid w:val="009804D9"/>
    <w:rsid w:val="009804EE"/>
    <w:rsid w:val="0098213E"/>
    <w:rsid w:val="00984A3F"/>
    <w:rsid w:val="00984E99"/>
    <w:rsid w:val="00986188"/>
    <w:rsid w:val="00987E97"/>
    <w:rsid w:val="009932AF"/>
    <w:rsid w:val="009932EC"/>
    <w:rsid w:val="00994A4E"/>
    <w:rsid w:val="00995A29"/>
    <w:rsid w:val="00995C04"/>
    <w:rsid w:val="009A1C6B"/>
    <w:rsid w:val="009A30E6"/>
    <w:rsid w:val="009A3AED"/>
    <w:rsid w:val="009A5806"/>
    <w:rsid w:val="009A7070"/>
    <w:rsid w:val="009A7503"/>
    <w:rsid w:val="009B0673"/>
    <w:rsid w:val="009B1672"/>
    <w:rsid w:val="009B429E"/>
    <w:rsid w:val="009B6FD3"/>
    <w:rsid w:val="009B76CE"/>
    <w:rsid w:val="009B7811"/>
    <w:rsid w:val="009C084A"/>
    <w:rsid w:val="009C3246"/>
    <w:rsid w:val="009C3B7E"/>
    <w:rsid w:val="009C5416"/>
    <w:rsid w:val="009C5518"/>
    <w:rsid w:val="009D2407"/>
    <w:rsid w:val="009D2BBA"/>
    <w:rsid w:val="009D2EFB"/>
    <w:rsid w:val="009D31C9"/>
    <w:rsid w:val="009D493D"/>
    <w:rsid w:val="009D5058"/>
    <w:rsid w:val="009D549B"/>
    <w:rsid w:val="009D7A68"/>
    <w:rsid w:val="009E07D9"/>
    <w:rsid w:val="009E1A45"/>
    <w:rsid w:val="009E20CC"/>
    <w:rsid w:val="009E389F"/>
    <w:rsid w:val="009E3B01"/>
    <w:rsid w:val="009E5537"/>
    <w:rsid w:val="009E5D62"/>
    <w:rsid w:val="009E65B8"/>
    <w:rsid w:val="009E7CBA"/>
    <w:rsid w:val="009E7D09"/>
    <w:rsid w:val="009F2015"/>
    <w:rsid w:val="009F25B3"/>
    <w:rsid w:val="009F29BB"/>
    <w:rsid w:val="009F3129"/>
    <w:rsid w:val="009F374A"/>
    <w:rsid w:val="009F4C2C"/>
    <w:rsid w:val="009F73C2"/>
    <w:rsid w:val="009F78A6"/>
    <w:rsid w:val="00A00D69"/>
    <w:rsid w:val="00A031E5"/>
    <w:rsid w:val="00A033E7"/>
    <w:rsid w:val="00A04299"/>
    <w:rsid w:val="00A05934"/>
    <w:rsid w:val="00A05C52"/>
    <w:rsid w:val="00A05E18"/>
    <w:rsid w:val="00A06C1F"/>
    <w:rsid w:val="00A0746B"/>
    <w:rsid w:val="00A07932"/>
    <w:rsid w:val="00A10D66"/>
    <w:rsid w:val="00A11505"/>
    <w:rsid w:val="00A1203B"/>
    <w:rsid w:val="00A13FB1"/>
    <w:rsid w:val="00A1562B"/>
    <w:rsid w:val="00A16023"/>
    <w:rsid w:val="00A17ECA"/>
    <w:rsid w:val="00A21A2E"/>
    <w:rsid w:val="00A22DA0"/>
    <w:rsid w:val="00A235EF"/>
    <w:rsid w:val="00A23E43"/>
    <w:rsid w:val="00A25902"/>
    <w:rsid w:val="00A259C1"/>
    <w:rsid w:val="00A32F3F"/>
    <w:rsid w:val="00A33820"/>
    <w:rsid w:val="00A33BB6"/>
    <w:rsid w:val="00A3413D"/>
    <w:rsid w:val="00A346BD"/>
    <w:rsid w:val="00A4170C"/>
    <w:rsid w:val="00A41C6D"/>
    <w:rsid w:val="00A459EC"/>
    <w:rsid w:val="00A46DE0"/>
    <w:rsid w:val="00A5354B"/>
    <w:rsid w:val="00A53F26"/>
    <w:rsid w:val="00A542FC"/>
    <w:rsid w:val="00A56914"/>
    <w:rsid w:val="00A56D87"/>
    <w:rsid w:val="00A5724F"/>
    <w:rsid w:val="00A57A3A"/>
    <w:rsid w:val="00A605DD"/>
    <w:rsid w:val="00A62CE1"/>
    <w:rsid w:val="00A62D42"/>
    <w:rsid w:val="00A63804"/>
    <w:rsid w:val="00A63C51"/>
    <w:rsid w:val="00A6499A"/>
    <w:rsid w:val="00A650A8"/>
    <w:rsid w:val="00A65F61"/>
    <w:rsid w:val="00A67FDB"/>
    <w:rsid w:val="00A70410"/>
    <w:rsid w:val="00A70A04"/>
    <w:rsid w:val="00A70E08"/>
    <w:rsid w:val="00A72F8C"/>
    <w:rsid w:val="00A7383D"/>
    <w:rsid w:val="00A75964"/>
    <w:rsid w:val="00A75E40"/>
    <w:rsid w:val="00A76B96"/>
    <w:rsid w:val="00A76D62"/>
    <w:rsid w:val="00A77C4A"/>
    <w:rsid w:val="00A77CC5"/>
    <w:rsid w:val="00A808E6"/>
    <w:rsid w:val="00A81C4D"/>
    <w:rsid w:val="00A83B8B"/>
    <w:rsid w:val="00A85057"/>
    <w:rsid w:val="00A857C0"/>
    <w:rsid w:val="00A87389"/>
    <w:rsid w:val="00A87C69"/>
    <w:rsid w:val="00A92FE8"/>
    <w:rsid w:val="00A93911"/>
    <w:rsid w:val="00A9460A"/>
    <w:rsid w:val="00A94A15"/>
    <w:rsid w:val="00A94E20"/>
    <w:rsid w:val="00A95A16"/>
    <w:rsid w:val="00AA294B"/>
    <w:rsid w:val="00AA2DF1"/>
    <w:rsid w:val="00AA421E"/>
    <w:rsid w:val="00AA4292"/>
    <w:rsid w:val="00AA4791"/>
    <w:rsid w:val="00AA559A"/>
    <w:rsid w:val="00AA672D"/>
    <w:rsid w:val="00AA6C83"/>
    <w:rsid w:val="00AA77CA"/>
    <w:rsid w:val="00AB10C4"/>
    <w:rsid w:val="00AB1E85"/>
    <w:rsid w:val="00AB25BC"/>
    <w:rsid w:val="00AB2AF1"/>
    <w:rsid w:val="00AB58C2"/>
    <w:rsid w:val="00AB67CD"/>
    <w:rsid w:val="00AB6DA6"/>
    <w:rsid w:val="00AB70B0"/>
    <w:rsid w:val="00AC126E"/>
    <w:rsid w:val="00AC1AEC"/>
    <w:rsid w:val="00AC2691"/>
    <w:rsid w:val="00AC2B58"/>
    <w:rsid w:val="00AC3332"/>
    <w:rsid w:val="00AC3597"/>
    <w:rsid w:val="00AC3697"/>
    <w:rsid w:val="00AC392B"/>
    <w:rsid w:val="00AC48C9"/>
    <w:rsid w:val="00AC57CA"/>
    <w:rsid w:val="00AC5832"/>
    <w:rsid w:val="00AC62CF"/>
    <w:rsid w:val="00AD0520"/>
    <w:rsid w:val="00AD056B"/>
    <w:rsid w:val="00AD233C"/>
    <w:rsid w:val="00AD306C"/>
    <w:rsid w:val="00AD3CE8"/>
    <w:rsid w:val="00AD50ED"/>
    <w:rsid w:val="00AD5637"/>
    <w:rsid w:val="00AE038C"/>
    <w:rsid w:val="00AE0ECC"/>
    <w:rsid w:val="00AE20C4"/>
    <w:rsid w:val="00AE302E"/>
    <w:rsid w:val="00AE3995"/>
    <w:rsid w:val="00AE3BAB"/>
    <w:rsid w:val="00AE501C"/>
    <w:rsid w:val="00AE5259"/>
    <w:rsid w:val="00AE7361"/>
    <w:rsid w:val="00AF3EF6"/>
    <w:rsid w:val="00AF543B"/>
    <w:rsid w:val="00AF6897"/>
    <w:rsid w:val="00AF6E7B"/>
    <w:rsid w:val="00AF6FDB"/>
    <w:rsid w:val="00AF71E4"/>
    <w:rsid w:val="00AF750B"/>
    <w:rsid w:val="00AF77F0"/>
    <w:rsid w:val="00B00C7B"/>
    <w:rsid w:val="00B00DEC"/>
    <w:rsid w:val="00B00E2A"/>
    <w:rsid w:val="00B021DC"/>
    <w:rsid w:val="00B031D4"/>
    <w:rsid w:val="00B03333"/>
    <w:rsid w:val="00B050E2"/>
    <w:rsid w:val="00B0569B"/>
    <w:rsid w:val="00B062B3"/>
    <w:rsid w:val="00B06698"/>
    <w:rsid w:val="00B06DA9"/>
    <w:rsid w:val="00B07DD5"/>
    <w:rsid w:val="00B11B89"/>
    <w:rsid w:val="00B13FFF"/>
    <w:rsid w:val="00B14834"/>
    <w:rsid w:val="00B15094"/>
    <w:rsid w:val="00B15254"/>
    <w:rsid w:val="00B16BD5"/>
    <w:rsid w:val="00B178A2"/>
    <w:rsid w:val="00B17E71"/>
    <w:rsid w:val="00B17FDE"/>
    <w:rsid w:val="00B2077E"/>
    <w:rsid w:val="00B214B0"/>
    <w:rsid w:val="00B233C9"/>
    <w:rsid w:val="00B24A27"/>
    <w:rsid w:val="00B27E1F"/>
    <w:rsid w:val="00B30BF1"/>
    <w:rsid w:val="00B32114"/>
    <w:rsid w:val="00B325AF"/>
    <w:rsid w:val="00B32DDB"/>
    <w:rsid w:val="00B3335A"/>
    <w:rsid w:val="00B33686"/>
    <w:rsid w:val="00B33C76"/>
    <w:rsid w:val="00B360DE"/>
    <w:rsid w:val="00B40138"/>
    <w:rsid w:val="00B4079B"/>
    <w:rsid w:val="00B407D2"/>
    <w:rsid w:val="00B42399"/>
    <w:rsid w:val="00B42A43"/>
    <w:rsid w:val="00B4351A"/>
    <w:rsid w:val="00B45180"/>
    <w:rsid w:val="00B45197"/>
    <w:rsid w:val="00B456FE"/>
    <w:rsid w:val="00B45F1C"/>
    <w:rsid w:val="00B522F9"/>
    <w:rsid w:val="00B529B6"/>
    <w:rsid w:val="00B5555B"/>
    <w:rsid w:val="00B6551F"/>
    <w:rsid w:val="00B658C4"/>
    <w:rsid w:val="00B6608F"/>
    <w:rsid w:val="00B66298"/>
    <w:rsid w:val="00B664E4"/>
    <w:rsid w:val="00B66EF0"/>
    <w:rsid w:val="00B67CC5"/>
    <w:rsid w:val="00B718E1"/>
    <w:rsid w:val="00B72FED"/>
    <w:rsid w:val="00B765A7"/>
    <w:rsid w:val="00B76D1E"/>
    <w:rsid w:val="00B82A76"/>
    <w:rsid w:val="00B84588"/>
    <w:rsid w:val="00B849FD"/>
    <w:rsid w:val="00B858DD"/>
    <w:rsid w:val="00B86C5E"/>
    <w:rsid w:val="00B86FC5"/>
    <w:rsid w:val="00B912EA"/>
    <w:rsid w:val="00B93D28"/>
    <w:rsid w:val="00B95940"/>
    <w:rsid w:val="00B967BC"/>
    <w:rsid w:val="00B96C64"/>
    <w:rsid w:val="00BA0022"/>
    <w:rsid w:val="00BA0F35"/>
    <w:rsid w:val="00BA1953"/>
    <w:rsid w:val="00BA2839"/>
    <w:rsid w:val="00BA2D52"/>
    <w:rsid w:val="00BA4E76"/>
    <w:rsid w:val="00BA5E51"/>
    <w:rsid w:val="00BA7D31"/>
    <w:rsid w:val="00BB1863"/>
    <w:rsid w:val="00BB26C2"/>
    <w:rsid w:val="00BB2BB3"/>
    <w:rsid w:val="00BB6799"/>
    <w:rsid w:val="00BB6921"/>
    <w:rsid w:val="00BB764B"/>
    <w:rsid w:val="00BB76FE"/>
    <w:rsid w:val="00BB7952"/>
    <w:rsid w:val="00BC3805"/>
    <w:rsid w:val="00BC39D0"/>
    <w:rsid w:val="00BC3E99"/>
    <w:rsid w:val="00BC46B1"/>
    <w:rsid w:val="00BC5110"/>
    <w:rsid w:val="00BC57A9"/>
    <w:rsid w:val="00BC6AC1"/>
    <w:rsid w:val="00BC6DAF"/>
    <w:rsid w:val="00BC79BD"/>
    <w:rsid w:val="00BC7B9A"/>
    <w:rsid w:val="00BD0E3B"/>
    <w:rsid w:val="00BD35AB"/>
    <w:rsid w:val="00BD366B"/>
    <w:rsid w:val="00BD3835"/>
    <w:rsid w:val="00BD43E0"/>
    <w:rsid w:val="00BD4C1C"/>
    <w:rsid w:val="00BD6537"/>
    <w:rsid w:val="00BD6CC1"/>
    <w:rsid w:val="00BD6D50"/>
    <w:rsid w:val="00BE0470"/>
    <w:rsid w:val="00BE0EF9"/>
    <w:rsid w:val="00BE1794"/>
    <w:rsid w:val="00BE1BBB"/>
    <w:rsid w:val="00BE1BFE"/>
    <w:rsid w:val="00BE33B7"/>
    <w:rsid w:val="00BE4FA5"/>
    <w:rsid w:val="00BE53CE"/>
    <w:rsid w:val="00BE607F"/>
    <w:rsid w:val="00BE63D0"/>
    <w:rsid w:val="00BE6F43"/>
    <w:rsid w:val="00BE76F6"/>
    <w:rsid w:val="00BF0713"/>
    <w:rsid w:val="00BF09A3"/>
    <w:rsid w:val="00BF13DF"/>
    <w:rsid w:val="00BF1812"/>
    <w:rsid w:val="00BF1815"/>
    <w:rsid w:val="00BF1FFC"/>
    <w:rsid w:val="00BF5E16"/>
    <w:rsid w:val="00BF6243"/>
    <w:rsid w:val="00BF6BE5"/>
    <w:rsid w:val="00BF6FC7"/>
    <w:rsid w:val="00C018F4"/>
    <w:rsid w:val="00C01BB8"/>
    <w:rsid w:val="00C04FD8"/>
    <w:rsid w:val="00C05523"/>
    <w:rsid w:val="00C058F6"/>
    <w:rsid w:val="00C05A64"/>
    <w:rsid w:val="00C05A6E"/>
    <w:rsid w:val="00C06CC8"/>
    <w:rsid w:val="00C1059A"/>
    <w:rsid w:val="00C10FB2"/>
    <w:rsid w:val="00C1208D"/>
    <w:rsid w:val="00C131F6"/>
    <w:rsid w:val="00C13EF3"/>
    <w:rsid w:val="00C140D5"/>
    <w:rsid w:val="00C14ECE"/>
    <w:rsid w:val="00C1712C"/>
    <w:rsid w:val="00C17654"/>
    <w:rsid w:val="00C21D10"/>
    <w:rsid w:val="00C21DE9"/>
    <w:rsid w:val="00C21F94"/>
    <w:rsid w:val="00C24DA9"/>
    <w:rsid w:val="00C26A32"/>
    <w:rsid w:val="00C31655"/>
    <w:rsid w:val="00C32F2D"/>
    <w:rsid w:val="00C3310B"/>
    <w:rsid w:val="00C3589C"/>
    <w:rsid w:val="00C370B8"/>
    <w:rsid w:val="00C41A67"/>
    <w:rsid w:val="00C42179"/>
    <w:rsid w:val="00C42F6C"/>
    <w:rsid w:val="00C4352B"/>
    <w:rsid w:val="00C43BDF"/>
    <w:rsid w:val="00C45446"/>
    <w:rsid w:val="00C470F8"/>
    <w:rsid w:val="00C471BD"/>
    <w:rsid w:val="00C5090D"/>
    <w:rsid w:val="00C50A5E"/>
    <w:rsid w:val="00C50FDC"/>
    <w:rsid w:val="00C512E7"/>
    <w:rsid w:val="00C52628"/>
    <w:rsid w:val="00C53308"/>
    <w:rsid w:val="00C53CF4"/>
    <w:rsid w:val="00C542DA"/>
    <w:rsid w:val="00C55C3C"/>
    <w:rsid w:val="00C56FAC"/>
    <w:rsid w:val="00C57270"/>
    <w:rsid w:val="00C64C19"/>
    <w:rsid w:val="00C6646D"/>
    <w:rsid w:val="00C67F19"/>
    <w:rsid w:val="00C67F66"/>
    <w:rsid w:val="00C719D9"/>
    <w:rsid w:val="00C723FE"/>
    <w:rsid w:val="00C735EE"/>
    <w:rsid w:val="00C73F4C"/>
    <w:rsid w:val="00C74158"/>
    <w:rsid w:val="00C742FF"/>
    <w:rsid w:val="00C74512"/>
    <w:rsid w:val="00C746C2"/>
    <w:rsid w:val="00C74B4D"/>
    <w:rsid w:val="00C75024"/>
    <w:rsid w:val="00C75E84"/>
    <w:rsid w:val="00C774BB"/>
    <w:rsid w:val="00C80ED6"/>
    <w:rsid w:val="00C81902"/>
    <w:rsid w:val="00C820B0"/>
    <w:rsid w:val="00C82CE9"/>
    <w:rsid w:val="00C84D63"/>
    <w:rsid w:val="00C866FE"/>
    <w:rsid w:val="00C86C49"/>
    <w:rsid w:val="00C87251"/>
    <w:rsid w:val="00C9027C"/>
    <w:rsid w:val="00C903FE"/>
    <w:rsid w:val="00C90CF4"/>
    <w:rsid w:val="00C92FA6"/>
    <w:rsid w:val="00C93389"/>
    <w:rsid w:val="00C93F57"/>
    <w:rsid w:val="00C94E77"/>
    <w:rsid w:val="00C9506B"/>
    <w:rsid w:val="00C958DA"/>
    <w:rsid w:val="00C95E3D"/>
    <w:rsid w:val="00C968A8"/>
    <w:rsid w:val="00C97150"/>
    <w:rsid w:val="00CA0C7F"/>
    <w:rsid w:val="00CA0F40"/>
    <w:rsid w:val="00CA27F3"/>
    <w:rsid w:val="00CA35BA"/>
    <w:rsid w:val="00CA441C"/>
    <w:rsid w:val="00CA4D03"/>
    <w:rsid w:val="00CA4D94"/>
    <w:rsid w:val="00CA59EE"/>
    <w:rsid w:val="00CA760D"/>
    <w:rsid w:val="00CA7A3A"/>
    <w:rsid w:val="00CA7A52"/>
    <w:rsid w:val="00CB00A8"/>
    <w:rsid w:val="00CB0BB6"/>
    <w:rsid w:val="00CB119D"/>
    <w:rsid w:val="00CB1250"/>
    <w:rsid w:val="00CB17B1"/>
    <w:rsid w:val="00CB23A0"/>
    <w:rsid w:val="00CB32EC"/>
    <w:rsid w:val="00CB36E1"/>
    <w:rsid w:val="00CB3964"/>
    <w:rsid w:val="00CB3EB5"/>
    <w:rsid w:val="00CB3F4C"/>
    <w:rsid w:val="00CB41CA"/>
    <w:rsid w:val="00CB558B"/>
    <w:rsid w:val="00CB62F8"/>
    <w:rsid w:val="00CB6838"/>
    <w:rsid w:val="00CB72EF"/>
    <w:rsid w:val="00CC04D7"/>
    <w:rsid w:val="00CC0FC5"/>
    <w:rsid w:val="00CC113E"/>
    <w:rsid w:val="00CC1887"/>
    <w:rsid w:val="00CC53D5"/>
    <w:rsid w:val="00CC7383"/>
    <w:rsid w:val="00CD3B46"/>
    <w:rsid w:val="00CD5F03"/>
    <w:rsid w:val="00CE00F3"/>
    <w:rsid w:val="00CE08D6"/>
    <w:rsid w:val="00CE14CF"/>
    <w:rsid w:val="00CE2846"/>
    <w:rsid w:val="00CE4007"/>
    <w:rsid w:val="00CE56E4"/>
    <w:rsid w:val="00CE598F"/>
    <w:rsid w:val="00CE7EF8"/>
    <w:rsid w:val="00CF18E7"/>
    <w:rsid w:val="00CF224A"/>
    <w:rsid w:val="00CF2259"/>
    <w:rsid w:val="00CF2971"/>
    <w:rsid w:val="00CF2DA7"/>
    <w:rsid w:val="00CF390A"/>
    <w:rsid w:val="00CF462A"/>
    <w:rsid w:val="00CF47FD"/>
    <w:rsid w:val="00CF51EC"/>
    <w:rsid w:val="00CF5D65"/>
    <w:rsid w:val="00CF5EF2"/>
    <w:rsid w:val="00CF6243"/>
    <w:rsid w:val="00CF718B"/>
    <w:rsid w:val="00D00F19"/>
    <w:rsid w:val="00D02C4B"/>
    <w:rsid w:val="00D02E65"/>
    <w:rsid w:val="00D040DD"/>
    <w:rsid w:val="00D045D0"/>
    <w:rsid w:val="00D04839"/>
    <w:rsid w:val="00D06ABA"/>
    <w:rsid w:val="00D1146A"/>
    <w:rsid w:val="00D146E8"/>
    <w:rsid w:val="00D147B3"/>
    <w:rsid w:val="00D20B8E"/>
    <w:rsid w:val="00D234F5"/>
    <w:rsid w:val="00D267E2"/>
    <w:rsid w:val="00D269E0"/>
    <w:rsid w:val="00D26F9E"/>
    <w:rsid w:val="00D27D15"/>
    <w:rsid w:val="00D31B66"/>
    <w:rsid w:val="00D31E66"/>
    <w:rsid w:val="00D32157"/>
    <w:rsid w:val="00D32602"/>
    <w:rsid w:val="00D3282C"/>
    <w:rsid w:val="00D358C6"/>
    <w:rsid w:val="00D36AF6"/>
    <w:rsid w:val="00D41AF1"/>
    <w:rsid w:val="00D42693"/>
    <w:rsid w:val="00D45574"/>
    <w:rsid w:val="00D45F16"/>
    <w:rsid w:val="00D50475"/>
    <w:rsid w:val="00D51E6B"/>
    <w:rsid w:val="00D52355"/>
    <w:rsid w:val="00D56A23"/>
    <w:rsid w:val="00D56DE9"/>
    <w:rsid w:val="00D57021"/>
    <w:rsid w:val="00D6000F"/>
    <w:rsid w:val="00D6037C"/>
    <w:rsid w:val="00D60E57"/>
    <w:rsid w:val="00D613CB"/>
    <w:rsid w:val="00D63EF8"/>
    <w:rsid w:val="00D644E2"/>
    <w:rsid w:val="00D654DC"/>
    <w:rsid w:val="00D65603"/>
    <w:rsid w:val="00D66CCF"/>
    <w:rsid w:val="00D672A9"/>
    <w:rsid w:val="00D67910"/>
    <w:rsid w:val="00D67F43"/>
    <w:rsid w:val="00D7025D"/>
    <w:rsid w:val="00D7198E"/>
    <w:rsid w:val="00D72C5F"/>
    <w:rsid w:val="00D72E21"/>
    <w:rsid w:val="00D73DB5"/>
    <w:rsid w:val="00D7448A"/>
    <w:rsid w:val="00D74C64"/>
    <w:rsid w:val="00D74F7F"/>
    <w:rsid w:val="00D75128"/>
    <w:rsid w:val="00D7517A"/>
    <w:rsid w:val="00D76098"/>
    <w:rsid w:val="00D81FA6"/>
    <w:rsid w:val="00D83753"/>
    <w:rsid w:val="00D87A8C"/>
    <w:rsid w:val="00D90BEC"/>
    <w:rsid w:val="00D91C28"/>
    <w:rsid w:val="00D91C65"/>
    <w:rsid w:val="00D92675"/>
    <w:rsid w:val="00D9313A"/>
    <w:rsid w:val="00D9320F"/>
    <w:rsid w:val="00D94B8F"/>
    <w:rsid w:val="00D9797A"/>
    <w:rsid w:val="00DA343E"/>
    <w:rsid w:val="00DA3C1D"/>
    <w:rsid w:val="00DA4844"/>
    <w:rsid w:val="00DA6EF6"/>
    <w:rsid w:val="00DA7501"/>
    <w:rsid w:val="00DB121B"/>
    <w:rsid w:val="00DB192A"/>
    <w:rsid w:val="00DB3CE2"/>
    <w:rsid w:val="00DC02CB"/>
    <w:rsid w:val="00DC5B3B"/>
    <w:rsid w:val="00DC646F"/>
    <w:rsid w:val="00DC784D"/>
    <w:rsid w:val="00DD0290"/>
    <w:rsid w:val="00DD06AA"/>
    <w:rsid w:val="00DD1820"/>
    <w:rsid w:val="00DD49EA"/>
    <w:rsid w:val="00DE0583"/>
    <w:rsid w:val="00DE0CF4"/>
    <w:rsid w:val="00DE25A4"/>
    <w:rsid w:val="00DE3B56"/>
    <w:rsid w:val="00DE5E80"/>
    <w:rsid w:val="00DE6696"/>
    <w:rsid w:val="00DF10E8"/>
    <w:rsid w:val="00DF1398"/>
    <w:rsid w:val="00DF213B"/>
    <w:rsid w:val="00DF29A0"/>
    <w:rsid w:val="00DF2F8C"/>
    <w:rsid w:val="00DF372F"/>
    <w:rsid w:val="00DF3F1A"/>
    <w:rsid w:val="00DF4CB8"/>
    <w:rsid w:val="00DF53E1"/>
    <w:rsid w:val="00DF6D95"/>
    <w:rsid w:val="00E006FC"/>
    <w:rsid w:val="00E01C0E"/>
    <w:rsid w:val="00E02E42"/>
    <w:rsid w:val="00E04694"/>
    <w:rsid w:val="00E04E69"/>
    <w:rsid w:val="00E05C11"/>
    <w:rsid w:val="00E06BAF"/>
    <w:rsid w:val="00E07C43"/>
    <w:rsid w:val="00E07E5C"/>
    <w:rsid w:val="00E07EEF"/>
    <w:rsid w:val="00E106F6"/>
    <w:rsid w:val="00E1187E"/>
    <w:rsid w:val="00E11A6B"/>
    <w:rsid w:val="00E12482"/>
    <w:rsid w:val="00E12D30"/>
    <w:rsid w:val="00E1419F"/>
    <w:rsid w:val="00E14242"/>
    <w:rsid w:val="00E14EF5"/>
    <w:rsid w:val="00E158E3"/>
    <w:rsid w:val="00E15D60"/>
    <w:rsid w:val="00E161F0"/>
    <w:rsid w:val="00E177BB"/>
    <w:rsid w:val="00E2006C"/>
    <w:rsid w:val="00E21405"/>
    <w:rsid w:val="00E22100"/>
    <w:rsid w:val="00E23138"/>
    <w:rsid w:val="00E23F25"/>
    <w:rsid w:val="00E24F6F"/>
    <w:rsid w:val="00E27CCB"/>
    <w:rsid w:val="00E30576"/>
    <w:rsid w:val="00E30C67"/>
    <w:rsid w:val="00E30F7E"/>
    <w:rsid w:val="00E319A7"/>
    <w:rsid w:val="00E3226E"/>
    <w:rsid w:val="00E32358"/>
    <w:rsid w:val="00E33EAE"/>
    <w:rsid w:val="00E340F9"/>
    <w:rsid w:val="00E356DC"/>
    <w:rsid w:val="00E36668"/>
    <w:rsid w:val="00E37E22"/>
    <w:rsid w:val="00E37E78"/>
    <w:rsid w:val="00E41ADA"/>
    <w:rsid w:val="00E4343A"/>
    <w:rsid w:val="00E448D6"/>
    <w:rsid w:val="00E448FE"/>
    <w:rsid w:val="00E452C6"/>
    <w:rsid w:val="00E4796A"/>
    <w:rsid w:val="00E47F4A"/>
    <w:rsid w:val="00E5027D"/>
    <w:rsid w:val="00E504C3"/>
    <w:rsid w:val="00E50CCB"/>
    <w:rsid w:val="00E51F58"/>
    <w:rsid w:val="00E55662"/>
    <w:rsid w:val="00E57599"/>
    <w:rsid w:val="00E605BF"/>
    <w:rsid w:val="00E6084F"/>
    <w:rsid w:val="00E6176C"/>
    <w:rsid w:val="00E6225C"/>
    <w:rsid w:val="00E645F1"/>
    <w:rsid w:val="00E666F7"/>
    <w:rsid w:val="00E670F2"/>
    <w:rsid w:val="00E67DC3"/>
    <w:rsid w:val="00E70D8E"/>
    <w:rsid w:val="00E70E16"/>
    <w:rsid w:val="00E71762"/>
    <w:rsid w:val="00E71A58"/>
    <w:rsid w:val="00E7371B"/>
    <w:rsid w:val="00E743CE"/>
    <w:rsid w:val="00E74F8C"/>
    <w:rsid w:val="00E7515E"/>
    <w:rsid w:val="00E774CD"/>
    <w:rsid w:val="00E8090A"/>
    <w:rsid w:val="00E81E1F"/>
    <w:rsid w:val="00E82D69"/>
    <w:rsid w:val="00E85053"/>
    <w:rsid w:val="00E86361"/>
    <w:rsid w:val="00E86604"/>
    <w:rsid w:val="00E868DA"/>
    <w:rsid w:val="00E90A26"/>
    <w:rsid w:val="00E91A44"/>
    <w:rsid w:val="00E92F4D"/>
    <w:rsid w:val="00E93909"/>
    <w:rsid w:val="00E9466F"/>
    <w:rsid w:val="00E94B96"/>
    <w:rsid w:val="00EA0C68"/>
    <w:rsid w:val="00EA59D1"/>
    <w:rsid w:val="00EA682A"/>
    <w:rsid w:val="00EA6B7C"/>
    <w:rsid w:val="00EA781F"/>
    <w:rsid w:val="00EB0339"/>
    <w:rsid w:val="00EB0F76"/>
    <w:rsid w:val="00EB5A3F"/>
    <w:rsid w:val="00EB61E0"/>
    <w:rsid w:val="00EB74A4"/>
    <w:rsid w:val="00EB7F5D"/>
    <w:rsid w:val="00EC3A88"/>
    <w:rsid w:val="00EC4790"/>
    <w:rsid w:val="00EC51F6"/>
    <w:rsid w:val="00ED0D88"/>
    <w:rsid w:val="00ED1A01"/>
    <w:rsid w:val="00ED2197"/>
    <w:rsid w:val="00ED47AF"/>
    <w:rsid w:val="00ED47CE"/>
    <w:rsid w:val="00ED48F5"/>
    <w:rsid w:val="00ED7B6C"/>
    <w:rsid w:val="00ED7D19"/>
    <w:rsid w:val="00EE01F9"/>
    <w:rsid w:val="00EE0758"/>
    <w:rsid w:val="00EE15DA"/>
    <w:rsid w:val="00EE18C8"/>
    <w:rsid w:val="00EE19D4"/>
    <w:rsid w:val="00EE3E78"/>
    <w:rsid w:val="00EE46B8"/>
    <w:rsid w:val="00EE52FC"/>
    <w:rsid w:val="00EE5A03"/>
    <w:rsid w:val="00EF1F5A"/>
    <w:rsid w:val="00EF242C"/>
    <w:rsid w:val="00EF472B"/>
    <w:rsid w:val="00EF66EC"/>
    <w:rsid w:val="00EF67EC"/>
    <w:rsid w:val="00F041E6"/>
    <w:rsid w:val="00F04227"/>
    <w:rsid w:val="00F0434B"/>
    <w:rsid w:val="00F04371"/>
    <w:rsid w:val="00F04811"/>
    <w:rsid w:val="00F0488C"/>
    <w:rsid w:val="00F04FA9"/>
    <w:rsid w:val="00F05A26"/>
    <w:rsid w:val="00F10454"/>
    <w:rsid w:val="00F1090D"/>
    <w:rsid w:val="00F10BC7"/>
    <w:rsid w:val="00F111AC"/>
    <w:rsid w:val="00F11CF4"/>
    <w:rsid w:val="00F1224F"/>
    <w:rsid w:val="00F12B9A"/>
    <w:rsid w:val="00F13E2C"/>
    <w:rsid w:val="00F14C04"/>
    <w:rsid w:val="00F15118"/>
    <w:rsid w:val="00F15BEF"/>
    <w:rsid w:val="00F20947"/>
    <w:rsid w:val="00F22D3C"/>
    <w:rsid w:val="00F22E88"/>
    <w:rsid w:val="00F22E95"/>
    <w:rsid w:val="00F23B29"/>
    <w:rsid w:val="00F24FAA"/>
    <w:rsid w:val="00F26446"/>
    <w:rsid w:val="00F30D8A"/>
    <w:rsid w:val="00F30DDC"/>
    <w:rsid w:val="00F326AB"/>
    <w:rsid w:val="00F3364D"/>
    <w:rsid w:val="00F3436C"/>
    <w:rsid w:val="00F35998"/>
    <w:rsid w:val="00F36022"/>
    <w:rsid w:val="00F40065"/>
    <w:rsid w:val="00F408FA"/>
    <w:rsid w:val="00F40DE5"/>
    <w:rsid w:val="00F421F8"/>
    <w:rsid w:val="00F4270C"/>
    <w:rsid w:val="00F437B7"/>
    <w:rsid w:val="00F43EEB"/>
    <w:rsid w:val="00F46002"/>
    <w:rsid w:val="00F463E6"/>
    <w:rsid w:val="00F4728B"/>
    <w:rsid w:val="00F52700"/>
    <w:rsid w:val="00F52FA3"/>
    <w:rsid w:val="00F531AC"/>
    <w:rsid w:val="00F540E4"/>
    <w:rsid w:val="00F553C2"/>
    <w:rsid w:val="00F5744D"/>
    <w:rsid w:val="00F578EF"/>
    <w:rsid w:val="00F602B9"/>
    <w:rsid w:val="00F60D2B"/>
    <w:rsid w:val="00F624DF"/>
    <w:rsid w:val="00F62595"/>
    <w:rsid w:val="00F63783"/>
    <w:rsid w:val="00F638C8"/>
    <w:rsid w:val="00F63DDE"/>
    <w:rsid w:val="00F63FB7"/>
    <w:rsid w:val="00F647F4"/>
    <w:rsid w:val="00F6483C"/>
    <w:rsid w:val="00F64CCD"/>
    <w:rsid w:val="00F65CF4"/>
    <w:rsid w:val="00F6693A"/>
    <w:rsid w:val="00F709C7"/>
    <w:rsid w:val="00F71114"/>
    <w:rsid w:val="00F728A1"/>
    <w:rsid w:val="00F72D92"/>
    <w:rsid w:val="00F72EE1"/>
    <w:rsid w:val="00F73825"/>
    <w:rsid w:val="00F73A0C"/>
    <w:rsid w:val="00F772E1"/>
    <w:rsid w:val="00F77436"/>
    <w:rsid w:val="00F801C6"/>
    <w:rsid w:val="00F81435"/>
    <w:rsid w:val="00F81CB0"/>
    <w:rsid w:val="00F831FB"/>
    <w:rsid w:val="00F83C23"/>
    <w:rsid w:val="00F8791C"/>
    <w:rsid w:val="00F91B9A"/>
    <w:rsid w:val="00F922A4"/>
    <w:rsid w:val="00F924CB"/>
    <w:rsid w:val="00F94952"/>
    <w:rsid w:val="00F96B12"/>
    <w:rsid w:val="00FA409B"/>
    <w:rsid w:val="00FA4137"/>
    <w:rsid w:val="00FA457D"/>
    <w:rsid w:val="00FA4C51"/>
    <w:rsid w:val="00FA4D1E"/>
    <w:rsid w:val="00FA6478"/>
    <w:rsid w:val="00FB0324"/>
    <w:rsid w:val="00FB1007"/>
    <w:rsid w:val="00FB1379"/>
    <w:rsid w:val="00FB259D"/>
    <w:rsid w:val="00FB3236"/>
    <w:rsid w:val="00FB45E6"/>
    <w:rsid w:val="00FB479D"/>
    <w:rsid w:val="00FB57C8"/>
    <w:rsid w:val="00FB5C16"/>
    <w:rsid w:val="00FB6EB9"/>
    <w:rsid w:val="00FC075C"/>
    <w:rsid w:val="00FC0E5F"/>
    <w:rsid w:val="00FC15DA"/>
    <w:rsid w:val="00FC3922"/>
    <w:rsid w:val="00FC47B4"/>
    <w:rsid w:val="00FC56DE"/>
    <w:rsid w:val="00FC58DB"/>
    <w:rsid w:val="00FD0F83"/>
    <w:rsid w:val="00FD141D"/>
    <w:rsid w:val="00FD2941"/>
    <w:rsid w:val="00FD3859"/>
    <w:rsid w:val="00FD4884"/>
    <w:rsid w:val="00FD72B0"/>
    <w:rsid w:val="00FD73C6"/>
    <w:rsid w:val="00FE026D"/>
    <w:rsid w:val="00FE06F5"/>
    <w:rsid w:val="00FE14FD"/>
    <w:rsid w:val="00FE2310"/>
    <w:rsid w:val="00FE2398"/>
    <w:rsid w:val="00FE2612"/>
    <w:rsid w:val="00FE2D71"/>
    <w:rsid w:val="00FE2F78"/>
    <w:rsid w:val="00FE47AD"/>
    <w:rsid w:val="00FE4B35"/>
    <w:rsid w:val="00FE6728"/>
    <w:rsid w:val="00FE7501"/>
    <w:rsid w:val="00FF074A"/>
    <w:rsid w:val="00FF2B86"/>
    <w:rsid w:val="00FF3BF1"/>
    <w:rsid w:val="00FF4878"/>
    <w:rsid w:val="00FF5580"/>
    <w:rsid w:val="00FF5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2A67A5"/>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semiHidden/>
    <w:unhideWhenUsed/>
    <w:rsid w:val="00ED48F5"/>
    <w:pPr>
      <w:spacing w:line="240" w:lineRule="auto"/>
      <w:jc w:val="both"/>
    </w:pPr>
    <w:rPr>
      <w:szCs w:val="20"/>
    </w:rPr>
  </w:style>
  <w:style w:type="character" w:customStyle="1" w:styleId="TextpoznpodarouChar">
    <w:name w:val="Text pozn. pod čarou Char"/>
    <w:link w:val="Textpoznpodarou"/>
    <w:semiHidden/>
    <w:rsid w:val="00ED48F5"/>
    <w:rPr>
      <w:rFonts w:ascii="Arial" w:eastAsia="Times New Roman" w:hAnsi="Arial"/>
    </w:rPr>
  </w:style>
  <w:style w:type="character" w:styleId="Znakapoznpodarou">
    <w:name w:val="footnote reference"/>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unhideWhenUsed/>
    <w:rsid w:val="00840E30"/>
    <w:rPr>
      <w:sz w:val="16"/>
      <w:szCs w:val="16"/>
    </w:rPr>
  </w:style>
  <w:style w:type="paragraph" w:styleId="Textkomente">
    <w:name w:val="annotation text"/>
    <w:basedOn w:val="Normln"/>
    <w:link w:val="TextkomenteChar"/>
    <w:uiPriority w:val="99"/>
    <w:semiHidden/>
    <w:unhideWhenUsed/>
    <w:rsid w:val="00840E30"/>
    <w:rPr>
      <w:szCs w:val="20"/>
    </w:rPr>
  </w:style>
  <w:style w:type="character" w:customStyle="1" w:styleId="TextkomenteChar">
    <w:name w:val="Text komentáře Char"/>
    <w:link w:val="Textkomente"/>
    <w:uiPriority w:val="99"/>
    <w:semiHidden/>
    <w:rsid w:val="00840E30"/>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40E30"/>
    <w:rPr>
      <w:b/>
      <w:bCs/>
    </w:rPr>
  </w:style>
  <w:style w:type="character" w:customStyle="1" w:styleId="PedmtkomenteChar">
    <w:name w:val="Předmět komentáře Char"/>
    <w:link w:val="Pedmtkomente"/>
    <w:uiPriority w:val="99"/>
    <w:semiHidden/>
    <w:rsid w:val="00840E30"/>
    <w:rPr>
      <w:rFonts w:ascii="Arial" w:eastAsia="Times New Roman" w:hAnsi="Arial"/>
      <w:b/>
      <w:bCs/>
    </w:rPr>
  </w:style>
  <w:style w:type="character" w:styleId="Sledovanodkaz">
    <w:name w:val="FollowedHyperlink"/>
    <w:basedOn w:val="Standardnpsmoodstavce"/>
    <w:uiPriority w:val="99"/>
    <w:semiHidden/>
    <w:unhideWhenUsed/>
    <w:rsid w:val="005C0BF9"/>
    <w:rPr>
      <w:color w:val="800080" w:themeColor="followedHyperlink"/>
      <w:u w:val="single"/>
    </w:rPr>
  </w:style>
  <w:style w:type="paragraph" w:styleId="Zkladntext2">
    <w:name w:val="Body Text 2"/>
    <w:basedOn w:val="Normln"/>
    <w:link w:val="Zkladntext2Char"/>
    <w:rsid w:val="00857CF9"/>
    <w:pPr>
      <w:spacing w:line="240" w:lineRule="auto"/>
      <w:jc w:val="both"/>
    </w:pPr>
    <w:rPr>
      <w:rFonts w:ascii="Garamond" w:hAnsi="Garamond"/>
      <w:sz w:val="24"/>
    </w:rPr>
  </w:style>
  <w:style w:type="character" w:customStyle="1" w:styleId="Zkladntext2Char">
    <w:name w:val="Základní text 2 Char"/>
    <w:basedOn w:val="Standardnpsmoodstavce"/>
    <w:link w:val="Zkladntext2"/>
    <w:rsid w:val="00857CF9"/>
    <w:rPr>
      <w:rFonts w:ascii="Garamond" w:eastAsia="Times New Roman" w:hAnsi="Garamond"/>
      <w:sz w:val="24"/>
      <w:szCs w:val="24"/>
    </w:rPr>
  </w:style>
  <w:style w:type="paragraph" w:styleId="Titulek">
    <w:name w:val="caption"/>
    <w:basedOn w:val="Normln"/>
    <w:next w:val="Normln"/>
    <w:qFormat/>
    <w:rsid w:val="00857CF9"/>
    <w:pPr>
      <w:pBdr>
        <w:bottom w:val="single" w:sz="4" w:space="1" w:color="808080"/>
      </w:pBdr>
      <w:spacing w:line="240" w:lineRule="auto"/>
    </w:pPr>
    <w:rPr>
      <w:rFonts w:ascii="Calibri" w:hAnsi="Calibri"/>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43411705">
      <w:bodyDiv w:val="1"/>
      <w:marLeft w:val="0"/>
      <w:marRight w:val="0"/>
      <w:marTop w:val="0"/>
      <w:marBottom w:val="0"/>
      <w:divBdr>
        <w:top w:val="none" w:sz="0" w:space="0" w:color="auto"/>
        <w:left w:val="none" w:sz="0" w:space="0" w:color="auto"/>
        <w:bottom w:val="none" w:sz="0" w:space="0" w:color="auto"/>
        <w:right w:val="none" w:sz="0" w:space="0" w:color="auto"/>
      </w:divBdr>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4897135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0176151">
      <w:bodyDiv w:val="1"/>
      <w:marLeft w:val="0"/>
      <w:marRight w:val="0"/>
      <w:marTop w:val="0"/>
      <w:marBottom w:val="0"/>
      <w:divBdr>
        <w:top w:val="none" w:sz="0" w:space="0" w:color="auto"/>
        <w:left w:val="none" w:sz="0" w:space="0" w:color="auto"/>
        <w:bottom w:val="none" w:sz="0" w:space="0" w:color="auto"/>
        <w:right w:val="none" w:sz="0" w:space="0" w:color="auto"/>
      </w:divBdr>
    </w:div>
    <w:div w:id="116786294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33069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69958323">
      <w:bodyDiv w:val="1"/>
      <w:marLeft w:val="0"/>
      <w:marRight w:val="0"/>
      <w:marTop w:val="0"/>
      <w:marBottom w:val="0"/>
      <w:divBdr>
        <w:top w:val="none" w:sz="0" w:space="0" w:color="auto"/>
        <w:left w:val="none" w:sz="0" w:space="0" w:color="auto"/>
        <w:bottom w:val="none" w:sz="0" w:space="0" w:color="auto"/>
        <w:right w:val="none" w:sz="0" w:space="0" w:color="auto"/>
      </w:divBdr>
    </w:div>
    <w:div w:id="208490720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50091115776369088"/>
          <c:y val="4.5111943838345533E-2"/>
          <c:w val="0.49183783328881364"/>
          <c:h val="0.89676216677734322"/>
        </c:manualLayout>
      </c:layout>
      <c:barChart>
        <c:barDir val="bar"/>
        <c:grouping val="clustered"/>
        <c:varyColors val="0"/>
        <c:ser>
          <c:idx val="0"/>
          <c:order val="0"/>
          <c:tx>
            <c:strRef>
              <c:f>'GRAF3-1'!$B$22</c:f>
              <c:strCache>
                <c:ptCount val="1"/>
                <c:pt idx="0">
                  <c:v>2005</c:v>
                </c:pt>
              </c:strCache>
            </c:strRef>
          </c:tx>
          <c:spPr>
            <a:solidFill>
              <a:schemeClr val="accent5">
                <a:lumMod val="40000"/>
                <a:lumOff val="60000"/>
              </a:schemeClr>
            </a:solidFill>
          </c:spPr>
          <c:invertIfNegative val="0"/>
          <c:cat>
            <c:strRef>
              <c:f>'GRAF3-1'!$A$23:$A$36</c:f>
              <c:strCache>
                <c:ptCount val="14"/>
                <c:pt idx="0">
                  <c:v>Kultura, rekreace, náboženství a média (SEO 10)</c:v>
                </c:pt>
                <c:pt idx="1">
                  <c:v>Obrana (SEO 14)</c:v>
                </c:pt>
                <c:pt idx="2">
                  <c:v>Politické a sociální systémy, struktury a procesy 
(SEO 11)</c:v>
                </c:pt>
                <c:pt idx="3">
                  <c:v>Průzkum a využití kosmu (SEO 03)</c:v>
                </c:pt>
                <c:pt idx="4">
                  <c:v>Průzkum a využití zdrojů Země (SEO 01)</c:v>
                </c:pt>
                <c:pt idx="5">
                  <c:v>Životní prostředí (SEO 02)</c:v>
                </c:pt>
                <c:pt idx="6">
                  <c:v>Vzdělání (SEO 09)</c:v>
                </c:pt>
                <c:pt idx="7">
                  <c:v>Doprava, telekomunikace a ostatní infrastruktura 
(SEO 04)</c:v>
                </c:pt>
                <c:pt idx="8">
                  <c:v>Zemědělství (SEO 08)</c:v>
                </c:pt>
                <c:pt idx="9">
                  <c:v>Energie (SEO 05)</c:v>
                </c:pt>
                <c:pt idx="10">
                  <c:v>Zdraví (SEO 07)</c:v>
                </c:pt>
                <c:pt idx="11">
                  <c:v>Průmyslová výroba a technologie (SEO 06)</c:v>
                </c:pt>
                <c:pt idx="12">
                  <c:v>Všeobecný rozvoj znalostí: VaV financovaný z všeobecných univerzitních fondů (SEO 12)</c:v>
                </c:pt>
                <c:pt idx="13">
                  <c:v>Všeobecný rozvoj znalostí: VaV financovaný z ostatních zdrojů (SEO 13)</c:v>
                </c:pt>
              </c:strCache>
            </c:strRef>
          </c:cat>
          <c:val>
            <c:numRef>
              <c:f>'GRAF3-1'!$B$23:$B$36</c:f>
              <c:numCache>
                <c:formatCode>#,##0</c:formatCode>
                <c:ptCount val="14"/>
                <c:pt idx="0">
                  <c:v>124.85400000000007</c:v>
                </c:pt>
                <c:pt idx="1">
                  <c:v>417.90700000000004</c:v>
                </c:pt>
                <c:pt idx="2">
                  <c:v>295.75000000000017</c:v>
                </c:pt>
                <c:pt idx="3">
                  <c:v>159.86399999999998</c:v>
                </c:pt>
                <c:pt idx="4">
                  <c:v>378.66200000000015</c:v>
                </c:pt>
                <c:pt idx="5">
                  <c:v>516.00100000000009</c:v>
                </c:pt>
                <c:pt idx="6">
                  <c:v>101.233</c:v>
                </c:pt>
                <c:pt idx="7">
                  <c:v>727.74699999999996</c:v>
                </c:pt>
                <c:pt idx="8">
                  <c:v>857.75300000000107</c:v>
                </c:pt>
                <c:pt idx="9">
                  <c:v>407.43700000000018</c:v>
                </c:pt>
                <c:pt idx="10">
                  <c:v>1144.8200000000027</c:v>
                </c:pt>
                <c:pt idx="11">
                  <c:v>2277.8509999999965</c:v>
                </c:pt>
                <c:pt idx="12">
                  <c:v>3470.574000000001</c:v>
                </c:pt>
                <c:pt idx="13">
                  <c:v>5560.6430100000034</c:v>
                </c:pt>
              </c:numCache>
            </c:numRef>
          </c:val>
        </c:ser>
        <c:ser>
          <c:idx val="1"/>
          <c:order val="1"/>
          <c:tx>
            <c:strRef>
              <c:f>'GRAF3-1'!$C$22</c:f>
              <c:strCache>
                <c:ptCount val="1"/>
                <c:pt idx="0">
                  <c:v>2010</c:v>
                </c:pt>
              </c:strCache>
            </c:strRef>
          </c:tx>
          <c:spPr>
            <a:solidFill>
              <a:schemeClr val="accent5">
                <a:lumMod val="60000"/>
                <a:lumOff val="40000"/>
              </a:schemeClr>
            </a:solidFill>
          </c:spPr>
          <c:invertIfNegative val="0"/>
          <c:cat>
            <c:strRef>
              <c:f>'GRAF3-1'!$A$23:$A$36</c:f>
              <c:strCache>
                <c:ptCount val="14"/>
                <c:pt idx="0">
                  <c:v>Kultura, rekreace, náboženství a média (SEO 10)</c:v>
                </c:pt>
                <c:pt idx="1">
                  <c:v>Obrana (SEO 14)</c:v>
                </c:pt>
                <c:pt idx="2">
                  <c:v>Politické a sociální systémy, struktury a procesy 
(SEO 11)</c:v>
                </c:pt>
                <c:pt idx="3">
                  <c:v>Průzkum a využití kosmu (SEO 03)</c:v>
                </c:pt>
                <c:pt idx="4">
                  <c:v>Průzkum a využití zdrojů Země (SEO 01)</c:v>
                </c:pt>
                <c:pt idx="5">
                  <c:v>Životní prostředí (SEO 02)</c:v>
                </c:pt>
                <c:pt idx="6">
                  <c:v>Vzdělání (SEO 09)</c:v>
                </c:pt>
                <c:pt idx="7">
                  <c:v>Doprava, telekomunikace a ostatní infrastruktura 
(SEO 04)</c:v>
                </c:pt>
                <c:pt idx="8">
                  <c:v>Zemědělství (SEO 08)</c:v>
                </c:pt>
                <c:pt idx="9">
                  <c:v>Energie (SEO 05)</c:v>
                </c:pt>
                <c:pt idx="10">
                  <c:v>Zdraví (SEO 07)</c:v>
                </c:pt>
                <c:pt idx="11">
                  <c:v>Průmyslová výroba a technologie (SEO 06)</c:v>
                </c:pt>
                <c:pt idx="12">
                  <c:v>Všeobecný rozvoj znalostí: VaV financovaný z všeobecných univerzitních fondů (SEO 12)</c:v>
                </c:pt>
                <c:pt idx="13">
                  <c:v>Všeobecný rozvoj znalostí: VaV financovaný z ostatních zdrojů (SEO 13)</c:v>
                </c:pt>
              </c:strCache>
            </c:strRef>
          </c:cat>
          <c:val>
            <c:numRef>
              <c:f>'GRAF3-1'!$C$23:$C$36</c:f>
              <c:numCache>
                <c:formatCode>#,##0</c:formatCode>
                <c:ptCount val="14"/>
                <c:pt idx="0">
                  <c:v>98.07</c:v>
                </c:pt>
                <c:pt idx="1">
                  <c:v>507.6819999999999</c:v>
                </c:pt>
                <c:pt idx="2">
                  <c:v>228.76800000000017</c:v>
                </c:pt>
                <c:pt idx="3">
                  <c:v>396.34300000000019</c:v>
                </c:pt>
                <c:pt idx="4">
                  <c:v>395.3840000000003</c:v>
                </c:pt>
                <c:pt idx="5">
                  <c:v>619.96299999999997</c:v>
                </c:pt>
                <c:pt idx="6">
                  <c:v>62.481000000000002</c:v>
                </c:pt>
                <c:pt idx="7">
                  <c:v>600.04300000000023</c:v>
                </c:pt>
                <c:pt idx="8">
                  <c:v>1130.0360000000007</c:v>
                </c:pt>
                <c:pt idx="9">
                  <c:v>830.02700000000016</c:v>
                </c:pt>
                <c:pt idx="10">
                  <c:v>1391.7549999999983</c:v>
                </c:pt>
                <c:pt idx="11">
                  <c:v>3376.1170000000034</c:v>
                </c:pt>
                <c:pt idx="12">
                  <c:v>4584.2069999999958</c:v>
                </c:pt>
                <c:pt idx="13">
                  <c:v>8381.2489999999998</c:v>
                </c:pt>
              </c:numCache>
            </c:numRef>
          </c:val>
        </c:ser>
        <c:ser>
          <c:idx val="2"/>
          <c:order val="2"/>
          <c:tx>
            <c:strRef>
              <c:f>'GRAF3-1'!$D$22</c:f>
              <c:strCache>
                <c:ptCount val="1"/>
                <c:pt idx="0">
                  <c:v>2013</c:v>
                </c:pt>
              </c:strCache>
            </c:strRef>
          </c:tx>
          <c:spPr>
            <a:solidFill>
              <a:schemeClr val="accent5"/>
            </a:solidFill>
          </c:spPr>
          <c:invertIfNegative val="0"/>
          <c:cat>
            <c:strRef>
              <c:f>'GRAF3-1'!$A$23:$A$36</c:f>
              <c:strCache>
                <c:ptCount val="14"/>
                <c:pt idx="0">
                  <c:v>Kultura, rekreace, náboženství a média (SEO 10)</c:v>
                </c:pt>
                <c:pt idx="1">
                  <c:v>Obrana (SEO 14)</c:v>
                </c:pt>
                <c:pt idx="2">
                  <c:v>Politické a sociální systémy, struktury a procesy 
(SEO 11)</c:v>
                </c:pt>
                <c:pt idx="3">
                  <c:v>Průzkum a využití kosmu (SEO 03)</c:v>
                </c:pt>
                <c:pt idx="4">
                  <c:v>Průzkum a využití zdrojů Země (SEO 01)</c:v>
                </c:pt>
                <c:pt idx="5">
                  <c:v>Životní prostředí (SEO 02)</c:v>
                </c:pt>
                <c:pt idx="6">
                  <c:v>Vzdělání (SEO 09)</c:v>
                </c:pt>
                <c:pt idx="7">
                  <c:v>Doprava, telekomunikace a ostatní infrastruktura 
(SEO 04)</c:v>
                </c:pt>
                <c:pt idx="8">
                  <c:v>Zemědělství (SEO 08)</c:v>
                </c:pt>
                <c:pt idx="9">
                  <c:v>Energie (SEO 05)</c:v>
                </c:pt>
                <c:pt idx="10">
                  <c:v>Zdraví (SEO 07)</c:v>
                </c:pt>
                <c:pt idx="11">
                  <c:v>Průmyslová výroba a technologie (SEO 06)</c:v>
                </c:pt>
                <c:pt idx="12">
                  <c:v>Všeobecný rozvoj znalostí: VaV financovaný z všeobecných univerzitních fondů (SEO 12)</c:v>
                </c:pt>
                <c:pt idx="13">
                  <c:v>Všeobecný rozvoj znalostí: VaV financovaný z ostatních zdrojů (SEO 13)</c:v>
                </c:pt>
              </c:strCache>
            </c:strRef>
          </c:cat>
          <c:val>
            <c:numRef>
              <c:f>'GRAF3-1'!$D$23:$D$36</c:f>
              <c:numCache>
                <c:formatCode>#,##0</c:formatCode>
                <c:ptCount val="14"/>
                <c:pt idx="0">
                  <c:v>456.64257449719167</c:v>
                </c:pt>
                <c:pt idx="1">
                  <c:v>393.22354286816966</c:v>
                </c:pt>
                <c:pt idx="2">
                  <c:v>361.4099699944698</c:v>
                </c:pt>
                <c:pt idx="3">
                  <c:v>501.5956261649801</c:v>
                </c:pt>
                <c:pt idx="4">
                  <c:v>468.61989987377541</c:v>
                </c:pt>
                <c:pt idx="5">
                  <c:v>535.02660525888507</c:v>
                </c:pt>
                <c:pt idx="6">
                  <c:v>310.81719633168518</c:v>
                </c:pt>
                <c:pt idx="7">
                  <c:v>1149.0872007640264</c:v>
                </c:pt>
                <c:pt idx="8">
                  <c:v>1018.816152373956</c:v>
                </c:pt>
                <c:pt idx="9">
                  <c:v>855.39281953738293</c:v>
                </c:pt>
                <c:pt idx="10">
                  <c:v>1712.6859061805405</c:v>
                </c:pt>
                <c:pt idx="11">
                  <c:v>3902.7905070569573</c:v>
                </c:pt>
                <c:pt idx="12">
                  <c:v>6115.6031250299984</c:v>
                </c:pt>
                <c:pt idx="13">
                  <c:v>8923.4272690979815</c:v>
                </c:pt>
              </c:numCache>
            </c:numRef>
          </c:val>
        </c:ser>
        <c:ser>
          <c:idx val="3"/>
          <c:order val="3"/>
          <c:tx>
            <c:strRef>
              <c:f>'GRAF3-1'!$E$22</c:f>
              <c:strCache>
                <c:ptCount val="1"/>
                <c:pt idx="0">
                  <c:v>2014</c:v>
                </c:pt>
              </c:strCache>
            </c:strRef>
          </c:tx>
          <c:spPr>
            <a:solidFill>
              <a:schemeClr val="accent5">
                <a:lumMod val="75000"/>
              </a:schemeClr>
            </a:solidFill>
          </c:spPr>
          <c:invertIfNegative val="0"/>
          <c:cat>
            <c:strRef>
              <c:f>'GRAF3-1'!$A$23:$A$36</c:f>
              <c:strCache>
                <c:ptCount val="14"/>
                <c:pt idx="0">
                  <c:v>Kultura, rekreace, náboženství a média (SEO 10)</c:v>
                </c:pt>
                <c:pt idx="1">
                  <c:v>Obrana (SEO 14)</c:v>
                </c:pt>
                <c:pt idx="2">
                  <c:v>Politické a sociální systémy, struktury a procesy 
(SEO 11)</c:v>
                </c:pt>
                <c:pt idx="3">
                  <c:v>Průzkum a využití kosmu (SEO 03)</c:v>
                </c:pt>
                <c:pt idx="4">
                  <c:v>Průzkum a využití zdrojů Země (SEO 01)</c:v>
                </c:pt>
                <c:pt idx="5">
                  <c:v>Životní prostředí (SEO 02)</c:v>
                </c:pt>
                <c:pt idx="6">
                  <c:v>Vzdělání (SEO 09)</c:v>
                </c:pt>
                <c:pt idx="7">
                  <c:v>Doprava, telekomunikace a ostatní infrastruktura 
(SEO 04)</c:v>
                </c:pt>
                <c:pt idx="8">
                  <c:v>Zemědělství (SEO 08)</c:v>
                </c:pt>
                <c:pt idx="9">
                  <c:v>Energie (SEO 05)</c:v>
                </c:pt>
                <c:pt idx="10">
                  <c:v>Zdraví (SEO 07)</c:v>
                </c:pt>
                <c:pt idx="11">
                  <c:v>Průmyslová výroba a technologie (SEO 06)</c:v>
                </c:pt>
                <c:pt idx="12">
                  <c:v>Všeobecný rozvoj znalostí: VaV financovaný z všeobecných univerzitních fondů (SEO 12)</c:v>
                </c:pt>
                <c:pt idx="13">
                  <c:v>Všeobecný rozvoj znalostí: VaV financovaný z ostatních zdrojů (SEO 13)</c:v>
                </c:pt>
              </c:strCache>
            </c:strRef>
          </c:cat>
          <c:val>
            <c:numRef>
              <c:f>'GRAF3-1'!$E$23:$E$36</c:f>
              <c:numCache>
                <c:formatCode>#,##0</c:formatCode>
                <c:ptCount val="14"/>
                <c:pt idx="0">
                  <c:v>380.15245981324892</c:v>
                </c:pt>
                <c:pt idx="1">
                  <c:v>385.62347495325332</c:v>
                </c:pt>
                <c:pt idx="2">
                  <c:v>402.34317846973869</c:v>
                </c:pt>
                <c:pt idx="3">
                  <c:v>418.86964080675773</c:v>
                </c:pt>
                <c:pt idx="4">
                  <c:v>438.85121610563078</c:v>
                </c:pt>
                <c:pt idx="5">
                  <c:v>560.2416199999999</c:v>
                </c:pt>
                <c:pt idx="6">
                  <c:v>1011.2466569406932</c:v>
                </c:pt>
                <c:pt idx="7">
                  <c:v>1109.9462422232134</c:v>
                </c:pt>
                <c:pt idx="8">
                  <c:v>1120.2525456367603</c:v>
                </c:pt>
                <c:pt idx="9">
                  <c:v>1223.9750817271618</c:v>
                </c:pt>
                <c:pt idx="10">
                  <c:v>1734.1429926255378</c:v>
                </c:pt>
                <c:pt idx="11">
                  <c:v>3512.9853929685801</c:v>
                </c:pt>
                <c:pt idx="12">
                  <c:v>6273.5807691999971</c:v>
                </c:pt>
                <c:pt idx="13">
                  <c:v>8711.8908385294308</c:v>
                </c:pt>
              </c:numCache>
            </c:numRef>
          </c:val>
        </c:ser>
        <c:dLbls>
          <c:showLegendKey val="0"/>
          <c:showVal val="0"/>
          <c:showCatName val="0"/>
          <c:showSerName val="0"/>
          <c:showPercent val="0"/>
          <c:showBubbleSize val="0"/>
        </c:dLbls>
        <c:gapWidth val="100"/>
        <c:axId val="144983936"/>
        <c:axId val="144985472"/>
      </c:barChart>
      <c:catAx>
        <c:axId val="144983936"/>
        <c:scaling>
          <c:orientation val="minMax"/>
        </c:scaling>
        <c:delete val="0"/>
        <c:axPos val="l"/>
        <c:majorGridlines>
          <c:spPr>
            <a:ln>
              <a:solidFill>
                <a:schemeClr val="bg1">
                  <a:lumMod val="85000"/>
                </a:schemeClr>
              </a:solidFill>
            </a:ln>
          </c:spPr>
        </c:majorGridlines>
        <c:majorTickMark val="out"/>
        <c:minorTickMark val="none"/>
        <c:tickLblPos val="nextTo"/>
        <c:txPr>
          <a:bodyPr/>
          <a:lstStyle/>
          <a:p>
            <a:pPr>
              <a:defRPr baseline="0"/>
            </a:pPr>
            <a:endParaRPr lang="cs-CZ"/>
          </a:p>
        </c:txPr>
        <c:crossAx val="144985472"/>
        <c:crosses val="autoZero"/>
        <c:auto val="1"/>
        <c:lblAlgn val="ctr"/>
        <c:lblOffset val="100"/>
        <c:noMultiLvlLbl val="0"/>
      </c:catAx>
      <c:valAx>
        <c:axId val="144985472"/>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44983936"/>
        <c:crosses val="autoZero"/>
        <c:crossBetween val="between"/>
      </c:valAx>
      <c:spPr>
        <a:noFill/>
        <a:ln>
          <a:solidFill>
            <a:schemeClr val="bg1">
              <a:lumMod val="85000"/>
            </a:schemeClr>
          </a:solidFill>
        </a:ln>
      </c:spPr>
    </c:plotArea>
    <c:legend>
      <c:legendPos val="r"/>
      <c:layout>
        <c:manualLayout>
          <c:xMode val="edge"/>
          <c:yMode val="edge"/>
          <c:x val="0.87108521616210766"/>
          <c:y val="0.71061382384201843"/>
          <c:w val="7.2489904827760812E-2"/>
          <c:h val="0.1921629826392183"/>
        </c:manualLayout>
      </c:layout>
      <c:overlay val="1"/>
      <c:spPr>
        <a:solidFill>
          <a:schemeClr val="bg1"/>
        </a:solidFill>
      </c:spPr>
    </c:legend>
    <c:plotVisOnly val="1"/>
    <c:dispBlanksAs val="zero"/>
    <c:showDLblsOverMax val="0"/>
  </c:chart>
  <c:spPr>
    <a:ln>
      <a:noFill/>
    </a:ln>
  </c:spPr>
  <c:txPr>
    <a:bodyPr/>
    <a:lstStyle/>
    <a:p>
      <a:pPr>
        <a:defRPr sz="900" baseline="0">
          <a:latin typeface="Arial" pitchFamily="34" charset="0"/>
          <a:cs typeface="Arial" pitchFamily="34" charset="0"/>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1F2C-FF09-4620-858C-5EDBC819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Template>
  <TotalTime>19</TotalTime>
  <Pages>1</Pages>
  <Words>217</Words>
  <Characters>1282</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sojka7725</cp:lastModifiedBy>
  <cp:revision>7</cp:revision>
  <cp:lastPrinted>2015-11-04T14:17:00Z</cp:lastPrinted>
  <dcterms:created xsi:type="dcterms:W3CDTF">2015-11-18T08:58:00Z</dcterms:created>
  <dcterms:modified xsi:type="dcterms:W3CDTF">2015-11-19T10:54:00Z</dcterms:modified>
</cp:coreProperties>
</file>