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9C" w:rsidRPr="000900E6" w:rsidRDefault="00F96E9C" w:rsidP="00F96E9C">
      <w:pPr>
        <w:pStyle w:val="Nadpisaj"/>
        <w:spacing w:after="100" w:line="288" w:lineRule="auto"/>
        <w:contextualSpacing/>
        <w:rPr>
          <w:sz w:val="28"/>
          <w:szCs w:val="28"/>
        </w:rPr>
      </w:pPr>
      <w:bookmarkStart w:id="0" w:name="_GoBack"/>
      <w:bookmarkEnd w:id="0"/>
      <w:r w:rsidRPr="000900E6">
        <w:rPr>
          <w:sz w:val="28"/>
          <w:szCs w:val="28"/>
        </w:rPr>
        <w:t xml:space="preserve">International Statistical Classification of Diseases and Related Health </w:t>
      </w:r>
    </w:p>
    <w:p w:rsidR="00F96E9C" w:rsidRPr="000900E6" w:rsidRDefault="00F96E9C" w:rsidP="00F96E9C">
      <w:pPr>
        <w:pStyle w:val="Nadpisaj"/>
        <w:spacing w:after="100" w:line="288" w:lineRule="auto"/>
        <w:contextualSpacing/>
        <w:rPr>
          <w:bCs/>
          <w:sz w:val="28"/>
          <w:szCs w:val="28"/>
        </w:rPr>
      </w:pPr>
      <w:r w:rsidRPr="000900E6">
        <w:rPr>
          <w:bCs/>
          <w:sz w:val="28"/>
          <w:szCs w:val="28"/>
        </w:rPr>
        <w:t xml:space="preserve">Problems </w:t>
      </w:r>
    </w:p>
    <w:p w:rsidR="00F96E9C" w:rsidRPr="000900E6" w:rsidRDefault="00F96E9C" w:rsidP="00F96E9C">
      <w:pPr>
        <w:pStyle w:val="Nadpisaj"/>
        <w:spacing w:after="100" w:line="288" w:lineRule="auto"/>
        <w:contextualSpacing/>
        <w:rPr>
          <w:bCs/>
          <w:sz w:val="28"/>
          <w:szCs w:val="28"/>
        </w:rPr>
      </w:pPr>
      <w:r w:rsidRPr="000900E6">
        <w:rPr>
          <w:bCs/>
          <w:sz w:val="28"/>
          <w:szCs w:val="28"/>
        </w:rPr>
        <w:t>(ICD-10)</w:t>
      </w:r>
    </w:p>
    <w:p w:rsidR="00F96E9C" w:rsidRPr="000900E6" w:rsidRDefault="00F96E9C" w:rsidP="00F96E9C">
      <w:pPr>
        <w:pStyle w:val="normrocenka"/>
        <w:spacing w:after="0"/>
        <w:rPr>
          <w:i/>
          <w:lang w:val="en-GB"/>
        </w:rPr>
      </w:pPr>
      <w:r w:rsidRPr="000900E6">
        <w:rPr>
          <w:i/>
          <w:lang w:val="en-GB"/>
        </w:rPr>
        <w:t>(Fo</w:t>
      </w:r>
      <w:r w:rsidR="003A3683">
        <w:rPr>
          <w:i/>
          <w:lang w:val="en-GB"/>
        </w:rPr>
        <w:t xml:space="preserve">r tables F.07, G.01, G.02, </w:t>
      </w:r>
      <w:proofErr w:type="gramStart"/>
      <w:r w:rsidR="003A3683">
        <w:rPr>
          <w:i/>
          <w:lang w:val="en-GB"/>
        </w:rPr>
        <w:t>G.03</w:t>
      </w:r>
      <w:proofErr w:type="gramEnd"/>
      <w:r w:rsidRPr="000900E6">
        <w:rPr>
          <w:i/>
          <w:lang w:val="en-GB"/>
        </w:rPr>
        <w:t>)</w:t>
      </w:r>
    </w:p>
    <w:p w:rsidR="00A32091" w:rsidRPr="000900E6" w:rsidRDefault="00A32091" w:rsidP="00A32091">
      <w:pPr>
        <w:pStyle w:val="normrocenka"/>
        <w:spacing w:after="0"/>
        <w:rPr>
          <w:i/>
          <w:lang w:val="en-GB"/>
        </w:rPr>
      </w:pPr>
    </w:p>
    <w:tbl>
      <w:tblPr>
        <w:tblStyle w:val="Svtl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1988"/>
        <w:gridCol w:w="7053"/>
      </w:tblGrid>
      <w:tr w:rsidR="00C85519" w:rsidRPr="000900E6" w:rsidTr="00F12B44">
        <w:tc>
          <w:tcPr>
            <w:tcW w:w="706" w:type="dxa"/>
          </w:tcPr>
          <w:p w:rsidR="00C85519" w:rsidRPr="000900E6" w:rsidRDefault="00C85519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I.</w:t>
            </w:r>
          </w:p>
        </w:tc>
        <w:tc>
          <w:tcPr>
            <w:tcW w:w="9041" w:type="dxa"/>
            <w:gridSpan w:val="2"/>
          </w:tcPr>
          <w:p w:rsidR="00C85519" w:rsidRPr="000900E6" w:rsidRDefault="00F96E9C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 xml:space="preserve">Certain infectious and parasitic diseases </w:t>
            </w:r>
            <w:r w:rsidR="00C85519" w:rsidRPr="000900E6">
              <w:rPr>
                <w:i/>
                <w:lang w:val="en-GB"/>
              </w:rPr>
              <w:t>(A00</w:t>
            </w:r>
            <w:r w:rsidR="007F4DF7" w:rsidRPr="000900E6">
              <w:rPr>
                <w:i/>
                <w:lang w:val="en-GB"/>
              </w:rPr>
              <w:t>–</w:t>
            </w:r>
            <w:r w:rsidR="00C85519" w:rsidRPr="000900E6">
              <w:rPr>
                <w:i/>
                <w:lang w:val="en-GB"/>
              </w:rPr>
              <w:t>B99)</w:t>
            </w:r>
          </w:p>
        </w:tc>
      </w:tr>
      <w:tr w:rsidR="00C85519" w:rsidRPr="000900E6" w:rsidTr="00F12B44">
        <w:tc>
          <w:tcPr>
            <w:tcW w:w="706" w:type="dxa"/>
          </w:tcPr>
          <w:p w:rsidR="00C85519" w:rsidRPr="000900E6" w:rsidRDefault="00C85519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II.</w:t>
            </w:r>
          </w:p>
        </w:tc>
        <w:tc>
          <w:tcPr>
            <w:tcW w:w="9041" w:type="dxa"/>
            <w:gridSpan w:val="2"/>
          </w:tcPr>
          <w:p w:rsidR="00C85519" w:rsidRPr="000900E6" w:rsidRDefault="00F96E9C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Neoplasms</w:t>
            </w:r>
            <w:r w:rsidR="007F4DF7" w:rsidRPr="000900E6">
              <w:rPr>
                <w:i/>
                <w:lang w:val="en-GB"/>
              </w:rPr>
              <w:t xml:space="preserve"> (C00–</w:t>
            </w:r>
            <w:r w:rsidR="00C85519" w:rsidRPr="000900E6">
              <w:rPr>
                <w:i/>
                <w:lang w:val="en-GB"/>
              </w:rPr>
              <w:t>D48)</w:t>
            </w:r>
          </w:p>
        </w:tc>
      </w:tr>
      <w:tr w:rsidR="00C85519" w:rsidRPr="000900E6" w:rsidTr="0082210C">
        <w:tc>
          <w:tcPr>
            <w:tcW w:w="706" w:type="dxa"/>
          </w:tcPr>
          <w:p w:rsidR="00C85519" w:rsidRPr="000900E6" w:rsidRDefault="00C85519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C85519" w:rsidRPr="000900E6" w:rsidRDefault="00C85519" w:rsidP="00902B08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C18</w:t>
            </w:r>
            <w:r w:rsidR="003A3683" w:rsidRPr="000900E6">
              <w:rPr>
                <w:i/>
                <w:lang w:val="en-GB"/>
              </w:rPr>
              <w:t>–</w:t>
            </w:r>
            <w:r w:rsidR="003A3683">
              <w:rPr>
                <w:i/>
                <w:lang w:val="en-GB"/>
              </w:rPr>
              <w:t>C21</w:t>
            </w:r>
          </w:p>
        </w:tc>
        <w:tc>
          <w:tcPr>
            <w:tcW w:w="7053" w:type="dxa"/>
          </w:tcPr>
          <w:p w:rsidR="00AC5146" w:rsidRDefault="00F96E9C" w:rsidP="00902B08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 of colon</w:t>
            </w:r>
            <w:r w:rsidR="003A3683">
              <w:rPr>
                <w:i/>
                <w:iCs/>
                <w:lang w:val="en-GB"/>
              </w:rPr>
              <w:t xml:space="preserve">, </w:t>
            </w:r>
            <w:proofErr w:type="spellStart"/>
            <w:r w:rsidR="003A3683">
              <w:rPr>
                <w:i/>
                <w:iCs/>
                <w:lang w:val="en-GB"/>
              </w:rPr>
              <w:t>rect</w:t>
            </w:r>
            <w:r w:rsidR="00AC5146">
              <w:rPr>
                <w:i/>
                <w:iCs/>
                <w:lang w:val="en-GB"/>
              </w:rPr>
              <w:t>osigmoid</w:t>
            </w:r>
            <w:proofErr w:type="spellEnd"/>
            <w:r w:rsidR="00AC5146">
              <w:rPr>
                <w:i/>
                <w:iCs/>
                <w:lang w:val="en-GB"/>
              </w:rPr>
              <w:t xml:space="preserve"> junction, rectum, anus</w:t>
            </w:r>
          </w:p>
          <w:p w:rsidR="00C85519" w:rsidRPr="000900E6" w:rsidRDefault="003A3683" w:rsidP="00902B08">
            <w:pPr>
              <w:pStyle w:val="normtab"/>
              <w:spacing w:line="336" w:lineRule="auto"/>
              <w:rPr>
                <w:i/>
                <w:lang w:val="en-GB"/>
              </w:rPr>
            </w:pPr>
            <w:r>
              <w:rPr>
                <w:i/>
                <w:iCs/>
                <w:lang w:val="en-GB"/>
              </w:rPr>
              <w:t>and anal canal</w:t>
            </w:r>
          </w:p>
        </w:tc>
      </w:tr>
      <w:tr w:rsidR="00F96E9C" w:rsidRPr="000900E6" w:rsidTr="0082210C">
        <w:tc>
          <w:tcPr>
            <w:tcW w:w="706" w:type="dxa"/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F96E9C" w:rsidRPr="000900E6" w:rsidRDefault="00F96E9C" w:rsidP="003A3683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C3</w:t>
            </w:r>
            <w:r w:rsidR="003A3683">
              <w:rPr>
                <w:i/>
                <w:lang w:val="en-GB"/>
              </w:rPr>
              <w:t>3</w:t>
            </w:r>
            <w:r w:rsidR="003A3683" w:rsidRPr="000900E6">
              <w:rPr>
                <w:i/>
                <w:lang w:val="en-GB"/>
              </w:rPr>
              <w:t>–</w:t>
            </w:r>
            <w:r w:rsidR="003A3683">
              <w:rPr>
                <w:i/>
                <w:lang w:val="en-GB"/>
              </w:rPr>
              <w:t>C34</w:t>
            </w:r>
          </w:p>
        </w:tc>
        <w:tc>
          <w:tcPr>
            <w:tcW w:w="7053" w:type="dxa"/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 xml:space="preserve">Malignant neoplasm of </w:t>
            </w:r>
            <w:r w:rsidR="003A3683">
              <w:rPr>
                <w:i/>
                <w:iCs/>
                <w:lang w:val="en-GB"/>
              </w:rPr>
              <w:t xml:space="preserve">trachea, </w:t>
            </w:r>
            <w:r w:rsidRPr="000900E6">
              <w:rPr>
                <w:i/>
                <w:iCs/>
                <w:lang w:val="en-GB"/>
              </w:rPr>
              <w:t>bronchus and lung</w:t>
            </w:r>
          </w:p>
        </w:tc>
      </w:tr>
      <w:tr w:rsidR="00F96E9C" w:rsidRPr="000900E6" w:rsidTr="0082210C">
        <w:tc>
          <w:tcPr>
            <w:tcW w:w="706" w:type="dxa"/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F96E9C" w:rsidRPr="000900E6" w:rsidRDefault="00F96E9C" w:rsidP="00F96E9C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C50</w:t>
            </w:r>
          </w:p>
        </w:tc>
        <w:tc>
          <w:tcPr>
            <w:tcW w:w="7053" w:type="dxa"/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 of breast</w:t>
            </w:r>
          </w:p>
        </w:tc>
      </w:tr>
      <w:tr w:rsidR="00F96E9C" w:rsidRPr="000900E6" w:rsidTr="0082210C">
        <w:tc>
          <w:tcPr>
            <w:tcW w:w="706" w:type="dxa"/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F96E9C" w:rsidRPr="000900E6" w:rsidRDefault="00F96E9C" w:rsidP="00F96E9C">
            <w:pPr>
              <w:pStyle w:val="normtab"/>
              <w:spacing w:line="336" w:lineRule="auto"/>
              <w:ind w:left="253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C61</w:t>
            </w:r>
          </w:p>
        </w:tc>
        <w:tc>
          <w:tcPr>
            <w:tcW w:w="7053" w:type="dxa"/>
          </w:tcPr>
          <w:p w:rsidR="00F96E9C" w:rsidRPr="000900E6" w:rsidRDefault="00F96E9C" w:rsidP="00F96E9C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Malignant neoplasm of prostate</w:t>
            </w:r>
          </w:p>
        </w:tc>
      </w:tr>
      <w:tr w:rsidR="0001302D" w:rsidRPr="000900E6" w:rsidTr="00F12B44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III.</w:t>
            </w:r>
          </w:p>
        </w:tc>
        <w:tc>
          <w:tcPr>
            <w:tcW w:w="9041" w:type="dxa"/>
            <w:gridSpan w:val="2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blood and blood-forming organs and certain disorders involving the immune mechanism (D50–D89)</w:t>
            </w:r>
          </w:p>
        </w:tc>
      </w:tr>
      <w:tr w:rsidR="0001302D" w:rsidRPr="000900E6" w:rsidTr="00F12B44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IV.</w:t>
            </w:r>
          </w:p>
        </w:tc>
        <w:tc>
          <w:tcPr>
            <w:tcW w:w="9041" w:type="dxa"/>
            <w:gridSpan w:val="2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Endocrine, nutritional and metabolic diseases (E00–E90)</w:t>
            </w:r>
          </w:p>
        </w:tc>
      </w:tr>
      <w:tr w:rsidR="0001302D" w:rsidRPr="000900E6" w:rsidTr="00F12B44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V.</w:t>
            </w:r>
          </w:p>
        </w:tc>
        <w:tc>
          <w:tcPr>
            <w:tcW w:w="9041" w:type="dxa"/>
            <w:gridSpan w:val="2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Mental and behavioural disorders (F00–F99)</w:t>
            </w:r>
          </w:p>
        </w:tc>
      </w:tr>
      <w:tr w:rsidR="0001302D" w:rsidRPr="000900E6" w:rsidTr="00F12B44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VI.</w:t>
            </w:r>
          </w:p>
        </w:tc>
        <w:tc>
          <w:tcPr>
            <w:tcW w:w="9041" w:type="dxa"/>
            <w:gridSpan w:val="2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nervous system (G00–G99)</w:t>
            </w:r>
          </w:p>
        </w:tc>
      </w:tr>
      <w:tr w:rsidR="0001302D" w:rsidRPr="000900E6" w:rsidTr="00F12B44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VII.</w:t>
            </w:r>
          </w:p>
        </w:tc>
        <w:tc>
          <w:tcPr>
            <w:tcW w:w="9041" w:type="dxa"/>
            <w:gridSpan w:val="2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eye and adnexa (H00–H59)</w:t>
            </w:r>
          </w:p>
        </w:tc>
      </w:tr>
      <w:tr w:rsidR="0001302D" w:rsidRPr="000900E6" w:rsidTr="00F12B44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VIII.</w:t>
            </w:r>
          </w:p>
        </w:tc>
        <w:tc>
          <w:tcPr>
            <w:tcW w:w="9041" w:type="dxa"/>
            <w:gridSpan w:val="2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ear and mastoid process (H60–H95)</w:t>
            </w:r>
          </w:p>
        </w:tc>
      </w:tr>
      <w:tr w:rsidR="0001302D" w:rsidRPr="000900E6" w:rsidTr="00F12B44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IX.</w:t>
            </w:r>
          </w:p>
        </w:tc>
        <w:tc>
          <w:tcPr>
            <w:tcW w:w="9041" w:type="dxa"/>
            <w:gridSpan w:val="2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circulatory system (I00–I99)</w:t>
            </w:r>
          </w:p>
        </w:tc>
      </w:tr>
      <w:tr w:rsidR="0001302D" w:rsidRPr="000900E6" w:rsidTr="0082210C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01302D" w:rsidRPr="000900E6" w:rsidRDefault="0001302D" w:rsidP="0001302D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I20–I25</w:t>
            </w:r>
          </w:p>
        </w:tc>
        <w:tc>
          <w:tcPr>
            <w:tcW w:w="7053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Ischaemic heart diseases</w:t>
            </w:r>
          </w:p>
        </w:tc>
      </w:tr>
      <w:tr w:rsidR="0001302D" w:rsidRPr="000900E6" w:rsidTr="0082210C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01302D" w:rsidRPr="000900E6" w:rsidRDefault="0001302D" w:rsidP="0001302D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I21</w:t>
            </w:r>
          </w:p>
        </w:tc>
        <w:tc>
          <w:tcPr>
            <w:tcW w:w="7053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Acute myocardial infarction</w:t>
            </w:r>
          </w:p>
        </w:tc>
      </w:tr>
      <w:tr w:rsidR="0001302D" w:rsidRPr="000900E6" w:rsidTr="0082210C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01302D" w:rsidRPr="000900E6" w:rsidRDefault="0001302D" w:rsidP="0001302D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I60–I69</w:t>
            </w:r>
          </w:p>
        </w:tc>
        <w:tc>
          <w:tcPr>
            <w:tcW w:w="7053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Cerebrovascular diseases</w:t>
            </w:r>
          </w:p>
        </w:tc>
      </w:tr>
      <w:tr w:rsidR="00925001" w:rsidRPr="000900E6" w:rsidTr="00F12B44">
        <w:tc>
          <w:tcPr>
            <w:tcW w:w="706" w:type="dxa"/>
          </w:tcPr>
          <w:p w:rsidR="00925001" w:rsidRPr="000900E6" w:rsidRDefault="00925001" w:rsidP="00925001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X.</w:t>
            </w:r>
          </w:p>
        </w:tc>
        <w:tc>
          <w:tcPr>
            <w:tcW w:w="9041" w:type="dxa"/>
            <w:gridSpan w:val="2"/>
          </w:tcPr>
          <w:p w:rsidR="00925001" w:rsidRPr="000900E6" w:rsidRDefault="00925001" w:rsidP="00925001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</w:t>
            </w:r>
            <w:r w:rsidRPr="000900E6">
              <w:rPr>
                <w:i/>
                <w:lang w:val="en-GB"/>
              </w:rPr>
              <w:t xml:space="preserve">ses of </w:t>
            </w:r>
            <w:r w:rsidR="00584C22">
              <w:rPr>
                <w:i/>
                <w:lang w:val="en-GB"/>
              </w:rPr>
              <w:t xml:space="preserve">the </w:t>
            </w:r>
            <w:r w:rsidRPr="000900E6">
              <w:rPr>
                <w:i/>
                <w:lang w:val="en-GB"/>
              </w:rPr>
              <w:t>respiratory system (J00–</w:t>
            </w:r>
            <w:r w:rsidRPr="000900E6">
              <w:rPr>
                <w:i/>
                <w:iCs/>
                <w:lang w:val="en-GB"/>
              </w:rPr>
              <w:t xml:space="preserve"> J99)</w:t>
            </w:r>
          </w:p>
        </w:tc>
      </w:tr>
      <w:tr w:rsidR="00585AC7" w:rsidRPr="000900E6" w:rsidTr="0082210C">
        <w:tc>
          <w:tcPr>
            <w:tcW w:w="706" w:type="dxa"/>
          </w:tcPr>
          <w:p w:rsidR="00585AC7" w:rsidRPr="000900E6" w:rsidRDefault="00585AC7" w:rsidP="00925001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585AC7" w:rsidRPr="000900E6" w:rsidRDefault="00585AC7" w:rsidP="00585AC7">
            <w:pPr>
              <w:pStyle w:val="normtab"/>
              <w:spacing w:line="336" w:lineRule="auto"/>
              <w:ind w:firstLine="316"/>
              <w:rPr>
                <w:i/>
                <w:lang w:val="en-GB"/>
              </w:rPr>
            </w:pPr>
            <w:r>
              <w:rPr>
                <w:i/>
                <w:lang w:val="en-GB"/>
              </w:rPr>
              <w:t>J09–J11</w:t>
            </w:r>
          </w:p>
        </w:tc>
        <w:tc>
          <w:tcPr>
            <w:tcW w:w="7053" w:type="dxa"/>
          </w:tcPr>
          <w:p w:rsidR="00585AC7" w:rsidRPr="000900E6" w:rsidRDefault="00585AC7" w:rsidP="0092500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Influenza</w:t>
            </w:r>
          </w:p>
        </w:tc>
      </w:tr>
      <w:tr w:rsidR="00925001" w:rsidRPr="000900E6" w:rsidTr="0082210C">
        <w:tc>
          <w:tcPr>
            <w:tcW w:w="706" w:type="dxa"/>
          </w:tcPr>
          <w:p w:rsidR="00925001" w:rsidRPr="000900E6" w:rsidRDefault="00925001" w:rsidP="00925001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925001" w:rsidRPr="000900E6" w:rsidRDefault="00925001" w:rsidP="00925001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J12–J18</w:t>
            </w:r>
          </w:p>
        </w:tc>
        <w:tc>
          <w:tcPr>
            <w:tcW w:w="7053" w:type="dxa"/>
          </w:tcPr>
          <w:p w:rsidR="00925001" w:rsidRPr="000900E6" w:rsidRDefault="00925001" w:rsidP="0092500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i/>
                <w:lang w:val="en-GB"/>
              </w:rPr>
            </w:pPr>
            <w:r w:rsidRPr="000900E6">
              <w:rPr>
                <w:rFonts w:ascii="Arial" w:hAnsi="Arial" w:cs="Arial"/>
                <w:i/>
                <w:lang w:val="en-GB"/>
              </w:rPr>
              <w:t>Pneumonia</w:t>
            </w:r>
          </w:p>
        </w:tc>
      </w:tr>
      <w:tr w:rsidR="0001302D" w:rsidRPr="000900E6" w:rsidTr="0082210C">
        <w:tc>
          <w:tcPr>
            <w:tcW w:w="706" w:type="dxa"/>
          </w:tcPr>
          <w:p w:rsidR="0001302D" w:rsidRPr="000900E6" w:rsidRDefault="0001302D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01302D" w:rsidRPr="000900E6" w:rsidRDefault="0001302D" w:rsidP="0001302D">
            <w:pPr>
              <w:pStyle w:val="normtab"/>
              <w:spacing w:line="336" w:lineRule="auto"/>
              <w:ind w:left="287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J40–J47</w:t>
            </w:r>
          </w:p>
        </w:tc>
        <w:tc>
          <w:tcPr>
            <w:tcW w:w="7053" w:type="dxa"/>
          </w:tcPr>
          <w:p w:rsidR="0001302D" w:rsidRPr="000900E6" w:rsidRDefault="00925001" w:rsidP="0001302D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Chronic lower respiratory diseases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aj"/>
              <w:spacing w:line="336" w:lineRule="auto"/>
            </w:pPr>
            <w:r w:rsidRPr="000900E6">
              <w:t xml:space="preserve">Diseases of </w:t>
            </w:r>
            <w:r w:rsidR="00584C22">
              <w:t xml:space="preserve">the </w:t>
            </w:r>
            <w:r w:rsidRPr="000900E6">
              <w:t>digestive system (K00</w:t>
            </w:r>
            <w:r w:rsidRPr="000900E6">
              <w:rPr>
                <w:iCs w:val="0"/>
              </w:rPr>
              <w:t>–</w:t>
            </w:r>
            <w:r w:rsidRPr="000900E6">
              <w:t>K93)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XII.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skin and subcutaneous tissue (L00–L99)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XIII.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musculoskeletal system and connective tissue  (M00–M99)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XIV.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Diseases of the genitourinary system (N00–N99)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XV.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Pregnancy, childbirth and the puerperium (O00–O99)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XVI.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Certain conditions originating in the perinatal period (P00–P96)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XVII.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Congenital malformations, deformations and chromosomal abnormalities(Q00–Q99)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XVIII.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iCs/>
                <w:lang w:val="en-GB"/>
              </w:rPr>
            </w:pPr>
            <w:r w:rsidRPr="000900E6">
              <w:rPr>
                <w:i/>
                <w:iCs/>
                <w:lang w:val="en-GB"/>
              </w:rPr>
              <w:t>Symptoms, signs and abnormal clinical and laboratory findings, not elsewhere classified</w:t>
            </w:r>
            <w:r w:rsidRPr="000900E6">
              <w:rPr>
                <w:i/>
                <w:lang w:val="en-GB"/>
              </w:rPr>
              <w:t xml:space="preserve"> (R00</w:t>
            </w:r>
            <w:r w:rsidRPr="000900E6">
              <w:rPr>
                <w:i/>
                <w:iCs/>
                <w:lang w:val="en-GB"/>
              </w:rPr>
              <w:t>–</w:t>
            </w:r>
            <w:r w:rsidRPr="000900E6">
              <w:rPr>
                <w:i/>
                <w:lang w:val="en-GB"/>
              </w:rPr>
              <w:t>R99)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XIX.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Injury, poisoning and certain other consequences of external causes (S00</w:t>
            </w:r>
            <w:r w:rsidRPr="000900E6">
              <w:rPr>
                <w:i/>
                <w:iCs/>
                <w:lang w:val="en-GB"/>
              </w:rPr>
              <w:t>–</w:t>
            </w:r>
            <w:r w:rsidRPr="000900E6">
              <w:rPr>
                <w:i/>
                <w:lang w:val="en-GB"/>
              </w:rPr>
              <w:t>T98)</w:t>
            </w:r>
          </w:p>
        </w:tc>
      </w:tr>
      <w:tr w:rsidR="000900E6" w:rsidRPr="000900E6" w:rsidTr="00F12B44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XX.</w:t>
            </w:r>
          </w:p>
        </w:tc>
        <w:tc>
          <w:tcPr>
            <w:tcW w:w="9041" w:type="dxa"/>
            <w:gridSpan w:val="2"/>
          </w:tcPr>
          <w:p w:rsidR="000900E6" w:rsidRPr="000900E6" w:rsidRDefault="000900E6" w:rsidP="000900E6">
            <w:pPr>
              <w:pStyle w:val="normtabaj"/>
              <w:spacing w:line="336" w:lineRule="auto"/>
            </w:pPr>
            <w:r w:rsidRPr="000900E6">
              <w:t>External causes of morbidity and mortality (V01</w:t>
            </w:r>
            <w:r w:rsidRPr="000900E6">
              <w:rPr>
                <w:iCs w:val="0"/>
              </w:rPr>
              <w:t>–</w:t>
            </w:r>
            <w:r w:rsidRPr="000900E6">
              <w:t>Y98)</w:t>
            </w:r>
          </w:p>
        </w:tc>
      </w:tr>
      <w:tr w:rsidR="000900E6" w:rsidRPr="000900E6" w:rsidTr="0082210C">
        <w:tc>
          <w:tcPr>
            <w:tcW w:w="706" w:type="dxa"/>
          </w:tcPr>
          <w:p w:rsidR="000900E6" w:rsidRPr="000900E6" w:rsidRDefault="000900E6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0900E6" w:rsidRPr="000900E6" w:rsidRDefault="000900E6" w:rsidP="000900E6">
            <w:pPr>
              <w:pStyle w:val="normtab"/>
              <w:spacing w:line="336" w:lineRule="auto"/>
              <w:ind w:left="284"/>
              <w:rPr>
                <w:i/>
                <w:lang w:val="en-GB"/>
              </w:rPr>
            </w:pPr>
            <w:r w:rsidRPr="000900E6">
              <w:rPr>
                <w:i/>
                <w:lang w:val="en-GB"/>
              </w:rPr>
              <w:t>X60–X84</w:t>
            </w:r>
            <w:r w:rsidR="0082210C">
              <w:rPr>
                <w:i/>
                <w:lang w:val="en-GB"/>
              </w:rPr>
              <w:t>, Y870</w:t>
            </w:r>
          </w:p>
        </w:tc>
        <w:tc>
          <w:tcPr>
            <w:tcW w:w="7053" w:type="dxa"/>
          </w:tcPr>
          <w:p w:rsidR="000900E6" w:rsidRPr="000900E6" w:rsidRDefault="000900E6" w:rsidP="000900E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i/>
                <w:lang w:val="en-GB"/>
              </w:rPr>
            </w:pPr>
            <w:r w:rsidRPr="000900E6">
              <w:rPr>
                <w:rFonts w:ascii="Arial" w:hAnsi="Arial" w:cs="Arial"/>
                <w:i/>
                <w:iCs/>
                <w:lang w:val="en-GB"/>
              </w:rPr>
              <w:t>Intentional self-harm</w:t>
            </w:r>
          </w:p>
        </w:tc>
      </w:tr>
      <w:tr w:rsidR="003A3683" w:rsidRPr="000900E6" w:rsidTr="00F12B44">
        <w:tc>
          <w:tcPr>
            <w:tcW w:w="706" w:type="dxa"/>
          </w:tcPr>
          <w:p w:rsidR="003A3683" w:rsidRPr="000900E6" w:rsidRDefault="003A3683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XXII.</w:t>
            </w:r>
          </w:p>
        </w:tc>
        <w:tc>
          <w:tcPr>
            <w:tcW w:w="9041" w:type="dxa"/>
            <w:gridSpan w:val="2"/>
          </w:tcPr>
          <w:p w:rsidR="003A3683" w:rsidRPr="000900E6" w:rsidRDefault="00F12B44" w:rsidP="000900E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Codes for special purposes (U00-U85)</w:t>
            </w:r>
          </w:p>
        </w:tc>
      </w:tr>
      <w:tr w:rsidR="003A3683" w:rsidRPr="000900E6" w:rsidTr="0082210C">
        <w:tc>
          <w:tcPr>
            <w:tcW w:w="706" w:type="dxa"/>
          </w:tcPr>
          <w:p w:rsidR="003A3683" w:rsidRPr="000900E6" w:rsidRDefault="003A3683" w:rsidP="000900E6">
            <w:pPr>
              <w:pStyle w:val="normtab"/>
              <w:spacing w:line="336" w:lineRule="auto"/>
              <w:rPr>
                <w:i/>
                <w:lang w:val="en-GB"/>
              </w:rPr>
            </w:pPr>
          </w:p>
        </w:tc>
        <w:tc>
          <w:tcPr>
            <w:tcW w:w="1988" w:type="dxa"/>
          </w:tcPr>
          <w:p w:rsidR="003A3683" w:rsidRDefault="00F12B44" w:rsidP="000900E6">
            <w:pPr>
              <w:pStyle w:val="normtab"/>
              <w:spacing w:line="336" w:lineRule="auto"/>
              <w:ind w:left="284"/>
              <w:rPr>
                <w:i/>
                <w:lang w:val="en-GB"/>
              </w:rPr>
            </w:pPr>
            <w:r>
              <w:rPr>
                <w:i/>
                <w:lang w:val="en-GB"/>
              </w:rPr>
              <w:t>U07</w:t>
            </w:r>
          </w:p>
          <w:p w:rsidR="0082210C" w:rsidRPr="000900E6" w:rsidRDefault="0082210C" w:rsidP="000900E6">
            <w:pPr>
              <w:pStyle w:val="normtab"/>
              <w:spacing w:line="336" w:lineRule="auto"/>
              <w:ind w:left="284"/>
              <w:rPr>
                <w:i/>
                <w:lang w:val="en-GB"/>
              </w:rPr>
            </w:pPr>
            <w:r>
              <w:rPr>
                <w:i/>
                <w:lang w:val="en-GB"/>
              </w:rPr>
              <w:t>U10</w:t>
            </w:r>
          </w:p>
        </w:tc>
        <w:tc>
          <w:tcPr>
            <w:tcW w:w="7053" w:type="dxa"/>
          </w:tcPr>
          <w:p w:rsidR="003A3683" w:rsidRDefault="00F12B44" w:rsidP="000900E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COVID-19</w:t>
            </w:r>
          </w:p>
          <w:p w:rsidR="0082210C" w:rsidRPr="00D353B0" w:rsidRDefault="00D353B0" w:rsidP="000900E6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i/>
                <w:iCs/>
                <w:lang w:val="en-GB"/>
              </w:rPr>
            </w:pPr>
            <w:r w:rsidRPr="00D353B0">
              <w:rPr>
                <w:rFonts w:ascii="Arial" w:hAnsi="Arial" w:cs="Arial"/>
                <w:i/>
                <w:lang w:val="en-GB"/>
              </w:rPr>
              <w:t>Multisystem inflammatory syndrome associated with COVID-19</w:t>
            </w:r>
          </w:p>
        </w:tc>
      </w:tr>
    </w:tbl>
    <w:p w:rsidR="00C85519" w:rsidRPr="000900E6" w:rsidRDefault="00C85519" w:rsidP="00C85519">
      <w:pPr>
        <w:pStyle w:val="normrocenka"/>
        <w:rPr>
          <w:i/>
          <w:lang w:val="en-GB"/>
        </w:rPr>
      </w:pPr>
    </w:p>
    <w:p w:rsidR="00902B08" w:rsidRPr="000900E6" w:rsidRDefault="00902B08" w:rsidP="00C85519">
      <w:pPr>
        <w:pStyle w:val="normrocenka"/>
        <w:rPr>
          <w:i/>
          <w:lang w:val="en-GB"/>
        </w:rPr>
      </w:pPr>
    </w:p>
    <w:sectPr w:rsidR="00902B08" w:rsidRPr="000900E6" w:rsidSect="00306BEB">
      <w:headerReference w:type="default" r:id="rId7"/>
      <w:footerReference w:type="default" r:id="rId8"/>
      <w:pgSz w:w="11906" w:h="16838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F8" w:rsidRDefault="00F917F8" w:rsidP="00306BEB">
      <w:r>
        <w:separator/>
      </w:r>
    </w:p>
  </w:endnote>
  <w:endnote w:type="continuationSeparator" w:id="0">
    <w:p w:rsidR="00F917F8" w:rsidRDefault="00F917F8" w:rsidP="0030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EB" w:rsidRPr="00306BEB" w:rsidRDefault="00306BEB" w:rsidP="00306BEB">
    <w:pPr>
      <w:pStyle w:val="Zpat"/>
      <w:jc w:val="center"/>
      <w:rPr>
        <w:rFonts w:ascii="Arial" w:hAnsi="Arial" w:cs="Arial"/>
        <w:sz w:val="16"/>
        <w:szCs w:val="16"/>
      </w:rPr>
    </w:pPr>
    <w:r w:rsidRPr="00306BEB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719138" y="9986963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210C"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F8" w:rsidRDefault="00F917F8" w:rsidP="00306BEB">
      <w:r>
        <w:separator/>
      </w:r>
    </w:p>
  </w:footnote>
  <w:footnote w:type="continuationSeparator" w:id="0">
    <w:p w:rsidR="00F917F8" w:rsidRDefault="00F917F8" w:rsidP="0030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EB" w:rsidRDefault="00306BEB" w:rsidP="00306BE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Demografická ročenka České republiky, Zemřelí podle příčin smrti</w:t>
    </w:r>
  </w:p>
  <w:p w:rsidR="00306BEB" w:rsidRDefault="00306BEB" w:rsidP="00306BEB">
    <w:pPr>
      <w:pStyle w:val="Zhlav"/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Deaths by cause of death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19"/>
    <w:rsid w:val="0001302D"/>
    <w:rsid w:val="000900E6"/>
    <w:rsid w:val="00104810"/>
    <w:rsid w:val="00142DCF"/>
    <w:rsid w:val="00197DBD"/>
    <w:rsid w:val="001E72D7"/>
    <w:rsid w:val="00294D09"/>
    <w:rsid w:val="00306BEB"/>
    <w:rsid w:val="003A3683"/>
    <w:rsid w:val="003B07F4"/>
    <w:rsid w:val="00417AE3"/>
    <w:rsid w:val="00447642"/>
    <w:rsid w:val="00584C22"/>
    <w:rsid w:val="00585AC7"/>
    <w:rsid w:val="00676B4D"/>
    <w:rsid w:val="0073680E"/>
    <w:rsid w:val="00770600"/>
    <w:rsid w:val="007F4DF7"/>
    <w:rsid w:val="0082210C"/>
    <w:rsid w:val="0086264F"/>
    <w:rsid w:val="00902B08"/>
    <w:rsid w:val="00914A53"/>
    <w:rsid w:val="00920D01"/>
    <w:rsid w:val="00925001"/>
    <w:rsid w:val="009C6EC8"/>
    <w:rsid w:val="009D6467"/>
    <w:rsid w:val="00A32091"/>
    <w:rsid w:val="00AA0F1C"/>
    <w:rsid w:val="00AC5146"/>
    <w:rsid w:val="00B00B73"/>
    <w:rsid w:val="00C001D5"/>
    <w:rsid w:val="00C16589"/>
    <w:rsid w:val="00C3321D"/>
    <w:rsid w:val="00C85519"/>
    <w:rsid w:val="00D25FCE"/>
    <w:rsid w:val="00D353B0"/>
    <w:rsid w:val="00DB5F18"/>
    <w:rsid w:val="00E623FE"/>
    <w:rsid w:val="00EF31ED"/>
    <w:rsid w:val="00F12B44"/>
    <w:rsid w:val="00F13E4A"/>
    <w:rsid w:val="00F917F8"/>
    <w:rsid w:val="00F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B540C06-13E7-442F-8C40-EC46BFBC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50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32091"/>
    <w:pPr>
      <w:ind w:left="720"/>
      <w:contextualSpacing/>
    </w:pPr>
  </w:style>
  <w:style w:type="paragraph" w:customStyle="1" w:styleId="Nadpisaj">
    <w:name w:val="Nadpis_aj"/>
    <w:basedOn w:val="Nadpis2"/>
    <w:qFormat/>
    <w:rsid w:val="00F96E9C"/>
    <w:rPr>
      <w:b/>
      <w:i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50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paragraph" w:customStyle="1" w:styleId="normtabaj">
    <w:name w:val="norm_tab_aj"/>
    <w:basedOn w:val="normtab"/>
    <w:qFormat/>
    <w:rsid w:val="000900E6"/>
    <w:rPr>
      <w:i/>
      <w:iCs/>
      <w:lang w:val="en-GB"/>
    </w:rPr>
  </w:style>
  <w:style w:type="paragraph" w:styleId="Zhlav">
    <w:name w:val="header"/>
    <w:basedOn w:val="Normln"/>
    <w:link w:val="ZhlavChar"/>
    <w:uiPriority w:val="99"/>
    <w:unhideWhenUsed/>
    <w:rsid w:val="00306B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BEB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306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BEB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table" w:styleId="Svtlmkatabulky">
    <w:name w:val="Grid Table Light"/>
    <w:basedOn w:val="Normlntabulka"/>
    <w:uiPriority w:val="40"/>
    <w:rsid w:val="003A36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394C6-6263-416F-96FD-6B019934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Havel Radek</cp:lastModifiedBy>
  <cp:revision>15</cp:revision>
  <cp:lastPrinted>2016-09-08T09:17:00Z</cp:lastPrinted>
  <dcterms:created xsi:type="dcterms:W3CDTF">2019-09-06T07:59:00Z</dcterms:created>
  <dcterms:modified xsi:type="dcterms:W3CDTF">2023-08-25T09:17:00Z</dcterms:modified>
</cp:coreProperties>
</file>