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48BE0" w14:textId="30B7B17F" w:rsidR="006A3CAF" w:rsidRPr="00DD6E6B" w:rsidRDefault="006A3CAF" w:rsidP="006A3CAF">
      <w:pPr>
        <w:pStyle w:val="Nadpis11"/>
        <w:spacing w:after="120"/>
        <w:rPr>
          <w:lang w:val="en-GB"/>
        </w:rPr>
      </w:pPr>
      <w:bookmarkStart w:id="0" w:name="_Toc148437389"/>
      <w:r w:rsidRPr="00DD6E6B">
        <w:rPr>
          <w:lang w:val="en-GB"/>
        </w:rPr>
        <w:t>6. </w:t>
      </w:r>
      <w:r w:rsidR="00D62FE9" w:rsidRPr="00DD6E6B">
        <w:rPr>
          <w:lang w:val="en-GB"/>
        </w:rPr>
        <w:t>Labour Market</w:t>
      </w:r>
      <w:bookmarkEnd w:id="0"/>
    </w:p>
    <w:tbl>
      <w:tblPr>
        <w:tblW w:w="9674" w:type="dxa"/>
        <w:tblInd w:w="-35" w:type="dxa"/>
        <w:tblCellMar>
          <w:left w:w="0" w:type="dxa"/>
          <w:right w:w="0" w:type="dxa"/>
        </w:tblCellMar>
        <w:tblLook w:val="00A0" w:firstRow="1" w:lastRow="0" w:firstColumn="1" w:lastColumn="0" w:noHBand="0" w:noVBand="0"/>
      </w:tblPr>
      <w:tblGrid>
        <w:gridCol w:w="1754"/>
        <w:gridCol w:w="220"/>
        <w:gridCol w:w="7700"/>
      </w:tblGrid>
      <w:tr w:rsidR="006A3CAF" w:rsidRPr="00DD6E6B" w14:paraId="7C3EB322" w14:textId="77777777" w:rsidTr="00DA0121">
        <w:trPr>
          <w:trHeight w:val="155"/>
        </w:trPr>
        <w:tc>
          <w:tcPr>
            <w:tcW w:w="1754" w:type="dxa"/>
            <w:shd w:val="clear" w:color="auto" w:fill="auto"/>
            <w:tcMar>
              <w:left w:w="0" w:type="dxa"/>
            </w:tcMar>
          </w:tcPr>
          <w:p w14:paraId="2FB6CB58" w14:textId="52796F62" w:rsidR="006A3CAF" w:rsidRPr="00DD6E6B" w:rsidRDefault="004A07FB" w:rsidP="00DA0121">
            <w:pPr>
              <w:pStyle w:val="Marginlie"/>
              <w:spacing w:after="120"/>
              <w:rPr>
                <w:color w:val="0D0D0D" w:themeColor="text1" w:themeTint="F2"/>
                <w:spacing w:val="-4"/>
                <w:lang w:val="en-GB"/>
              </w:rPr>
            </w:pPr>
            <w:r w:rsidRPr="00DD6E6B">
              <w:rPr>
                <w:color w:val="0D0D0D" w:themeColor="text1" w:themeTint="F2"/>
                <w:spacing w:val="-4"/>
                <w:lang w:val="en-GB"/>
              </w:rPr>
              <w:t>Partial cooling manifested on the labour market</w:t>
            </w:r>
            <w:r w:rsidR="006A3CAF" w:rsidRPr="00DD6E6B">
              <w:rPr>
                <w:color w:val="0D0D0D" w:themeColor="text1" w:themeTint="F2"/>
                <w:spacing w:val="-4"/>
                <w:lang w:val="en-GB"/>
              </w:rPr>
              <w:t xml:space="preserve">, </w:t>
            </w:r>
            <w:r w:rsidRPr="00DD6E6B">
              <w:rPr>
                <w:color w:val="0D0D0D" w:themeColor="text1" w:themeTint="F2"/>
                <w:spacing w:val="-4"/>
                <w:lang w:val="en-GB"/>
              </w:rPr>
              <w:t>the imbalance between supply and demand narrowed</w:t>
            </w:r>
            <w:r w:rsidR="006A3CAF" w:rsidRPr="00DD6E6B">
              <w:rPr>
                <w:color w:val="0D0D0D" w:themeColor="text1" w:themeTint="F2"/>
                <w:spacing w:val="-4"/>
                <w:lang w:val="en-GB"/>
              </w:rPr>
              <w:t xml:space="preserve">. </w:t>
            </w:r>
            <w:r w:rsidRPr="00DD6E6B">
              <w:rPr>
                <w:color w:val="0D0D0D" w:themeColor="text1" w:themeTint="F2"/>
                <w:spacing w:val="-4"/>
                <w:lang w:val="en-GB"/>
              </w:rPr>
              <w:t xml:space="preserve">Situation however significantly differed in the individual segments of the economy. </w:t>
            </w:r>
            <w:r w:rsidR="006A3CAF" w:rsidRPr="00DD6E6B">
              <w:rPr>
                <w:color w:val="0D0D0D" w:themeColor="text1" w:themeTint="F2"/>
                <w:spacing w:val="-4"/>
                <w:lang w:val="en-GB"/>
              </w:rPr>
              <w:t xml:space="preserve">  </w:t>
            </w:r>
          </w:p>
        </w:tc>
        <w:tc>
          <w:tcPr>
            <w:tcW w:w="220" w:type="dxa"/>
            <w:shd w:val="clear" w:color="auto" w:fill="auto"/>
            <w:tcMar>
              <w:left w:w="0" w:type="dxa"/>
            </w:tcMar>
          </w:tcPr>
          <w:p w14:paraId="12A3C6F0" w14:textId="77777777" w:rsidR="006A3CAF" w:rsidRPr="00DD6E6B" w:rsidRDefault="006A3CAF" w:rsidP="00DA0121">
            <w:pPr>
              <w:pStyle w:val="Textpoznpodarou"/>
              <w:spacing w:after="120"/>
              <w:jc w:val="both"/>
              <w:rPr>
                <w:color w:val="0D0D0D" w:themeColor="text1" w:themeTint="F2"/>
                <w:spacing w:val="-4"/>
                <w:lang w:val="en-GB"/>
              </w:rPr>
            </w:pPr>
          </w:p>
        </w:tc>
        <w:tc>
          <w:tcPr>
            <w:tcW w:w="7700" w:type="dxa"/>
            <w:shd w:val="clear" w:color="auto" w:fill="auto"/>
            <w:tcMar>
              <w:left w:w="0" w:type="dxa"/>
            </w:tcMar>
          </w:tcPr>
          <w:p w14:paraId="3013A21B" w14:textId="1D952423" w:rsidR="006A3CAF" w:rsidRPr="00DD6E6B" w:rsidRDefault="002120F9" w:rsidP="00FF556A">
            <w:pPr>
              <w:rPr>
                <w:color w:val="0D0D0D" w:themeColor="text1" w:themeTint="F2"/>
                <w:spacing w:val="-4"/>
                <w:lang w:val="en-GB"/>
              </w:rPr>
            </w:pPr>
            <w:r w:rsidRPr="00DD6E6B">
              <w:rPr>
                <w:color w:val="0D0D0D" w:themeColor="text1" w:themeTint="F2"/>
                <w:spacing w:val="-4"/>
                <w:lang w:val="en-GB"/>
              </w:rPr>
              <w:t>Despite ongoing stagnation of the performance of the domestic economy, the cooling of the previously strongly overheated labour market has been only partially evident in the CR this year so far</w:t>
            </w:r>
            <w:r w:rsidR="006A3CAF" w:rsidRPr="00DD6E6B">
              <w:rPr>
                <w:color w:val="0D0D0D" w:themeColor="text1" w:themeTint="F2"/>
                <w:spacing w:val="-4"/>
                <w:lang w:val="en-GB"/>
              </w:rPr>
              <w:t>. T</w:t>
            </w:r>
            <w:r w:rsidR="00254E62" w:rsidRPr="00DD6E6B">
              <w:rPr>
                <w:color w:val="0D0D0D" w:themeColor="text1" w:themeTint="F2"/>
                <w:spacing w:val="-4"/>
                <w:lang w:val="en-GB"/>
              </w:rPr>
              <w:t xml:space="preserve">his can be next to the traditional lag of the labour market in relation to the business cycle also explained by the markedly differentiated impact of the preceding shocks </w:t>
            </w:r>
            <w:r w:rsidR="006A3CAF" w:rsidRPr="00DD6E6B">
              <w:rPr>
                <w:color w:val="0D0D0D" w:themeColor="text1" w:themeTint="F2"/>
                <w:spacing w:val="-4"/>
                <w:lang w:val="en-GB"/>
              </w:rPr>
              <w:t>(pandemic</w:t>
            </w:r>
            <w:r w:rsidR="00254E62" w:rsidRPr="00DD6E6B">
              <w:rPr>
                <w:color w:val="0D0D0D" w:themeColor="text1" w:themeTint="F2"/>
                <w:spacing w:val="-4"/>
                <w:lang w:val="en-GB"/>
              </w:rPr>
              <w:t xml:space="preserve"> restrictions, energy crisis</w:t>
            </w:r>
            <w:r w:rsidR="006A3CAF" w:rsidRPr="00DD6E6B">
              <w:rPr>
                <w:color w:val="0D0D0D" w:themeColor="text1" w:themeTint="F2"/>
                <w:spacing w:val="-4"/>
                <w:lang w:val="en-GB"/>
              </w:rPr>
              <w:t>)</w:t>
            </w:r>
            <w:r w:rsidR="00254E62" w:rsidRPr="00DD6E6B">
              <w:rPr>
                <w:color w:val="0D0D0D" w:themeColor="text1" w:themeTint="F2"/>
                <w:spacing w:val="-4"/>
                <w:lang w:val="en-GB"/>
              </w:rPr>
              <w:t xml:space="preserve"> on the various segments of the economy. </w:t>
            </w:r>
            <w:r w:rsidR="004A07FB" w:rsidRPr="00DD6E6B">
              <w:rPr>
                <w:color w:val="0D0D0D" w:themeColor="text1" w:themeTint="F2"/>
                <w:spacing w:val="-4"/>
                <w:lang w:val="en-GB"/>
              </w:rPr>
              <w:t>Cooling of the</w:t>
            </w:r>
            <w:r w:rsidR="00254E62" w:rsidRPr="00DD6E6B">
              <w:rPr>
                <w:color w:val="0D0D0D" w:themeColor="text1" w:themeTint="F2"/>
                <w:spacing w:val="-4"/>
                <w:lang w:val="en-GB"/>
              </w:rPr>
              <w:t xml:space="preserve"> </w:t>
            </w:r>
            <w:r w:rsidR="004A07FB" w:rsidRPr="00DD6E6B">
              <w:rPr>
                <w:color w:val="0D0D0D" w:themeColor="text1" w:themeTint="F2"/>
                <w:spacing w:val="-4"/>
                <w:lang w:val="en-GB"/>
              </w:rPr>
              <w:t>labour market was more notable in subjective stances of the employers (ascertained with the business cycle surveys</w:t>
            </w:r>
            <w:r w:rsidR="006A3CAF" w:rsidRPr="00DD6E6B">
              <w:rPr>
                <w:color w:val="0D0D0D" w:themeColor="text1" w:themeTint="F2"/>
                <w:spacing w:val="-4"/>
                <w:lang w:val="en-GB"/>
              </w:rPr>
              <w:t xml:space="preserve">). </w:t>
            </w:r>
            <w:r w:rsidR="004A07FB" w:rsidRPr="00DD6E6B">
              <w:rPr>
                <w:color w:val="0D0D0D" w:themeColor="text1" w:themeTint="F2"/>
                <w:spacing w:val="-4"/>
                <w:lang w:val="en-GB"/>
              </w:rPr>
              <w:t xml:space="preserve">Thus the </w:t>
            </w:r>
            <w:r w:rsidR="009B5629" w:rsidRPr="00DD6E6B">
              <w:rPr>
                <w:color w:val="0D0D0D" w:themeColor="text1" w:themeTint="F2"/>
                <w:spacing w:val="-4"/>
                <w:lang w:val="en-GB"/>
              </w:rPr>
              <w:t xml:space="preserve">short-term </w:t>
            </w:r>
            <w:r w:rsidR="00BF7D00" w:rsidRPr="00DD6E6B">
              <w:rPr>
                <w:color w:val="0D0D0D" w:themeColor="text1" w:themeTint="F2"/>
                <w:spacing w:val="-4"/>
                <w:lang w:val="en-GB"/>
              </w:rPr>
              <w:t>anticipations</w:t>
            </w:r>
            <w:r w:rsidR="009B5629" w:rsidRPr="00DD6E6B">
              <w:rPr>
                <w:color w:val="0D0D0D" w:themeColor="text1" w:themeTint="F2"/>
                <w:spacing w:val="-4"/>
                <w:lang w:val="en-GB"/>
              </w:rPr>
              <w:t xml:space="preserve"> of businesses in the area of employment w</w:t>
            </w:r>
            <w:r w:rsidR="00BF7D00" w:rsidRPr="00DD6E6B">
              <w:rPr>
                <w:color w:val="0D0D0D" w:themeColor="text1" w:themeTint="F2"/>
                <w:spacing w:val="-4"/>
                <w:lang w:val="en-GB"/>
              </w:rPr>
              <w:t>ere</w:t>
            </w:r>
            <w:r w:rsidR="009B5629" w:rsidRPr="00DD6E6B">
              <w:rPr>
                <w:color w:val="0D0D0D" w:themeColor="text1" w:themeTint="F2"/>
                <w:spacing w:val="-4"/>
                <w:lang w:val="en-GB"/>
              </w:rPr>
              <w:t xml:space="preserve"> further deteriorating in the course of H</w:t>
            </w:r>
            <w:r w:rsidR="006A3CAF" w:rsidRPr="00DD6E6B">
              <w:rPr>
                <w:color w:val="0D0D0D" w:themeColor="text1" w:themeTint="F2"/>
                <w:spacing w:val="-4"/>
                <w:lang w:val="en-GB"/>
              </w:rPr>
              <w:t>1</w:t>
            </w:r>
            <w:r w:rsidR="009B5629" w:rsidRPr="00DD6E6B">
              <w:rPr>
                <w:color w:val="0D0D0D" w:themeColor="text1" w:themeTint="F2"/>
                <w:spacing w:val="-4"/>
                <w:lang w:val="en-GB"/>
              </w:rPr>
              <w:t xml:space="preserve"> and at the same time the number of businesses stating shortage of labour force </w:t>
            </w:r>
            <w:r w:rsidR="00BF7D00" w:rsidRPr="00DD6E6B">
              <w:rPr>
                <w:color w:val="0D0D0D" w:themeColor="text1" w:themeTint="F2"/>
                <w:spacing w:val="-4"/>
                <w:lang w:val="en-GB"/>
              </w:rPr>
              <w:t xml:space="preserve">as a barrier to their growth diminished </w:t>
            </w:r>
            <w:r w:rsidR="004A07FB" w:rsidRPr="00DD6E6B">
              <w:rPr>
                <w:color w:val="0D0D0D" w:themeColor="text1" w:themeTint="F2"/>
                <w:spacing w:val="-4"/>
                <w:lang w:val="en-GB"/>
              </w:rPr>
              <w:t>during H1</w:t>
            </w:r>
            <w:r w:rsidR="006A3CAF" w:rsidRPr="00DD6E6B">
              <w:rPr>
                <w:color w:val="0D0D0D" w:themeColor="text1" w:themeTint="F2"/>
                <w:spacing w:val="-4"/>
                <w:lang w:val="en-GB"/>
              </w:rPr>
              <w:t xml:space="preserve">. </w:t>
            </w:r>
            <w:r w:rsidR="004A07FB" w:rsidRPr="00DD6E6B">
              <w:rPr>
                <w:color w:val="0D0D0D" w:themeColor="text1" w:themeTint="F2"/>
                <w:spacing w:val="-4"/>
                <w:lang w:val="en-GB"/>
              </w:rPr>
              <w:t xml:space="preserve">Still the employment considerably grew in the economy, even </w:t>
            </w:r>
            <w:r w:rsidR="00BF7D00" w:rsidRPr="00DD6E6B">
              <w:rPr>
                <w:color w:val="0D0D0D" w:themeColor="text1" w:themeTint="F2"/>
                <w:spacing w:val="-4"/>
                <w:lang w:val="en-GB"/>
              </w:rPr>
              <w:t>though</w:t>
            </w:r>
            <w:r w:rsidR="004A07FB" w:rsidRPr="00DD6E6B">
              <w:rPr>
                <w:color w:val="0D0D0D" w:themeColor="text1" w:themeTint="F2"/>
                <w:spacing w:val="-4"/>
                <w:lang w:val="en-GB"/>
              </w:rPr>
              <w:t xml:space="preserve"> not at all across the board, and also under specific circumstance </w:t>
            </w:r>
            <w:r w:rsidR="006A3CAF" w:rsidRPr="00DD6E6B">
              <w:rPr>
                <w:color w:val="0D0D0D" w:themeColor="text1" w:themeTint="F2"/>
                <w:spacing w:val="-4"/>
                <w:lang w:val="en-GB"/>
              </w:rPr>
              <w:t>(</w:t>
            </w:r>
            <w:r w:rsidR="004A07FB" w:rsidRPr="00DD6E6B">
              <w:rPr>
                <w:color w:val="0D0D0D" w:themeColor="text1" w:themeTint="F2"/>
                <w:spacing w:val="-4"/>
                <w:lang w:val="en-GB"/>
              </w:rPr>
              <w:t>gradual integration of the refugees from Ukraine</w:t>
            </w:r>
            <w:r w:rsidR="006A3CAF" w:rsidRPr="00DD6E6B">
              <w:rPr>
                <w:color w:val="0D0D0D" w:themeColor="text1" w:themeTint="F2"/>
                <w:spacing w:val="-4"/>
                <w:lang w:val="en-GB"/>
              </w:rPr>
              <w:t>).</w:t>
            </w:r>
            <w:r w:rsidR="004A07FB" w:rsidRPr="00DD6E6B">
              <w:rPr>
                <w:color w:val="0D0D0D" w:themeColor="text1" w:themeTint="F2"/>
                <w:spacing w:val="-4"/>
                <w:lang w:val="en-GB"/>
              </w:rPr>
              <w:t xml:space="preserve"> The number of job vacancies slightly shrank while accompanied </w:t>
            </w:r>
            <w:r w:rsidR="00BF7D00" w:rsidRPr="00DD6E6B">
              <w:rPr>
                <w:color w:val="0D0D0D" w:themeColor="text1" w:themeTint="F2"/>
                <w:spacing w:val="-4"/>
                <w:lang w:val="en-GB"/>
              </w:rPr>
              <w:t xml:space="preserve">simultaneously </w:t>
            </w:r>
            <w:r w:rsidR="004A07FB" w:rsidRPr="00DD6E6B">
              <w:rPr>
                <w:color w:val="0D0D0D" w:themeColor="text1" w:themeTint="F2"/>
                <w:spacing w:val="-4"/>
                <w:lang w:val="en-GB"/>
              </w:rPr>
              <w:t>by negligible increase of unemployment in the economy</w:t>
            </w:r>
            <w:r w:rsidR="006A3CAF" w:rsidRPr="00DD6E6B">
              <w:rPr>
                <w:color w:val="0D0D0D" w:themeColor="text1" w:themeTint="F2"/>
                <w:spacing w:val="-4"/>
                <w:lang w:val="en-GB"/>
              </w:rPr>
              <w:t xml:space="preserve">. </w:t>
            </w:r>
            <w:r w:rsidR="00BF4DCD" w:rsidRPr="00DD6E6B">
              <w:rPr>
                <w:color w:val="0D0D0D" w:themeColor="text1" w:themeTint="F2"/>
                <w:spacing w:val="-4"/>
                <w:lang w:val="en-GB"/>
              </w:rPr>
              <w:t xml:space="preserve">Advantageous position of the employees on the labour market accompanied by persisting strong growth of the cost of living of households </w:t>
            </w:r>
            <w:r w:rsidR="004A07FB" w:rsidRPr="00DD6E6B">
              <w:rPr>
                <w:color w:val="0D0D0D" w:themeColor="text1" w:themeTint="F2"/>
                <w:spacing w:val="-4"/>
                <w:lang w:val="en-GB"/>
              </w:rPr>
              <w:t>heightened the pressure on the wage growth</w:t>
            </w:r>
            <w:r w:rsidR="006A3CAF" w:rsidRPr="00DD6E6B">
              <w:rPr>
                <w:color w:val="0D0D0D" w:themeColor="text1" w:themeTint="F2"/>
                <w:spacing w:val="-4"/>
                <w:lang w:val="en-GB"/>
              </w:rPr>
              <w:t xml:space="preserve">. </w:t>
            </w:r>
            <w:r w:rsidRPr="00DD6E6B">
              <w:rPr>
                <w:color w:val="0D0D0D" w:themeColor="text1" w:themeTint="F2"/>
                <w:spacing w:val="-4"/>
                <w:lang w:val="en-GB"/>
              </w:rPr>
              <w:t>Desp</w:t>
            </w:r>
            <w:r w:rsidR="004A07FB" w:rsidRPr="00DD6E6B">
              <w:rPr>
                <w:color w:val="0D0D0D" w:themeColor="text1" w:themeTint="F2"/>
                <w:spacing w:val="-4"/>
                <w:lang w:val="en-GB"/>
              </w:rPr>
              <w:t xml:space="preserve">ite disinflationary tendencies the year-on-year loss of the purchasing power of wages still remains significant in the economy. </w:t>
            </w:r>
            <w:r w:rsidR="006A3CAF" w:rsidRPr="00DD6E6B">
              <w:rPr>
                <w:color w:val="0D0D0D" w:themeColor="text1" w:themeTint="F2"/>
                <w:spacing w:val="-4"/>
                <w:lang w:val="en-GB"/>
              </w:rPr>
              <w:t xml:space="preserve"> </w:t>
            </w:r>
          </w:p>
        </w:tc>
      </w:tr>
      <w:tr w:rsidR="006A3CAF" w:rsidRPr="00485366" w14:paraId="41C47A7E" w14:textId="77777777" w:rsidTr="00DA0121">
        <w:trPr>
          <w:trHeight w:val="155"/>
        </w:trPr>
        <w:tc>
          <w:tcPr>
            <w:tcW w:w="1754" w:type="dxa"/>
            <w:shd w:val="clear" w:color="auto" w:fill="auto"/>
            <w:tcMar>
              <w:left w:w="0" w:type="dxa"/>
            </w:tcMar>
          </w:tcPr>
          <w:p w14:paraId="0C6B0A94" w14:textId="37A0746C" w:rsidR="006A3CAF" w:rsidRPr="00DD6E6B" w:rsidRDefault="00BB71D2" w:rsidP="00DA0121">
            <w:pPr>
              <w:pStyle w:val="Marginlie"/>
              <w:spacing w:after="120"/>
              <w:rPr>
                <w:color w:val="0D0D0D" w:themeColor="text1" w:themeTint="F2"/>
                <w:spacing w:val="-4"/>
                <w:lang w:val="en-GB"/>
              </w:rPr>
            </w:pPr>
            <w:r w:rsidRPr="00DD6E6B">
              <w:rPr>
                <w:color w:val="0D0D0D" w:themeColor="text1" w:themeTint="F2"/>
                <w:spacing w:val="-4"/>
                <w:lang w:val="en-GB"/>
              </w:rPr>
              <w:t>Total employment clim</w:t>
            </w:r>
            <w:r w:rsidR="002120F9" w:rsidRPr="00DD6E6B">
              <w:rPr>
                <w:color w:val="0D0D0D" w:themeColor="text1" w:themeTint="F2"/>
                <w:spacing w:val="-4"/>
                <w:lang w:val="en-GB"/>
              </w:rPr>
              <w:t>b</w:t>
            </w:r>
            <w:r w:rsidRPr="00DD6E6B">
              <w:rPr>
                <w:color w:val="0D0D0D" w:themeColor="text1" w:themeTint="F2"/>
                <w:spacing w:val="-4"/>
                <w:lang w:val="en-GB"/>
              </w:rPr>
              <w:t xml:space="preserve">ed up to record level. </w:t>
            </w:r>
            <w:r w:rsidR="007718D7" w:rsidRPr="00DD6E6B">
              <w:rPr>
                <w:color w:val="0D0D0D" w:themeColor="text1" w:themeTint="F2"/>
                <w:spacing w:val="-4"/>
                <w:lang w:val="en-GB"/>
              </w:rPr>
              <w:t xml:space="preserve">It was also aided by the revival of small business, which manifested across all main branches. </w:t>
            </w:r>
          </w:p>
        </w:tc>
        <w:tc>
          <w:tcPr>
            <w:tcW w:w="220" w:type="dxa"/>
            <w:shd w:val="clear" w:color="auto" w:fill="auto"/>
            <w:tcMar>
              <w:left w:w="0" w:type="dxa"/>
            </w:tcMar>
          </w:tcPr>
          <w:p w14:paraId="0181808C" w14:textId="77777777" w:rsidR="006A3CAF" w:rsidRPr="00DD6E6B" w:rsidRDefault="006A3CAF" w:rsidP="00DA0121">
            <w:pPr>
              <w:pStyle w:val="Textpoznpodarou"/>
              <w:spacing w:after="120"/>
              <w:jc w:val="both"/>
              <w:rPr>
                <w:color w:val="0D0D0D" w:themeColor="text1" w:themeTint="F2"/>
                <w:spacing w:val="-4"/>
                <w:lang w:val="en-GB"/>
              </w:rPr>
            </w:pPr>
          </w:p>
        </w:tc>
        <w:tc>
          <w:tcPr>
            <w:tcW w:w="7700" w:type="dxa"/>
            <w:shd w:val="clear" w:color="auto" w:fill="auto"/>
            <w:tcMar>
              <w:left w:w="0" w:type="dxa"/>
            </w:tcMar>
          </w:tcPr>
          <w:p w14:paraId="602D37D9" w14:textId="627154B5" w:rsidR="006A3CAF" w:rsidRPr="00DD6E6B" w:rsidRDefault="00D62FE9" w:rsidP="00CC433B">
            <w:pPr>
              <w:rPr>
                <w:color w:val="0D0D0D" w:themeColor="text1" w:themeTint="F2"/>
                <w:spacing w:val="-4"/>
                <w:lang w:val="en-GB"/>
              </w:rPr>
            </w:pPr>
            <w:r w:rsidRPr="00DD6E6B">
              <w:rPr>
                <w:lang w:val="en-GB"/>
              </w:rPr>
              <w:t>Total employment</w:t>
            </w:r>
            <w:r w:rsidR="006A3CAF" w:rsidRPr="00DD6E6B">
              <w:rPr>
                <w:color w:val="0D0D0D" w:themeColor="text1" w:themeTint="F2"/>
                <w:spacing w:val="-4"/>
                <w:vertAlign w:val="superscript"/>
                <w:lang w:val="en-GB"/>
              </w:rPr>
              <w:footnoteReference w:id="1"/>
            </w:r>
            <w:r w:rsidR="006A3CAF" w:rsidRPr="00DD6E6B">
              <w:rPr>
                <w:lang w:val="en-GB"/>
              </w:rPr>
              <w:t xml:space="preserve"> </w:t>
            </w:r>
            <w:r w:rsidR="002120F9" w:rsidRPr="00DD6E6B">
              <w:rPr>
                <w:lang w:val="en-GB"/>
              </w:rPr>
              <w:t xml:space="preserve">was </w:t>
            </w:r>
            <w:r w:rsidR="007718D7" w:rsidRPr="00DD6E6B">
              <w:rPr>
                <w:lang w:val="en-GB"/>
              </w:rPr>
              <w:t>considerably</w:t>
            </w:r>
            <w:r w:rsidR="002120F9" w:rsidRPr="00DD6E6B">
              <w:rPr>
                <w:lang w:val="en-GB"/>
              </w:rPr>
              <w:t xml:space="preserve"> expan</w:t>
            </w:r>
            <w:r w:rsidR="004A07FB" w:rsidRPr="00DD6E6B">
              <w:rPr>
                <w:lang w:val="en-GB"/>
              </w:rPr>
              <w:t>ding</w:t>
            </w:r>
            <w:r w:rsidR="002120F9" w:rsidRPr="00DD6E6B">
              <w:rPr>
                <w:lang w:val="en-GB"/>
              </w:rPr>
              <w:t xml:space="preserve"> this year. </w:t>
            </w:r>
            <w:r w:rsidR="007718D7" w:rsidRPr="00DD6E6B">
              <w:rPr>
                <w:lang w:val="en-GB"/>
              </w:rPr>
              <w:t xml:space="preserve">It was by </w:t>
            </w:r>
            <w:r w:rsidR="006A3CAF" w:rsidRPr="00DD6E6B">
              <w:rPr>
                <w:lang w:val="en-GB"/>
              </w:rPr>
              <w:t>0</w:t>
            </w:r>
            <w:r w:rsidR="007718D7" w:rsidRPr="00DD6E6B">
              <w:rPr>
                <w:lang w:val="en-GB"/>
              </w:rPr>
              <w:t>.</w:t>
            </w:r>
            <w:r w:rsidR="006A3CAF" w:rsidRPr="00DD6E6B">
              <w:rPr>
                <w:lang w:val="en-GB"/>
              </w:rPr>
              <w:t>8%</w:t>
            </w:r>
            <w:r w:rsidR="00CC433B">
              <w:rPr>
                <w:lang w:val="en-GB"/>
              </w:rPr>
              <w:t>, i.e. by</w:t>
            </w:r>
            <w:r w:rsidR="00514BAE" w:rsidRPr="00DD6E6B">
              <w:rPr>
                <w:lang w:val="en-GB"/>
              </w:rPr>
              <w:t xml:space="preserve"> 45</w:t>
            </w:r>
            <w:r w:rsidR="00CC433B">
              <w:rPr>
                <w:lang w:val="en-GB"/>
              </w:rPr>
              <w:t> </w:t>
            </w:r>
            <w:r w:rsidR="00514BAE" w:rsidRPr="00DD6E6B">
              <w:rPr>
                <w:lang w:val="en-GB"/>
              </w:rPr>
              <w:t>thousand persons</w:t>
            </w:r>
            <w:r w:rsidR="00CC433B">
              <w:rPr>
                <w:lang w:val="en-GB"/>
              </w:rPr>
              <w:t>,</w:t>
            </w:r>
            <w:r w:rsidR="00514BAE" w:rsidRPr="00DD6E6B">
              <w:rPr>
                <w:lang w:val="en-GB"/>
              </w:rPr>
              <w:t xml:space="preserve"> </w:t>
            </w:r>
            <w:r w:rsidR="007718D7" w:rsidRPr="00DD6E6B">
              <w:rPr>
                <w:lang w:val="en-GB"/>
              </w:rPr>
              <w:t xml:space="preserve">higher year-on-year in Q2 and quarter-on-quarter it strengthened even by </w:t>
            </w:r>
            <w:r w:rsidR="006A3CAF" w:rsidRPr="00DD6E6B">
              <w:rPr>
                <w:lang w:val="en-GB"/>
              </w:rPr>
              <w:t xml:space="preserve">1%. </w:t>
            </w:r>
            <w:r w:rsidR="00610131" w:rsidRPr="00DD6E6B">
              <w:rPr>
                <w:lang w:val="en-GB"/>
              </w:rPr>
              <w:t>Number</w:t>
            </w:r>
            <w:r w:rsidR="007718D7" w:rsidRPr="00DD6E6B">
              <w:rPr>
                <w:lang w:val="en-GB"/>
              </w:rPr>
              <w:t xml:space="preserve"> of workers reached a record level </w:t>
            </w:r>
            <w:r w:rsidR="006A3CAF" w:rsidRPr="00DD6E6B">
              <w:rPr>
                <w:lang w:val="en-GB"/>
              </w:rPr>
              <w:t>(5</w:t>
            </w:r>
            <w:r w:rsidR="007718D7" w:rsidRPr="00DD6E6B">
              <w:rPr>
                <w:lang w:val="en-GB"/>
              </w:rPr>
              <w:t>.</w:t>
            </w:r>
            <w:r w:rsidR="006A3CAF" w:rsidRPr="00DD6E6B">
              <w:rPr>
                <w:lang w:val="en-GB"/>
              </w:rPr>
              <w:t xml:space="preserve">51 mil), </w:t>
            </w:r>
            <w:r w:rsidR="007718D7" w:rsidRPr="00DD6E6B">
              <w:rPr>
                <w:lang w:val="en-GB"/>
              </w:rPr>
              <w:t xml:space="preserve">it was by </w:t>
            </w:r>
            <w:r w:rsidR="006A3CAF" w:rsidRPr="00DD6E6B">
              <w:rPr>
                <w:lang w:val="en-GB"/>
              </w:rPr>
              <w:t>68 t</w:t>
            </w:r>
            <w:r w:rsidR="007718D7" w:rsidRPr="00DD6E6B">
              <w:rPr>
                <w:lang w:val="en-GB"/>
              </w:rPr>
              <w:t>housand higher compared to year 2019</w:t>
            </w:r>
            <w:r w:rsidR="006A3CAF" w:rsidRPr="00DD6E6B">
              <w:rPr>
                <w:lang w:val="en-GB"/>
              </w:rPr>
              <w:t xml:space="preserve">. </w:t>
            </w:r>
            <w:r w:rsidR="00610131" w:rsidRPr="00DD6E6B">
              <w:rPr>
                <w:lang w:val="en-GB"/>
              </w:rPr>
              <w:t xml:space="preserve">The revival of the entrepreneurial activity significantly contributed to the year-on-year growth of employment. </w:t>
            </w:r>
            <w:r w:rsidR="007718D7" w:rsidRPr="00DD6E6B">
              <w:rPr>
                <w:lang w:val="en-GB"/>
              </w:rPr>
              <w:t>Quantity of self-employed</w:t>
            </w:r>
            <w:r w:rsidR="006A3CAF" w:rsidRPr="00DD6E6B">
              <w:rPr>
                <w:rStyle w:val="Znakapoznpodarou"/>
                <w:spacing w:val="-5"/>
                <w:lang w:val="en-GB"/>
              </w:rPr>
              <w:footnoteReference w:id="2"/>
            </w:r>
            <w:r w:rsidR="006A3CAF" w:rsidRPr="00DD6E6B">
              <w:rPr>
                <w:color w:val="0D0D0D" w:themeColor="text1" w:themeTint="F2"/>
                <w:spacing w:val="-4"/>
                <w:lang w:val="en-GB"/>
              </w:rPr>
              <w:t xml:space="preserve"> </w:t>
            </w:r>
            <w:r w:rsidR="007718D7" w:rsidRPr="00DD6E6B">
              <w:rPr>
                <w:color w:val="0D0D0D" w:themeColor="text1" w:themeTint="F2"/>
                <w:spacing w:val="-4"/>
                <w:lang w:val="en-GB"/>
              </w:rPr>
              <w:t xml:space="preserve">widened by </w:t>
            </w:r>
            <w:r w:rsidR="006A3CAF" w:rsidRPr="00DD6E6B">
              <w:rPr>
                <w:color w:val="0D0D0D" w:themeColor="text1" w:themeTint="F2"/>
                <w:spacing w:val="-4"/>
                <w:lang w:val="en-GB"/>
              </w:rPr>
              <w:t>2</w:t>
            </w:r>
            <w:r w:rsidR="007718D7" w:rsidRPr="00DD6E6B">
              <w:rPr>
                <w:color w:val="0D0D0D" w:themeColor="text1" w:themeTint="F2"/>
                <w:spacing w:val="-4"/>
                <w:lang w:val="en-GB"/>
              </w:rPr>
              <w:t>.</w:t>
            </w:r>
            <w:r w:rsidR="006A3CAF" w:rsidRPr="00DD6E6B">
              <w:rPr>
                <w:color w:val="0D0D0D" w:themeColor="text1" w:themeTint="F2"/>
                <w:spacing w:val="-4"/>
                <w:lang w:val="en-GB"/>
              </w:rPr>
              <w:t xml:space="preserve">4%, </w:t>
            </w:r>
            <w:r w:rsidR="007718D7" w:rsidRPr="00DD6E6B">
              <w:rPr>
                <w:color w:val="0D0D0D" w:themeColor="text1" w:themeTint="F2"/>
                <w:spacing w:val="-4"/>
                <w:lang w:val="en-GB"/>
              </w:rPr>
              <w:t>mainly thanks t</w:t>
            </w:r>
            <w:r w:rsidR="006209F8" w:rsidRPr="00DD6E6B">
              <w:rPr>
                <w:color w:val="0D0D0D" w:themeColor="text1" w:themeTint="F2"/>
                <w:spacing w:val="-4"/>
                <w:lang w:val="en-GB"/>
              </w:rPr>
              <w:t>o</w:t>
            </w:r>
            <w:r w:rsidR="007718D7" w:rsidRPr="00DD6E6B">
              <w:rPr>
                <w:color w:val="0D0D0D" w:themeColor="text1" w:themeTint="F2"/>
                <w:spacing w:val="-4"/>
                <w:lang w:val="en-GB"/>
              </w:rPr>
              <w:t xml:space="preserve"> construction </w:t>
            </w:r>
            <w:r w:rsidR="006A3CAF" w:rsidRPr="00DD6E6B">
              <w:rPr>
                <w:color w:val="0D0D0D" w:themeColor="text1" w:themeTint="F2"/>
                <w:spacing w:val="-4"/>
                <w:lang w:val="en-GB"/>
              </w:rPr>
              <w:t>(+7 t</w:t>
            </w:r>
            <w:r w:rsidR="007718D7" w:rsidRPr="00DD6E6B">
              <w:rPr>
                <w:color w:val="0D0D0D" w:themeColor="text1" w:themeTint="F2"/>
                <w:spacing w:val="-4"/>
                <w:lang w:val="en-GB"/>
              </w:rPr>
              <w:t>housand</w:t>
            </w:r>
            <w:r w:rsidR="006A3CAF" w:rsidRPr="00DD6E6B">
              <w:rPr>
                <w:color w:val="0D0D0D" w:themeColor="text1" w:themeTint="F2"/>
                <w:spacing w:val="-4"/>
                <w:lang w:val="en-GB"/>
              </w:rPr>
              <w:t xml:space="preserve">), </w:t>
            </w:r>
            <w:r w:rsidR="007718D7" w:rsidRPr="00DD6E6B">
              <w:rPr>
                <w:color w:val="0D0D0D" w:themeColor="text1" w:themeTint="F2"/>
                <w:spacing w:val="-4"/>
                <w:lang w:val="en-GB"/>
              </w:rPr>
              <w:t xml:space="preserve">information and communication </w:t>
            </w:r>
            <w:r w:rsidR="006A3CAF" w:rsidRPr="00DD6E6B">
              <w:rPr>
                <w:color w:val="0D0D0D" w:themeColor="text1" w:themeTint="F2"/>
                <w:spacing w:val="-4"/>
                <w:lang w:val="en-GB"/>
              </w:rPr>
              <w:t>(+10%) a</w:t>
            </w:r>
            <w:r w:rsidR="007718D7" w:rsidRPr="00DD6E6B">
              <w:rPr>
                <w:color w:val="0D0D0D" w:themeColor="text1" w:themeTint="F2"/>
                <w:spacing w:val="-4"/>
                <w:lang w:val="en-GB"/>
              </w:rPr>
              <w:t xml:space="preserve">nd financial activities </w:t>
            </w:r>
            <w:r w:rsidR="006A3CAF" w:rsidRPr="00DD6E6B">
              <w:rPr>
                <w:color w:val="0D0D0D" w:themeColor="text1" w:themeTint="F2"/>
                <w:spacing w:val="-4"/>
                <w:lang w:val="en-GB"/>
              </w:rPr>
              <w:t>(+6%)</w:t>
            </w:r>
            <w:r w:rsidR="007718D7" w:rsidRPr="00DD6E6B">
              <w:rPr>
                <w:color w:val="0D0D0D" w:themeColor="text1" w:themeTint="F2"/>
                <w:spacing w:val="-4"/>
                <w:lang w:val="en-GB"/>
              </w:rPr>
              <w:t xml:space="preserve"> then experienced the relatively highest growth</w:t>
            </w:r>
            <w:r w:rsidR="006A3CAF" w:rsidRPr="00DD6E6B">
              <w:rPr>
                <w:color w:val="0D0D0D" w:themeColor="text1" w:themeTint="F2"/>
                <w:spacing w:val="-4"/>
                <w:lang w:val="en-GB"/>
              </w:rPr>
              <w:t xml:space="preserve">. </w:t>
            </w:r>
            <w:r w:rsidR="00610131" w:rsidRPr="00DD6E6B">
              <w:rPr>
                <w:color w:val="0D0D0D" w:themeColor="text1" w:themeTint="F2"/>
                <w:spacing w:val="-4"/>
                <w:lang w:val="en-GB"/>
              </w:rPr>
              <w:t xml:space="preserve">At least a mild increase of the number of small businesses occurred in all main branches. Still the number </w:t>
            </w:r>
            <w:r w:rsidR="006209F8" w:rsidRPr="00DD6E6B">
              <w:rPr>
                <w:color w:val="0D0D0D" w:themeColor="text1" w:themeTint="F2"/>
                <w:spacing w:val="-4"/>
                <w:lang w:val="en-GB"/>
              </w:rPr>
              <w:t xml:space="preserve">of </w:t>
            </w:r>
            <w:r w:rsidR="00610131" w:rsidRPr="00DD6E6B">
              <w:rPr>
                <w:color w:val="0D0D0D" w:themeColor="text1" w:themeTint="F2"/>
                <w:spacing w:val="-4"/>
                <w:lang w:val="en-GB"/>
              </w:rPr>
              <w:t xml:space="preserve">self-employed remained considerably below the level from year </w:t>
            </w:r>
            <w:r w:rsidR="006A3CAF" w:rsidRPr="00DD6E6B">
              <w:rPr>
                <w:color w:val="0D0D0D" w:themeColor="text1" w:themeTint="F2"/>
                <w:spacing w:val="-4"/>
                <w:lang w:val="en-GB"/>
              </w:rPr>
              <w:t>2019 (-4%, 30 t</w:t>
            </w:r>
            <w:r w:rsidR="00610131" w:rsidRPr="00DD6E6B">
              <w:rPr>
                <w:color w:val="0D0D0D" w:themeColor="text1" w:themeTint="F2"/>
                <w:spacing w:val="-4"/>
                <w:lang w:val="en-GB"/>
              </w:rPr>
              <w:t>housand persons</w:t>
            </w:r>
            <w:r w:rsidR="006A3CAF" w:rsidRPr="00DD6E6B">
              <w:rPr>
                <w:color w:val="0D0D0D" w:themeColor="text1" w:themeTint="F2"/>
                <w:spacing w:val="-4"/>
                <w:lang w:val="en-GB"/>
              </w:rPr>
              <w:t>)</w:t>
            </w:r>
            <w:r w:rsidR="006A3CAF" w:rsidRPr="00DD6E6B">
              <w:rPr>
                <w:rStyle w:val="Znakapoznpodarou"/>
                <w:color w:val="0D0D0D" w:themeColor="text1" w:themeTint="F2"/>
                <w:spacing w:val="-4"/>
                <w:lang w:val="en-GB"/>
              </w:rPr>
              <w:footnoteReference w:id="3"/>
            </w:r>
            <w:r w:rsidR="00610131" w:rsidRPr="00DD6E6B">
              <w:rPr>
                <w:color w:val="0D0D0D" w:themeColor="text1" w:themeTint="F2"/>
                <w:spacing w:val="-4"/>
                <w:lang w:val="en-GB"/>
              </w:rPr>
              <w:t xml:space="preserve"> in Q2 this year</w:t>
            </w:r>
            <w:r w:rsidR="006A3CAF" w:rsidRPr="00DD6E6B">
              <w:rPr>
                <w:color w:val="0D0D0D" w:themeColor="text1" w:themeTint="F2"/>
                <w:spacing w:val="-4"/>
                <w:lang w:val="en-GB"/>
              </w:rPr>
              <w:t>.</w:t>
            </w:r>
          </w:p>
        </w:tc>
      </w:tr>
      <w:tr w:rsidR="006A3CAF" w:rsidRPr="00DD6E6B" w14:paraId="31356CF5" w14:textId="77777777" w:rsidTr="00DA0121">
        <w:trPr>
          <w:trHeight w:val="155"/>
        </w:trPr>
        <w:tc>
          <w:tcPr>
            <w:tcW w:w="1754" w:type="dxa"/>
            <w:shd w:val="clear" w:color="auto" w:fill="auto"/>
            <w:tcMar>
              <w:left w:w="0" w:type="dxa"/>
            </w:tcMar>
          </w:tcPr>
          <w:p w14:paraId="299BFFFA" w14:textId="500BEEEA" w:rsidR="006A3CAF" w:rsidRPr="00DD6E6B" w:rsidRDefault="007718D7" w:rsidP="00DA0121">
            <w:pPr>
              <w:pStyle w:val="Marginlie"/>
              <w:spacing w:after="120"/>
              <w:rPr>
                <w:color w:val="0D0D0D" w:themeColor="text1" w:themeTint="F2"/>
                <w:spacing w:val="-4"/>
                <w:lang w:val="en-GB"/>
              </w:rPr>
            </w:pPr>
            <w:r w:rsidRPr="00DD6E6B">
              <w:rPr>
                <w:color w:val="0D0D0D" w:themeColor="text1" w:themeTint="F2"/>
                <w:spacing w:val="-4"/>
                <w:lang w:val="en-GB"/>
              </w:rPr>
              <w:t xml:space="preserve">Number of employees grew solely thanks to services, where they increased across all main branches. </w:t>
            </w:r>
          </w:p>
          <w:p w14:paraId="60B7E93E" w14:textId="77777777" w:rsidR="006A3CAF" w:rsidRPr="00DD6E6B" w:rsidRDefault="006A3CAF" w:rsidP="00DA0121">
            <w:pPr>
              <w:pStyle w:val="Marginlie"/>
              <w:spacing w:after="120"/>
              <w:rPr>
                <w:color w:val="0D0D0D" w:themeColor="text1" w:themeTint="F2"/>
                <w:spacing w:val="-4"/>
                <w:lang w:val="en-GB"/>
              </w:rPr>
            </w:pPr>
          </w:p>
          <w:p w14:paraId="0A7BDE0C" w14:textId="77777777" w:rsidR="006A3CAF" w:rsidRPr="00DD6E6B" w:rsidRDefault="006A3CAF" w:rsidP="00DA0121">
            <w:pPr>
              <w:pStyle w:val="Marginlie"/>
              <w:spacing w:after="120"/>
              <w:rPr>
                <w:color w:val="0D0D0D" w:themeColor="text1" w:themeTint="F2"/>
                <w:spacing w:val="-4"/>
                <w:lang w:val="en-GB"/>
              </w:rPr>
            </w:pPr>
          </w:p>
          <w:p w14:paraId="4D0222C3" w14:textId="77777777" w:rsidR="006A3CAF" w:rsidRPr="00DD6E6B" w:rsidRDefault="006A3CAF" w:rsidP="00DA0121">
            <w:pPr>
              <w:pStyle w:val="Marginlie"/>
              <w:spacing w:after="120"/>
              <w:rPr>
                <w:color w:val="0D0D0D" w:themeColor="text1" w:themeTint="F2"/>
                <w:spacing w:val="-4"/>
                <w:lang w:val="en-GB"/>
              </w:rPr>
            </w:pPr>
          </w:p>
          <w:p w14:paraId="65FC79B7" w14:textId="77777777" w:rsidR="006A3CAF" w:rsidRPr="00DD6E6B" w:rsidRDefault="006A3CAF" w:rsidP="00DA0121">
            <w:pPr>
              <w:pStyle w:val="Marginlie"/>
              <w:spacing w:after="120"/>
              <w:rPr>
                <w:color w:val="0D0D0D" w:themeColor="text1" w:themeTint="F2"/>
                <w:spacing w:val="-4"/>
                <w:lang w:val="en-GB"/>
              </w:rPr>
            </w:pPr>
          </w:p>
          <w:p w14:paraId="21D64A62" w14:textId="2FD08805" w:rsidR="006A3CAF" w:rsidRPr="00DD6E6B" w:rsidRDefault="00C6479C" w:rsidP="00DA0121">
            <w:pPr>
              <w:pStyle w:val="Marginlie"/>
              <w:spacing w:after="120"/>
              <w:rPr>
                <w:color w:val="0D0D0D" w:themeColor="text1" w:themeTint="F2"/>
                <w:spacing w:val="-4"/>
                <w:lang w:val="en-GB"/>
              </w:rPr>
            </w:pPr>
            <w:r w:rsidRPr="00DD6E6B">
              <w:rPr>
                <w:color w:val="0D0D0D" w:themeColor="text1" w:themeTint="F2"/>
                <w:spacing w:val="-4"/>
                <w:lang w:val="en-GB"/>
              </w:rPr>
              <w:t xml:space="preserve">On the contrary, the number of employees shrank in manufacturing for the first time after two years. </w:t>
            </w:r>
          </w:p>
        </w:tc>
        <w:tc>
          <w:tcPr>
            <w:tcW w:w="220" w:type="dxa"/>
            <w:shd w:val="clear" w:color="auto" w:fill="auto"/>
            <w:tcMar>
              <w:left w:w="0" w:type="dxa"/>
            </w:tcMar>
          </w:tcPr>
          <w:p w14:paraId="34F05078" w14:textId="77777777" w:rsidR="006A3CAF" w:rsidRPr="00DD6E6B" w:rsidRDefault="006A3CAF" w:rsidP="00DA0121">
            <w:pPr>
              <w:pStyle w:val="Textpoznpodarou"/>
              <w:spacing w:after="120"/>
              <w:jc w:val="both"/>
              <w:rPr>
                <w:color w:val="0D0D0D" w:themeColor="text1" w:themeTint="F2"/>
                <w:spacing w:val="-4"/>
                <w:lang w:val="en-GB"/>
              </w:rPr>
            </w:pPr>
          </w:p>
        </w:tc>
        <w:tc>
          <w:tcPr>
            <w:tcW w:w="7700" w:type="dxa"/>
            <w:shd w:val="clear" w:color="auto" w:fill="auto"/>
            <w:tcMar>
              <w:left w:w="0" w:type="dxa"/>
            </w:tcMar>
          </w:tcPr>
          <w:p w14:paraId="024BCE49" w14:textId="5C7D8DF0" w:rsidR="006A3CAF" w:rsidRPr="00DD6E6B" w:rsidRDefault="00C6479C" w:rsidP="00062C40">
            <w:pPr>
              <w:rPr>
                <w:color w:val="0D0D0D" w:themeColor="text1" w:themeTint="F2"/>
                <w:spacing w:val="-4"/>
                <w:lang w:val="en-GB"/>
              </w:rPr>
            </w:pPr>
            <w:r w:rsidRPr="00DD6E6B">
              <w:rPr>
                <w:color w:val="0D0D0D" w:themeColor="text1" w:themeTint="F2"/>
                <w:spacing w:val="-4"/>
                <w:lang w:val="en-GB"/>
              </w:rPr>
              <w:t xml:space="preserve">Growth of total employment was however driven mainly by employees also this year. Their quantity however increased only by </w:t>
            </w:r>
            <w:r w:rsidR="006A3CAF" w:rsidRPr="00DD6E6B">
              <w:rPr>
                <w:color w:val="0D0D0D" w:themeColor="text1" w:themeTint="F2"/>
                <w:spacing w:val="-4"/>
                <w:lang w:val="en-GB"/>
              </w:rPr>
              <w:t>28 t</w:t>
            </w:r>
            <w:r w:rsidRPr="00DD6E6B">
              <w:rPr>
                <w:color w:val="0D0D0D" w:themeColor="text1" w:themeTint="F2"/>
                <w:spacing w:val="-4"/>
                <w:lang w:val="en-GB"/>
              </w:rPr>
              <w:t xml:space="preserve">housand </w:t>
            </w:r>
            <w:r w:rsidR="006A3CAF" w:rsidRPr="00DD6E6B">
              <w:rPr>
                <w:color w:val="0D0D0D" w:themeColor="text1" w:themeTint="F2"/>
                <w:spacing w:val="-4"/>
                <w:lang w:val="en-GB"/>
              </w:rPr>
              <w:t>(+0</w:t>
            </w:r>
            <w:r w:rsidRPr="00DD6E6B">
              <w:rPr>
                <w:color w:val="0D0D0D" w:themeColor="text1" w:themeTint="F2"/>
                <w:spacing w:val="-4"/>
                <w:lang w:val="en-GB"/>
              </w:rPr>
              <w:t>.</w:t>
            </w:r>
            <w:r w:rsidR="006A3CAF" w:rsidRPr="00DD6E6B">
              <w:rPr>
                <w:color w:val="0D0D0D" w:themeColor="text1" w:themeTint="F2"/>
                <w:spacing w:val="-4"/>
                <w:lang w:val="en-GB"/>
              </w:rPr>
              <w:t xml:space="preserve">6%, </w:t>
            </w:r>
            <w:r w:rsidRPr="00DD6E6B">
              <w:rPr>
                <w:color w:val="0D0D0D" w:themeColor="text1" w:themeTint="F2"/>
                <w:spacing w:val="-4"/>
                <w:lang w:val="en-GB"/>
              </w:rPr>
              <w:t xml:space="preserve">the least since the peak of the pandemics at the beginning of year </w:t>
            </w:r>
            <w:r w:rsidR="006A3CAF" w:rsidRPr="00DD6E6B">
              <w:rPr>
                <w:color w:val="0D0D0D" w:themeColor="text1" w:themeTint="F2"/>
                <w:spacing w:val="-4"/>
                <w:lang w:val="en-GB"/>
              </w:rPr>
              <w:t>2021)</w:t>
            </w:r>
            <w:r w:rsidRPr="00DD6E6B">
              <w:rPr>
                <w:color w:val="0D0D0D" w:themeColor="text1" w:themeTint="F2"/>
                <w:spacing w:val="-4"/>
                <w:lang w:val="en-GB"/>
              </w:rPr>
              <w:t xml:space="preserve"> year-on-year in Q2</w:t>
            </w:r>
            <w:r w:rsidR="006A3CAF" w:rsidRPr="00DD6E6B">
              <w:rPr>
                <w:color w:val="0D0D0D" w:themeColor="text1" w:themeTint="F2"/>
                <w:spacing w:val="-4"/>
                <w:lang w:val="en-GB"/>
              </w:rPr>
              <w:t xml:space="preserve">. </w:t>
            </w:r>
            <w:r w:rsidR="009D7CC3" w:rsidRPr="00DD6E6B">
              <w:rPr>
                <w:color w:val="0D0D0D" w:themeColor="text1" w:themeTint="F2"/>
                <w:spacing w:val="-4"/>
                <w:lang w:val="en-GB"/>
              </w:rPr>
              <w:t xml:space="preserve">In spite of the previous period however, the increase of the job positions occurred only in the tertiary sector in Q2 this year </w:t>
            </w:r>
            <w:r w:rsidR="006A3CAF" w:rsidRPr="00DD6E6B">
              <w:rPr>
                <w:color w:val="0D0D0D" w:themeColor="text1" w:themeTint="F2"/>
                <w:spacing w:val="-4"/>
                <w:lang w:val="en-GB"/>
              </w:rPr>
              <w:t>(</w:t>
            </w:r>
            <w:r w:rsidR="009D7CC3" w:rsidRPr="00DD6E6B">
              <w:rPr>
                <w:color w:val="0D0D0D" w:themeColor="text1" w:themeTint="F2"/>
                <w:spacing w:val="-4"/>
                <w:lang w:val="en-GB"/>
              </w:rPr>
              <w:t>where it however had for the vast part an across the board character</w:t>
            </w:r>
            <w:r w:rsidR="006A3CAF" w:rsidRPr="00DD6E6B">
              <w:rPr>
                <w:color w:val="0D0D0D" w:themeColor="text1" w:themeTint="F2"/>
                <w:spacing w:val="-4"/>
                <w:lang w:val="en-GB"/>
              </w:rPr>
              <w:t xml:space="preserve">). </w:t>
            </w:r>
            <w:r w:rsidR="004E07F5" w:rsidRPr="00DD6E6B">
              <w:rPr>
                <w:color w:val="0D0D0D" w:themeColor="text1" w:themeTint="F2"/>
                <w:spacing w:val="-4"/>
                <w:lang w:val="en-GB"/>
              </w:rPr>
              <w:t xml:space="preserve">The more than </w:t>
            </w:r>
            <w:r w:rsidR="006A3CAF" w:rsidRPr="00DD6E6B">
              <w:rPr>
                <w:color w:val="0D0D0D" w:themeColor="text1" w:themeTint="F2"/>
                <w:spacing w:val="-4"/>
                <w:lang w:val="en-GB"/>
              </w:rPr>
              <w:t>2%</w:t>
            </w:r>
            <w:r w:rsidR="004E07F5" w:rsidRPr="00DD6E6B">
              <w:rPr>
                <w:color w:val="0D0D0D" w:themeColor="text1" w:themeTint="F2"/>
                <w:spacing w:val="-4"/>
                <w:lang w:val="en-GB"/>
              </w:rPr>
              <w:t xml:space="preserve"> strengthening of employment in public services was clearly evident there</w:t>
            </w:r>
            <w:r w:rsidR="006A3CAF" w:rsidRPr="00DD6E6B">
              <w:rPr>
                <w:color w:val="0D0D0D" w:themeColor="text1" w:themeTint="F2"/>
                <w:spacing w:val="-4"/>
                <w:lang w:val="en-GB"/>
              </w:rPr>
              <w:t>,</w:t>
            </w:r>
            <w:r w:rsidR="004E07F5" w:rsidRPr="00DD6E6B">
              <w:rPr>
                <w:color w:val="0D0D0D" w:themeColor="text1" w:themeTint="F2"/>
                <w:spacing w:val="-4"/>
                <w:lang w:val="en-GB"/>
              </w:rPr>
              <w:t xml:space="preserve"> when new positions in the areas typically linked with high participation of females (education, health and social care) were created for the reasons of heighte</w:t>
            </w:r>
            <w:r w:rsidR="001A3329" w:rsidRPr="00DD6E6B">
              <w:rPr>
                <w:color w:val="0D0D0D" w:themeColor="text1" w:themeTint="F2"/>
                <w:spacing w:val="-4"/>
                <w:lang w:val="en-GB"/>
              </w:rPr>
              <w:t>ned</w:t>
            </w:r>
            <w:r w:rsidR="004E07F5" w:rsidRPr="00DD6E6B">
              <w:rPr>
                <w:color w:val="0D0D0D" w:themeColor="text1" w:themeTint="F2"/>
                <w:spacing w:val="-4"/>
                <w:lang w:val="en-GB"/>
              </w:rPr>
              <w:t xml:space="preserve"> society-wide demand</w:t>
            </w:r>
            <w:r w:rsidR="006A3CAF" w:rsidRPr="00DD6E6B">
              <w:rPr>
                <w:rStyle w:val="Znakapoznpodarou"/>
                <w:color w:val="0D0D0D" w:themeColor="text1" w:themeTint="F2"/>
                <w:spacing w:val="-4"/>
                <w:lang w:val="en-GB"/>
              </w:rPr>
              <w:footnoteReference w:id="4"/>
            </w:r>
            <w:r w:rsidR="004E07F5" w:rsidRPr="00DD6E6B">
              <w:rPr>
                <w:color w:val="0D0D0D" w:themeColor="text1" w:themeTint="F2"/>
                <w:spacing w:val="-4"/>
                <w:lang w:val="en-GB"/>
              </w:rPr>
              <w:t>. New employee positions were also created, even less intensively, also in the traditionally dynamic information and communication.</w:t>
            </w:r>
            <w:r w:rsidR="00BD57E9" w:rsidRPr="00DD6E6B">
              <w:rPr>
                <w:color w:val="0D0D0D" w:themeColor="text1" w:themeTint="F2"/>
                <w:spacing w:val="-4"/>
                <w:lang w:val="en-GB"/>
              </w:rPr>
              <w:t xml:space="preserve"> Branch professional, scientific, technical and administrative activities, providing services for businesses</w:t>
            </w:r>
            <w:r w:rsidR="00BD57E9" w:rsidRPr="00DD6E6B">
              <w:rPr>
                <w:color w:val="0D0D0D" w:themeColor="text1" w:themeTint="F2"/>
                <w:spacing w:val="-8"/>
                <w:lang w:val="en-GB"/>
              </w:rPr>
              <w:t xml:space="preserve"> also signalled a more stable growth of demand for workers. By contrast the traditional branches of production due to the effect of strong growth of production costs as well as sluggish foreign demand struggled with growing difficulties. Thus the growth of the number of employees halted in manufacturing in Q2 for the first time in two years </w:t>
            </w:r>
            <w:r w:rsidR="006A3CAF" w:rsidRPr="00DD6E6B">
              <w:rPr>
                <w:color w:val="0D0D0D" w:themeColor="text1" w:themeTint="F2"/>
                <w:spacing w:val="-8"/>
                <w:lang w:val="en-GB"/>
              </w:rPr>
              <w:lastRenderedPageBreak/>
              <w:t>(</w:t>
            </w:r>
            <w:r w:rsidR="00062C40">
              <w:rPr>
                <w:color w:val="000000"/>
                <w:shd w:val="clear" w:color="auto" w:fill="FFFFFF"/>
              </w:rPr>
              <w:t>–</w:t>
            </w:r>
            <w:r w:rsidR="006A3CAF" w:rsidRPr="00DD6E6B">
              <w:rPr>
                <w:color w:val="0D0D0D" w:themeColor="text1" w:themeTint="F2"/>
                <w:spacing w:val="-8"/>
                <w:lang w:val="en-GB"/>
              </w:rPr>
              <w:t>0</w:t>
            </w:r>
            <w:r w:rsidR="00BD57E9" w:rsidRPr="00DD6E6B">
              <w:rPr>
                <w:color w:val="0D0D0D" w:themeColor="text1" w:themeTint="F2"/>
                <w:spacing w:val="-8"/>
                <w:lang w:val="en-GB"/>
              </w:rPr>
              <w:t>.</w:t>
            </w:r>
            <w:r w:rsidR="006A3CAF" w:rsidRPr="00DD6E6B">
              <w:rPr>
                <w:color w:val="0D0D0D" w:themeColor="text1" w:themeTint="F2"/>
                <w:spacing w:val="-8"/>
                <w:lang w:val="en-GB"/>
              </w:rPr>
              <w:t>9%)</w:t>
            </w:r>
            <w:r w:rsidR="006A3CAF" w:rsidRPr="00DD6E6B">
              <w:rPr>
                <w:rStyle w:val="Znakapoznpodarou"/>
                <w:color w:val="0D0D0D" w:themeColor="text1" w:themeTint="F2"/>
                <w:spacing w:val="-8"/>
                <w:lang w:val="en-GB"/>
              </w:rPr>
              <w:footnoteReference w:id="5"/>
            </w:r>
            <w:r w:rsidR="006A3CAF" w:rsidRPr="00DD6E6B">
              <w:rPr>
                <w:color w:val="0D0D0D" w:themeColor="text1" w:themeTint="F2"/>
                <w:spacing w:val="-8"/>
                <w:lang w:val="en-GB"/>
              </w:rPr>
              <w:t>,</w:t>
            </w:r>
            <w:r w:rsidR="00BD57E9" w:rsidRPr="00DD6E6B">
              <w:rPr>
                <w:color w:val="0D0D0D" w:themeColor="text1" w:themeTint="F2"/>
                <w:spacing w:val="-8"/>
                <w:lang w:val="en-GB"/>
              </w:rPr>
              <w:t xml:space="preserve"> mild growth continued in the primary sector of the economy, even though at a slower pace than last year. </w:t>
            </w:r>
          </w:p>
        </w:tc>
      </w:tr>
      <w:tr w:rsidR="006A3CAF" w:rsidRPr="00DD6E6B" w14:paraId="35911B1D" w14:textId="77777777" w:rsidTr="00DA0121">
        <w:trPr>
          <w:trHeight w:val="155"/>
        </w:trPr>
        <w:tc>
          <w:tcPr>
            <w:tcW w:w="1754" w:type="dxa"/>
            <w:shd w:val="clear" w:color="auto" w:fill="auto"/>
            <w:tcMar>
              <w:left w:w="0" w:type="dxa"/>
            </w:tcMar>
          </w:tcPr>
          <w:p w14:paraId="69A1D3D0" w14:textId="3A00B288" w:rsidR="006A3CAF" w:rsidRPr="00DD6E6B" w:rsidRDefault="00D8210B" w:rsidP="00DA0121">
            <w:pPr>
              <w:pStyle w:val="Marginlie"/>
              <w:spacing w:after="120"/>
              <w:rPr>
                <w:color w:val="0D0D0D" w:themeColor="text1" w:themeTint="F2"/>
                <w:spacing w:val="-4"/>
                <w:lang w:val="en-GB"/>
              </w:rPr>
            </w:pPr>
            <w:r w:rsidRPr="00DD6E6B">
              <w:rPr>
                <w:color w:val="0D0D0D" w:themeColor="text1" w:themeTint="F2"/>
                <w:spacing w:val="-4"/>
                <w:lang w:val="en-GB"/>
              </w:rPr>
              <w:lastRenderedPageBreak/>
              <w:t>More frequent use of part-time job contracts prevented faster growth of hours worked in services.</w:t>
            </w:r>
          </w:p>
        </w:tc>
        <w:tc>
          <w:tcPr>
            <w:tcW w:w="220" w:type="dxa"/>
            <w:shd w:val="clear" w:color="auto" w:fill="auto"/>
            <w:tcMar>
              <w:left w:w="0" w:type="dxa"/>
            </w:tcMar>
          </w:tcPr>
          <w:p w14:paraId="0047B71F" w14:textId="77777777" w:rsidR="006A3CAF" w:rsidRPr="00DD6E6B" w:rsidRDefault="006A3CAF" w:rsidP="00DA0121">
            <w:pPr>
              <w:pStyle w:val="Textpoznpodarou"/>
              <w:spacing w:after="120"/>
              <w:jc w:val="both"/>
              <w:rPr>
                <w:color w:val="0D0D0D" w:themeColor="text1" w:themeTint="F2"/>
                <w:spacing w:val="-4"/>
                <w:lang w:val="en-GB"/>
              </w:rPr>
            </w:pPr>
          </w:p>
        </w:tc>
        <w:tc>
          <w:tcPr>
            <w:tcW w:w="7700" w:type="dxa"/>
            <w:shd w:val="clear" w:color="auto" w:fill="auto"/>
            <w:tcMar>
              <w:left w:w="0" w:type="dxa"/>
            </w:tcMar>
          </w:tcPr>
          <w:p w14:paraId="5A48CA98" w14:textId="7601BA55" w:rsidR="006A3CAF" w:rsidRPr="00DD6E6B" w:rsidRDefault="004E07F5" w:rsidP="00D612BF">
            <w:pPr>
              <w:rPr>
                <w:color w:val="0D0D0D" w:themeColor="text1" w:themeTint="F2"/>
                <w:spacing w:val="-4"/>
                <w:lang w:val="en-GB"/>
              </w:rPr>
            </w:pPr>
            <w:r w:rsidRPr="00DD6E6B">
              <w:rPr>
                <w:color w:val="0D0D0D" w:themeColor="text1" w:themeTint="F2"/>
                <w:spacing w:val="-4"/>
                <w:lang w:val="en-GB"/>
              </w:rPr>
              <w:t xml:space="preserve">Total number of hours worked increased by 0.9% in the economy year-on-year in Q2 and similarly to the beginning of this year it grew comparably to the total employment </w:t>
            </w:r>
            <w:r w:rsidR="006A3CAF" w:rsidRPr="00DD6E6B">
              <w:rPr>
                <w:color w:val="0D0D0D" w:themeColor="text1" w:themeTint="F2"/>
                <w:spacing w:val="-4"/>
                <w:lang w:val="en-GB"/>
              </w:rPr>
              <w:t>(</w:t>
            </w:r>
            <w:r w:rsidR="005A7990" w:rsidRPr="00DD6E6B">
              <w:rPr>
                <w:color w:val="0D0D0D" w:themeColor="text1" w:themeTint="F2"/>
                <w:spacing w:val="-4"/>
                <w:lang w:val="en-GB"/>
              </w:rPr>
              <w:t xml:space="preserve">although </w:t>
            </w:r>
            <w:r w:rsidR="0078539D" w:rsidRPr="00DD6E6B">
              <w:rPr>
                <w:color w:val="0D0D0D" w:themeColor="text1" w:themeTint="F2"/>
                <w:spacing w:val="-4"/>
                <w:lang w:val="en-GB"/>
              </w:rPr>
              <w:t xml:space="preserve">the hours worked </w:t>
            </w:r>
            <w:r w:rsidR="006502AB" w:rsidRPr="00DD6E6B">
              <w:rPr>
                <w:color w:val="0D0D0D" w:themeColor="text1" w:themeTint="F2"/>
                <w:spacing w:val="-4"/>
                <w:lang w:val="en-GB"/>
              </w:rPr>
              <w:t xml:space="preserve">were </w:t>
            </w:r>
            <w:r w:rsidR="0078539D" w:rsidRPr="00DD6E6B">
              <w:rPr>
                <w:color w:val="0D0D0D" w:themeColor="text1" w:themeTint="F2"/>
                <w:spacing w:val="-4"/>
                <w:lang w:val="en-GB"/>
              </w:rPr>
              <w:t>significantly</w:t>
            </w:r>
            <w:r w:rsidR="006502AB" w:rsidRPr="00DD6E6B">
              <w:rPr>
                <w:color w:val="0D0D0D" w:themeColor="text1" w:themeTint="F2"/>
                <w:spacing w:val="-4"/>
                <w:lang w:val="en-GB"/>
              </w:rPr>
              <w:t xml:space="preserve"> ahead of the </w:t>
            </w:r>
            <w:r w:rsidR="004D7385" w:rsidRPr="00DD6E6B">
              <w:rPr>
                <w:color w:val="0D0D0D" w:themeColor="text1" w:themeTint="F2"/>
                <w:spacing w:val="-4"/>
                <w:lang w:val="en-GB"/>
              </w:rPr>
              <w:t xml:space="preserve">rate of growth of the employment </w:t>
            </w:r>
            <w:r w:rsidR="00D105FD" w:rsidRPr="00DD6E6B">
              <w:rPr>
                <w:color w:val="0D0D0D" w:themeColor="text1" w:themeTint="F2"/>
                <w:spacing w:val="-4"/>
                <w:lang w:val="en-GB"/>
              </w:rPr>
              <w:t>for the whole last year</w:t>
            </w:r>
            <w:r w:rsidR="006A3CAF" w:rsidRPr="00DD6E6B">
              <w:rPr>
                <w:color w:val="0D0D0D" w:themeColor="text1" w:themeTint="F2"/>
                <w:spacing w:val="-4"/>
                <w:lang w:val="en-GB"/>
              </w:rPr>
              <w:t xml:space="preserve">). </w:t>
            </w:r>
            <w:r w:rsidR="004B6C4C" w:rsidRPr="00DD6E6B">
              <w:rPr>
                <w:color w:val="0D0D0D" w:themeColor="text1" w:themeTint="F2"/>
                <w:spacing w:val="-4"/>
                <w:lang w:val="en-GB"/>
              </w:rPr>
              <w:t>Expan</w:t>
            </w:r>
            <w:r w:rsidR="00965504" w:rsidRPr="00DD6E6B">
              <w:rPr>
                <w:color w:val="0D0D0D" w:themeColor="text1" w:themeTint="F2"/>
                <w:spacing w:val="-4"/>
                <w:lang w:val="en-GB"/>
              </w:rPr>
              <w:t xml:space="preserve">sion of the part-time job contracts </w:t>
            </w:r>
            <w:r w:rsidR="006A3CAF" w:rsidRPr="00DD6E6B">
              <w:rPr>
                <w:color w:val="0D0D0D" w:themeColor="text1" w:themeTint="F2"/>
                <w:spacing w:val="-4"/>
                <w:lang w:val="en-GB"/>
              </w:rPr>
              <w:t>(</w:t>
            </w:r>
            <w:r w:rsidR="002318C6" w:rsidRPr="00DD6E6B">
              <w:rPr>
                <w:color w:val="0D0D0D" w:themeColor="text1" w:themeTint="F2"/>
                <w:spacing w:val="-4"/>
                <w:lang w:val="en-GB"/>
              </w:rPr>
              <w:t xml:space="preserve">connected with the growing employment of females supported by the refugee wave </w:t>
            </w:r>
            <w:r w:rsidR="00BA2B7C" w:rsidRPr="00DD6E6B">
              <w:rPr>
                <w:color w:val="0D0D0D" w:themeColor="text1" w:themeTint="F2"/>
                <w:spacing w:val="-4"/>
                <w:lang w:val="en-GB"/>
              </w:rPr>
              <w:t xml:space="preserve">as well as newly introduced </w:t>
            </w:r>
            <w:r w:rsidR="00965504" w:rsidRPr="00DD6E6B">
              <w:rPr>
                <w:color w:val="0D0D0D" w:themeColor="text1" w:themeTint="F2"/>
                <w:spacing w:val="-4"/>
                <w:lang w:val="en-GB"/>
              </w:rPr>
              <w:t xml:space="preserve">tax </w:t>
            </w:r>
            <w:r w:rsidR="000A1B1A" w:rsidRPr="00DD6E6B">
              <w:rPr>
                <w:color w:val="0D0D0D" w:themeColor="text1" w:themeTint="F2"/>
                <w:spacing w:val="-4"/>
                <w:lang w:val="en-GB"/>
              </w:rPr>
              <w:t xml:space="preserve">relief </w:t>
            </w:r>
            <w:r w:rsidR="00FC6CCA" w:rsidRPr="00DD6E6B">
              <w:rPr>
                <w:color w:val="0D0D0D" w:themeColor="text1" w:themeTint="F2"/>
                <w:spacing w:val="-4"/>
                <w:lang w:val="en-GB"/>
              </w:rPr>
              <w:t>to support part-time jobs</w:t>
            </w:r>
            <w:r w:rsidR="006A3CAF" w:rsidRPr="00DD6E6B">
              <w:rPr>
                <w:color w:val="0D0D0D" w:themeColor="text1" w:themeTint="F2"/>
                <w:spacing w:val="-4"/>
                <w:lang w:val="en-GB"/>
              </w:rPr>
              <w:t>)</w:t>
            </w:r>
            <w:r w:rsidR="00965504" w:rsidRPr="00DD6E6B">
              <w:rPr>
                <w:color w:val="0D0D0D" w:themeColor="text1" w:themeTint="F2"/>
                <w:spacing w:val="-4"/>
                <w:lang w:val="en-GB"/>
              </w:rPr>
              <w:t xml:space="preserve"> prevented </w:t>
            </w:r>
            <w:r w:rsidR="00965504" w:rsidRPr="00D612BF">
              <w:rPr>
                <w:color w:val="0D0D0D" w:themeColor="text1" w:themeTint="F2"/>
                <w:spacing w:val="-4"/>
                <w:lang w:val="en-GB"/>
              </w:rPr>
              <w:t>swifter</w:t>
            </w:r>
            <w:r w:rsidR="00965504" w:rsidRPr="00DD6E6B">
              <w:rPr>
                <w:color w:val="0D0D0D" w:themeColor="text1" w:themeTint="F2"/>
                <w:spacing w:val="-4"/>
                <w:lang w:val="en-GB"/>
              </w:rPr>
              <w:t xml:space="preserve"> growth of the hours worked this year</w:t>
            </w:r>
            <w:r w:rsidR="006A3CAF" w:rsidRPr="00DD6E6B">
              <w:rPr>
                <w:color w:val="0D0D0D" w:themeColor="text1" w:themeTint="F2"/>
                <w:spacing w:val="-4"/>
                <w:lang w:val="en-GB"/>
              </w:rPr>
              <w:t xml:space="preserve">. </w:t>
            </w:r>
            <w:r w:rsidR="00D8210B" w:rsidRPr="00DD6E6B">
              <w:rPr>
                <w:color w:val="0D0D0D" w:themeColor="text1" w:themeTint="F2"/>
                <w:spacing w:val="-4"/>
                <w:lang w:val="en-GB"/>
              </w:rPr>
              <w:t xml:space="preserve">Growth of the hours worked more notably overtook the employment dynamics only in industry. </w:t>
            </w:r>
          </w:p>
        </w:tc>
      </w:tr>
      <w:tr w:rsidR="006A3CAF" w:rsidRPr="00DD6E6B" w14:paraId="32472F33" w14:textId="77777777" w:rsidTr="00DA0121">
        <w:trPr>
          <w:trHeight w:val="155"/>
        </w:trPr>
        <w:tc>
          <w:tcPr>
            <w:tcW w:w="1754" w:type="dxa"/>
            <w:vMerge w:val="restart"/>
            <w:shd w:val="clear" w:color="auto" w:fill="auto"/>
            <w:tcMar>
              <w:left w:w="0" w:type="dxa"/>
            </w:tcMar>
          </w:tcPr>
          <w:p w14:paraId="16E839B5" w14:textId="77777777" w:rsidR="006A3CAF" w:rsidRPr="00DD6E6B" w:rsidRDefault="006A3CAF" w:rsidP="00DA0121">
            <w:pPr>
              <w:pStyle w:val="Marginlie"/>
              <w:spacing w:after="120"/>
              <w:rPr>
                <w:spacing w:val="-4"/>
                <w:lang w:val="en-GB"/>
              </w:rPr>
            </w:pPr>
          </w:p>
        </w:tc>
        <w:tc>
          <w:tcPr>
            <w:tcW w:w="220" w:type="dxa"/>
            <w:vMerge w:val="restart"/>
            <w:shd w:val="clear" w:color="auto" w:fill="auto"/>
            <w:tcMar>
              <w:left w:w="0" w:type="dxa"/>
            </w:tcMar>
          </w:tcPr>
          <w:p w14:paraId="65FAA453" w14:textId="77777777" w:rsidR="006A3CAF" w:rsidRPr="00DD6E6B" w:rsidRDefault="006A3CAF" w:rsidP="00DA0121">
            <w:pPr>
              <w:pStyle w:val="Textpoznpodarou"/>
              <w:spacing w:after="120"/>
              <w:jc w:val="both"/>
              <w:rPr>
                <w:spacing w:val="-4"/>
                <w:lang w:val="en-GB"/>
              </w:rPr>
            </w:pPr>
          </w:p>
        </w:tc>
        <w:tc>
          <w:tcPr>
            <w:tcW w:w="7700" w:type="dxa"/>
            <w:shd w:val="clear" w:color="auto" w:fill="auto"/>
            <w:tcMar>
              <w:left w:w="0" w:type="dxa"/>
            </w:tcMar>
          </w:tcPr>
          <w:p w14:paraId="5B7F009B" w14:textId="48774382" w:rsidR="006A3CAF" w:rsidRPr="00D80129" w:rsidRDefault="00BA0986" w:rsidP="00320ACF">
            <w:pPr>
              <w:spacing w:after="0"/>
              <w:rPr>
                <w:spacing w:val="-3"/>
                <w:szCs w:val="20"/>
                <w:lang w:val="en-GB"/>
              </w:rPr>
            </w:pPr>
            <w:r w:rsidRPr="00D80129">
              <w:rPr>
                <w:rFonts w:cs="Arial"/>
                <w:b/>
                <w:bCs/>
                <w:color w:val="000000"/>
                <w:spacing w:val="-3"/>
                <w:szCs w:val="20"/>
                <w:lang w:val="en-GB"/>
              </w:rPr>
              <w:t>Chart</w:t>
            </w:r>
            <w:r w:rsidR="006A3CAF" w:rsidRPr="00D80129">
              <w:rPr>
                <w:rFonts w:cs="Arial"/>
                <w:b/>
                <w:bCs/>
                <w:color w:val="000000"/>
                <w:spacing w:val="-3"/>
                <w:szCs w:val="20"/>
                <w:lang w:val="en-GB"/>
              </w:rPr>
              <w:t xml:space="preserve"> 13 </w:t>
            </w:r>
            <w:r w:rsidR="009931C3" w:rsidRPr="00D80129">
              <w:rPr>
                <w:rFonts w:cs="Arial"/>
                <w:b/>
                <w:bCs/>
                <w:color w:val="000000"/>
                <w:spacing w:val="-3"/>
                <w:szCs w:val="20"/>
                <w:lang w:val="en-GB"/>
              </w:rPr>
              <w:t xml:space="preserve">Total employment </w:t>
            </w:r>
            <w:r w:rsidR="009931C3" w:rsidRPr="00D80129">
              <w:rPr>
                <w:rFonts w:cs="Arial"/>
                <w:color w:val="000000"/>
                <w:spacing w:val="-3"/>
                <w:szCs w:val="20"/>
                <w:lang w:val="en-GB"/>
              </w:rPr>
              <w:t>(year-on-year in %),</w:t>
            </w:r>
            <w:r w:rsidR="009931C3" w:rsidRPr="00D80129">
              <w:rPr>
                <w:rFonts w:cs="Arial"/>
                <w:b/>
                <w:bCs/>
                <w:color w:val="000000"/>
                <w:spacing w:val="-3"/>
                <w:szCs w:val="20"/>
                <w:lang w:val="en-GB"/>
              </w:rPr>
              <w:t xml:space="preserve"> contributions of branches to year-on-year change of employment </w:t>
            </w:r>
            <w:r w:rsidR="009931C3" w:rsidRPr="00D80129">
              <w:rPr>
                <w:rFonts w:cs="Arial"/>
                <w:color w:val="000000"/>
                <w:spacing w:val="-3"/>
                <w:szCs w:val="20"/>
                <w:lang w:val="en-GB"/>
              </w:rPr>
              <w:t>(in p.p.)</w:t>
            </w:r>
            <w:r w:rsidR="00C408AE" w:rsidRPr="00D80129">
              <w:rPr>
                <w:rFonts w:cs="Arial"/>
                <w:b/>
                <w:bCs/>
                <w:color w:val="000000"/>
                <w:spacing w:val="-3"/>
                <w:szCs w:val="20"/>
                <w:lang w:val="en-GB"/>
              </w:rPr>
              <w:t>,</w:t>
            </w:r>
            <w:r w:rsidR="00320ACF" w:rsidRPr="00D80129">
              <w:rPr>
                <w:rFonts w:cs="Arial"/>
                <w:b/>
                <w:bCs/>
                <w:color w:val="000000"/>
                <w:spacing w:val="-3"/>
                <w:szCs w:val="20"/>
                <w:lang w:val="en-GB"/>
              </w:rPr>
              <w:t xml:space="preserve"> expectations of employment</w:t>
            </w:r>
            <w:r w:rsidR="009931C3" w:rsidRPr="00D80129">
              <w:rPr>
                <w:rFonts w:cs="Arial"/>
                <w:color w:val="000000"/>
                <w:spacing w:val="-3"/>
                <w:szCs w:val="20"/>
                <w:lang w:val="en-GB"/>
              </w:rPr>
              <w:t xml:space="preserve"> (balance in p. p.) </w:t>
            </w:r>
          </w:p>
        </w:tc>
      </w:tr>
      <w:tr w:rsidR="006A3CAF" w:rsidRPr="00DD6E6B" w14:paraId="460C7FAC" w14:textId="77777777" w:rsidTr="00320ACF">
        <w:tblPrEx>
          <w:tblCellMar>
            <w:left w:w="70" w:type="dxa"/>
            <w:right w:w="70" w:type="dxa"/>
          </w:tblCellMar>
        </w:tblPrEx>
        <w:trPr>
          <w:trHeight w:val="155"/>
        </w:trPr>
        <w:tc>
          <w:tcPr>
            <w:tcW w:w="1754" w:type="dxa"/>
            <w:vMerge/>
            <w:shd w:val="clear" w:color="auto" w:fill="auto"/>
          </w:tcPr>
          <w:p w14:paraId="6FEA78CA" w14:textId="77777777" w:rsidR="006A3CAF" w:rsidRPr="00DD6E6B" w:rsidRDefault="006A3CAF" w:rsidP="00DA0121">
            <w:pPr>
              <w:pStyle w:val="Marginlie"/>
              <w:spacing w:after="120"/>
              <w:rPr>
                <w:spacing w:val="-4"/>
                <w:lang w:val="en-GB"/>
              </w:rPr>
            </w:pPr>
          </w:p>
        </w:tc>
        <w:tc>
          <w:tcPr>
            <w:tcW w:w="220" w:type="dxa"/>
            <w:vMerge/>
            <w:shd w:val="clear" w:color="auto" w:fill="auto"/>
          </w:tcPr>
          <w:p w14:paraId="1128BF3E" w14:textId="77777777" w:rsidR="006A3CAF" w:rsidRPr="00DD6E6B" w:rsidRDefault="006A3CAF" w:rsidP="00DA0121">
            <w:pPr>
              <w:pStyle w:val="Textpoznpodarou"/>
              <w:spacing w:after="120"/>
              <w:jc w:val="both"/>
              <w:rPr>
                <w:spacing w:val="-4"/>
                <w:lang w:val="en-GB"/>
              </w:rPr>
            </w:pPr>
          </w:p>
        </w:tc>
        <w:tc>
          <w:tcPr>
            <w:tcW w:w="7700" w:type="dxa"/>
            <w:shd w:val="clear" w:color="auto" w:fill="auto"/>
          </w:tcPr>
          <w:p w14:paraId="633D69B0" w14:textId="26AEE12E" w:rsidR="006A3CAF" w:rsidRPr="00DD6E6B" w:rsidRDefault="00320ACF" w:rsidP="00DA0121">
            <w:pPr>
              <w:spacing w:after="0"/>
              <w:rPr>
                <w:spacing w:val="-4"/>
                <w:lang w:val="en-GB"/>
              </w:rPr>
            </w:pPr>
            <w:r>
              <w:rPr>
                <w:noProof/>
              </w:rPr>
              <w:drawing>
                <wp:inline distT="0" distB="0" distL="0" distR="0" wp14:anchorId="1E0169DF" wp14:editId="31CBAD24">
                  <wp:extent cx="4774143" cy="3812048"/>
                  <wp:effectExtent l="0" t="0" r="762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6A3CAF" w:rsidRPr="00DD6E6B" w14:paraId="72083D39" w14:textId="77777777" w:rsidTr="00DA0121">
        <w:trPr>
          <w:trHeight w:val="671"/>
        </w:trPr>
        <w:tc>
          <w:tcPr>
            <w:tcW w:w="1754" w:type="dxa"/>
            <w:vMerge/>
            <w:shd w:val="clear" w:color="auto" w:fill="auto"/>
            <w:tcMar>
              <w:left w:w="0" w:type="dxa"/>
            </w:tcMar>
          </w:tcPr>
          <w:p w14:paraId="688AB130" w14:textId="77777777" w:rsidR="006A3CAF" w:rsidRPr="00DD6E6B" w:rsidRDefault="006A3CAF" w:rsidP="00DA0121">
            <w:pPr>
              <w:pStyle w:val="Marginlie"/>
              <w:spacing w:after="120"/>
              <w:rPr>
                <w:spacing w:val="-4"/>
                <w:lang w:val="en-GB"/>
              </w:rPr>
            </w:pPr>
          </w:p>
        </w:tc>
        <w:tc>
          <w:tcPr>
            <w:tcW w:w="220" w:type="dxa"/>
            <w:vMerge/>
            <w:shd w:val="clear" w:color="auto" w:fill="auto"/>
            <w:tcMar>
              <w:left w:w="0" w:type="dxa"/>
            </w:tcMar>
          </w:tcPr>
          <w:p w14:paraId="2BBC781F" w14:textId="77777777" w:rsidR="006A3CAF" w:rsidRPr="00DD6E6B" w:rsidRDefault="006A3CAF" w:rsidP="00DA0121">
            <w:pPr>
              <w:pStyle w:val="Textpoznpodarou"/>
              <w:spacing w:after="120"/>
              <w:jc w:val="both"/>
              <w:rPr>
                <w:spacing w:val="-4"/>
                <w:lang w:val="en-GB"/>
              </w:rPr>
            </w:pPr>
          </w:p>
        </w:tc>
        <w:tc>
          <w:tcPr>
            <w:tcW w:w="7700" w:type="dxa"/>
            <w:shd w:val="clear" w:color="auto" w:fill="auto"/>
            <w:tcMar>
              <w:left w:w="0" w:type="dxa"/>
            </w:tcMar>
          </w:tcPr>
          <w:p w14:paraId="3CB16521" w14:textId="77777777" w:rsidR="00050AFA" w:rsidRPr="00DD6E6B" w:rsidRDefault="006A3CAF" w:rsidP="00050AFA">
            <w:pPr>
              <w:spacing w:after="0" w:line="240" w:lineRule="auto"/>
              <w:rPr>
                <w:rFonts w:cs="Arial"/>
                <w:sz w:val="14"/>
                <w:szCs w:val="14"/>
                <w:lang w:val="en-GB"/>
              </w:rPr>
            </w:pPr>
            <w:r w:rsidRPr="00DD6E6B">
              <w:rPr>
                <w:rFonts w:cs="Arial"/>
                <w:color w:val="0D0D0D" w:themeColor="text1" w:themeTint="F2"/>
                <w:spacing w:val="-2"/>
                <w:sz w:val="14"/>
                <w:szCs w:val="14"/>
                <w:lang w:val="en-GB"/>
              </w:rPr>
              <w:t>*</w:t>
            </w:r>
            <w:r w:rsidRPr="00DD6E6B">
              <w:rPr>
                <w:rFonts w:cs="Arial"/>
                <w:sz w:val="14"/>
                <w:szCs w:val="14"/>
                <w:lang w:val="en-GB"/>
              </w:rPr>
              <w:t xml:space="preserve"> </w:t>
            </w:r>
            <w:r w:rsidR="00050AFA" w:rsidRPr="00DD6E6B">
              <w:rPr>
                <w:rFonts w:cs="Arial"/>
                <w:sz w:val="14"/>
                <w:szCs w:val="14"/>
                <w:lang w:val="en-GB"/>
              </w:rPr>
              <w:t xml:space="preserve">Mining and energetics; Financial and insurance activities; Real estate activities; Arts, entertainment and recreation activities. </w:t>
            </w:r>
          </w:p>
          <w:p w14:paraId="7C816838" w14:textId="77777777" w:rsidR="00050AFA" w:rsidRPr="00DD6E6B" w:rsidRDefault="00050AFA" w:rsidP="00050AFA">
            <w:pPr>
              <w:spacing w:after="0" w:line="240" w:lineRule="auto"/>
              <w:rPr>
                <w:rFonts w:cs="Arial"/>
                <w:sz w:val="14"/>
                <w:szCs w:val="14"/>
                <w:lang w:val="en-GB"/>
              </w:rPr>
            </w:pPr>
            <w:r w:rsidRPr="00DD6E6B">
              <w:rPr>
                <w:rFonts w:cs="Arial"/>
                <w:sz w:val="14"/>
                <w:szCs w:val="14"/>
                <w:lang w:val="en-GB"/>
              </w:rPr>
              <w:t xml:space="preserve">Note: Balance of expectations expresses the difference in p.p. between categories growth vs. decrease of employment in the nearest three months. Data are seasonally adjusted and relate to the second month of the given quarter. </w:t>
            </w:r>
          </w:p>
          <w:p w14:paraId="6608934F" w14:textId="1076775E" w:rsidR="00ED229E" w:rsidRPr="00320ACF" w:rsidRDefault="00FA6DD8" w:rsidP="00320ACF">
            <w:pPr>
              <w:spacing w:after="200" w:line="240" w:lineRule="auto"/>
              <w:rPr>
                <w:rFonts w:cs="Arial"/>
                <w:sz w:val="14"/>
                <w:szCs w:val="14"/>
                <w:lang w:val="en-GB"/>
              </w:rPr>
            </w:pPr>
            <w:r w:rsidRPr="00DD6E6B">
              <w:rPr>
                <w:rFonts w:cs="Arial"/>
                <w:sz w:val="14"/>
                <w:szCs w:val="14"/>
                <w:lang w:val="en-GB"/>
              </w:rPr>
              <w:t>Source</w:t>
            </w:r>
            <w:r w:rsidR="006A3CAF" w:rsidRPr="00DD6E6B">
              <w:rPr>
                <w:rFonts w:cs="Arial"/>
                <w:sz w:val="14"/>
                <w:szCs w:val="14"/>
                <w:lang w:val="en-GB"/>
              </w:rPr>
              <w:t xml:space="preserve">: </w:t>
            </w:r>
            <w:r w:rsidRPr="00DD6E6B">
              <w:rPr>
                <w:rFonts w:cs="Arial"/>
                <w:sz w:val="14"/>
                <w:szCs w:val="14"/>
                <w:lang w:val="en-GB"/>
              </w:rPr>
              <w:t xml:space="preserve">CZSO </w:t>
            </w:r>
            <w:r w:rsidR="006A3CAF" w:rsidRPr="00DD6E6B">
              <w:rPr>
                <w:rFonts w:cs="Arial"/>
                <w:sz w:val="14"/>
                <w:szCs w:val="14"/>
                <w:lang w:val="en-GB"/>
              </w:rPr>
              <w:t>(n</w:t>
            </w:r>
            <w:r w:rsidRPr="00DD6E6B">
              <w:rPr>
                <w:rFonts w:cs="Arial"/>
                <w:sz w:val="14"/>
                <w:szCs w:val="14"/>
                <w:lang w:val="en-GB"/>
              </w:rPr>
              <w:t>ational accounts</w:t>
            </w:r>
            <w:r w:rsidR="006A3CAF" w:rsidRPr="00DD6E6B">
              <w:rPr>
                <w:rFonts w:cs="Arial"/>
                <w:sz w:val="14"/>
                <w:szCs w:val="14"/>
                <w:lang w:val="en-GB"/>
              </w:rPr>
              <w:t>), Eurostat (</w:t>
            </w:r>
            <w:r w:rsidR="00EC3E77" w:rsidRPr="00DD6E6B">
              <w:rPr>
                <w:rFonts w:cs="Arial"/>
                <w:sz w:val="14"/>
                <w:szCs w:val="14"/>
                <w:lang w:val="en-GB"/>
              </w:rPr>
              <w:t>business cycle surveys</w:t>
            </w:r>
            <w:r w:rsidR="006A3CAF" w:rsidRPr="00DD6E6B">
              <w:rPr>
                <w:rFonts w:cs="Arial"/>
                <w:sz w:val="14"/>
                <w:szCs w:val="14"/>
                <w:lang w:val="en-GB"/>
              </w:rPr>
              <w:t>).</w:t>
            </w:r>
          </w:p>
        </w:tc>
      </w:tr>
      <w:tr w:rsidR="00D80129" w:rsidRPr="00DD6E6B" w14:paraId="183AE1A6" w14:textId="77777777" w:rsidTr="00DA0121">
        <w:trPr>
          <w:trHeight w:val="145"/>
        </w:trPr>
        <w:tc>
          <w:tcPr>
            <w:tcW w:w="1754" w:type="dxa"/>
            <w:shd w:val="clear" w:color="auto" w:fill="auto"/>
            <w:tcMar>
              <w:left w:w="0" w:type="dxa"/>
            </w:tcMar>
          </w:tcPr>
          <w:p w14:paraId="235EAADC" w14:textId="7ABF4D71" w:rsidR="00D80129" w:rsidRPr="00DD6E6B" w:rsidRDefault="00D80129" w:rsidP="00D80129">
            <w:pPr>
              <w:pStyle w:val="Marginlie"/>
              <w:rPr>
                <w:color w:val="0D0D0D" w:themeColor="text1" w:themeTint="F2"/>
                <w:spacing w:val="-4"/>
                <w:lang w:val="en-GB"/>
              </w:rPr>
            </w:pPr>
            <w:r w:rsidRPr="00DD6E6B">
              <w:rPr>
                <w:color w:val="0D0D0D" w:themeColor="text1" w:themeTint="F2"/>
                <w:spacing w:val="-4"/>
                <w:lang w:val="en-GB"/>
              </w:rPr>
              <w:t xml:space="preserve">Number of foreigners in the employee position crossed 800 thousand in the CR. Its growth was traditionally driven by citizens of Ukraine. </w:t>
            </w:r>
          </w:p>
        </w:tc>
        <w:tc>
          <w:tcPr>
            <w:tcW w:w="220" w:type="dxa"/>
            <w:shd w:val="clear" w:color="auto" w:fill="auto"/>
            <w:tcMar>
              <w:left w:w="0" w:type="dxa"/>
            </w:tcMar>
          </w:tcPr>
          <w:p w14:paraId="01CD80CF" w14:textId="77777777" w:rsidR="00D80129" w:rsidRPr="00DD6E6B" w:rsidRDefault="00D80129" w:rsidP="00D80129">
            <w:pPr>
              <w:pStyle w:val="Textpoznpodarou"/>
              <w:spacing w:after="120"/>
              <w:jc w:val="both"/>
              <w:rPr>
                <w:color w:val="0D0D0D" w:themeColor="text1" w:themeTint="F2"/>
                <w:spacing w:val="-4"/>
                <w:highlight w:val="yellow"/>
                <w:lang w:val="en-GB"/>
              </w:rPr>
            </w:pPr>
          </w:p>
        </w:tc>
        <w:tc>
          <w:tcPr>
            <w:tcW w:w="7700" w:type="dxa"/>
            <w:shd w:val="clear" w:color="auto" w:fill="auto"/>
            <w:tcMar>
              <w:left w:w="0" w:type="dxa"/>
            </w:tcMar>
          </w:tcPr>
          <w:p w14:paraId="43D3323B" w14:textId="180AE110" w:rsidR="00D80129" w:rsidRPr="00DD6E6B" w:rsidRDefault="00D80129" w:rsidP="00D80129">
            <w:pPr>
              <w:spacing w:after="200"/>
              <w:rPr>
                <w:color w:val="0D0D0D" w:themeColor="text1" w:themeTint="F2"/>
                <w:spacing w:val="-4"/>
                <w:lang w:val="en-GB"/>
              </w:rPr>
            </w:pPr>
            <w:r w:rsidRPr="00DD6E6B">
              <w:rPr>
                <w:color w:val="0D0D0D" w:themeColor="text1" w:themeTint="F2"/>
                <w:spacing w:val="-6"/>
                <w:lang w:val="en-GB"/>
              </w:rPr>
              <w:t xml:space="preserve">With respect to the greatly limited source of available labour force in the CR as well as the strong pressure on the optimisation of the production, the domestic employers further intensively demanded new workers from abroad. Legislative amendments lowering the administrative demands in this area helped to ease the employment of foreigners. Following the temporary slowdown of the inflow of foreign workers into the CR at the beginning of this year, the number of registrations again increased more in Q2. Record 803 thousand of foreigners worked in the employee position in the CR at the end of July this year </w:t>
            </w:r>
            <w:r w:rsidRPr="00DD6E6B">
              <w:rPr>
                <w:lang w:val="en-GB"/>
              </w:rPr>
              <w:t>(based on the records of labour offices</w:t>
            </w:r>
            <w:r w:rsidRPr="00DD6E6B">
              <w:rPr>
                <w:color w:val="0D0D0D" w:themeColor="text1" w:themeTint="F2"/>
                <w:spacing w:val="-6"/>
                <w:lang w:val="en-GB"/>
              </w:rPr>
              <w:t xml:space="preserve">), by 105 thousand more compared to January 2022 (for Ukrainians the number increased from </w:t>
            </w:r>
            <w:r w:rsidRPr="00DD6E6B">
              <w:rPr>
                <w:lang w:val="en-GB"/>
              </w:rPr>
              <w:t xml:space="preserve">198 thousand to 273 thousand, driven from nearly </w:t>
            </w:r>
            <w:r w:rsidRPr="00DD6E6B">
              <w:rPr>
                <w:lang w:val="en-GB"/>
              </w:rPr>
              <w:lastRenderedPageBreak/>
              <w:t>80% by females</w:t>
            </w:r>
            <w:r w:rsidRPr="00DD6E6B">
              <w:rPr>
                <w:rStyle w:val="Znakapoznpodarou"/>
                <w:lang w:val="en-GB"/>
              </w:rPr>
              <w:footnoteReference w:id="6"/>
            </w:r>
            <w:r w:rsidRPr="00DD6E6B">
              <w:rPr>
                <w:lang w:val="en-GB"/>
              </w:rPr>
              <w:t>). Increase of other groups of foreigners was of a lower order for the same time period</w:t>
            </w:r>
            <w:r w:rsidRPr="00DD6E6B">
              <w:rPr>
                <w:rStyle w:val="Znakapoznpodarou"/>
                <w:lang w:val="en-GB"/>
              </w:rPr>
              <w:footnoteReference w:id="7"/>
            </w:r>
            <w:r w:rsidRPr="00DD6E6B">
              <w:rPr>
                <w:lang w:val="en-GB"/>
              </w:rPr>
              <w:t xml:space="preserve">. </w:t>
            </w:r>
          </w:p>
        </w:tc>
      </w:tr>
      <w:tr w:rsidR="00D80129" w:rsidRPr="00DD6E6B" w14:paraId="2E28DDE8" w14:textId="77777777" w:rsidTr="00DA0121">
        <w:trPr>
          <w:trHeight w:val="145"/>
        </w:trPr>
        <w:tc>
          <w:tcPr>
            <w:tcW w:w="1754" w:type="dxa"/>
            <w:shd w:val="clear" w:color="auto" w:fill="auto"/>
            <w:tcMar>
              <w:left w:w="0" w:type="dxa"/>
            </w:tcMar>
          </w:tcPr>
          <w:p w14:paraId="4121B9C1" w14:textId="2ABC1770" w:rsidR="00D80129" w:rsidRPr="00DD6E6B" w:rsidRDefault="00D80129" w:rsidP="00D80129">
            <w:pPr>
              <w:pStyle w:val="Marginlie"/>
              <w:rPr>
                <w:color w:val="0D0D0D" w:themeColor="text1" w:themeTint="F2"/>
                <w:spacing w:val="-4"/>
                <w:lang w:val="en-GB"/>
              </w:rPr>
            </w:pPr>
            <w:r w:rsidRPr="00DD6E6B">
              <w:rPr>
                <w:color w:val="0D0D0D" w:themeColor="text1" w:themeTint="F2"/>
                <w:spacing w:val="-4"/>
                <w:lang w:val="en-GB"/>
              </w:rPr>
              <w:lastRenderedPageBreak/>
              <w:t xml:space="preserve">Anticipations of businesses in the area of employment deteriorated in H1. Trade kept mild optimism.  </w:t>
            </w:r>
          </w:p>
          <w:p w14:paraId="45DFF94E" w14:textId="77777777" w:rsidR="00D80129" w:rsidRPr="00DD6E6B" w:rsidRDefault="00D80129" w:rsidP="00D80129">
            <w:pPr>
              <w:pStyle w:val="Marginlie"/>
              <w:rPr>
                <w:color w:val="0D0D0D" w:themeColor="text1" w:themeTint="F2"/>
                <w:spacing w:val="-5"/>
                <w:highlight w:val="yellow"/>
                <w:lang w:val="en-GB"/>
              </w:rPr>
            </w:pPr>
          </w:p>
        </w:tc>
        <w:tc>
          <w:tcPr>
            <w:tcW w:w="220" w:type="dxa"/>
            <w:shd w:val="clear" w:color="auto" w:fill="auto"/>
            <w:tcMar>
              <w:left w:w="0" w:type="dxa"/>
            </w:tcMar>
          </w:tcPr>
          <w:p w14:paraId="3C6BF728" w14:textId="77777777" w:rsidR="00D80129" w:rsidRPr="00DD6E6B" w:rsidRDefault="00D80129" w:rsidP="00D80129">
            <w:pPr>
              <w:pStyle w:val="Textpoznpodarou"/>
              <w:spacing w:after="120"/>
              <w:jc w:val="both"/>
              <w:rPr>
                <w:color w:val="0D0D0D" w:themeColor="text1" w:themeTint="F2"/>
                <w:spacing w:val="-4"/>
                <w:highlight w:val="yellow"/>
                <w:lang w:val="en-GB"/>
              </w:rPr>
            </w:pPr>
          </w:p>
        </w:tc>
        <w:tc>
          <w:tcPr>
            <w:tcW w:w="7700" w:type="dxa"/>
            <w:shd w:val="clear" w:color="auto" w:fill="auto"/>
            <w:tcMar>
              <w:left w:w="0" w:type="dxa"/>
            </w:tcMar>
          </w:tcPr>
          <w:p w14:paraId="14F5A0DC" w14:textId="4718F20E" w:rsidR="00D80129" w:rsidRPr="00DD6E6B" w:rsidRDefault="00D80129" w:rsidP="00D80129">
            <w:pPr>
              <w:spacing w:after="200"/>
              <w:rPr>
                <w:color w:val="0D0D0D" w:themeColor="text1" w:themeTint="F2"/>
                <w:spacing w:val="-4"/>
                <w:highlight w:val="yellow"/>
                <w:lang w:val="en-GB"/>
              </w:rPr>
            </w:pPr>
            <w:r w:rsidRPr="00DD6E6B">
              <w:rPr>
                <w:color w:val="0D0D0D" w:themeColor="text1" w:themeTint="F2"/>
                <w:spacing w:val="-4"/>
                <w:lang w:val="en-GB"/>
              </w:rPr>
              <w:t>Short-term anticipations of businesses in the whole economy in the area of employment further weakened in H1 2023 and reached the lowest level since the peak of pandemics (March 2021) in May. Signs of stabilisation however occurred during this year’s summer months since the pessimism of businesses in this area did not deepen further in any of the main branches. Based on the data from August 2023, 12% of business in industry, 18% in construction and 25% in services planned to reduce the numbers of employees in the nearest three months, but only 6% in trade (where the businesses keep positive outlook even despite the falling household consumption). Situation at the level of sub-branches differed within both industry and services</w:t>
            </w:r>
            <w:r w:rsidRPr="00DD6E6B">
              <w:rPr>
                <w:rStyle w:val="Znakapoznpodarou"/>
                <w:color w:val="0D0D0D" w:themeColor="text1" w:themeTint="F2"/>
                <w:spacing w:val="-4"/>
                <w:lang w:val="en-GB"/>
              </w:rPr>
              <w:footnoteReference w:id="8"/>
            </w:r>
            <w:r w:rsidRPr="00DD6E6B">
              <w:rPr>
                <w:color w:val="0D0D0D" w:themeColor="text1" w:themeTint="F2"/>
                <w:spacing w:val="-4"/>
                <w:lang w:val="en-GB"/>
              </w:rPr>
              <w:t>. Resulting from the deterioration of the total economic outlooks as well as the strong inflow of persons from Ukraine on the domestic labour market, the proportion of businesses, which consider the shortage of labour force to be one of the significant growth barriers was falling in the majority of main branches – it was the most apparent in construction (where the difficulty with human resources did not represent a main barrier this year in August after more than two years).</w:t>
            </w:r>
          </w:p>
        </w:tc>
      </w:tr>
      <w:tr w:rsidR="00D80129" w:rsidRPr="00DD6E6B" w14:paraId="574E8143" w14:textId="77777777" w:rsidTr="00DA0121">
        <w:trPr>
          <w:trHeight w:val="145"/>
        </w:trPr>
        <w:tc>
          <w:tcPr>
            <w:tcW w:w="1754" w:type="dxa"/>
            <w:shd w:val="clear" w:color="auto" w:fill="auto"/>
            <w:tcMar>
              <w:left w:w="0" w:type="dxa"/>
            </w:tcMar>
          </w:tcPr>
          <w:p w14:paraId="5710B8F4" w14:textId="685D4952" w:rsidR="00D80129" w:rsidRPr="00DD6E6B" w:rsidRDefault="00D80129" w:rsidP="00D80129">
            <w:pPr>
              <w:pStyle w:val="Marginlie"/>
              <w:rPr>
                <w:color w:val="0D0D0D" w:themeColor="text1" w:themeTint="F2"/>
                <w:spacing w:val="-4"/>
                <w:lang w:val="en-GB"/>
              </w:rPr>
            </w:pPr>
            <w:r w:rsidRPr="00DD6E6B">
              <w:rPr>
                <w:color w:val="0D0D0D" w:themeColor="text1" w:themeTint="F2"/>
                <w:spacing w:val="-4"/>
                <w:lang w:val="en-GB"/>
              </w:rPr>
              <w:t xml:space="preserve">General unemployment rate as well as the number of long-term unemployed grew only slightly. Larger movement occurred for the working reserve; its size is however still low. </w:t>
            </w:r>
          </w:p>
          <w:p w14:paraId="660E4009" w14:textId="77777777" w:rsidR="00D80129" w:rsidRPr="00DD6E6B" w:rsidRDefault="00D80129" w:rsidP="00D80129">
            <w:pPr>
              <w:pStyle w:val="Marginlie"/>
              <w:rPr>
                <w:color w:val="0D0D0D" w:themeColor="text1" w:themeTint="F2"/>
                <w:spacing w:val="-4"/>
                <w:lang w:val="en-GB"/>
              </w:rPr>
            </w:pPr>
          </w:p>
          <w:p w14:paraId="379446AD" w14:textId="77777777" w:rsidR="00D80129" w:rsidRPr="00DD6E6B" w:rsidRDefault="00D80129" w:rsidP="00D80129">
            <w:pPr>
              <w:pStyle w:val="Marginlie"/>
              <w:rPr>
                <w:color w:val="0D0D0D" w:themeColor="text1" w:themeTint="F2"/>
                <w:spacing w:val="-4"/>
                <w:lang w:val="en-GB"/>
              </w:rPr>
            </w:pPr>
          </w:p>
          <w:p w14:paraId="4E68331D" w14:textId="77777777" w:rsidR="00D80129" w:rsidRPr="00DD6E6B" w:rsidRDefault="00D80129" w:rsidP="00D80129">
            <w:pPr>
              <w:pStyle w:val="Marginlie"/>
              <w:rPr>
                <w:color w:val="0D0D0D" w:themeColor="text1" w:themeTint="F2"/>
                <w:spacing w:val="-4"/>
                <w:lang w:val="en-GB"/>
              </w:rPr>
            </w:pPr>
          </w:p>
          <w:p w14:paraId="0E7DB854" w14:textId="77777777" w:rsidR="00D80129" w:rsidRPr="00DD6E6B" w:rsidRDefault="00D80129" w:rsidP="00D80129">
            <w:pPr>
              <w:pStyle w:val="Marginlie"/>
              <w:rPr>
                <w:color w:val="0D0D0D" w:themeColor="text1" w:themeTint="F2"/>
                <w:spacing w:val="-4"/>
                <w:lang w:val="en-GB"/>
              </w:rPr>
            </w:pPr>
          </w:p>
          <w:p w14:paraId="08152B5C" w14:textId="77777777" w:rsidR="00D80129" w:rsidRPr="00DD6E6B" w:rsidRDefault="00D80129" w:rsidP="00D80129">
            <w:pPr>
              <w:pStyle w:val="Marginlie"/>
              <w:rPr>
                <w:color w:val="0D0D0D" w:themeColor="text1" w:themeTint="F2"/>
                <w:spacing w:val="-4"/>
                <w:lang w:val="en-GB"/>
              </w:rPr>
            </w:pPr>
          </w:p>
          <w:p w14:paraId="2F2D2EC8" w14:textId="77777777" w:rsidR="00D80129" w:rsidRPr="00DD6E6B" w:rsidRDefault="00D80129" w:rsidP="00D80129">
            <w:pPr>
              <w:pStyle w:val="Marginlie"/>
              <w:rPr>
                <w:color w:val="0D0D0D" w:themeColor="text1" w:themeTint="F2"/>
                <w:spacing w:val="-4"/>
                <w:lang w:val="en-GB"/>
              </w:rPr>
            </w:pPr>
          </w:p>
          <w:p w14:paraId="736877A2" w14:textId="77777777" w:rsidR="00D80129" w:rsidRPr="00DD6E6B" w:rsidRDefault="00D80129" w:rsidP="00D80129">
            <w:pPr>
              <w:pStyle w:val="Marginlie"/>
              <w:rPr>
                <w:color w:val="0D0D0D" w:themeColor="text1" w:themeTint="F2"/>
                <w:spacing w:val="-4"/>
                <w:lang w:val="en-GB"/>
              </w:rPr>
            </w:pPr>
          </w:p>
          <w:p w14:paraId="09C27EE9" w14:textId="77777777" w:rsidR="00D80129" w:rsidRPr="00DD6E6B" w:rsidRDefault="00D80129" w:rsidP="00D80129">
            <w:pPr>
              <w:pStyle w:val="Marginlie"/>
              <w:rPr>
                <w:color w:val="0D0D0D" w:themeColor="text1" w:themeTint="F2"/>
                <w:spacing w:val="-4"/>
                <w:lang w:val="en-GB"/>
              </w:rPr>
            </w:pPr>
          </w:p>
          <w:p w14:paraId="058B6A45" w14:textId="100E1F3C" w:rsidR="00D80129" w:rsidRPr="00DD6E6B" w:rsidRDefault="00D80129" w:rsidP="00D80129">
            <w:pPr>
              <w:pStyle w:val="Marginlie"/>
              <w:rPr>
                <w:color w:val="0D0D0D" w:themeColor="text1" w:themeTint="F2"/>
                <w:spacing w:val="-4"/>
                <w:lang w:val="en-GB"/>
              </w:rPr>
            </w:pPr>
            <w:r w:rsidRPr="00DD6E6B">
              <w:rPr>
                <w:color w:val="0D0D0D" w:themeColor="text1" w:themeTint="F2"/>
                <w:spacing w:val="-5"/>
                <w:lang w:val="en-GB"/>
              </w:rPr>
              <w:lastRenderedPageBreak/>
              <w:t>Concerns of people about the growth of unemployment weakened, still they remained above the long-term average.</w:t>
            </w:r>
          </w:p>
          <w:p w14:paraId="50788054" w14:textId="77777777" w:rsidR="00D80129" w:rsidRPr="00DD6E6B" w:rsidRDefault="00D80129" w:rsidP="00D80129">
            <w:pPr>
              <w:pStyle w:val="Marginlie"/>
              <w:rPr>
                <w:color w:val="0D0D0D" w:themeColor="text1" w:themeTint="F2"/>
                <w:spacing w:val="-5"/>
                <w:lang w:val="en-GB"/>
              </w:rPr>
            </w:pPr>
          </w:p>
        </w:tc>
        <w:tc>
          <w:tcPr>
            <w:tcW w:w="220" w:type="dxa"/>
            <w:shd w:val="clear" w:color="auto" w:fill="auto"/>
            <w:tcMar>
              <w:left w:w="0" w:type="dxa"/>
            </w:tcMar>
          </w:tcPr>
          <w:p w14:paraId="39DFF740" w14:textId="77777777" w:rsidR="00D80129" w:rsidRPr="00DD6E6B" w:rsidRDefault="00D80129" w:rsidP="00D80129">
            <w:pPr>
              <w:pStyle w:val="Textpoznpodarou"/>
              <w:spacing w:after="120"/>
              <w:jc w:val="both"/>
              <w:rPr>
                <w:color w:val="0D0D0D" w:themeColor="text1" w:themeTint="F2"/>
                <w:spacing w:val="-4"/>
                <w:lang w:val="en-GB"/>
              </w:rPr>
            </w:pPr>
          </w:p>
        </w:tc>
        <w:tc>
          <w:tcPr>
            <w:tcW w:w="7700" w:type="dxa"/>
            <w:shd w:val="clear" w:color="auto" w:fill="auto"/>
            <w:tcMar>
              <w:left w:w="0" w:type="dxa"/>
            </w:tcMar>
          </w:tcPr>
          <w:p w14:paraId="601D18D5" w14:textId="3B564CFC" w:rsidR="00D80129" w:rsidRPr="00DD6E6B" w:rsidRDefault="00D80129" w:rsidP="00D80129">
            <w:pPr>
              <w:spacing w:after="200"/>
              <w:rPr>
                <w:color w:val="0D0D0D" w:themeColor="text1" w:themeTint="F2"/>
                <w:spacing w:val="-4"/>
                <w:lang w:val="en-GB"/>
              </w:rPr>
            </w:pPr>
            <w:r w:rsidRPr="00DD6E6B">
              <w:rPr>
                <w:color w:val="0D0D0D" w:themeColor="text1" w:themeTint="F2"/>
                <w:spacing w:val="-4"/>
                <w:lang w:val="en-GB"/>
              </w:rPr>
              <w:t>General unemployment rate</w:t>
            </w:r>
            <w:r w:rsidRPr="00DD6E6B">
              <w:rPr>
                <w:rStyle w:val="Znakapoznpodarou"/>
                <w:color w:val="0D0D0D" w:themeColor="text1" w:themeTint="F2"/>
                <w:spacing w:val="-4"/>
                <w:lang w:val="en-GB"/>
              </w:rPr>
              <w:footnoteReference w:id="9"/>
            </w:r>
            <w:r w:rsidRPr="00DD6E6B">
              <w:rPr>
                <w:color w:val="0D0D0D" w:themeColor="text1" w:themeTint="F2"/>
                <w:spacing w:val="-4"/>
                <w:lang w:val="en-GB"/>
              </w:rPr>
              <w:t>, which stagnated near historical minimum for a major part of the last year, has started to slightly grow since the beginning of this year. Thus there were 2.3% of economically active males (aged 15 till 64 years) and 3.4% females</w:t>
            </w:r>
            <w:r w:rsidRPr="00DD6E6B">
              <w:rPr>
                <w:rStyle w:val="Znakapoznpodarou"/>
                <w:color w:val="0D0D0D" w:themeColor="text1" w:themeTint="F2"/>
                <w:spacing w:val="-4"/>
                <w:lang w:val="en-GB"/>
              </w:rPr>
              <w:footnoteReference w:id="10"/>
            </w:r>
            <w:r w:rsidRPr="00DD6E6B">
              <w:rPr>
                <w:color w:val="0D0D0D" w:themeColor="text1" w:themeTint="F2"/>
                <w:spacing w:val="-4"/>
                <w:lang w:val="en-GB"/>
              </w:rPr>
              <w:t xml:space="preserve"> without a job in July. The year-on-year increase was only small in both cases (0.3 to 0.4 p. p.). Figures regarding the job applicants registered at labour offices (LO) also correspond to this development, their course agreed with the common seasonal effects</w:t>
            </w:r>
            <w:r w:rsidRPr="00DD6E6B">
              <w:rPr>
                <w:rStyle w:val="Znakapoznpodarou"/>
                <w:color w:val="0D0D0D" w:themeColor="text1" w:themeTint="F2"/>
                <w:spacing w:val="-4"/>
                <w:lang w:val="en-GB"/>
              </w:rPr>
              <w:footnoteReference w:id="11"/>
            </w:r>
            <w:r w:rsidRPr="00DD6E6B">
              <w:rPr>
                <w:color w:val="0D0D0D" w:themeColor="text1" w:themeTint="F2"/>
                <w:spacing w:val="-4"/>
                <w:lang w:val="en-GB"/>
              </w:rPr>
              <w:t>. The long-term unemployment has not risen much either and persons, who were without a job for more than one year, still comprised only slightly over one quarter of all unemployed. The size of the potential working reserve however considerably increased for the second quarter in a row – the number of economically inactive not seeking work but stating willingness to work was the highest in the last two years (87 thousand)</w:t>
            </w:r>
            <w:r w:rsidRPr="00DD6E6B">
              <w:rPr>
                <w:rStyle w:val="Znakapoznpodarou"/>
                <w:color w:val="0D0D0D" w:themeColor="text1" w:themeTint="F2"/>
                <w:spacing w:val="-4"/>
                <w:lang w:val="en-GB"/>
              </w:rPr>
              <w:footnoteReference w:id="12"/>
            </w:r>
            <w:r w:rsidRPr="00DD6E6B">
              <w:rPr>
                <w:color w:val="0D0D0D" w:themeColor="text1" w:themeTint="F2"/>
                <w:spacing w:val="-4"/>
                <w:lang w:val="en-GB"/>
              </w:rPr>
              <w:t xml:space="preserve">. Quantity of job vacancies in the offer of LO was mildly lower year-on-year in all months this year, but already only by 28 thousand in July (just below one tenth). Mainly the low qualification positions stood behind the decrease – </w:t>
            </w:r>
            <w:r w:rsidRPr="00DD6E6B">
              <w:rPr>
                <w:color w:val="0D0D0D" w:themeColor="text1" w:themeTint="F2"/>
                <w:spacing w:val="-4"/>
                <w:lang w:val="en-GB"/>
              </w:rPr>
              <w:lastRenderedPageBreak/>
              <w:t xml:space="preserve">nevertheless they still form the core of the supply of jobs. Number of registered positions is still higher than the number of registered applicants in the CR (more distinct excess of job applicants over the job positions prevails only in the structurally affected regions – the Ustecky and Moravia-Silesian regions). Concerns of people regarding the growth of unemployment were gradually falling since the beginning of this year. For households, negative outlooks of the total economic situation of the CR were falling simultaneously and pessimism was also subsiding on the anticipated own financial condition. Still the number of persons expecting growth of unemployment in the upcoming twelve months is considerably higher than in the whole boom period </w:t>
            </w:r>
            <w:r w:rsidRPr="00DD6E6B">
              <w:rPr>
                <w:color w:val="1D1B11" w:themeColor="background2" w:themeShade="1A"/>
                <w:spacing w:val="-4"/>
                <w:lang w:val="en-GB"/>
              </w:rPr>
              <w:t>at the end of the last decade</w:t>
            </w:r>
          </w:p>
        </w:tc>
      </w:tr>
      <w:tr w:rsidR="00D80129" w:rsidRPr="00DD6E6B" w14:paraId="4DEC522A" w14:textId="77777777" w:rsidTr="00DA0121">
        <w:trPr>
          <w:trHeight w:val="155"/>
        </w:trPr>
        <w:tc>
          <w:tcPr>
            <w:tcW w:w="1754" w:type="dxa"/>
            <w:vMerge w:val="restart"/>
            <w:shd w:val="clear" w:color="auto" w:fill="auto"/>
            <w:tcMar>
              <w:left w:w="0" w:type="dxa"/>
            </w:tcMar>
          </w:tcPr>
          <w:p w14:paraId="19542161" w14:textId="77777777" w:rsidR="00D80129" w:rsidRPr="00DD6E6B" w:rsidRDefault="00D80129" w:rsidP="00D80129">
            <w:pPr>
              <w:pStyle w:val="Marginlie"/>
              <w:spacing w:after="120"/>
              <w:rPr>
                <w:spacing w:val="-4"/>
                <w:lang w:val="en-GB"/>
              </w:rPr>
            </w:pPr>
          </w:p>
        </w:tc>
        <w:tc>
          <w:tcPr>
            <w:tcW w:w="220" w:type="dxa"/>
            <w:vMerge w:val="restart"/>
            <w:shd w:val="clear" w:color="auto" w:fill="auto"/>
            <w:tcMar>
              <w:left w:w="0" w:type="dxa"/>
            </w:tcMar>
          </w:tcPr>
          <w:p w14:paraId="4B91373E" w14:textId="77777777" w:rsidR="00D80129" w:rsidRPr="00DD6E6B" w:rsidRDefault="00D80129" w:rsidP="00D80129">
            <w:pPr>
              <w:pStyle w:val="Textpoznpodarou"/>
              <w:spacing w:after="120"/>
              <w:jc w:val="both"/>
              <w:rPr>
                <w:spacing w:val="-4"/>
                <w:lang w:val="en-GB"/>
              </w:rPr>
            </w:pPr>
          </w:p>
        </w:tc>
        <w:tc>
          <w:tcPr>
            <w:tcW w:w="7700" w:type="dxa"/>
            <w:shd w:val="clear" w:color="auto" w:fill="auto"/>
            <w:tcMar>
              <w:left w:w="0" w:type="dxa"/>
            </w:tcMar>
          </w:tcPr>
          <w:p w14:paraId="1D01176C" w14:textId="2D497C62" w:rsidR="00D80129" w:rsidRPr="00E7709B" w:rsidRDefault="00D80129" w:rsidP="00D80129">
            <w:pPr>
              <w:spacing w:after="0"/>
              <w:rPr>
                <w:b/>
                <w:spacing w:val="-4"/>
                <w:lang w:val="en-GB"/>
              </w:rPr>
            </w:pPr>
            <w:r w:rsidRPr="00E7709B">
              <w:rPr>
                <w:b/>
                <w:spacing w:val="-4"/>
                <w:lang w:val="en-GB"/>
              </w:rPr>
              <w:t xml:space="preserve">Chart 14 </w:t>
            </w:r>
            <w:r w:rsidRPr="00E7709B">
              <w:rPr>
                <w:rFonts w:cs="Arial"/>
                <w:b/>
                <w:spacing w:val="-4"/>
                <w:lang w:val="en-GB"/>
              </w:rPr>
              <w:t xml:space="preserve">General unemployment rate </w:t>
            </w:r>
            <w:r w:rsidRPr="00E7709B">
              <w:rPr>
                <w:rFonts w:cs="Arial"/>
                <w:bCs/>
                <w:spacing w:val="-4"/>
                <w:lang w:val="en-GB"/>
              </w:rPr>
              <w:t>(in %, age 15 to 64 years)</w:t>
            </w:r>
            <w:r w:rsidRPr="00E7709B">
              <w:rPr>
                <w:rFonts w:cs="Arial"/>
                <w:b/>
                <w:spacing w:val="-4"/>
                <w:lang w:val="en-GB"/>
              </w:rPr>
              <w:t xml:space="preserve">, economically inactive willing to work* </w:t>
            </w:r>
            <w:r w:rsidRPr="00E7709B">
              <w:rPr>
                <w:rFonts w:cs="Arial"/>
                <w:bCs/>
                <w:spacing w:val="-4"/>
                <w:lang w:val="en-GB"/>
              </w:rPr>
              <w:t>(in thousand persons),</w:t>
            </w:r>
            <w:r w:rsidRPr="00E7709B">
              <w:rPr>
                <w:rFonts w:cs="Arial"/>
                <w:b/>
                <w:spacing w:val="-4"/>
                <w:lang w:val="en-GB"/>
              </w:rPr>
              <w:t xml:space="preserve"> job vacancies** </w:t>
            </w:r>
            <w:r w:rsidRPr="00E7709B">
              <w:rPr>
                <w:rFonts w:cs="Arial"/>
                <w:bCs/>
                <w:spacing w:val="-4"/>
                <w:lang w:val="en-GB"/>
              </w:rPr>
              <w:t>(in thousand)</w:t>
            </w:r>
            <w:r>
              <w:rPr>
                <w:rFonts w:cs="Arial"/>
                <w:b/>
                <w:spacing w:val="-4"/>
                <w:lang w:val="en-GB"/>
              </w:rPr>
              <w:t>,</w:t>
            </w:r>
            <w:r w:rsidRPr="00E7709B">
              <w:rPr>
                <w:rFonts w:cs="Arial"/>
                <w:b/>
                <w:spacing w:val="-4"/>
                <w:lang w:val="en-GB"/>
              </w:rPr>
              <w:t xml:space="preserve"> unemployment expectations of households*** </w:t>
            </w:r>
            <w:r w:rsidRPr="00E7709B">
              <w:rPr>
                <w:rFonts w:cs="Arial"/>
                <w:bCs/>
                <w:spacing w:val="-4"/>
                <w:lang w:val="en-GB"/>
              </w:rPr>
              <w:t>(in p. p.)</w:t>
            </w:r>
          </w:p>
        </w:tc>
      </w:tr>
      <w:tr w:rsidR="00D80129" w:rsidRPr="00DD6E6B" w14:paraId="7E5255C2" w14:textId="77777777" w:rsidTr="004819D1">
        <w:tblPrEx>
          <w:tblCellMar>
            <w:left w:w="70" w:type="dxa"/>
            <w:right w:w="70" w:type="dxa"/>
          </w:tblCellMar>
        </w:tblPrEx>
        <w:trPr>
          <w:trHeight w:val="155"/>
        </w:trPr>
        <w:tc>
          <w:tcPr>
            <w:tcW w:w="1754" w:type="dxa"/>
            <w:vMerge/>
            <w:shd w:val="clear" w:color="auto" w:fill="auto"/>
          </w:tcPr>
          <w:p w14:paraId="7E18FD7B" w14:textId="77777777" w:rsidR="00D80129" w:rsidRPr="00DD6E6B" w:rsidRDefault="00D80129" w:rsidP="00D80129">
            <w:pPr>
              <w:pStyle w:val="Marginlie"/>
              <w:spacing w:after="120"/>
              <w:rPr>
                <w:spacing w:val="-4"/>
                <w:lang w:val="en-GB"/>
              </w:rPr>
            </w:pPr>
          </w:p>
        </w:tc>
        <w:tc>
          <w:tcPr>
            <w:tcW w:w="220" w:type="dxa"/>
            <w:vMerge/>
            <w:shd w:val="clear" w:color="auto" w:fill="auto"/>
          </w:tcPr>
          <w:p w14:paraId="1FC14AED" w14:textId="77777777" w:rsidR="00D80129" w:rsidRPr="00DD6E6B" w:rsidRDefault="00D80129" w:rsidP="00D80129">
            <w:pPr>
              <w:pStyle w:val="Textpoznpodarou"/>
              <w:spacing w:after="120"/>
              <w:jc w:val="both"/>
              <w:rPr>
                <w:spacing w:val="-4"/>
                <w:lang w:val="en-GB"/>
              </w:rPr>
            </w:pPr>
          </w:p>
        </w:tc>
        <w:tc>
          <w:tcPr>
            <w:tcW w:w="7700" w:type="dxa"/>
            <w:shd w:val="clear" w:color="auto" w:fill="auto"/>
          </w:tcPr>
          <w:p w14:paraId="556427A9" w14:textId="787F0080" w:rsidR="00D80129" w:rsidRPr="00DD6E6B" w:rsidRDefault="00D80129" w:rsidP="00D80129">
            <w:pPr>
              <w:spacing w:after="0"/>
              <w:rPr>
                <w:spacing w:val="-4"/>
                <w:lang w:val="en-GB"/>
              </w:rPr>
            </w:pPr>
            <w:r>
              <w:rPr>
                <w:noProof/>
              </w:rPr>
              <w:drawing>
                <wp:inline distT="0" distB="0" distL="0" distR="0" wp14:anchorId="3B43354C" wp14:editId="445354B8">
                  <wp:extent cx="4727495" cy="3449729"/>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D80129" w:rsidRPr="00DD6E6B" w14:paraId="754CE6C5" w14:textId="77777777" w:rsidTr="00DA0121">
        <w:trPr>
          <w:trHeight w:val="132"/>
        </w:trPr>
        <w:tc>
          <w:tcPr>
            <w:tcW w:w="1754" w:type="dxa"/>
            <w:vMerge/>
            <w:shd w:val="clear" w:color="auto" w:fill="auto"/>
            <w:tcMar>
              <w:left w:w="0" w:type="dxa"/>
            </w:tcMar>
          </w:tcPr>
          <w:p w14:paraId="37B0EBBD" w14:textId="77777777" w:rsidR="00D80129" w:rsidRPr="00DD6E6B" w:rsidRDefault="00D80129" w:rsidP="00D80129">
            <w:pPr>
              <w:pStyle w:val="Marginlie"/>
              <w:rPr>
                <w:spacing w:val="-4"/>
                <w:lang w:val="en-GB"/>
              </w:rPr>
            </w:pPr>
          </w:p>
        </w:tc>
        <w:tc>
          <w:tcPr>
            <w:tcW w:w="220" w:type="dxa"/>
            <w:vMerge/>
            <w:shd w:val="clear" w:color="auto" w:fill="auto"/>
            <w:tcMar>
              <w:left w:w="0" w:type="dxa"/>
            </w:tcMar>
          </w:tcPr>
          <w:p w14:paraId="195079AB" w14:textId="77777777" w:rsidR="00D80129" w:rsidRPr="00DD6E6B" w:rsidRDefault="00D80129" w:rsidP="00D80129">
            <w:pPr>
              <w:pStyle w:val="Textpoznpodarou"/>
              <w:jc w:val="both"/>
              <w:rPr>
                <w:spacing w:val="-4"/>
                <w:lang w:val="en-GB"/>
              </w:rPr>
            </w:pPr>
          </w:p>
        </w:tc>
        <w:tc>
          <w:tcPr>
            <w:tcW w:w="7700" w:type="dxa"/>
            <w:shd w:val="clear" w:color="auto" w:fill="auto"/>
            <w:tcMar>
              <w:left w:w="0" w:type="dxa"/>
            </w:tcMar>
          </w:tcPr>
          <w:p w14:paraId="782482E2" w14:textId="5E2ECD28" w:rsidR="00D80129" w:rsidRPr="00DD6E6B" w:rsidRDefault="00D80129" w:rsidP="00D80129">
            <w:pPr>
              <w:spacing w:after="0" w:line="240" w:lineRule="auto"/>
              <w:rPr>
                <w:rFonts w:cs="Arial"/>
                <w:color w:val="0D0D0D" w:themeColor="text1" w:themeTint="F2"/>
                <w:sz w:val="14"/>
                <w:szCs w:val="14"/>
                <w:lang w:val="en-GB"/>
              </w:rPr>
            </w:pPr>
            <w:r w:rsidRPr="00DD6E6B">
              <w:rPr>
                <w:rFonts w:cs="Arial"/>
                <w:color w:val="0D0D0D" w:themeColor="text1" w:themeTint="F2"/>
                <w:sz w:val="14"/>
                <w:szCs w:val="14"/>
                <w:lang w:val="en-GB"/>
              </w:rPr>
              <w:t>Note: Figures regarding the unemployment rate as well as economic activity are seasonally adjusted.</w:t>
            </w:r>
            <w:r>
              <w:rPr>
                <w:rFonts w:cs="Arial"/>
                <w:color w:val="0D0D0D" w:themeColor="text1" w:themeTint="F2"/>
                <w:sz w:val="14"/>
                <w:szCs w:val="14"/>
                <w:lang w:val="en-GB"/>
              </w:rPr>
              <w:t xml:space="preserve"> Job vacancies </w:t>
            </w:r>
            <w:r>
              <w:rPr>
                <w:rFonts w:cs="Arial"/>
                <w:color w:val="0D0D0D" w:themeColor="text1" w:themeTint="F2"/>
                <w:spacing w:val="-4"/>
                <w:sz w:val="14"/>
                <w:szCs w:val="14"/>
                <w:lang w:val="en-GB"/>
              </w:rPr>
              <w:t>express</w:t>
            </w:r>
            <w:r w:rsidRPr="00DD6E6B">
              <w:rPr>
                <w:rFonts w:cs="Arial"/>
                <w:color w:val="0D0D0D" w:themeColor="text1" w:themeTint="F2"/>
                <w:sz w:val="14"/>
                <w:szCs w:val="14"/>
                <w:lang w:val="en-GB"/>
              </w:rPr>
              <w:t xml:space="preserve"> balance at the end of quarter.</w:t>
            </w:r>
          </w:p>
          <w:p w14:paraId="2BBE025A" w14:textId="35E8A45F" w:rsidR="00D80129" w:rsidRDefault="00D80129" w:rsidP="00D80129">
            <w:pPr>
              <w:spacing w:after="0" w:line="240" w:lineRule="auto"/>
              <w:rPr>
                <w:rFonts w:cs="Arial"/>
                <w:bCs/>
                <w:color w:val="0D0D0D" w:themeColor="text1" w:themeTint="F2"/>
                <w:sz w:val="14"/>
                <w:szCs w:val="14"/>
                <w:lang w:val="en-GB"/>
              </w:rPr>
            </w:pPr>
            <w:r w:rsidRPr="00DD6E6B">
              <w:rPr>
                <w:rFonts w:cs="Arial"/>
                <w:bCs/>
                <w:color w:val="0D0D0D" w:themeColor="text1" w:themeTint="F2"/>
                <w:sz w:val="14"/>
                <w:szCs w:val="14"/>
                <w:lang w:val="en-GB"/>
              </w:rPr>
              <w:t xml:space="preserve">*Persons not in employment, not seeking work, but expressing the willingness to work. </w:t>
            </w:r>
          </w:p>
          <w:p w14:paraId="38F69705" w14:textId="3E51B7EF" w:rsidR="00D80129" w:rsidRPr="00DD6E6B" w:rsidRDefault="00D80129" w:rsidP="00D80129">
            <w:pPr>
              <w:spacing w:after="0" w:line="240" w:lineRule="auto"/>
              <w:rPr>
                <w:rFonts w:cs="Arial"/>
                <w:bCs/>
                <w:color w:val="0D0D0D" w:themeColor="text1" w:themeTint="F2"/>
                <w:sz w:val="14"/>
                <w:szCs w:val="14"/>
                <w:lang w:val="en-GB"/>
              </w:rPr>
            </w:pPr>
            <w:r>
              <w:rPr>
                <w:rFonts w:cs="Arial"/>
                <w:bCs/>
                <w:color w:val="0D0D0D" w:themeColor="text1" w:themeTint="F2"/>
                <w:sz w:val="14"/>
                <w:szCs w:val="14"/>
                <w:lang w:val="en-GB"/>
              </w:rPr>
              <w:t>**</w:t>
            </w:r>
            <w:r w:rsidRPr="00E7709B">
              <w:rPr>
                <w:rFonts w:cs="Arial"/>
                <w:bCs/>
                <w:color w:val="0D0D0D" w:themeColor="text1" w:themeTint="F2"/>
                <w:sz w:val="14"/>
                <w:szCs w:val="14"/>
                <w:lang w:val="en-GB"/>
              </w:rPr>
              <w:t>Vacancies for lower qualifications</w:t>
            </w:r>
            <w:r>
              <w:rPr>
                <w:rFonts w:cs="Arial"/>
                <w:bCs/>
                <w:color w:val="0D0D0D" w:themeColor="text1" w:themeTint="F2"/>
                <w:sz w:val="14"/>
                <w:szCs w:val="14"/>
                <w:lang w:val="en-GB"/>
              </w:rPr>
              <w:t xml:space="preserve"> include jobs for people with secondary education with apprenticeship certificate and for those with secondary education without A-level examination. </w:t>
            </w:r>
            <w:r w:rsidRPr="004819D1">
              <w:rPr>
                <w:rFonts w:cs="Arial"/>
                <w:bCs/>
                <w:color w:val="0D0D0D" w:themeColor="text1" w:themeTint="F2"/>
                <w:sz w:val="14"/>
                <w:szCs w:val="14"/>
                <w:lang w:val="en-GB"/>
              </w:rPr>
              <w:t>Vacancies for higher qualifications</w:t>
            </w:r>
            <w:r>
              <w:rPr>
                <w:rFonts w:cs="Arial"/>
                <w:bCs/>
                <w:color w:val="0D0D0D" w:themeColor="text1" w:themeTint="F2"/>
                <w:sz w:val="14"/>
                <w:szCs w:val="14"/>
                <w:lang w:val="en-GB"/>
              </w:rPr>
              <w:t xml:space="preserve"> comprise jobs for people with secondary education with A-level examination, graduates from higher professional schools or from universities.</w:t>
            </w:r>
          </w:p>
          <w:p w14:paraId="336D000D" w14:textId="266C6591" w:rsidR="00D80129" w:rsidRPr="00DD6E6B" w:rsidRDefault="00D80129" w:rsidP="00D80129">
            <w:pPr>
              <w:spacing w:after="0" w:line="240" w:lineRule="auto"/>
              <w:rPr>
                <w:rFonts w:cs="Arial"/>
                <w:color w:val="0D0D0D" w:themeColor="text1" w:themeTint="F2"/>
                <w:spacing w:val="-2"/>
                <w:sz w:val="14"/>
                <w:szCs w:val="14"/>
                <w:lang w:val="en-GB"/>
              </w:rPr>
            </w:pPr>
            <w:r w:rsidRPr="00DD6E6B">
              <w:rPr>
                <w:rFonts w:cs="Arial"/>
                <w:color w:val="0D0D0D" w:themeColor="text1" w:themeTint="F2"/>
                <w:spacing w:val="-2"/>
                <w:sz w:val="14"/>
                <w:szCs w:val="14"/>
                <w:lang w:val="en-GB"/>
              </w:rPr>
              <w:t>*</w:t>
            </w:r>
            <w:r>
              <w:rPr>
                <w:rFonts w:cs="Arial"/>
                <w:color w:val="0D0D0D" w:themeColor="text1" w:themeTint="F2"/>
                <w:spacing w:val="-2"/>
                <w:sz w:val="14"/>
                <w:szCs w:val="14"/>
                <w:lang w:val="en-GB"/>
              </w:rPr>
              <w:t>*</w:t>
            </w:r>
            <w:r w:rsidRPr="00DD6E6B">
              <w:rPr>
                <w:rFonts w:cs="Arial"/>
                <w:color w:val="0D0D0D" w:themeColor="text1" w:themeTint="F2"/>
                <w:spacing w:val="-2"/>
                <w:sz w:val="14"/>
                <w:szCs w:val="14"/>
                <w:lang w:val="en-GB"/>
              </w:rPr>
              <w:t xml:space="preserve">*Seasonally adjusted balance of expectations of unemployment in the next 12 months (difference between percentage frequency of answers of households “growth” and “decrease” expressed in percentage points). Data relates to the middle month of the given quarter. </w:t>
            </w:r>
          </w:p>
          <w:p w14:paraId="39AE7861" w14:textId="18BA0BBF" w:rsidR="00D80129" w:rsidRPr="00E7709B" w:rsidRDefault="00D80129" w:rsidP="00D80129">
            <w:pPr>
              <w:spacing w:after="200" w:line="240" w:lineRule="auto"/>
              <w:rPr>
                <w:rFonts w:cs="Arial"/>
                <w:color w:val="0D0D0D" w:themeColor="text1" w:themeTint="F2"/>
                <w:spacing w:val="-2"/>
                <w:sz w:val="14"/>
                <w:szCs w:val="14"/>
                <w:lang w:val="en-GB"/>
              </w:rPr>
            </w:pPr>
            <w:r w:rsidRPr="00DD6E6B">
              <w:rPr>
                <w:rFonts w:cs="Arial"/>
                <w:color w:val="0D0D0D" w:themeColor="text1" w:themeTint="F2"/>
                <w:spacing w:val="-2"/>
                <w:sz w:val="14"/>
                <w:szCs w:val="14"/>
                <w:lang w:val="en-GB"/>
              </w:rPr>
              <w:t>Source: CZSO (LFSS, business cycle survey), MLSA (job vacancies registered at labour offices in the CR</w:t>
            </w:r>
            <w:r>
              <w:rPr>
                <w:rFonts w:cs="Arial"/>
                <w:color w:val="0D0D0D" w:themeColor="text1" w:themeTint="F2"/>
                <w:spacing w:val="-2"/>
                <w:sz w:val="14"/>
                <w:szCs w:val="14"/>
                <w:lang w:val="en-GB"/>
              </w:rPr>
              <w:t>)</w:t>
            </w:r>
          </w:p>
        </w:tc>
      </w:tr>
      <w:tr w:rsidR="00D80129" w:rsidRPr="00DD6E6B" w14:paraId="2701D68E" w14:textId="77777777" w:rsidTr="00DA0121">
        <w:trPr>
          <w:trHeight w:val="132"/>
        </w:trPr>
        <w:tc>
          <w:tcPr>
            <w:tcW w:w="1754" w:type="dxa"/>
            <w:shd w:val="clear" w:color="auto" w:fill="auto"/>
            <w:tcMar>
              <w:left w:w="0" w:type="dxa"/>
            </w:tcMar>
          </w:tcPr>
          <w:p w14:paraId="220A0EBC" w14:textId="77777777" w:rsidR="00D80129" w:rsidRPr="00DD6E6B" w:rsidRDefault="00D80129" w:rsidP="00D80129">
            <w:pPr>
              <w:pStyle w:val="Marginlie"/>
              <w:rPr>
                <w:color w:val="0D0D0D" w:themeColor="text1" w:themeTint="F2"/>
                <w:spacing w:val="-4"/>
                <w:lang w:val="en-GB"/>
              </w:rPr>
            </w:pPr>
            <w:r w:rsidRPr="00DD6E6B">
              <w:rPr>
                <w:color w:val="0D0D0D" w:themeColor="text1" w:themeTint="F2"/>
                <w:spacing w:val="-4"/>
                <w:lang w:val="en-GB"/>
              </w:rPr>
              <w:t>Both year-on-year and quarter-on-quarter growth of wages slackened in Q2.</w:t>
            </w:r>
          </w:p>
          <w:p w14:paraId="76E40C40" w14:textId="77777777" w:rsidR="00D80129" w:rsidRPr="00DD6E6B" w:rsidRDefault="00D80129" w:rsidP="00D80129">
            <w:pPr>
              <w:pStyle w:val="Marginlie"/>
              <w:rPr>
                <w:color w:val="0D0D0D" w:themeColor="text1" w:themeTint="F2"/>
                <w:spacing w:val="-4"/>
                <w:lang w:val="en-GB"/>
              </w:rPr>
            </w:pPr>
          </w:p>
          <w:p w14:paraId="25B6D7CE" w14:textId="77777777" w:rsidR="00D80129" w:rsidRPr="00DD6E6B" w:rsidRDefault="00D80129" w:rsidP="00D80129">
            <w:pPr>
              <w:pStyle w:val="Marginlie"/>
              <w:rPr>
                <w:color w:val="0D0D0D" w:themeColor="text1" w:themeTint="F2"/>
                <w:spacing w:val="-4"/>
                <w:lang w:val="en-GB"/>
              </w:rPr>
            </w:pPr>
          </w:p>
          <w:p w14:paraId="7281CAAE" w14:textId="77777777" w:rsidR="00D80129" w:rsidRPr="00DD6E6B" w:rsidRDefault="00D80129" w:rsidP="00D80129">
            <w:pPr>
              <w:pStyle w:val="Marginlie"/>
              <w:rPr>
                <w:color w:val="0D0D0D" w:themeColor="text1" w:themeTint="F2"/>
                <w:spacing w:val="-4"/>
                <w:lang w:val="en-GB"/>
              </w:rPr>
            </w:pPr>
          </w:p>
          <w:p w14:paraId="78497509" w14:textId="77777777" w:rsidR="00D80129" w:rsidRPr="00DD6E6B" w:rsidRDefault="00D80129" w:rsidP="00D80129">
            <w:pPr>
              <w:pStyle w:val="Marginlie"/>
              <w:rPr>
                <w:color w:val="0D0D0D" w:themeColor="text1" w:themeTint="F2"/>
                <w:spacing w:val="-4"/>
                <w:lang w:val="en-GB"/>
              </w:rPr>
            </w:pPr>
          </w:p>
          <w:p w14:paraId="351BD5FA" w14:textId="77777777" w:rsidR="00D80129" w:rsidRPr="00DD6E6B" w:rsidRDefault="00D80129" w:rsidP="00D80129">
            <w:pPr>
              <w:pStyle w:val="Marginlie"/>
              <w:rPr>
                <w:color w:val="0D0D0D" w:themeColor="text1" w:themeTint="F2"/>
                <w:spacing w:val="-4"/>
                <w:lang w:val="en-GB"/>
              </w:rPr>
            </w:pPr>
          </w:p>
          <w:p w14:paraId="5B4DB8D8" w14:textId="07ECAD78" w:rsidR="00D80129" w:rsidRPr="00DD6E6B" w:rsidRDefault="00D80129" w:rsidP="00D80129">
            <w:pPr>
              <w:pStyle w:val="Marginlie"/>
              <w:rPr>
                <w:color w:val="0D0D0D" w:themeColor="text1" w:themeTint="F2"/>
                <w:spacing w:val="-4"/>
                <w:lang w:val="en-GB"/>
              </w:rPr>
            </w:pPr>
            <w:r w:rsidRPr="00DD6E6B">
              <w:rPr>
                <w:color w:val="0D0D0D" w:themeColor="text1" w:themeTint="F2"/>
                <w:spacing w:val="-4"/>
                <w:lang w:val="en-GB"/>
              </w:rPr>
              <w:t xml:space="preserve">The decrease of the real wage was unique due to both its depth and length. The size of real wage </w:t>
            </w:r>
            <w:r w:rsidRPr="00DD6E6B">
              <w:rPr>
                <w:color w:val="0D0D0D" w:themeColor="text1" w:themeTint="F2"/>
                <w:spacing w:val="-4"/>
                <w:lang w:val="en-GB"/>
              </w:rPr>
              <w:lastRenderedPageBreak/>
              <w:t>corresponded to the level from Q3 2017.</w:t>
            </w:r>
          </w:p>
        </w:tc>
        <w:tc>
          <w:tcPr>
            <w:tcW w:w="220" w:type="dxa"/>
            <w:shd w:val="clear" w:color="auto" w:fill="auto"/>
            <w:tcMar>
              <w:left w:w="0" w:type="dxa"/>
            </w:tcMar>
          </w:tcPr>
          <w:p w14:paraId="4FB92729" w14:textId="77777777" w:rsidR="00D80129" w:rsidRPr="00DD6E6B" w:rsidRDefault="00D80129" w:rsidP="00D80129">
            <w:pPr>
              <w:pStyle w:val="Textpoznpodarou"/>
              <w:jc w:val="both"/>
              <w:rPr>
                <w:color w:val="0D0D0D" w:themeColor="text1" w:themeTint="F2"/>
                <w:spacing w:val="-4"/>
                <w:lang w:val="en-GB"/>
              </w:rPr>
            </w:pPr>
          </w:p>
        </w:tc>
        <w:tc>
          <w:tcPr>
            <w:tcW w:w="7700" w:type="dxa"/>
            <w:shd w:val="clear" w:color="auto" w:fill="auto"/>
            <w:tcMar>
              <w:left w:w="0" w:type="dxa"/>
            </w:tcMar>
          </w:tcPr>
          <w:p w14:paraId="0D2030EE" w14:textId="1DC77950" w:rsidR="00D80129" w:rsidRPr="00DD6E6B" w:rsidRDefault="00D80129" w:rsidP="00D80129">
            <w:pPr>
              <w:spacing w:after="200"/>
              <w:rPr>
                <w:lang w:val="en-GB"/>
              </w:rPr>
            </w:pPr>
            <w:r w:rsidRPr="00DD6E6B">
              <w:rPr>
                <w:color w:val="0D0D0D" w:themeColor="text1" w:themeTint="F2"/>
                <w:spacing w:val="-4"/>
                <w:lang w:val="en-GB"/>
              </w:rPr>
              <w:t>The average gross wage (per employee, reflecting the type of job contract) strengthened by nominal 7.7% year-on-year in Q2 this year. Compared to the pace from the beginning of the year (+8.7%), the growth slightly slowed down. It was also apparent on the quarter-on-quarter dynamics of the seasonally adjusted wages this year (+2.2% in Q1, +1.5% in Q2). Even in spite of the disinflationary tendencies in the economy, the year-on-year decrease of the purchasing power of the average wage still remains significant, when it amounted to 3.1%</w:t>
            </w:r>
            <w:r w:rsidRPr="00DD6E6B">
              <w:rPr>
                <w:rStyle w:val="Znakapoznpodarou"/>
                <w:color w:val="0D0D0D" w:themeColor="text1" w:themeTint="F2"/>
                <w:spacing w:val="-4"/>
                <w:lang w:val="en-GB"/>
              </w:rPr>
              <w:footnoteReference w:id="13"/>
            </w:r>
            <w:r w:rsidRPr="00DD6E6B">
              <w:rPr>
                <w:color w:val="0D0D0D" w:themeColor="text1" w:themeTint="F2"/>
                <w:spacing w:val="-4"/>
                <w:lang w:val="en-GB"/>
              </w:rPr>
              <w:t xml:space="preserve"> in Q2. Decline of the purchasing power of the employee earnings thus continued for the seventh quarter in a row, which was the longest in the history of the independent CR and at the same time the total depth of the decrease for the whole period was unprecedented. The size of the real wage (after seasonal adjustment) in this year’s Q2 thus corresponded to the level from Q3 2017, the same can also be said about the analogical comparison of the </w:t>
            </w:r>
            <w:r w:rsidRPr="00DD6E6B">
              <w:rPr>
                <w:color w:val="0D0D0D" w:themeColor="text1" w:themeTint="F2"/>
                <w:spacing w:val="-4"/>
                <w:lang w:val="en-GB"/>
              </w:rPr>
              <w:lastRenderedPageBreak/>
              <w:t>real labour productivity (when expressed per employed person). The year-on-year decrease of the real wage afflicted nearly all branch sections (apart from the energetics) as well as the main industrial branches (apart from the electrical engineering and the motor vehicle manufacturing) this year in Q2 and set in across all the regions of the CR</w:t>
            </w:r>
            <w:r w:rsidRPr="00DD6E6B">
              <w:rPr>
                <w:spacing w:val="-4"/>
                <w:lang w:val="en-GB"/>
              </w:rPr>
              <w:t>. The wage development thus likely still represented the key factor in the lowering of the total purchasing power of the domestic households in Q2 2023</w:t>
            </w:r>
            <w:r w:rsidRPr="00DD6E6B">
              <w:rPr>
                <w:rStyle w:val="Znakapoznpodarou"/>
                <w:spacing w:val="-4"/>
                <w:lang w:val="en-GB"/>
              </w:rPr>
              <w:footnoteReference w:id="14"/>
            </w:r>
            <w:r w:rsidRPr="00DD6E6B">
              <w:rPr>
                <w:spacing w:val="-4"/>
                <w:lang w:val="en-GB"/>
              </w:rPr>
              <w:t>.</w:t>
            </w:r>
          </w:p>
        </w:tc>
      </w:tr>
      <w:tr w:rsidR="00D80129" w:rsidRPr="00DD6E6B" w14:paraId="13B4C2EC" w14:textId="77777777" w:rsidTr="00DA0121">
        <w:trPr>
          <w:trHeight w:val="132"/>
        </w:trPr>
        <w:tc>
          <w:tcPr>
            <w:tcW w:w="1754" w:type="dxa"/>
            <w:shd w:val="clear" w:color="auto" w:fill="auto"/>
            <w:tcMar>
              <w:left w:w="0" w:type="dxa"/>
            </w:tcMar>
          </w:tcPr>
          <w:p w14:paraId="223E02FD" w14:textId="2B8F6400" w:rsidR="00D80129" w:rsidRPr="00DD6E6B" w:rsidRDefault="00D80129" w:rsidP="00D80129">
            <w:pPr>
              <w:pStyle w:val="Marginlie"/>
              <w:rPr>
                <w:color w:val="0D0D0D" w:themeColor="text1" w:themeTint="F2"/>
                <w:spacing w:val="-4"/>
                <w:lang w:val="en-GB"/>
              </w:rPr>
            </w:pPr>
            <w:r w:rsidRPr="00DD6E6B">
              <w:rPr>
                <w:color w:val="0D0D0D" w:themeColor="text1" w:themeTint="F2"/>
                <w:spacing w:val="-4"/>
                <w:lang w:val="en-GB"/>
              </w:rPr>
              <w:lastRenderedPageBreak/>
              <w:t xml:space="preserve">Pressures on the wage growth in the business sphere remained relatively strong. </w:t>
            </w:r>
          </w:p>
        </w:tc>
        <w:tc>
          <w:tcPr>
            <w:tcW w:w="220" w:type="dxa"/>
            <w:shd w:val="clear" w:color="auto" w:fill="auto"/>
            <w:tcMar>
              <w:left w:w="0" w:type="dxa"/>
            </w:tcMar>
          </w:tcPr>
          <w:p w14:paraId="40055B48" w14:textId="77777777" w:rsidR="00D80129" w:rsidRPr="00DD6E6B" w:rsidRDefault="00D80129" w:rsidP="00D80129">
            <w:pPr>
              <w:pStyle w:val="Textpoznpodarou"/>
              <w:jc w:val="both"/>
              <w:rPr>
                <w:color w:val="0D0D0D" w:themeColor="text1" w:themeTint="F2"/>
                <w:spacing w:val="-4"/>
                <w:lang w:val="en-GB"/>
              </w:rPr>
            </w:pPr>
          </w:p>
        </w:tc>
        <w:tc>
          <w:tcPr>
            <w:tcW w:w="7700" w:type="dxa"/>
            <w:shd w:val="clear" w:color="auto" w:fill="auto"/>
            <w:tcMar>
              <w:left w:w="0" w:type="dxa"/>
            </w:tcMar>
          </w:tcPr>
          <w:p w14:paraId="288BBBEA" w14:textId="6D54CAAF" w:rsidR="00D80129" w:rsidRPr="00DD6E6B" w:rsidRDefault="00D80129" w:rsidP="00D80129">
            <w:pPr>
              <w:spacing w:after="200"/>
              <w:rPr>
                <w:lang w:val="en-GB"/>
              </w:rPr>
            </w:pPr>
            <w:r w:rsidRPr="00DD6E6B">
              <w:rPr>
                <w:lang w:val="en-GB"/>
              </w:rPr>
              <w:t>Relatively high demand of business for labour force as well as the heightened pressure of employees (often springing from tight familial budgets resulting from the sharp hike of prices of basic items of the consumer basket) still works in the direction of growth of the nominal wage. Room for further swift increase of wages exists in the market sphere also thanks to the high and in the last quarters still growing rate of profit of the non-financial businesses. The growing need for savings in the budgetary sphere</w:t>
            </w:r>
            <w:r w:rsidRPr="00DD6E6B">
              <w:rPr>
                <w:rStyle w:val="Znakapoznpodarou"/>
                <w:spacing w:val="-5"/>
                <w:lang w:val="en-GB"/>
              </w:rPr>
              <w:footnoteReference w:id="15"/>
            </w:r>
            <w:r w:rsidRPr="00DD6E6B">
              <w:rPr>
                <w:lang w:val="en-GB"/>
              </w:rPr>
              <w:t>, more austere increase of the minimal wages</w:t>
            </w:r>
            <w:r w:rsidRPr="00DD6E6B">
              <w:rPr>
                <w:rStyle w:val="Znakapoznpodarou"/>
                <w:spacing w:val="-5"/>
                <w:lang w:val="en-GB"/>
              </w:rPr>
              <w:footnoteReference w:id="16"/>
            </w:r>
            <w:r w:rsidRPr="00DD6E6B">
              <w:rPr>
                <w:lang w:val="en-GB"/>
              </w:rPr>
              <w:t xml:space="preserve"> as well as the rising number of foreign workers from </w:t>
            </w:r>
            <w:r>
              <w:rPr>
                <w:lang w:val="en-GB"/>
              </w:rPr>
              <w:t>“</w:t>
            </w:r>
            <w:r w:rsidRPr="00DD6E6B">
              <w:rPr>
                <w:lang w:val="en-GB"/>
              </w:rPr>
              <w:t>third countries</w:t>
            </w:r>
            <w:r>
              <w:rPr>
                <w:lang w:val="en-GB"/>
              </w:rPr>
              <w:t>”</w:t>
            </w:r>
            <w:r w:rsidRPr="00DD6E6B">
              <w:rPr>
                <w:rStyle w:val="Znakapoznpodarou"/>
                <w:lang w:val="en-GB"/>
              </w:rPr>
              <w:footnoteReference w:id="17"/>
            </w:r>
            <w:r w:rsidRPr="00DD6E6B">
              <w:rPr>
                <w:lang w:val="en-GB"/>
              </w:rPr>
              <w:t xml:space="preserve"> on the contrary dampened the wage growth in the whole economy.</w:t>
            </w:r>
          </w:p>
        </w:tc>
      </w:tr>
      <w:tr w:rsidR="00D80129" w:rsidRPr="00DD6E6B" w14:paraId="046BEF2D" w14:textId="77777777" w:rsidTr="00DA0121">
        <w:trPr>
          <w:trHeight w:val="132"/>
        </w:trPr>
        <w:tc>
          <w:tcPr>
            <w:tcW w:w="1754" w:type="dxa"/>
            <w:shd w:val="clear" w:color="auto" w:fill="auto"/>
            <w:tcMar>
              <w:left w:w="0" w:type="dxa"/>
            </w:tcMar>
          </w:tcPr>
          <w:p w14:paraId="18A69315" w14:textId="5BA74749" w:rsidR="00D80129" w:rsidRPr="00DD6E6B" w:rsidRDefault="00D80129" w:rsidP="00D80129">
            <w:pPr>
              <w:pStyle w:val="Marginlie"/>
              <w:rPr>
                <w:color w:val="0D0D0D" w:themeColor="text1" w:themeTint="F2"/>
                <w:spacing w:val="-4"/>
                <w:lang w:val="en-GB"/>
              </w:rPr>
            </w:pPr>
            <w:r w:rsidRPr="00DD6E6B">
              <w:rPr>
                <w:color w:val="0D0D0D" w:themeColor="text1" w:themeTint="F2"/>
                <w:spacing w:val="-4"/>
                <w:lang w:val="en-GB"/>
              </w:rPr>
              <w:t>Wages were rising by above average pace in the secondary sector of the economy. Different economic results of the sub-branches were evident within manufacturing.</w:t>
            </w:r>
          </w:p>
          <w:p w14:paraId="49653AB6" w14:textId="77777777" w:rsidR="00D80129" w:rsidRPr="00DD6E6B" w:rsidRDefault="00D80129" w:rsidP="00D80129">
            <w:pPr>
              <w:pStyle w:val="Marginlie"/>
              <w:rPr>
                <w:color w:val="0D0D0D" w:themeColor="text1" w:themeTint="F2"/>
                <w:spacing w:val="-4"/>
                <w:lang w:val="en-GB"/>
              </w:rPr>
            </w:pPr>
          </w:p>
        </w:tc>
        <w:tc>
          <w:tcPr>
            <w:tcW w:w="220" w:type="dxa"/>
            <w:shd w:val="clear" w:color="auto" w:fill="auto"/>
            <w:tcMar>
              <w:left w:w="0" w:type="dxa"/>
            </w:tcMar>
          </w:tcPr>
          <w:p w14:paraId="4B8A26CB" w14:textId="77777777" w:rsidR="00D80129" w:rsidRPr="00DD6E6B" w:rsidRDefault="00D80129" w:rsidP="00D80129">
            <w:pPr>
              <w:pStyle w:val="Textpoznpodarou"/>
              <w:jc w:val="both"/>
              <w:rPr>
                <w:spacing w:val="-4"/>
                <w:lang w:val="en-GB"/>
              </w:rPr>
            </w:pPr>
          </w:p>
        </w:tc>
        <w:tc>
          <w:tcPr>
            <w:tcW w:w="7700" w:type="dxa"/>
            <w:shd w:val="clear" w:color="auto" w:fill="auto"/>
            <w:tcMar>
              <w:left w:w="0" w:type="dxa"/>
            </w:tcMar>
          </w:tcPr>
          <w:p w14:paraId="0DFF08F3" w14:textId="1B73D433" w:rsidR="00D80129" w:rsidRPr="00DD6E6B" w:rsidRDefault="00D80129" w:rsidP="00D80129">
            <w:pPr>
              <w:spacing w:after="0"/>
              <w:rPr>
                <w:spacing w:val="-5"/>
                <w:lang w:val="en-GB"/>
              </w:rPr>
            </w:pPr>
            <w:r w:rsidRPr="00DD6E6B">
              <w:rPr>
                <w:spacing w:val="-5"/>
                <w:lang w:val="en-GB"/>
              </w:rPr>
              <w:t xml:space="preserve">The wage rose on average the most between the main branches in the small and ambitious on qualification requirements </w:t>
            </w:r>
            <w:r w:rsidRPr="00DD6E6B">
              <w:rPr>
                <w:rFonts w:cs="Arial"/>
                <w:color w:val="0D0D0D" w:themeColor="text1" w:themeTint="F2"/>
                <w:spacing w:val="-4"/>
                <w:szCs w:val="20"/>
                <w:lang w:val="en-GB"/>
              </w:rPr>
              <w:t>field of energetics</w:t>
            </w:r>
            <w:r w:rsidRPr="00DD6E6B">
              <w:rPr>
                <w:rStyle w:val="Znakapoznpodarou"/>
                <w:color w:val="0D0D0D" w:themeColor="text1" w:themeTint="F2"/>
                <w:spacing w:val="-4"/>
                <w:szCs w:val="20"/>
                <w:lang w:val="en-GB"/>
              </w:rPr>
              <w:footnoteReference w:id="18"/>
            </w:r>
            <w:r w:rsidRPr="00DD6E6B">
              <w:rPr>
                <w:rFonts w:cs="Arial"/>
                <w:color w:val="0D0D0D" w:themeColor="text1" w:themeTint="F2"/>
                <w:spacing w:val="-4"/>
                <w:szCs w:val="20"/>
                <w:lang w:val="en-GB"/>
              </w:rPr>
              <w:t xml:space="preserve"> (+18.7%) for H1 2023. The record wage pace especially reflected the extraordinary bonuses paid out at the beginning of the year. The average monthly size of earnings surpassed 71 CZK thousand here and approached the level of the best paid branches of the economy (financial activities and ICT areas). Favourable economic results of year 2022 are still being mirrored in the brisk wage pace in mining and quarrying (+11%). Earnings in manufacturing were raised by slightly above average pace this year, similarly to the majority of the last year. However the situation was rather differentiated in the sub-branches depending on the economic shape of businesses </w:t>
            </w:r>
            <w:r w:rsidRPr="00DD6E6B">
              <w:rPr>
                <w:rStyle w:val="normaltextrun"/>
                <w:rFonts w:eastAsia="MS Gothic" w:cs="Arial"/>
                <w:szCs w:val="20"/>
                <w:lang w:val="en-GB"/>
              </w:rPr>
              <w:t>here (t</w:t>
            </w:r>
            <w:r w:rsidRPr="00DD6E6B">
              <w:rPr>
                <w:rStyle w:val="normaltextrun"/>
                <w:rFonts w:eastAsia="MS Gothic"/>
                <w:lang w:val="en-GB"/>
              </w:rPr>
              <w:t>he wage rate of growth in the electrical engineering or manufacturing of motor vehicles was nearly double in comparison to the manufacturing of construction materials</w:t>
            </w:r>
            <w:r w:rsidRPr="00DD6E6B">
              <w:rPr>
                <w:rStyle w:val="normaltextrun"/>
                <w:rFonts w:eastAsia="MS Gothic" w:cs="Arial"/>
                <w:szCs w:val="20"/>
                <w:lang w:val="en-GB"/>
              </w:rPr>
              <w:t xml:space="preserve">). </w:t>
            </w:r>
          </w:p>
          <w:p w14:paraId="0C070588" w14:textId="77777777" w:rsidR="00D80129" w:rsidRPr="00DD6E6B" w:rsidRDefault="00D80129" w:rsidP="00D80129">
            <w:pPr>
              <w:spacing w:after="0"/>
              <w:rPr>
                <w:rFonts w:cs="Arial"/>
                <w:color w:val="0D0D0D" w:themeColor="text1" w:themeTint="F2"/>
                <w:spacing w:val="-4"/>
                <w:sz w:val="14"/>
                <w:szCs w:val="14"/>
                <w:lang w:val="en-GB"/>
              </w:rPr>
            </w:pPr>
          </w:p>
        </w:tc>
      </w:tr>
      <w:tr w:rsidR="00D80129" w:rsidRPr="00DD6E6B" w14:paraId="39113BF6" w14:textId="77777777" w:rsidTr="00DA0121">
        <w:trPr>
          <w:trHeight w:val="132"/>
        </w:trPr>
        <w:tc>
          <w:tcPr>
            <w:tcW w:w="1754" w:type="dxa"/>
            <w:shd w:val="clear" w:color="auto" w:fill="auto"/>
            <w:tcMar>
              <w:left w:w="0" w:type="dxa"/>
            </w:tcMar>
          </w:tcPr>
          <w:p w14:paraId="3BC350BD" w14:textId="7DEAA7DD" w:rsidR="00D80129" w:rsidRPr="00DD6E6B" w:rsidRDefault="00D80129" w:rsidP="00D80129">
            <w:pPr>
              <w:pStyle w:val="Marginlie"/>
              <w:rPr>
                <w:spacing w:val="-4"/>
                <w:lang w:val="en-GB"/>
              </w:rPr>
            </w:pPr>
            <w:r w:rsidRPr="00DD6E6B">
              <w:rPr>
                <w:spacing w:val="-4"/>
                <w:lang w:val="en-GB"/>
              </w:rPr>
              <w:t xml:space="preserve">Among the market branches of services the wages rose relatively the most in the real estate area and in accommodation, food services and restaurants activities.   </w:t>
            </w:r>
          </w:p>
        </w:tc>
        <w:tc>
          <w:tcPr>
            <w:tcW w:w="220" w:type="dxa"/>
            <w:shd w:val="clear" w:color="auto" w:fill="auto"/>
            <w:tcMar>
              <w:left w:w="0" w:type="dxa"/>
            </w:tcMar>
          </w:tcPr>
          <w:p w14:paraId="4EFD2FC3" w14:textId="77777777" w:rsidR="00D80129" w:rsidRPr="00DD6E6B" w:rsidRDefault="00D80129" w:rsidP="00D80129">
            <w:pPr>
              <w:pStyle w:val="Textpoznpodarou"/>
              <w:jc w:val="both"/>
              <w:rPr>
                <w:spacing w:val="-4"/>
                <w:lang w:val="en-GB"/>
              </w:rPr>
            </w:pPr>
          </w:p>
        </w:tc>
        <w:tc>
          <w:tcPr>
            <w:tcW w:w="7700" w:type="dxa"/>
            <w:shd w:val="clear" w:color="auto" w:fill="auto"/>
            <w:tcMar>
              <w:left w:w="0" w:type="dxa"/>
            </w:tcMar>
          </w:tcPr>
          <w:p w14:paraId="621E2228" w14:textId="20078330" w:rsidR="00D80129" w:rsidRPr="00DD6E6B" w:rsidRDefault="00D80129" w:rsidP="00D80129">
            <w:pPr>
              <w:spacing w:after="200"/>
              <w:rPr>
                <w:rFonts w:cs="Arial"/>
                <w:color w:val="0D0D0D" w:themeColor="text1" w:themeTint="F2"/>
                <w:spacing w:val="-4"/>
                <w:szCs w:val="20"/>
                <w:lang w:val="en-GB"/>
              </w:rPr>
            </w:pPr>
            <w:r w:rsidRPr="00DD6E6B">
              <w:rPr>
                <w:rFonts w:cs="Arial"/>
                <w:color w:val="0D0D0D" w:themeColor="text1" w:themeTint="F2"/>
                <w:spacing w:val="-4"/>
                <w:szCs w:val="20"/>
                <w:lang w:val="en-GB"/>
              </w:rPr>
              <w:t>Within the market branches of services, the half-yearly average wages increased the most in the weight small branch of real estate activities this year (+10.7% year-on-year</w:t>
            </w:r>
            <w:r w:rsidRPr="00DD6E6B">
              <w:rPr>
                <w:rStyle w:val="Znakapoznpodarou"/>
                <w:color w:val="0D0D0D" w:themeColor="text1" w:themeTint="F2"/>
                <w:spacing w:val="-4"/>
                <w:szCs w:val="20"/>
                <w:lang w:val="en-GB"/>
              </w:rPr>
              <w:footnoteReference w:id="19"/>
            </w:r>
            <w:r w:rsidRPr="00DD6E6B">
              <w:rPr>
                <w:rFonts w:cs="Arial"/>
                <w:color w:val="0D0D0D" w:themeColor="text1" w:themeTint="F2"/>
                <w:spacing w:val="-4"/>
                <w:szCs w:val="20"/>
                <w:lang w:val="en-GB"/>
              </w:rPr>
              <w:t>) and their size approached the 40 CZK thousand boundary. On the contrary, it did not reach even 25 CZK thousand in accommodation, food services and restaurants even despite faster wage rate of growth (+9.8%) also reflecting the continuing recovery of the arrival tourism. The wage dynamics in the significant branches of trades or transportation and warehousing copied the situation in the whole economy, at the same time it was one of the few areas of services</w:t>
            </w:r>
            <w:r w:rsidRPr="00DD6E6B">
              <w:rPr>
                <w:rFonts w:cs="Arial"/>
                <w:color w:val="0D0D0D" w:themeColor="text1" w:themeTint="F2"/>
                <w:spacing w:val="-6"/>
                <w:szCs w:val="20"/>
                <w:lang w:val="en-GB"/>
              </w:rPr>
              <w:t>, where the number of employees did not grow (the interconnectedness to the weakening manufacturing had an effect</w:t>
            </w:r>
            <w:r w:rsidRPr="00DD6E6B">
              <w:rPr>
                <w:rFonts w:cs="Arial"/>
                <w:color w:val="0D0D0D" w:themeColor="text1" w:themeTint="F2"/>
                <w:spacing w:val="-4"/>
                <w:szCs w:val="20"/>
                <w:lang w:val="en-GB"/>
              </w:rPr>
              <w:t xml:space="preserve">). On the contrary the branch of administrative and support service activities hired new employees (mostly the agency workers for the positions of lower </w:t>
            </w:r>
            <w:r w:rsidRPr="00DD6E6B">
              <w:rPr>
                <w:rFonts w:cs="Arial"/>
                <w:color w:val="0D0D0D" w:themeColor="text1" w:themeTint="F2"/>
                <w:spacing w:val="-4"/>
                <w:szCs w:val="20"/>
                <w:lang w:val="en-GB"/>
              </w:rPr>
              <w:lastRenderedPageBreak/>
              <w:t>qualification), which led to the weaker growth of the average earnings (7.1%), whose monthly size did not exceed 30 CZK thousand. The branch of other activities recorded the lowest wage pace</w:t>
            </w:r>
            <w:r w:rsidRPr="00DD6E6B">
              <w:rPr>
                <w:rStyle w:val="Znakapoznpodarou"/>
                <w:color w:val="0D0D0D" w:themeColor="text1" w:themeTint="F2"/>
                <w:spacing w:val="-4"/>
                <w:szCs w:val="20"/>
                <w:lang w:val="en-GB"/>
              </w:rPr>
              <w:footnoteReference w:id="20"/>
            </w:r>
            <w:r w:rsidRPr="00DD6E6B">
              <w:rPr>
                <w:rFonts w:cs="Arial"/>
                <w:color w:val="0D0D0D" w:themeColor="text1" w:themeTint="F2"/>
                <w:spacing w:val="-4"/>
                <w:szCs w:val="20"/>
                <w:lang w:val="en-GB"/>
              </w:rPr>
              <w:t xml:space="preserve"> (+3.8%), only 1 158 CZK in absolute terms (i.e. mere one tenth of the increase achieved in energetics). The low pace can be explained by the significant boost of employment (+5.4%), which occurred for the first time since the onset of the pandemics.   </w:t>
            </w:r>
          </w:p>
        </w:tc>
      </w:tr>
      <w:tr w:rsidR="00D80129" w:rsidRPr="00DD6E6B" w14:paraId="61F8CEFA" w14:textId="77777777" w:rsidTr="00DA0121">
        <w:trPr>
          <w:trHeight w:val="132"/>
        </w:trPr>
        <w:tc>
          <w:tcPr>
            <w:tcW w:w="1754" w:type="dxa"/>
            <w:shd w:val="clear" w:color="auto" w:fill="auto"/>
            <w:tcMar>
              <w:left w:w="0" w:type="dxa"/>
            </w:tcMar>
          </w:tcPr>
          <w:p w14:paraId="653627A1" w14:textId="77777777" w:rsidR="00D80129" w:rsidRPr="00DD6E6B" w:rsidRDefault="00D80129" w:rsidP="00D80129">
            <w:pPr>
              <w:pStyle w:val="Marginlie"/>
              <w:rPr>
                <w:spacing w:val="-4"/>
                <w:lang w:val="en-GB"/>
              </w:rPr>
            </w:pPr>
          </w:p>
        </w:tc>
        <w:tc>
          <w:tcPr>
            <w:tcW w:w="220" w:type="dxa"/>
            <w:shd w:val="clear" w:color="auto" w:fill="auto"/>
            <w:tcMar>
              <w:left w:w="0" w:type="dxa"/>
            </w:tcMar>
          </w:tcPr>
          <w:p w14:paraId="699B2E77" w14:textId="77777777" w:rsidR="00D80129" w:rsidRPr="00DD6E6B" w:rsidRDefault="00D80129" w:rsidP="00D80129">
            <w:pPr>
              <w:pStyle w:val="Textpoznpodarou"/>
              <w:jc w:val="both"/>
              <w:rPr>
                <w:spacing w:val="-4"/>
                <w:lang w:val="en-GB"/>
              </w:rPr>
            </w:pPr>
          </w:p>
        </w:tc>
        <w:tc>
          <w:tcPr>
            <w:tcW w:w="7700" w:type="dxa"/>
            <w:shd w:val="clear" w:color="auto" w:fill="auto"/>
            <w:tcMar>
              <w:left w:w="0" w:type="dxa"/>
            </w:tcMar>
          </w:tcPr>
          <w:p w14:paraId="566E567D" w14:textId="7026A777" w:rsidR="00D80129" w:rsidRPr="00DD6E6B" w:rsidRDefault="00D80129" w:rsidP="00D80129">
            <w:pPr>
              <w:spacing w:after="0"/>
              <w:rPr>
                <w:rFonts w:cs="Arial"/>
                <w:b/>
                <w:color w:val="0D0D0D" w:themeColor="text1" w:themeTint="F2"/>
                <w:spacing w:val="-4"/>
                <w:szCs w:val="20"/>
                <w:lang w:val="en-GB"/>
              </w:rPr>
            </w:pPr>
            <w:r w:rsidRPr="00DD6E6B">
              <w:rPr>
                <w:rFonts w:cs="Arial"/>
                <w:b/>
                <w:color w:val="0D0D0D" w:themeColor="text1" w:themeTint="F2"/>
                <w:spacing w:val="-4"/>
                <w:szCs w:val="20"/>
                <w:lang w:val="en-GB"/>
              </w:rPr>
              <w:t xml:space="preserve">Chart 15 </w:t>
            </w:r>
            <w:r w:rsidRPr="00DD6E6B">
              <w:rPr>
                <w:b/>
                <w:spacing w:val="-2"/>
                <w:lang w:val="en-GB"/>
              </w:rPr>
              <w:t>A</w:t>
            </w:r>
            <w:r w:rsidR="00DD01BD">
              <w:rPr>
                <w:b/>
                <w:spacing w:val="-2"/>
                <w:lang w:val="en-GB"/>
              </w:rPr>
              <w:t>verage nominal and real wage,</w:t>
            </w:r>
            <w:r w:rsidRPr="00DD6E6B">
              <w:rPr>
                <w:b/>
                <w:spacing w:val="-2"/>
                <w:lang w:val="en-GB"/>
              </w:rPr>
              <w:t xml:space="preserve"> wage median</w:t>
            </w:r>
            <w:r w:rsidR="00DD01BD">
              <w:rPr>
                <w:b/>
                <w:spacing w:val="-2"/>
                <w:lang w:val="en-GB"/>
              </w:rPr>
              <w:t>, labour productivity</w:t>
            </w:r>
            <w:r w:rsidRPr="00DD6E6B">
              <w:rPr>
                <w:b/>
                <w:spacing w:val="-2"/>
                <w:lang w:val="en-GB"/>
              </w:rPr>
              <w:t xml:space="preserve"> </w:t>
            </w:r>
            <w:r w:rsidRPr="00DD6E6B">
              <w:rPr>
                <w:spacing w:val="-2"/>
                <w:lang w:val="en-GB"/>
              </w:rPr>
              <w:t xml:space="preserve">(year-on-year, in %, individual half-years) </w:t>
            </w:r>
          </w:p>
        </w:tc>
      </w:tr>
      <w:tr w:rsidR="00D80129" w:rsidRPr="00DD6E6B" w14:paraId="404380F0" w14:textId="77777777" w:rsidTr="00C0259E">
        <w:tblPrEx>
          <w:tblCellMar>
            <w:left w:w="70" w:type="dxa"/>
            <w:right w:w="70" w:type="dxa"/>
          </w:tblCellMar>
        </w:tblPrEx>
        <w:trPr>
          <w:trHeight w:val="132"/>
        </w:trPr>
        <w:tc>
          <w:tcPr>
            <w:tcW w:w="1754" w:type="dxa"/>
            <w:shd w:val="clear" w:color="auto" w:fill="auto"/>
          </w:tcPr>
          <w:p w14:paraId="212942C2" w14:textId="77777777" w:rsidR="00D80129" w:rsidRPr="00DD6E6B" w:rsidRDefault="00D80129" w:rsidP="00D80129">
            <w:pPr>
              <w:pStyle w:val="Marginlie"/>
              <w:rPr>
                <w:spacing w:val="-4"/>
                <w:lang w:val="en-GB"/>
              </w:rPr>
            </w:pPr>
          </w:p>
        </w:tc>
        <w:tc>
          <w:tcPr>
            <w:tcW w:w="220" w:type="dxa"/>
            <w:shd w:val="clear" w:color="auto" w:fill="auto"/>
          </w:tcPr>
          <w:p w14:paraId="46F2E292" w14:textId="77777777" w:rsidR="00D80129" w:rsidRPr="00DD6E6B" w:rsidRDefault="00D80129" w:rsidP="00D80129">
            <w:pPr>
              <w:pStyle w:val="Textpoznpodarou"/>
              <w:jc w:val="both"/>
              <w:rPr>
                <w:spacing w:val="-4"/>
                <w:lang w:val="en-GB"/>
              </w:rPr>
            </w:pPr>
          </w:p>
        </w:tc>
        <w:tc>
          <w:tcPr>
            <w:tcW w:w="7700" w:type="dxa"/>
            <w:shd w:val="clear" w:color="auto" w:fill="auto"/>
          </w:tcPr>
          <w:p w14:paraId="6EEAC990" w14:textId="47E24438" w:rsidR="00D80129" w:rsidRPr="00DD6E6B" w:rsidRDefault="00D80129" w:rsidP="00D80129">
            <w:pPr>
              <w:spacing w:after="0" w:line="240" w:lineRule="auto"/>
              <w:rPr>
                <w:rFonts w:cs="Arial"/>
                <w:color w:val="0D0D0D" w:themeColor="text1" w:themeTint="F2"/>
                <w:spacing w:val="-4"/>
                <w:sz w:val="14"/>
                <w:szCs w:val="14"/>
                <w:lang w:val="en-GB"/>
              </w:rPr>
            </w:pPr>
            <w:r>
              <w:rPr>
                <w:noProof/>
              </w:rPr>
              <w:drawing>
                <wp:inline distT="0" distB="0" distL="0" distR="0" wp14:anchorId="4E5FFD7F" wp14:editId="4C83F246">
                  <wp:extent cx="4794389" cy="3688430"/>
                  <wp:effectExtent l="0" t="0" r="6350" b="762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D80129" w:rsidRPr="00DD6E6B" w14:paraId="7C8DF60B" w14:textId="77777777" w:rsidTr="00DA0121">
        <w:trPr>
          <w:trHeight w:val="132"/>
        </w:trPr>
        <w:tc>
          <w:tcPr>
            <w:tcW w:w="1754" w:type="dxa"/>
            <w:shd w:val="clear" w:color="auto" w:fill="auto"/>
            <w:tcMar>
              <w:left w:w="0" w:type="dxa"/>
            </w:tcMar>
          </w:tcPr>
          <w:p w14:paraId="78B6591E" w14:textId="77777777" w:rsidR="00D80129" w:rsidRPr="00DD6E6B" w:rsidRDefault="00D80129" w:rsidP="00D80129">
            <w:pPr>
              <w:pStyle w:val="Marginlie"/>
              <w:rPr>
                <w:spacing w:val="-4"/>
                <w:lang w:val="en-GB"/>
              </w:rPr>
            </w:pPr>
          </w:p>
        </w:tc>
        <w:tc>
          <w:tcPr>
            <w:tcW w:w="220" w:type="dxa"/>
            <w:shd w:val="clear" w:color="auto" w:fill="auto"/>
            <w:tcMar>
              <w:left w:w="0" w:type="dxa"/>
            </w:tcMar>
          </w:tcPr>
          <w:p w14:paraId="0685BD40" w14:textId="77777777" w:rsidR="00D80129" w:rsidRPr="00DD6E6B" w:rsidRDefault="00D80129" w:rsidP="00D80129">
            <w:pPr>
              <w:pStyle w:val="Textpoznpodarou"/>
              <w:jc w:val="both"/>
              <w:rPr>
                <w:spacing w:val="-4"/>
                <w:lang w:val="en-GB"/>
              </w:rPr>
            </w:pPr>
          </w:p>
        </w:tc>
        <w:tc>
          <w:tcPr>
            <w:tcW w:w="7700" w:type="dxa"/>
            <w:shd w:val="clear" w:color="auto" w:fill="auto"/>
            <w:tcMar>
              <w:left w:w="0" w:type="dxa"/>
            </w:tcMar>
          </w:tcPr>
          <w:p w14:paraId="53BA02B6" w14:textId="2135E97F" w:rsidR="00D80129" w:rsidRPr="00DD6E6B" w:rsidRDefault="00D80129" w:rsidP="00D80129">
            <w:pPr>
              <w:spacing w:after="0" w:line="240" w:lineRule="auto"/>
              <w:rPr>
                <w:rFonts w:cs="Arial"/>
                <w:color w:val="0D0D0D" w:themeColor="text1" w:themeTint="F2"/>
                <w:spacing w:val="-4"/>
                <w:sz w:val="14"/>
                <w:szCs w:val="14"/>
                <w:lang w:val="en-GB"/>
              </w:rPr>
            </w:pPr>
            <w:r w:rsidRPr="00DD6E6B">
              <w:rPr>
                <w:bCs/>
                <w:sz w:val="14"/>
                <w:szCs w:val="14"/>
                <w:lang w:val="en-GB"/>
              </w:rPr>
              <w:t>*</w:t>
            </w:r>
            <w:r w:rsidRPr="00DD6E6B">
              <w:rPr>
                <w:rFonts w:cs="Arial"/>
                <w:spacing w:val="-3"/>
                <w:sz w:val="14"/>
                <w:szCs w:val="14"/>
                <w:lang w:val="en-GB"/>
              </w:rPr>
              <w:t xml:space="preserve"> Includes branches with a significant state involvement: Public administration, defence, social security; Education; Human health and social work activities; Cultural, amusement and recreational activities.</w:t>
            </w:r>
          </w:p>
          <w:p w14:paraId="0E1CEBB6" w14:textId="77777777" w:rsidR="00D80129" w:rsidRDefault="00D80129" w:rsidP="00D80129">
            <w:pPr>
              <w:spacing w:after="0" w:line="240" w:lineRule="auto"/>
              <w:rPr>
                <w:rFonts w:cs="Arial"/>
                <w:color w:val="0D0D0D" w:themeColor="text1" w:themeTint="F2"/>
                <w:spacing w:val="-4"/>
                <w:sz w:val="14"/>
                <w:szCs w:val="14"/>
                <w:lang w:val="en-GB"/>
              </w:rPr>
            </w:pPr>
            <w:r w:rsidRPr="00DD6E6B">
              <w:rPr>
                <w:rFonts w:cs="Arial"/>
                <w:color w:val="0D0D0D" w:themeColor="text1" w:themeTint="F2"/>
                <w:spacing w:val="-4"/>
                <w:sz w:val="14"/>
                <w:szCs w:val="14"/>
                <w:lang w:val="en-GB"/>
              </w:rPr>
              <w:t>**Expresses real GDP related to 1 worker (in natural persons</w:t>
            </w:r>
            <w:r>
              <w:rPr>
                <w:rFonts w:cs="Arial"/>
                <w:color w:val="0D0D0D" w:themeColor="text1" w:themeTint="F2"/>
                <w:spacing w:val="-4"/>
                <w:sz w:val="14"/>
                <w:szCs w:val="14"/>
                <w:lang w:val="en-GB"/>
              </w:rPr>
              <w:t>)</w:t>
            </w:r>
          </w:p>
          <w:p w14:paraId="2206DE61" w14:textId="2C31E20F" w:rsidR="00D80129" w:rsidRPr="00DD6E6B" w:rsidRDefault="00D80129" w:rsidP="00D80129">
            <w:pPr>
              <w:spacing w:after="200" w:line="240" w:lineRule="auto"/>
              <w:rPr>
                <w:rFonts w:cs="Arial"/>
                <w:color w:val="0D0D0D" w:themeColor="text1" w:themeTint="F2"/>
                <w:spacing w:val="-4"/>
                <w:sz w:val="14"/>
                <w:szCs w:val="14"/>
                <w:lang w:val="en-GB"/>
              </w:rPr>
            </w:pPr>
            <w:r w:rsidRPr="00DD6E6B">
              <w:rPr>
                <w:rFonts w:cs="Arial"/>
                <w:color w:val="0D0D0D" w:themeColor="text1" w:themeTint="F2"/>
                <w:spacing w:val="-4"/>
                <w:sz w:val="14"/>
                <w:szCs w:val="14"/>
                <w:lang w:val="en-GB"/>
              </w:rPr>
              <w:t>Source: CZSO</w:t>
            </w:r>
          </w:p>
        </w:tc>
      </w:tr>
      <w:tr w:rsidR="00D80129" w:rsidRPr="00DD6E6B" w14:paraId="492BD43E" w14:textId="77777777" w:rsidTr="00DA0121">
        <w:trPr>
          <w:trHeight w:val="132"/>
        </w:trPr>
        <w:tc>
          <w:tcPr>
            <w:tcW w:w="1754" w:type="dxa"/>
            <w:shd w:val="clear" w:color="auto" w:fill="auto"/>
            <w:tcMar>
              <w:left w:w="0" w:type="dxa"/>
            </w:tcMar>
          </w:tcPr>
          <w:p w14:paraId="6D24F6C9" w14:textId="4F620DC8" w:rsidR="00D80129" w:rsidRPr="00DD6E6B" w:rsidRDefault="00D80129" w:rsidP="00D80129">
            <w:pPr>
              <w:pStyle w:val="Marginlie"/>
              <w:rPr>
                <w:lang w:val="en-GB"/>
              </w:rPr>
            </w:pPr>
            <w:r w:rsidRPr="00DD6E6B">
              <w:rPr>
                <w:lang w:val="en-GB"/>
              </w:rPr>
              <w:t xml:space="preserve">Total wage growth in branches with a significant role of the state still lagged behind the level of the whole economy. </w:t>
            </w:r>
          </w:p>
          <w:p w14:paraId="3E1C6159" w14:textId="77777777" w:rsidR="00D80129" w:rsidRPr="00DD6E6B" w:rsidRDefault="00D80129" w:rsidP="00D80129">
            <w:pPr>
              <w:pStyle w:val="Marginlie"/>
              <w:rPr>
                <w:color w:val="0D0D0D" w:themeColor="text1" w:themeTint="F2"/>
                <w:lang w:val="en-GB"/>
              </w:rPr>
            </w:pPr>
          </w:p>
        </w:tc>
        <w:tc>
          <w:tcPr>
            <w:tcW w:w="220" w:type="dxa"/>
            <w:shd w:val="clear" w:color="auto" w:fill="auto"/>
            <w:tcMar>
              <w:left w:w="0" w:type="dxa"/>
            </w:tcMar>
          </w:tcPr>
          <w:p w14:paraId="61CF7590" w14:textId="77777777" w:rsidR="00D80129" w:rsidRPr="00DD6E6B" w:rsidRDefault="00D80129" w:rsidP="00D80129">
            <w:pPr>
              <w:pStyle w:val="Textpoznpodarou"/>
              <w:jc w:val="both"/>
              <w:rPr>
                <w:rFonts w:eastAsia="Times New Roman"/>
                <w:i/>
                <w:color w:val="0D0D0D" w:themeColor="text1" w:themeTint="F2"/>
                <w:spacing w:val="-4"/>
                <w:sz w:val="16"/>
                <w:szCs w:val="16"/>
                <w:lang w:val="en-GB"/>
              </w:rPr>
            </w:pPr>
          </w:p>
        </w:tc>
        <w:tc>
          <w:tcPr>
            <w:tcW w:w="7700" w:type="dxa"/>
            <w:shd w:val="clear" w:color="auto" w:fill="auto"/>
            <w:tcMar>
              <w:left w:w="0" w:type="dxa"/>
            </w:tcMar>
          </w:tcPr>
          <w:p w14:paraId="6EDDF42B" w14:textId="386FB7A5" w:rsidR="00D80129" w:rsidRPr="00DD6E6B" w:rsidRDefault="00D80129" w:rsidP="00D80129">
            <w:pPr>
              <w:spacing w:after="0"/>
              <w:rPr>
                <w:rFonts w:cs="Arial"/>
                <w:color w:val="0D0D0D" w:themeColor="text1" w:themeTint="F2"/>
                <w:spacing w:val="-4"/>
                <w:szCs w:val="20"/>
                <w:lang w:val="en-GB"/>
              </w:rPr>
            </w:pPr>
            <w:r w:rsidRPr="00DD6E6B">
              <w:rPr>
                <w:rFonts w:cs="Arial"/>
                <w:color w:val="0D0D0D" w:themeColor="text1" w:themeTint="F2"/>
                <w:spacing w:val="-4"/>
                <w:szCs w:val="20"/>
                <w:lang w:val="en-GB"/>
              </w:rPr>
              <w:t>Wages in the branches with significant role of the state</w:t>
            </w:r>
            <w:r w:rsidRPr="00DD6E6B">
              <w:rPr>
                <w:rStyle w:val="Znakapoznpodarou"/>
                <w:color w:val="0D0D0D" w:themeColor="text1" w:themeTint="F2"/>
                <w:spacing w:val="-4"/>
                <w:szCs w:val="20"/>
                <w:lang w:val="en-GB"/>
              </w:rPr>
              <w:footnoteReference w:id="21"/>
            </w:r>
            <w:r w:rsidRPr="00DD6E6B">
              <w:rPr>
                <w:rFonts w:cs="Arial"/>
                <w:color w:val="0D0D0D" w:themeColor="text1" w:themeTint="F2"/>
                <w:spacing w:val="-4"/>
                <w:szCs w:val="20"/>
                <w:lang w:val="en-GB"/>
              </w:rPr>
              <w:t xml:space="preserve"> grew year-on-year in H1 as well as for the whole last year by a below average pace (+6.7%) and contributed thus negatively to the growth of wage in the whole economy (-0.5 p. p.). The highest level as well as the dynamics of earnings (+9.7%) was registered by the public administration (incl. defence and mandatory social security), where however the wage level was practically frozen in the previous two years. Education was in the opposite situation, when after strong wage growth in the previous period (2018 till 2021), a considerable deceleration of pace manifested (+4.3%</w:t>
            </w:r>
            <w:r w:rsidRPr="00DD6E6B">
              <w:rPr>
                <w:rStyle w:val="Znakapoznpodarou"/>
                <w:color w:val="0D0D0D" w:themeColor="text1" w:themeTint="F2"/>
                <w:spacing w:val="-4"/>
                <w:szCs w:val="20"/>
                <w:lang w:val="en-GB"/>
              </w:rPr>
              <w:footnoteReference w:id="22"/>
            </w:r>
            <w:r w:rsidRPr="00DD6E6B">
              <w:rPr>
                <w:rFonts w:cs="Arial"/>
                <w:color w:val="0D0D0D" w:themeColor="text1" w:themeTint="F2"/>
                <w:spacing w:val="-4"/>
                <w:szCs w:val="20"/>
                <w:lang w:val="en-GB"/>
              </w:rPr>
              <w:t xml:space="preserve">) this year and the half-yearly wage level has not reached even 40 CZK thousand per month. Earnings in the area of health and social care and also in the cultural, amusement and recreational activities declared higher, but still below average rates of growth this year. </w:t>
            </w:r>
          </w:p>
          <w:p w14:paraId="53ED142D" w14:textId="77777777" w:rsidR="00D80129" w:rsidRPr="00DD6E6B" w:rsidRDefault="00D80129" w:rsidP="00D80129">
            <w:pPr>
              <w:spacing w:after="0"/>
              <w:rPr>
                <w:rFonts w:cs="Arial"/>
                <w:color w:val="0D0D0D" w:themeColor="text1" w:themeTint="F2"/>
                <w:spacing w:val="-4"/>
                <w:szCs w:val="20"/>
                <w:lang w:val="en-GB"/>
              </w:rPr>
            </w:pPr>
          </w:p>
        </w:tc>
      </w:tr>
      <w:tr w:rsidR="00D80129" w:rsidRPr="00DD6E6B" w14:paraId="622134C5" w14:textId="77777777" w:rsidTr="00DA0121">
        <w:trPr>
          <w:trHeight w:val="132"/>
        </w:trPr>
        <w:tc>
          <w:tcPr>
            <w:tcW w:w="1754" w:type="dxa"/>
            <w:shd w:val="clear" w:color="auto" w:fill="auto"/>
            <w:tcMar>
              <w:left w:w="0" w:type="dxa"/>
            </w:tcMar>
          </w:tcPr>
          <w:p w14:paraId="317A3CD2" w14:textId="5F6E40DD" w:rsidR="00D80129" w:rsidRPr="00DD6E6B" w:rsidRDefault="00D80129" w:rsidP="00D80129">
            <w:pPr>
              <w:pStyle w:val="Marginlie"/>
              <w:rPr>
                <w:lang w:val="en-GB"/>
              </w:rPr>
            </w:pPr>
            <w:r w:rsidRPr="00DD6E6B">
              <w:rPr>
                <w:lang w:val="en-GB"/>
              </w:rPr>
              <w:t xml:space="preserve">Total wage differentiation slightly widened this year. </w:t>
            </w:r>
          </w:p>
        </w:tc>
        <w:tc>
          <w:tcPr>
            <w:tcW w:w="220" w:type="dxa"/>
            <w:shd w:val="clear" w:color="auto" w:fill="auto"/>
            <w:tcMar>
              <w:left w:w="0" w:type="dxa"/>
            </w:tcMar>
          </w:tcPr>
          <w:p w14:paraId="397C0627" w14:textId="77777777" w:rsidR="00D80129" w:rsidRPr="00DD6E6B" w:rsidRDefault="00D80129" w:rsidP="00D80129">
            <w:pPr>
              <w:pStyle w:val="Textpoznpodarou"/>
              <w:jc w:val="both"/>
              <w:rPr>
                <w:rFonts w:eastAsia="Times New Roman"/>
                <w:i/>
                <w:spacing w:val="-4"/>
                <w:sz w:val="16"/>
                <w:szCs w:val="16"/>
                <w:lang w:val="en-GB"/>
              </w:rPr>
            </w:pPr>
          </w:p>
        </w:tc>
        <w:tc>
          <w:tcPr>
            <w:tcW w:w="7700" w:type="dxa"/>
            <w:shd w:val="clear" w:color="auto" w:fill="auto"/>
            <w:tcMar>
              <w:left w:w="0" w:type="dxa"/>
            </w:tcMar>
          </w:tcPr>
          <w:p w14:paraId="6604D30B" w14:textId="2BFB1942" w:rsidR="00D80129" w:rsidRPr="00DD6E6B" w:rsidRDefault="00D80129" w:rsidP="00D80129">
            <w:pPr>
              <w:spacing w:after="0"/>
              <w:rPr>
                <w:rFonts w:cs="Arial"/>
                <w:color w:val="0D0D0D" w:themeColor="text1" w:themeTint="F2"/>
                <w:spacing w:val="-4"/>
                <w:szCs w:val="20"/>
                <w:lang w:val="en-GB"/>
              </w:rPr>
            </w:pPr>
            <w:r w:rsidRPr="00DD6E6B">
              <w:rPr>
                <w:rFonts w:cs="Arial"/>
                <w:color w:val="0D0D0D" w:themeColor="text1" w:themeTint="F2"/>
                <w:spacing w:val="-4"/>
                <w:szCs w:val="20"/>
                <w:lang w:val="en-GB"/>
              </w:rPr>
              <w:t>Wage median went up by 7.8% in the whole economy year-on-year in Q2 2023. Median of wages of males thus arrived at 39.8 CZK thousand per month, for females it reached 33.9 CZK thousand. If the earnings of males grew in percentage faster in Q1 2023 (similarly to the whole last year), the situation reversed in the subsequent quarter.</w:t>
            </w:r>
            <w:r w:rsidRPr="00DD6E6B">
              <w:rPr>
                <w:rFonts w:cs="Arial"/>
                <w:color w:val="0D0D0D" w:themeColor="text1" w:themeTint="F2"/>
                <w:spacing w:val="-2"/>
                <w:szCs w:val="20"/>
                <w:lang w:val="en-GB"/>
              </w:rPr>
              <w:t xml:space="preserve"> Gap of the median </w:t>
            </w:r>
            <w:r w:rsidRPr="00DD6E6B">
              <w:rPr>
                <w:rFonts w:cs="Arial"/>
                <w:color w:val="0D0D0D" w:themeColor="text1" w:themeTint="F2"/>
                <w:spacing w:val="-2"/>
                <w:szCs w:val="20"/>
                <w:lang w:val="en-GB"/>
              </w:rPr>
              <w:lastRenderedPageBreak/>
              <w:t xml:space="preserve">wages between both genders attained even 15% in Q2. Total wage differentiations slightly increased year-on-year. As the value of the highest wage decile grew faster than the bottom decile in both this year’s quarters. The wage median of highly qualified workers strengthened thanks to swift growth of earnings of chief and management workers (+8.3% year-on-year in H1), at the same time it was however subdued by weaker dynamics of the wages of specialists (+5.3%), which was to a larger extent affected by more moderate growth of earnings in the budgetary sphere.  </w:t>
            </w:r>
          </w:p>
        </w:tc>
      </w:tr>
    </w:tbl>
    <w:p w14:paraId="10A058C7" w14:textId="77777777" w:rsidR="001C5FF5" w:rsidRDefault="001C5FF5" w:rsidP="001C5FF5">
      <w:pPr>
        <w:pStyle w:val="Nadpis11"/>
        <w:spacing w:after="120"/>
        <w:rPr>
          <w:b w:val="0"/>
          <w:sz w:val="2"/>
          <w:szCs w:val="2"/>
          <w:lang w:val="en-GB"/>
        </w:rPr>
      </w:pPr>
    </w:p>
    <w:p w14:paraId="60997BD7" w14:textId="30ABDD6F" w:rsidR="001C5FF5" w:rsidRDefault="001C5FF5">
      <w:pPr>
        <w:spacing w:after="0" w:line="240" w:lineRule="auto"/>
        <w:jc w:val="left"/>
        <w:rPr>
          <w:rFonts w:eastAsia="MS Gothic"/>
          <w:bCs/>
          <w:color w:val="71818C"/>
          <w:sz w:val="2"/>
          <w:szCs w:val="2"/>
          <w:lang w:val="en-GB"/>
        </w:rPr>
      </w:pPr>
      <w:bookmarkStart w:id="1" w:name="_GoBack"/>
      <w:bookmarkEnd w:id="1"/>
    </w:p>
    <w:sectPr w:rsidR="001C5FF5" w:rsidSect="00D20600">
      <w:headerReference w:type="even" r:id="rId15"/>
      <w:headerReference w:type="default" r:id="rId16"/>
      <w:footerReference w:type="even" r:id="rId17"/>
      <w:footerReference w:type="default" r:id="rId18"/>
      <w:pgSz w:w="11906" w:h="16838" w:code="9"/>
      <w:pgMar w:top="1134" w:right="1134" w:bottom="1418" w:left="1134" w:header="680" w:footer="737"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DA321" w14:textId="77777777" w:rsidR="00CD08DE" w:rsidRDefault="00CD08DE" w:rsidP="00E71A58">
      <w:r>
        <w:separator/>
      </w:r>
    </w:p>
  </w:endnote>
  <w:endnote w:type="continuationSeparator" w:id="0">
    <w:p w14:paraId="7E45DD81" w14:textId="77777777" w:rsidR="00CD08DE" w:rsidRDefault="00CD08D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7474E5D7" w:rsidR="008C5AA7" w:rsidRPr="00932443" w:rsidRDefault="008C5AA7"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D20600">
      <w:rPr>
        <w:szCs w:val="16"/>
      </w:rPr>
      <w:t>38</w:t>
    </w:r>
    <w:r w:rsidRPr="00932443">
      <w:rPr>
        <w:szCs w:val="16"/>
      </w:rPr>
      <w:fldChar w:fldCharType="end"/>
    </w:r>
    <w:r w:rsidRPr="00932443">
      <w:rPr>
        <w:szCs w:val="16"/>
      </w:rPr>
      <w:tab/>
    </w:r>
    <w:r w:rsidRPr="002903D4">
      <w:rPr>
        <w:szCs w:val="16"/>
        <w:lang w:val="en-GB"/>
      </w:rPr>
      <w:t>First half of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027144AC" w:rsidR="008C5AA7" w:rsidRPr="00932443" w:rsidRDefault="008C5AA7" w:rsidP="00FA6CB6">
    <w:pPr>
      <w:pStyle w:val="Zpat"/>
      <w:rPr>
        <w:szCs w:val="16"/>
      </w:rPr>
    </w:pPr>
    <w:r>
      <w:rPr>
        <w:lang w:eastAsia="cs-CZ"/>
      </w:rPr>
      <w:drawing>
        <wp:anchor distT="0" distB="0" distL="114300" distR="114300" simplePos="0" relativeHeight="251670016" behindDoc="0" locked="0" layoutInCell="1" allowOverlap="1" wp14:anchorId="27A71EB9" wp14:editId="341C5876">
          <wp:simplePos x="0" y="0"/>
          <wp:positionH relativeFrom="margin">
            <wp:posOffset>22860</wp:posOffset>
          </wp:positionH>
          <wp:positionV relativeFrom="paragraph">
            <wp:posOffset>-58420</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CB6">
      <w:rPr>
        <w:szCs w:val="16"/>
      </w:rPr>
      <w:tab/>
    </w:r>
    <w:r>
      <w:rPr>
        <w:szCs w:val="16"/>
      </w:rPr>
      <w:t>First half of 2023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D20600">
      <w:rPr>
        <w:rStyle w:val="ZpatChar"/>
        <w:szCs w:val="16"/>
      </w:rPr>
      <w:t>37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AD0B2" w14:textId="77777777" w:rsidR="00CD08DE" w:rsidRDefault="00CD08DE" w:rsidP="00A21B4D">
      <w:pPr>
        <w:spacing w:after="0"/>
      </w:pPr>
      <w:r>
        <w:separator/>
      </w:r>
    </w:p>
  </w:footnote>
  <w:footnote w:type="continuationSeparator" w:id="0">
    <w:p w14:paraId="3981DAF7" w14:textId="77777777" w:rsidR="00CD08DE" w:rsidRDefault="00CD08DE" w:rsidP="00E71A58">
      <w:r>
        <w:continuationSeparator/>
      </w:r>
    </w:p>
  </w:footnote>
  <w:footnote w:id="1">
    <w:p w14:paraId="3B8DB768" w14:textId="60647D6D" w:rsidR="008C5AA7" w:rsidRPr="00986858" w:rsidRDefault="008C5AA7" w:rsidP="00986858">
      <w:pPr>
        <w:pStyle w:val="Textpoznpodarou"/>
        <w:jc w:val="both"/>
        <w:rPr>
          <w:color w:val="0D0D0D" w:themeColor="text1" w:themeTint="F2"/>
          <w:spacing w:val="-2"/>
          <w:sz w:val="16"/>
          <w:szCs w:val="16"/>
          <w:lang w:val="en-GB"/>
        </w:rPr>
      </w:pPr>
      <w:r w:rsidRPr="00F72E52">
        <w:rPr>
          <w:rStyle w:val="Znakapoznpodarou"/>
          <w:color w:val="0D0D0D" w:themeColor="text1" w:themeTint="F2"/>
          <w:spacing w:val="-2"/>
          <w:sz w:val="16"/>
          <w:szCs w:val="16"/>
        </w:rPr>
        <w:footnoteRef/>
      </w:r>
      <w:r w:rsidRPr="00F72E52">
        <w:rPr>
          <w:color w:val="0D0D0D" w:themeColor="text1" w:themeTint="F2"/>
          <w:spacing w:val="-2"/>
          <w:sz w:val="16"/>
          <w:szCs w:val="16"/>
        </w:rPr>
        <w:t xml:space="preserve"> </w:t>
      </w:r>
      <w:r w:rsidRPr="00986858">
        <w:rPr>
          <w:color w:val="0D0D0D" w:themeColor="text1" w:themeTint="F2"/>
          <w:spacing w:val="-2"/>
          <w:sz w:val="16"/>
          <w:szCs w:val="16"/>
          <w:lang w:val="en-GB"/>
        </w:rPr>
        <w:t xml:space="preserve">Data regarding employment stem from the national accounts conception. </w:t>
      </w:r>
      <w:r>
        <w:rPr>
          <w:color w:val="0D0D0D" w:themeColor="text1" w:themeTint="F2"/>
          <w:spacing w:val="-2"/>
          <w:sz w:val="16"/>
          <w:szCs w:val="16"/>
          <w:lang w:val="en-GB"/>
        </w:rPr>
        <w:t xml:space="preserve">They are expressed in physical persons and adjusted for seasonal effects. Contrary to the data from the business statistics or the labour force sample survey </w:t>
      </w:r>
      <w:r w:rsidRPr="00986858">
        <w:rPr>
          <w:sz w:val="16"/>
          <w:szCs w:val="16"/>
          <w:lang w:val="en-GB"/>
        </w:rPr>
        <w:t>(</w:t>
      </w:r>
      <w:r>
        <w:rPr>
          <w:sz w:val="16"/>
          <w:szCs w:val="16"/>
          <w:lang w:val="en-GB"/>
        </w:rPr>
        <w:t>LFSS), they</w:t>
      </w:r>
      <w:r w:rsidRPr="00986858">
        <w:rPr>
          <w:sz w:val="16"/>
          <w:szCs w:val="16"/>
          <w:lang w:val="en-GB"/>
        </w:rPr>
        <w:t xml:space="preserve"> </w:t>
      </w:r>
      <w:r>
        <w:rPr>
          <w:sz w:val="16"/>
          <w:szCs w:val="16"/>
          <w:lang w:val="en-GB"/>
        </w:rPr>
        <w:t>take into account e.g. the estimation of the impact of grey economy</w:t>
      </w:r>
      <w:r w:rsidRPr="00986858">
        <w:rPr>
          <w:sz w:val="16"/>
          <w:szCs w:val="16"/>
          <w:lang w:val="en-GB"/>
        </w:rPr>
        <w:t xml:space="preserve">. </w:t>
      </w:r>
    </w:p>
  </w:footnote>
  <w:footnote w:id="2">
    <w:p w14:paraId="46C1EB98" w14:textId="491E0F22" w:rsidR="008C5AA7" w:rsidRPr="00C85C86" w:rsidRDefault="008C5AA7" w:rsidP="009D7CC3">
      <w:pPr>
        <w:pStyle w:val="Textpoznpodarou"/>
        <w:jc w:val="both"/>
        <w:rPr>
          <w:sz w:val="16"/>
          <w:szCs w:val="16"/>
          <w:lang w:val="en-GB"/>
        </w:rPr>
      </w:pPr>
      <w:r w:rsidRPr="00986858">
        <w:rPr>
          <w:rStyle w:val="Znakapoznpodarou"/>
          <w:sz w:val="16"/>
          <w:szCs w:val="16"/>
          <w:lang w:val="en-GB"/>
        </w:rPr>
        <w:footnoteRef/>
      </w:r>
      <w:r w:rsidRPr="00986858">
        <w:rPr>
          <w:sz w:val="16"/>
          <w:szCs w:val="16"/>
          <w:lang w:val="en-GB"/>
        </w:rPr>
        <w:t xml:space="preserve"> </w:t>
      </w:r>
      <w:r>
        <w:rPr>
          <w:sz w:val="16"/>
          <w:szCs w:val="16"/>
          <w:lang w:val="en-GB"/>
        </w:rPr>
        <w:t xml:space="preserve">It follows from the more detail data of the LFSS, that the number of employers </w:t>
      </w:r>
      <w:r w:rsidRPr="00986858">
        <w:rPr>
          <w:sz w:val="16"/>
          <w:szCs w:val="16"/>
          <w:lang w:val="en-GB"/>
        </w:rPr>
        <w:t>(</w:t>
      </w:r>
      <w:r>
        <w:rPr>
          <w:sz w:val="16"/>
          <w:szCs w:val="16"/>
          <w:lang w:val="en-GB"/>
        </w:rPr>
        <w:t>entrepreneurs with employees</w:t>
      </w:r>
      <w:r w:rsidRPr="00986858">
        <w:rPr>
          <w:sz w:val="16"/>
          <w:szCs w:val="16"/>
          <w:lang w:val="en-GB"/>
        </w:rPr>
        <w:t xml:space="preserve">) </w:t>
      </w:r>
      <w:r>
        <w:rPr>
          <w:sz w:val="16"/>
          <w:szCs w:val="16"/>
          <w:lang w:val="en-GB"/>
        </w:rPr>
        <w:t>only stagnated year-on-year in Q</w:t>
      </w:r>
      <w:r w:rsidRPr="00986858">
        <w:rPr>
          <w:sz w:val="16"/>
          <w:szCs w:val="16"/>
          <w:lang w:val="en-GB"/>
        </w:rPr>
        <w:t>2</w:t>
      </w:r>
      <w:r>
        <w:rPr>
          <w:sz w:val="16"/>
          <w:szCs w:val="16"/>
          <w:lang w:val="en-GB"/>
        </w:rPr>
        <w:t xml:space="preserve"> </w:t>
      </w:r>
      <w:r w:rsidRPr="00986858">
        <w:rPr>
          <w:sz w:val="16"/>
          <w:szCs w:val="16"/>
          <w:lang w:val="en-GB"/>
        </w:rPr>
        <w:t>(</w:t>
      </w:r>
      <w:r>
        <w:rPr>
          <w:sz w:val="16"/>
          <w:szCs w:val="16"/>
          <w:lang w:val="en-GB"/>
        </w:rPr>
        <w:t>after preceding four years of decreases</w:t>
      </w:r>
      <w:r w:rsidRPr="00986858">
        <w:rPr>
          <w:sz w:val="16"/>
          <w:szCs w:val="16"/>
          <w:lang w:val="en-GB"/>
        </w:rPr>
        <w:t>). T</w:t>
      </w:r>
      <w:r>
        <w:rPr>
          <w:sz w:val="16"/>
          <w:szCs w:val="16"/>
          <w:lang w:val="en-GB"/>
        </w:rPr>
        <w:t xml:space="preserve">his group of businesses is in the methodology of the national accounts classed into </w:t>
      </w:r>
      <w:r w:rsidRPr="00C85C86">
        <w:rPr>
          <w:sz w:val="16"/>
          <w:szCs w:val="16"/>
          <w:lang w:val="en-GB"/>
        </w:rPr>
        <w:t xml:space="preserve">the category of employees. </w:t>
      </w:r>
    </w:p>
  </w:footnote>
  <w:footnote w:id="3">
    <w:p w14:paraId="187805C1" w14:textId="43CE08E8" w:rsidR="008C5AA7" w:rsidRPr="00986858" w:rsidRDefault="008C5AA7" w:rsidP="009D7CC3">
      <w:pPr>
        <w:pStyle w:val="Textpoznpodarou"/>
        <w:jc w:val="both"/>
        <w:rPr>
          <w:sz w:val="16"/>
          <w:szCs w:val="16"/>
          <w:lang w:val="en-GB"/>
        </w:rPr>
      </w:pPr>
      <w:r w:rsidRPr="00C85C86">
        <w:rPr>
          <w:rStyle w:val="Znakapoznpodarou"/>
          <w:sz w:val="16"/>
          <w:szCs w:val="16"/>
          <w:lang w:val="en-GB"/>
        </w:rPr>
        <w:footnoteRef/>
      </w:r>
      <w:r w:rsidRPr="00C85C86">
        <w:rPr>
          <w:sz w:val="16"/>
          <w:szCs w:val="16"/>
          <w:lang w:val="en-GB"/>
        </w:rPr>
        <w:t xml:space="preserve"> Their quantity was </w:t>
      </w:r>
      <w:r>
        <w:rPr>
          <w:sz w:val="16"/>
          <w:szCs w:val="16"/>
          <w:lang w:val="en-GB"/>
        </w:rPr>
        <w:t xml:space="preserve">in the most weight significant segments of the economy </w:t>
      </w:r>
      <w:r w:rsidRPr="00C85C86">
        <w:rPr>
          <w:color w:val="0D0D0D" w:themeColor="text1" w:themeTint="F2"/>
          <w:spacing w:val="-4"/>
          <w:sz w:val="16"/>
          <w:szCs w:val="16"/>
          <w:lang w:val="en-GB"/>
        </w:rPr>
        <w:t xml:space="preserve">– </w:t>
      </w:r>
      <w:r>
        <w:rPr>
          <w:color w:val="0D0D0D" w:themeColor="text1" w:themeTint="F2"/>
          <w:spacing w:val="-4"/>
          <w:sz w:val="16"/>
          <w:szCs w:val="16"/>
          <w:lang w:val="en-GB"/>
        </w:rPr>
        <w:t xml:space="preserve">manufacturing or group trade, transportation, accommodation and restaurants </w:t>
      </w:r>
      <w:r w:rsidRPr="00C85C86">
        <w:rPr>
          <w:color w:val="0D0D0D" w:themeColor="text1" w:themeTint="F2"/>
          <w:spacing w:val="-4"/>
          <w:sz w:val="16"/>
          <w:szCs w:val="16"/>
          <w:lang w:val="en-GB"/>
        </w:rPr>
        <w:t xml:space="preserve">– </w:t>
      </w:r>
      <w:r>
        <w:rPr>
          <w:color w:val="0D0D0D" w:themeColor="text1" w:themeTint="F2"/>
          <w:spacing w:val="-4"/>
          <w:sz w:val="16"/>
          <w:szCs w:val="16"/>
          <w:lang w:val="en-GB"/>
        </w:rPr>
        <w:t xml:space="preserve">lower by 11% and 7%, respectively, this year compared to the beginning of year </w:t>
      </w:r>
      <w:r w:rsidRPr="00C85C86">
        <w:rPr>
          <w:color w:val="0D0D0D" w:themeColor="text1" w:themeTint="F2"/>
          <w:spacing w:val="-4"/>
          <w:sz w:val="16"/>
          <w:szCs w:val="16"/>
          <w:lang w:val="en-GB"/>
        </w:rPr>
        <w:t>2019. In contrast, self-employed mainly in information and communication (+12%) and in construction (+3%) stayed above their pre-crisis numbers.</w:t>
      </w:r>
      <w:r w:rsidRPr="00986858">
        <w:rPr>
          <w:color w:val="0D0D0D" w:themeColor="text1" w:themeTint="F2"/>
          <w:spacing w:val="-4"/>
          <w:sz w:val="16"/>
          <w:szCs w:val="16"/>
          <w:lang w:val="en-GB"/>
        </w:rPr>
        <w:t xml:space="preserve"> </w:t>
      </w:r>
    </w:p>
  </w:footnote>
  <w:footnote w:id="4">
    <w:p w14:paraId="4F81874B" w14:textId="5EF18A68" w:rsidR="008C5AA7" w:rsidRPr="00986858" w:rsidRDefault="008C5AA7" w:rsidP="009D7CC3">
      <w:pPr>
        <w:pStyle w:val="Textpoznpodarou"/>
        <w:jc w:val="both"/>
        <w:rPr>
          <w:sz w:val="16"/>
          <w:szCs w:val="16"/>
          <w:lang w:val="en-GB"/>
        </w:rPr>
      </w:pPr>
      <w:r w:rsidRPr="00986858">
        <w:rPr>
          <w:rStyle w:val="Znakapoznpodarou"/>
          <w:sz w:val="16"/>
          <w:szCs w:val="16"/>
          <w:lang w:val="en-GB"/>
        </w:rPr>
        <w:footnoteRef/>
      </w:r>
      <w:r w:rsidRPr="00986858">
        <w:rPr>
          <w:sz w:val="16"/>
          <w:szCs w:val="16"/>
          <w:lang w:val="en-GB"/>
        </w:rPr>
        <w:t xml:space="preserve"> </w:t>
      </w:r>
      <w:r>
        <w:rPr>
          <w:sz w:val="16"/>
          <w:szCs w:val="16"/>
          <w:lang w:val="en-GB"/>
        </w:rPr>
        <w:t xml:space="preserve">For instance the number of students in school year </w:t>
      </w:r>
      <w:r w:rsidRPr="00986858">
        <w:rPr>
          <w:sz w:val="16"/>
          <w:szCs w:val="16"/>
          <w:lang w:val="en-GB"/>
        </w:rPr>
        <w:t>2022/2023</w:t>
      </w:r>
      <w:r>
        <w:rPr>
          <w:sz w:val="16"/>
          <w:szCs w:val="16"/>
          <w:lang w:val="en-GB"/>
        </w:rPr>
        <w:t xml:space="preserve"> expanded unusually on all stages of education simultaneously year-on-year </w:t>
      </w:r>
      <w:r w:rsidRPr="00986858">
        <w:rPr>
          <w:sz w:val="16"/>
          <w:szCs w:val="16"/>
          <w:lang w:val="en-GB"/>
        </w:rPr>
        <w:t>(</w:t>
      </w:r>
      <w:r>
        <w:rPr>
          <w:sz w:val="16"/>
          <w:szCs w:val="16"/>
          <w:lang w:val="en-GB"/>
        </w:rPr>
        <w:t xml:space="preserve">the most at primary schools </w:t>
      </w:r>
      <w:r w:rsidRPr="00986858">
        <w:rPr>
          <w:sz w:val="16"/>
          <w:szCs w:val="16"/>
          <w:lang w:val="en-GB"/>
        </w:rPr>
        <w:t xml:space="preserve">– </w:t>
      </w:r>
      <w:r>
        <w:rPr>
          <w:sz w:val="16"/>
          <w:szCs w:val="16"/>
          <w:lang w:val="en-GB"/>
        </w:rPr>
        <w:t xml:space="preserve">by </w:t>
      </w:r>
      <w:r w:rsidRPr="00986858">
        <w:rPr>
          <w:sz w:val="16"/>
          <w:szCs w:val="16"/>
          <w:lang w:val="en-GB"/>
        </w:rPr>
        <w:t>4</w:t>
      </w:r>
      <w:r>
        <w:rPr>
          <w:sz w:val="16"/>
          <w:szCs w:val="16"/>
          <w:lang w:val="en-GB"/>
        </w:rPr>
        <w:t>.</w:t>
      </w:r>
      <w:r w:rsidRPr="00986858">
        <w:rPr>
          <w:sz w:val="16"/>
          <w:szCs w:val="16"/>
          <w:lang w:val="en-GB"/>
        </w:rPr>
        <w:t>5%).</w:t>
      </w:r>
    </w:p>
  </w:footnote>
  <w:footnote w:id="5">
    <w:p w14:paraId="37301B58" w14:textId="08D21C7D" w:rsidR="008C5AA7" w:rsidRPr="00FC6CCA" w:rsidRDefault="008C5AA7" w:rsidP="00FC6CCA">
      <w:pPr>
        <w:pStyle w:val="Textpoznpodarou"/>
        <w:jc w:val="both"/>
        <w:rPr>
          <w:sz w:val="16"/>
          <w:szCs w:val="16"/>
          <w:lang w:val="en-GB"/>
        </w:rPr>
      </w:pPr>
      <w:r w:rsidRPr="00FC6CCA">
        <w:rPr>
          <w:rStyle w:val="Znakapoznpodarou"/>
          <w:sz w:val="16"/>
          <w:szCs w:val="16"/>
          <w:lang w:val="en-GB"/>
        </w:rPr>
        <w:footnoteRef/>
      </w:r>
      <w:r w:rsidRPr="00FC6CCA">
        <w:rPr>
          <w:sz w:val="16"/>
          <w:szCs w:val="16"/>
          <w:lang w:val="en-GB"/>
        </w:rPr>
        <w:t xml:space="preserve"> </w:t>
      </w:r>
      <w:r>
        <w:rPr>
          <w:sz w:val="16"/>
          <w:szCs w:val="16"/>
          <w:lang w:val="en-GB"/>
        </w:rPr>
        <w:t xml:space="preserve">More detailed data of the business statistics show that the year-on-year decrease of the registered number of employees occurred in all more weight significant industrial branches </w:t>
      </w:r>
      <w:r w:rsidRPr="00FC6CCA">
        <w:rPr>
          <w:sz w:val="16"/>
          <w:szCs w:val="16"/>
          <w:lang w:val="en-GB"/>
        </w:rPr>
        <w:t>(</w:t>
      </w:r>
      <w:r>
        <w:rPr>
          <w:sz w:val="16"/>
          <w:szCs w:val="16"/>
          <w:lang w:val="en-GB"/>
        </w:rPr>
        <w:t>manufacturing of motor vehicles was no exception</w:t>
      </w:r>
      <w:r w:rsidRPr="00FC6CCA">
        <w:rPr>
          <w:sz w:val="16"/>
          <w:szCs w:val="16"/>
          <w:lang w:val="en-GB"/>
        </w:rPr>
        <w:t>)</w:t>
      </w:r>
      <w:r>
        <w:rPr>
          <w:sz w:val="16"/>
          <w:szCs w:val="16"/>
          <w:lang w:val="en-GB"/>
        </w:rPr>
        <w:t xml:space="preserve"> in Q2</w:t>
      </w:r>
      <w:r w:rsidRPr="00FC6CCA">
        <w:rPr>
          <w:sz w:val="16"/>
          <w:szCs w:val="16"/>
          <w:lang w:val="en-GB"/>
        </w:rPr>
        <w:t>.</w:t>
      </w:r>
    </w:p>
  </w:footnote>
  <w:footnote w:id="6">
    <w:p w14:paraId="7468E3C6" w14:textId="77777777" w:rsidR="008C5AA7" w:rsidRPr="00FC6CCA" w:rsidRDefault="008C5AA7" w:rsidP="00FC6CCA">
      <w:pPr>
        <w:pStyle w:val="Textpoznpodarou"/>
        <w:jc w:val="both"/>
        <w:rPr>
          <w:sz w:val="16"/>
          <w:szCs w:val="16"/>
          <w:lang w:val="en-GB"/>
        </w:rPr>
      </w:pPr>
      <w:r w:rsidRPr="00FC6CCA">
        <w:rPr>
          <w:rStyle w:val="Znakapoznpodarou"/>
          <w:sz w:val="16"/>
          <w:szCs w:val="16"/>
          <w:lang w:val="en-GB"/>
        </w:rPr>
        <w:footnoteRef/>
      </w:r>
      <w:r w:rsidRPr="00FC6CCA">
        <w:rPr>
          <w:sz w:val="16"/>
          <w:szCs w:val="16"/>
          <w:lang w:val="en-GB"/>
        </w:rPr>
        <w:t xml:space="preserve"> </w:t>
      </w:r>
      <w:r>
        <w:rPr>
          <w:sz w:val="16"/>
          <w:szCs w:val="16"/>
          <w:lang w:val="en-GB"/>
        </w:rPr>
        <w:t xml:space="preserve">From the citizens of Ukraine registered at labour offices females already comprised </w:t>
      </w:r>
      <w:r w:rsidRPr="00FC6CCA">
        <w:rPr>
          <w:sz w:val="16"/>
          <w:szCs w:val="16"/>
          <w:lang w:val="en-GB"/>
        </w:rPr>
        <w:t xml:space="preserve">52%. </w:t>
      </w:r>
      <w:r>
        <w:rPr>
          <w:sz w:val="16"/>
          <w:szCs w:val="16"/>
          <w:lang w:val="en-GB"/>
        </w:rPr>
        <w:t>The absolute majority of females among the more numerous groups of foreigners existed already for the citizens of Russia, Kazakhstan and Thailand</w:t>
      </w:r>
      <w:r w:rsidRPr="00FC6CCA">
        <w:rPr>
          <w:sz w:val="16"/>
          <w:szCs w:val="16"/>
          <w:lang w:val="en-GB"/>
        </w:rPr>
        <w:t xml:space="preserve">. </w:t>
      </w:r>
      <w:r>
        <w:rPr>
          <w:sz w:val="16"/>
          <w:szCs w:val="16"/>
          <w:lang w:val="en-GB"/>
        </w:rPr>
        <w:t xml:space="preserve">Already nearly three quarters of the registered workers from Ukraine in the CR did not need a special work permit </w:t>
      </w:r>
      <w:r w:rsidRPr="00FC6CCA">
        <w:rPr>
          <w:sz w:val="16"/>
          <w:szCs w:val="16"/>
          <w:lang w:val="en-GB"/>
        </w:rPr>
        <w:t>(</w:t>
      </w:r>
      <w:r>
        <w:rPr>
          <w:sz w:val="16"/>
          <w:szCs w:val="16"/>
          <w:lang w:val="en-GB"/>
        </w:rPr>
        <w:t>e.g. the employee card</w:t>
      </w:r>
      <w:r w:rsidRPr="00FC6CCA">
        <w:rPr>
          <w:sz w:val="16"/>
          <w:szCs w:val="16"/>
          <w:lang w:val="en-GB"/>
        </w:rPr>
        <w:t>). T</w:t>
      </w:r>
      <w:r>
        <w:rPr>
          <w:sz w:val="16"/>
          <w:szCs w:val="16"/>
          <w:lang w:val="en-GB"/>
        </w:rPr>
        <w:t>his way they differ from the majority of other employees from the so called “third countries”</w:t>
      </w:r>
      <w:r w:rsidRPr="00FC6CCA">
        <w:rPr>
          <w:sz w:val="16"/>
          <w:szCs w:val="16"/>
          <w:lang w:val="en-GB"/>
        </w:rPr>
        <w:t>.</w:t>
      </w:r>
    </w:p>
  </w:footnote>
  <w:footnote w:id="7">
    <w:p w14:paraId="76F70F46" w14:textId="77777777" w:rsidR="008C5AA7" w:rsidRPr="00FC6CCA" w:rsidRDefault="008C5AA7" w:rsidP="00FC6CCA">
      <w:pPr>
        <w:pStyle w:val="Textpoznpodarou"/>
        <w:jc w:val="both"/>
        <w:rPr>
          <w:sz w:val="16"/>
          <w:szCs w:val="16"/>
          <w:lang w:val="en-GB"/>
        </w:rPr>
      </w:pPr>
      <w:r w:rsidRPr="00FC6CCA">
        <w:rPr>
          <w:rStyle w:val="Znakapoznpodarou"/>
          <w:sz w:val="16"/>
          <w:szCs w:val="16"/>
          <w:lang w:val="en-GB"/>
        </w:rPr>
        <w:footnoteRef/>
      </w:r>
      <w:r w:rsidRPr="00FC6CCA">
        <w:rPr>
          <w:sz w:val="16"/>
          <w:szCs w:val="16"/>
          <w:lang w:val="en-GB"/>
        </w:rPr>
        <w:t xml:space="preserve"> </w:t>
      </w:r>
      <w:r>
        <w:rPr>
          <w:sz w:val="16"/>
          <w:szCs w:val="16"/>
          <w:lang w:val="en-GB"/>
        </w:rPr>
        <w:t xml:space="preserve">For the citizens of Slovakia it arrived at </w:t>
      </w:r>
      <w:r w:rsidRPr="00FC6CCA">
        <w:rPr>
          <w:sz w:val="16"/>
          <w:szCs w:val="16"/>
          <w:lang w:val="en-GB"/>
        </w:rPr>
        <w:t>7</w:t>
      </w:r>
      <w:r>
        <w:rPr>
          <w:sz w:val="16"/>
          <w:szCs w:val="16"/>
          <w:lang w:val="en-GB"/>
        </w:rPr>
        <w:t>.</w:t>
      </w:r>
      <w:r w:rsidRPr="00FC6CCA">
        <w:rPr>
          <w:sz w:val="16"/>
          <w:szCs w:val="16"/>
          <w:lang w:val="en-GB"/>
        </w:rPr>
        <w:t>5</w:t>
      </w:r>
      <w:r>
        <w:rPr>
          <w:sz w:val="16"/>
          <w:szCs w:val="16"/>
          <w:lang w:val="en-GB"/>
        </w:rPr>
        <w:t xml:space="preserve"> thousand, the Philippines </w:t>
      </w:r>
      <w:r w:rsidRPr="00FC6CCA">
        <w:rPr>
          <w:sz w:val="16"/>
          <w:szCs w:val="16"/>
          <w:lang w:val="en-GB"/>
        </w:rPr>
        <w:t>(+3</w:t>
      </w:r>
      <w:r>
        <w:rPr>
          <w:sz w:val="16"/>
          <w:szCs w:val="16"/>
          <w:lang w:val="en-GB"/>
        </w:rPr>
        <w:t>.</w:t>
      </w:r>
      <w:r w:rsidRPr="00FC6CCA">
        <w:rPr>
          <w:sz w:val="16"/>
          <w:szCs w:val="16"/>
          <w:lang w:val="en-GB"/>
        </w:rPr>
        <w:t>0 t</w:t>
      </w:r>
      <w:r>
        <w:rPr>
          <w:sz w:val="16"/>
          <w:szCs w:val="16"/>
          <w:lang w:val="en-GB"/>
        </w:rPr>
        <w:t>housand</w:t>
      </w:r>
      <w:r w:rsidRPr="00FC6CCA">
        <w:rPr>
          <w:sz w:val="16"/>
          <w:szCs w:val="16"/>
          <w:lang w:val="en-GB"/>
        </w:rPr>
        <w:t>), Pol</w:t>
      </w:r>
      <w:r>
        <w:rPr>
          <w:sz w:val="16"/>
          <w:szCs w:val="16"/>
          <w:lang w:val="en-GB"/>
        </w:rPr>
        <w:t xml:space="preserve">and </w:t>
      </w:r>
      <w:r w:rsidRPr="00FC6CCA">
        <w:rPr>
          <w:sz w:val="16"/>
          <w:szCs w:val="16"/>
          <w:lang w:val="en-GB"/>
        </w:rPr>
        <w:t>(+2</w:t>
      </w:r>
      <w:r>
        <w:rPr>
          <w:sz w:val="16"/>
          <w:szCs w:val="16"/>
          <w:lang w:val="en-GB"/>
        </w:rPr>
        <w:t>.</w:t>
      </w:r>
      <w:r w:rsidRPr="00FC6CCA">
        <w:rPr>
          <w:sz w:val="16"/>
          <w:szCs w:val="16"/>
          <w:lang w:val="en-GB"/>
        </w:rPr>
        <w:t>4 t</w:t>
      </w:r>
      <w:r>
        <w:rPr>
          <w:sz w:val="16"/>
          <w:szCs w:val="16"/>
          <w:lang w:val="en-GB"/>
        </w:rPr>
        <w:t>housand</w:t>
      </w:r>
      <w:r w:rsidRPr="00FC6CCA">
        <w:rPr>
          <w:sz w:val="16"/>
          <w:szCs w:val="16"/>
          <w:lang w:val="en-GB"/>
        </w:rPr>
        <w:t>), Rus</w:t>
      </w:r>
      <w:r>
        <w:rPr>
          <w:sz w:val="16"/>
          <w:szCs w:val="16"/>
          <w:lang w:val="en-GB"/>
        </w:rPr>
        <w:t>sia and Vietnam (</w:t>
      </w:r>
      <w:r w:rsidRPr="00FC6CCA">
        <w:rPr>
          <w:sz w:val="16"/>
          <w:szCs w:val="16"/>
          <w:lang w:val="en-GB"/>
        </w:rPr>
        <w:t>+1</w:t>
      </w:r>
      <w:r>
        <w:rPr>
          <w:sz w:val="16"/>
          <w:szCs w:val="16"/>
          <w:lang w:val="en-GB"/>
        </w:rPr>
        <w:t>.</w:t>
      </w:r>
      <w:r w:rsidRPr="00FC6CCA">
        <w:rPr>
          <w:sz w:val="16"/>
          <w:szCs w:val="16"/>
          <w:lang w:val="en-GB"/>
        </w:rPr>
        <w:t>9</w:t>
      </w:r>
      <w:r>
        <w:rPr>
          <w:sz w:val="16"/>
          <w:szCs w:val="16"/>
          <w:lang w:val="en-GB"/>
        </w:rPr>
        <w:t xml:space="preserve"> thousand</w:t>
      </w:r>
      <w:r w:rsidRPr="00FC6CCA">
        <w:rPr>
          <w:sz w:val="16"/>
          <w:szCs w:val="16"/>
          <w:lang w:val="en-GB"/>
        </w:rPr>
        <w:t>), Indi</w:t>
      </w:r>
      <w:r>
        <w:rPr>
          <w:sz w:val="16"/>
          <w:szCs w:val="16"/>
          <w:lang w:val="en-GB"/>
        </w:rPr>
        <w:t>a</w:t>
      </w:r>
      <w:r w:rsidRPr="00FC6CCA">
        <w:rPr>
          <w:sz w:val="16"/>
          <w:szCs w:val="16"/>
          <w:lang w:val="en-GB"/>
        </w:rPr>
        <w:t xml:space="preserve"> (+1</w:t>
      </w:r>
      <w:r>
        <w:rPr>
          <w:sz w:val="16"/>
          <w:szCs w:val="16"/>
          <w:lang w:val="en-GB"/>
        </w:rPr>
        <w:t>.</w:t>
      </w:r>
      <w:r w:rsidRPr="00FC6CCA">
        <w:rPr>
          <w:sz w:val="16"/>
          <w:szCs w:val="16"/>
          <w:lang w:val="en-GB"/>
        </w:rPr>
        <w:t>8 t</w:t>
      </w:r>
      <w:r>
        <w:rPr>
          <w:sz w:val="16"/>
          <w:szCs w:val="16"/>
          <w:lang w:val="en-GB"/>
        </w:rPr>
        <w:t>housand</w:t>
      </w:r>
      <w:r w:rsidRPr="00FC6CCA">
        <w:rPr>
          <w:sz w:val="16"/>
          <w:szCs w:val="16"/>
          <w:lang w:val="en-GB"/>
        </w:rPr>
        <w:t xml:space="preserve">), </w:t>
      </w:r>
      <w:r>
        <w:rPr>
          <w:sz w:val="16"/>
          <w:szCs w:val="16"/>
          <w:lang w:val="en-GB"/>
        </w:rPr>
        <w:t xml:space="preserve">Hungary and Turkey </w:t>
      </w:r>
      <w:r w:rsidRPr="00FC6CCA">
        <w:rPr>
          <w:sz w:val="16"/>
          <w:szCs w:val="16"/>
          <w:lang w:val="en-GB"/>
        </w:rPr>
        <w:t>(s</w:t>
      </w:r>
      <w:r>
        <w:rPr>
          <w:sz w:val="16"/>
          <w:szCs w:val="16"/>
          <w:lang w:val="en-GB"/>
        </w:rPr>
        <w:t xml:space="preserve">imilarly </w:t>
      </w:r>
      <w:r w:rsidRPr="00FC6CCA">
        <w:rPr>
          <w:sz w:val="16"/>
          <w:szCs w:val="16"/>
          <w:lang w:val="en-GB"/>
        </w:rPr>
        <w:t>+1</w:t>
      </w:r>
      <w:r>
        <w:rPr>
          <w:sz w:val="16"/>
          <w:szCs w:val="16"/>
          <w:lang w:val="en-GB"/>
        </w:rPr>
        <w:t>.</w:t>
      </w:r>
      <w:r w:rsidRPr="00FC6CCA">
        <w:rPr>
          <w:sz w:val="16"/>
          <w:szCs w:val="16"/>
          <w:lang w:val="en-GB"/>
        </w:rPr>
        <w:t>2%), Kazakhst</w:t>
      </w:r>
      <w:r>
        <w:rPr>
          <w:sz w:val="16"/>
          <w:szCs w:val="16"/>
          <w:lang w:val="en-GB"/>
        </w:rPr>
        <w:t xml:space="preserve">an </w:t>
      </w:r>
      <w:r w:rsidRPr="00FC6CCA">
        <w:rPr>
          <w:sz w:val="16"/>
          <w:szCs w:val="16"/>
          <w:lang w:val="en-GB"/>
        </w:rPr>
        <w:t>(+1</w:t>
      </w:r>
      <w:r>
        <w:rPr>
          <w:sz w:val="16"/>
          <w:szCs w:val="16"/>
          <w:lang w:val="en-GB"/>
        </w:rPr>
        <w:t>.</w:t>
      </w:r>
      <w:r w:rsidRPr="00FC6CCA">
        <w:rPr>
          <w:sz w:val="16"/>
          <w:szCs w:val="16"/>
          <w:lang w:val="en-GB"/>
        </w:rPr>
        <w:t>0</w:t>
      </w:r>
      <w:r>
        <w:rPr>
          <w:sz w:val="16"/>
          <w:szCs w:val="16"/>
          <w:lang w:val="en-GB"/>
        </w:rPr>
        <w:t xml:space="preserve"> </w:t>
      </w:r>
      <w:r w:rsidRPr="00FC6CCA">
        <w:rPr>
          <w:sz w:val="16"/>
          <w:szCs w:val="16"/>
          <w:lang w:val="en-GB"/>
        </w:rPr>
        <w:t>t</w:t>
      </w:r>
      <w:r>
        <w:rPr>
          <w:sz w:val="16"/>
          <w:szCs w:val="16"/>
          <w:lang w:val="en-GB"/>
        </w:rPr>
        <w:t>housand</w:t>
      </w:r>
      <w:r w:rsidRPr="00FC6CCA">
        <w:rPr>
          <w:sz w:val="16"/>
          <w:szCs w:val="16"/>
          <w:lang w:val="en-GB"/>
        </w:rPr>
        <w:t xml:space="preserve">). </w:t>
      </w:r>
      <w:r>
        <w:rPr>
          <w:sz w:val="16"/>
          <w:szCs w:val="16"/>
          <w:lang w:val="en-GB"/>
        </w:rPr>
        <w:t xml:space="preserve">From the more significant groups of foreigners in the CR, only the number of employees from Belarus </w:t>
      </w:r>
      <w:r w:rsidRPr="00FC6CCA">
        <w:rPr>
          <w:sz w:val="16"/>
          <w:szCs w:val="16"/>
          <w:lang w:val="en-GB"/>
        </w:rPr>
        <w:t>(-0</w:t>
      </w:r>
      <w:r>
        <w:rPr>
          <w:sz w:val="16"/>
          <w:szCs w:val="16"/>
          <w:lang w:val="en-GB"/>
        </w:rPr>
        <w:t>.</w:t>
      </w:r>
      <w:r w:rsidRPr="00FC6CCA">
        <w:rPr>
          <w:sz w:val="16"/>
          <w:szCs w:val="16"/>
          <w:lang w:val="en-GB"/>
        </w:rPr>
        <w:t>3 t</w:t>
      </w:r>
      <w:r>
        <w:rPr>
          <w:sz w:val="16"/>
          <w:szCs w:val="16"/>
          <w:lang w:val="en-GB"/>
        </w:rPr>
        <w:t>housand</w:t>
      </w:r>
      <w:r w:rsidRPr="00FC6CCA">
        <w:rPr>
          <w:sz w:val="16"/>
          <w:szCs w:val="16"/>
          <w:lang w:val="en-GB"/>
        </w:rPr>
        <w:t>) a</w:t>
      </w:r>
      <w:r>
        <w:rPr>
          <w:sz w:val="16"/>
          <w:szCs w:val="16"/>
          <w:lang w:val="en-GB"/>
        </w:rPr>
        <w:t xml:space="preserve">nd Bulgaria </w:t>
      </w:r>
      <w:r w:rsidRPr="00FC6CCA">
        <w:rPr>
          <w:sz w:val="16"/>
          <w:szCs w:val="16"/>
          <w:lang w:val="en-GB"/>
        </w:rPr>
        <w:t>(-0</w:t>
      </w:r>
      <w:r>
        <w:rPr>
          <w:sz w:val="16"/>
          <w:szCs w:val="16"/>
          <w:lang w:val="en-GB"/>
        </w:rPr>
        <w:t>.</w:t>
      </w:r>
      <w:r w:rsidRPr="00FC6CCA">
        <w:rPr>
          <w:sz w:val="16"/>
          <w:szCs w:val="16"/>
          <w:lang w:val="en-GB"/>
        </w:rPr>
        <w:t>1</w:t>
      </w:r>
      <w:r>
        <w:rPr>
          <w:sz w:val="16"/>
          <w:szCs w:val="16"/>
          <w:lang w:val="en-GB"/>
        </w:rPr>
        <w:t xml:space="preserve"> thousand</w:t>
      </w:r>
      <w:r w:rsidRPr="00FC6CCA">
        <w:rPr>
          <w:sz w:val="16"/>
          <w:szCs w:val="16"/>
          <w:lang w:val="en-GB"/>
        </w:rPr>
        <w:t>)</w:t>
      </w:r>
      <w:r>
        <w:rPr>
          <w:sz w:val="16"/>
          <w:szCs w:val="16"/>
          <w:lang w:val="en-GB"/>
        </w:rPr>
        <w:t xml:space="preserve"> fell in the last 1.5 years</w:t>
      </w:r>
      <w:r w:rsidRPr="00FC6CCA">
        <w:rPr>
          <w:sz w:val="16"/>
          <w:szCs w:val="16"/>
          <w:lang w:val="en-GB"/>
        </w:rPr>
        <w:t xml:space="preserve">.  </w:t>
      </w:r>
    </w:p>
  </w:footnote>
  <w:footnote w:id="8">
    <w:p w14:paraId="7C0CE3C7" w14:textId="78E66E44" w:rsidR="008C5AA7" w:rsidRPr="00E155BB" w:rsidRDefault="008C5AA7" w:rsidP="00F6716B">
      <w:pPr>
        <w:pStyle w:val="Textpoznpodarou"/>
        <w:jc w:val="both"/>
        <w:rPr>
          <w:color w:val="0D0D0D" w:themeColor="text1" w:themeTint="F2"/>
          <w:spacing w:val="-4"/>
          <w:sz w:val="16"/>
          <w:szCs w:val="16"/>
          <w:lang w:val="en-GB"/>
        </w:rPr>
      </w:pPr>
      <w:r w:rsidRPr="00E155BB">
        <w:rPr>
          <w:rStyle w:val="Znakapoznpodarou"/>
          <w:color w:val="0D0D0D" w:themeColor="text1" w:themeTint="F2"/>
          <w:spacing w:val="-2"/>
          <w:sz w:val="16"/>
          <w:szCs w:val="16"/>
        </w:rPr>
        <w:footnoteRef/>
      </w:r>
      <w:r w:rsidRPr="00E155BB">
        <w:rPr>
          <w:color w:val="0D0D0D" w:themeColor="text1" w:themeTint="F2"/>
          <w:spacing w:val="-2"/>
          <w:sz w:val="16"/>
          <w:szCs w:val="16"/>
        </w:rPr>
        <w:t xml:space="preserve"> </w:t>
      </w:r>
      <w:r w:rsidRPr="00D14AF9">
        <w:rPr>
          <w:color w:val="0D0D0D" w:themeColor="text1" w:themeTint="F2"/>
          <w:spacing w:val="-2"/>
          <w:sz w:val="16"/>
          <w:szCs w:val="16"/>
          <w:lang w:val="en-GB"/>
        </w:rPr>
        <w:t xml:space="preserve">Businesses in the vast majority of industrial branches anticipated the reduction of the number of employees (according to the survey from July 2023) – both energy intensive (metallurgy, metalworking industry, manufacturing of construction materials, </w:t>
      </w:r>
      <w:r>
        <w:rPr>
          <w:color w:val="0D0D0D" w:themeColor="text1" w:themeTint="F2"/>
          <w:spacing w:val="-2"/>
          <w:sz w:val="16"/>
          <w:szCs w:val="16"/>
          <w:lang w:val="en-GB"/>
        </w:rPr>
        <w:t>chemical industry or food industry</w:t>
      </w:r>
      <w:r w:rsidRPr="00D14AF9">
        <w:rPr>
          <w:color w:val="0D0D0D" w:themeColor="text1" w:themeTint="F2"/>
          <w:spacing w:val="-2"/>
          <w:sz w:val="16"/>
          <w:szCs w:val="16"/>
          <w:lang w:val="en-GB"/>
        </w:rPr>
        <w:t>)</w:t>
      </w:r>
      <w:r>
        <w:rPr>
          <w:color w:val="0D0D0D" w:themeColor="text1" w:themeTint="F2"/>
          <w:spacing w:val="-2"/>
          <w:sz w:val="16"/>
          <w:szCs w:val="16"/>
          <w:lang w:val="en-GB"/>
        </w:rPr>
        <w:t xml:space="preserve"> and sub-supplier fields for the manufacturing of motor vehicles </w:t>
      </w:r>
      <w:r w:rsidRPr="00D14AF9">
        <w:rPr>
          <w:color w:val="0D0D0D" w:themeColor="text1" w:themeTint="F2"/>
          <w:spacing w:val="-2"/>
          <w:sz w:val="16"/>
          <w:szCs w:val="16"/>
          <w:lang w:val="en-GB"/>
        </w:rPr>
        <w:t>(</w:t>
      </w:r>
      <w:r>
        <w:rPr>
          <w:color w:val="0D0D0D" w:themeColor="text1" w:themeTint="F2"/>
          <w:spacing w:val="-2"/>
          <w:sz w:val="16"/>
          <w:szCs w:val="16"/>
          <w:lang w:val="en-GB"/>
        </w:rPr>
        <w:t>electrical engineering, manufacturing of rubber and plastic products</w:t>
      </w:r>
      <w:r w:rsidRPr="00D14AF9">
        <w:rPr>
          <w:color w:val="0D0D0D" w:themeColor="text1" w:themeTint="F2"/>
          <w:spacing w:val="-2"/>
          <w:sz w:val="16"/>
          <w:szCs w:val="16"/>
          <w:lang w:val="en-GB"/>
        </w:rPr>
        <w:t>)</w:t>
      </w:r>
      <w:r>
        <w:rPr>
          <w:color w:val="0D0D0D" w:themeColor="text1" w:themeTint="F2"/>
          <w:spacing w:val="-2"/>
          <w:sz w:val="16"/>
          <w:szCs w:val="16"/>
          <w:lang w:val="en-GB"/>
        </w:rPr>
        <w:t xml:space="preserve"> or in the number of smaller branches </w:t>
      </w:r>
      <w:r w:rsidRPr="00D14AF9">
        <w:rPr>
          <w:color w:val="0D0D0D" w:themeColor="text1" w:themeTint="F2"/>
          <w:spacing w:val="-2"/>
          <w:sz w:val="16"/>
          <w:szCs w:val="16"/>
          <w:lang w:val="en-GB"/>
        </w:rPr>
        <w:t>(</w:t>
      </w:r>
      <w:r>
        <w:rPr>
          <w:color w:val="0D0D0D" w:themeColor="text1" w:themeTint="F2"/>
          <w:spacing w:val="-2"/>
          <w:sz w:val="16"/>
          <w:szCs w:val="16"/>
          <w:lang w:val="en-GB"/>
        </w:rPr>
        <w:t>beverage, textiles, wearing apparel, wood and paper industry</w:t>
      </w:r>
      <w:r w:rsidRPr="00D14AF9">
        <w:rPr>
          <w:color w:val="0D0D0D" w:themeColor="text1" w:themeTint="F2"/>
          <w:spacing w:val="-2"/>
          <w:sz w:val="16"/>
          <w:szCs w:val="16"/>
          <w:lang w:val="en-GB"/>
        </w:rPr>
        <w:t>). On the</w:t>
      </w:r>
      <w:r>
        <w:rPr>
          <w:color w:val="0D0D0D" w:themeColor="text1" w:themeTint="F2"/>
          <w:spacing w:val="-2"/>
          <w:sz w:val="16"/>
          <w:szCs w:val="16"/>
          <w:lang w:val="en-GB"/>
        </w:rPr>
        <w:t xml:space="preserve"> contrary, mildly positive outlooks prevailed in manufacturing of motor vehicles, computers, electronic and optical appliances, among smaller branches then in the pharmaceuticals, printing activities, manufacturing of footwear or repairs and installation of machinery and equipment.  </w:t>
      </w:r>
    </w:p>
    <w:p w14:paraId="158B4574" w14:textId="2766D35C" w:rsidR="008C5AA7" w:rsidRPr="00F6716B" w:rsidRDefault="008C5AA7" w:rsidP="00E15065">
      <w:pPr>
        <w:pStyle w:val="Textpoznpodarou"/>
        <w:jc w:val="both"/>
        <w:rPr>
          <w:color w:val="0D0D0D" w:themeColor="text1" w:themeTint="F2"/>
          <w:spacing w:val="-4"/>
          <w:sz w:val="16"/>
          <w:szCs w:val="16"/>
          <w:lang w:val="en-GB"/>
        </w:rPr>
      </w:pPr>
      <w:r>
        <w:rPr>
          <w:color w:val="0D0D0D" w:themeColor="text1" w:themeTint="F2"/>
          <w:spacing w:val="-4"/>
          <w:sz w:val="16"/>
          <w:szCs w:val="16"/>
          <w:lang w:val="en-GB"/>
        </w:rPr>
        <w:t>In services, the negative anticipations were the most obvious in the land transport, in financial activities, in telecommunications, in publishing activities, at travel offices and agencies, repairs of computers and products for personal need for household or in administrative, office or other support service activities for businesses. In contrast, for a number of other business services (legal and accounting activities, architectural and engineering activities, services of employment agencies) or in insurance activities, programming, courier activities, restaurants and warehousing, the businesses assumed rather higher employment.</w:t>
      </w:r>
    </w:p>
  </w:footnote>
  <w:footnote w:id="9">
    <w:p w14:paraId="1AF425DF" w14:textId="62F60519" w:rsidR="008C5AA7" w:rsidRPr="00F6716B" w:rsidRDefault="008C5AA7" w:rsidP="00BE0D18">
      <w:pPr>
        <w:pStyle w:val="Textpoznpodarou"/>
        <w:jc w:val="both"/>
        <w:rPr>
          <w:spacing w:val="-3"/>
          <w:sz w:val="16"/>
          <w:szCs w:val="16"/>
          <w:lang w:val="en-GB"/>
        </w:rPr>
      </w:pPr>
      <w:r w:rsidRPr="00F6716B">
        <w:rPr>
          <w:rStyle w:val="Znakapoznpodarou"/>
          <w:spacing w:val="-3"/>
          <w:sz w:val="16"/>
          <w:szCs w:val="16"/>
          <w:lang w:val="en-GB"/>
        </w:rPr>
        <w:footnoteRef/>
      </w:r>
      <w:r w:rsidRPr="00F6716B">
        <w:rPr>
          <w:spacing w:val="-3"/>
          <w:sz w:val="16"/>
          <w:szCs w:val="16"/>
          <w:lang w:val="en-GB"/>
        </w:rPr>
        <w:t xml:space="preserve"> </w:t>
      </w:r>
      <w:r w:rsidRPr="00A433ED">
        <w:rPr>
          <w:spacing w:val="-3"/>
          <w:sz w:val="16"/>
          <w:szCs w:val="16"/>
          <w:lang w:val="en-GB"/>
        </w:rPr>
        <w:t>Unless stated otherwise, all data regarding the unemployment rates are sourced from the LFSS (based on the ILO methodology) and are adjusted for seasonal effects.</w:t>
      </w:r>
    </w:p>
  </w:footnote>
  <w:footnote w:id="10">
    <w:p w14:paraId="235D8E5E" w14:textId="4A65086B" w:rsidR="008C5AA7" w:rsidRPr="00FC7BC8" w:rsidRDefault="008C5AA7" w:rsidP="00821A86">
      <w:pPr>
        <w:pStyle w:val="paragraph"/>
        <w:spacing w:before="0" w:beforeAutospacing="0" w:after="0" w:afterAutospacing="0"/>
        <w:jc w:val="both"/>
        <w:textAlignment w:val="baseline"/>
        <w:rPr>
          <w:rFonts w:ascii="Arial" w:hAnsi="Arial" w:cs="Arial"/>
          <w:sz w:val="20"/>
          <w:szCs w:val="20"/>
          <w:lang w:val="en-GB"/>
        </w:rPr>
      </w:pPr>
      <w:r w:rsidRPr="00F6716B">
        <w:rPr>
          <w:rFonts w:ascii="Arial" w:eastAsia="Calibri" w:hAnsi="Arial"/>
          <w:color w:val="0D0D0D" w:themeColor="text1" w:themeTint="F2"/>
          <w:spacing w:val="-4"/>
          <w:sz w:val="16"/>
          <w:szCs w:val="16"/>
          <w:vertAlign w:val="superscript"/>
          <w:lang w:val="en-GB"/>
        </w:rPr>
        <w:footnoteRef/>
      </w:r>
      <w:r w:rsidRPr="00F6716B">
        <w:rPr>
          <w:rFonts w:ascii="Arial" w:eastAsia="Calibri" w:hAnsi="Arial"/>
          <w:color w:val="0D0D0D" w:themeColor="text1" w:themeTint="F2"/>
          <w:spacing w:val="-4"/>
          <w:sz w:val="16"/>
          <w:szCs w:val="16"/>
          <w:lang w:val="en-GB"/>
        </w:rPr>
        <w:t xml:space="preserve"> </w:t>
      </w:r>
      <w:r>
        <w:rPr>
          <w:rFonts w:ascii="Arial" w:eastAsia="Calibri" w:hAnsi="Arial"/>
          <w:color w:val="0D0D0D" w:themeColor="text1" w:themeTint="F2"/>
          <w:spacing w:val="-4"/>
          <w:sz w:val="16"/>
          <w:szCs w:val="16"/>
          <w:lang w:val="en-GB"/>
        </w:rPr>
        <w:t xml:space="preserve">The CR still occupied a significant position among the EU states. Only Malta (2.5%) recorded lower total unemployment </w:t>
      </w:r>
      <w:r w:rsidRPr="00F6716B">
        <w:rPr>
          <w:rFonts w:ascii="Arial" w:eastAsia="Calibri" w:hAnsi="Arial"/>
          <w:sz w:val="16"/>
          <w:szCs w:val="16"/>
          <w:lang w:val="en-GB"/>
        </w:rPr>
        <w:t>(</w:t>
      </w:r>
      <w:r>
        <w:rPr>
          <w:rFonts w:ascii="Arial" w:eastAsia="Calibri" w:hAnsi="Arial"/>
          <w:sz w:val="16"/>
          <w:szCs w:val="16"/>
          <w:lang w:val="en-GB"/>
        </w:rPr>
        <w:t xml:space="preserve">of persons aged </w:t>
      </w:r>
      <w:r w:rsidRPr="00F6716B">
        <w:rPr>
          <w:rFonts w:ascii="Arial" w:eastAsia="Calibri" w:hAnsi="Arial"/>
          <w:sz w:val="16"/>
          <w:szCs w:val="16"/>
          <w:lang w:val="en-GB"/>
        </w:rPr>
        <w:t>15–74</w:t>
      </w:r>
      <w:r>
        <w:rPr>
          <w:rFonts w:ascii="Arial" w:eastAsia="Calibri" w:hAnsi="Arial"/>
          <w:sz w:val="16"/>
          <w:szCs w:val="16"/>
          <w:lang w:val="en-GB"/>
        </w:rPr>
        <w:t xml:space="preserve"> years</w:t>
      </w:r>
      <w:r w:rsidRPr="00F6716B">
        <w:rPr>
          <w:rFonts w:ascii="Arial" w:eastAsia="Calibri" w:hAnsi="Arial"/>
          <w:sz w:val="16"/>
          <w:szCs w:val="16"/>
          <w:lang w:val="en-GB"/>
        </w:rPr>
        <w:t>)</w:t>
      </w:r>
      <w:r>
        <w:rPr>
          <w:rFonts w:ascii="Arial" w:eastAsia="Calibri" w:hAnsi="Arial"/>
          <w:sz w:val="16"/>
          <w:szCs w:val="16"/>
          <w:lang w:val="en-GB"/>
        </w:rPr>
        <w:t xml:space="preserve"> than this country. Among the central European countries, Poland as well as Germany maintained the unemployment below </w:t>
      </w:r>
      <w:r w:rsidRPr="00F6716B">
        <w:rPr>
          <w:rFonts w:ascii="Arial" w:eastAsia="Calibri" w:hAnsi="Arial"/>
          <w:sz w:val="16"/>
          <w:szCs w:val="16"/>
          <w:lang w:val="en-GB"/>
        </w:rPr>
        <w:t>3%</w:t>
      </w:r>
      <w:r>
        <w:rPr>
          <w:rFonts w:ascii="Arial" w:eastAsia="Calibri" w:hAnsi="Arial"/>
          <w:sz w:val="16"/>
          <w:szCs w:val="16"/>
          <w:lang w:val="en-GB"/>
        </w:rPr>
        <w:t xml:space="preserve">, </w:t>
      </w:r>
      <w:r w:rsidRPr="00821A86">
        <w:rPr>
          <w:rFonts w:ascii="Arial" w:eastAsia="Calibri" w:hAnsi="Arial"/>
          <w:sz w:val="16"/>
          <w:szCs w:val="16"/>
          <w:lang w:val="en-GB"/>
        </w:rPr>
        <w:t xml:space="preserve">it was higher </w:t>
      </w:r>
      <w:r>
        <w:rPr>
          <w:rFonts w:ascii="Arial" w:eastAsia="Calibri" w:hAnsi="Arial"/>
          <w:sz w:val="16"/>
          <w:szCs w:val="16"/>
          <w:lang w:val="en-GB"/>
        </w:rPr>
        <w:t>in</w:t>
      </w:r>
      <w:r w:rsidRPr="00821A86">
        <w:rPr>
          <w:rFonts w:ascii="Arial" w:eastAsia="Calibri" w:hAnsi="Arial"/>
          <w:sz w:val="16"/>
          <w:szCs w:val="16"/>
          <w:lang w:val="en-GB"/>
        </w:rPr>
        <w:t xml:space="preserve"> Slovakia (5.8%) and Austria (5.6%). </w:t>
      </w:r>
      <w:r>
        <w:rPr>
          <w:rFonts w:ascii="Arial" w:eastAsia="Calibri" w:hAnsi="Arial"/>
          <w:sz w:val="16"/>
          <w:szCs w:val="16"/>
          <w:lang w:val="en-GB"/>
        </w:rPr>
        <w:t xml:space="preserve">Traditionally, Spain (11.6%) and Greece (10.8%) faced the biggest difficulties in the whole EU. </w:t>
      </w:r>
      <w:r w:rsidRPr="00821A86">
        <w:rPr>
          <w:rFonts w:ascii="Arial" w:eastAsia="Calibri" w:hAnsi="Arial"/>
          <w:sz w:val="16"/>
          <w:szCs w:val="16"/>
          <w:lang w:val="en-GB"/>
        </w:rPr>
        <w:t>The unemployment stayed on very low values both in the EU (5.9%) and the euro area (6.4%)</w:t>
      </w:r>
      <w:r>
        <w:rPr>
          <w:rFonts w:ascii="Arial" w:eastAsia="Calibri" w:hAnsi="Arial"/>
          <w:sz w:val="16"/>
          <w:szCs w:val="16"/>
          <w:lang w:val="en-GB"/>
        </w:rPr>
        <w:t>. It stagnated compared to this year</w:t>
      </w:r>
      <w:r>
        <w:rPr>
          <w:rFonts w:ascii="Arial" w:eastAsia="Calibri" w:hAnsi="Arial"/>
          <w:sz w:val="16"/>
          <w:szCs w:val="16"/>
          <w:lang w:val="en-US"/>
        </w:rPr>
        <w:t>’s June and it was b</w:t>
      </w:r>
      <w:r>
        <w:rPr>
          <w:rFonts w:ascii="Arial" w:eastAsia="Calibri" w:hAnsi="Arial"/>
          <w:sz w:val="16"/>
          <w:szCs w:val="16"/>
        </w:rPr>
        <w:t xml:space="preserve">y </w:t>
      </w:r>
      <w:r w:rsidRPr="00FC7BC8">
        <w:rPr>
          <w:rFonts w:ascii="Arial" w:eastAsia="Calibri" w:hAnsi="Arial"/>
          <w:sz w:val="16"/>
          <w:szCs w:val="16"/>
          <w:lang w:val="en-GB"/>
        </w:rPr>
        <w:t xml:space="preserve">more than 1 p. p. lower </w:t>
      </w:r>
      <w:r>
        <w:rPr>
          <w:rFonts w:ascii="Arial" w:eastAsia="Calibri" w:hAnsi="Arial"/>
          <w:sz w:val="16"/>
          <w:szCs w:val="16"/>
          <w:lang w:val="en-GB"/>
        </w:rPr>
        <w:t xml:space="preserve">in comparison to the boom year </w:t>
      </w:r>
      <w:r w:rsidRPr="00FC7BC8">
        <w:rPr>
          <w:rFonts w:ascii="Arial" w:eastAsia="Calibri" w:hAnsi="Arial"/>
          <w:sz w:val="16"/>
          <w:szCs w:val="16"/>
          <w:lang w:val="en-GB"/>
        </w:rPr>
        <w:t xml:space="preserve">2008. </w:t>
      </w:r>
    </w:p>
  </w:footnote>
  <w:footnote w:id="11">
    <w:p w14:paraId="572B6205" w14:textId="6AC81573" w:rsidR="008C5AA7" w:rsidRPr="00FC7BC8" w:rsidRDefault="008C5AA7" w:rsidP="00821A86">
      <w:pPr>
        <w:pStyle w:val="Textpoznpodarou"/>
        <w:jc w:val="both"/>
        <w:rPr>
          <w:sz w:val="16"/>
          <w:szCs w:val="16"/>
          <w:lang w:val="en-GB"/>
        </w:rPr>
      </w:pPr>
      <w:r w:rsidRPr="00FC7BC8">
        <w:rPr>
          <w:rStyle w:val="Znakapoznpodarou"/>
          <w:sz w:val="16"/>
          <w:szCs w:val="16"/>
          <w:lang w:val="en-GB"/>
        </w:rPr>
        <w:footnoteRef/>
      </w:r>
      <w:r w:rsidRPr="00FC7BC8">
        <w:rPr>
          <w:sz w:val="16"/>
          <w:szCs w:val="16"/>
          <w:lang w:val="en-GB"/>
        </w:rPr>
        <w:t xml:space="preserve"> </w:t>
      </w:r>
      <w:r>
        <w:rPr>
          <w:sz w:val="16"/>
          <w:szCs w:val="16"/>
          <w:lang w:val="en-GB"/>
        </w:rPr>
        <w:t xml:space="preserve">Based on the LFSS data, the seasonally unadjusted proportion of the reachable job applicants aged </w:t>
      </w:r>
      <w:r w:rsidRPr="00FC7BC8">
        <w:rPr>
          <w:spacing w:val="-3"/>
          <w:sz w:val="16"/>
          <w:szCs w:val="16"/>
          <w:lang w:val="en-GB"/>
        </w:rPr>
        <w:t>15</w:t>
      </w:r>
      <w:r>
        <w:rPr>
          <w:spacing w:val="-3"/>
          <w:sz w:val="16"/>
          <w:szCs w:val="16"/>
          <w:lang w:val="en-GB"/>
        </w:rPr>
        <w:t xml:space="preserve"> to </w:t>
      </w:r>
      <w:r w:rsidRPr="00FC7BC8">
        <w:rPr>
          <w:spacing w:val="-3"/>
          <w:sz w:val="16"/>
          <w:szCs w:val="16"/>
          <w:lang w:val="en-GB"/>
        </w:rPr>
        <w:t>64</w:t>
      </w:r>
      <w:r>
        <w:rPr>
          <w:spacing w:val="-3"/>
          <w:sz w:val="16"/>
          <w:szCs w:val="16"/>
          <w:lang w:val="en-GB"/>
        </w:rPr>
        <w:t xml:space="preserve"> years of the population of the same age arrived at </w:t>
      </w:r>
      <w:r w:rsidRPr="00FC7BC8">
        <w:rPr>
          <w:spacing w:val="-2"/>
          <w:sz w:val="16"/>
          <w:szCs w:val="16"/>
          <w:lang w:val="en-GB"/>
        </w:rPr>
        <w:t>3</w:t>
      </w:r>
      <w:r>
        <w:rPr>
          <w:spacing w:val="-2"/>
          <w:sz w:val="16"/>
          <w:szCs w:val="16"/>
          <w:lang w:val="en-GB"/>
        </w:rPr>
        <w:t>.</w:t>
      </w:r>
      <w:r w:rsidRPr="00FC7BC8">
        <w:rPr>
          <w:spacing w:val="-2"/>
          <w:sz w:val="16"/>
          <w:szCs w:val="16"/>
          <w:lang w:val="en-GB"/>
        </w:rPr>
        <w:t>6%</w:t>
      </w:r>
      <w:r>
        <w:rPr>
          <w:spacing w:val="-2"/>
          <w:sz w:val="16"/>
          <w:szCs w:val="16"/>
          <w:lang w:val="en-GB"/>
        </w:rPr>
        <w:t xml:space="preserve"> last year in January</w:t>
      </w:r>
      <w:r w:rsidRPr="00FC7BC8">
        <w:rPr>
          <w:spacing w:val="-2"/>
          <w:sz w:val="16"/>
          <w:szCs w:val="16"/>
          <w:lang w:val="en-GB"/>
        </w:rPr>
        <w:t>,</w:t>
      </w:r>
      <w:r>
        <w:rPr>
          <w:spacing w:val="-2"/>
          <w:sz w:val="16"/>
          <w:szCs w:val="16"/>
          <w:lang w:val="en-GB"/>
        </w:rPr>
        <w:t xml:space="preserve"> </w:t>
      </w:r>
      <w:r w:rsidRPr="00FC7BC8">
        <w:rPr>
          <w:spacing w:val="-2"/>
          <w:sz w:val="16"/>
          <w:szCs w:val="16"/>
          <w:lang w:val="en-GB"/>
        </w:rPr>
        <w:t>3</w:t>
      </w:r>
      <w:r>
        <w:rPr>
          <w:spacing w:val="-2"/>
          <w:sz w:val="16"/>
          <w:szCs w:val="16"/>
          <w:lang w:val="en-GB"/>
        </w:rPr>
        <w:t>.</w:t>
      </w:r>
      <w:r w:rsidRPr="00FC7BC8">
        <w:rPr>
          <w:spacing w:val="-2"/>
          <w:sz w:val="16"/>
          <w:szCs w:val="16"/>
          <w:lang w:val="en-GB"/>
        </w:rPr>
        <w:t>3%</w:t>
      </w:r>
      <w:r>
        <w:rPr>
          <w:spacing w:val="-2"/>
          <w:sz w:val="16"/>
          <w:szCs w:val="16"/>
          <w:lang w:val="en-GB"/>
        </w:rPr>
        <w:t xml:space="preserve"> in July and </w:t>
      </w:r>
      <w:r w:rsidRPr="00FC7BC8">
        <w:rPr>
          <w:spacing w:val="-2"/>
          <w:sz w:val="16"/>
          <w:szCs w:val="16"/>
          <w:lang w:val="en-GB"/>
        </w:rPr>
        <w:t>3</w:t>
      </w:r>
      <w:r>
        <w:rPr>
          <w:spacing w:val="-2"/>
          <w:sz w:val="16"/>
          <w:szCs w:val="16"/>
          <w:lang w:val="en-GB"/>
        </w:rPr>
        <w:t>.</w:t>
      </w:r>
      <w:r w:rsidRPr="00FC7BC8">
        <w:rPr>
          <w:spacing w:val="-2"/>
          <w:sz w:val="16"/>
          <w:szCs w:val="16"/>
          <w:lang w:val="en-GB"/>
        </w:rPr>
        <w:t>7%</w:t>
      </w:r>
      <w:r>
        <w:rPr>
          <w:spacing w:val="-2"/>
          <w:sz w:val="16"/>
          <w:szCs w:val="16"/>
          <w:lang w:val="en-GB"/>
        </w:rPr>
        <w:t xml:space="preserve"> in December</w:t>
      </w:r>
      <w:r w:rsidRPr="00FC7BC8">
        <w:rPr>
          <w:spacing w:val="-2"/>
          <w:sz w:val="16"/>
          <w:szCs w:val="16"/>
          <w:lang w:val="en-GB"/>
        </w:rPr>
        <w:t xml:space="preserve">. </w:t>
      </w:r>
      <w:r>
        <w:rPr>
          <w:spacing w:val="-2"/>
          <w:sz w:val="16"/>
          <w:szCs w:val="16"/>
          <w:lang w:val="en-GB"/>
        </w:rPr>
        <w:t xml:space="preserve">It climbed to </w:t>
      </w:r>
      <w:r w:rsidRPr="00FC7BC8">
        <w:rPr>
          <w:spacing w:val="-2"/>
          <w:sz w:val="16"/>
          <w:szCs w:val="16"/>
          <w:lang w:val="en-GB"/>
        </w:rPr>
        <w:t>3</w:t>
      </w:r>
      <w:r>
        <w:rPr>
          <w:spacing w:val="-2"/>
          <w:sz w:val="16"/>
          <w:szCs w:val="16"/>
          <w:lang w:val="en-GB"/>
        </w:rPr>
        <w:t>.</w:t>
      </w:r>
      <w:r w:rsidRPr="00FC7BC8">
        <w:rPr>
          <w:spacing w:val="-2"/>
          <w:sz w:val="16"/>
          <w:szCs w:val="16"/>
          <w:lang w:val="en-GB"/>
        </w:rPr>
        <w:t>9%</w:t>
      </w:r>
      <w:r>
        <w:rPr>
          <w:spacing w:val="-2"/>
          <w:sz w:val="16"/>
          <w:szCs w:val="16"/>
          <w:lang w:val="en-GB"/>
        </w:rPr>
        <w:t xml:space="preserve"> in January</w:t>
      </w:r>
      <w:r w:rsidRPr="00FC7BC8">
        <w:rPr>
          <w:spacing w:val="-2"/>
          <w:sz w:val="16"/>
          <w:szCs w:val="16"/>
          <w:lang w:val="en-GB"/>
        </w:rPr>
        <w:t xml:space="preserve"> (</w:t>
      </w:r>
      <w:r>
        <w:rPr>
          <w:spacing w:val="-2"/>
          <w:sz w:val="16"/>
          <w:szCs w:val="16"/>
          <w:lang w:val="en-GB"/>
        </w:rPr>
        <w:t xml:space="preserve">the highest since May </w:t>
      </w:r>
      <w:r w:rsidRPr="00FC7BC8">
        <w:rPr>
          <w:spacing w:val="-2"/>
          <w:sz w:val="16"/>
          <w:szCs w:val="16"/>
          <w:lang w:val="en-GB"/>
        </w:rPr>
        <w:t>2021),</w:t>
      </w:r>
      <w:r>
        <w:rPr>
          <w:spacing w:val="-2"/>
          <w:sz w:val="16"/>
          <w:szCs w:val="16"/>
          <w:lang w:val="en-GB"/>
        </w:rPr>
        <w:t xml:space="preserve"> it fell to </w:t>
      </w:r>
      <w:r w:rsidRPr="00FC7BC8">
        <w:rPr>
          <w:spacing w:val="-2"/>
          <w:sz w:val="16"/>
          <w:szCs w:val="16"/>
          <w:lang w:val="en-GB"/>
        </w:rPr>
        <w:t>3</w:t>
      </w:r>
      <w:r>
        <w:rPr>
          <w:spacing w:val="-2"/>
          <w:sz w:val="16"/>
          <w:szCs w:val="16"/>
          <w:lang w:val="en-GB"/>
        </w:rPr>
        <w:t>.</w:t>
      </w:r>
      <w:r w:rsidRPr="00FC7BC8">
        <w:rPr>
          <w:spacing w:val="-2"/>
          <w:sz w:val="16"/>
          <w:szCs w:val="16"/>
          <w:lang w:val="en-GB"/>
        </w:rPr>
        <w:t>5%</w:t>
      </w:r>
      <w:r>
        <w:rPr>
          <w:spacing w:val="-2"/>
          <w:sz w:val="16"/>
          <w:szCs w:val="16"/>
          <w:lang w:val="en-GB"/>
        </w:rPr>
        <w:t xml:space="preserve"> in July</w:t>
      </w:r>
      <w:r w:rsidRPr="00FC7BC8">
        <w:rPr>
          <w:spacing w:val="-2"/>
          <w:sz w:val="16"/>
          <w:szCs w:val="16"/>
          <w:lang w:val="en-GB"/>
        </w:rPr>
        <w:t>.</w:t>
      </w:r>
    </w:p>
  </w:footnote>
  <w:footnote w:id="12">
    <w:p w14:paraId="365C4AA9" w14:textId="12AF67D9" w:rsidR="008C5AA7" w:rsidRPr="00FC7BC8" w:rsidRDefault="008C5AA7" w:rsidP="00821A86">
      <w:pPr>
        <w:pStyle w:val="Textpoznpodarou"/>
        <w:jc w:val="both"/>
        <w:rPr>
          <w:sz w:val="16"/>
          <w:szCs w:val="16"/>
          <w:lang w:val="en-GB"/>
        </w:rPr>
      </w:pPr>
      <w:r w:rsidRPr="00FC7BC8">
        <w:rPr>
          <w:rStyle w:val="Znakapoznpodarou"/>
          <w:sz w:val="16"/>
          <w:szCs w:val="16"/>
          <w:lang w:val="en-GB"/>
        </w:rPr>
        <w:footnoteRef/>
      </w:r>
      <w:r w:rsidRPr="00FC7BC8">
        <w:rPr>
          <w:sz w:val="16"/>
          <w:szCs w:val="16"/>
          <w:lang w:val="en-GB"/>
        </w:rPr>
        <w:t xml:space="preserve"> </w:t>
      </w:r>
      <w:r>
        <w:rPr>
          <w:sz w:val="16"/>
          <w:szCs w:val="16"/>
          <w:lang w:val="en-GB"/>
        </w:rPr>
        <w:t xml:space="preserve">Only a fraction of this quantity is however able to join the workforce immediately, since a significant part of working reserves consists of students and females on the parental leave. </w:t>
      </w:r>
    </w:p>
  </w:footnote>
  <w:footnote w:id="13">
    <w:p w14:paraId="0885A5B1" w14:textId="77777777" w:rsidR="008C5AA7" w:rsidRPr="00FC7BC8" w:rsidRDefault="008C5AA7" w:rsidP="00821A86">
      <w:pPr>
        <w:spacing w:after="0"/>
        <w:rPr>
          <w:color w:val="0D0D0D" w:themeColor="text1" w:themeTint="F2"/>
          <w:spacing w:val="-4"/>
          <w:sz w:val="16"/>
          <w:szCs w:val="16"/>
          <w:lang w:val="en-GB"/>
        </w:rPr>
      </w:pPr>
      <w:r w:rsidRPr="00FC7BC8">
        <w:rPr>
          <w:rStyle w:val="Znakapoznpodarou"/>
          <w:sz w:val="16"/>
          <w:szCs w:val="16"/>
          <w:lang w:val="en-GB"/>
        </w:rPr>
        <w:footnoteRef/>
      </w:r>
      <w:r w:rsidRPr="00FC7BC8">
        <w:rPr>
          <w:sz w:val="16"/>
          <w:szCs w:val="16"/>
          <w:lang w:val="en-GB"/>
        </w:rPr>
        <w:t xml:space="preserve"> Current decrease was however the weakest in a row since the beginning of last year. </w:t>
      </w:r>
    </w:p>
  </w:footnote>
  <w:footnote w:id="14">
    <w:p w14:paraId="0A32308D" w14:textId="77777777" w:rsidR="008C5AA7" w:rsidRPr="00FC7BC8" w:rsidRDefault="008C5AA7" w:rsidP="00821A86">
      <w:pPr>
        <w:pStyle w:val="Textpoznpodarou"/>
        <w:jc w:val="both"/>
        <w:rPr>
          <w:sz w:val="16"/>
          <w:szCs w:val="16"/>
          <w:lang w:val="en-GB"/>
        </w:rPr>
      </w:pPr>
      <w:r w:rsidRPr="00FC7BC8">
        <w:rPr>
          <w:rStyle w:val="Znakapoznpodarou"/>
          <w:spacing w:val="-3"/>
          <w:sz w:val="16"/>
          <w:szCs w:val="16"/>
          <w:lang w:val="en-GB"/>
        </w:rPr>
        <w:footnoteRef/>
      </w:r>
      <w:r w:rsidRPr="00FC7BC8">
        <w:rPr>
          <w:spacing w:val="-3"/>
          <w:sz w:val="16"/>
          <w:szCs w:val="16"/>
          <w:lang w:val="en-GB"/>
        </w:rPr>
        <w:t xml:space="preserve"> The Gross disposable income (GDI) of households in real expression lowered by 3.4% year-on-year in Q1 2023, in that the volume of wages and salaries in the national accounts conception slumped by 3.8% in real terms for the same time period (according to the preliminary data, this volume also fell in Q2, specifically by 1.9%). Wages and salaries also reflect (unlike the business statistics) other factors, e.g. the grey economy, possible increase of economic activity of population, for instance in the form of second employments or work agreements. GDI includes next to wages and salaries also income flowing from running a business or ownership of capital and also social transfers from state, incl. the until recently fully adjusted retirement pensions (effect of the amendment of the adjustment scheme for the reason of saving measures occurred for the first time in June 2023).</w:t>
      </w:r>
    </w:p>
    <w:p w14:paraId="427D3C02" w14:textId="77777777" w:rsidR="008C5AA7" w:rsidRPr="00B6005F" w:rsidRDefault="008C5AA7" w:rsidP="00821A86">
      <w:pPr>
        <w:pStyle w:val="Textpoznpodarou"/>
        <w:jc w:val="both"/>
        <w:rPr>
          <w:spacing w:val="-3"/>
          <w:sz w:val="16"/>
          <w:szCs w:val="16"/>
        </w:rPr>
      </w:pPr>
    </w:p>
  </w:footnote>
  <w:footnote w:id="15">
    <w:p w14:paraId="5651AC21" w14:textId="10F98BE4" w:rsidR="008C5AA7" w:rsidRPr="00E13E90" w:rsidRDefault="008C5AA7" w:rsidP="00834131">
      <w:pPr>
        <w:pStyle w:val="Textpoznpodarou"/>
        <w:jc w:val="both"/>
        <w:rPr>
          <w:spacing w:val="-3"/>
          <w:sz w:val="16"/>
          <w:szCs w:val="16"/>
          <w:lang w:val="en-GB"/>
        </w:rPr>
      </w:pPr>
      <w:r w:rsidRPr="00B6005F">
        <w:rPr>
          <w:rStyle w:val="Znakapoznpodarou"/>
          <w:spacing w:val="-3"/>
          <w:sz w:val="16"/>
          <w:szCs w:val="16"/>
        </w:rPr>
        <w:footnoteRef/>
      </w:r>
      <w:r w:rsidRPr="00B6005F">
        <w:rPr>
          <w:spacing w:val="-3"/>
          <w:sz w:val="16"/>
          <w:szCs w:val="16"/>
        </w:rPr>
        <w:t xml:space="preserve"> </w:t>
      </w:r>
      <w:r w:rsidRPr="00E13E90">
        <w:rPr>
          <w:spacing w:val="-3"/>
          <w:sz w:val="16"/>
          <w:szCs w:val="16"/>
          <w:lang w:val="en-GB"/>
        </w:rPr>
        <w:t>The branch public administration and social work was an exception. As of 1</w:t>
      </w:r>
      <w:r w:rsidRPr="00E13E90">
        <w:rPr>
          <w:spacing w:val="-3"/>
          <w:sz w:val="16"/>
          <w:szCs w:val="16"/>
          <w:vertAlign w:val="superscript"/>
          <w:lang w:val="en-GB"/>
        </w:rPr>
        <w:t>st</w:t>
      </w:r>
      <w:r w:rsidRPr="00E13E90">
        <w:rPr>
          <w:spacing w:val="-3"/>
          <w:sz w:val="16"/>
          <w:szCs w:val="16"/>
          <w:lang w:val="en-GB"/>
        </w:rPr>
        <w:t xml:space="preserve"> September 2022, 10% </w:t>
      </w:r>
      <w:r>
        <w:rPr>
          <w:spacing w:val="-3"/>
          <w:sz w:val="16"/>
          <w:szCs w:val="16"/>
          <w:lang w:val="en-GB"/>
        </w:rPr>
        <w:t>raise of the pay tariffs for employees falling under the Act on civil service was put in place</w:t>
      </w:r>
      <w:r w:rsidRPr="00E13E90">
        <w:rPr>
          <w:spacing w:val="-4"/>
          <w:sz w:val="16"/>
          <w:szCs w:val="16"/>
          <w:lang w:val="en-GB"/>
        </w:rPr>
        <w:t xml:space="preserve">. </w:t>
      </w:r>
      <w:r>
        <w:rPr>
          <w:spacing w:val="-4"/>
          <w:sz w:val="16"/>
          <w:szCs w:val="16"/>
          <w:lang w:val="en-GB"/>
        </w:rPr>
        <w:t xml:space="preserve">The pay tariffs of armed forces and public security forces were also raised (by 10%) as of January </w:t>
      </w:r>
      <w:r w:rsidRPr="00E13E90">
        <w:rPr>
          <w:spacing w:val="-4"/>
          <w:sz w:val="16"/>
          <w:szCs w:val="16"/>
          <w:lang w:val="en-GB"/>
        </w:rPr>
        <w:t>2023</w:t>
      </w:r>
      <w:r>
        <w:rPr>
          <w:spacing w:val="-4"/>
          <w:sz w:val="16"/>
          <w:szCs w:val="16"/>
          <w:lang w:val="en-GB"/>
        </w:rPr>
        <w:t xml:space="preserve">. </w:t>
      </w:r>
    </w:p>
  </w:footnote>
  <w:footnote w:id="16">
    <w:p w14:paraId="16455923" w14:textId="071D7A62" w:rsidR="008C5AA7" w:rsidRPr="00E13E90" w:rsidRDefault="008C5AA7" w:rsidP="00834131">
      <w:pPr>
        <w:pStyle w:val="Textpoznpodarou"/>
        <w:jc w:val="both"/>
        <w:rPr>
          <w:spacing w:val="-3"/>
          <w:sz w:val="16"/>
          <w:szCs w:val="16"/>
          <w:lang w:val="en-GB"/>
        </w:rPr>
      </w:pPr>
      <w:r w:rsidRPr="00E13E90">
        <w:rPr>
          <w:rStyle w:val="Znakapoznpodarou"/>
          <w:spacing w:val="-3"/>
          <w:sz w:val="16"/>
          <w:szCs w:val="16"/>
          <w:lang w:val="en-GB"/>
        </w:rPr>
        <w:footnoteRef/>
      </w:r>
      <w:r w:rsidRPr="00E13E90">
        <w:rPr>
          <w:spacing w:val="-3"/>
          <w:sz w:val="16"/>
          <w:szCs w:val="16"/>
          <w:lang w:val="en-GB"/>
        </w:rPr>
        <w:t xml:space="preserve"> </w:t>
      </w:r>
      <w:r>
        <w:rPr>
          <w:spacing w:val="-3"/>
          <w:sz w:val="16"/>
          <w:szCs w:val="16"/>
          <w:lang w:val="en-GB"/>
        </w:rPr>
        <w:t xml:space="preserve">Minimum wage was raised by 6.8% </w:t>
      </w:r>
      <w:r w:rsidRPr="00E13E90">
        <w:rPr>
          <w:spacing w:val="-3"/>
          <w:sz w:val="16"/>
          <w:szCs w:val="16"/>
          <w:lang w:val="en-GB"/>
        </w:rPr>
        <w:t>(</w:t>
      </w:r>
      <w:r>
        <w:rPr>
          <w:spacing w:val="-3"/>
          <w:sz w:val="16"/>
          <w:szCs w:val="16"/>
          <w:lang w:val="en-GB"/>
        </w:rPr>
        <w:t>comparably to the previous year</w:t>
      </w:r>
      <w:r w:rsidRPr="00E13E90">
        <w:rPr>
          <w:spacing w:val="-3"/>
          <w:sz w:val="16"/>
          <w:szCs w:val="16"/>
          <w:lang w:val="en-GB"/>
        </w:rPr>
        <w:t>)</w:t>
      </w:r>
      <w:r>
        <w:rPr>
          <w:spacing w:val="-3"/>
          <w:sz w:val="16"/>
          <w:szCs w:val="16"/>
          <w:lang w:val="en-GB"/>
        </w:rPr>
        <w:t xml:space="preserve"> as of January </w:t>
      </w:r>
      <w:r w:rsidRPr="00E13E90">
        <w:rPr>
          <w:spacing w:val="-3"/>
          <w:sz w:val="16"/>
          <w:szCs w:val="16"/>
          <w:lang w:val="en-GB"/>
        </w:rPr>
        <w:t>2023.</w:t>
      </w:r>
      <w:r>
        <w:rPr>
          <w:spacing w:val="-3"/>
          <w:sz w:val="16"/>
          <w:szCs w:val="16"/>
          <w:lang w:val="en-GB"/>
        </w:rPr>
        <w:t xml:space="preserve"> Unlike the practice from past years however the shift of the minimum wage was not accompanied by increase of the boundary for the so called guaranteed wages</w:t>
      </w:r>
      <w:r w:rsidRPr="00E13E90">
        <w:rPr>
          <w:spacing w:val="-3"/>
          <w:sz w:val="16"/>
          <w:szCs w:val="16"/>
          <w:lang w:val="en-GB"/>
        </w:rPr>
        <w:t xml:space="preserve"> (</w:t>
      </w:r>
      <w:r>
        <w:rPr>
          <w:spacing w:val="-3"/>
          <w:sz w:val="16"/>
          <w:szCs w:val="16"/>
          <w:lang w:val="en-GB"/>
        </w:rPr>
        <w:t xml:space="preserve">it increased this year only in the eighth </w:t>
      </w:r>
      <w:r w:rsidRPr="00E13E90">
        <w:rPr>
          <w:spacing w:val="-3"/>
          <w:sz w:val="16"/>
          <w:szCs w:val="16"/>
          <w:lang w:val="en-GB"/>
        </w:rPr>
        <w:t xml:space="preserve">– </w:t>
      </w:r>
      <w:r>
        <w:rPr>
          <w:spacing w:val="-3"/>
          <w:sz w:val="16"/>
          <w:szCs w:val="16"/>
          <w:lang w:val="en-GB"/>
        </w:rPr>
        <w:t xml:space="preserve">category of jobs with the highest qualification </w:t>
      </w:r>
      <w:r w:rsidRPr="00E13E90">
        <w:rPr>
          <w:spacing w:val="-3"/>
          <w:sz w:val="16"/>
          <w:szCs w:val="16"/>
          <w:lang w:val="en-GB"/>
        </w:rPr>
        <w:t xml:space="preserve">–, </w:t>
      </w:r>
      <w:r>
        <w:rPr>
          <w:spacing w:val="-3"/>
          <w:sz w:val="16"/>
          <w:szCs w:val="16"/>
          <w:lang w:val="en-GB"/>
        </w:rPr>
        <w:t>where however only a fraction of employees receives wage</w:t>
      </w:r>
      <w:r w:rsidRPr="00E13E90">
        <w:rPr>
          <w:spacing w:val="-3"/>
          <w:sz w:val="16"/>
          <w:szCs w:val="16"/>
          <w:lang w:val="en-GB"/>
        </w:rPr>
        <w:t>).</w:t>
      </w:r>
    </w:p>
  </w:footnote>
  <w:footnote w:id="17">
    <w:p w14:paraId="559A5826" w14:textId="0821925B" w:rsidR="008C5AA7" w:rsidRPr="00E13E90" w:rsidRDefault="008C5AA7" w:rsidP="00834131">
      <w:pPr>
        <w:pStyle w:val="Textpoznpodarou"/>
        <w:jc w:val="both"/>
        <w:rPr>
          <w:sz w:val="16"/>
          <w:szCs w:val="16"/>
          <w:lang w:val="en-GB"/>
        </w:rPr>
      </w:pPr>
      <w:r w:rsidRPr="00E13E90">
        <w:rPr>
          <w:rStyle w:val="Znakapoznpodarou"/>
          <w:sz w:val="16"/>
          <w:szCs w:val="16"/>
          <w:lang w:val="en-GB"/>
        </w:rPr>
        <w:footnoteRef/>
      </w:r>
      <w:r w:rsidRPr="00E13E90">
        <w:rPr>
          <w:sz w:val="16"/>
          <w:szCs w:val="16"/>
          <w:lang w:val="en-GB"/>
        </w:rPr>
        <w:t xml:space="preserve"> </w:t>
      </w:r>
      <w:r>
        <w:rPr>
          <w:sz w:val="16"/>
          <w:szCs w:val="16"/>
          <w:lang w:val="en-GB"/>
        </w:rPr>
        <w:t>For instance the median of wage of citizens of Ukraine rose the least among all more significant foreigner groups of employees according to the preliminary data in H</w:t>
      </w:r>
      <w:r w:rsidRPr="00E13E90">
        <w:rPr>
          <w:spacing w:val="-2"/>
          <w:sz w:val="16"/>
          <w:szCs w:val="16"/>
          <w:lang w:val="en-GB"/>
        </w:rPr>
        <w:t>1</w:t>
      </w:r>
      <w:r>
        <w:rPr>
          <w:spacing w:val="-2"/>
          <w:sz w:val="16"/>
          <w:szCs w:val="16"/>
          <w:lang w:val="en-GB"/>
        </w:rPr>
        <w:t xml:space="preserve"> </w:t>
      </w:r>
      <w:r w:rsidRPr="00E13E90">
        <w:rPr>
          <w:spacing w:val="-2"/>
          <w:sz w:val="16"/>
          <w:szCs w:val="16"/>
          <w:lang w:val="en-GB"/>
        </w:rPr>
        <w:t xml:space="preserve">– </w:t>
      </w:r>
      <w:r>
        <w:rPr>
          <w:spacing w:val="-2"/>
          <w:sz w:val="16"/>
          <w:szCs w:val="16"/>
          <w:lang w:val="en-GB"/>
        </w:rPr>
        <w:t xml:space="preserve">by </w:t>
      </w:r>
      <w:r w:rsidRPr="00E13E90">
        <w:rPr>
          <w:spacing w:val="-2"/>
          <w:sz w:val="16"/>
          <w:szCs w:val="16"/>
          <w:lang w:val="en-GB"/>
        </w:rPr>
        <w:t>6</w:t>
      </w:r>
      <w:r>
        <w:rPr>
          <w:spacing w:val="-2"/>
          <w:sz w:val="16"/>
          <w:szCs w:val="16"/>
          <w:lang w:val="en-GB"/>
        </w:rPr>
        <w:t>.</w:t>
      </w:r>
      <w:r w:rsidRPr="00E13E90">
        <w:rPr>
          <w:spacing w:val="-2"/>
          <w:sz w:val="16"/>
          <w:szCs w:val="16"/>
          <w:lang w:val="en-GB"/>
        </w:rPr>
        <w:t>2%</w:t>
      </w:r>
      <w:r>
        <w:rPr>
          <w:spacing w:val="-2"/>
          <w:sz w:val="16"/>
          <w:szCs w:val="16"/>
          <w:lang w:val="en-GB"/>
        </w:rPr>
        <w:t xml:space="preserve"> year-on-year</w:t>
      </w:r>
      <w:r w:rsidRPr="00E13E90">
        <w:rPr>
          <w:spacing w:val="-2"/>
          <w:sz w:val="16"/>
          <w:szCs w:val="16"/>
          <w:lang w:val="en-GB"/>
        </w:rPr>
        <w:t xml:space="preserve"> (</w:t>
      </w:r>
      <w:r>
        <w:rPr>
          <w:spacing w:val="-2"/>
          <w:sz w:val="16"/>
          <w:szCs w:val="16"/>
          <w:lang w:val="en-GB"/>
        </w:rPr>
        <w:t xml:space="preserve">to less than </w:t>
      </w:r>
      <w:r w:rsidRPr="00E13E90">
        <w:rPr>
          <w:spacing w:val="-2"/>
          <w:sz w:val="16"/>
          <w:szCs w:val="16"/>
          <w:lang w:val="en-GB"/>
        </w:rPr>
        <w:t>30</w:t>
      </w:r>
      <w:r>
        <w:rPr>
          <w:spacing w:val="-2"/>
          <w:sz w:val="16"/>
          <w:szCs w:val="16"/>
          <w:lang w:val="en-GB"/>
        </w:rPr>
        <w:t xml:space="preserve"> CZK</w:t>
      </w:r>
      <w:r w:rsidRPr="00E13E90">
        <w:rPr>
          <w:spacing w:val="-2"/>
          <w:sz w:val="16"/>
          <w:szCs w:val="16"/>
          <w:lang w:val="en-GB"/>
        </w:rPr>
        <w:t xml:space="preserve"> </w:t>
      </w:r>
      <w:r>
        <w:rPr>
          <w:spacing w:val="-2"/>
          <w:sz w:val="16"/>
          <w:szCs w:val="16"/>
          <w:lang w:val="en-GB"/>
        </w:rPr>
        <w:t>thousand</w:t>
      </w:r>
      <w:r w:rsidRPr="00E13E90">
        <w:rPr>
          <w:spacing w:val="-2"/>
          <w:sz w:val="16"/>
          <w:szCs w:val="16"/>
          <w:lang w:val="en-GB"/>
        </w:rPr>
        <w:t xml:space="preserve">), </w:t>
      </w:r>
      <w:r>
        <w:rPr>
          <w:spacing w:val="-2"/>
          <w:sz w:val="16"/>
          <w:szCs w:val="16"/>
          <w:lang w:val="en-GB"/>
        </w:rPr>
        <w:t xml:space="preserve">even though the mean value of wage increased by 7.2% on the whole labour market. </w:t>
      </w:r>
    </w:p>
  </w:footnote>
  <w:footnote w:id="18">
    <w:p w14:paraId="7D7963CF" w14:textId="4AD185B0" w:rsidR="008C5AA7" w:rsidRPr="00E13E90" w:rsidRDefault="008C5AA7" w:rsidP="00834131">
      <w:pPr>
        <w:pStyle w:val="Textpoznpodarou"/>
        <w:jc w:val="both"/>
        <w:rPr>
          <w:sz w:val="16"/>
          <w:szCs w:val="16"/>
          <w:lang w:val="en-GB"/>
        </w:rPr>
      </w:pPr>
      <w:r w:rsidRPr="00E13E90">
        <w:rPr>
          <w:rStyle w:val="Znakapoznpodarou"/>
          <w:spacing w:val="-3"/>
          <w:sz w:val="16"/>
          <w:szCs w:val="16"/>
          <w:lang w:val="en-GB"/>
        </w:rPr>
        <w:footnoteRef/>
      </w:r>
      <w:r w:rsidRPr="00E13E90">
        <w:rPr>
          <w:spacing w:val="-3"/>
          <w:sz w:val="16"/>
          <w:szCs w:val="16"/>
          <w:lang w:val="en-GB"/>
        </w:rPr>
        <w:t xml:space="preserve"> Includes generation and distribution of electricity, gas, heat and air conditioning. </w:t>
      </w:r>
    </w:p>
  </w:footnote>
  <w:footnote w:id="19">
    <w:p w14:paraId="34F70312" w14:textId="461877DA" w:rsidR="008C5AA7" w:rsidRPr="00E03A92" w:rsidRDefault="008C5AA7" w:rsidP="00C23796">
      <w:pPr>
        <w:pStyle w:val="Textpoznpodarou"/>
        <w:jc w:val="both"/>
        <w:rPr>
          <w:spacing w:val="-2"/>
          <w:sz w:val="16"/>
          <w:szCs w:val="16"/>
          <w:lang w:val="en-GB"/>
        </w:rPr>
      </w:pPr>
      <w:r w:rsidRPr="007A01D2">
        <w:rPr>
          <w:rStyle w:val="Znakapoznpodarou"/>
          <w:spacing w:val="-2"/>
          <w:sz w:val="16"/>
          <w:szCs w:val="16"/>
        </w:rPr>
        <w:footnoteRef/>
      </w:r>
      <w:r w:rsidRPr="007A01D2">
        <w:rPr>
          <w:spacing w:val="-2"/>
          <w:sz w:val="16"/>
          <w:szCs w:val="16"/>
        </w:rPr>
        <w:t xml:space="preserve"> </w:t>
      </w:r>
      <w:r w:rsidRPr="00E03A92">
        <w:rPr>
          <w:spacing w:val="-2"/>
          <w:sz w:val="16"/>
          <w:szCs w:val="16"/>
          <w:lang w:val="en-GB"/>
        </w:rPr>
        <w:t xml:space="preserve">After allowing for the swift growth of employment here the volume of paid out wages increased by nearly one fifth and matched thus the branch of energetics. </w:t>
      </w:r>
    </w:p>
  </w:footnote>
  <w:footnote w:id="20">
    <w:p w14:paraId="033DA195" w14:textId="4363A7FC" w:rsidR="008C5AA7" w:rsidRPr="00C23796" w:rsidRDefault="008C5AA7" w:rsidP="00C23796">
      <w:pPr>
        <w:pStyle w:val="Textpoznpodarou"/>
        <w:jc w:val="both"/>
        <w:rPr>
          <w:sz w:val="16"/>
          <w:szCs w:val="16"/>
          <w:lang w:val="en-GB"/>
        </w:rPr>
      </w:pPr>
      <w:r w:rsidRPr="00C23796">
        <w:rPr>
          <w:rStyle w:val="Znakapoznpodarou"/>
          <w:sz w:val="16"/>
          <w:szCs w:val="16"/>
          <w:lang w:val="en-GB"/>
        </w:rPr>
        <w:footnoteRef/>
      </w:r>
      <w:r w:rsidRPr="00C23796">
        <w:rPr>
          <w:sz w:val="16"/>
          <w:szCs w:val="16"/>
          <w:lang w:val="en-GB"/>
        </w:rPr>
        <w:t xml:space="preserve"> </w:t>
      </w:r>
      <w:r>
        <w:rPr>
          <w:sz w:val="16"/>
          <w:szCs w:val="16"/>
          <w:lang w:val="en-GB"/>
        </w:rPr>
        <w:t xml:space="preserve">It is with regards to employment relatively small branch consisting of diverse spectrum of activities. It concerns mainly the professional bodies, trade unions, associations and citizen initiatives, but also repairs of computers and products for personal needs and further personal services for household </w:t>
      </w:r>
      <w:r w:rsidRPr="00C23796">
        <w:rPr>
          <w:sz w:val="16"/>
          <w:szCs w:val="16"/>
          <w:lang w:val="en-GB"/>
        </w:rPr>
        <w:t>(</w:t>
      </w:r>
      <w:r>
        <w:rPr>
          <w:sz w:val="16"/>
          <w:szCs w:val="16"/>
          <w:lang w:val="en-GB"/>
        </w:rPr>
        <w:t>e.g. cosmetic, hairdressing, cleaners of clothing and others</w:t>
      </w:r>
      <w:r w:rsidRPr="00C23796">
        <w:rPr>
          <w:sz w:val="16"/>
          <w:szCs w:val="16"/>
          <w:lang w:val="en-GB"/>
        </w:rPr>
        <w:t>).</w:t>
      </w:r>
    </w:p>
  </w:footnote>
  <w:footnote w:id="21">
    <w:p w14:paraId="6E6C9503" w14:textId="2A0CBEC6" w:rsidR="008C5AA7" w:rsidRPr="00C23796" w:rsidRDefault="008C5AA7" w:rsidP="00C83B4C">
      <w:pPr>
        <w:spacing w:after="0" w:line="240" w:lineRule="auto"/>
        <w:rPr>
          <w:sz w:val="16"/>
          <w:szCs w:val="16"/>
          <w:lang w:val="en-GB"/>
        </w:rPr>
      </w:pPr>
      <w:r w:rsidRPr="00C23796">
        <w:rPr>
          <w:rStyle w:val="Znakapoznpodarou"/>
          <w:sz w:val="16"/>
          <w:szCs w:val="16"/>
          <w:lang w:val="en-GB"/>
        </w:rPr>
        <w:footnoteRef/>
      </w:r>
      <w:r w:rsidRPr="00C23796">
        <w:rPr>
          <w:sz w:val="16"/>
          <w:szCs w:val="16"/>
          <w:lang w:val="en-GB"/>
        </w:rPr>
        <w:t xml:space="preserve"> </w:t>
      </w:r>
      <w:r>
        <w:rPr>
          <w:sz w:val="16"/>
          <w:szCs w:val="16"/>
          <w:lang w:val="en-GB"/>
        </w:rPr>
        <w:t xml:space="preserve">For simplification includes branch Public administration, mandatory social security; Education; Health and social work; Cultural, amusement and recreational activities. </w:t>
      </w:r>
    </w:p>
  </w:footnote>
  <w:footnote w:id="22">
    <w:p w14:paraId="569D83A9" w14:textId="3233233F" w:rsidR="008C5AA7" w:rsidRPr="00676A86" w:rsidRDefault="008C5AA7" w:rsidP="00676A86">
      <w:pPr>
        <w:pStyle w:val="Textpoznpodarou"/>
        <w:jc w:val="both"/>
        <w:rPr>
          <w:spacing w:val="-3"/>
          <w:sz w:val="16"/>
          <w:szCs w:val="16"/>
          <w:lang w:val="en-GB"/>
        </w:rPr>
      </w:pPr>
      <w:r w:rsidRPr="00676A86">
        <w:rPr>
          <w:rStyle w:val="Znakapoznpodarou"/>
          <w:spacing w:val="-3"/>
          <w:sz w:val="16"/>
          <w:szCs w:val="16"/>
          <w:lang w:val="en-GB"/>
        </w:rPr>
        <w:footnoteRef/>
      </w:r>
      <w:r w:rsidRPr="00676A86">
        <w:rPr>
          <w:spacing w:val="-3"/>
          <w:sz w:val="16"/>
          <w:szCs w:val="16"/>
          <w:lang w:val="en-GB"/>
        </w:rPr>
        <w:t xml:space="preserve"> The raise of pay tariffs of non-educational staff by 10% implemented since the last year’s September was reflected in the growth of the average wages here.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1AB3" w14:textId="4DEBDFFB" w:rsidR="008C5AA7" w:rsidRPr="00314B30" w:rsidRDefault="008C5AA7" w:rsidP="00937AE2">
    <w:pPr>
      <w:pStyle w:val="Zhlav"/>
      <w:rPr>
        <w:lang w:val="en-GB"/>
      </w:rPr>
    </w:pPr>
    <w:r w:rsidRPr="00314B30">
      <w:rPr>
        <w:lang w:val="en-GB"/>
      </w:rPr>
      <w:t>The Czech Economy Development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5385DC29" w:rsidR="008C5AA7" w:rsidRPr="00E37097" w:rsidRDefault="008C5AA7" w:rsidP="00937AE2">
    <w:pPr>
      <w:pStyle w:val="Zhlav"/>
      <w:rPr>
        <w:lang w:val="en-GB"/>
      </w:rPr>
    </w:pPr>
    <w:r w:rsidRPr="00E37097">
      <w:rPr>
        <w:lang w:val="en-GB"/>
      </w:rPr>
      <w:t>The Czech Economy Development</w:t>
    </w:r>
  </w:p>
  <w:p w14:paraId="57266714" w14:textId="77777777" w:rsidR="008C5AA7" w:rsidRPr="006F5416" w:rsidRDefault="008C5AA7"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9678F7"/>
    <w:multiLevelType w:val="hybridMultilevel"/>
    <w:tmpl w:val="A4DE7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567A6"/>
    <w:multiLevelType w:val="hybridMultilevel"/>
    <w:tmpl w:val="50E0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8"/>
  </w:num>
  <w:num w:numId="14">
    <w:abstractNumId w:val="14"/>
  </w:num>
  <w:num w:numId="15">
    <w:abstractNumId w:val="20"/>
  </w:num>
  <w:num w:numId="16">
    <w:abstractNumId w:val="16"/>
  </w:num>
  <w:num w:numId="17">
    <w:abstractNumId w:val="29"/>
  </w:num>
  <w:num w:numId="18">
    <w:abstractNumId w:val="21"/>
  </w:num>
  <w:num w:numId="19">
    <w:abstractNumId w:val="31"/>
  </w:num>
  <w:num w:numId="20">
    <w:abstractNumId w:val="32"/>
  </w:num>
  <w:num w:numId="21">
    <w:abstractNumId w:val="27"/>
  </w:num>
  <w:num w:numId="22">
    <w:abstractNumId w:val="19"/>
  </w:num>
  <w:num w:numId="23">
    <w:abstractNumId w:val="17"/>
  </w:num>
  <w:num w:numId="24">
    <w:abstractNumId w:val="18"/>
  </w:num>
  <w:num w:numId="25">
    <w:abstractNumId w:val="13"/>
  </w:num>
  <w:num w:numId="26">
    <w:abstractNumId w:val="23"/>
  </w:num>
  <w:num w:numId="27">
    <w:abstractNumId w:val="22"/>
  </w:num>
  <w:num w:numId="28">
    <w:abstractNumId w:val="10"/>
  </w:num>
  <w:num w:numId="29">
    <w:abstractNumId w:val="32"/>
  </w:num>
  <w:num w:numId="30">
    <w:abstractNumId w:val="24"/>
  </w:num>
  <w:num w:numId="31">
    <w:abstractNumId w:val="12"/>
  </w:num>
  <w:num w:numId="32">
    <w:abstractNumId w:val="33"/>
  </w:num>
  <w:num w:numId="33">
    <w:abstractNumId w:val="32"/>
  </w:num>
  <w:num w:numId="34">
    <w:abstractNumId w:val="11"/>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02B"/>
    <w:rsid w:val="000005AF"/>
    <w:rsid w:val="00000994"/>
    <w:rsid w:val="00000B55"/>
    <w:rsid w:val="0000172F"/>
    <w:rsid w:val="000017E7"/>
    <w:rsid w:val="0000209D"/>
    <w:rsid w:val="00002275"/>
    <w:rsid w:val="00002538"/>
    <w:rsid w:val="00002566"/>
    <w:rsid w:val="00002C8F"/>
    <w:rsid w:val="0000370A"/>
    <w:rsid w:val="00003849"/>
    <w:rsid w:val="00003F5C"/>
    <w:rsid w:val="000045C4"/>
    <w:rsid w:val="0000468A"/>
    <w:rsid w:val="00004D5A"/>
    <w:rsid w:val="00004F7F"/>
    <w:rsid w:val="00005219"/>
    <w:rsid w:val="000056D5"/>
    <w:rsid w:val="000056DD"/>
    <w:rsid w:val="0000594E"/>
    <w:rsid w:val="00005D9E"/>
    <w:rsid w:val="0000614B"/>
    <w:rsid w:val="000063D5"/>
    <w:rsid w:val="00006625"/>
    <w:rsid w:val="00006899"/>
    <w:rsid w:val="00006ABD"/>
    <w:rsid w:val="00006B67"/>
    <w:rsid w:val="00006C0B"/>
    <w:rsid w:val="000073A0"/>
    <w:rsid w:val="0000767A"/>
    <w:rsid w:val="0000771A"/>
    <w:rsid w:val="00007ABE"/>
    <w:rsid w:val="00010107"/>
    <w:rsid w:val="00010256"/>
    <w:rsid w:val="000102D9"/>
    <w:rsid w:val="00010702"/>
    <w:rsid w:val="000107F8"/>
    <w:rsid w:val="0001083F"/>
    <w:rsid w:val="00010A2C"/>
    <w:rsid w:val="0001128E"/>
    <w:rsid w:val="00011539"/>
    <w:rsid w:val="00011912"/>
    <w:rsid w:val="000124E7"/>
    <w:rsid w:val="0001261C"/>
    <w:rsid w:val="000129B7"/>
    <w:rsid w:val="0001387D"/>
    <w:rsid w:val="00013C4C"/>
    <w:rsid w:val="0001466D"/>
    <w:rsid w:val="00014731"/>
    <w:rsid w:val="00014898"/>
    <w:rsid w:val="00014B9D"/>
    <w:rsid w:val="00014ED0"/>
    <w:rsid w:val="00015DEB"/>
    <w:rsid w:val="00016420"/>
    <w:rsid w:val="00016423"/>
    <w:rsid w:val="00016BDB"/>
    <w:rsid w:val="00017407"/>
    <w:rsid w:val="0001799A"/>
    <w:rsid w:val="00017B01"/>
    <w:rsid w:val="000200BE"/>
    <w:rsid w:val="000205D1"/>
    <w:rsid w:val="00020782"/>
    <w:rsid w:val="000207D3"/>
    <w:rsid w:val="00020950"/>
    <w:rsid w:val="00020F22"/>
    <w:rsid w:val="0002195D"/>
    <w:rsid w:val="00021F9B"/>
    <w:rsid w:val="000228AE"/>
    <w:rsid w:val="000233D1"/>
    <w:rsid w:val="000234D6"/>
    <w:rsid w:val="00023985"/>
    <w:rsid w:val="00023D29"/>
    <w:rsid w:val="00024348"/>
    <w:rsid w:val="000245D6"/>
    <w:rsid w:val="00024D0A"/>
    <w:rsid w:val="00025664"/>
    <w:rsid w:val="00025A00"/>
    <w:rsid w:val="000260D2"/>
    <w:rsid w:val="00026109"/>
    <w:rsid w:val="0002622B"/>
    <w:rsid w:val="00026389"/>
    <w:rsid w:val="0002669F"/>
    <w:rsid w:val="00026F76"/>
    <w:rsid w:val="000279E5"/>
    <w:rsid w:val="00027C33"/>
    <w:rsid w:val="000305E0"/>
    <w:rsid w:val="00030A12"/>
    <w:rsid w:val="000317F0"/>
    <w:rsid w:val="00031AE0"/>
    <w:rsid w:val="00031BB2"/>
    <w:rsid w:val="000322EF"/>
    <w:rsid w:val="000328F0"/>
    <w:rsid w:val="00033605"/>
    <w:rsid w:val="00033BFC"/>
    <w:rsid w:val="00033FCD"/>
    <w:rsid w:val="000348AF"/>
    <w:rsid w:val="00034B70"/>
    <w:rsid w:val="00034DF7"/>
    <w:rsid w:val="00034E68"/>
    <w:rsid w:val="000350C8"/>
    <w:rsid w:val="00035B6F"/>
    <w:rsid w:val="00035C7C"/>
    <w:rsid w:val="00036098"/>
    <w:rsid w:val="00036195"/>
    <w:rsid w:val="00036817"/>
    <w:rsid w:val="000374B2"/>
    <w:rsid w:val="000376C0"/>
    <w:rsid w:val="000403A7"/>
    <w:rsid w:val="00040632"/>
    <w:rsid w:val="00040E53"/>
    <w:rsid w:val="0004131B"/>
    <w:rsid w:val="00041AFC"/>
    <w:rsid w:val="00041CEC"/>
    <w:rsid w:val="00041D02"/>
    <w:rsid w:val="00042596"/>
    <w:rsid w:val="00042A4A"/>
    <w:rsid w:val="00044183"/>
    <w:rsid w:val="0004428D"/>
    <w:rsid w:val="0004431D"/>
    <w:rsid w:val="00044AAC"/>
    <w:rsid w:val="00045447"/>
    <w:rsid w:val="0004694F"/>
    <w:rsid w:val="0004695D"/>
    <w:rsid w:val="00046F2F"/>
    <w:rsid w:val="00047AD4"/>
    <w:rsid w:val="00047BAF"/>
    <w:rsid w:val="00047C70"/>
    <w:rsid w:val="00047D54"/>
    <w:rsid w:val="00047ED0"/>
    <w:rsid w:val="00050541"/>
    <w:rsid w:val="0005054A"/>
    <w:rsid w:val="00050A87"/>
    <w:rsid w:val="00050AFA"/>
    <w:rsid w:val="00051506"/>
    <w:rsid w:val="000522E4"/>
    <w:rsid w:val="00053713"/>
    <w:rsid w:val="0005434E"/>
    <w:rsid w:val="00055CB6"/>
    <w:rsid w:val="000572DD"/>
    <w:rsid w:val="00057B1E"/>
    <w:rsid w:val="00057D0F"/>
    <w:rsid w:val="00060195"/>
    <w:rsid w:val="0006033F"/>
    <w:rsid w:val="00060425"/>
    <w:rsid w:val="00060821"/>
    <w:rsid w:val="00060F88"/>
    <w:rsid w:val="000610E1"/>
    <w:rsid w:val="0006145F"/>
    <w:rsid w:val="000616AD"/>
    <w:rsid w:val="0006210C"/>
    <w:rsid w:val="000622A6"/>
    <w:rsid w:val="000627BD"/>
    <w:rsid w:val="00062A8F"/>
    <w:rsid w:val="00062C40"/>
    <w:rsid w:val="00062D70"/>
    <w:rsid w:val="00062E83"/>
    <w:rsid w:val="00062EC5"/>
    <w:rsid w:val="00062F22"/>
    <w:rsid w:val="0006375F"/>
    <w:rsid w:val="00063975"/>
    <w:rsid w:val="00063CEA"/>
    <w:rsid w:val="0006444D"/>
    <w:rsid w:val="000645FC"/>
    <w:rsid w:val="00064886"/>
    <w:rsid w:val="00065296"/>
    <w:rsid w:val="0006533F"/>
    <w:rsid w:val="00065348"/>
    <w:rsid w:val="00065406"/>
    <w:rsid w:val="0006551C"/>
    <w:rsid w:val="00065539"/>
    <w:rsid w:val="0006558D"/>
    <w:rsid w:val="00065907"/>
    <w:rsid w:val="00065910"/>
    <w:rsid w:val="00065A75"/>
    <w:rsid w:val="00065BAA"/>
    <w:rsid w:val="000663F0"/>
    <w:rsid w:val="00066558"/>
    <w:rsid w:val="000666B4"/>
    <w:rsid w:val="000671DB"/>
    <w:rsid w:val="00067833"/>
    <w:rsid w:val="00067982"/>
    <w:rsid w:val="00070A87"/>
    <w:rsid w:val="00070F6B"/>
    <w:rsid w:val="000711D6"/>
    <w:rsid w:val="000712B3"/>
    <w:rsid w:val="000715E5"/>
    <w:rsid w:val="00071A7C"/>
    <w:rsid w:val="00071E38"/>
    <w:rsid w:val="00071F50"/>
    <w:rsid w:val="00071FDC"/>
    <w:rsid w:val="000722A6"/>
    <w:rsid w:val="000725A8"/>
    <w:rsid w:val="00072829"/>
    <w:rsid w:val="00072FF5"/>
    <w:rsid w:val="00073065"/>
    <w:rsid w:val="00073A5A"/>
    <w:rsid w:val="00074588"/>
    <w:rsid w:val="0007471C"/>
    <w:rsid w:val="0007474E"/>
    <w:rsid w:val="00074988"/>
    <w:rsid w:val="0007512B"/>
    <w:rsid w:val="000751FF"/>
    <w:rsid w:val="00075551"/>
    <w:rsid w:val="00075DB8"/>
    <w:rsid w:val="000761CA"/>
    <w:rsid w:val="000763FD"/>
    <w:rsid w:val="000767F5"/>
    <w:rsid w:val="00076D90"/>
    <w:rsid w:val="000779E7"/>
    <w:rsid w:val="00077FF0"/>
    <w:rsid w:val="00081206"/>
    <w:rsid w:val="0008185C"/>
    <w:rsid w:val="00081A55"/>
    <w:rsid w:val="0008263E"/>
    <w:rsid w:val="00082C19"/>
    <w:rsid w:val="00082F89"/>
    <w:rsid w:val="00083457"/>
    <w:rsid w:val="000834ED"/>
    <w:rsid w:val="000837CD"/>
    <w:rsid w:val="00083B7F"/>
    <w:rsid w:val="0008454D"/>
    <w:rsid w:val="00084BFF"/>
    <w:rsid w:val="000851B8"/>
    <w:rsid w:val="00085395"/>
    <w:rsid w:val="0008629F"/>
    <w:rsid w:val="00086896"/>
    <w:rsid w:val="00086AC1"/>
    <w:rsid w:val="00086D19"/>
    <w:rsid w:val="00087634"/>
    <w:rsid w:val="00087EB4"/>
    <w:rsid w:val="00087F2B"/>
    <w:rsid w:val="00090694"/>
    <w:rsid w:val="00090EE2"/>
    <w:rsid w:val="00090FC6"/>
    <w:rsid w:val="0009122C"/>
    <w:rsid w:val="000913B1"/>
    <w:rsid w:val="00091F2E"/>
    <w:rsid w:val="0009210B"/>
    <w:rsid w:val="0009290F"/>
    <w:rsid w:val="00093241"/>
    <w:rsid w:val="00093868"/>
    <w:rsid w:val="00094A84"/>
    <w:rsid w:val="00095025"/>
    <w:rsid w:val="00095135"/>
    <w:rsid w:val="00095152"/>
    <w:rsid w:val="00095360"/>
    <w:rsid w:val="0009581D"/>
    <w:rsid w:val="00095CE0"/>
    <w:rsid w:val="000961E8"/>
    <w:rsid w:val="0009626E"/>
    <w:rsid w:val="0009644D"/>
    <w:rsid w:val="00096B52"/>
    <w:rsid w:val="0009709E"/>
    <w:rsid w:val="00097191"/>
    <w:rsid w:val="000974D1"/>
    <w:rsid w:val="00097784"/>
    <w:rsid w:val="0009799E"/>
    <w:rsid w:val="000A01E8"/>
    <w:rsid w:val="000A07CB"/>
    <w:rsid w:val="000A0BC0"/>
    <w:rsid w:val="000A1183"/>
    <w:rsid w:val="000A12ED"/>
    <w:rsid w:val="000A1B1A"/>
    <w:rsid w:val="000A1D49"/>
    <w:rsid w:val="000A212B"/>
    <w:rsid w:val="000A242D"/>
    <w:rsid w:val="000A256D"/>
    <w:rsid w:val="000A2643"/>
    <w:rsid w:val="000A2E5F"/>
    <w:rsid w:val="000A34B6"/>
    <w:rsid w:val="000A385C"/>
    <w:rsid w:val="000A3A2C"/>
    <w:rsid w:val="000A3D9E"/>
    <w:rsid w:val="000A44A7"/>
    <w:rsid w:val="000A4A54"/>
    <w:rsid w:val="000A4E47"/>
    <w:rsid w:val="000A4ED9"/>
    <w:rsid w:val="000A5DB7"/>
    <w:rsid w:val="000A6546"/>
    <w:rsid w:val="000A6753"/>
    <w:rsid w:val="000A6764"/>
    <w:rsid w:val="000A6D94"/>
    <w:rsid w:val="000A6DB7"/>
    <w:rsid w:val="000A70CD"/>
    <w:rsid w:val="000A72BC"/>
    <w:rsid w:val="000A7377"/>
    <w:rsid w:val="000A74A4"/>
    <w:rsid w:val="000A775A"/>
    <w:rsid w:val="000A7D63"/>
    <w:rsid w:val="000A7FF4"/>
    <w:rsid w:val="000B03CC"/>
    <w:rsid w:val="000B311B"/>
    <w:rsid w:val="000B382D"/>
    <w:rsid w:val="000B410B"/>
    <w:rsid w:val="000B4212"/>
    <w:rsid w:val="000B5E32"/>
    <w:rsid w:val="000B617A"/>
    <w:rsid w:val="000B61FF"/>
    <w:rsid w:val="000B67B7"/>
    <w:rsid w:val="000B6A0A"/>
    <w:rsid w:val="000B7BBB"/>
    <w:rsid w:val="000B7F46"/>
    <w:rsid w:val="000C0127"/>
    <w:rsid w:val="000C08B1"/>
    <w:rsid w:val="000C0CA6"/>
    <w:rsid w:val="000C0EA8"/>
    <w:rsid w:val="000C0FFC"/>
    <w:rsid w:val="000C13A2"/>
    <w:rsid w:val="000C18ED"/>
    <w:rsid w:val="000C1948"/>
    <w:rsid w:val="000C1D27"/>
    <w:rsid w:val="000C1D64"/>
    <w:rsid w:val="000C21E7"/>
    <w:rsid w:val="000C23EC"/>
    <w:rsid w:val="000C26A2"/>
    <w:rsid w:val="000C290E"/>
    <w:rsid w:val="000C30C3"/>
    <w:rsid w:val="000C3408"/>
    <w:rsid w:val="000C35AB"/>
    <w:rsid w:val="000C3988"/>
    <w:rsid w:val="000C3F7B"/>
    <w:rsid w:val="000C4769"/>
    <w:rsid w:val="000C4D56"/>
    <w:rsid w:val="000C5DFA"/>
    <w:rsid w:val="000C6AFD"/>
    <w:rsid w:val="000C6C90"/>
    <w:rsid w:val="000C7030"/>
    <w:rsid w:val="000C72B7"/>
    <w:rsid w:val="000C7757"/>
    <w:rsid w:val="000C7A79"/>
    <w:rsid w:val="000C7A83"/>
    <w:rsid w:val="000D0300"/>
    <w:rsid w:val="000D0A26"/>
    <w:rsid w:val="000D13CB"/>
    <w:rsid w:val="000D2196"/>
    <w:rsid w:val="000D2854"/>
    <w:rsid w:val="000D2C2E"/>
    <w:rsid w:val="000D2F4C"/>
    <w:rsid w:val="000D3058"/>
    <w:rsid w:val="000D310A"/>
    <w:rsid w:val="000D3EF4"/>
    <w:rsid w:val="000D4341"/>
    <w:rsid w:val="000D4761"/>
    <w:rsid w:val="000D4DC0"/>
    <w:rsid w:val="000D55BA"/>
    <w:rsid w:val="000D5637"/>
    <w:rsid w:val="000D5A03"/>
    <w:rsid w:val="000D5ED3"/>
    <w:rsid w:val="000D6028"/>
    <w:rsid w:val="000D6F4E"/>
    <w:rsid w:val="000D6FDA"/>
    <w:rsid w:val="000D73BB"/>
    <w:rsid w:val="000D7AC7"/>
    <w:rsid w:val="000D7DC0"/>
    <w:rsid w:val="000E04FD"/>
    <w:rsid w:val="000E0E96"/>
    <w:rsid w:val="000E12B0"/>
    <w:rsid w:val="000E1B49"/>
    <w:rsid w:val="000E1DDC"/>
    <w:rsid w:val="000E298B"/>
    <w:rsid w:val="000E2C7D"/>
    <w:rsid w:val="000E3E56"/>
    <w:rsid w:val="000E440D"/>
    <w:rsid w:val="000E4AC5"/>
    <w:rsid w:val="000E542C"/>
    <w:rsid w:val="000E57A8"/>
    <w:rsid w:val="000E6253"/>
    <w:rsid w:val="000E6AC4"/>
    <w:rsid w:val="000E6E4D"/>
    <w:rsid w:val="000E6EBE"/>
    <w:rsid w:val="000E6FBD"/>
    <w:rsid w:val="000E6FCB"/>
    <w:rsid w:val="000E7F98"/>
    <w:rsid w:val="000F090B"/>
    <w:rsid w:val="000F0D9A"/>
    <w:rsid w:val="000F0E60"/>
    <w:rsid w:val="000F1174"/>
    <w:rsid w:val="000F15F7"/>
    <w:rsid w:val="000F1654"/>
    <w:rsid w:val="000F1AA2"/>
    <w:rsid w:val="000F240E"/>
    <w:rsid w:val="000F378E"/>
    <w:rsid w:val="000F3B04"/>
    <w:rsid w:val="000F3CB6"/>
    <w:rsid w:val="000F3F3B"/>
    <w:rsid w:val="000F4721"/>
    <w:rsid w:val="000F47E8"/>
    <w:rsid w:val="000F5A6A"/>
    <w:rsid w:val="000F656A"/>
    <w:rsid w:val="000F6A76"/>
    <w:rsid w:val="000F6B09"/>
    <w:rsid w:val="000F70E4"/>
    <w:rsid w:val="000F76EA"/>
    <w:rsid w:val="0010034B"/>
    <w:rsid w:val="00100A8B"/>
    <w:rsid w:val="00100F5C"/>
    <w:rsid w:val="00100FBC"/>
    <w:rsid w:val="00101B15"/>
    <w:rsid w:val="00101CDA"/>
    <w:rsid w:val="0010200A"/>
    <w:rsid w:val="00102037"/>
    <w:rsid w:val="001022D3"/>
    <w:rsid w:val="00102815"/>
    <w:rsid w:val="00103DCB"/>
    <w:rsid w:val="00103DE1"/>
    <w:rsid w:val="00104C4C"/>
    <w:rsid w:val="00105015"/>
    <w:rsid w:val="001055D2"/>
    <w:rsid w:val="00105643"/>
    <w:rsid w:val="001057C2"/>
    <w:rsid w:val="00106BCC"/>
    <w:rsid w:val="00107124"/>
    <w:rsid w:val="00107DE1"/>
    <w:rsid w:val="0011038E"/>
    <w:rsid w:val="0011053F"/>
    <w:rsid w:val="00110A76"/>
    <w:rsid w:val="00111573"/>
    <w:rsid w:val="00111BBB"/>
    <w:rsid w:val="00111F64"/>
    <w:rsid w:val="00112370"/>
    <w:rsid w:val="0011239B"/>
    <w:rsid w:val="001125EF"/>
    <w:rsid w:val="00112CAB"/>
    <w:rsid w:val="00114349"/>
    <w:rsid w:val="0011440C"/>
    <w:rsid w:val="00114C33"/>
    <w:rsid w:val="00114D5B"/>
    <w:rsid w:val="00115553"/>
    <w:rsid w:val="00115CD6"/>
    <w:rsid w:val="00116ABE"/>
    <w:rsid w:val="00116D3F"/>
    <w:rsid w:val="00117474"/>
    <w:rsid w:val="00117623"/>
    <w:rsid w:val="00117FEA"/>
    <w:rsid w:val="001200CF"/>
    <w:rsid w:val="001208E3"/>
    <w:rsid w:val="00121609"/>
    <w:rsid w:val="0012192F"/>
    <w:rsid w:val="001221BD"/>
    <w:rsid w:val="0012267A"/>
    <w:rsid w:val="00122994"/>
    <w:rsid w:val="00123204"/>
    <w:rsid w:val="00124104"/>
    <w:rsid w:val="00124253"/>
    <w:rsid w:val="001242E7"/>
    <w:rsid w:val="00124B46"/>
    <w:rsid w:val="001255C8"/>
    <w:rsid w:val="001257BE"/>
    <w:rsid w:val="001257E0"/>
    <w:rsid w:val="00125D69"/>
    <w:rsid w:val="001263D2"/>
    <w:rsid w:val="00127256"/>
    <w:rsid w:val="001273CF"/>
    <w:rsid w:val="0012799C"/>
    <w:rsid w:val="00127BC2"/>
    <w:rsid w:val="00127E15"/>
    <w:rsid w:val="001308F1"/>
    <w:rsid w:val="00130ADC"/>
    <w:rsid w:val="00130D9F"/>
    <w:rsid w:val="001326DA"/>
    <w:rsid w:val="00132C4D"/>
    <w:rsid w:val="00133D0B"/>
    <w:rsid w:val="00133FC1"/>
    <w:rsid w:val="00134659"/>
    <w:rsid w:val="00134EF8"/>
    <w:rsid w:val="00135111"/>
    <w:rsid w:val="00135376"/>
    <w:rsid w:val="00135F90"/>
    <w:rsid w:val="0013645A"/>
    <w:rsid w:val="00136A6F"/>
    <w:rsid w:val="00136C1A"/>
    <w:rsid w:val="0013726F"/>
    <w:rsid w:val="00137812"/>
    <w:rsid w:val="001405FA"/>
    <w:rsid w:val="00140D1A"/>
    <w:rsid w:val="00140F93"/>
    <w:rsid w:val="00141184"/>
    <w:rsid w:val="00141315"/>
    <w:rsid w:val="0014152B"/>
    <w:rsid w:val="00141AA0"/>
    <w:rsid w:val="00141E9E"/>
    <w:rsid w:val="00142062"/>
    <w:rsid w:val="00142217"/>
    <w:rsid w:val="001425C3"/>
    <w:rsid w:val="0014262D"/>
    <w:rsid w:val="00142B29"/>
    <w:rsid w:val="00142E2D"/>
    <w:rsid w:val="00144108"/>
    <w:rsid w:val="00144588"/>
    <w:rsid w:val="001447DD"/>
    <w:rsid w:val="001448D8"/>
    <w:rsid w:val="0014517B"/>
    <w:rsid w:val="00145358"/>
    <w:rsid w:val="001458AC"/>
    <w:rsid w:val="001459BC"/>
    <w:rsid w:val="001467FC"/>
    <w:rsid w:val="0014779E"/>
    <w:rsid w:val="00147B13"/>
    <w:rsid w:val="00150ECA"/>
    <w:rsid w:val="0015108F"/>
    <w:rsid w:val="001515F8"/>
    <w:rsid w:val="00151707"/>
    <w:rsid w:val="0015212E"/>
    <w:rsid w:val="00152C86"/>
    <w:rsid w:val="00152F4F"/>
    <w:rsid w:val="00153264"/>
    <w:rsid w:val="0015329F"/>
    <w:rsid w:val="00154325"/>
    <w:rsid w:val="001544A1"/>
    <w:rsid w:val="001553B8"/>
    <w:rsid w:val="00155488"/>
    <w:rsid w:val="001554C2"/>
    <w:rsid w:val="00155882"/>
    <w:rsid w:val="00156B1D"/>
    <w:rsid w:val="00156D04"/>
    <w:rsid w:val="0015715B"/>
    <w:rsid w:val="001571C0"/>
    <w:rsid w:val="00157291"/>
    <w:rsid w:val="001574FE"/>
    <w:rsid w:val="0015753D"/>
    <w:rsid w:val="00157984"/>
    <w:rsid w:val="00157CC9"/>
    <w:rsid w:val="001602D3"/>
    <w:rsid w:val="00160C21"/>
    <w:rsid w:val="001612F4"/>
    <w:rsid w:val="00161553"/>
    <w:rsid w:val="0016187F"/>
    <w:rsid w:val="0016216F"/>
    <w:rsid w:val="0016256B"/>
    <w:rsid w:val="00162DAF"/>
    <w:rsid w:val="00162F81"/>
    <w:rsid w:val="0016311B"/>
    <w:rsid w:val="00163228"/>
    <w:rsid w:val="00163567"/>
    <w:rsid w:val="00163793"/>
    <w:rsid w:val="00163868"/>
    <w:rsid w:val="00163ACE"/>
    <w:rsid w:val="0016440C"/>
    <w:rsid w:val="001648A3"/>
    <w:rsid w:val="00164CA1"/>
    <w:rsid w:val="00164FC1"/>
    <w:rsid w:val="00165313"/>
    <w:rsid w:val="001659C3"/>
    <w:rsid w:val="001665AB"/>
    <w:rsid w:val="00167485"/>
    <w:rsid w:val="001679F5"/>
    <w:rsid w:val="00167B92"/>
    <w:rsid w:val="00167CB9"/>
    <w:rsid w:val="00167DD8"/>
    <w:rsid w:val="00170145"/>
    <w:rsid w:val="001705AD"/>
    <w:rsid w:val="001705ED"/>
    <w:rsid w:val="001706D6"/>
    <w:rsid w:val="0017141F"/>
    <w:rsid w:val="001714F2"/>
    <w:rsid w:val="001718E1"/>
    <w:rsid w:val="00171BA9"/>
    <w:rsid w:val="00171FEA"/>
    <w:rsid w:val="001729A5"/>
    <w:rsid w:val="00173622"/>
    <w:rsid w:val="00173B07"/>
    <w:rsid w:val="0017456C"/>
    <w:rsid w:val="00174AF8"/>
    <w:rsid w:val="001758F3"/>
    <w:rsid w:val="00175B9F"/>
    <w:rsid w:val="00175BF1"/>
    <w:rsid w:val="001762F4"/>
    <w:rsid w:val="001763F9"/>
    <w:rsid w:val="001777BA"/>
    <w:rsid w:val="001801F7"/>
    <w:rsid w:val="00181029"/>
    <w:rsid w:val="001819CB"/>
    <w:rsid w:val="00181BBC"/>
    <w:rsid w:val="0018253B"/>
    <w:rsid w:val="0018273F"/>
    <w:rsid w:val="0018305A"/>
    <w:rsid w:val="0018385F"/>
    <w:rsid w:val="00183BCF"/>
    <w:rsid w:val="00184017"/>
    <w:rsid w:val="001847BB"/>
    <w:rsid w:val="00184B08"/>
    <w:rsid w:val="00185010"/>
    <w:rsid w:val="001854F2"/>
    <w:rsid w:val="00185C22"/>
    <w:rsid w:val="00185C56"/>
    <w:rsid w:val="001869FD"/>
    <w:rsid w:val="00186BA9"/>
    <w:rsid w:val="00187D50"/>
    <w:rsid w:val="001909EA"/>
    <w:rsid w:val="00190B4D"/>
    <w:rsid w:val="001912A0"/>
    <w:rsid w:val="0019159C"/>
    <w:rsid w:val="001915BE"/>
    <w:rsid w:val="0019196C"/>
    <w:rsid w:val="001926A9"/>
    <w:rsid w:val="00192F05"/>
    <w:rsid w:val="00194729"/>
    <w:rsid w:val="00194850"/>
    <w:rsid w:val="00195234"/>
    <w:rsid w:val="0019524B"/>
    <w:rsid w:val="00195EA6"/>
    <w:rsid w:val="00196016"/>
    <w:rsid w:val="00196117"/>
    <w:rsid w:val="001969F0"/>
    <w:rsid w:val="00197A70"/>
    <w:rsid w:val="00197C0F"/>
    <w:rsid w:val="00197D0E"/>
    <w:rsid w:val="001A0487"/>
    <w:rsid w:val="001A0675"/>
    <w:rsid w:val="001A0773"/>
    <w:rsid w:val="001A0A0C"/>
    <w:rsid w:val="001A0A37"/>
    <w:rsid w:val="001A0EAD"/>
    <w:rsid w:val="001A15DD"/>
    <w:rsid w:val="001A164B"/>
    <w:rsid w:val="001A1F68"/>
    <w:rsid w:val="001A21FA"/>
    <w:rsid w:val="001A252C"/>
    <w:rsid w:val="001A3329"/>
    <w:rsid w:val="001A3529"/>
    <w:rsid w:val="001A40EA"/>
    <w:rsid w:val="001A432A"/>
    <w:rsid w:val="001A4D7C"/>
    <w:rsid w:val="001A4EF0"/>
    <w:rsid w:val="001A552F"/>
    <w:rsid w:val="001A5977"/>
    <w:rsid w:val="001A70B1"/>
    <w:rsid w:val="001A71F1"/>
    <w:rsid w:val="001A7672"/>
    <w:rsid w:val="001B045D"/>
    <w:rsid w:val="001B0738"/>
    <w:rsid w:val="001B10F1"/>
    <w:rsid w:val="001B1216"/>
    <w:rsid w:val="001B1235"/>
    <w:rsid w:val="001B158D"/>
    <w:rsid w:val="001B1A66"/>
    <w:rsid w:val="001B1BBB"/>
    <w:rsid w:val="001B2CA9"/>
    <w:rsid w:val="001B2EB2"/>
    <w:rsid w:val="001B2F90"/>
    <w:rsid w:val="001B3110"/>
    <w:rsid w:val="001B3E38"/>
    <w:rsid w:val="001B40F5"/>
    <w:rsid w:val="001B4729"/>
    <w:rsid w:val="001B4A56"/>
    <w:rsid w:val="001B4F0E"/>
    <w:rsid w:val="001B5064"/>
    <w:rsid w:val="001B5F40"/>
    <w:rsid w:val="001B6310"/>
    <w:rsid w:val="001B6C09"/>
    <w:rsid w:val="001B6E12"/>
    <w:rsid w:val="001B718E"/>
    <w:rsid w:val="001B77D2"/>
    <w:rsid w:val="001B78B1"/>
    <w:rsid w:val="001C05CD"/>
    <w:rsid w:val="001C082B"/>
    <w:rsid w:val="001C0C6D"/>
    <w:rsid w:val="001C0F17"/>
    <w:rsid w:val="001C11A6"/>
    <w:rsid w:val="001C1978"/>
    <w:rsid w:val="001C1B24"/>
    <w:rsid w:val="001C1B66"/>
    <w:rsid w:val="001C1BB5"/>
    <w:rsid w:val="001C1C1D"/>
    <w:rsid w:val="001C25F9"/>
    <w:rsid w:val="001C2732"/>
    <w:rsid w:val="001C31A2"/>
    <w:rsid w:val="001C351D"/>
    <w:rsid w:val="001C3794"/>
    <w:rsid w:val="001C3855"/>
    <w:rsid w:val="001C39D0"/>
    <w:rsid w:val="001C4562"/>
    <w:rsid w:val="001C4B8F"/>
    <w:rsid w:val="001C4BB8"/>
    <w:rsid w:val="001C4D8C"/>
    <w:rsid w:val="001C4FD0"/>
    <w:rsid w:val="001C544D"/>
    <w:rsid w:val="001C59ED"/>
    <w:rsid w:val="001C5E46"/>
    <w:rsid w:val="001C5FF5"/>
    <w:rsid w:val="001C65D6"/>
    <w:rsid w:val="001C6B3B"/>
    <w:rsid w:val="001C79A5"/>
    <w:rsid w:val="001C7A26"/>
    <w:rsid w:val="001C7E3F"/>
    <w:rsid w:val="001D0EF1"/>
    <w:rsid w:val="001D127A"/>
    <w:rsid w:val="001D19DE"/>
    <w:rsid w:val="001D1A44"/>
    <w:rsid w:val="001D22C2"/>
    <w:rsid w:val="001D2C99"/>
    <w:rsid w:val="001D3B75"/>
    <w:rsid w:val="001D4044"/>
    <w:rsid w:val="001D452E"/>
    <w:rsid w:val="001D45D0"/>
    <w:rsid w:val="001D4D0E"/>
    <w:rsid w:val="001D5065"/>
    <w:rsid w:val="001D54C1"/>
    <w:rsid w:val="001D556E"/>
    <w:rsid w:val="001D5D52"/>
    <w:rsid w:val="001D5D75"/>
    <w:rsid w:val="001D5DF2"/>
    <w:rsid w:val="001D6175"/>
    <w:rsid w:val="001D681E"/>
    <w:rsid w:val="001D68B2"/>
    <w:rsid w:val="001D6B3F"/>
    <w:rsid w:val="001D6B62"/>
    <w:rsid w:val="001D7B5E"/>
    <w:rsid w:val="001D7EFD"/>
    <w:rsid w:val="001D7F60"/>
    <w:rsid w:val="001E0794"/>
    <w:rsid w:val="001E0804"/>
    <w:rsid w:val="001E085B"/>
    <w:rsid w:val="001E099C"/>
    <w:rsid w:val="001E149B"/>
    <w:rsid w:val="001E15CB"/>
    <w:rsid w:val="001E1979"/>
    <w:rsid w:val="001E1CD5"/>
    <w:rsid w:val="001E1E57"/>
    <w:rsid w:val="001E2053"/>
    <w:rsid w:val="001E3306"/>
    <w:rsid w:val="001E3AC7"/>
    <w:rsid w:val="001E43D7"/>
    <w:rsid w:val="001E504C"/>
    <w:rsid w:val="001E56AC"/>
    <w:rsid w:val="001E5A17"/>
    <w:rsid w:val="001E663C"/>
    <w:rsid w:val="001E7410"/>
    <w:rsid w:val="001E74C5"/>
    <w:rsid w:val="001F0A78"/>
    <w:rsid w:val="001F0B27"/>
    <w:rsid w:val="001F1236"/>
    <w:rsid w:val="001F1282"/>
    <w:rsid w:val="001F2604"/>
    <w:rsid w:val="001F2637"/>
    <w:rsid w:val="001F26DE"/>
    <w:rsid w:val="001F2F90"/>
    <w:rsid w:val="001F363B"/>
    <w:rsid w:val="001F450F"/>
    <w:rsid w:val="001F4597"/>
    <w:rsid w:val="001F4689"/>
    <w:rsid w:val="001F4826"/>
    <w:rsid w:val="001F4933"/>
    <w:rsid w:val="001F4CF2"/>
    <w:rsid w:val="001F4DD2"/>
    <w:rsid w:val="001F59C8"/>
    <w:rsid w:val="001F5BE8"/>
    <w:rsid w:val="001F6360"/>
    <w:rsid w:val="001F6483"/>
    <w:rsid w:val="001F6CD3"/>
    <w:rsid w:val="001F75DA"/>
    <w:rsid w:val="001F7931"/>
    <w:rsid w:val="001F7CE0"/>
    <w:rsid w:val="001F7F06"/>
    <w:rsid w:val="00200085"/>
    <w:rsid w:val="0020044C"/>
    <w:rsid w:val="00200D71"/>
    <w:rsid w:val="00200F46"/>
    <w:rsid w:val="00201633"/>
    <w:rsid w:val="00201CB1"/>
    <w:rsid w:val="00201F53"/>
    <w:rsid w:val="00203332"/>
    <w:rsid w:val="002036E6"/>
    <w:rsid w:val="00203C5D"/>
    <w:rsid w:val="00203CD5"/>
    <w:rsid w:val="00203D8F"/>
    <w:rsid w:val="00203DA4"/>
    <w:rsid w:val="0020461C"/>
    <w:rsid w:val="00204A45"/>
    <w:rsid w:val="00204EA6"/>
    <w:rsid w:val="00204EF3"/>
    <w:rsid w:val="00205052"/>
    <w:rsid w:val="00205186"/>
    <w:rsid w:val="00206516"/>
    <w:rsid w:val="00206747"/>
    <w:rsid w:val="002070CF"/>
    <w:rsid w:val="002071D5"/>
    <w:rsid w:val="002073FD"/>
    <w:rsid w:val="00207AE4"/>
    <w:rsid w:val="00207B00"/>
    <w:rsid w:val="00210806"/>
    <w:rsid w:val="002108D5"/>
    <w:rsid w:val="00210A64"/>
    <w:rsid w:val="00210DCD"/>
    <w:rsid w:val="002111E5"/>
    <w:rsid w:val="00211207"/>
    <w:rsid w:val="0021149E"/>
    <w:rsid w:val="002118B9"/>
    <w:rsid w:val="002120F9"/>
    <w:rsid w:val="00212C92"/>
    <w:rsid w:val="00213691"/>
    <w:rsid w:val="00213FCD"/>
    <w:rsid w:val="002142C0"/>
    <w:rsid w:val="002152FC"/>
    <w:rsid w:val="00215B9B"/>
    <w:rsid w:val="00217418"/>
    <w:rsid w:val="00217BED"/>
    <w:rsid w:val="00217C5B"/>
    <w:rsid w:val="00217D9E"/>
    <w:rsid w:val="00220A43"/>
    <w:rsid w:val="00221139"/>
    <w:rsid w:val="0022139E"/>
    <w:rsid w:val="0022144F"/>
    <w:rsid w:val="00222729"/>
    <w:rsid w:val="0022287B"/>
    <w:rsid w:val="002228DB"/>
    <w:rsid w:val="00223185"/>
    <w:rsid w:val="00223264"/>
    <w:rsid w:val="002233D6"/>
    <w:rsid w:val="002234E7"/>
    <w:rsid w:val="002243AE"/>
    <w:rsid w:val="0022441D"/>
    <w:rsid w:val="00224574"/>
    <w:rsid w:val="00224A24"/>
    <w:rsid w:val="00224E3F"/>
    <w:rsid w:val="00225000"/>
    <w:rsid w:val="0022521D"/>
    <w:rsid w:val="002252E0"/>
    <w:rsid w:val="002255F6"/>
    <w:rsid w:val="00226032"/>
    <w:rsid w:val="002266CC"/>
    <w:rsid w:val="0022699D"/>
    <w:rsid w:val="002270A7"/>
    <w:rsid w:val="0022738D"/>
    <w:rsid w:val="00227605"/>
    <w:rsid w:val="00227850"/>
    <w:rsid w:val="0022794E"/>
    <w:rsid w:val="00227A53"/>
    <w:rsid w:val="00227C6C"/>
    <w:rsid w:val="00227E2E"/>
    <w:rsid w:val="00227F53"/>
    <w:rsid w:val="00230090"/>
    <w:rsid w:val="0023031A"/>
    <w:rsid w:val="00230619"/>
    <w:rsid w:val="00230C6E"/>
    <w:rsid w:val="00230E21"/>
    <w:rsid w:val="00230EF0"/>
    <w:rsid w:val="00231066"/>
    <w:rsid w:val="00231409"/>
    <w:rsid w:val="002316A8"/>
    <w:rsid w:val="00231859"/>
    <w:rsid w:val="002318C6"/>
    <w:rsid w:val="00231FE4"/>
    <w:rsid w:val="002320C9"/>
    <w:rsid w:val="0023288F"/>
    <w:rsid w:val="00233207"/>
    <w:rsid w:val="0023359B"/>
    <w:rsid w:val="00233603"/>
    <w:rsid w:val="002340EF"/>
    <w:rsid w:val="002344DE"/>
    <w:rsid w:val="00234B82"/>
    <w:rsid w:val="00236443"/>
    <w:rsid w:val="0023663C"/>
    <w:rsid w:val="00236700"/>
    <w:rsid w:val="00237C8B"/>
    <w:rsid w:val="00240391"/>
    <w:rsid w:val="00240AF3"/>
    <w:rsid w:val="00240FFF"/>
    <w:rsid w:val="0024175E"/>
    <w:rsid w:val="002418D5"/>
    <w:rsid w:val="00241A9F"/>
    <w:rsid w:val="00241B06"/>
    <w:rsid w:val="002422D6"/>
    <w:rsid w:val="00242A8F"/>
    <w:rsid w:val="00242F0D"/>
    <w:rsid w:val="00243085"/>
    <w:rsid w:val="0024343A"/>
    <w:rsid w:val="002436BA"/>
    <w:rsid w:val="0024376C"/>
    <w:rsid w:val="002438DC"/>
    <w:rsid w:val="00244652"/>
    <w:rsid w:val="00244A15"/>
    <w:rsid w:val="0024527A"/>
    <w:rsid w:val="002452D9"/>
    <w:rsid w:val="002460DA"/>
    <w:rsid w:val="00246D16"/>
    <w:rsid w:val="00247258"/>
    <w:rsid w:val="00247319"/>
    <w:rsid w:val="0024799E"/>
    <w:rsid w:val="00247B13"/>
    <w:rsid w:val="00247E60"/>
    <w:rsid w:val="002512B7"/>
    <w:rsid w:val="00251496"/>
    <w:rsid w:val="00251B08"/>
    <w:rsid w:val="00251C53"/>
    <w:rsid w:val="00252AB9"/>
    <w:rsid w:val="00252CBF"/>
    <w:rsid w:val="002532B1"/>
    <w:rsid w:val="00253C0F"/>
    <w:rsid w:val="00253F48"/>
    <w:rsid w:val="002546EC"/>
    <w:rsid w:val="00254865"/>
    <w:rsid w:val="00254E62"/>
    <w:rsid w:val="00254FC3"/>
    <w:rsid w:val="0025522B"/>
    <w:rsid w:val="002558C1"/>
    <w:rsid w:val="00256207"/>
    <w:rsid w:val="0025637A"/>
    <w:rsid w:val="002575F3"/>
    <w:rsid w:val="002601B4"/>
    <w:rsid w:val="002603E1"/>
    <w:rsid w:val="002605FE"/>
    <w:rsid w:val="0026072D"/>
    <w:rsid w:val="00260887"/>
    <w:rsid w:val="0026120E"/>
    <w:rsid w:val="002617EE"/>
    <w:rsid w:val="0026237D"/>
    <w:rsid w:val="00262582"/>
    <w:rsid w:val="00262588"/>
    <w:rsid w:val="0026291D"/>
    <w:rsid w:val="00262CF3"/>
    <w:rsid w:val="002632B0"/>
    <w:rsid w:val="00263CC7"/>
    <w:rsid w:val="00264309"/>
    <w:rsid w:val="00264713"/>
    <w:rsid w:val="00264992"/>
    <w:rsid w:val="00264B4F"/>
    <w:rsid w:val="00264B85"/>
    <w:rsid w:val="0026564B"/>
    <w:rsid w:val="002658BF"/>
    <w:rsid w:val="00265ABC"/>
    <w:rsid w:val="00265C83"/>
    <w:rsid w:val="00265E85"/>
    <w:rsid w:val="00267B49"/>
    <w:rsid w:val="00267C51"/>
    <w:rsid w:val="002700D9"/>
    <w:rsid w:val="0027025F"/>
    <w:rsid w:val="002704BD"/>
    <w:rsid w:val="002709CC"/>
    <w:rsid w:val="00270D25"/>
    <w:rsid w:val="00271022"/>
    <w:rsid w:val="002710ED"/>
    <w:rsid w:val="00271465"/>
    <w:rsid w:val="002716C7"/>
    <w:rsid w:val="00271A07"/>
    <w:rsid w:val="00271C6A"/>
    <w:rsid w:val="00271E47"/>
    <w:rsid w:val="00271F98"/>
    <w:rsid w:val="002721F5"/>
    <w:rsid w:val="002726A8"/>
    <w:rsid w:val="00272DF4"/>
    <w:rsid w:val="0027306A"/>
    <w:rsid w:val="00273D2B"/>
    <w:rsid w:val="00273FB3"/>
    <w:rsid w:val="00274240"/>
    <w:rsid w:val="002742A7"/>
    <w:rsid w:val="002744DB"/>
    <w:rsid w:val="0027485F"/>
    <w:rsid w:val="00274EA7"/>
    <w:rsid w:val="00275062"/>
    <w:rsid w:val="00275758"/>
    <w:rsid w:val="0027583D"/>
    <w:rsid w:val="002759C7"/>
    <w:rsid w:val="00275DEF"/>
    <w:rsid w:val="00275E43"/>
    <w:rsid w:val="002763A2"/>
    <w:rsid w:val="00276498"/>
    <w:rsid w:val="00276928"/>
    <w:rsid w:val="00276B33"/>
    <w:rsid w:val="00276E20"/>
    <w:rsid w:val="00276F97"/>
    <w:rsid w:val="00277669"/>
    <w:rsid w:val="002803A5"/>
    <w:rsid w:val="00280ACB"/>
    <w:rsid w:val="002812E3"/>
    <w:rsid w:val="00281576"/>
    <w:rsid w:val="00282AD4"/>
    <w:rsid w:val="0028341F"/>
    <w:rsid w:val="00283770"/>
    <w:rsid w:val="002837AE"/>
    <w:rsid w:val="00283C13"/>
    <w:rsid w:val="00283F7B"/>
    <w:rsid w:val="0028431A"/>
    <w:rsid w:val="002853FA"/>
    <w:rsid w:val="00285412"/>
    <w:rsid w:val="00286220"/>
    <w:rsid w:val="00286AAC"/>
    <w:rsid w:val="00286DC2"/>
    <w:rsid w:val="002870F0"/>
    <w:rsid w:val="00287DD1"/>
    <w:rsid w:val="002903D4"/>
    <w:rsid w:val="00290531"/>
    <w:rsid w:val="0029110B"/>
    <w:rsid w:val="00291640"/>
    <w:rsid w:val="00291882"/>
    <w:rsid w:val="00291B77"/>
    <w:rsid w:val="002922DC"/>
    <w:rsid w:val="0029237E"/>
    <w:rsid w:val="0029268D"/>
    <w:rsid w:val="00292997"/>
    <w:rsid w:val="002934D6"/>
    <w:rsid w:val="00293B8C"/>
    <w:rsid w:val="00293D24"/>
    <w:rsid w:val="002944A6"/>
    <w:rsid w:val="0029461A"/>
    <w:rsid w:val="0029509B"/>
    <w:rsid w:val="00295430"/>
    <w:rsid w:val="0029574D"/>
    <w:rsid w:val="0029588F"/>
    <w:rsid w:val="00295E96"/>
    <w:rsid w:val="002971C4"/>
    <w:rsid w:val="00297256"/>
    <w:rsid w:val="00297A5C"/>
    <w:rsid w:val="00297D51"/>
    <w:rsid w:val="002A0122"/>
    <w:rsid w:val="002A016B"/>
    <w:rsid w:val="002A103E"/>
    <w:rsid w:val="002A16D4"/>
    <w:rsid w:val="002A1E4F"/>
    <w:rsid w:val="002A1E96"/>
    <w:rsid w:val="002A230C"/>
    <w:rsid w:val="002A2376"/>
    <w:rsid w:val="002A25B5"/>
    <w:rsid w:val="002A2AF7"/>
    <w:rsid w:val="002A30ED"/>
    <w:rsid w:val="002A3209"/>
    <w:rsid w:val="002A34B5"/>
    <w:rsid w:val="002A377D"/>
    <w:rsid w:val="002A3898"/>
    <w:rsid w:val="002A38F3"/>
    <w:rsid w:val="002A3EA2"/>
    <w:rsid w:val="002A3FAB"/>
    <w:rsid w:val="002A3FBA"/>
    <w:rsid w:val="002A51AC"/>
    <w:rsid w:val="002A532A"/>
    <w:rsid w:val="002A5342"/>
    <w:rsid w:val="002A5846"/>
    <w:rsid w:val="002A5D97"/>
    <w:rsid w:val="002A603E"/>
    <w:rsid w:val="002A63B9"/>
    <w:rsid w:val="002A7089"/>
    <w:rsid w:val="002A7709"/>
    <w:rsid w:val="002A79B3"/>
    <w:rsid w:val="002A7B5E"/>
    <w:rsid w:val="002B0692"/>
    <w:rsid w:val="002B1182"/>
    <w:rsid w:val="002B118D"/>
    <w:rsid w:val="002B1619"/>
    <w:rsid w:val="002B1A42"/>
    <w:rsid w:val="002B1C3B"/>
    <w:rsid w:val="002B1D9D"/>
    <w:rsid w:val="002B20D1"/>
    <w:rsid w:val="002B2379"/>
    <w:rsid w:val="002B3401"/>
    <w:rsid w:val="002B3EF4"/>
    <w:rsid w:val="002B4845"/>
    <w:rsid w:val="002B4C6C"/>
    <w:rsid w:val="002B4EE6"/>
    <w:rsid w:val="002B5567"/>
    <w:rsid w:val="002B5812"/>
    <w:rsid w:val="002B5833"/>
    <w:rsid w:val="002B72AA"/>
    <w:rsid w:val="002B75C0"/>
    <w:rsid w:val="002C0572"/>
    <w:rsid w:val="002C1110"/>
    <w:rsid w:val="002C15ED"/>
    <w:rsid w:val="002C1BC2"/>
    <w:rsid w:val="002C1F09"/>
    <w:rsid w:val="002C22A4"/>
    <w:rsid w:val="002C260B"/>
    <w:rsid w:val="002C27A6"/>
    <w:rsid w:val="002C31E4"/>
    <w:rsid w:val="002C398D"/>
    <w:rsid w:val="002C3A03"/>
    <w:rsid w:val="002C40D2"/>
    <w:rsid w:val="002C43BD"/>
    <w:rsid w:val="002C5245"/>
    <w:rsid w:val="002C564A"/>
    <w:rsid w:val="002C59D8"/>
    <w:rsid w:val="002C5FEB"/>
    <w:rsid w:val="002C6494"/>
    <w:rsid w:val="002C7573"/>
    <w:rsid w:val="002C7B33"/>
    <w:rsid w:val="002D00F7"/>
    <w:rsid w:val="002D0599"/>
    <w:rsid w:val="002D05CB"/>
    <w:rsid w:val="002D0C51"/>
    <w:rsid w:val="002D0E59"/>
    <w:rsid w:val="002D1ED6"/>
    <w:rsid w:val="002D20A4"/>
    <w:rsid w:val="002D24AC"/>
    <w:rsid w:val="002D2C4F"/>
    <w:rsid w:val="002D3800"/>
    <w:rsid w:val="002D3EBB"/>
    <w:rsid w:val="002D455C"/>
    <w:rsid w:val="002D48A1"/>
    <w:rsid w:val="002D55FA"/>
    <w:rsid w:val="002D6066"/>
    <w:rsid w:val="002D67B7"/>
    <w:rsid w:val="002D6A4C"/>
    <w:rsid w:val="002D743D"/>
    <w:rsid w:val="002E02A1"/>
    <w:rsid w:val="002E196A"/>
    <w:rsid w:val="002E1E2B"/>
    <w:rsid w:val="002E1F8A"/>
    <w:rsid w:val="002E20C7"/>
    <w:rsid w:val="002E20CD"/>
    <w:rsid w:val="002E222E"/>
    <w:rsid w:val="002E28D8"/>
    <w:rsid w:val="002E3036"/>
    <w:rsid w:val="002E3638"/>
    <w:rsid w:val="002E37D1"/>
    <w:rsid w:val="002E3BEE"/>
    <w:rsid w:val="002E3C41"/>
    <w:rsid w:val="002E4482"/>
    <w:rsid w:val="002E4DCE"/>
    <w:rsid w:val="002E4E4C"/>
    <w:rsid w:val="002E4EA7"/>
    <w:rsid w:val="002E564B"/>
    <w:rsid w:val="002E5846"/>
    <w:rsid w:val="002E5884"/>
    <w:rsid w:val="002E631B"/>
    <w:rsid w:val="002E792B"/>
    <w:rsid w:val="002E7AEB"/>
    <w:rsid w:val="002E7B79"/>
    <w:rsid w:val="002F06E2"/>
    <w:rsid w:val="002F1B09"/>
    <w:rsid w:val="002F1D56"/>
    <w:rsid w:val="002F1DCB"/>
    <w:rsid w:val="002F1DE4"/>
    <w:rsid w:val="002F333D"/>
    <w:rsid w:val="002F351A"/>
    <w:rsid w:val="002F357F"/>
    <w:rsid w:val="002F3A2C"/>
    <w:rsid w:val="002F428F"/>
    <w:rsid w:val="002F44EF"/>
    <w:rsid w:val="002F4631"/>
    <w:rsid w:val="002F46D6"/>
    <w:rsid w:val="002F498A"/>
    <w:rsid w:val="002F4AD8"/>
    <w:rsid w:val="002F5285"/>
    <w:rsid w:val="002F52CE"/>
    <w:rsid w:val="002F5820"/>
    <w:rsid w:val="002F64BB"/>
    <w:rsid w:val="002F7D9B"/>
    <w:rsid w:val="00300901"/>
    <w:rsid w:val="003009B1"/>
    <w:rsid w:val="00300C31"/>
    <w:rsid w:val="00300D42"/>
    <w:rsid w:val="00300E7D"/>
    <w:rsid w:val="00300FA9"/>
    <w:rsid w:val="00301127"/>
    <w:rsid w:val="00301294"/>
    <w:rsid w:val="003017EC"/>
    <w:rsid w:val="003018D9"/>
    <w:rsid w:val="00302165"/>
    <w:rsid w:val="00302706"/>
    <w:rsid w:val="003036CE"/>
    <w:rsid w:val="00303BB4"/>
    <w:rsid w:val="00303DE8"/>
    <w:rsid w:val="00304771"/>
    <w:rsid w:val="00304F9C"/>
    <w:rsid w:val="003052D4"/>
    <w:rsid w:val="00305863"/>
    <w:rsid w:val="003060D6"/>
    <w:rsid w:val="003060E9"/>
    <w:rsid w:val="00306C5B"/>
    <w:rsid w:val="00307529"/>
    <w:rsid w:val="003077F5"/>
    <w:rsid w:val="00307DB3"/>
    <w:rsid w:val="00307ED2"/>
    <w:rsid w:val="0031010B"/>
    <w:rsid w:val="0031076D"/>
    <w:rsid w:val="003107F8"/>
    <w:rsid w:val="0031169A"/>
    <w:rsid w:val="00311AA6"/>
    <w:rsid w:val="00311C4D"/>
    <w:rsid w:val="003121AB"/>
    <w:rsid w:val="00312A85"/>
    <w:rsid w:val="003136D6"/>
    <w:rsid w:val="00314B30"/>
    <w:rsid w:val="00315067"/>
    <w:rsid w:val="00315169"/>
    <w:rsid w:val="003153C8"/>
    <w:rsid w:val="00315524"/>
    <w:rsid w:val="00315561"/>
    <w:rsid w:val="00316442"/>
    <w:rsid w:val="00316B3D"/>
    <w:rsid w:val="0031701C"/>
    <w:rsid w:val="00320454"/>
    <w:rsid w:val="0032058C"/>
    <w:rsid w:val="0032069E"/>
    <w:rsid w:val="003208D0"/>
    <w:rsid w:val="003209D6"/>
    <w:rsid w:val="00320ACF"/>
    <w:rsid w:val="00320D58"/>
    <w:rsid w:val="003217B9"/>
    <w:rsid w:val="00321924"/>
    <w:rsid w:val="00321AF1"/>
    <w:rsid w:val="00321EB6"/>
    <w:rsid w:val="003220A5"/>
    <w:rsid w:val="003238E0"/>
    <w:rsid w:val="00323A1C"/>
    <w:rsid w:val="00323A2F"/>
    <w:rsid w:val="00323A8E"/>
    <w:rsid w:val="003247E1"/>
    <w:rsid w:val="00324B59"/>
    <w:rsid w:val="0032509D"/>
    <w:rsid w:val="00325967"/>
    <w:rsid w:val="00325E46"/>
    <w:rsid w:val="003260B5"/>
    <w:rsid w:val="0032656E"/>
    <w:rsid w:val="0032788F"/>
    <w:rsid w:val="00330067"/>
    <w:rsid w:val="00330A2C"/>
    <w:rsid w:val="00332190"/>
    <w:rsid w:val="00332761"/>
    <w:rsid w:val="00332A98"/>
    <w:rsid w:val="00332B6A"/>
    <w:rsid w:val="003334BD"/>
    <w:rsid w:val="00333973"/>
    <w:rsid w:val="00333CD0"/>
    <w:rsid w:val="00333F27"/>
    <w:rsid w:val="0033427A"/>
    <w:rsid w:val="0033448D"/>
    <w:rsid w:val="00334AD2"/>
    <w:rsid w:val="00334CB6"/>
    <w:rsid w:val="00335B33"/>
    <w:rsid w:val="0033709C"/>
    <w:rsid w:val="003370C5"/>
    <w:rsid w:val="003373C6"/>
    <w:rsid w:val="0033753A"/>
    <w:rsid w:val="003375E0"/>
    <w:rsid w:val="00337A31"/>
    <w:rsid w:val="00337A36"/>
    <w:rsid w:val="00337B16"/>
    <w:rsid w:val="00337E38"/>
    <w:rsid w:val="00340122"/>
    <w:rsid w:val="003409CA"/>
    <w:rsid w:val="00340BF3"/>
    <w:rsid w:val="00340D3D"/>
    <w:rsid w:val="0034193A"/>
    <w:rsid w:val="00341C6C"/>
    <w:rsid w:val="00341D26"/>
    <w:rsid w:val="00341E9A"/>
    <w:rsid w:val="00341F05"/>
    <w:rsid w:val="00342CDF"/>
    <w:rsid w:val="00342CE7"/>
    <w:rsid w:val="0034335E"/>
    <w:rsid w:val="00343CD0"/>
    <w:rsid w:val="0034464E"/>
    <w:rsid w:val="00344668"/>
    <w:rsid w:val="00344940"/>
    <w:rsid w:val="0034506D"/>
    <w:rsid w:val="0034514C"/>
    <w:rsid w:val="00345489"/>
    <w:rsid w:val="00346234"/>
    <w:rsid w:val="003462D9"/>
    <w:rsid w:val="00346475"/>
    <w:rsid w:val="0034723F"/>
    <w:rsid w:val="00347247"/>
    <w:rsid w:val="003472DE"/>
    <w:rsid w:val="003472E0"/>
    <w:rsid w:val="003474B6"/>
    <w:rsid w:val="00347DD4"/>
    <w:rsid w:val="003512A5"/>
    <w:rsid w:val="00352B43"/>
    <w:rsid w:val="00352C28"/>
    <w:rsid w:val="00353485"/>
    <w:rsid w:val="00353ACC"/>
    <w:rsid w:val="003541BB"/>
    <w:rsid w:val="00354502"/>
    <w:rsid w:val="003546F0"/>
    <w:rsid w:val="00354F89"/>
    <w:rsid w:val="0035506D"/>
    <w:rsid w:val="00357940"/>
    <w:rsid w:val="003579A1"/>
    <w:rsid w:val="0036077F"/>
    <w:rsid w:val="00360A35"/>
    <w:rsid w:val="00360C86"/>
    <w:rsid w:val="00360DEC"/>
    <w:rsid w:val="00360F7A"/>
    <w:rsid w:val="00360FBC"/>
    <w:rsid w:val="00361537"/>
    <w:rsid w:val="00361B2D"/>
    <w:rsid w:val="00361E1B"/>
    <w:rsid w:val="00361FB7"/>
    <w:rsid w:val="0036242A"/>
    <w:rsid w:val="00362C23"/>
    <w:rsid w:val="00362DCA"/>
    <w:rsid w:val="00362E90"/>
    <w:rsid w:val="00363152"/>
    <w:rsid w:val="00364324"/>
    <w:rsid w:val="00364967"/>
    <w:rsid w:val="00364C69"/>
    <w:rsid w:val="00364FA0"/>
    <w:rsid w:val="003650A2"/>
    <w:rsid w:val="003651C5"/>
    <w:rsid w:val="003657F3"/>
    <w:rsid w:val="00365844"/>
    <w:rsid w:val="00365F61"/>
    <w:rsid w:val="0036624C"/>
    <w:rsid w:val="003666B1"/>
    <w:rsid w:val="00367F84"/>
    <w:rsid w:val="0037057F"/>
    <w:rsid w:val="003712BC"/>
    <w:rsid w:val="00371C3E"/>
    <w:rsid w:val="00372164"/>
    <w:rsid w:val="003724CE"/>
    <w:rsid w:val="003738BD"/>
    <w:rsid w:val="00374263"/>
    <w:rsid w:val="003746F0"/>
    <w:rsid w:val="00374A20"/>
    <w:rsid w:val="00374B96"/>
    <w:rsid w:val="00374E21"/>
    <w:rsid w:val="00374E8C"/>
    <w:rsid w:val="0037520A"/>
    <w:rsid w:val="0037537A"/>
    <w:rsid w:val="0037670D"/>
    <w:rsid w:val="00377B2E"/>
    <w:rsid w:val="00380C9B"/>
    <w:rsid w:val="003810F0"/>
    <w:rsid w:val="003815D4"/>
    <w:rsid w:val="003818DC"/>
    <w:rsid w:val="0038214B"/>
    <w:rsid w:val="00382513"/>
    <w:rsid w:val="003827B3"/>
    <w:rsid w:val="00383388"/>
    <w:rsid w:val="0038346A"/>
    <w:rsid w:val="003834F8"/>
    <w:rsid w:val="0038370D"/>
    <w:rsid w:val="003838D0"/>
    <w:rsid w:val="003840C2"/>
    <w:rsid w:val="00384327"/>
    <w:rsid w:val="00384A89"/>
    <w:rsid w:val="00384F9F"/>
    <w:rsid w:val="00385086"/>
    <w:rsid w:val="00385344"/>
    <w:rsid w:val="003856A6"/>
    <w:rsid w:val="00385C7B"/>
    <w:rsid w:val="00385D98"/>
    <w:rsid w:val="00386076"/>
    <w:rsid w:val="00386CDE"/>
    <w:rsid w:val="00390306"/>
    <w:rsid w:val="003908A6"/>
    <w:rsid w:val="0039099B"/>
    <w:rsid w:val="00390A99"/>
    <w:rsid w:val="0039109D"/>
    <w:rsid w:val="00391989"/>
    <w:rsid w:val="00391A6C"/>
    <w:rsid w:val="00391DE6"/>
    <w:rsid w:val="003927F6"/>
    <w:rsid w:val="00392AB8"/>
    <w:rsid w:val="00392C79"/>
    <w:rsid w:val="0039398D"/>
    <w:rsid w:val="00393B3F"/>
    <w:rsid w:val="0039402D"/>
    <w:rsid w:val="00396739"/>
    <w:rsid w:val="003978B1"/>
    <w:rsid w:val="00397C50"/>
    <w:rsid w:val="00397C8B"/>
    <w:rsid w:val="003A0023"/>
    <w:rsid w:val="003A04F6"/>
    <w:rsid w:val="003A07ED"/>
    <w:rsid w:val="003A0837"/>
    <w:rsid w:val="003A17E1"/>
    <w:rsid w:val="003A1FE1"/>
    <w:rsid w:val="003A20E8"/>
    <w:rsid w:val="003A2B4D"/>
    <w:rsid w:val="003A2D12"/>
    <w:rsid w:val="003A2EBA"/>
    <w:rsid w:val="003A30C0"/>
    <w:rsid w:val="003A32DB"/>
    <w:rsid w:val="003A4153"/>
    <w:rsid w:val="003A45E3"/>
    <w:rsid w:val="003A46B8"/>
    <w:rsid w:val="003A478C"/>
    <w:rsid w:val="003A4A38"/>
    <w:rsid w:val="003A4B47"/>
    <w:rsid w:val="003A4E88"/>
    <w:rsid w:val="003A5295"/>
    <w:rsid w:val="003A537D"/>
    <w:rsid w:val="003A5525"/>
    <w:rsid w:val="003A5889"/>
    <w:rsid w:val="003A5C8C"/>
    <w:rsid w:val="003A620D"/>
    <w:rsid w:val="003A6B38"/>
    <w:rsid w:val="003A6B83"/>
    <w:rsid w:val="003A6C97"/>
    <w:rsid w:val="003A722F"/>
    <w:rsid w:val="003A7373"/>
    <w:rsid w:val="003A7D09"/>
    <w:rsid w:val="003A7E41"/>
    <w:rsid w:val="003B0067"/>
    <w:rsid w:val="003B019E"/>
    <w:rsid w:val="003B039F"/>
    <w:rsid w:val="003B0DF4"/>
    <w:rsid w:val="003B1F9D"/>
    <w:rsid w:val="003B2A8D"/>
    <w:rsid w:val="003B2AD1"/>
    <w:rsid w:val="003B2D2E"/>
    <w:rsid w:val="003B376A"/>
    <w:rsid w:val="003B403E"/>
    <w:rsid w:val="003B461F"/>
    <w:rsid w:val="003B483F"/>
    <w:rsid w:val="003B4998"/>
    <w:rsid w:val="003B5A32"/>
    <w:rsid w:val="003B5A37"/>
    <w:rsid w:val="003B5B59"/>
    <w:rsid w:val="003B68B7"/>
    <w:rsid w:val="003B6BAF"/>
    <w:rsid w:val="003B709D"/>
    <w:rsid w:val="003B7B50"/>
    <w:rsid w:val="003C0526"/>
    <w:rsid w:val="003C06D9"/>
    <w:rsid w:val="003C0B07"/>
    <w:rsid w:val="003C1B43"/>
    <w:rsid w:val="003C2363"/>
    <w:rsid w:val="003C2CE7"/>
    <w:rsid w:val="003C2DB8"/>
    <w:rsid w:val="003C3490"/>
    <w:rsid w:val="003C3608"/>
    <w:rsid w:val="003C3A87"/>
    <w:rsid w:val="003C3AE8"/>
    <w:rsid w:val="003C3D2C"/>
    <w:rsid w:val="003C4058"/>
    <w:rsid w:val="003C4E13"/>
    <w:rsid w:val="003C5015"/>
    <w:rsid w:val="003C53DC"/>
    <w:rsid w:val="003C58A5"/>
    <w:rsid w:val="003C6221"/>
    <w:rsid w:val="003C63D7"/>
    <w:rsid w:val="003C658F"/>
    <w:rsid w:val="003C68CC"/>
    <w:rsid w:val="003C6E3A"/>
    <w:rsid w:val="003C7E62"/>
    <w:rsid w:val="003D12B9"/>
    <w:rsid w:val="003D1B0D"/>
    <w:rsid w:val="003D1E2E"/>
    <w:rsid w:val="003D1E7A"/>
    <w:rsid w:val="003D240E"/>
    <w:rsid w:val="003D242B"/>
    <w:rsid w:val="003D2492"/>
    <w:rsid w:val="003D26DF"/>
    <w:rsid w:val="003D29AA"/>
    <w:rsid w:val="003D2A99"/>
    <w:rsid w:val="003D3525"/>
    <w:rsid w:val="003D38BE"/>
    <w:rsid w:val="003D40FC"/>
    <w:rsid w:val="003D4927"/>
    <w:rsid w:val="003D4C3C"/>
    <w:rsid w:val="003D5175"/>
    <w:rsid w:val="003D59D5"/>
    <w:rsid w:val="003D5EBF"/>
    <w:rsid w:val="003D6920"/>
    <w:rsid w:val="003D7396"/>
    <w:rsid w:val="003E0249"/>
    <w:rsid w:val="003E08A4"/>
    <w:rsid w:val="003E105C"/>
    <w:rsid w:val="003E1EF8"/>
    <w:rsid w:val="003E2754"/>
    <w:rsid w:val="003E294B"/>
    <w:rsid w:val="003E2DFB"/>
    <w:rsid w:val="003E41C6"/>
    <w:rsid w:val="003E4466"/>
    <w:rsid w:val="003E4C91"/>
    <w:rsid w:val="003E52D8"/>
    <w:rsid w:val="003E62F1"/>
    <w:rsid w:val="003E64C8"/>
    <w:rsid w:val="003E6DE2"/>
    <w:rsid w:val="003E6ED5"/>
    <w:rsid w:val="003E6F84"/>
    <w:rsid w:val="003E72FF"/>
    <w:rsid w:val="003E7B8A"/>
    <w:rsid w:val="003F0148"/>
    <w:rsid w:val="003F0F37"/>
    <w:rsid w:val="003F139A"/>
    <w:rsid w:val="003F18BB"/>
    <w:rsid w:val="003F1F13"/>
    <w:rsid w:val="003F275B"/>
    <w:rsid w:val="003F2DE7"/>
    <w:rsid w:val="003F313C"/>
    <w:rsid w:val="003F31D2"/>
    <w:rsid w:val="003F33B1"/>
    <w:rsid w:val="003F33B9"/>
    <w:rsid w:val="003F37FC"/>
    <w:rsid w:val="003F3E76"/>
    <w:rsid w:val="003F4318"/>
    <w:rsid w:val="003F4B2C"/>
    <w:rsid w:val="003F551C"/>
    <w:rsid w:val="003F5E2D"/>
    <w:rsid w:val="003F626D"/>
    <w:rsid w:val="003F6380"/>
    <w:rsid w:val="003F72ED"/>
    <w:rsid w:val="003F7793"/>
    <w:rsid w:val="003F7D23"/>
    <w:rsid w:val="00400050"/>
    <w:rsid w:val="004002C8"/>
    <w:rsid w:val="00400468"/>
    <w:rsid w:val="00400885"/>
    <w:rsid w:val="0040099D"/>
    <w:rsid w:val="00401441"/>
    <w:rsid w:val="004016CB"/>
    <w:rsid w:val="00401B23"/>
    <w:rsid w:val="00402ADB"/>
    <w:rsid w:val="00402E33"/>
    <w:rsid w:val="0040368D"/>
    <w:rsid w:val="00403BBF"/>
    <w:rsid w:val="00403D1D"/>
    <w:rsid w:val="00403F57"/>
    <w:rsid w:val="00404244"/>
    <w:rsid w:val="004042F6"/>
    <w:rsid w:val="004046BD"/>
    <w:rsid w:val="00404BAB"/>
    <w:rsid w:val="00405318"/>
    <w:rsid w:val="004059D2"/>
    <w:rsid w:val="00405DCB"/>
    <w:rsid w:val="004060C9"/>
    <w:rsid w:val="004066D0"/>
    <w:rsid w:val="00406C2E"/>
    <w:rsid w:val="00406CDA"/>
    <w:rsid w:val="00406EB0"/>
    <w:rsid w:val="00407101"/>
    <w:rsid w:val="00407711"/>
    <w:rsid w:val="00407C13"/>
    <w:rsid w:val="004103F6"/>
    <w:rsid w:val="00410638"/>
    <w:rsid w:val="00410D14"/>
    <w:rsid w:val="00410EDB"/>
    <w:rsid w:val="004115CE"/>
    <w:rsid w:val="00412511"/>
    <w:rsid w:val="004125C2"/>
    <w:rsid w:val="00412885"/>
    <w:rsid w:val="00412DFA"/>
    <w:rsid w:val="00413465"/>
    <w:rsid w:val="004140A6"/>
    <w:rsid w:val="004149AC"/>
    <w:rsid w:val="0041501E"/>
    <w:rsid w:val="00415452"/>
    <w:rsid w:val="004159C3"/>
    <w:rsid w:val="00415A57"/>
    <w:rsid w:val="00416BAF"/>
    <w:rsid w:val="00416DAC"/>
    <w:rsid w:val="00417106"/>
    <w:rsid w:val="00417997"/>
    <w:rsid w:val="00417B6C"/>
    <w:rsid w:val="00420880"/>
    <w:rsid w:val="00421179"/>
    <w:rsid w:val="004225D2"/>
    <w:rsid w:val="004225D7"/>
    <w:rsid w:val="00423623"/>
    <w:rsid w:val="004241B3"/>
    <w:rsid w:val="0042470E"/>
    <w:rsid w:val="00424E0F"/>
    <w:rsid w:val="00424E7C"/>
    <w:rsid w:val="00425352"/>
    <w:rsid w:val="00425E71"/>
    <w:rsid w:val="00426C99"/>
    <w:rsid w:val="004272BE"/>
    <w:rsid w:val="00430C96"/>
    <w:rsid w:val="0043174F"/>
    <w:rsid w:val="00431BFF"/>
    <w:rsid w:val="00431C82"/>
    <w:rsid w:val="00432199"/>
    <w:rsid w:val="00432A58"/>
    <w:rsid w:val="004331C3"/>
    <w:rsid w:val="004333DF"/>
    <w:rsid w:val="0043369F"/>
    <w:rsid w:val="004337D8"/>
    <w:rsid w:val="00433C17"/>
    <w:rsid w:val="00434171"/>
    <w:rsid w:val="00434617"/>
    <w:rsid w:val="00434DE9"/>
    <w:rsid w:val="00435051"/>
    <w:rsid w:val="00435C69"/>
    <w:rsid w:val="00435EBF"/>
    <w:rsid w:val="004360FB"/>
    <w:rsid w:val="00437CED"/>
    <w:rsid w:val="004401D0"/>
    <w:rsid w:val="004407BF"/>
    <w:rsid w:val="00440900"/>
    <w:rsid w:val="00440AC0"/>
    <w:rsid w:val="00440D2A"/>
    <w:rsid w:val="0044121D"/>
    <w:rsid w:val="00441BF6"/>
    <w:rsid w:val="00441D2B"/>
    <w:rsid w:val="00441F8B"/>
    <w:rsid w:val="00442085"/>
    <w:rsid w:val="00442136"/>
    <w:rsid w:val="0044279E"/>
    <w:rsid w:val="00442882"/>
    <w:rsid w:val="00443519"/>
    <w:rsid w:val="00443C06"/>
    <w:rsid w:val="004441A0"/>
    <w:rsid w:val="00444A2C"/>
    <w:rsid w:val="0044519E"/>
    <w:rsid w:val="00445861"/>
    <w:rsid w:val="00445A8E"/>
    <w:rsid w:val="00446D44"/>
    <w:rsid w:val="00447099"/>
    <w:rsid w:val="0045078A"/>
    <w:rsid w:val="0045086D"/>
    <w:rsid w:val="004509CE"/>
    <w:rsid w:val="00450DAB"/>
    <w:rsid w:val="0045125B"/>
    <w:rsid w:val="004519E2"/>
    <w:rsid w:val="00451E25"/>
    <w:rsid w:val="00451EF1"/>
    <w:rsid w:val="00452985"/>
    <w:rsid w:val="00452E60"/>
    <w:rsid w:val="00452FE9"/>
    <w:rsid w:val="0045321B"/>
    <w:rsid w:val="00453DDF"/>
    <w:rsid w:val="00455833"/>
    <w:rsid w:val="00456065"/>
    <w:rsid w:val="00456FB5"/>
    <w:rsid w:val="00456FE5"/>
    <w:rsid w:val="00457490"/>
    <w:rsid w:val="0045778B"/>
    <w:rsid w:val="0045786C"/>
    <w:rsid w:val="004578E9"/>
    <w:rsid w:val="00457953"/>
    <w:rsid w:val="00457F3C"/>
    <w:rsid w:val="004604D8"/>
    <w:rsid w:val="00460656"/>
    <w:rsid w:val="00460700"/>
    <w:rsid w:val="00460FB3"/>
    <w:rsid w:val="00461ED4"/>
    <w:rsid w:val="00462187"/>
    <w:rsid w:val="00463D3C"/>
    <w:rsid w:val="00464851"/>
    <w:rsid w:val="00464BF5"/>
    <w:rsid w:val="00466595"/>
    <w:rsid w:val="00466A50"/>
    <w:rsid w:val="00466B3E"/>
    <w:rsid w:val="00467174"/>
    <w:rsid w:val="0046746A"/>
    <w:rsid w:val="00467B14"/>
    <w:rsid w:val="00467F8C"/>
    <w:rsid w:val="00467FDC"/>
    <w:rsid w:val="00467FF8"/>
    <w:rsid w:val="00470235"/>
    <w:rsid w:val="004707FE"/>
    <w:rsid w:val="00470ACF"/>
    <w:rsid w:val="00470BB7"/>
    <w:rsid w:val="00470EDC"/>
    <w:rsid w:val="00472418"/>
    <w:rsid w:val="0047276D"/>
    <w:rsid w:val="00472AF6"/>
    <w:rsid w:val="004731E6"/>
    <w:rsid w:val="00473482"/>
    <w:rsid w:val="004734C8"/>
    <w:rsid w:val="00473BF0"/>
    <w:rsid w:val="00474646"/>
    <w:rsid w:val="00474A04"/>
    <w:rsid w:val="00474D39"/>
    <w:rsid w:val="00476240"/>
    <w:rsid w:val="00476439"/>
    <w:rsid w:val="00476450"/>
    <w:rsid w:val="004769BF"/>
    <w:rsid w:val="004769E1"/>
    <w:rsid w:val="00476AEE"/>
    <w:rsid w:val="0047735C"/>
    <w:rsid w:val="00477469"/>
    <w:rsid w:val="004775F8"/>
    <w:rsid w:val="004776BC"/>
    <w:rsid w:val="00477820"/>
    <w:rsid w:val="00477B96"/>
    <w:rsid w:val="00480061"/>
    <w:rsid w:val="00480802"/>
    <w:rsid w:val="004808EA"/>
    <w:rsid w:val="00480BAE"/>
    <w:rsid w:val="00480D7F"/>
    <w:rsid w:val="0048103A"/>
    <w:rsid w:val="0048139F"/>
    <w:rsid w:val="004819D1"/>
    <w:rsid w:val="00481E40"/>
    <w:rsid w:val="00481F13"/>
    <w:rsid w:val="00482047"/>
    <w:rsid w:val="00482405"/>
    <w:rsid w:val="004826A7"/>
    <w:rsid w:val="004828DA"/>
    <w:rsid w:val="0048368C"/>
    <w:rsid w:val="0048372F"/>
    <w:rsid w:val="0048399F"/>
    <w:rsid w:val="00483A0C"/>
    <w:rsid w:val="00483C6A"/>
    <w:rsid w:val="004841CC"/>
    <w:rsid w:val="00484612"/>
    <w:rsid w:val="00484ECE"/>
    <w:rsid w:val="00485366"/>
    <w:rsid w:val="004854F5"/>
    <w:rsid w:val="00485DB6"/>
    <w:rsid w:val="00485E82"/>
    <w:rsid w:val="00486132"/>
    <w:rsid w:val="00486171"/>
    <w:rsid w:val="0048686D"/>
    <w:rsid w:val="00486A4D"/>
    <w:rsid w:val="004873A9"/>
    <w:rsid w:val="00487BA1"/>
    <w:rsid w:val="004915CB"/>
    <w:rsid w:val="00491A2B"/>
    <w:rsid w:val="004924DC"/>
    <w:rsid w:val="00492879"/>
    <w:rsid w:val="00493000"/>
    <w:rsid w:val="004934E3"/>
    <w:rsid w:val="00493E85"/>
    <w:rsid w:val="00494821"/>
    <w:rsid w:val="00495145"/>
    <w:rsid w:val="0049531F"/>
    <w:rsid w:val="004979A5"/>
    <w:rsid w:val="004A0144"/>
    <w:rsid w:val="004A036E"/>
    <w:rsid w:val="004A0389"/>
    <w:rsid w:val="004A046D"/>
    <w:rsid w:val="004A0498"/>
    <w:rsid w:val="004A0620"/>
    <w:rsid w:val="004A06B0"/>
    <w:rsid w:val="004A076F"/>
    <w:rsid w:val="004A07FB"/>
    <w:rsid w:val="004A0D0E"/>
    <w:rsid w:val="004A14E4"/>
    <w:rsid w:val="004A1C12"/>
    <w:rsid w:val="004A1DD6"/>
    <w:rsid w:val="004A204E"/>
    <w:rsid w:val="004A26A5"/>
    <w:rsid w:val="004A27F0"/>
    <w:rsid w:val="004A2BFC"/>
    <w:rsid w:val="004A3212"/>
    <w:rsid w:val="004A37CD"/>
    <w:rsid w:val="004A3BE4"/>
    <w:rsid w:val="004A3E64"/>
    <w:rsid w:val="004A40D9"/>
    <w:rsid w:val="004A49A5"/>
    <w:rsid w:val="004A4C97"/>
    <w:rsid w:val="004A4EB7"/>
    <w:rsid w:val="004A4F8A"/>
    <w:rsid w:val="004A513A"/>
    <w:rsid w:val="004A52AB"/>
    <w:rsid w:val="004A5373"/>
    <w:rsid w:val="004A5494"/>
    <w:rsid w:val="004A5CBF"/>
    <w:rsid w:val="004A5D4E"/>
    <w:rsid w:val="004A61C5"/>
    <w:rsid w:val="004A62A0"/>
    <w:rsid w:val="004A77DF"/>
    <w:rsid w:val="004A7DC0"/>
    <w:rsid w:val="004A7E9A"/>
    <w:rsid w:val="004A7F11"/>
    <w:rsid w:val="004B017D"/>
    <w:rsid w:val="004B059C"/>
    <w:rsid w:val="004B1417"/>
    <w:rsid w:val="004B1627"/>
    <w:rsid w:val="004B1AB1"/>
    <w:rsid w:val="004B1F08"/>
    <w:rsid w:val="004B2B05"/>
    <w:rsid w:val="004B2C28"/>
    <w:rsid w:val="004B305C"/>
    <w:rsid w:val="004B3094"/>
    <w:rsid w:val="004B31B8"/>
    <w:rsid w:val="004B339A"/>
    <w:rsid w:val="004B3DC0"/>
    <w:rsid w:val="004B4958"/>
    <w:rsid w:val="004B4C83"/>
    <w:rsid w:val="004B53BB"/>
    <w:rsid w:val="004B55B7"/>
    <w:rsid w:val="004B564C"/>
    <w:rsid w:val="004B591D"/>
    <w:rsid w:val="004B5BFA"/>
    <w:rsid w:val="004B619E"/>
    <w:rsid w:val="004B6468"/>
    <w:rsid w:val="004B67FA"/>
    <w:rsid w:val="004B6C4C"/>
    <w:rsid w:val="004B6EF8"/>
    <w:rsid w:val="004B7125"/>
    <w:rsid w:val="004B71D4"/>
    <w:rsid w:val="004B74CA"/>
    <w:rsid w:val="004B756A"/>
    <w:rsid w:val="004B7FB1"/>
    <w:rsid w:val="004C0233"/>
    <w:rsid w:val="004C0272"/>
    <w:rsid w:val="004C0970"/>
    <w:rsid w:val="004C0A27"/>
    <w:rsid w:val="004C0B3F"/>
    <w:rsid w:val="004C0CA8"/>
    <w:rsid w:val="004C0F87"/>
    <w:rsid w:val="004C13E4"/>
    <w:rsid w:val="004C25F9"/>
    <w:rsid w:val="004C2794"/>
    <w:rsid w:val="004C2BB6"/>
    <w:rsid w:val="004C2C2D"/>
    <w:rsid w:val="004C3027"/>
    <w:rsid w:val="004C384C"/>
    <w:rsid w:val="004C3867"/>
    <w:rsid w:val="004C3CE4"/>
    <w:rsid w:val="004C3DB0"/>
    <w:rsid w:val="004C4221"/>
    <w:rsid w:val="004C439A"/>
    <w:rsid w:val="004C4720"/>
    <w:rsid w:val="004C4950"/>
    <w:rsid w:val="004C4CD0"/>
    <w:rsid w:val="004C5060"/>
    <w:rsid w:val="004C5165"/>
    <w:rsid w:val="004C589C"/>
    <w:rsid w:val="004C5AE8"/>
    <w:rsid w:val="004C6CC7"/>
    <w:rsid w:val="004C6E0E"/>
    <w:rsid w:val="004C70DC"/>
    <w:rsid w:val="004C74CC"/>
    <w:rsid w:val="004D0211"/>
    <w:rsid w:val="004D0794"/>
    <w:rsid w:val="004D148A"/>
    <w:rsid w:val="004D2D31"/>
    <w:rsid w:val="004D2E03"/>
    <w:rsid w:val="004D3296"/>
    <w:rsid w:val="004D360E"/>
    <w:rsid w:val="004D4056"/>
    <w:rsid w:val="004D483B"/>
    <w:rsid w:val="004D4CB0"/>
    <w:rsid w:val="004D4F03"/>
    <w:rsid w:val="004D5447"/>
    <w:rsid w:val="004D5B0F"/>
    <w:rsid w:val="004D6916"/>
    <w:rsid w:val="004D7385"/>
    <w:rsid w:val="004D7626"/>
    <w:rsid w:val="004D78CD"/>
    <w:rsid w:val="004E07F5"/>
    <w:rsid w:val="004E085C"/>
    <w:rsid w:val="004E12DF"/>
    <w:rsid w:val="004E1368"/>
    <w:rsid w:val="004E13D2"/>
    <w:rsid w:val="004E186A"/>
    <w:rsid w:val="004E18B0"/>
    <w:rsid w:val="004E1A40"/>
    <w:rsid w:val="004E1DB2"/>
    <w:rsid w:val="004E200A"/>
    <w:rsid w:val="004E23FC"/>
    <w:rsid w:val="004E2409"/>
    <w:rsid w:val="004E261D"/>
    <w:rsid w:val="004E3012"/>
    <w:rsid w:val="004E36C5"/>
    <w:rsid w:val="004E3901"/>
    <w:rsid w:val="004E3927"/>
    <w:rsid w:val="004E3B7F"/>
    <w:rsid w:val="004E3BC4"/>
    <w:rsid w:val="004E4882"/>
    <w:rsid w:val="004E50BF"/>
    <w:rsid w:val="004E57BF"/>
    <w:rsid w:val="004E5F41"/>
    <w:rsid w:val="004E6011"/>
    <w:rsid w:val="004E6DE6"/>
    <w:rsid w:val="004E765E"/>
    <w:rsid w:val="004E7815"/>
    <w:rsid w:val="004E79D0"/>
    <w:rsid w:val="004E7C93"/>
    <w:rsid w:val="004F06F5"/>
    <w:rsid w:val="004F0866"/>
    <w:rsid w:val="004F12A4"/>
    <w:rsid w:val="004F1557"/>
    <w:rsid w:val="004F17E7"/>
    <w:rsid w:val="004F253F"/>
    <w:rsid w:val="004F2693"/>
    <w:rsid w:val="004F33A0"/>
    <w:rsid w:val="004F3873"/>
    <w:rsid w:val="004F38A6"/>
    <w:rsid w:val="004F3BD2"/>
    <w:rsid w:val="004F3D8D"/>
    <w:rsid w:val="004F46ED"/>
    <w:rsid w:val="004F49A3"/>
    <w:rsid w:val="004F4C99"/>
    <w:rsid w:val="004F5358"/>
    <w:rsid w:val="004F5FB4"/>
    <w:rsid w:val="004F601B"/>
    <w:rsid w:val="004F6484"/>
    <w:rsid w:val="004F6539"/>
    <w:rsid w:val="004F664A"/>
    <w:rsid w:val="004F72C6"/>
    <w:rsid w:val="004F7A3B"/>
    <w:rsid w:val="004F7B9B"/>
    <w:rsid w:val="00500B90"/>
    <w:rsid w:val="0050155B"/>
    <w:rsid w:val="005036DC"/>
    <w:rsid w:val="00503D54"/>
    <w:rsid w:val="00504215"/>
    <w:rsid w:val="00504513"/>
    <w:rsid w:val="005048E2"/>
    <w:rsid w:val="00504987"/>
    <w:rsid w:val="00504EA4"/>
    <w:rsid w:val="0050586D"/>
    <w:rsid w:val="00505FC8"/>
    <w:rsid w:val="00506603"/>
    <w:rsid w:val="0050668E"/>
    <w:rsid w:val="0050689D"/>
    <w:rsid w:val="005077F5"/>
    <w:rsid w:val="00507E9B"/>
    <w:rsid w:val="005108C0"/>
    <w:rsid w:val="0051094F"/>
    <w:rsid w:val="00511217"/>
    <w:rsid w:val="00511873"/>
    <w:rsid w:val="00511BAF"/>
    <w:rsid w:val="00511EBB"/>
    <w:rsid w:val="00512461"/>
    <w:rsid w:val="00512585"/>
    <w:rsid w:val="005125B8"/>
    <w:rsid w:val="00512A2F"/>
    <w:rsid w:val="005138E7"/>
    <w:rsid w:val="00513B7E"/>
    <w:rsid w:val="00513E9D"/>
    <w:rsid w:val="0051475D"/>
    <w:rsid w:val="00514B11"/>
    <w:rsid w:val="00514BAE"/>
    <w:rsid w:val="00514D48"/>
    <w:rsid w:val="00514DED"/>
    <w:rsid w:val="00515485"/>
    <w:rsid w:val="00515AA7"/>
    <w:rsid w:val="00515BE9"/>
    <w:rsid w:val="00515C74"/>
    <w:rsid w:val="00515CEB"/>
    <w:rsid w:val="0051630F"/>
    <w:rsid w:val="00516FB5"/>
    <w:rsid w:val="00517113"/>
    <w:rsid w:val="005177ED"/>
    <w:rsid w:val="00517C20"/>
    <w:rsid w:val="0052007E"/>
    <w:rsid w:val="0052032E"/>
    <w:rsid w:val="00521CAD"/>
    <w:rsid w:val="0052200D"/>
    <w:rsid w:val="00522425"/>
    <w:rsid w:val="00522A1B"/>
    <w:rsid w:val="00522E01"/>
    <w:rsid w:val="0052337A"/>
    <w:rsid w:val="005235FD"/>
    <w:rsid w:val="00523CBE"/>
    <w:rsid w:val="00524385"/>
    <w:rsid w:val="005246BE"/>
    <w:rsid w:val="00524C43"/>
    <w:rsid w:val="0052504E"/>
    <w:rsid w:val="00525137"/>
    <w:rsid w:val="005251DD"/>
    <w:rsid w:val="00525843"/>
    <w:rsid w:val="00525A38"/>
    <w:rsid w:val="0052635B"/>
    <w:rsid w:val="0052659F"/>
    <w:rsid w:val="00526711"/>
    <w:rsid w:val="00526BE8"/>
    <w:rsid w:val="005271FB"/>
    <w:rsid w:val="0052762C"/>
    <w:rsid w:val="0052792D"/>
    <w:rsid w:val="0053012B"/>
    <w:rsid w:val="005301A6"/>
    <w:rsid w:val="00530A68"/>
    <w:rsid w:val="00530AD4"/>
    <w:rsid w:val="00530CB5"/>
    <w:rsid w:val="0053129F"/>
    <w:rsid w:val="00531C5A"/>
    <w:rsid w:val="005320D6"/>
    <w:rsid w:val="00532C8A"/>
    <w:rsid w:val="00532CE7"/>
    <w:rsid w:val="00532D8B"/>
    <w:rsid w:val="0053324C"/>
    <w:rsid w:val="00533A8D"/>
    <w:rsid w:val="00534A28"/>
    <w:rsid w:val="00535018"/>
    <w:rsid w:val="00535782"/>
    <w:rsid w:val="0053595E"/>
    <w:rsid w:val="00535DF6"/>
    <w:rsid w:val="00535EFB"/>
    <w:rsid w:val="005364EE"/>
    <w:rsid w:val="00536864"/>
    <w:rsid w:val="00537571"/>
    <w:rsid w:val="0053786B"/>
    <w:rsid w:val="00540056"/>
    <w:rsid w:val="005403FA"/>
    <w:rsid w:val="005410E2"/>
    <w:rsid w:val="00541145"/>
    <w:rsid w:val="005413E9"/>
    <w:rsid w:val="00541508"/>
    <w:rsid w:val="0054156A"/>
    <w:rsid w:val="00541AE3"/>
    <w:rsid w:val="00542011"/>
    <w:rsid w:val="00542795"/>
    <w:rsid w:val="00543000"/>
    <w:rsid w:val="00543498"/>
    <w:rsid w:val="00544011"/>
    <w:rsid w:val="00544376"/>
    <w:rsid w:val="00544BE5"/>
    <w:rsid w:val="005453A3"/>
    <w:rsid w:val="00545529"/>
    <w:rsid w:val="005455F6"/>
    <w:rsid w:val="0054582F"/>
    <w:rsid w:val="005459C3"/>
    <w:rsid w:val="00545A09"/>
    <w:rsid w:val="0054603A"/>
    <w:rsid w:val="0054632B"/>
    <w:rsid w:val="005463CF"/>
    <w:rsid w:val="00546982"/>
    <w:rsid w:val="00546FC7"/>
    <w:rsid w:val="00547D48"/>
    <w:rsid w:val="005500F9"/>
    <w:rsid w:val="00550102"/>
    <w:rsid w:val="00550160"/>
    <w:rsid w:val="00550249"/>
    <w:rsid w:val="00550540"/>
    <w:rsid w:val="00551910"/>
    <w:rsid w:val="005519E2"/>
    <w:rsid w:val="00551E16"/>
    <w:rsid w:val="005523A8"/>
    <w:rsid w:val="005525F5"/>
    <w:rsid w:val="00552F2C"/>
    <w:rsid w:val="00553A25"/>
    <w:rsid w:val="00553F4E"/>
    <w:rsid w:val="005547EB"/>
    <w:rsid w:val="00554863"/>
    <w:rsid w:val="005554C7"/>
    <w:rsid w:val="005555E0"/>
    <w:rsid w:val="0055599F"/>
    <w:rsid w:val="00556D68"/>
    <w:rsid w:val="0055707B"/>
    <w:rsid w:val="005570D6"/>
    <w:rsid w:val="0055784A"/>
    <w:rsid w:val="00557E0E"/>
    <w:rsid w:val="00557E45"/>
    <w:rsid w:val="0056056B"/>
    <w:rsid w:val="005605F3"/>
    <w:rsid w:val="00560C41"/>
    <w:rsid w:val="00560C68"/>
    <w:rsid w:val="00560CAC"/>
    <w:rsid w:val="00561639"/>
    <w:rsid w:val="00561F44"/>
    <w:rsid w:val="00562B4D"/>
    <w:rsid w:val="00562DB1"/>
    <w:rsid w:val="005636FF"/>
    <w:rsid w:val="00563EB8"/>
    <w:rsid w:val="005647BF"/>
    <w:rsid w:val="00564AF1"/>
    <w:rsid w:val="00564C19"/>
    <w:rsid w:val="005651B3"/>
    <w:rsid w:val="005655DB"/>
    <w:rsid w:val="00565E88"/>
    <w:rsid w:val="005669F6"/>
    <w:rsid w:val="00567339"/>
    <w:rsid w:val="005678EE"/>
    <w:rsid w:val="00567910"/>
    <w:rsid w:val="00570270"/>
    <w:rsid w:val="00570464"/>
    <w:rsid w:val="00570601"/>
    <w:rsid w:val="00570A34"/>
    <w:rsid w:val="00570BC3"/>
    <w:rsid w:val="0057113A"/>
    <w:rsid w:val="00571766"/>
    <w:rsid w:val="0057182A"/>
    <w:rsid w:val="00571E59"/>
    <w:rsid w:val="00572079"/>
    <w:rsid w:val="005726E2"/>
    <w:rsid w:val="005726EE"/>
    <w:rsid w:val="00572900"/>
    <w:rsid w:val="00573602"/>
    <w:rsid w:val="00573612"/>
    <w:rsid w:val="0057364B"/>
    <w:rsid w:val="00574773"/>
    <w:rsid w:val="005761E8"/>
    <w:rsid w:val="005761EC"/>
    <w:rsid w:val="005766AD"/>
    <w:rsid w:val="00576E34"/>
    <w:rsid w:val="0057727A"/>
    <w:rsid w:val="00577C07"/>
    <w:rsid w:val="00577DB1"/>
    <w:rsid w:val="00577FEB"/>
    <w:rsid w:val="0058035D"/>
    <w:rsid w:val="00580AD3"/>
    <w:rsid w:val="00580DE7"/>
    <w:rsid w:val="005810E1"/>
    <w:rsid w:val="00581680"/>
    <w:rsid w:val="005820CB"/>
    <w:rsid w:val="005820CD"/>
    <w:rsid w:val="0058276F"/>
    <w:rsid w:val="00583BDD"/>
    <w:rsid w:val="00583E52"/>
    <w:rsid w:val="00583FFD"/>
    <w:rsid w:val="00584241"/>
    <w:rsid w:val="00584252"/>
    <w:rsid w:val="005848DD"/>
    <w:rsid w:val="0058519A"/>
    <w:rsid w:val="005856BD"/>
    <w:rsid w:val="00585983"/>
    <w:rsid w:val="00585A37"/>
    <w:rsid w:val="00585BD9"/>
    <w:rsid w:val="0058658B"/>
    <w:rsid w:val="00586BCA"/>
    <w:rsid w:val="00586D16"/>
    <w:rsid w:val="00586E11"/>
    <w:rsid w:val="00587038"/>
    <w:rsid w:val="00590390"/>
    <w:rsid w:val="00590608"/>
    <w:rsid w:val="00590B28"/>
    <w:rsid w:val="005911BE"/>
    <w:rsid w:val="00591273"/>
    <w:rsid w:val="00591E9E"/>
    <w:rsid w:val="005927A4"/>
    <w:rsid w:val="005929EB"/>
    <w:rsid w:val="00592DB2"/>
    <w:rsid w:val="00593152"/>
    <w:rsid w:val="00593389"/>
    <w:rsid w:val="00593A52"/>
    <w:rsid w:val="00593FE6"/>
    <w:rsid w:val="005956A3"/>
    <w:rsid w:val="00595958"/>
    <w:rsid w:val="00595CAB"/>
    <w:rsid w:val="0059622E"/>
    <w:rsid w:val="0059696C"/>
    <w:rsid w:val="00596EAC"/>
    <w:rsid w:val="00597671"/>
    <w:rsid w:val="00597BBF"/>
    <w:rsid w:val="00597BF9"/>
    <w:rsid w:val="00597E2F"/>
    <w:rsid w:val="005A040C"/>
    <w:rsid w:val="005A0463"/>
    <w:rsid w:val="005A05DF"/>
    <w:rsid w:val="005A0948"/>
    <w:rsid w:val="005A0A03"/>
    <w:rsid w:val="005A0BB7"/>
    <w:rsid w:val="005A10F2"/>
    <w:rsid w:val="005A16C0"/>
    <w:rsid w:val="005A1B32"/>
    <w:rsid w:val="005A2156"/>
    <w:rsid w:val="005A21E0"/>
    <w:rsid w:val="005A2401"/>
    <w:rsid w:val="005A28FF"/>
    <w:rsid w:val="005A2C09"/>
    <w:rsid w:val="005A2C72"/>
    <w:rsid w:val="005A3778"/>
    <w:rsid w:val="005A37A5"/>
    <w:rsid w:val="005A37B0"/>
    <w:rsid w:val="005A3DF8"/>
    <w:rsid w:val="005A4787"/>
    <w:rsid w:val="005A5549"/>
    <w:rsid w:val="005A566A"/>
    <w:rsid w:val="005A56E0"/>
    <w:rsid w:val="005A586B"/>
    <w:rsid w:val="005A66B8"/>
    <w:rsid w:val="005A6FEE"/>
    <w:rsid w:val="005A70CA"/>
    <w:rsid w:val="005A7375"/>
    <w:rsid w:val="005A7990"/>
    <w:rsid w:val="005A7ABD"/>
    <w:rsid w:val="005A7CF8"/>
    <w:rsid w:val="005B07B3"/>
    <w:rsid w:val="005B0EDA"/>
    <w:rsid w:val="005B121D"/>
    <w:rsid w:val="005B16DB"/>
    <w:rsid w:val="005B1705"/>
    <w:rsid w:val="005B1B45"/>
    <w:rsid w:val="005B26B0"/>
    <w:rsid w:val="005B39CA"/>
    <w:rsid w:val="005B41C9"/>
    <w:rsid w:val="005B44E6"/>
    <w:rsid w:val="005B4853"/>
    <w:rsid w:val="005B4ECD"/>
    <w:rsid w:val="005B5629"/>
    <w:rsid w:val="005B591B"/>
    <w:rsid w:val="005B6768"/>
    <w:rsid w:val="005B6CA1"/>
    <w:rsid w:val="005B770C"/>
    <w:rsid w:val="005B7910"/>
    <w:rsid w:val="005C06ED"/>
    <w:rsid w:val="005C0CE1"/>
    <w:rsid w:val="005C11B8"/>
    <w:rsid w:val="005C15CC"/>
    <w:rsid w:val="005C216C"/>
    <w:rsid w:val="005C2609"/>
    <w:rsid w:val="005C2B30"/>
    <w:rsid w:val="005C3A0C"/>
    <w:rsid w:val="005C3B1F"/>
    <w:rsid w:val="005C412B"/>
    <w:rsid w:val="005C43EC"/>
    <w:rsid w:val="005C45DD"/>
    <w:rsid w:val="005C460B"/>
    <w:rsid w:val="005C4704"/>
    <w:rsid w:val="005C4CB1"/>
    <w:rsid w:val="005C4EE8"/>
    <w:rsid w:val="005C4F6D"/>
    <w:rsid w:val="005C68DA"/>
    <w:rsid w:val="005C6AE9"/>
    <w:rsid w:val="005C70AB"/>
    <w:rsid w:val="005D015C"/>
    <w:rsid w:val="005D0706"/>
    <w:rsid w:val="005D0B1D"/>
    <w:rsid w:val="005D14DD"/>
    <w:rsid w:val="005D1679"/>
    <w:rsid w:val="005D3F06"/>
    <w:rsid w:val="005D4608"/>
    <w:rsid w:val="005D47A1"/>
    <w:rsid w:val="005D47BF"/>
    <w:rsid w:val="005D4B73"/>
    <w:rsid w:val="005D533D"/>
    <w:rsid w:val="005D5544"/>
    <w:rsid w:val="005D5645"/>
    <w:rsid w:val="005D5802"/>
    <w:rsid w:val="005D5AA9"/>
    <w:rsid w:val="005D5B60"/>
    <w:rsid w:val="005D66E6"/>
    <w:rsid w:val="005D7119"/>
    <w:rsid w:val="005D76C8"/>
    <w:rsid w:val="005D7890"/>
    <w:rsid w:val="005D7AAF"/>
    <w:rsid w:val="005E026B"/>
    <w:rsid w:val="005E0C09"/>
    <w:rsid w:val="005E19C1"/>
    <w:rsid w:val="005E200E"/>
    <w:rsid w:val="005E2194"/>
    <w:rsid w:val="005E24F0"/>
    <w:rsid w:val="005E2E02"/>
    <w:rsid w:val="005E3113"/>
    <w:rsid w:val="005E343F"/>
    <w:rsid w:val="005E36FE"/>
    <w:rsid w:val="005E3F66"/>
    <w:rsid w:val="005E440B"/>
    <w:rsid w:val="005E490F"/>
    <w:rsid w:val="005E4BC9"/>
    <w:rsid w:val="005E4C45"/>
    <w:rsid w:val="005E5314"/>
    <w:rsid w:val="005E5DE7"/>
    <w:rsid w:val="005E61A1"/>
    <w:rsid w:val="005E6F6A"/>
    <w:rsid w:val="005E73E3"/>
    <w:rsid w:val="005E764D"/>
    <w:rsid w:val="005E7724"/>
    <w:rsid w:val="005E7C78"/>
    <w:rsid w:val="005E7FCA"/>
    <w:rsid w:val="005F008C"/>
    <w:rsid w:val="005F04A7"/>
    <w:rsid w:val="005F114F"/>
    <w:rsid w:val="005F121E"/>
    <w:rsid w:val="005F18C5"/>
    <w:rsid w:val="005F216C"/>
    <w:rsid w:val="005F247B"/>
    <w:rsid w:val="005F2A08"/>
    <w:rsid w:val="005F2D46"/>
    <w:rsid w:val="005F36CC"/>
    <w:rsid w:val="005F3825"/>
    <w:rsid w:val="005F3EB1"/>
    <w:rsid w:val="005F413E"/>
    <w:rsid w:val="005F466B"/>
    <w:rsid w:val="005F46D8"/>
    <w:rsid w:val="005F480F"/>
    <w:rsid w:val="005F5271"/>
    <w:rsid w:val="005F5469"/>
    <w:rsid w:val="005F63F3"/>
    <w:rsid w:val="005F66F0"/>
    <w:rsid w:val="005F6A77"/>
    <w:rsid w:val="005F6D7F"/>
    <w:rsid w:val="005F6DFE"/>
    <w:rsid w:val="005F7174"/>
    <w:rsid w:val="005F740B"/>
    <w:rsid w:val="005F7834"/>
    <w:rsid w:val="005F7AD7"/>
    <w:rsid w:val="00600DDA"/>
    <w:rsid w:val="0060120D"/>
    <w:rsid w:val="0060176B"/>
    <w:rsid w:val="006017C1"/>
    <w:rsid w:val="006017FD"/>
    <w:rsid w:val="00601ADE"/>
    <w:rsid w:val="00601EEF"/>
    <w:rsid w:val="0060255A"/>
    <w:rsid w:val="00602583"/>
    <w:rsid w:val="006026D4"/>
    <w:rsid w:val="00602998"/>
    <w:rsid w:val="00602D2B"/>
    <w:rsid w:val="00602EB3"/>
    <w:rsid w:val="006033A4"/>
    <w:rsid w:val="00603C3F"/>
    <w:rsid w:val="00603CF2"/>
    <w:rsid w:val="00603E9E"/>
    <w:rsid w:val="00604307"/>
    <w:rsid w:val="0060487F"/>
    <w:rsid w:val="0060498C"/>
    <w:rsid w:val="00604EAD"/>
    <w:rsid w:val="0060513F"/>
    <w:rsid w:val="0060587A"/>
    <w:rsid w:val="00605AEB"/>
    <w:rsid w:val="00606269"/>
    <w:rsid w:val="006065E2"/>
    <w:rsid w:val="0060694B"/>
    <w:rsid w:val="006070F7"/>
    <w:rsid w:val="00607E1D"/>
    <w:rsid w:val="00610131"/>
    <w:rsid w:val="006104FB"/>
    <w:rsid w:val="006116FF"/>
    <w:rsid w:val="0061176D"/>
    <w:rsid w:val="0061200F"/>
    <w:rsid w:val="00612756"/>
    <w:rsid w:val="00612A2F"/>
    <w:rsid w:val="00612AAE"/>
    <w:rsid w:val="00612ADD"/>
    <w:rsid w:val="00612B07"/>
    <w:rsid w:val="00612C5E"/>
    <w:rsid w:val="00612FD9"/>
    <w:rsid w:val="006131CA"/>
    <w:rsid w:val="006133DA"/>
    <w:rsid w:val="006139E0"/>
    <w:rsid w:val="00613D41"/>
    <w:rsid w:val="006147AA"/>
    <w:rsid w:val="00614D35"/>
    <w:rsid w:val="00614D60"/>
    <w:rsid w:val="006156B4"/>
    <w:rsid w:val="00615DAF"/>
    <w:rsid w:val="00615EBF"/>
    <w:rsid w:val="006160AC"/>
    <w:rsid w:val="00616254"/>
    <w:rsid w:val="00616424"/>
    <w:rsid w:val="0061672A"/>
    <w:rsid w:val="00616E05"/>
    <w:rsid w:val="00617985"/>
    <w:rsid w:val="006201BC"/>
    <w:rsid w:val="006204E0"/>
    <w:rsid w:val="00620641"/>
    <w:rsid w:val="006208EE"/>
    <w:rsid w:val="006209F8"/>
    <w:rsid w:val="00620B77"/>
    <w:rsid w:val="00620CEF"/>
    <w:rsid w:val="00621190"/>
    <w:rsid w:val="0062131B"/>
    <w:rsid w:val="00621533"/>
    <w:rsid w:val="00621E26"/>
    <w:rsid w:val="00621EDD"/>
    <w:rsid w:val="006224EA"/>
    <w:rsid w:val="0062263A"/>
    <w:rsid w:val="0062276B"/>
    <w:rsid w:val="006227DF"/>
    <w:rsid w:val="006234A0"/>
    <w:rsid w:val="006236C8"/>
    <w:rsid w:val="00624093"/>
    <w:rsid w:val="0062415E"/>
    <w:rsid w:val="00624A61"/>
    <w:rsid w:val="006252C0"/>
    <w:rsid w:val="00625A84"/>
    <w:rsid w:val="00626079"/>
    <w:rsid w:val="006268C3"/>
    <w:rsid w:val="006272C4"/>
    <w:rsid w:val="006275B5"/>
    <w:rsid w:val="00627725"/>
    <w:rsid w:val="00631698"/>
    <w:rsid w:val="0063177C"/>
    <w:rsid w:val="00631E44"/>
    <w:rsid w:val="00632280"/>
    <w:rsid w:val="0063385B"/>
    <w:rsid w:val="00634898"/>
    <w:rsid w:val="00634C57"/>
    <w:rsid w:val="00634CE7"/>
    <w:rsid w:val="006350D5"/>
    <w:rsid w:val="006350FD"/>
    <w:rsid w:val="00635EBE"/>
    <w:rsid w:val="0063642C"/>
    <w:rsid w:val="006367CA"/>
    <w:rsid w:val="006369D5"/>
    <w:rsid w:val="00636DDD"/>
    <w:rsid w:val="00636EA3"/>
    <w:rsid w:val="006376B3"/>
    <w:rsid w:val="00637858"/>
    <w:rsid w:val="00637B24"/>
    <w:rsid w:val="00637E46"/>
    <w:rsid w:val="006404A7"/>
    <w:rsid w:val="00640A38"/>
    <w:rsid w:val="00640E6B"/>
    <w:rsid w:val="006413FC"/>
    <w:rsid w:val="00641787"/>
    <w:rsid w:val="0064179B"/>
    <w:rsid w:val="00642338"/>
    <w:rsid w:val="006423CE"/>
    <w:rsid w:val="0064247B"/>
    <w:rsid w:val="00642489"/>
    <w:rsid w:val="00643D34"/>
    <w:rsid w:val="00643DFB"/>
    <w:rsid w:val="00644055"/>
    <w:rsid w:val="00644137"/>
    <w:rsid w:val="006442DB"/>
    <w:rsid w:val="006445A3"/>
    <w:rsid w:val="0064478C"/>
    <w:rsid w:val="00644867"/>
    <w:rsid w:val="0064492A"/>
    <w:rsid w:val="00644938"/>
    <w:rsid w:val="006450A3"/>
    <w:rsid w:val="00645160"/>
    <w:rsid w:val="006451E4"/>
    <w:rsid w:val="006453B2"/>
    <w:rsid w:val="0064574B"/>
    <w:rsid w:val="00645B33"/>
    <w:rsid w:val="00647D36"/>
    <w:rsid w:val="00647EDC"/>
    <w:rsid w:val="006502AB"/>
    <w:rsid w:val="0065070F"/>
    <w:rsid w:val="0065153D"/>
    <w:rsid w:val="006516CB"/>
    <w:rsid w:val="00652444"/>
    <w:rsid w:val="00652E30"/>
    <w:rsid w:val="00653BD0"/>
    <w:rsid w:val="00653D96"/>
    <w:rsid w:val="00654110"/>
    <w:rsid w:val="006544E5"/>
    <w:rsid w:val="00654605"/>
    <w:rsid w:val="00656B48"/>
    <w:rsid w:val="00656C5D"/>
    <w:rsid w:val="00656CFB"/>
    <w:rsid w:val="00656D25"/>
    <w:rsid w:val="00657077"/>
    <w:rsid w:val="00657099"/>
    <w:rsid w:val="006576BB"/>
    <w:rsid w:val="00657E87"/>
    <w:rsid w:val="006607D7"/>
    <w:rsid w:val="00660AA1"/>
    <w:rsid w:val="00660D2D"/>
    <w:rsid w:val="00660D4A"/>
    <w:rsid w:val="0066110B"/>
    <w:rsid w:val="00661C41"/>
    <w:rsid w:val="00661EC9"/>
    <w:rsid w:val="00662469"/>
    <w:rsid w:val="0066294E"/>
    <w:rsid w:val="006633C7"/>
    <w:rsid w:val="006636BD"/>
    <w:rsid w:val="0066411C"/>
    <w:rsid w:val="00664205"/>
    <w:rsid w:val="00664647"/>
    <w:rsid w:val="00664803"/>
    <w:rsid w:val="0066502F"/>
    <w:rsid w:val="006653CC"/>
    <w:rsid w:val="00665501"/>
    <w:rsid w:val="00665982"/>
    <w:rsid w:val="00665BA4"/>
    <w:rsid w:val="006660CE"/>
    <w:rsid w:val="006661C5"/>
    <w:rsid w:val="00666BF3"/>
    <w:rsid w:val="0066701F"/>
    <w:rsid w:val="006674A5"/>
    <w:rsid w:val="00667856"/>
    <w:rsid w:val="00667888"/>
    <w:rsid w:val="00667AF2"/>
    <w:rsid w:val="00667C83"/>
    <w:rsid w:val="006702E9"/>
    <w:rsid w:val="00670489"/>
    <w:rsid w:val="006710C9"/>
    <w:rsid w:val="006712D8"/>
    <w:rsid w:val="00671C2B"/>
    <w:rsid w:val="00671D85"/>
    <w:rsid w:val="00671FFC"/>
    <w:rsid w:val="006721E0"/>
    <w:rsid w:val="00672586"/>
    <w:rsid w:val="006727BC"/>
    <w:rsid w:val="00673231"/>
    <w:rsid w:val="006741CD"/>
    <w:rsid w:val="006745DF"/>
    <w:rsid w:val="00674BAC"/>
    <w:rsid w:val="00674D89"/>
    <w:rsid w:val="00674FE8"/>
    <w:rsid w:val="0067514E"/>
    <w:rsid w:val="006756C1"/>
    <w:rsid w:val="00675CB1"/>
    <w:rsid w:val="00675E37"/>
    <w:rsid w:val="0067635D"/>
    <w:rsid w:val="00676556"/>
    <w:rsid w:val="00676736"/>
    <w:rsid w:val="006769A4"/>
    <w:rsid w:val="006769C6"/>
    <w:rsid w:val="00676A86"/>
    <w:rsid w:val="00676D76"/>
    <w:rsid w:val="00676F9F"/>
    <w:rsid w:val="0067701A"/>
    <w:rsid w:val="00677385"/>
    <w:rsid w:val="00677519"/>
    <w:rsid w:val="00677591"/>
    <w:rsid w:val="00677594"/>
    <w:rsid w:val="00677FA3"/>
    <w:rsid w:val="00677FC7"/>
    <w:rsid w:val="0068032F"/>
    <w:rsid w:val="006807C7"/>
    <w:rsid w:val="006809DE"/>
    <w:rsid w:val="00680D37"/>
    <w:rsid w:val="0068174E"/>
    <w:rsid w:val="00681DCE"/>
    <w:rsid w:val="00682110"/>
    <w:rsid w:val="0068260E"/>
    <w:rsid w:val="0068316D"/>
    <w:rsid w:val="00683FEC"/>
    <w:rsid w:val="006846B3"/>
    <w:rsid w:val="006849F8"/>
    <w:rsid w:val="00684B9B"/>
    <w:rsid w:val="00684D59"/>
    <w:rsid w:val="00684E25"/>
    <w:rsid w:val="006856A4"/>
    <w:rsid w:val="006858A4"/>
    <w:rsid w:val="00685C08"/>
    <w:rsid w:val="00685C8C"/>
    <w:rsid w:val="006862C6"/>
    <w:rsid w:val="00686718"/>
    <w:rsid w:val="00686BFA"/>
    <w:rsid w:val="00686DED"/>
    <w:rsid w:val="006873FF"/>
    <w:rsid w:val="006875A0"/>
    <w:rsid w:val="006878C6"/>
    <w:rsid w:val="00687D27"/>
    <w:rsid w:val="006906C6"/>
    <w:rsid w:val="00690EAD"/>
    <w:rsid w:val="00691943"/>
    <w:rsid w:val="00691DDB"/>
    <w:rsid w:val="00692D4C"/>
    <w:rsid w:val="00693319"/>
    <w:rsid w:val="00693550"/>
    <w:rsid w:val="006935DA"/>
    <w:rsid w:val="00693F2E"/>
    <w:rsid w:val="00694622"/>
    <w:rsid w:val="00694F90"/>
    <w:rsid w:val="00695065"/>
    <w:rsid w:val="00695BEF"/>
    <w:rsid w:val="00696251"/>
    <w:rsid w:val="006966C7"/>
    <w:rsid w:val="006968C1"/>
    <w:rsid w:val="006977F6"/>
    <w:rsid w:val="00697827"/>
    <w:rsid w:val="00697A13"/>
    <w:rsid w:val="00697A4F"/>
    <w:rsid w:val="006A065C"/>
    <w:rsid w:val="006A0DD4"/>
    <w:rsid w:val="006A109C"/>
    <w:rsid w:val="006A231B"/>
    <w:rsid w:val="006A2942"/>
    <w:rsid w:val="006A3CAF"/>
    <w:rsid w:val="006A3DDC"/>
    <w:rsid w:val="006A4E91"/>
    <w:rsid w:val="006A5072"/>
    <w:rsid w:val="006A5F4B"/>
    <w:rsid w:val="006A60DC"/>
    <w:rsid w:val="006A6114"/>
    <w:rsid w:val="006A6151"/>
    <w:rsid w:val="006A6565"/>
    <w:rsid w:val="006A6BEA"/>
    <w:rsid w:val="006A7665"/>
    <w:rsid w:val="006A7691"/>
    <w:rsid w:val="006A7EE2"/>
    <w:rsid w:val="006B0402"/>
    <w:rsid w:val="006B0514"/>
    <w:rsid w:val="006B0F92"/>
    <w:rsid w:val="006B133E"/>
    <w:rsid w:val="006B1AAE"/>
    <w:rsid w:val="006B21A0"/>
    <w:rsid w:val="006B2785"/>
    <w:rsid w:val="006B27C7"/>
    <w:rsid w:val="006B2BC2"/>
    <w:rsid w:val="006B31E5"/>
    <w:rsid w:val="006B344A"/>
    <w:rsid w:val="006B5324"/>
    <w:rsid w:val="006B55A2"/>
    <w:rsid w:val="006B58C9"/>
    <w:rsid w:val="006B60ED"/>
    <w:rsid w:val="006B65B4"/>
    <w:rsid w:val="006B6CC5"/>
    <w:rsid w:val="006B6DFA"/>
    <w:rsid w:val="006B74AC"/>
    <w:rsid w:val="006B78D8"/>
    <w:rsid w:val="006B79AD"/>
    <w:rsid w:val="006B79EA"/>
    <w:rsid w:val="006B7B00"/>
    <w:rsid w:val="006B7EB2"/>
    <w:rsid w:val="006C013D"/>
    <w:rsid w:val="006C03E1"/>
    <w:rsid w:val="006C0C5D"/>
    <w:rsid w:val="006C113F"/>
    <w:rsid w:val="006C123E"/>
    <w:rsid w:val="006C15A1"/>
    <w:rsid w:val="006C1752"/>
    <w:rsid w:val="006C17CA"/>
    <w:rsid w:val="006C1984"/>
    <w:rsid w:val="006C19E6"/>
    <w:rsid w:val="006C1DDC"/>
    <w:rsid w:val="006C28CA"/>
    <w:rsid w:val="006C2BBF"/>
    <w:rsid w:val="006C2DBE"/>
    <w:rsid w:val="006C2FBD"/>
    <w:rsid w:val="006C30B9"/>
    <w:rsid w:val="006C3336"/>
    <w:rsid w:val="006C3495"/>
    <w:rsid w:val="006C3A4A"/>
    <w:rsid w:val="006C40C6"/>
    <w:rsid w:val="006C4355"/>
    <w:rsid w:val="006C4587"/>
    <w:rsid w:val="006C469D"/>
    <w:rsid w:val="006C46B5"/>
    <w:rsid w:val="006C4818"/>
    <w:rsid w:val="006C484F"/>
    <w:rsid w:val="006C52EC"/>
    <w:rsid w:val="006C5506"/>
    <w:rsid w:val="006C56D4"/>
    <w:rsid w:val="006C6272"/>
    <w:rsid w:val="006C6681"/>
    <w:rsid w:val="006C683C"/>
    <w:rsid w:val="006C6847"/>
    <w:rsid w:val="006C6924"/>
    <w:rsid w:val="006C6C1E"/>
    <w:rsid w:val="006C7076"/>
    <w:rsid w:val="006C7981"/>
    <w:rsid w:val="006C7AEC"/>
    <w:rsid w:val="006C7CA6"/>
    <w:rsid w:val="006C7E90"/>
    <w:rsid w:val="006D045E"/>
    <w:rsid w:val="006D0DE1"/>
    <w:rsid w:val="006D15D3"/>
    <w:rsid w:val="006D18B3"/>
    <w:rsid w:val="006D192C"/>
    <w:rsid w:val="006D1E89"/>
    <w:rsid w:val="006D26CE"/>
    <w:rsid w:val="006D2850"/>
    <w:rsid w:val="006D317E"/>
    <w:rsid w:val="006D388D"/>
    <w:rsid w:val="006D3E8A"/>
    <w:rsid w:val="006D4040"/>
    <w:rsid w:val="006D47D9"/>
    <w:rsid w:val="006D57A6"/>
    <w:rsid w:val="006D61F6"/>
    <w:rsid w:val="006D63B1"/>
    <w:rsid w:val="006D665F"/>
    <w:rsid w:val="006D6B1A"/>
    <w:rsid w:val="006E1081"/>
    <w:rsid w:val="006E1332"/>
    <w:rsid w:val="006E19CB"/>
    <w:rsid w:val="006E20A5"/>
    <w:rsid w:val="006E234C"/>
    <w:rsid w:val="006E279A"/>
    <w:rsid w:val="006E2A7F"/>
    <w:rsid w:val="006E313B"/>
    <w:rsid w:val="006E34B2"/>
    <w:rsid w:val="006E3A45"/>
    <w:rsid w:val="006E4078"/>
    <w:rsid w:val="006E483A"/>
    <w:rsid w:val="006E51C4"/>
    <w:rsid w:val="006E53AD"/>
    <w:rsid w:val="006E58CB"/>
    <w:rsid w:val="006E6182"/>
    <w:rsid w:val="006E6A93"/>
    <w:rsid w:val="006E6BD5"/>
    <w:rsid w:val="006E70BA"/>
    <w:rsid w:val="006E7227"/>
    <w:rsid w:val="006E7275"/>
    <w:rsid w:val="006E761A"/>
    <w:rsid w:val="006E7794"/>
    <w:rsid w:val="006E7C3B"/>
    <w:rsid w:val="006E7DB5"/>
    <w:rsid w:val="006E7F07"/>
    <w:rsid w:val="006F0646"/>
    <w:rsid w:val="006F0741"/>
    <w:rsid w:val="006F08B6"/>
    <w:rsid w:val="006F0D61"/>
    <w:rsid w:val="006F0F78"/>
    <w:rsid w:val="006F1C27"/>
    <w:rsid w:val="006F2A65"/>
    <w:rsid w:val="006F2EA1"/>
    <w:rsid w:val="006F3DD6"/>
    <w:rsid w:val="006F40DF"/>
    <w:rsid w:val="006F42BB"/>
    <w:rsid w:val="006F438E"/>
    <w:rsid w:val="006F440B"/>
    <w:rsid w:val="006F4638"/>
    <w:rsid w:val="006F48A3"/>
    <w:rsid w:val="006F4DA4"/>
    <w:rsid w:val="006F5416"/>
    <w:rsid w:val="006F564E"/>
    <w:rsid w:val="006F5929"/>
    <w:rsid w:val="006F624B"/>
    <w:rsid w:val="006F64EC"/>
    <w:rsid w:val="006F674E"/>
    <w:rsid w:val="006F6D87"/>
    <w:rsid w:val="006F6FF2"/>
    <w:rsid w:val="006F79FB"/>
    <w:rsid w:val="0070016C"/>
    <w:rsid w:val="007008A9"/>
    <w:rsid w:val="00700E8A"/>
    <w:rsid w:val="007018A4"/>
    <w:rsid w:val="007032D4"/>
    <w:rsid w:val="0070398A"/>
    <w:rsid w:val="00704D20"/>
    <w:rsid w:val="00705242"/>
    <w:rsid w:val="007055E0"/>
    <w:rsid w:val="007056ED"/>
    <w:rsid w:val="00705F4E"/>
    <w:rsid w:val="0070658E"/>
    <w:rsid w:val="007065C5"/>
    <w:rsid w:val="007068E1"/>
    <w:rsid w:val="00706AA0"/>
    <w:rsid w:val="00706AD4"/>
    <w:rsid w:val="00707150"/>
    <w:rsid w:val="007124D7"/>
    <w:rsid w:val="0071275A"/>
    <w:rsid w:val="00712C20"/>
    <w:rsid w:val="00712CD7"/>
    <w:rsid w:val="00713549"/>
    <w:rsid w:val="007140BE"/>
    <w:rsid w:val="007147AB"/>
    <w:rsid w:val="00715502"/>
    <w:rsid w:val="00715D01"/>
    <w:rsid w:val="00715E4D"/>
    <w:rsid w:val="00715F12"/>
    <w:rsid w:val="0071677A"/>
    <w:rsid w:val="00716974"/>
    <w:rsid w:val="00716F48"/>
    <w:rsid w:val="007170FB"/>
    <w:rsid w:val="00717114"/>
    <w:rsid w:val="00717127"/>
    <w:rsid w:val="0071779F"/>
    <w:rsid w:val="00717A77"/>
    <w:rsid w:val="007201A6"/>
    <w:rsid w:val="00720310"/>
    <w:rsid w:val="0072080A"/>
    <w:rsid w:val="00720D7A"/>
    <w:rsid w:val="007211F5"/>
    <w:rsid w:val="007213C3"/>
    <w:rsid w:val="00721601"/>
    <w:rsid w:val="00722777"/>
    <w:rsid w:val="00723435"/>
    <w:rsid w:val="00723436"/>
    <w:rsid w:val="007240E2"/>
    <w:rsid w:val="0072420F"/>
    <w:rsid w:val="0072454C"/>
    <w:rsid w:val="0072583E"/>
    <w:rsid w:val="00725BB5"/>
    <w:rsid w:val="00725E58"/>
    <w:rsid w:val="00726AB2"/>
    <w:rsid w:val="007278B8"/>
    <w:rsid w:val="00727C02"/>
    <w:rsid w:val="0073008E"/>
    <w:rsid w:val="00730A8B"/>
    <w:rsid w:val="00730AE8"/>
    <w:rsid w:val="00730F1B"/>
    <w:rsid w:val="0073131F"/>
    <w:rsid w:val="0073136D"/>
    <w:rsid w:val="0073186D"/>
    <w:rsid w:val="00731921"/>
    <w:rsid w:val="007320DE"/>
    <w:rsid w:val="00732344"/>
    <w:rsid w:val="0073261D"/>
    <w:rsid w:val="0073263E"/>
    <w:rsid w:val="0073333D"/>
    <w:rsid w:val="007343C9"/>
    <w:rsid w:val="007343D9"/>
    <w:rsid w:val="00734A46"/>
    <w:rsid w:val="00734F71"/>
    <w:rsid w:val="00735448"/>
    <w:rsid w:val="00736143"/>
    <w:rsid w:val="00736F07"/>
    <w:rsid w:val="007377BD"/>
    <w:rsid w:val="00737A53"/>
    <w:rsid w:val="00737DEC"/>
    <w:rsid w:val="0074004D"/>
    <w:rsid w:val="0074121F"/>
    <w:rsid w:val="007413E4"/>
    <w:rsid w:val="00741493"/>
    <w:rsid w:val="00741F2A"/>
    <w:rsid w:val="007434E5"/>
    <w:rsid w:val="00743884"/>
    <w:rsid w:val="007445B4"/>
    <w:rsid w:val="007448A7"/>
    <w:rsid w:val="0074499B"/>
    <w:rsid w:val="007449D6"/>
    <w:rsid w:val="0074501E"/>
    <w:rsid w:val="007450BF"/>
    <w:rsid w:val="0074598E"/>
    <w:rsid w:val="0074599A"/>
    <w:rsid w:val="007463DA"/>
    <w:rsid w:val="00746EE5"/>
    <w:rsid w:val="00746F45"/>
    <w:rsid w:val="007471A1"/>
    <w:rsid w:val="007477BD"/>
    <w:rsid w:val="007477DA"/>
    <w:rsid w:val="007479D0"/>
    <w:rsid w:val="00747EE9"/>
    <w:rsid w:val="007507E8"/>
    <w:rsid w:val="00750B95"/>
    <w:rsid w:val="00751676"/>
    <w:rsid w:val="007520B6"/>
    <w:rsid w:val="00752180"/>
    <w:rsid w:val="00752323"/>
    <w:rsid w:val="0075325D"/>
    <w:rsid w:val="00753270"/>
    <w:rsid w:val="007532B7"/>
    <w:rsid w:val="00753CAB"/>
    <w:rsid w:val="007548B1"/>
    <w:rsid w:val="00754A70"/>
    <w:rsid w:val="00754BC9"/>
    <w:rsid w:val="00755202"/>
    <w:rsid w:val="0075554A"/>
    <w:rsid w:val="00755D3A"/>
    <w:rsid w:val="00756F00"/>
    <w:rsid w:val="00757241"/>
    <w:rsid w:val="0075751D"/>
    <w:rsid w:val="0075763E"/>
    <w:rsid w:val="007578D3"/>
    <w:rsid w:val="00757CC1"/>
    <w:rsid w:val="007602CF"/>
    <w:rsid w:val="00760391"/>
    <w:rsid w:val="007609C6"/>
    <w:rsid w:val="007615F3"/>
    <w:rsid w:val="0076175D"/>
    <w:rsid w:val="00761CB5"/>
    <w:rsid w:val="00762978"/>
    <w:rsid w:val="007629D5"/>
    <w:rsid w:val="00763534"/>
    <w:rsid w:val="007635F8"/>
    <w:rsid w:val="00763A88"/>
    <w:rsid w:val="00763B36"/>
    <w:rsid w:val="00763B85"/>
    <w:rsid w:val="00763C57"/>
    <w:rsid w:val="00763D45"/>
    <w:rsid w:val="00764423"/>
    <w:rsid w:val="007644A2"/>
    <w:rsid w:val="00764974"/>
    <w:rsid w:val="00764D18"/>
    <w:rsid w:val="00764E6D"/>
    <w:rsid w:val="007651DB"/>
    <w:rsid w:val="0076521E"/>
    <w:rsid w:val="00765222"/>
    <w:rsid w:val="0076579C"/>
    <w:rsid w:val="00765887"/>
    <w:rsid w:val="00765928"/>
    <w:rsid w:val="00765964"/>
    <w:rsid w:val="00765BCC"/>
    <w:rsid w:val="0076600D"/>
    <w:rsid w:val="007661E9"/>
    <w:rsid w:val="00766460"/>
    <w:rsid w:val="0076692D"/>
    <w:rsid w:val="00766A34"/>
    <w:rsid w:val="00767062"/>
    <w:rsid w:val="00767601"/>
    <w:rsid w:val="00767629"/>
    <w:rsid w:val="00767777"/>
    <w:rsid w:val="0076789E"/>
    <w:rsid w:val="00767933"/>
    <w:rsid w:val="00770AB9"/>
    <w:rsid w:val="00770CFC"/>
    <w:rsid w:val="0077130E"/>
    <w:rsid w:val="007713A6"/>
    <w:rsid w:val="007715EE"/>
    <w:rsid w:val="007718D7"/>
    <w:rsid w:val="00771972"/>
    <w:rsid w:val="00771AC5"/>
    <w:rsid w:val="00772279"/>
    <w:rsid w:val="00772DAB"/>
    <w:rsid w:val="00772FF9"/>
    <w:rsid w:val="0077348B"/>
    <w:rsid w:val="00773E63"/>
    <w:rsid w:val="007743DB"/>
    <w:rsid w:val="00774430"/>
    <w:rsid w:val="00774D2C"/>
    <w:rsid w:val="00775327"/>
    <w:rsid w:val="00775E00"/>
    <w:rsid w:val="0077605B"/>
    <w:rsid w:val="00776169"/>
    <w:rsid w:val="007763D0"/>
    <w:rsid w:val="00776527"/>
    <w:rsid w:val="00776858"/>
    <w:rsid w:val="00776ED7"/>
    <w:rsid w:val="00777040"/>
    <w:rsid w:val="00777815"/>
    <w:rsid w:val="00777CE6"/>
    <w:rsid w:val="00777D57"/>
    <w:rsid w:val="0078042D"/>
    <w:rsid w:val="00780BF0"/>
    <w:rsid w:val="00780EF1"/>
    <w:rsid w:val="00780FDA"/>
    <w:rsid w:val="00781A91"/>
    <w:rsid w:val="00781AD3"/>
    <w:rsid w:val="00781F36"/>
    <w:rsid w:val="00783576"/>
    <w:rsid w:val="00784980"/>
    <w:rsid w:val="0078539D"/>
    <w:rsid w:val="007853FD"/>
    <w:rsid w:val="00785778"/>
    <w:rsid w:val="0078653D"/>
    <w:rsid w:val="00786C87"/>
    <w:rsid w:val="0078755E"/>
    <w:rsid w:val="007877C9"/>
    <w:rsid w:val="007903EA"/>
    <w:rsid w:val="00790408"/>
    <w:rsid w:val="00790764"/>
    <w:rsid w:val="00790781"/>
    <w:rsid w:val="0079085F"/>
    <w:rsid w:val="00790B2B"/>
    <w:rsid w:val="00790E96"/>
    <w:rsid w:val="00791005"/>
    <w:rsid w:val="00791D9E"/>
    <w:rsid w:val="007923FF"/>
    <w:rsid w:val="00792596"/>
    <w:rsid w:val="00793684"/>
    <w:rsid w:val="00793776"/>
    <w:rsid w:val="00793C8D"/>
    <w:rsid w:val="00793D78"/>
    <w:rsid w:val="0079420B"/>
    <w:rsid w:val="0079453C"/>
    <w:rsid w:val="00794677"/>
    <w:rsid w:val="0079495C"/>
    <w:rsid w:val="00794FFF"/>
    <w:rsid w:val="0079505F"/>
    <w:rsid w:val="00795759"/>
    <w:rsid w:val="00795C85"/>
    <w:rsid w:val="00796993"/>
    <w:rsid w:val="00796F41"/>
    <w:rsid w:val="00797767"/>
    <w:rsid w:val="007A0358"/>
    <w:rsid w:val="007A0AB6"/>
    <w:rsid w:val="007A0B5E"/>
    <w:rsid w:val="007A170B"/>
    <w:rsid w:val="007A1D5E"/>
    <w:rsid w:val="007A20EB"/>
    <w:rsid w:val="007A22D4"/>
    <w:rsid w:val="007A282C"/>
    <w:rsid w:val="007A293C"/>
    <w:rsid w:val="007A2A3A"/>
    <w:rsid w:val="007A3108"/>
    <w:rsid w:val="007A33E2"/>
    <w:rsid w:val="007A3AEA"/>
    <w:rsid w:val="007A3C7D"/>
    <w:rsid w:val="007A3CAF"/>
    <w:rsid w:val="007A3DF9"/>
    <w:rsid w:val="007A4664"/>
    <w:rsid w:val="007A4782"/>
    <w:rsid w:val="007A516D"/>
    <w:rsid w:val="007A5E65"/>
    <w:rsid w:val="007A65E1"/>
    <w:rsid w:val="007A6A6E"/>
    <w:rsid w:val="007A6AAA"/>
    <w:rsid w:val="007A7033"/>
    <w:rsid w:val="007A74C1"/>
    <w:rsid w:val="007A775D"/>
    <w:rsid w:val="007B04B0"/>
    <w:rsid w:val="007B0834"/>
    <w:rsid w:val="007B0D2A"/>
    <w:rsid w:val="007B0E83"/>
    <w:rsid w:val="007B112A"/>
    <w:rsid w:val="007B11FA"/>
    <w:rsid w:val="007B1396"/>
    <w:rsid w:val="007B168D"/>
    <w:rsid w:val="007B16D6"/>
    <w:rsid w:val="007B1D1B"/>
    <w:rsid w:val="007B2011"/>
    <w:rsid w:val="007B2CFE"/>
    <w:rsid w:val="007B309B"/>
    <w:rsid w:val="007B3D5E"/>
    <w:rsid w:val="007B3DCB"/>
    <w:rsid w:val="007B4C01"/>
    <w:rsid w:val="007B4EA5"/>
    <w:rsid w:val="007B530A"/>
    <w:rsid w:val="007B54AE"/>
    <w:rsid w:val="007B5725"/>
    <w:rsid w:val="007B5B4F"/>
    <w:rsid w:val="007B5C1F"/>
    <w:rsid w:val="007B5D71"/>
    <w:rsid w:val="007B6689"/>
    <w:rsid w:val="007B6747"/>
    <w:rsid w:val="007B6F72"/>
    <w:rsid w:val="007B72A4"/>
    <w:rsid w:val="007B72F7"/>
    <w:rsid w:val="007B74AA"/>
    <w:rsid w:val="007C091B"/>
    <w:rsid w:val="007C10BD"/>
    <w:rsid w:val="007C162D"/>
    <w:rsid w:val="007C1A03"/>
    <w:rsid w:val="007C1B8B"/>
    <w:rsid w:val="007C1F0C"/>
    <w:rsid w:val="007C1FFB"/>
    <w:rsid w:val="007C2D94"/>
    <w:rsid w:val="007C382F"/>
    <w:rsid w:val="007C3BF7"/>
    <w:rsid w:val="007C4281"/>
    <w:rsid w:val="007C43A7"/>
    <w:rsid w:val="007C4A6B"/>
    <w:rsid w:val="007C4B3E"/>
    <w:rsid w:val="007C5055"/>
    <w:rsid w:val="007C5F92"/>
    <w:rsid w:val="007C6002"/>
    <w:rsid w:val="007C6227"/>
    <w:rsid w:val="007C64F7"/>
    <w:rsid w:val="007C6A5C"/>
    <w:rsid w:val="007C6BBD"/>
    <w:rsid w:val="007C6D89"/>
    <w:rsid w:val="007C6F5E"/>
    <w:rsid w:val="007D0382"/>
    <w:rsid w:val="007D0F6B"/>
    <w:rsid w:val="007D1467"/>
    <w:rsid w:val="007D14FE"/>
    <w:rsid w:val="007D1627"/>
    <w:rsid w:val="007D1A1F"/>
    <w:rsid w:val="007D1A29"/>
    <w:rsid w:val="007D213B"/>
    <w:rsid w:val="007D2783"/>
    <w:rsid w:val="007D2E18"/>
    <w:rsid w:val="007D3EF3"/>
    <w:rsid w:val="007D40DF"/>
    <w:rsid w:val="007D42E5"/>
    <w:rsid w:val="007D4458"/>
    <w:rsid w:val="007D58BD"/>
    <w:rsid w:val="007D61BF"/>
    <w:rsid w:val="007D6851"/>
    <w:rsid w:val="007D6861"/>
    <w:rsid w:val="007D6AF9"/>
    <w:rsid w:val="007D7763"/>
    <w:rsid w:val="007E0535"/>
    <w:rsid w:val="007E07F2"/>
    <w:rsid w:val="007E0D4A"/>
    <w:rsid w:val="007E0F2A"/>
    <w:rsid w:val="007E1443"/>
    <w:rsid w:val="007E15E3"/>
    <w:rsid w:val="007E1788"/>
    <w:rsid w:val="007E1EE3"/>
    <w:rsid w:val="007E29B4"/>
    <w:rsid w:val="007E2F12"/>
    <w:rsid w:val="007E3627"/>
    <w:rsid w:val="007E435A"/>
    <w:rsid w:val="007E445C"/>
    <w:rsid w:val="007E49F7"/>
    <w:rsid w:val="007E4AF6"/>
    <w:rsid w:val="007E4C70"/>
    <w:rsid w:val="007E4FF4"/>
    <w:rsid w:val="007E5149"/>
    <w:rsid w:val="007E5815"/>
    <w:rsid w:val="007E5B5F"/>
    <w:rsid w:val="007E5FFD"/>
    <w:rsid w:val="007E69C6"/>
    <w:rsid w:val="007E6F9A"/>
    <w:rsid w:val="007E713A"/>
    <w:rsid w:val="007E78B6"/>
    <w:rsid w:val="007E7978"/>
    <w:rsid w:val="007E7E61"/>
    <w:rsid w:val="007F0845"/>
    <w:rsid w:val="007F0873"/>
    <w:rsid w:val="007F0DFD"/>
    <w:rsid w:val="007F0E1D"/>
    <w:rsid w:val="007F1D62"/>
    <w:rsid w:val="007F20F3"/>
    <w:rsid w:val="007F2353"/>
    <w:rsid w:val="007F2390"/>
    <w:rsid w:val="007F2456"/>
    <w:rsid w:val="007F2CAC"/>
    <w:rsid w:val="007F3AB3"/>
    <w:rsid w:val="007F3CB6"/>
    <w:rsid w:val="007F452F"/>
    <w:rsid w:val="007F4740"/>
    <w:rsid w:val="007F5691"/>
    <w:rsid w:val="007F595A"/>
    <w:rsid w:val="007F5C38"/>
    <w:rsid w:val="007F708D"/>
    <w:rsid w:val="007F7E3F"/>
    <w:rsid w:val="007F7E65"/>
    <w:rsid w:val="008006B3"/>
    <w:rsid w:val="00800B63"/>
    <w:rsid w:val="0080158A"/>
    <w:rsid w:val="008015FF"/>
    <w:rsid w:val="00801AD3"/>
    <w:rsid w:val="00801D2D"/>
    <w:rsid w:val="00801E13"/>
    <w:rsid w:val="00803008"/>
    <w:rsid w:val="00803069"/>
    <w:rsid w:val="0080346B"/>
    <w:rsid w:val="008037A0"/>
    <w:rsid w:val="00803B5C"/>
    <w:rsid w:val="00803BDB"/>
    <w:rsid w:val="00804155"/>
    <w:rsid w:val="00804C9F"/>
    <w:rsid w:val="0080524F"/>
    <w:rsid w:val="0080559E"/>
    <w:rsid w:val="00805920"/>
    <w:rsid w:val="00805928"/>
    <w:rsid w:val="00805AF3"/>
    <w:rsid w:val="008065B0"/>
    <w:rsid w:val="00806C9C"/>
    <w:rsid w:val="008071B1"/>
    <w:rsid w:val="0080734C"/>
    <w:rsid w:val="00807C82"/>
    <w:rsid w:val="008100EB"/>
    <w:rsid w:val="008107EE"/>
    <w:rsid w:val="008117CC"/>
    <w:rsid w:val="00811FF8"/>
    <w:rsid w:val="008120E1"/>
    <w:rsid w:val="00812E3E"/>
    <w:rsid w:val="00812F19"/>
    <w:rsid w:val="0081398C"/>
    <w:rsid w:val="00813D58"/>
    <w:rsid w:val="00813DCA"/>
    <w:rsid w:val="008140E8"/>
    <w:rsid w:val="00815A7D"/>
    <w:rsid w:val="008161A6"/>
    <w:rsid w:val="0081621D"/>
    <w:rsid w:val="008165B8"/>
    <w:rsid w:val="00816905"/>
    <w:rsid w:val="00816D98"/>
    <w:rsid w:val="00816E42"/>
    <w:rsid w:val="00816FCB"/>
    <w:rsid w:val="00817040"/>
    <w:rsid w:val="00817106"/>
    <w:rsid w:val="008172FC"/>
    <w:rsid w:val="00817A17"/>
    <w:rsid w:val="00817EC1"/>
    <w:rsid w:val="0082112D"/>
    <w:rsid w:val="0082113D"/>
    <w:rsid w:val="0082143A"/>
    <w:rsid w:val="00821624"/>
    <w:rsid w:val="00821A86"/>
    <w:rsid w:val="00821FF6"/>
    <w:rsid w:val="008222A7"/>
    <w:rsid w:val="00822574"/>
    <w:rsid w:val="00822738"/>
    <w:rsid w:val="00822980"/>
    <w:rsid w:val="00822F08"/>
    <w:rsid w:val="008246D7"/>
    <w:rsid w:val="008249A7"/>
    <w:rsid w:val="00824BA6"/>
    <w:rsid w:val="00825007"/>
    <w:rsid w:val="00825120"/>
    <w:rsid w:val="00825C4D"/>
    <w:rsid w:val="00826A08"/>
    <w:rsid w:val="00826AC0"/>
    <w:rsid w:val="00826D45"/>
    <w:rsid w:val="00827186"/>
    <w:rsid w:val="00827C8E"/>
    <w:rsid w:val="00830569"/>
    <w:rsid w:val="00830834"/>
    <w:rsid w:val="00830AEA"/>
    <w:rsid w:val="00830E86"/>
    <w:rsid w:val="0083143E"/>
    <w:rsid w:val="008315B8"/>
    <w:rsid w:val="008315D5"/>
    <w:rsid w:val="00831809"/>
    <w:rsid w:val="008318E5"/>
    <w:rsid w:val="00831CDE"/>
    <w:rsid w:val="00831F2B"/>
    <w:rsid w:val="008320C2"/>
    <w:rsid w:val="008320CF"/>
    <w:rsid w:val="008324A3"/>
    <w:rsid w:val="00832600"/>
    <w:rsid w:val="00832F77"/>
    <w:rsid w:val="0083324F"/>
    <w:rsid w:val="008332D0"/>
    <w:rsid w:val="008333AF"/>
    <w:rsid w:val="0083349E"/>
    <w:rsid w:val="00833FD6"/>
    <w:rsid w:val="00834131"/>
    <w:rsid w:val="00834304"/>
    <w:rsid w:val="008343CE"/>
    <w:rsid w:val="0083471A"/>
    <w:rsid w:val="00834E25"/>
    <w:rsid w:val="00834FAA"/>
    <w:rsid w:val="008351FE"/>
    <w:rsid w:val="00835495"/>
    <w:rsid w:val="008354FB"/>
    <w:rsid w:val="00835EC8"/>
    <w:rsid w:val="00835FF1"/>
    <w:rsid w:val="00836065"/>
    <w:rsid w:val="00836086"/>
    <w:rsid w:val="00836243"/>
    <w:rsid w:val="0083630F"/>
    <w:rsid w:val="00836A06"/>
    <w:rsid w:val="008374BC"/>
    <w:rsid w:val="00837652"/>
    <w:rsid w:val="008379D6"/>
    <w:rsid w:val="00837E48"/>
    <w:rsid w:val="00840013"/>
    <w:rsid w:val="00840293"/>
    <w:rsid w:val="008402AD"/>
    <w:rsid w:val="008408D4"/>
    <w:rsid w:val="00840F9E"/>
    <w:rsid w:val="008417B5"/>
    <w:rsid w:val="00841901"/>
    <w:rsid w:val="00841C64"/>
    <w:rsid w:val="0084327A"/>
    <w:rsid w:val="00844D5B"/>
    <w:rsid w:val="0084535F"/>
    <w:rsid w:val="008458BD"/>
    <w:rsid w:val="00846121"/>
    <w:rsid w:val="008461C2"/>
    <w:rsid w:val="008462F1"/>
    <w:rsid w:val="008466C6"/>
    <w:rsid w:val="00846B51"/>
    <w:rsid w:val="0084708F"/>
    <w:rsid w:val="008477C8"/>
    <w:rsid w:val="008478A6"/>
    <w:rsid w:val="008502F6"/>
    <w:rsid w:val="0085036C"/>
    <w:rsid w:val="008504EE"/>
    <w:rsid w:val="00850B02"/>
    <w:rsid w:val="00850E83"/>
    <w:rsid w:val="0085114D"/>
    <w:rsid w:val="00851163"/>
    <w:rsid w:val="008520A8"/>
    <w:rsid w:val="00852217"/>
    <w:rsid w:val="00852B5E"/>
    <w:rsid w:val="00852BA8"/>
    <w:rsid w:val="00853282"/>
    <w:rsid w:val="0085334C"/>
    <w:rsid w:val="00853717"/>
    <w:rsid w:val="008539B9"/>
    <w:rsid w:val="00854291"/>
    <w:rsid w:val="008544E8"/>
    <w:rsid w:val="00854F32"/>
    <w:rsid w:val="00855408"/>
    <w:rsid w:val="00855D03"/>
    <w:rsid w:val="00856D65"/>
    <w:rsid w:val="00856FA4"/>
    <w:rsid w:val="00857701"/>
    <w:rsid w:val="00857995"/>
    <w:rsid w:val="00860967"/>
    <w:rsid w:val="00860D79"/>
    <w:rsid w:val="00861B41"/>
    <w:rsid w:val="00861B9F"/>
    <w:rsid w:val="00861BE3"/>
    <w:rsid w:val="00861DA8"/>
    <w:rsid w:val="00861EB6"/>
    <w:rsid w:val="008624BC"/>
    <w:rsid w:val="008625D3"/>
    <w:rsid w:val="00862C0A"/>
    <w:rsid w:val="00862D2B"/>
    <w:rsid w:val="00863270"/>
    <w:rsid w:val="00863434"/>
    <w:rsid w:val="0086344F"/>
    <w:rsid w:val="00863F9E"/>
    <w:rsid w:val="008641AC"/>
    <w:rsid w:val="00864EFE"/>
    <w:rsid w:val="00865794"/>
    <w:rsid w:val="00865E4C"/>
    <w:rsid w:val="00865ED4"/>
    <w:rsid w:val="00866074"/>
    <w:rsid w:val="00867546"/>
    <w:rsid w:val="0086796D"/>
    <w:rsid w:val="00867DAB"/>
    <w:rsid w:val="00867EE9"/>
    <w:rsid w:val="0087000B"/>
    <w:rsid w:val="008701E4"/>
    <w:rsid w:val="00870329"/>
    <w:rsid w:val="008704E9"/>
    <w:rsid w:val="00870509"/>
    <w:rsid w:val="008705FB"/>
    <w:rsid w:val="00870BBE"/>
    <w:rsid w:val="00870ECD"/>
    <w:rsid w:val="00871F67"/>
    <w:rsid w:val="00872E59"/>
    <w:rsid w:val="00872F4B"/>
    <w:rsid w:val="0087347C"/>
    <w:rsid w:val="008734E7"/>
    <w:rsid w:val="0087368D"/>
    <w:rsid w:val="00873F9E"/>
    <w:rsid w:val="008740CC"/>
    <w:rsid w:val="0087442A"/>
    <w:rsid w:val="00874578"/>
    <w:rsid w:val="00874C72"/>
    <w:rsid w:val="00874FE8"/>
    <w:rsid w:val="00875A32"/>
    <w:rsid w:val="00875AA2"/>
    <w:rsid w:val="00875CC1"/>
    <w:rsid w:val="00876086"/>
    <w:rsid w:val="0087650D"/>
    <w:rsid w:val="00876651"/>
    <w:rsid w:val="00876E83"/>
    <w:rsid w:val="00877216"/>
    <w:rsid w:val="0087722C"/>
    <w:rsid w:val="008772BC"/>
    <w:rsid w:val="00877DEF"/>
    <w:rsid w:val="00880001"/>
    <w:rsid w:val="00880523"/>
    <w:rsid w:val="008808F6"/>
    <w:rsid w:val="00880A0E"/>
    <w:rsid w:val="008817FE"/>
    <w:rsid w:val="00881CD7"/>
    <w:rsid w:val="00882911"/>
    <w:rsid w:val="00882EEB"/>
    <w:rsid w:val="00882F6E"/>
    <w:rsid w:val="008831BD"/>
    <w:rsid w:val="00883202"/>
    <w:rsid w:val="008833D6"/>
    <w:rsid w:val="00883FF0"/>
    <w:rsid w:val="00884E02"/>
    <w:rsid w:val="0088502B"/>
    <w:rsid w:val="0088588B"/>
    <w:rsid w:val="00885D40"/>
    <w:rsid w:val="0088679E"/>
    <w:rsid w:val="00886B1E"/>
    <w:rsid w:val="008873D4"/>
    <w:rsid w:val="008902A5"/>
    <w:rsid w:val="00890CB1"/>
    <w:rsid w:val="008915C7"/>
    <w:rsid w:val="00891EDF"/>
    <w:rsid w:val="00892872"/>
    <w:rsid w:val="0089296D"/>
    <w:rsid w:val="00893E85"/>
    <w:rsid w:val="00893EBE"/>
    <w:rsid w:val="00894031"/>
    <w:rsid w:val="00894C5D"/>
    <w:rsid w:val="00894F4F"/>
    <w:rsid w:val="00895508"/>
    <w:rsid w:val="00895797"/>
    <w:rsid w:val="00895CB0"/>
    <w:rsid w:val="008967E9"/>
    <w:rsid w:val="00896A5C"/>
    <w:rsid w:val="00896ECF"/>
    <w:rsid w:val="00897155"/>
    <w:rsid w:val="008972D2"/>
    <w:rsid w:val="0089754C"/>
    <w:rsid w:val="00897CFA"/>
    <w:rsid w:val="008A0367"/>
    <w:rsid w:val="008A0659"/>
    <w:rsid w:val="008A0A58"/>
    <w:rsid w:val="008A0ADD"/>
    <w:rsid w:val="008A0D27"/>
    <w:rsid w:val="008A1543"/>
    <w:rsid w:val="008A1C59"/>
    <w:rsid w:val="008A1FFE"/>
    <w:rsid w:val="008A2254"/>
    <w:rsid w:val="008A37E2"/>
    <w:rsid w:val="008A388E"/>
    <w:rsid w:val="008A394E"/>
    <w:rsid w:val="008A3CBA"/>
    <w:rsid w:val="008A428D"/>
    <w:rsid w:val="008A4B59"/>
    <w:rsid w:val="008A63E1"/>
    <w:rsid w:val="008A66B7"/>
    <w:rsid w:val="008A68BB"/>
    <w:rsid w:val="008A6AA5"/>
    <w:rsid w:val="008A7127"/>
    <w:rsid w:val="008A737C"/>
    <w:rsid w:val="008A77C8"/>
    <w:rsid w:val="008B0781"/>
    <w:rsid w:val="008B0CBA"/>
    <w:rsid w:val="008B17C8"/>
    <w:rsid w:val="008B1850"/>
    <w:rsid w:val="008B2639"/>
    <w:rsid w:val="008B3454"/>
    <w:rsid w:val="008B3537"/>
    <w:rsid w:val="008B35C1"/>
    <w:rsid w:val="008B3690"/>
    <w:rsid w:val="008B3A80"/>
    <w:rsid w:val="008B3AEC"/>
    <w:rsid w:val="008B3C07"/>
    <w:rsid w:val="008B3C6E"/>
    <w:rsid w:val="008B3E7A"/>
    <w:rsid w:val="008B3F7B"/>
    <w:rsid w:val="008B43CA"/>
    <w:rsid w:val="008B4B38"/>
    <w:rsid w:val="008B5324"/>
    <w:rsid w:val="008B5C99"/>
    <w:rsid w:val="008B6106"/>
    <w:rsid w:val="008B6241"/>
    <w:rsid w:val="008B64BF"/>
    <w:rsid w:val="008B6605"/>
    <w:rsid w:val="008B66C9"/>
    <w:rsid w:val="008B6EBD"/>
    <w:rsid w:val="008B71F2"/>
    <w:rsid w:val="008B7C02"/>
    <w:rsid w:val="008B7D2B"/>
    <w:rsid w:val="008B7EF9"/>
    <w:rsid w:val="008C0049"/>
    <w:rsid w:val="008C025A"/>
    <w:rsid w:val="008C0314"/>
    <w:rsid w:val="008C0E88"/>
    <w:rsid w:val="008C0EBE"/>
    <w:rsid w:val="008C1717"/>
    <w:rsid w:val="008C17F0"/>
    <w:rsid w:val="008C2B57"/>
    <w:rsid w:val="008C32AE"/>
    <w:rsid w:val="008C3A32"/>
    <w:rsid w:val="008C3B05"/>
    <w:rsid w:val="008C3FCC"/>
    <w:rsid w:val="008C43B6"/>
    <w:rsid w:val="008C4B4D"/>
    <w:rsid w:val="008C4B50"/>
    <w:rsid w:val="008C5A37"/>
    <w:rsid w:val="008C5AA7"/>
    <w:rsid w:val="008C5BD3"/>
    <w:rsid w:val="008C5DD4"/>
    <w:rsid w:val="008C652D"/>
    <w:rsid w:val="008C7569"/>
    <w:rsid w:val="008C79C3"/>
    <w:rsid w:val="008D006F"/>
    <w:rsid w:val="008D033D"/>
    <w:rsid w:val="008D0344"/>
    <w:rsid w:val="008D06A2"/>
    <w:rsid w:val="008D0DBD"/>
    <w:rsid w:val="008D0F76"/>
    <w:rsid w:val="008D117E"/>
    <w:rsid w:val="008D127E"/>
    <w:rsid w:val="008D1956"/>
    <w:rsid w:val="008D1CA8"/>
    <w:rsid w:val="008D1E0A"/>
    <w:rsid w:val="008D1E6A"/>
    <w:rsid w:val="008D1EE4"/>
    <w:rsid w:val="008D1F3D"/>
    <w:rsid w:val="008D2407"/>
    <w:rsid w:val="008D2A16"/>
    <w:rsid w:val="008D2AEC"/>
    <w:rsid w:val="008D3295"/>
    <w:rsid w:val="008D3384"/>
    <w:rsid w:val="008D33F5"/>
    <w:rsid w:val="008D35E4"/>
    <w:rsid w:val="008D3611"/>
    <w:rsid w:val="008D3ACD"/>
    <w:rsid w:val="008D4172"/>
    <w:rsid w:val="008D52AA"/>
    <w:rsid w:val="008D5D64"/>
    <w:rsid w:val="008D6C3A"/>
    <w:rsid w:val="008D6FA1"/>
    <w:rsid w:val="008D70E2"/>
    <w:rsid w:val="008D7F47"/>
    <w:rsid w:val="008E0001"/>
    <w:rsid w:val="008E039E"/>
    <w:rsid w:val="008E07C9"/>
    <w:rsid w:val="008E0C45"/>
    <w:rsid w:val="008E192B"/>
    <w:rsid w:val="008E2842"/>
    <w:rsid w:val="008E292B"/>
    <w:rsid w:val="008E2C57"/>
    <w:rsid w:val="008E2C6F"/>
    <w:rsid w:val="008E31FF"/>
    <w:rsid w:val="008E3287"/>
    <w:rsid w:val="008E38E4"/>
    <w:rsid w:val="008E3DFA"/>
    <w:rsid w:val="008E419B"/>
    <w:rsid w:val="008E488D"/>
    <w:rsid w:val="008E51EB"/>
    <w:rsid w:val="008E5746"/>
    <w:rsid w:val="008E5E8E"/>
    <w:rsid w:val="008E64D7"/>
    <w:rsid w:val="008E68DF"/>
    <w:rsid w:val="008E6DCB"/>
    <w:rsid w:val="008E6E5D"/>
    <w:rsid w:val="008E6F06"/>
    <w:rsid w:val="008E7000"/>
    <w:rsid w:val="008E723E"/>
    <w:rsid w:val="008E750C"/>
    <w:rsid w:val="008E7A3F"/>
    <w:rsid w:val="008E7B8E"/>
    <w:rsid w:val="008E7FC9"/>
    <w:rsid w:val="008F0107"/>
    <w:rsid w:val="008F017C"/>
    <w:rsid w:val="008F029B"/>
    <w:rsid w:val="008F0589"/>
    <w:rsid w:val="008F0F23"/>
    <w:rsid w:val="008F130B"/>
    <w:rsid w:val="008F2A5D"/>
    <w:rsid w:val="008F2BC7"/>
    <w:rsid w:val="008F2E48"/>
    <w:rsid w:val="008F2E83"/>
    <w:rsid w:val="008F3636"/>
    <w:rsid w:val="008F37C2"/>
    <w:rsid w:val="008F3B3F"/>
    <w:rsid w:val="008F3FC9"/>
    <w:rsid w:val="008F509F"/>
    <w:rsid w:val="008F525A"/>
    <w:rsid w:val="008F5383"/>
    <w:rsid w:val="008F576A"/>
    <w:rsid w:val="008F585B"/>
    <w:rsid w:val="008F6577"/>
    <w:rsid w:val="008F6614"/>
    <w:rsid w:val="008F6F78"/>
    <w:rsid w:val="008F7FB0"/>
    <w:rsid w:val="009003A8"/>
    <w:rsid w:val="009004AD"/>
    <w:rsid w:val="009005E4"/>
    <w:rsid w:val="00900977"/>
    <w:rsid w:val="00901790"/>
    <w:rsid w:val="00901DE6"/>
    <w:rsid w:val="009021DA"/>
    <w:rsid w:val="00902500"/>
    <w:rsid w:val="00902EFF"/>
    <w:rsid w:val="009032D3"/>
    <w:rsid w:val="00903A8E"/>
    <w:rsid w:val="00903EAD"/>
    <w:rsid w:val="0090432C"/>
    <w:rsid w:val="009043B1"/>
    <w:rsid w:val="0090458B"/>
    <w:rsid w:val="00904F96"/>
    <w:rsid w:val="009052A3"/>
    <w:rsid w:val="00905314"/>
    <w:rsid w:val="00905395"/>
    <w:rsid w:val="009056D7"/>
    <w:rsid w:val="00905B8D"/>
    <w:rsid w:val="00906401"/>
    <w:rsid w:val="009065CB"/>
    <w:rsid w:val="009067EA"/>
    <w:rsid w:val="009068A8"/>
    <w:rsid w:val="00906B79"/>
    <w:rsid w:val="00907606"/>
    <w:rsid w:val="0090786F"/>
    <w:rsid w:val="0091001E"/>
    <w:rsid w:val="0091059E"/>
    <w:rsid w:val="00910C18"/>
    <w:rsid w:val="009110F7"/>
    <w:rsid w:val="009112E3"/>
    <w:rsid w:val="0091155E"/>
    <w:rsid w:val="00912242"/>
    <w:rsid w:val="009122D0"/>
    <w:rsid w:val="0091240B"/>
    <w:rsid w:val="00912437"/>
    <w:rsid w:val="00912A92"/>
    <w:rsid w:val="00913237"/>
    <w:rsid w:val="009133E7"/>
    <w:rsid w:val="00913B36"/>
    <w:rsid w:val="009141AA"/>
    <w:rsid w:val="0091476D"/>
    <w:rsid w:val="00915D07"/>
    <w:rsid w:val="009162AE"/>
    <w:rsid w:val="00917154"/>
    <w:rsid w:val="00917251"/>
    <w:rsid w:val="0091728D"/>
    <w:rsid w:val="00917D0D"/>
    <w:rsid w:val="00917DDF"/>
    <w:rsid w:val="00917FBC"/>
    <w:rsid w:val="009200DE"/>
    <w:rsid w:val="009201F3"/>
    <w:rsid w:val="0092036B"/>
    <w:rsid w:val="009203CC"/>
    <w:rsid w:val="00920EC4"/>
    <w:rsid w:val="0092180B"/>
    <w:rsid w:val="00921F14"/>
    <w:rsid w:val="00922775"/>
    <w:rsid w:val="0092292F"/>
    <w:rsid w:val="00922D28"/>
    <w:rsid w:val="009233E7"/>
    <w:rsid w:val="009237C4"/>
    <w:rsid w:val="00923862"/>
    <w:rsid w:val="00923CB0"/>
    <w:rsid w:val="00923D8C"/>
    <w:rsid w:val="00924871"/>
    <w:rsid w:val="00924AC8"/>
    <w:rsid w:val="00925429"/>
    <w:rsid w:val="0092543F"/>
    <w:rsid w:val="00925615"/>
    <w:rsid w:val="0092597A"/>
    <w:rsid w:val="00926520"/>
    <w:rsid w:val="00926CF0"/>
    <w:rsid w:val="009273A9"/>
    <w:rsid w:val="00930251"/>
    <w:rsid w:val="0093033E"/>
    <w:rsid w:val="009305FC"/>
    <w:rsid w:val="00930FB1"/>
    <w:rsid w:val="00931338"/>
    <w:rsid w:val="0093139F"/>
    <w:rsid w:val="00931BBB"/>
    <w:rsid w:val="00932239"/>
    <w:rsid w:val="00932443"/>
    <w:rsid w:val="00932B32"/>
    <w:rsid w:val="0093305E"/>
    <w:rsid w:val="00933F4A"/>
    <w:rsid w:val="009341F1"/>
    <w:rsid w:val="0093451E"/>
    <w:rsid w:val="00934FF2"/>
    <w:rsid w:val="009355E2"/>
    <w:rsid w:val="009358D7"/>
    <w:rsid w:val="00935BD4"/>
    <w:rsid w:val="00935DFE"/>
    <w:rsid w:val="00935E9D"/>
    <w:rsid w:val="00935F70"/>
    <w:rsid w:val="009360FA"/>
    <w:rsid w:val="0093648B"/>
    <w:rsid w:val="00937017"/>
    <w:rsid w:val="0093734C"/>
    <w:rsid w:val="009373B2"/>
    <w:rsid w:val="009377DF"/>
    <w:rsid w:val="00937AE2"/>
    <w:rsid w:val="009402A1"/>
    <w:rsid w:val="0094061F"/>
    <w:rsid w:val="00940F0F"/>
    <w:rsid w:val="00941912"/>
    <w:rsid w:val="00941A54"/>
    <w:rsid w:val="00942514"/>
    <w:rsid w:val="00942851"/>
    <w:rsid w:val="00943004"/>
    <w:rsid w:val="00943BA9"/>
    <w:rsid w:val="00943CDC"/>
    <w:rsid w:val="0094416B"/>
    <w:rsid w:val="0094427A"/>
    <w:rsid w:val="009449C6"/>
    <w:rsid w:val="00944C7C"/>
    <w:rsid w:val="00945245"/>
    <w:rsid w:val="009453E8"/>
    <w:rsid w:val="00945433"/>
    <w:rsid w:val="00945523"/>
    <w:rsid w:val="009463E1"/>
    <w:rsid w:val="0094683A"/>
    <w:rsid w:val="00946C43"/>
    <w:rsid w:val="009479A6"/>
    <w:rsid w:val="009500F7"/>
    <w:rsid w:val="0095042D"/>
    <w:rsid w:val="00950921"/>
    <w:rsid w:val="00951AF8"/>
    <w:rsid w:val="00951D68"/>
    <w:rsid w:val="00951E5B"/>
    <w:rsid w:val="00952050"/>
    <w:rsid w:val="00952315"/>
    <w:rsid w:val="009523D9"/>
    <w:rsid w:val="00952B7B"/>
    <w:rsid w:val="0095357B"/>
    <w:rsid w:val="00953660"/>
    <w:rsid w:val="009538B3"/>
    <w:rsid w:val="00953E13"/>
    <w:rsid w:val="00954F39"/>
    <w:rsid w:val="009555FD"/>
    <w:rsid w:val="00955BAD"/>
    <w:rsid w:val="00955BD4"/>
    <w:rsid w:val="00955F12"/>
    <w:rsid w:val="009561A5"/>
    <w:rsid w:val="0095664B"/>
    <w:rsid w:val="00956737"/>
    <w:rsid w:val="00956894"/>
    <w:rsid w:val="009568DC"/>
    <w:rsid w:val="00956B8B"/>
    <w:rsid w:val="00957140"/>
    <w:rsid w:val="00957445"/>
    <w:rsid w:val="0095759C"/>
    <w:rsid w:val="009604C7"/>
    <w:rsid w:val="009606FA"/>
    <w:rsid w:val="00961563"/>
    <w:rsid w:val="00961880"/>
    <w:rsid w:val="009618EE"/>
    <w:rsid w:val="00961A4C"/>
    <w:rsid w:val="00961DDD"/>
    <w:rsid w:val="00961E67"/>
    <w:rsid w:val="009624D2"/>
    <w:rsid w:val="009628D9"/>
    <w:rsid w:val="0096300D"/>
    <w:rsid w:val="009637AE"/>
    <w:rsid w:val="00963A06"/>
    <w:rsid w:val="00964068"/>
    <w:rsid w:val="009640F6"/>
    <w:rsid w:val="0096469D"/>
    <w:rsid w:val="00964776"/>
    <w:rsid w:val="00964A4E"/>
    <w:rsid w:val="00964B35"/>
    <w:rsid w:val="009651C7"/>
    <w:rsid w:val="00965504"/>
    <w:rsid w:val="00965797"/>
    <w:rsid w:val="00965A10"/>
    <w:rsid w:val="00965AD0"/>
    <w:rsid w:val="009670A3"/>
    <w:rsid w:val="009674BE"/>
    <w:rsid w:val="00967A4F"/>
    <w:rsid w:val="00967ED4"/>
    <w:rsid w:val="00970B25"/>
    <w:rsid w:val="00970E2C"/>
    <w:rsid w:val="00970EC8"/>
    <w:rsid w:val="00970FB5"/>
    <w:rsid w:val="00971405"/>
    <w:rsid w:val="00971710"/>
    <w:rsid w:val="009717D0"/>
    <w:rsid w:val="00971B87"/>
    <w:rsid w:val="00971C77"/>
    <w:rsid w:val="00971D14"/>
    <w:rsid w:val="00971D19"/>
    <w:rsid w:val="0097203A"/>
    <w:rsid w:val="00972FCD"/>
    <w:rsid w:val="00973324"/>
    <w:rsid w:val="009736DF"/>
    <w:rsid w:val="009741AE"/>
    <w:rsid w:val="009741FC"/>
    <w:rsid w:val="00974782"/>
    <w:rsid w:val="00974923"/>
    <w:rsid w:val="00975140"/>
    <w:rsid w:val="00975909"/>
    <w:rsid w:val="0097633D"/>
    <w:rsid w:val="00977C33"/>
    <w:rsid w:val="00977C3D"/>
    <w:rsid w:val="009808A9"/>
    <w:rsid w:val="00980B56"/>
    <w:rsid w:val="00980D3D"/>
    <w:rsid w:val="0098103E"/>
    <w:rsid w:val="0098157D"/>
    <w:rsid w:val="00982E92"/>
    <w:rsid w:val="00983101"/>
    <w:rsid w:val="00983E41"/>
    <w:rsid w:val="009844B1"/>
    <w:rsid w:val="009845E1"/>
    <w:rsid w:val="00984CE5"/>
    <w:rsid w:val="00984D1B"/>
    <w:rsid w:val="00985CAB"/>
    <w:rsid w:val="00986246"/>
    <w:rsid w:val="009867E7"/>
    <w:rsid w:val="00986858"/>
    <w:rsid w:val="009876AB"/>
    <w:rsid w:val="00987A30"/>
    <w:rsid w:val="00987F3F"/>
    <w:rsid w:val="00990312"/>
    <w:rsid w:val="009908AF"/>
    <w:rsid w:val="0099182E"/>
    <w:rsid w:val="00991D45"/>
    <w:rsid w:val="00991FDF"/>
    <w:rsid w:val="009928A6"/>
    <w:rsid w:val="00992B49"/>
    <w:rsid w:val="00992BB3"/>
    <w:rsid w:val="00992CF3"/>
    <w:rsid w:val="00993194"/>
    <w:rsid w:val="009931C3"/>
    <w:rsid w:val="0099321E"/>
    <w:rsid w:val="0099370F"/>
    <w:rsid w:val="00993875"/>
    <w:rsid w:val="00993BE7"/>
    <w:rsid w:val="00993ECA"/>
    <w:rsid w:val="00994171"/>
    <w:rsid w:val="00994868"/>
    <w:rsid w:val="00994976"/>
    <w:rsid w:val="00994D28"/>
    <w:rsid w:val="00994F2C"/>
    <w:rsid w:val="00995472"/>
    <w:rsid w:val="009954EC"/>
    <w:rsid w:val="00995720"/>
    <w:rsid w:val="009957CC"/>
    <w:rsid w:val="00995960"/>
    <w:rsid w:val="00995C90"/>
    <w:rsid w:val="00996017"/>
    <w:rsid w:val="00996614"/>
    <w:rsid w:val="009968D6"/>
    <w:rsid w:val="009974E0"/>
    <w:rsid w:val="00997953"/>
    <w:rsid w:val="00997D55"/>
    <w:rsid w:val="009A04D4"/>
    <w:rsid w:val="009A09E1"/>
    <w:rsid w:val="009A0BFF"/>
    <w:rsid w:val="009A10A0"/>
    <w:rsid w:val="009A12B7"/>
    <w:rsid w:val="009A1CAB"/>
    <w:rsid w:val="009A2359"/>
    <w:rsid w:val="009A24F1"/>
    <w:rsid w:val="009A27E0"/>
    <w:rsid w:val="009A3047"/>
    <w:rsid w:val="009A30B2"/>
    <w:rsid w:val="009A4D57"/>
    <w:rsid w:val="009A51A5"/>
    <w:rsid w:val="009A5309"/>
    <w:rsid w:val="009A5759"/>
    <w:rsid w:val="009A5A36"/>
    <w:rsid w:val="009A5C68"/>
    <w:rsid w:val="009A60D1"/>
    <w:rsid w:val="009A6225"/>
    <w:rsid w:val="009A64F5"/>
    <w:rsid w:val="009A6828"/>
    <w:rsid w:val="009A74DC"/>
    <w:rsid w:val="009A7A5B"/>
    <w:rsid w:val="009B00D2"/>
    <w:rsid w:val="009B05B3"/>
    <w:rsid w:val="009B07C8"/>
    <w:rsid w:val="009B0CAF"/>
    <w:rsid w:val="009B1324"/>
    <w:rsid w:val="009B1861"/>
    <w:rsid w:val="009B1EC3"/>
    <w:rsid w:val="009B2558"/>
    <w:rsid w:val="009B27ED"/>
    <w:rsid w:val="009B284F"/>
    <w:rsid w:val="009B35C8"/>
    <w:rsid w:val="009B3659"/>
    <w:rsid w:val="009B3764"/>
    <w:rsid w:val="009B3840"/>
    <w:rsid w:val="009B3D4A"/>
    <w:rsid w:val="009B47F6"/>
    <w:rsid w:val="009B485A"/>
    <w:rsid w:val="009B52AC"/>
    <w:rsid w:val="009B553D"/>
    <w:rsid w:val="009B5629"/>
    <w:rsid w:val="009B5861"/>
    <w:rsid w:val="009B59EA"/>
    <w:rsid w:val="009B5B6E"/>
    <w:rsid w:val="009B66CE"/>
    <w:rsid w:val="009B6939"/>
    <w:rsid w:val="009B6A56"/>
    <w:rsid w:val="009B6F8F"/>
    <w:rsid w:val="009B6FD3"/>
    <w:rsid w:val="009B72BE"/>
    <w:rsid w:val="009B78A4"/>
    <w:rsid w:val="009B7DB2"/>
    <w:rsid w:val="009C03DB"/>
    <w:rsid w:val="009C0585"/>
    <w:rsid w:val="009C15AF"/>
    <w:rsid w:val="009C1750"/>
    <w:rsid w:val="009C205B"/>
    <w:rsid w:val="009C2C39"/>
    <w:rsid w:val="009C2E29"/>
    <w:rsid w:val="009C3376"/>
    <w:rsid w:val="009C3684"/>
    <w:rsid w:val="009C3E8F"/>
    <w:rsid w:val="009C4B3A"/>
    <w:rsid w:val="009C554B"/>
    <w:rsid w:val="009C5E83"/>
    <w:rsid w:val="009C7126"/>
    <w:rsid w:val="009C719E"/>
    <w:rsid w:val="009C744C"/>
    <w:rsid w:val="009C7457"/>
    <w:rsid w:val="009C7799"/>
    <w:rsid w:val="009D0225"/>
    <w:rsid w:val="009D07A9"/>
    <w:rsid w:val="009D0AE2"/>
    <w:rsid w:val="009D0D9F"/>
    <w:rsid w:val="009D0EBB"/>
    <w:rsid w:val="009D0F6F"/>
    <w:rsid w:val="009D1169"/>
    <w:rsid w:val="009D1647"/>
    <w:rsid w:val="009D164D"/>
    <w:rsid w:val="009D2C46"/>
    <w:rsid w:val="009D3ACD"/>
    <w:rsid w:val="009D3EC7"/>
    <w:rsid w:val="009D40A7"/>
    <w:rsid w:val="009D4254"/>
    <w:rsid w:val="009D4F21"/>
    <w:rsid w:val="009D5012"/>
    <w:rsid w:val="009D587D"/>
    <w:rsid w:val="009D59E6"/>
    <w:rsid w:val="009D5CAD"/>
    <w:rsid w:val="009D6581"/>
    <w:rsid w:val="009D6EA6"/>
    <w:rsid w:val="009D72F8"/>
    <w:rsid w:val="009D7731"/>
    <w:rsid w:val="009D779F"/>
    <w:rsid w:val="009D78C3"/>
    <w:rsid w:val="009D7CC3"/>
    <w:rsid w:val="009E027B"/>
    <w:rsid w:val="009E1120"/>
    <w:rsid w:val="009E1393"/>
    <w:rsid w:val="009E1796"/>
    <w:rsid w:val="009E1922"/>
    <w:rsid w:val="009E1A3D"/>
    <w:rsid w:val="009E245A"/>
    <w:rsid w:val="009E274E"/>
    <w:rsid w:val="009E34C4"/>
    <w:rsid w:val="009E3657"/>
    <w:rsid w:val="009E4715"/>
    <w:rsid w:val="009E49FD"/>
    <w:rsid w:val="009E4A58"/>
    <w:rsid w:val="009E5273"/>
    <w:rsid w:val="009E52C3"/>
    <w:rsid w:val="009E57A8"/>
    <w:rsid w:val="009E5B85"/>
    <w:rsid w:val="009E5DDB"/>
    <w:rsid w:val="009E7501"/>
    <w:rsid w:val="009E7667"/>
    <w:rsid w:val="009E7EA7"/>
    <w:rsid w:val="009F032E"/>
    <w:rsid w:val="009F13D3"/>
    <w:rsid w:val="009F1CA6"/>
    <w:rsid w:val="009F218B"/>
    <w:rsid w:val="009F2921"/>
    <w:rsid w:val="009F3217"/>
    <w:rsid w:val="009F3D5C"/>
    <w:rsid w:val="009F42CF"/>
    <w:rsid w:val="009F4982"/>
    <w:rsid w:val="009F4CA7"/>
    <w:rsid w:val="009F4F6A"/>
    <w:rsid w:val="009F5554"/>
    <w:rsid w:val="009F55BA"/>
    <w:rsid w:val="009F5694"/>
    <w:rsid w:val="009F5C36"/>
    <w:rsid w:val="009F6097"/>
    <w:rsid w:val="009F6A42"/>
    <w:rsid w:val="009F7B14"/>
    <w:rsid w:val="009F7D36"/>
    <w:rsid w:val="009F7D61"/>
    <w:rsid w:val="00A0032F"/>
    <w:rsid w:val="00A00470"/>
    <w:rsid w:val="00A0069E"/>
    <w:rsid w:val="00A00E71"/>
    <w:rsid w:val="00A0187B"/>
    <w:rsid w:val="00A02969"/>
    <w:rsid w:val="00A02E8B"/>
    <w:rsid w:val="00A0306F"/>
    <w:rsid w:val="00A03511"/>
    <w:rsid w:val="00A03B10"/>
    <w:rsid w:val="00A03E2E"/>
    <w:rsid w:val="00A04616"/>
    <w:rsid w:val="00A04717"/>
    <w:rsid w:val="00A04D56"/>
    <w:rsid w:val="00A04F83"/>
    <w:rsid w:val="00A05577"/>
    <w:rsid w:val="00A05CF1"/>
    <w:rsid w:val="00A05D8F"/>
    <w:rsid w:val="00A05EB1"/>
    <w:rsid w:val="00A05EE4"/>
    <w:rsid w:val="00A06CA7"/>
    <w:rsid w:val="00A06D1D"/>
    <w:rsid w:val="00A06F99"/>
    <w:rsid w:val="00A07153"/>
    <w:rsid w:val="00A07316"/>
    <w:rsid w:val="00A073FD"/>
    <w:rsid w:val="00A07B79"/>
    <w:rsid w:val="00A1053B"/>
    <w:rsid w:val="00A10D66"/>
    <w:rsid w:val="00A113A4"/>
    <w:rsid w:val="00A12A8E"/>
    <w:rsid w:val="00A13367"/>
    <w:rsid w:val="00A133F9"/>
    <w:rsid w:val="00A14114"/>
    <w:rsid w:val="00A147AC"/>
    <w:rsid w:val="00A14F4D"/>
    <w:rsid w:val="00A16413"/>
    <w:rsid w:val="00A16545"/>
    <w:rsid w:val="00A16A1A"/>
    <w:rsid w:val="00A16A9F"/>
    <w:rsid w:val="00A16AED"/>
    <w:rsid w:val="00A16BD3"/>
    <w:rsid w:val="00A16C37"/>
    <w:rsid w:val="00A16E1D"/>
    <w:rsid w:val="00A16E4C"/>
    <w:rsid w:val="00A171D5"/>
    <w:rsid w:val="00A17A15"/>
    <w:rsid w:val="00A17A37"/>
    <w:rsid w:val="00A17D5B"/>
    <w:rsid w:val="00A2016A"/>
    <w:rsid w:val="00A201E1"/>
    <w:rsid w:val="00A2028B"/>
    <w:rsid w:val="00A20FE1"/>
    <w:rsid w:val="00A2102F"/>
    <w:rsid w:val="00A21B4D"/>
    <w:rsid w:val="00A22073"/>
    <w:rsid w:val="00A223E0"/>
    <w:rsid w:val="00A22959"/>
    <w:rsid w:val="00A23158"/>
    <w:rsid w:val="00A232D7"/>
    <w:rsid w:val="00A23847"/>
    <w:rsid w:val="00A23BB7"/>
    <w:rsid w:val="00A23E43"/>
    <w:rsid w:val="00A242C7"/>
    <w:rsid w:val="00A24425"/>
    <w:rsid w:val="00A245CC"/>
    <w:rsid w:val="00A24726"/>
    <w:rsid w:val="00A24BEF"/>
    <w:rsid w:val="00A24DEB"/>
    <w:rsid w:val="00A24ED9"/>
    <w:rsid w:val="00A251DB"/>
    <w:rsid w:val="00A25216"/>
    <w:rsid w:val="00A2597D"/>
    <w:rsid w:val="00A259CC"/>
    <w:rsid w:val="00A25A28"/>
    <w:rsid w:val="00A25AA3"/>
    <w:rsid w:val="00A25FC3"/>
    <w:rsid w:val="00A2601E"/>
    <w:rsid w:val="00A2628E"/>
    <w:rsid w:val="00A266BF"/>
    <w:rsid w:val="00A26777"/>
    <w:rsid w:val="00A269AB"/>
    <w:rsid w:val="00A2731E"/>
    <w:rsid w:val="00A27D06"/>
    <w:rsid w:val="00A309AC"/>
    <w:rsid w:val="00A30EA4"/>
    <w:rsid w:val="00A30F65"/>
    <w:rsid w:val="00A315CD"/>
    <w:rsid w:val="00A315D0"/>
    <w:rsid w:val="00A3279E"/>
    <w:rsid w:val="00A33DB1"/>
    <w:rsid w:val="00A33EEB"/>
    <w:rsid w:val="00A34132"/>
    <w:rsid w:val="00A341CD"/>
    <w:rsid w:val="00A34FCE"/>
    <w:rsid w:val="00A351C8"/>
    <w:rsid w:val="00A35900"/>
    <w:rsid w:val="00A35BC9"/>
    <w:rsid w:val="00A35F33"/>
    <w:rsid w:val="00A375ED"/>
    <w:rsid w:val="00A401A3"/>
    <w:rsid w:val="00A40EAC"/>
    <w:rsid w:val="00A418BC"/>
    <w:rsid w:val="00A419FF"/>
    <w:rsid w:val="00A41FCF"/>
    <w:rsid w:val="00A423DE"/>
    <w:rsid w:val="00A42936"/>
    <w:rsid w:val="00A4328D"/>
    <w:rsid w:val="00A4393F"/>
    <w:rsid w:val="00A43CF8"/>
    <w:rsid w:val="00A43DF2"/>
    <w:rsid w:val="00A44336"/>
    <w:rsid w:val="00A445A8"/>
    <w:rsid w:val="00A44964"/>
    <w:rsid w:val="00A44B0D"/>
    <w:rsid w:val="00A44D21"/>
    <w:rsid w:val="00A44E3F"/>
    <w:rsid w:val="00A45014"/>
    <w:rsid w:val="00A45087"/>
    <w:rsid w:val="00A45366"/>
    <w:rsid w:val="00A45487"/>
    <w:rsid w:val="00A45489"/>
    <w:rsid w:val="00A45858"/>
    <w:rsid w:val="00A45CED"/>
    <w:rsid w:val="00A465E9"/>
    <w:rsid w:val="00A468E7"/>
    <w:rsid w:val="00A46DA0"/>
    <w:rsid w:val="00A46DE0"/>
    <w:rsid w:val="00A47240"/>
    <w:rsid w:val="00A476A5"/>
    <w:rsid w:val="00A478BA"/>
    <w:rsid w:val="00A50D73"/>
    <w:rsid w:val="00A514CC"/>
    <w:rsid w:val="00A518BB"/>
    <w:rsid w:val="00A52A88"/>
    <w:rsid w:val="00A52CAD"/>
    <w:rsid w:val="00A53340"/>
    <w:rsid w:val="00A53560"/>
    <w:rsid w:val="00A53FC7"/>
    <w:rsid w:val="00A54AAF"/>
    <w:rsid w:val="00A55569"/>
    <w:rsid w:val="00A55ABC"/>
    <w:rsid w:val="00A55C36"/>
    <w:rsid w:val="00A5661B"/>
    <w:rsid w:val="00A566A0"/>
    <w:rsid w:val="00A56F74"/>
    <w:rsid w:val="00A57594"/>
    <w:rsid w:val="00A601AA"/>
    <w:rsid w:val="00A601E7"/>
    <w:rsid w:val="00A609BD"/>
    <w:rsid w:val="00A60AC1"/>
    <w:rsid w:val="00A60FF7"/>
    <w:rsid w:val="00A620A9"/>
    <w:rsid w:val="00A62162"/>
    <w:rsid w:val="00A62555"/>
    <w:rsid w:val="00A626FF"/>
    <w:rsid w:val="00A62CE1"/>
    <w:rsid w:val="00A63449"/>
    <w:rsid w:val="00A65469"/>
    <w:rsid w:val="00A65528"/>
    <w:rsid w:val="00A655D3"/>
    <w:rsid w:val="00A662D9"/>
    <w:rsid w:val="00A6630C"/>
    <w:rsid w:val="00A6741E"/>
    <w:rsid w:val="00A67605"/>
    <w:rsid w:val="00A676F1"/>
    <w:rsid w:val="00A67E29"/>
    <w:rsid w:val="00A7016A"/>
    <w:rsid w:val="00A7018D"/>
    <w:rsid w:val="00A709DE"/>
    <w:rsid w:val="00A7108C"/>
    <w:rsid w:val="00A71181"/>
    <w:rsid w:val="00A7191D"/>
    <w:rsid w:val="00A71E82"/>
    <w:rsid w:val="00A72154"/>
    <w:rsid w:val="00A722F9"/>
    <w:rsid w:val="00A72347"/>
    <w:rsid w:val="00A72D42"/>
    <w:rsid w:val="00A746C9"/>
    <w:rsid w:val="00A747D4"/>
    <w:rsid w:val="00A74C2A"/>
    <w:rsid w:val="00A75684"/>
    <w:rsid w:val="00A75E40"/>
    <w:rsid w:val="00A76353"/>
    <w:rsid w:val="00A76818"/>
    <w:rsid w:val="00A77D1D"/>
    <w:rsid w:val="00A77E6B"/>
    <w:rsid w:val="00A809AD"/>
    <w:rsid w:val="00A81374"/>
    <w:rsid w:val="00A81652"/>
    <w:rsid w:val="00A822F8"/>
    <w:rsid w:val="00A82ADA"/>
    <w:rsid w:val="00A82BF0"/>
    <w:rsid w:val="00A82C91"/>
    <w:rsid w:val="00A83150"/>
    <w:rsid w:val="00A83398"/>
    <w:rsid w:val="00A83D6E"/>
    <w:rsid w:val="00A83FD5"/>
    <w:rsid w:val="00A84C1D"/>
    <w:rsid w:val="00A84FB7"/>
    <w:rsid w:val="00A8521A"/>
    <w:rsid w:val="00A8552B"/>
    <w:rsid w:val="00A85537"/>
    <w:rsid w:val="00A857C0"/>
    <w:rsid w:val="00A85ACB"/>
    <w:rsid w:val="00A9036F"/>
    <w:rsid w:val="00A904C6"/>
    <w:rsid w:val="00A9092B"/>
    <w:rsid w:val="00A90F2C"/>
    <w:rsid w:val="00A90FED"/>
    <w:rsid w:val="00A9142F"/>
    <w:rsid w:val="00A91482"/>
    <w:rsid w:val="00A9189D"/>
    <w:rsid w:val="00A91E71"/>
    <w:rsid w:val="00A91EAD"/>
    <w:rsid w:val="00A925B1"/>
    <w:rsid w:val="00A92A3E"/>
    <w:rsid w:val="00A934F9"/>
    <w:rsid w:val="00A93735"/>
    <w:rsid w:val="00A9383D"/>
    <w:rsid w:val="00A939EE"/>
    <w:rsid w:val="00A940E3"/>
    <w:rsid w:val="00A94983"/>
    <w:rsid w:val="00A9532C"/>
    <w:rsid w:val="00A95F1A"/>
    <w:rsid w:val="00A96026"/>
    <w:rsid w:val="00A96116"/>
    <w:rsid w:val="00A96118"/>
    <w:rsid w:val="00A9614E"/>
    <w:rsid w:val="00A96422"/>
    <w:rsid w:val="00A96C0F"/>
    <w:rsid w:val="00A97075"/>
    <w:rsid w:val="00A97542"/>
    <w:rsid w:val="00AA0E80"/>
    <w:rsid w:val="00AA0F90"/>
    <w:rsid w:val="00AA16F4"/>
    <w:rsid w:val="00AA1756"/>
    <w:rsid w:val="00AA17CD"/>
    <w:rsid w:val="00AA1D4D"/>
    <w:rsid w:val="00AA1D85"/>
    <w:rsid w:val="00AA1F81"/>
    <w:rsid w:val="00AA212B"/>
    <w:rsid w:val="00AA212F"/>
    <w:rsid w:val="00AA26A9"/>
    <w:rsid w:val="00AA28CE"/>
    <w:rsid w:val="00AA2996"/>
    <w:rsid w:val="00AA2AF4"/>
    <w:rsid w:val="00AA4272"/>
    <w:rsid w:val="00AA4282"/>
    <w:rsid w:val="00AA4291"/>
    <w:rsid w:val="00AA43F2"/>
    <w:rsid w:val="00AA4790"/>
    <w:rsid w:val="00AA49E1"/>
    <w:rsid w:val="00AA52BF"/>
    <w:rsid w:val="00AA559A"/>
    <w:rsid w:val="00AA5DE4"/>
    <w:rsid w:val="00AA65D0"/>
    <w:rsid w:val="00AA6C31"/>
    <w:rsid w:val="00AA7752"/>
    <w:rsid w:val="00AA7CE8"/>
    <w:rsid w:val="00AB0243"/>
    <w:rsid w:val="00AB078A"/>
    <w:rsid w:val="00AB1457"/>
    <w:rsid w:val="00AB2531"/>
    <w:rsid w:val="00AB2AF1"/>
    <w:rsid w:val="00AB32CB"/>
    <w:rsid w:val="00AB3405"/>
    <w:rsid w:val="00AB3AD7"/>
    <w:rsid w:val="00AB3B8E"/>
    <w:rsid w:val="00AB3BA7"/>
    <w:rsid w:val="00AB3EC7"/>
    <w:rsid w:val="00AB44DA"/>
    <w:rsid w:val="00AB4BC1"/>
    <w:rsid w:val="00AB51D2"/>
    <w:rsid w:val="00AB5A64"/>
    <w:rsid w:val="00AB5CA1"/>
    <w:rsid w:val="00AB640C"/>
    <w:rsid w:val="00AB6456"/>
    <w:rsid w:val="00AB719D"/>
    <w:rsid w:val="00AB75C5"/>
    <w:rsid w:val="00AC044E"/>
    <w:rsid w:val="00AC0CE9"/>
    <w:rsid w:val="00AC1487"/>
    <w:rsid w:val="00AC2118"/>
    <w:rsid w:val="00AC2395"/>
    <w:rsid w:val="00AC2960"/>
    <w:rsid w:val="00AC2AC4"/>
    <w:rsid w:val="00AC37F9"/>
    <w:rsid w:val="00AC39AD"/>
    <w:rsid w:val="00AC3AE1"/>
    <w:rsid w:val="00AC40BF"/>
    <w:rsid w:val="00AC4284"/>
    <w:rsid w:val="00AC45BD"/>
    <w:rsid w:val="00AC50BB"/>
    <w:rsid w:val="00AC5256"/>
    <w:rsid w:val="00AC5333"/>
    <w:rsid w:val="00AC6FE4"/>
    <w:rsid w:val="00AC78F1"/>
    <w:rsid w:val="00AC7B96"/>
    <w:rsid w:val="00AD0B22"/>
    <w:rsid w:val="00AD0EE7"/>
    <w:rsid w:val="00AD168E"/>
    <w:rsid w:val="00AD2218"/>
    <w:rsid w:val="00AD2FCF"/>
    <w:rsid w:val="00AD2FF2"/>
    <w:rsid w:val="00AD306C"/>
    <w:rsid w:val="00AD3FE3"/>
    <w:rsid w:val="00AD432F"/>
    <w:rsid w:val="00AD43B0"/>
    <w:rsid w:val="00AD44CD"/>
    <w:rsid w:val="00AD47A7"/>
    <w:rsid w:val="00AD4C41"/>
    <w:rsid w:val="00AD5AD2"/>
    <w:rsid w:val="00AD5FF2"/>
    <w:rsid w:val="00AD6462"/>
    <w:rsid w:val="00AD66C5"/>
    <w:rsid w:val="00AD68C4"/>
    <w:rsid w:val="00AD71F9"/>
    <w:rsid w:val="00AE09B3"/>
    <w:rsid w:val="00AE14A7"/>
    <w:rsid w:val="00AE1767"/>
    <w:rsid w:val="00AE1A83"/>
    <w:rsid w:val="00AE27E3"/>
    <w:rsid w:val="00AE2A78"/>
    <w:rsid w:val="00AE2AE9"/>
    <w:rsid w:val="00AE2FF9"/>
    <w:rsid w:val="00AE30BE"/>
    <w:rsid w:val="00AE3E6A"/>
    <w:rsid w:val="00AE417E"/>
    <w:rsid w:val="00AE4A50"/>
    <w:rsid w:val="00AE5099"/>
    <w:rsid w:val="00AE56EE"/>
    <w:rsid w:val="00AE59E8"/>
    <w:rsid w:val="00AE6414"/>
    <w:rsid w:val="00AE7087"/>
    <w:rsid w:val="00AE7269"/>
    <w:rsid w:val="00AE75C1"/>
    <w:rsid w:val="00AE77B2"/>
    <w:rsid w:val="00AE797C"/>
    <w:rsid w:val="00AE7CE7"/>
    <w:rsid w:val="00AE7E8D"/>
    <w:rsid w:val="00AE7FAB"/>
    <w:rsid w:val="00AF0DE4"/>
    <w:rsid w:val="00AF0F32"/>
    <w:rsid w:val="00AF12A0"/>
    <w:rsid w:val="00AF1D38"/>
    <w:rsid w:val="00AF1E87"/>
    <w:rsid w:val="00AF25DA"/>
    <w:rsid w:val="00AF31F3"/>
    <w:rsid w:val="00AF33D9"/>
    <w:rsid w:val="00AF4181"/>
    <w:rsid w:val="00AF422A"/>
    <w:rsid w:val="00AF436B"/>
    <w:rsid w:val="00AF5179"/>
    <w:rsid w:val="00AF5CC2"/>
    <w:rsid w:val="00AF660D"/>
    <w:rsid w:val="00AF6776"/>
    <w:rsid w:val="00AF6F98"/>
    <w:rsid w:val="00AF7277"/>
    <w:rsid w:val="00B0001C"/>
    <w:rsid w:val="00B00550"/>
    <w:rsid w:val="00B00913"/>
    <w:rsid w:val="00B00D4D"/>
    <w:rsid w:val="00B01197"/>
    <w:rsid w:val="00B014F7"/>
    <w:rsid w:val="00B01593"/>
    <w:rsid w:val="00B01D0F"/>
    <w:rsid w:val="00B01F1A"/>
    <w:rsid w:val="00B01FF9"/>
    <w:rsid w:val="00B023F2"/>
    <w:rsid w:val="00B026FE"/>
    <w:rsid w:val="00B0271F"/>
    <w:rsid w:val="00B02A45"/>
    <w:rsid w:val="00B03883"/>
    <w:rsid w:val="00B038CA"/>
    <w:rsid w:val="00B0454F"/>
    <w:rsid w:val="00B05375"/>
    <w:rsid w:val="00B05BB6"/>
    <w:rsid w:val="00B05BEC"/>
    <w:rsid w:val="00B05F00"/>
    <w:rsid w:val="00B0601B"/>
    <w:rsid w:val="00B06DB4"/>
    <w:rsid w:val="00B06DDF"/>
    <w:rsid w:val="00B0750D"/>
    <w:rsid w:val="00B07850"/>
    <w:rsid w:val="00B0799C"/>
    <w:rsid w:val="00B102CE"/>
    <w:rsid w:val="00B10A4D"/>
    <w:rsid w:val="00B10C90"/>
    <w:rsid w:val="00B11002"/>
    <w:rsid w:val="00B1114F"/>
    <w:rsid w:val="00B117D9"/>
    <w:rsid w:val="00B1192D"/>
    <w:rsid w:val="00B121B2"/>
    <w:rsid w:val="00B131B1"/>
    <w:rsid w:val="00B13571"/>
    <w:rsid w:val="00B1382F"/>
    <w:rsid w:val="00B13A1C"/>
    <w:rsid w:val="00B141A5"/>
    <w:rsid w:val="00B141B6"/>
    <w:rsid w:val="00B145F1"/>
    <w:rsid w:val="00B14BC1"/>
    <w:rsid w:val="00B14EC9"/>
    <w:rsid w:val="00B154DE"/>
    <w:rsid w:val="00B162C3"/>
    <w:rsid w:val="00B16CD9"/>
    <w:rsid w:val="00B16DD1"/>
    <w:rsid w:val="00B16EB8"/>
    <w:rsid w:val="00B1700A"/>
    <w:rsid w:val="00B174AF"/>
    <w:rsid w:val="00B17625"/>
    <w:rsid w:val="00B17E71"/>
    <w:rsid w:val="00B17FDE"/>
    <w:rsid w:val="00B20632"/>
    <w:rsid w:val="00B21AE3"/>
    <w:rsid w:val="00B21EA4"/>
    <w:rsid w:val="00B2379C"/>
    <w:rsid w:val="00B23D5D"/>
    <w:rsid w:val="00B23E6E"/>
    <w:rsid w:val="00B2450C"/>
    <w:rsid w:val="00B24790"/>
    <w:rsid w:val="00B25531"/>
    <w:rsid w:val="00B25AD0"/>
    <w:rsid w:val="00B25B56"/>
    <w:rsid w:val="00B2687D"/>
    <w:rsid w:val="00B27EAC"/>
    <w:rsid w:val="00B27EC6"/>
    <w:rsid w:val="00B3082E"/>
    <w:rsid w:val="00B30C8B"/>
    <w:rsid w:val="00B3108D"/>
    <w:rsid w:val="00B32DDB"/>
    <w:rsid w:val="00B32F57"/>
    <w:rsid w:val="00B33300"/>
    <w:rsid w:val="00B3345C"/>
    <w:rsid w:val="00B343C4"/>
    <w:rsid w:val="00B34528"/>
    <w:rsid w:val="00B34750"/>
    <w:rsid w:val="00B34CC9"/>
    <w:rsid w:val="00B34CCE"/>
    <w:rsid w:val="00B34CDA"/>
    <w:rsid w:val="00B34EB6"/>
    <w:rsid w:val="00B34EFD"/>
    <w:rsid w:val="00B35160"/>
    <w:rsid w:val="00B3563B"/>
    <w:rsid w:val="00B36BDC"/>
    <w:rsid w:val="00B36C14"/>
    <w:rsid w:val="00B37975"/>
    <w:rsid w:val="00B37D3A"/>
    <w:rsid w:val="00B37D96"/>
    <w:rsid w:val="00B40066"/>
    <w:rsid w:val="00B402FC"/>
    <w:rsid w:val="00B41961"/>
    <w:rsid w:val="00B42127"/>
    <w:rsid w:val="00B422E2"/>
    <w:rsid w:val="00B42517"/>
    <w:rsid w:val="00B42902"/>
    <w:rsid w:val="00B42D5F"/>
    <w:rsid w:val="00B43216"/>
    <w:rsid w:val="00B439DA"/>
    <w:rsid w:val="00B4411A"/>
    <w:rsid w:val="00B44234"/>
    <w:rsid w:val="00B456FD"/>
    <w:rsid w:val="00B45FE8"/>
    <w:rsid w:val="00B4612C"/>
    <w:rsid w:val="00B46382"/>
    <w:rsid w:val="00B46604"/>
    <w:rsid w:val="00B47089"/>
    <w:rsid w:val="00B4753D"/>
    <w:rsid w:val="00B47587"/>
    <w:rsid w:val="00B50D6C"/>
    <w:rsid w:val="00B5150A"/>
    <w:rsid w:val="00B51A05"/>
    <w:rsid w:val="00B51B78"/>
    <w:rsid w:val="00B52151"/>
    <w:rsid w:val="00B52CA5"/>
    <w:rsid w:val="00B530CD"/>
    <w:rsid w:val="00B532B1"/>
    <w:rsid w:val="00B53639"/>
    <w:rsid w:val="00B53C7D"/>
    <w:rsid w:val="00B53D7F"/>
    <w:rsid w:val="00B53E56"/>
    <w:rsid w:val="00B5427F"/>
    <w:rsid w:val="00B545CC"/>
    <w:rsid w:val="00B55311"/>
    <w:rsid w:val="00B55601"/>
    <w:rsid w:val="00B55922"/>
    <w:rsid w:val="00B55A97"/>
    <w:rsid w:val="00B55E7E"/>
    <w:rsid w:val="00B55F5E"/>
    <w:rsid w:val="00B5601B"/>
    <w:rsid w:val="00B56231"/>
    <w:rsid w:val="00B5642C"/>
    <w:rsid w:val="00B564F1"/>
    <w:rsid w:val="00B5658D"/>
    <w:rsid w:val="00B56B6F"/>
    <w:rsid w:val="00B5701A"/>
    <w:rsid w:val="00B5752E"/>
    <w:rsid w:val="00B604FF"/>
    <w:rsid w:val="00B608B7"/>
    <w:rsid w:val="00B60AC1"/>
    <w:rsid w:val="00B6167A"/>
    <w:rsid w:val="00B61FF6"/>
    <w:rsid w:val="00B62316"/>
    <w:rsid w:val="00B62635"/>
    <w:rsid w:val="00B6274C"/>
    <w:rsid w:val="00B62A84"/>
    <w:rsid w:val="00B6329D"/>
    <w:rsid w:val="00B63A11"/>
    <w:rsid w:val="00B63C9F"/>
    <w:rsid w:val="00B63D32"/>
    <w:rsid w:val="00B64425"/>
    <w:rsid w:val="00B64A44"/>
    <w:rsid w:val="00B64C24"/>
    <w:rsid w:val="00B64E72"/>
    <w:rsid w:val="00B655D8"/>
    <w:rsid w:val="00B65CC4"/>
    <w:rsid w:val="00B65CEF"/>
    <w:rsid w:val="00B6608F"/>
    <w:rsid w:val="00B668D7"/>
    <w:rsid w:val="00B674C7"/>
    <w:rsid w:val="00B67749"/>
    <w:rsid w:val="00B679FB"/>
    <w:rsid w:val="00B703DD"/>
    <w:rsid w:val="00B70570"/>
    <w:rsid w:val="00B71FBF"/>
    <w:rsid w:val="00B72E6D"/>
    <w:rsid w:val="00B734A0"/>
    <w:rsid w:val="00B7356B"/>
    <w:rsid w:val="00B7374C"/>
    <w:rsid w:val="00B73A14"/>
    <w:rsid w:val="00B73AB1"/>
    <w:rsid w:val="00B73FE8"/>
    <w:rsid w:val="00B740A0"/>
    <w:rsid w:val="00B74606"/>
    <w:rsid w:val="00B746AB"/>
    <w:rsid w:val="00B748BD"/>
    <w:rsid w:val="00B74964"/>
    <w:rsid w:val="00B7564A"/>
    <w:rsid w:val="00B75719"/>
    <w:rsid w:val="00B76100"/>
    <w:rsid w:val="00B7680F"/>
    <w:rsid w:val="00B76B48"/>
    <w:rsid w:val="00B76D1E"/>
    <w:rsid w:val="00B771E5"/>
    <w:rsid w:val="00B77201"/>
    <w:rsid w:val="00B77543"/>
    <w:rsid w:val="00B77584"/>
    <w:rsid w:val="00B77E34"/>
    <w:rsid w:val="00B805D8"/>
    <w:rsid w:val="00B809F3"/>
    <w:rsid w:val="00B80D44"/>
    <w:rsid w:val="00B80D89"/>
    <w:rsid w:val="00B80EC6"/>
    <w:rsid w:val="00B81288"/>
    <w:rsid w:val="00B81D70"/>
    <w:rsid w:val="00B82420"/>
    <w:rsid w:val="00B833B9"/>
    <w:rsid w:val="00B836F7"/>
    <w:rsid w:val="00B83AAF"/>
    <w:rsid w:val="00B83E07"/>
    <w:rsid w:val="00B84CF6"/>
    <w:rsid w:val="00B85016"/>
    <w:rsid w:val="00B8561A"/>
    <w:rsid w:val="00B86628"/>
    <w:rsid w:val="00B86643"/>
    <w:rsid w:val="00B868F7"/>
    <w:rsid w:val="00B86BBA"/>
    <w:rsid w:val="00B86EB1"/>
    <w:rsid w:val="00B86EB2"/>
    <w:rsid w:val="00B871A7"/>
    <w:rsid w:val="00B87A70"/>
    <w:rsid w:val="00B87F5D"/>
    <w:rsid w:val="00B900FB"/>
    <w:rsid w:val="00B90131"/>
    <w:rsid w:val="00B907BE"/>
    <w:rsid w:val="00B90DE0"/>
    <w:rsid w:val="00B91EBE"/>
    <w:rsid w:val="00B92951"/>
    <w:rsid w:val="00B92D1D"/>
    <w:rsid w:val="00B92D7E"/>
    <w:rsid w:val="00B930CE"/>
    <w:rsid w:val="00B938C5"/>
    <w:rsid w:val="00B93EC3"/>
    <w:rsid w:val="00B940A8"/>
    <w:rsid w:val="00B9554A"/>
    <w:rsid w:val="00B95940"/>
    <w:rsid w:val="00B95ACA"/>
    <w:rsid w:val="00B95C12"/>
    <w:rsid w:val="00B95DA7"/>
    <w:rsid w:val="00B96949"/>
    <w:rsid w:val="00B96D74"/>
    <w:rsid w:val="00B9720E"/>
    <w:rsid w:val="00B97320"/>
    <w:rsid w:val="00B97ACC"/>
    <w:rsid w:val="00B97FE2"/>
    <w:rsid w:val="00BA0986"/>
    <w:rsid w:val="00BA0E0B"/>
    <w:rsid w:val="00BA0F7D"/>
    <w:rsid w:val="00BA1B6F"/>
    <w:rsid w:val="00BA201A"/>
    <w:rsid w:val="00BA21DF"/>
    <w:rsid w:val="00BA2B7C"/>
    <w:rsid w:val="00BA361D"/>
    <w:rsid w:val="00BA3787"/>
    <w:rsid w:val="00BA403A"/>
    <w:rsid w:val="00BA46E8"/>
    <w:rsid w:val="00BA49DB"/>
    <w:rsid w:val="00BA4AE9"/>
    <w:rsid w:val="00BA4CC9"/>
    <w:rsid w:val="00BA4E19"/>
    <w:rsid w:val="00BA52D4"/>
    <w:rsid w:val="00BA5EFC"/>
    <w:rsid w:val="00BA6397"/>
    <w:rsid w:val="00BA6436"/>
    <w:rsid w:val="00BA64F2"/>
    <w:rsid w:val="00BA65BE"/>
    <w:rsid w:val="00BA684E"/>
    <w:rsid w:val="00BA6C2B"/>
    <w:rsid w:val="00BA7B64"/>
    <w:rsid w:val="00BA7D5F"/>
    <w:rsid w:val="00BB02A3"/>
    <w:rsid w:val="00BB0351"/>
    <w:rsid w:val="00BB15C3"/>
    <w:rsid w:val="00BB1A13"/>
    <w:rsid w:val="00BB1AF4"/>
    <w:rsid w:val="00BB2202"/>
    <w:rsid w:val="00BB298E"/>
    <w:rsid w:val="00BB3153"/>
    <w:rsid w:val="00BB3C6B"/>
    <w:rsid w:val="00BB3E48"/>
    <w:rsid w:val="00BB3FD6"/>
    <w:rsid w:val="00BB453F"/>
    <w:rsid w:val="00BB46C6"/>
    <w:rsid w:val="00BB46F3"/>
    <w:rsid w:val="00BB4A71"/>
    <w:rsid w:val="00BB4CB1"/>
    <w:rsid w:val="00BB4E47"/>
    <w:rsid w:val="00BB4F98"/>
    <w:rsid w:val="00BB50C0"/>
    <w:rsid w:val="00BB5AB2"/>
    <w:rsid w:val="00BB5ABF"/>
    <w:rsid w:val="00BB5F94"/>
    <w:rsid w:val="00BB6EA2"/>
    <w:rsid w:val="00BB7142"/>
    <w:rsid w:val="00BB71D2"/>
    <w:rsid w:val="00BB76F3"/>
    <w:rsid w:val="00BB7B5B"/>
    <w:rsid w:val="00BB7E0B"/>
    <w:rsid w:val="00BB7EB1"/>
    <w:rsid w:val="00BC003F"/>
    <w:rsid w:val="00BC0930"/>
    <w:rsid w:val="00BC0D79"/>
    <w:rsid w:val="00BC14B0"/>
    <w:rsid w:val="00BC223A"/>
    <w:rsid w:val="00BC2340"/>
    <w:rsid w:val="00BC327F"/>
    <w:rsid w:val="00BC3512"/>
    <w:rsid w:val="00BC3D26"/>
    <w:rsid w:val="00BC4010"/>
    <w:rsid w:val="00BC48A2"/>
    <w:rsid w:val="00BC493B"/>
    <w:rsid w:val="00BC4B35"/>
    <w:rsid w:val="00BC4F86"/>
    <w:rsid w:val="00BC50BE"/>
    <w:rsid w:val="00BC5332"/>
    <w:rsid w:val="00BC557F"/>
    <w:rsid w:val="00BC5636"/>
    <w:rsid w:val="00BC5715"/>
    <w:rsid w:val="00BC5BBD"/>
    <w:rsid w:val="00BC5C12"/>
    <w:rsid w:val="00BC641B"/>
    <w:rsid w:val="00BC7154"/>
    <w:rsid w:val="00BC731E"/>
    <w:rsid w:val="00BC7614"/>
    <w:rsid w:val="00BC7652"/>
    <w:rsid w:val="00BC7EFA"/>
    <w:rsid w:val="00BD041B"/>
    <w:rsid w:val="00BD1B66"/>
    <w:rsid w:val="00BD25BB"/>
    <w:rsid w:val="00BD2AF8"/>
    <w:rsid w:val="00BD366B"/>
    <w:rsid w:val="00BD3C09"/>
    <w:rsid w:val="00BD410B"/>
    <w:rsid w:val="00BD4310"/>
    <w:rsid w:val="00BD4A73"/>
    <w:rsid w:val="00BD4EDD"/>
    <w:rsid w:val="00BD4EF4"/>
    <w:rsid w:val="00BD57E9"/>
    <w:rsid w:val="00BD5A1B"/>
    <w:rsid w:val="00BD5D0F"/>
    <w:rsid w:val="00BD6659"/>
    <w:rsid w:val="00BD6C75"/>
    <w:rsid w:val="00BD6D4D"/>
    <w:rsid w:val="00BD6D50"/>
    <w:rsid w:val="00BD7105"/>
    <w:rsid w:val="00BD73D2"/>
    <w:rsid w:val="00BE00D1"/>
    <w:rsid w:val="00BE0ACB"/>
    <w:rsid w:val="00BE0AD1"/>
    <w:rsid w:val="00BE0D18"/>
    <w:rsid w:val="00BE0EF9"/>
    <w:rsid w:val="00BE10A1"/>
    <w:rsid w:val="00BE18B9"/>
    <w:rsid w:val="00BE190A"/>
    <w:rsid w:val="00BE2495"/>
    <w:rsid w:val="00BE24DD"/>
    <w:rsid w:val="00BE2DB0"/>
    <w:rsid w:val="00BE34BB"/>
    <w:rsid w:val="00BE386D"/>
    <w:rsid w:val="00BE4B6B"/>
    <w:rsid w:val="00BE4DA9"/>
    <w:rsid w:val="00BE54BF"/>
    <w:rsid w:val="00BE557B"/>
    <w:rsid w:val="00BE55EF"/>
    <w:rsid w:val="00BE59C5"/>
    <w:rsid w:val="00BE652B"/>
    <w:rsid w:val="00BE6C26"/>
    <w:rsid w:val="00BE7F5F"/>
    <w:rsid w:val="00BF02C8"/>
    <w:rsid w:val="00BF08EA"/>
    <w:rsid w:val="00BF0FD7"/>
    <w:rsid w:val="00BF1578"/>
    <w:rsid w:val="00BF15CA"/>
    <w:rsid w:val="00BF1D12"/>
    <w:rsid w:val="00BF1D3A"/>
    <w:rsid w:val="00BF267B"/>
    <w:rsid w:val="00BF2B5B"/>
    <w:rsid w:val="00BF2D41"/>
    <w:rsid w:val="00BF3201"/>
    <w:rsid w:val="00BF3274"/>
    <w:rsid w:val="00BF32DC"/>
    <w:rsid w:val="00BF35C9"/>
    <w:rsid w:val="00BF4329"/>
    <w:rsid w:val="00BF4DCD"/>
    <w:rsid w:val="00BF4E43"/>
    <w:rsid w:val="00BF5C4C"/>
    <w:rsid w:val="00BF6B0D"/>
    <w:rsid w:val="00BF71E7"/>
    <w:rsid w:val="00BF765C"/>
    <w:rsid w:val="00BF77FC"/>
    <w:rsid w:val="00BF7BB2"/>
    <w:rsid w:val="00BF7D00"/>
    <w:rsid w:val="00BF7DAD"/>
    <w:rsid w:val="00C006D6"/>
    <w:rsid w:val="00C008FE"/>
    <w:rsid w:val="00C00BD7"/>
    <w:rsid w:val="00C00EBF"/>
    <w:rsid w:val="00C0103E"/>
    <w:rsid w:val="00C01410"/>
    <w:rsid w:val="00C024BB"/>
    <w:rsid w:val="00C0259E"/>
    <w:rsid w:val="00C027E4"/>
    <w:rsid w:val="00C02D23"/>
    <w:rsid w:val="00C03D4D"/>
    <w:rsid w:val="00C0436A"/>
    <w:rsid w:val="00C044F4"/>
    <w:rsid w:val="00C04B78"/>
    <w:rsid w:val="00C04F46"/>
    <w:rsid w:val="00C052AA"/>
    <w:rsid w:val="00C05608"/>
    <w:rsid w:val="00C06EE3"/>
    <w:rsid w:val="00C07279"/>
    <w:rsid w:val="00C07749"/>
    <w:rsid w:val="00C07B3F"/>
    <w:rsid w:val="00C07C67"/>
    <w:rsid w:val="00C10099"/>
    <w:rsid w:val="00C107A7"/>
    <w:rsid w:val="00C10805"/>
    <w:rsid w:val="00C11244"/>
    <w:rsid w:val="00C1186C"/>
    <w:rsid w:val="00C118A9"/>
    <w:rsid w:val="00C11D48"/>
    <w:rsid w:val="00C12304"/>
    <w:rsid w:val="00C12316"/>
    <w:rsid w:val="00C1246C"/>
    <w:rsid w:val="00C1493E"/>
    <w:rsid w:val="00C1494A"/>
    <w:rsid w:val="00C14D39"/>
    <w:rsid w:val="00C152DE"/>
    <w:rsid w:val="00C15444"/>
    <w:rsid w:val="00C15537"/>
    <w:rsid w:val="00C15954"/>
    <w:rsid w:val="00C15DBD"/>
    <w:rsid w:val="00C161C5"/>
    <w:rsid w:val="00C172F7"/>
    <w:rsid w:val="00C1798F"/>
    <w:rsid w:val="00C2010D"/>
    <w:rsid w:val="00C2030A"/>
    <w:rsid w:val="00C20906"/>
    <w:rsid w:val="00C20CB5"/>
    <w:rsid w:val="00C21430"/>
    <w:rsid w:val="00C21559"/>
    <w:rsid w:val="00C216DF"/>
    <w:rsid w:val="00C21E61"/>
    <w:rsid w:val="00C21F51"/>
    <w:rsid w:val="00C21F94"/>
    <w:rsid w:val="00C224BD"/>
    <w:rsid w:val="00C2272B"/>
    <w:rsid w:val="00C232ED"/>
    <w:rsid w:val="00C234DB"/>
    <w:rsid w:val="00C23796"/>
    <w:rsid w:val="00C23C5C"/>
    <w:rsid w:val="00C240A1"/>
    <w:rsid w:val="00C2479A"/>
    <w:rsid w:val="00C24903"/>
    <w:rsid w:val="00C2590D"/>
    <w:rsid w:val="00C25D9C"/>
    <w:rsid w:val="00C26086"/>
    <w:rsid w:val="00C27913"/>
    <w:rsid w:val="00C27C96"/>
    <w:rsid w:val="00C27FA7"/>
    <w:rsid w:val="00C300E2"/>
    <w:rsid w:val="00C3198A"/>
    <w:rsid w:val="00C31BCC"/>
    <w:rsid w:val="00C31F21"/>
    <w:rsid w:val="00C3220D"/>
    <w:rsid w:val="00C32631"/>
    <w:rsid w:val="00C33301"/>
    <w:rsid w:val="00C33311"/>
    <w:rsid w:val="00C333A0"/>
    <w:rsid w:val="00C33B68"/>
    <w:rsid w:val="00C34AD4"/>
    <w:rsid w:val="00C350C5"/>
    <w:rsid w:val="00C35570"/>
    <w:rsid w:val="00C35A2A"/>
    <w:rsid w:val="00C36A79"/>
    <w:rsid w:val="00C36D19"/>
    <w:rsid w:val="00C4018E"/>
    <w:rsid w:val="00C401A9"/>
    <w:rsid w:val="00C401D2"/>
    <w:rsid w:val="00C401DA"/>
    <w:rsid w:val="00C4031A"/>
    <w:rsid w:val="00C405D4"/>
    <w:rsid w:val="00C408AE"/>
    <w:rsid w:val="00C419D5"/>
    <w:rsid w:val="00C41D54"/>
    <w:rsid w:val="00C41F2C"/>
    <w:rsid w:val="00C42EBB"/>
    <w:rsid w:val="00C431E3"/>
    <w:rsid w:val="00C435E8"/>
    <w:rsid w:val="00C4362A"/>
    <w:rsid w:val="00C4513B"/>
    <w:rsid w:val="00C45502"/>
    <w:rsid w:val="00C46517"/>
    <w:rsid w:val="00C46769"/>
    <w:rsid w:val="00C4755A"/>
    <w:rsid w:val="00C475E8"/>
    <w:rsid w:val="00C50A88"/>
    <w:rsid w:val="00C50B73"/>
    <w:rsid w:val="00C50E79"/>
    <w:rsid w:val="00C5197D"/>
    <w:rsid w:val="00C52250"/>
    <w:rsid w:val="00C525FB"/>
    <w:rsid w:val="00C527AD"/>
    <w:rsid w:val="00C53239"/>
    <w:rsid w:val="00C5390B"/>
    <w:rsid w:val="00C53C9F"/>
    <w:rsid w:val="00C54257"/>
    <w:rsid w:val="00C54697"/>
    <w:rsid w:val="00C550CE"/>
    <w:rsid w:val="00C55344"/>
    <w:rsid w:val="00C553A5"/>
    <w:rsid w:val="00C55402"/>
    <w:rsid w:val="00C55B08"/>
    <w:rsid w:val="00C55E3B"/>
    <w:rsid w:val="00C5603B"/>
    <w:rsid w:val="00C6020C"/>
    <w:rsid w:val="00C60AE3"/>
    <w:rsid w:val="00C60C19"/>
    <w:rsid w:val="00C61F47"/>
    <w:rsid w:val="00C62828"/>
    <w:rsid w:val="00C631B2"/>
    <w:rsid w:val="00C63DD1"/>
    <w:rsid w:val="00C64454"/>
    <w:rsid w:val="00C645CD"/>
    <w:rsid w:val="00C6479C"/>
    <w:rsid w:val="00C655DA"/>
    <w:rsid w:val="00C672C1"/>
    <w:rsid w:val="00C67D88"/>
    <w:rsid w:val="00C706D2"/>
    <w:rsid w:val="00C7090E"/>
    <w:rsid w:val="00C715CC"/>
    <w:rsid w:val="00C719A3"/>
    <w:rsid w:val="00C71D2F"/>
    <w:rsid w:val="00C72227"/>
    <w:rsid w:val="00C72984"/>
    <w:rsid w:val="00C72C99"/>
    <w:rsid w:val="00C73885"/>
    <w:rsid w:val="00C73C93"/>
    <w:rsid w:val="00C741EF"/>
    <w:rsid w:val="00C7435A"/>
    <w:rsid w:val="00C747B1"/>
    <w:rsid w:val="00C74CEA"/>
    <w:rsid w:val="00C75110"/>
    <w:rsid w:val="00C75510"/>
    <w:rsid w:val="00C755F9"/>
    <w:rsid w:val="00C75752"/>
    <w:rsid w:val="00C75B60"/>
    <w:rsid w:val="00C761EC"/>
    <w:rsid w:val="00C770C9"/>
    <w:rsid w:val="00C8019E"/>
    <w:rsid w:val="00C81070"/>
    <w:rsid w:val="00C81259"/>
    <w:rsid w:val="00C8174E"/>
    <w:rsid w:val="00C82191"/>
    <w:rsid w:val="00C830D3"/>
    <w:rsid w:val="00C83134"/>
    <w:rsid w:val="00C831E7"/>
    <w:rsid w:val="00C832F3"/>
    <w:rsid w:val="00C83B4C"/>
    <w:rsid w:val="00C84307"/>
    <w:rsid w:val="00C845A4"/>
    <w:rsid w:val="00C85545"/>
    <w:rsid w:val="00C855B5"/>
    <w:rsid w:val="00C85C86"/>
    <w:rsid w:val="00C85F0E"/>
    <w:rsid w:val="00C867F9"/>
    <w:rsid w:val="00C872AA"/>
    <w:rsid w:val="00C873F3"/>
    <w:rsid w:val="00C875BD"/>
    <w:rsid w:val="00C87C6B"/>
    <w:rsid w:val="00C90357"/>
    <w:rsid w:val="00C9063B"/>
    <w:rsid w:val="00C90CF4"/>
    <w:rsid w:val="00C917A7"/>
    <w:rsid w:val="00C91C20"/>
    <w:rsid w:val="00C922DE"/>
    <w:rsid w:val="00C92843"/>
    <w:rsid w:val="00C929FE"/>
    <w:rsid w:val="00C92EB6"/>
    <w:rsid w:val="00C9300A"/>
    <w:rsid w:val="00C93389"/>
    <w:rsid w:val="00C948E6"/>
    <w:rsid w:val="00C94CDD"/>
    <w:rsid w:val="00C95123"/>
    <w:rsid w:val="00C95DA9"/>
    <w:rsid w:val="00C96A7B"/>
    <w:rsid w:val="00C96EF5"/>
    <w:rsid w:val="00C97588"/>
    <w:rsid w:val="00C97E0D"/>
    <w:rsid w:val="00CA0346"/>
    <w:rsid w:val="00CA073C"/>
    <w:rsid w:val="00CA09F3"/>
    <w:rsid w:val="00CA0BD5"/>
    <w:rsid w:val="00CA0DA1"/>
    <w:rsid w:val="00CA12D2"/>
    <w:rsid w:val="00CA1A21"/>
    <w:rsid w:val="00CA1BD6"/>
    <w:rsid w:val="00CA2EF5"/>
    <w:rsid w:val="00CA37FF"/>
    <w:rsid w:val="00CA423A"/>
    <w:rsid w:val="00CA47BC"/>
    <w:rsid w:val="00CA4B39"/>
    <w:rsid w:val="00CA557E"/>
    <w:rsid w:val="00CA5EAD"/>
    <w:rsid w:val="00CA6AB4"/>
    <w:rsid w:val="00CA7255"/>
    <w:rsid w:val="00CA752E"/>
    <w:rsid w:val="00CA79E2"/>
    <w:rsid w:val="00CA7D68"/>
    <w:rsid w:val="00CB111E"/>
    <w:rsid w:val="00CB1BEE"/>
    <w:rsid w:val="00CB2224"/>
    <w:rsid w:val="00CB2351"/>
    <w:rsid w:val="00CB3605"/>
    <w:rsid w:val="00CB3FC8"/>
    <w:rsid w:val="00CB4022"/>
    <w:rsid w:val="00CB4257"/>
    <w:rsid w:val="00CB4930"/>
    <w:rsid w:val="00CB4BA9"/>
    <w:rsid w:val="00CB4C48"/>
    <w:rsid w:val="00CB4C63"/>
    <w:rsid w:val="00CB5398"/>
    <w:rsid w:val="00CB57F9"/>
    <w:rsid w:val="00CB5895"/>
    <w:rsid w:val="00CB5A48"/>
    <w:rsid w:val="00CB5E10"/>
    <w:rsid w:val="00CB5E2E"/>
    <w:rsid w:val="00CB613B"/>
    <w:rsid w:val="00CB6152"/>
    <w:rsid w:val="00CB61FC"/>
    <w:rsid w:val="00CB63BE"/>
    <w:rsid w:val="00CB64E1"/>
    <w:rsid w:val="00CB6C6F"/>
    <w:rsid w:val="00CB6E4D"/>
    <w:rsid w:val="00CB7495"/>
    <w:rsid w:val="00CB76F1"/>
    <w:rsid w:val="00CC009B"/>
    <w:rsid w:val="00CC0156"/>
    <w:rsid w:val="00CC0834"/>
    <w:rsid w:val="00CC0AEA"/>
    <w:rsid w:val="00CC12C7"/>
    <w:rsid w:val="00CC1901"/>
    <w:rsid w:val="00CC1DF8"/>
    <w:rsid w:val="00CC20FE"/>
    <w:rsid w:val="00CC225C"/>
    <w:rsid w:val="00CC2342"/>
    <w:rsid w:val="00CC2E7D"/>
    <w:rsid w:val="00CC433B"/>
    <w:rsid w:val="00CC469E"/>
    <w:rsid w:val="00CC5BE8"/>
    <w:rsid w:val="00CC612B"/>
    <w:rsid w:val="00CC6145"/>
    <w:rsid w:val="00CC655F"/>
    <w:rsid w:val="00CC65EC"/>
    <w:rsid w:val="00CC66F9"/>
    <w:rsid w:val="00CC6C2A"/>
    <w:rsid w:val="00CC6F4D"/>
    <w:rsid w:val="00CC6F84"/>
    <w:rsid w:val="00CC6FE5"/>
    <w:rsid w:val="00CC7458"/>
    <w:rsid w:val="00CC76BD"/>
    <w:rsid w:val="00CC7A87"/>
    <w:rsid w:val="00CC7F1E"/>
    <w:rsid w:val="00CD08BF"/>
    <w:rsid w:val="00CD08DE"/>
    <w:rsid w:val="00CD0D6B"/>
    <w:rsid w:val="00CD0F7F"/>
    <w:rsid w:val="00CD1060"/>
    <w:rsid w:val="00CD10A5"/>
    <w:rsid w:val="00CD1129"/>
    <w:rsid w:val="00CD1388"/>
    <w:rsid w:val="00CD1A80"/>
    <w:rsid w:val="00CD1CB5"/>
    <w:rsid w:val="00CD1E14"/>
    <w:rsid w:val="00CD2076"/>
    <w:rsid w:val="00CD24B5"/>
    <w:rsid w:val="00CD24CE"/>
    <w:rsid w:val="00CD29B5"/>
    <w:rsid w:val="00CD2B78"/>
    <w:rsid w:val="00CD3866"/>
    <w:rsid w:val="00CD3FAB"/>
    <w:rsid w:val="00CD5456"/>
    <w:rsid w:val="00CD5C3E"/>
    <w:rsid w:val="00CD5C57"/>
    <w:rsid w:val="00CD5CC4"/>
    <w:rsid w:val="00CD5F0F"/>
    <w:rsid w:val="00CD6331"/>
    <w:rsid w:val="00CD636A"/>
    <w:rsid w:val="00CD6AD0"/>
    <w:rsid w:val="00CD79E0"/>
    <w:rsid w:val="00CD7E9E"/>
    <w:rsid w:val="00CE0AB1"/>
    <w:rsid w:val="00CE14BE"/>
    <w:rsid w:val="00CE150B"/>
    <w:rsid w:val="00CE17A4"/>
    <w:rsid w:val="00CE1BA9"/>
    <w:rsid w:val="00CE2D8F"/>
    <w:rsid w:val="00CE3532"/>
    <w:rsid w:val="00CE3BA9"/>
    <w:rsid w:val="00CE3C09"/>
    <w:rsid w:val="00CE3E48"/>
    <w:rsid w:val="00CE46C0"/>
    <w:rsid w:val="00CE47B8"/>
    <w:rsid w:val="00CE4F32"/>
    <w:rsid w:val="00CE54FD"/>
    <w:rsid w:val="00CE5C92"/>
    <w:rsid w:val="00CE5E12"/>
    <w:rsid w:val="00CE62FA"/>
    <w:rsid w:val="00CE670B"/>
    <w:rsid w:val="00CE6833"/>
    <w:rsid w:val="00CE7562"/>
    <w:rsid w:val="00CF020B"/>
    <w:rsid w:val="00CF074A"/>
    <w:rsid w:val="00CF0E03"/>
    <w:rsid w:val="00CF15BF"/>
    <w:rsid w:val="00CF2E4D"/>
    <w:rsid w:val="00CF35A7"/>
    <w:rsid w:val="00CF3B83"/>
    <w:rsid w:val="00CF4205"/>
    <w:rsid w:val="00CF4367"/>
    <w:rsid w:val="00CF4908"/>
    <w:rsid w:val="00CF4B5B"/>
    <w:rsid w:val="00CF4D64"/>
    <w:rsid w:val="00CF51EC"/>
    <w:rsid w:val="00CF545D"/>
    <w:rsid w:val="00CF5873"/>
    <w:rsid w:val="00CF626D"/>
    <w:rsid w:val="00CF6AB7"/>
    <w:rsid w:val="00CF6E87"/>
    <w:rsid w:val="00CF73AE"/>
    <w:rsid w:val="00CF7777"/>
    <w:rsid w:val="00CF7BCB"/>
    <w:rsid w:val="00D003BD"/>
    <w:rsid w:val="00D0085A"/>
    <w:rsid w:val="00D0197F"/>
    <w:rsid w:val="00D01B31"/>
    <w:rsid w:val="00D0220F"/>
    <w:rsid w:val="00D0242D"/>
    <w:rsid w:val="00D026A8"/>
    <w:rsid w:val="00D02716"/>
    <w:rsid w:val="00D02CFF"/>
    <w:rsid w:val="00D03A72"/>
    <w:rsid w:val="00D040DD"/>
    <w:rsid w:val="00D0410D"/>
    <w:rsid w:val="00D04134"/>
    <w:rsid w:val="00D0544B"/>
    <w:rsid w:val="00D05C65"/>
    <w:rsid w:val="00D06884"/>
    <w:rsid w:val="00D0694C"/>
    <w:rsid w:val="00D06B56"/>
    <w:rsid w:val="00D06D68"/>
    <w:rsid w:val="00D075BE"/>
    <w:rsid w:val="00D07AFF"/>
    <w:rsid w:val="00D07CC2"/>
    <w:rsid w:val="00D105FD"/>
    <w:rsid w:val="00D10C15"/>
    <w:rsid w:val="00D11011"/>
    <w:rsid w:val="00D112D2"/>
    <w:rsid w:val="00D11476"/>
    <w:rsid w:val="00D12029"/>
    <w:rsid w:val="00D120BD"/>
    <w:rsid w:val="00D1276D"/>
    <w:rsid w:val="00D12C25"/>
    <w:rsid w:val="00D12FCD"/>
    <w:rsid w:val="00D133B4"/>
    <w:rsid w:val="00D13986"/>
    <w:rsid w:val="00D13F3E"/>
    <w:rsid w:val="00D1464E"/>
    <w:rsid w:val="00D14AF3"/>
    <w:rsid w:val="00D14AF9"/>
    <w:rsid w:val="00D14C5B"/>
    <w:rsid w:val="00D15468"/>
    <w:rsid w:val="00D15D3A"/>
    <w:rsid w:val="00D15FED"/>
    <w:rsid w:val="00D16712"/>
    <w:rsid w:val="00D16EF9"/>
    <w:rsid w:val="00D174E0"/>
    <w:rsid w:val="00D17AD2"/>
    <w:rsid w:val="00D17B4D"/>
    <w:rsid w:val="00D20600"/>
    <w:rsid w:val="00D214EF"/>
    <w:rsid w:val="00D215B0"/>
    <w:rsid w:val="00D2192C"/>
    <w:rsid w:val="00D21B36"/>
    <w:rsid w:val="00D21D6D"/>
    <w:rsid w:val="00D21D83"/>
    <w:rsid w:val="00D2243B"/>
    <w:rsid w:val="00D22A03"/>
    <w:rsid w:val="00D22A47"/>
    <w:rsid w:val="00D235B7"/>
    <w:rsid w:val="00D23A99"/>
    <w:rsid w:val="00D23B39"/>
    <w:rsid w:val="00D23EA4"/>
    <w:rsid w:val="00D23FAE"/>
    <w:rsid w:val="00D250EB"/>
    <w:rsid w:val="00D25F28"/>
    <w:rsid w:val="00D25FDC"/>
    <w:rsid w:val="00D26071"/>
    <w:rsid w:val="00D260B0"/>
    <w:rsid w:val="00D260C7"/>
    <w:rsid w:val="00D26133"/>
    <w:rsid w:val="00D2628C"/>
    <w:rsid w:val="00D269B9"/>
    <w:rsid w:val="00D27973"/>
    <w:rsid w:val="00D27B07"/>
    <w:rsid w:val="00D27F07"/>
    <w:rsid w:val="00D27F3A"/>
    <w:rsid w:val="00D31537"/>
    <w:rsid w:val="00D31E1E"/>
    <w:rsid w:val="00D322A0"/>
    <w:rsid w:val="00D32824"/>
    <w:rsid w:val="00D32C69"/>
    <w:rsid w:val="00D3300D"/>
    <w:rsid w:val="00D33297"/>
    <w:rsid w:val="00D333A3"/>
    <w:rsid w:val="00D334E2"/>
    <w:rsid w:val="00D335E5"/>
    <w:rsid w:val="00D33EE0"/>
    <w:rsid w:val="00D348FD"/>
    <w:rsid w:val="00D350B1"/>
    <w:rsid w:val="00D35AD6"/>
    <w:rsid w:val="00D35B69"/>
    <w:rsid w:val="00D35BBB"/>
    <w:rsid w:val="00D35E1A"/>
    <w:rsid w:val="00D362B1"/>
    <w:rsid w:val="00D36779"/>
    <w:rsid w:val="00D36B0A"/>
    <w:rsid w:val="00D36DFB"/>
    <w:rsid w:val="00D36E1C"/>
    <w:rsid w:val="00D3722F"/>
    <w:rsid w:val="00D372D7"/>
    <w:rsid w:val="00D373AF"/>
    <w:rsid w:val="00D37DBD"/>
    <w:rsid w:val="00D40162"/>
    <w:rsid w:val="00D40441"/>
    <w:rsid w:val="00D40556"/>
    <w:rsid w:val="00D40E1F"/>
    <w:rsid w:val="00D41495"/>
    <w:rsid w:val="00D418E9"/>
    <w:rsid w:val="00D41BCD"/>
    <w:rsid w:val="00D41F74"/>
    <w:rsid w:val="00D42399"/>
    <w:rsid w:val="00D428C8"/>
    <w:rsid w:val="00D43034"/>
    <w:rsid w:val="00D43D3C"/>
    <w:rsid w:val="00D43ED2"/>
    <w:rsid w:val="00D4653E"/>
    <w:rsid w:val="00D46F11"/>
    <w:rsid w:val="00D47806"/>
    <w:rsid w:val="00D47A67"/>
    <w:rsid w:val="00D47C12"/>
    <w:rsid w:val="00D47C4E"/>
    <w:rsid w:val="00D50016"/>
    <w:rsid w:val="00D50A79"/>
    <w:rsid w:val="00D50F46"/>
    <w:rsid w:val="00D51FA0"/>
    <w:rsid w:val="00D5302A"/>
    <w:rsid w:val="00D531F2"/>
    <w:rsid w:val="00D533C4"/>
    <w:rsid w:val="00D5384E"/>
    <w:rsid w:val="00D544E7"/>
    <w:rsid w:val="00D5499F"/>
    <w:rsid w:val="00D55602"/>
    <w:rsid w:val="00D5560A"/>
    <w:rsid w:val="00D56250"/>
    <w:rsid w:val="00D56892"/>
    <w:rsid w:val="00D56EE1"/>
    <w:rsid w:val="00D56FBF"/>
    <w:rsid w:val="00D57129"/>
    <w:rsid w:val="00D57677"/>
    <w:rsid w:val="00D5781F"/>
    <w:rsid w:val="00D579B2"/>
    <w:rsid w:val="00D60415"/>
    <w:rsid w:val="00D60515"/>
    <w:rsid w:val="00D60D0C"/>
    <w:rsid w:val="00D60DAE"/>
    <w:rsid w:val="00D60E3C"/>
    <w:rsid w:val="00D60FA7"/>
    <w:rsid w:val="00D612BF"/>
    <w:rsid w:val="00D61332"/>
    <w:rsid w:val="00D61FAB"/>
    <w:rsid w:val="00D62180"/>
    <w:rsid w:val="00D625DF"/>
    <w:rsid w:val="00D629FA"/>
    <w:rsid w:val="00D62C4E"/>
    <w:rsid w:val="00D62FE9"/>
    <w:rsid w:val="00D63947"/>
    <w:rsid w:val="00D63BE5"/>
    <w:rsid w:val="00D6475F"/>
    <w:rsid w:val="00D650A2"/>
    <w:rsid w:val="00D652EB"/>
    <w:rsid w:val="00D655D4"/>
    <w:rsid w:val="00D661A0"/>
    <w:rsid w:val="00D66223"/>
    <w:rsid w:val="00D667B8"/>
    <w:rsid w:val="00D66CCD"/>
    <w:rsid w:val="00D677BC"/>
    <w:rsid w:val="00D679AE"/>
    <w:rsid w:val="00D67D55"/>
    <w:rsid w:val="00D70130"/>
    <w:rsid w:val="00D70289"/>
    <w:rsid w:val="00D7041F"/>
    <w:rsid w:val="00D70822"/>
    <w:rsid w:val="00D708E1"/>
    <w:rsid w:val="00D71B96"/>
    <w:rsid w:val="00D71E35"/>
    <w:rsid w:val="00D72076"/>
    <w:rsid w:val="00D721B4"/>
    <w:rsid w:val="00D726A9"/>
    <w:rsid w:val="00D72986"/>
    <w:rsid w:val="00D72C66"/>
    <w:rsid w:val="00D72DBA"/>
    <w:rsid w:val="00D743E0"/>
    <w:rsid w:val="00D74667"/>
    <w:rsid w:val="00D7469D"/>
    <w:rsid w:val="00D7490C"/>
    <w:rsid w:val="00D74F03"/>
    <w:rsid w:val="00D756D1"/>
    <w:rsid w:val="00D75AC1"/>
    <w:rsid w:val="00D763CF"/>
    <w:rsid w:val="00D77252"/>
    <w:rsid w:val="00D80129"/>
    <w:rsid w:val="00D8084C"/>
    <w:rsid w:val="00D8088C"/>
    <w:rsid w:val="00D8125F"/>
    <w:rsid w:val="00D81809"/>
    <w:rsid w:val="00D8210B"/>
    <w:rsid w:val="00D82EF1"/>
    <w:rsid w:val="00D84470"/>
    <w:rsid w:val="00D84CC9"/>
    <w:rsid w:val="00D84F3F"/>
    <w:rsid w:val="00D84F43"/>
    <w:rsid w:val="00D85114"/>
    <w:rsid w:val="00D85821"/>
    <w:rsid w:val="00D8598C"/>
    <w:rsid w:val="00D85BF3"/>
    <w:rsid w:val="00D861DB"/>
    <w:rsid w:val="00D8755D"/>
    <w:rsid w:val="00D87793"/>
    <w:rsid w:val="00D87AC8"/>
    <w:rsid w:val="00D87C06"/>
    <w:rsid w:val="00D90924"/>
    <w:rsid w:val="00D90DF2"/>
    <w:rsid w:val="00D91271"/>
    <w:rsid w:val="00D915EA"/>
    <w:rsid w:val="00D919ED"/>
    <w:rsid w:val="00D922A1"/>
    <w:rsid w:val="00D928BE"/>
    <w:rsid w:val="00D92CD7"/>
    <w:rsid w:val="00D932B8"/>
    <w:rsid w:val="00D932F0"/>
    <w:rsid w:val="00D936C6"/>
    <w:rsid w:val="00D93CDB"/>
    <w:rsid w:val="00D93E70"/>
    <w:rsid w:val="00D95302"/>
    <w:rsid w:val="00D95889"/>
    <w:rsid w:val="00D95C5D"/>
    <w:rsid w:val="00D95CBE"/>
    <w:rsid w:val="00D95E17"/>
    <w:rsid w:val="00D95E7F"/>
    <w:rsid w:val="00D96FA4"/>
    <w:rsid w:val="00D97BD8"/>
    <w:rsid w:val="00D97D00"/>
    <w:rsid w:val="00D97DD2"/>
    <w:rsid w:val="00DA0121"/>
    <w:rsid w:val="00DA096C"/>
    <w:rsid w:val="00DA1AB6"/>
    <w:rsid w:val="00DA2E65"/>
    <w:rsid w:val="00DA3479"/>
    <w:rsid w:val="00DA37DE"/>
    <w:rsid w:val="00DA3ADF"/>
    <w:rsid w:val="00DA3CEF"/>
    <w:rsid w:val="00DA4174"/>
    <w:rsid w:val="00DA4FA8"/>
    <w:rsid w:val="00DA544C"/>
    <w:rsid w:val="00DA5F8E"/>
    <w:rsid w:val="00DA6364"/>
    <w:rsid w:val="00DA656E"/>
    <w:rsid w:val="00DA7114"/>
    <w:rsid w:val="00DA7BC3"/>
    <w:rsid w:val="00DA7C0C"/>
    <w:rsid w:val="00DA7E2F"/>
    <w:rsid w:val="00DB03DD"/>
    <w:rsid w:val="00DB05B4"/>
    <w:rsid w:val="00DB08A9"/>
    <w:rsid w:val="00DB0B33"/>
    <w:rsid w:val="00DB0EBD"/>
    <w:rsid w:val="00DB0FD9"/>
    <w:rsid w:val="00DB1273"/>
    <w:rsid w:val="00DB13EF"/>
    <w:rsid w:val="00DB2DFA"/>
    <w:rsid w:val="00DB2EC8"/>
    <w:rsid w:val="00DB321D"/>
    <w:rsid w:val="00DB459B"/>
    <w:rsid w:val="00DB46D6"/>
    <w:rsid w:val="00DB47FD"/>
    <w:rsid w:val="00DB56F9"/>
    <w:rsid w:val="00DB5E3A"/>
    <w:rsid w:val="00DB5E9A"/>
    <w:rsid w:val="00DB613B"/>
    <w:rsid w:val="00DB657E"/>
    <w:rsid w:val="00DB6604"/>
    <w:rsid w:val="00DB699D"/>
    <w:rsid w:val="00DB7093"/>
    <w:rsid w:val="00DB7342"/>
    <w:rsid w:val="00DB7489"/>
    <w:rsid w:val="00DB74D3"/>
    <w:rsid w:val="00DB76E7"/>
    <w:rsid w:val="00DC07DB"/>
    <w:rsid w:val="00DC0B4D"/>
    <w:rsid w:val="00DC0CBB"/>
    <w:rsid w:val="00DC0DCD"/>
    <w:rsid w:val="00DC17D0"/>
    <w:rsid w:val="00DC1E5D"/>
    <w:rsid w:val="00DC24EE"/>
    <w:rsid w:val="00DC25C7"/>
    <w:rsid w:val="00DC2B41"/>
    <w:rsid w:val="00DC2BF2"/>
    <w:rsid w:val="00DC2EA7"/>
    <w:rsid w:val="00DC3128"/>
    <w:rsid w:val="00DC3A96"/>
    <w:rsid w:val="00DC3E4E"/>
    <w:rsid w:val="00DC435B"/>
    <w:rsid w:val="00DC4A76"/>
    <w:rsid w:val="00DC4AC4"/>
    <w:rsid w:val="00DC53D8"/>
    <w:rsid w:val="00DC56FE"/>
    <w:rsid w:val="00DC5B3B"/>
    <w:rsid w:val="00DC5E13"/>
    <w:rsid w:val="00DC5F11"/>
    <w:rsid w:val="00DC6C2D"/>
    <w:rsid w:val="00DC744D"/>
    <w:rsid w:val="00DC7B1A"/>
    <w:rsid w:val="00DC7DC1"/>
    <w:rsid w:val="00DD01BD"/>
    <w:rsid w:val="00DD04B0"/>
    <w:rsid w:val="00DD0A53"/>
    <w:rsid w:val="00DD129F"/>
    <w:rsid w:val="00DD13FC"/>
    <w:rsid w:val="00DD1A3F"/>
    <w:rsid w:val="00DD29B5"/>
    <w:rsid w:val="00DD32DD"/>
    <w:rsid w:val="00DD33E8"/>
    <w:rsid w:val="00DD4BC8"/>
    <w:rsid w:val="00DD4EFD"/>
    <w:rsid w:val="00DD5287"/>
    <w:rsid w:val="00DD54CD"/>
    <w:rsid w:val="00DD5688"/>
    <w:rsid w:val="00DD58E5"/>
    <w:rsid w:val="00DD5B36"/>
    <w:rsid w:val="00DD6230"/>
    <w:rsid w:val="00DD64A4"/>
    <w:rsid w:val="00DD6D61"/>
    <w:rsid w:val="00DD6E6B"/>
    <w:rsid w:val="00DD7849"/>
    <w:rsid w:val="00DD7D30"/>
    <w:rsid w:val="00DE03DE"/>
    <w:rsid w:val="00DE0453"/>
    <w:rsid w:val="00DE0D8B"/>
    <w:rsid w:val="00DE1237"/>
    <w:rsid w:val="00DE1346"/>
    <w:rsid w:val="00DE140F"/>
    <w:rsid w:val="00DE17E9"/>
    <w:rsid w:val="00DE1A4A"/>
    <w:rsid w:val="00DE1A98"/>
    <w:rsid w:val="00DE1FC3"/>
    <w:rsid w:val="00DE2491"/>
    <w:rsid w:val="00DE273F"/>
    <w:rsid w:val="00DE27CD"/>
    <w:rsid w:val="00DE3231"/>
    <w:rsid w:val="00DE3E22"/>
    <w:rsid w:val="00DE3E5D"/>
    <w:rsid w:val="00DE450F"/>
    <w:rsid w:val="00DE45A0"/>
    <w:rsid w:val="00DE4865"/>
    <w:rsid w:val="00DE4882"/>
    <w:rsid w:val="00DE513B"/>
    <w:rsid w:val="00DE5CA6"/>
    <w:rsid w:val="00DE5E55"/>
    <w:rsid w:val="00DE6209"/>
    <w:rsid w:val="00DE63AE"/>
    <w:rsid w:val="00DE7156"/>
    <w:rsid w:val="00DE7AC8"/>
    <w:rsid w:val="00DF0830"/>
    <w:rsid w:val="00DF18D0"/>
    <w:rsid w:val="00DF2814"/>
    <w:rsid w:val="00DF29E5"/>
    <w:rsid w:val="00DF2C5D"/>
    <w:rsid w:val="00DF2CD3"/>
    <w:rsid w:val="00DF3643"/>
    <w:rsid w:val="00DF3702"/>
    <w:rsid w:val="00DF3C29"/>
    <w:rsid w:val="00DF42FF"/>
    <w:rsid w:val="00DF4369"/>
    <w:rsid w:val="00DF4423"/>
    <w:rsid w:val="00DF47E2"/>
    <w:rsid w:val="00DF497B"/>
    <w:rsid w:val="00DF4ADF"/>
    <w:rsid w:val="00DF5317"/>
    <w:rsid w:val="00DF57D6"/>
    <w:rsid w:val="00DF5D1E"/>
    <w:rsid w:val="00DF7501"/>
    <w:rsid w:val="00DF77E4"/>
    <w:rsid w:val="00DF7F88"/>
    <w:rsid w:val="00E000C0"/>
    <w:rsid w:val="00E005AD"/>
    <w:rsid w:val="00E00B88"/>
    <w:rsid w:val="00E01C0E"/>
    <w:rsid w:val="00E01DBF"/>
    <w:rsid w:val="00E02027"/>
    <w:rsid w:val="00E031C0"/>
    <w:rsid w:val="00E0368F"/>
    <w:rsid w:val="00E03778"/>
    <w:rsid w:val="00E03A92"/>
    <w:rsid w:val="00E03D73"/>
    <w:rsid w:val="00E03F9A"/>
    <w:rsid w:val="00E040A9"/>
    <w:rsid w:val="00E040DA"/>
    <w:rsid w:val="00E04694"/>
    <w:rsid w:val="00E04DDA"/>
    <w:rsid w:val="00E05333"/>
    <w:rsid w:val="00E05CB1"/>
    <w:rsid w:val="00E064FF"/>
    <w:rsid w:val="00E0660F"/>
    <w:rsid w:val="00E07A69"/>
    <w:rsid w:val="00E10898"/>
    <w:rsid w:val="00E11682"/>
    <w:rsid w:val="00E1168B"/>
    <w:rsid w:val="00E11B09"/>
    <w:rsid w:val="00E12191"/>
    <w:rsid w:val="00E129E7"/>
    <w:rsid w:val="00E12AB3"/>
    <w:rsid w:val="00E12ABE"/>
    <w:rsid w:val="00E12B1E"/>
    <w:rsid w:val="00E12B8A"/>
    <w:rsid w:val="00E135EB"/>
    <w:rsid w:val="00E13995"/>
    <w:rsid w:val="00E13DE7"/>
    <w:rsid w:val="00E13E90"/>
    <w:rsid w:val="00E14333"/>
    <w:rsid w:val="00E1444C"/>
    <w:rsid w:val="00E15065"/>
    <w:rsid w:val="00E155BB"/>
    <w:rsid w:val="00E159C6"/>
    <w:rsid w:val="00E16D15"/>
    <w:rsid w:val="00E17262"/>
    <w:rsid w:val="00E173A7"/>
    <w:rsid w:val="00E173F2"/>
    <w:rsid w:val="00E17611"/>
    <w:rsid w:val="00E17F36"/>
    <w:rsid w:val="00E20016"/>
    <w:rsid w:val="00E20064"/>
    <w:rsid w:val="00E2009B"/>
    <w:rsid w:val="00E2039D"/>
    <w:rsid w:val="00E2039E"/>
    <w:rsid w:val="00E2077A"/>
    <w:rsid w:val="00E20BB9"/>
    <w:rsid w:val="00E20BCC"/>
    <w:rsid w:val="00E210D8"/>
    <w:rsid w:val="00E21CA5"/>
    <w:rsid w:val="00E2251C"/>
    <w:rsid w:val="00E23134"/>
    <w:rsid w:val="00E232E0"/>
    <w:rsid w:val="00E2363D"/>
    <w:rsid w:val="00E23C6A"/>
    <w:rsid w:val="00E24411"/>
    <w:rsid w:val="00E24805"/>
    <w:rsid w:val="00E2484B"/>
    <w:rsid w:val="00E253A2"/>
    <w:rsid w:val="00E25943"/>
    <w:rsid w:val="00E260F6"/>
    <w:rsid w:val="00E26A73"/>
    <w:rsid w:val="00E27127"/>
    <w:rsid w:val="00E27233"/>
    <w:rsid w:val="00E274BB"/>
    <w:rsid w:val="00E27AFE"/>
    <w:rsid w:val="00E27F48"/>
    <w:rsid w:val="00E30279"/>
    <w:rsid w:val="00E30F15"/>
    <w:rsid w:val="00E31771"/>
    <w:rsid w:val="00E3186D"/>
    <w:rsid w:val="00E31A3E"/>
    <w:rsid w:val="00E31A84"/>
    <w:rsid w:val="00E32080"/>
    <w:rsid w:val="00E32778"/>
    <w:rsid w:val="00E32DD9"/>
    <w:rsid w:val="00E3309D"/>
    <w:rsid w:val="00E332CF"/>
    <w:rsid w:val="00E333C5"/>
    <w:rsid w:val="00E337F0"/>
    <w:rsid w:val="00E3384A"/>
    <w:rsid w:val="00E34CA5"/>
    <w:rsid w:val="00E34DA9"/>
    <w:rsid w:val="00E34E3F"/>
    <w:rsid w:val="00E350B1"/>
    <w:rsid w:val="00E35A53"/>
    <w:rsid w:val="00E35C5E"/>
    <w:rsid w:val="00E3621D"/>
    <w:rsid w:val="00E3634A"/>
    <w:rsid w:val="00E3656B"/>
    <w:rsid w:val="00E37097"/>
    <w:rsid w:val="00E3712B"/>
    <w:rsid w:val="00E3724A"/>
    <w:rsid w:val="00E37801"/>
    <w:rsid w:val="00E378B1"/>
    <w:rsid w:val="00E41131"/>
    <w:rsid w:val="00E41179"/>
    <w:rsid w:val="00E417BE"/>
    <w:rsid w:val="00E41A3F"/>
    <w:rsid w:val="00E41CD5"/>
    <w:rsid w:val="00E41F01"/>
    <w:rsid w:val="00E42054"/>
    <w:rsid w:val="00E425BA"/>
    <w:rsid w:val="00E4372D"/>
    <w:rsid w:val="00E43A9E"/>
    <w:rsid w:val="00E43E06"/>
    <w:rsid w:val="00E44243"/>
    <w:rsid w:val="00E445D7"/>
    <w:rsid w:val="00E44908"/>
    <w:rsid w:val="00E453F9"/>
    <w:rsid w:val="00E455A7"/>
    <w:rsid w:val="00E45D7D"/>
    <w:rsid w:val="00E46090"/>
    <w:rsid w:val="00E4623F"/>
    <w:rsid w:val="00E4665D"/>
    <w:rsid w:val="00E47854"/>
    <w:rsid w:val="00E478E2"/>
    <w:rsid w:val="00E47A7C"/>
    <w:rsid w:val="00E47EBA"/>
    <w:rsid w:val="00E50156"/>
    <w:rsid w:val="00E504EB"/>
    <w:rsid w:val="00E5076C"/>
    <w:rsid w:val="00E50D2E"/>
    <w:rsid w:val="00E50D7D"/>
    <w:rsid w:val="00E51EF0"/>
    <w:rsid w:val="00E51F14"/>
    <w:rsid w:val="00E53470"/>
    <w:rsid w:val="00E5368D"/>
    <w:rsid w:val="00E539F6"/>
    <w:rsid w:val="00E54503"/>
    <w:rsid w:val="00E54698"/>
    <w:rsid w:val="00E54BE9"/>
    <w:rsid w:val="00E54D22"/>
    <w:rsid w:val="00E54FB4"/>
    <w:rsid w:val="00E5539A"/>
    <w:rsid w:val="00E55482"/>
    <w:rsid w:val="00E55791"/>
    <w:rsid w:val="00E559DE"/>
    <w:rsid w:val="00E55DE0"/>
    <w:rsid w:val="00E55E1A"/>
    <w:rsid w:val="00E56222"/>
    <w:rsid w:val="00E56F48"/>
    <w:rsid w:val="00E56F7E"/>
    <w:rsid w:val="00E577C5"/>
    <w:rsid w:val="00E578A2"/>
    <w:rsid w:val="00E579ED"/>
    <w:rsid w:val="00E60043"/>
    <w:rsid w:val="00E60463"/>
    <w:rsid w:val="00E60C6A"/>
    <w:rsid w:val="00E61740"/>
    <w:rsid w:val="00E61C16"/>
    <w:rsid w:val="00E61EB5"/>
    <w:rsid w:val="00E63031"/>
    <w:rsid w:val="00E6312E"/>
    <w:rsid w:val="00E63157"/>
    <w:rsid w:val="00E6324D"/>
    <w:rsid w:val="00E63B6E"/>
    <w:rsid w:val="00E647C1"/>
    <w:rsid w:val="00E64893"/>
    <w:rsid w:val="00E65084"/>
    <w:rsid w:val="00E6519D"/>
    <w:rsid w:val="00E65320"/>
    <w:rsid w:val="00E65A4D"/>
    <w:rsid w:val="00E66062"/>
    <w:rsid w:val="00E662B7"/>
    <w:rsid w:val="00E6660E"/>
    <w:rsid w:val="00E66634"/>
    <w:rsid w:val="00E66768"/>
    <w:rsid w:val="00E669D7"/>
    <w:rsid w:val="00E67305"/>
    <w:rsid w:val="00E67696"/>
    <w:rsid w:val="00E7024B"/>
    <w:rsid w:val="00E70812"/>
    <w:rsid w:val="00E709AF"/>
    <w:rsid w:val="00E70C5F"/>
    <w:rsid w:val="00E71A3C"/>
    <w:rsid w:val="00E71A58"/>
    <w:rsid w:val="00E728D7"/>
    <w:rsid w:val="00E72A26"/>
    <w:rsid w:val="00E72A7A"/>
    <w:rsid w:val="00E72BA4"/>
    <w:rsid w:val="00E72C0C"/>
    <w:rsid w:val="00E73065"/>
    <w:rsid w:val="00E7326D"/>
    <w:rsid w:val="00E7335A"/>
    <w:rsid w:val="00E735DB"/>
    <w:rsid w:val="00E73986"/>
    <w:rsid w:val="00E744ED"/>
    <w:rsid w:val="00E7467D"/>
    <w:rsid w:val="00E747DC"/>
    <w:rsid w:val="00E74A2D"/>
    <w:rsid w:val="00E7590D"/>
    <w:rsid w:val="00E75C94"/>
    <w:rsid w:val="00E767BF"/>
    <w:rsid w:val="00E76A08"/>
    <w:rsid w:val="00E76B9B"/>
    <w:rsid w:val="00E76C69"/>
    <w:rsid w:val="00E76E61"/>
    <w:rsid w:val="00E76EE4"/>
    <w:rsid w:val="00E7709B"/>
    <w:rsid w:val="00E775DE"/>
    <w:rsid w:val="00E77CC0"/>
    <w:rsid w:val="00E80B3D"/>
    <w:rsid w:val="00E80CA3"/>
    <w:rsid w:val="00E815D7"/>
    <w:rsid w:val="00E81AAA"/>
    <w:rsid w:val="00E82618"/>
    <w:rsid w:val="00E82A42"/>
    <w:rsid w:val="00E82D05"/>
    <w:rsid w:val="00E846A5"/>
    <w:rsid w:val="00E84E09"/>
    <w:rsid w:val="00E858F0"/>
    <w:rsid w:val="00E8745E"/>
    <w:rsid w:val="00E87CE2"/>
    <w:rsid w:val="00E87D3D"/>
    <w:rsid w:val="00E87D5B"/>
    <w:rsid w:val="00E90156"/>
    <w:rsid w:val="00E90CA8"/>
    <w:rsid w:val="00E911C6"/>
    <w:rsid w:val="00E91633"/>
    <w:rsid w:val="00E91A1C"/>
    <w:rsid w:val="00E91DEE"/>
    <w:rsid w:val="00E920DE"/>
    <w:rsid w:val="00E92B68"/>
    <w:rsid w:val="00E930A1"/>
    <w:rsid w:val="00E93820"/>
    <w:rsid w:val="00E94A86"/>
    <w:rsid w:val="00E951AB"/>
    <w:rsid w:val="00E953B8"/>
    <w:rsid w:val="00E953F6"/>
    <w:rsid w:val="00E95A06"/>
    <w:rsid w:val="00E96143"/>
    <w:rsid w:val="00E96833"/>
    <w:rsid w:val="00E97072"/>
    <w:rsid w:val="00E97506"/>
    <w:rsid w:val="00E97BB5"/>
    <w:rsid w:val="00E97D5B"/>
    <w:rsid w:val="00E97F14"/>
    <w:rsid w:val="00EA0C68"/>
    <w:rsid w:val="00EA0E39"/>
    <w:rsid w:val="00EA1130"/>
    <w:rsid w:val="00EA13A3"/>
    <w:rsid w:val="00EA1BE8"/>
    <w:rsid w:val="00EA1D0E"/>
    <w:rsid w:val="00EA2072"/>
    <w:rsid w:val="00EA2841"/>
    <w:rsid w:val="00EA32BC"/>
    <w:rsid w:val="00EA33F4"/>
    <w:rsid w:val="00EA35A7"/>
    <w:rsid w:val="00EA3B32"/>
    <w:rsid w:val="00EA3CEB"/>
    <w:rsid w:val="00EA3D05"/>
    <w:rsid w:val="00EA4222"/>
    <w:rsid w:val="00EA4402"/>
    <w:rsid w:val="00EA4507"/>
    <w:rsid w:val="00EA4B8D"/>
    <w:rsid w:val="00EA513E"/>
    <w:rsid w:val="00EA57C0"/>
    <w:rsid w:val="00EA5C4B"/>
    <w:rsid w:val="00EA7419"/>
    <w:rsid w:val="00EA7C51"/>
    <w:rsid w:val="00EB02B0"/>
    <w:rsid w:val="00EB0887"/>
    <w:rsid w:val="00EB0E32"/>
    <w:rsid w:val="00EB1CDC"/>
    <w:rsid w:val="00EB1D89"/>
    <w:rsid w:val="00EB1E1E"/>
    <w:rsid w:val="00EB3023"/>
    <w:rsid w:val="00EB3502"/>
    <w:rsid w:val="00EB385E"/>
    <w:rsid w:val="00EB3922"/>
    <w:rsid w:val="00EB3E60"/>
    <w:rsid w:val="00EB4511"/>
    <w:rsid w:val="00EB48D7"/>
    <w:rsid w:val="00EB49F1"/>
    <w:rsid w:val="00EB4A8E"/>
    <w:rsid w:val="00EB4BC5"/>
    <w:rsid w:val="00EB4E68"/>
    <w:rsid w:val="00EB5872"/>
    <w:rsid w:val="00EB5A64"/>
    <w:rsid w:val="00EB5BF7"/>
    <w:rsid w:val="00EB5E79"/>
    <w:rsid w:val="00EB5FAA"/>
    <w:rsid w:val="00EB6473"/>
    <w:rsid w:val="00EB6A51"/>
    <w:rsid w:val="00EB6DA6"/>
    <w:rsid w:val="00EB6FAC"/>
    <w:rsid w:val="00EB7AAD"/>
    <w:rsid w:val="00EB7BAC"/>
    <w:rsid w:val="00EB7CC9"/>
    <w:rsid w:val="00EC03D7"/>
    <w:rsid w:val="00EC09B2"/>
    <w:rsid w:val="00EC13A0"/>
    <w:rsid w:val="00EC13A7"/>
    <w:rsid w:val="00EC1744"/>
    <w:rsid w:val="00EC2414"/>
    <w:rsid w:val="00EC2EB6"/>
    <w:rsid w:val="00EC3A3B"/>
    <w:rsid w:val="00EC3E77"/>
    <w:rsid w:val="00EC4FFF"/>
    <w:rsid w:val="00EC5517"/>
    <w:rsid w:val="00EC5B17"/>
    <w:rsid w:val="00EC6E8C"/>
    <w:rsid w:val="00EC79DD"/>
    <w:rsid w:val="00ED0424"/>
    <w:rsid w:val="00ED08BD"/>
    <w:rsid w:val="00ED0962"/>
    <w:rsid w:val="00ED0EF0"/>
    <w:rsid w:val="00ED0F73"/>
    <w:rsid w:val="00ED12B9"/>
    <w:rsid w:val="00ED15D9"/>
    <w:rsid w:val="00ED16B8"/>
    <w:rsid w:val="00ED17D8"/>
    <w:rsid w:val="00ED1959"/>
    <w:rsid w:val="00ED1A00"/>
    <w:rsid w:val="00ED1DF0"/>
    <w:rsid w:val="00ED229E"/>
    <w:rsid w:val="00ED2386"/>
    <w:rsid w:val="00ED2525"/>
    <w:rsid w:val="00ED2B13"/>
    <w:rsid w:val="00ED2D26"/>
    <w:rsid w:val="00ED2EA1"/>
    <w:rsid w:val="00ED3851"/>
    <w:rsid w:val="00ED3D4A"/>
    <w:rsid w:val="00ED3E51"/>
    <w:rsid w:val="00ED3F10"/>
    <w:rsid w:val="00ED3F9B"/>
    <w:rsid w:val="00ED3FB3"/>
    <w:rsid w:val="00ED4D04"/>
    <w:rsid w:val="00ED4E87"/>
    <w:rsid w:val="00ED5153"/>
    <w:rsid w:val="00ED566D"/>
    <w:rsid w:val="00ED5907"/>
    <w:rsid w:val="00ED5F5B"/>
    <w:rsid w:val="00ED62C6"/>
    <w:rsid w:val="00ED64C1"/>
    <w:rsid w:val="00ED781F"/>
    <w:rsid w:val="00ED7A91"/>
    <w:rsid w:val="00EE0E7E"/>
    <w:rsid w:val="00EE1E87"/>
    <w:rsid w:val="00EE226A"/>
    <w:rsid w:val="00EE249F"/>
    <w:rsid w:val="00EE2674"/>
    <w:rsid w:val="00EE2EB4"/>
    <w:rsid w:val="00EE3446"/>
    <w:rsid w:val="00EE3655"/>
    <w:rsid w:val="00EE3E78"/>
    <w:rsid w:val="00EE41FD"/>
    <w:rsid w:val="00EE460E"/>
    <w:rsid w:val="00EE4B1B"/>
    <w:rsid w:val="00EE5DCA"/>
    <w:rsid w:val="00EE5FBA"/>
    <w:rsid w:val="00EE601C"/>
    <w:rsid w:val="00EE6137"/>
    <w:rsid w:val="00EE6382"/>
    <w:rsid w:val="00EE64EC"/>
    <w:rsid w:val="00EE65DE"/>
    <w:rsid w:val="00EE6A09"/>
    <w:rsid w:val="00EE6E06"/>
    <w:rsid w:val="00EE7179"/>
    <w:rsid w:val="00EF0A4D"/>
    <w:rsid w:val="00EF0D90"/>
    <w:rsid w:val="00EF150D"/>
    <w:rsid w:val="00EF1931"/>
    <w:rsid w:val="00EF19E9"/>
    <w:rsid w:val="00EF1F5A"/>
    <w:rsid w:val="00EF232A"/>
    <w:rsid w:val="00EF232B"/>
    <w:rsid w:val="00EF23B5"/>
    <w:rsid w:val="00EF2DDB"/>
    <w:rsid w:val="00EF2E64"/>
    <w:rsid w:val="00EF2F71"/>
    <w:rsid w:val="00EF326A"/>
    <w:rsid w:val="00EF34A0"/>
    <w:rsid w:val="00EF3898"/>
    <w:rsid w:val="00EF47BF"/>
    <w:rsid w:val="00EF52F7"/>
    <w:rsid w:val="00EF54CF"/>
    <w:rsid w:val="00EF583F"/>
    <w:rsid w:val="00EF58B0"/>
    <w:rsid w:val="00EF5989"/>
    <w:rsid w:val="00EF59B1"/>
    <w:rsid w:val="00EF5A13"/>
    <w:rsid w:val="00EF5FF9"/>
    <w:rsid w:val="00EF77D4"/>
    <w:rsid w:val="00EF7CC7"/>
    <w:rsid w:val="00EF7DF6"/>
    <w:rsid w:val="00F00535"/>
    <w:rsid w:val="00F00853"/>
    <w:rsid w:val="00F00866"/>
    <w:rsid w:val="00F00EC8"/>
    <w:rsid w:val="00F0160B"/>
    <w:rsid w:val="00F017B4"/>
    <w:rsid w:val="00F0193E"/>
    <w:rsid w:val="00F02019"/>
    <w:rsid w:val="00F033CB"/>
    <w:rsid w:val="00F037C8"/>
    <w:rsid w:val="00F03B76"/>
    <w:rsid w:val="00F03E2F"/>
    <w:rsid w:val="00F03F61"/>
    <w:rsid w:val="00F03F8D"/>
    <w:rsid w:val="00F04427"/>
    <w:rsid w:val="00F04811"/>
    <w:rsid w:val="00F0488C"/>
    <w:rsid w:val="00F04955"/>
    <w:rsid w:val="00F04C39"/>
    <w:rsid w:val="00F052D2"/>
    <w:rsid w:val="00F05501"/>
    <w:rsid w:val="00F06002"/>
    <w:rsid w:val="00F067B8"/>
    <w:rsid w:val="00F06C78"/>
    <w:rsid w:val="00F07075"/>
    <w:rsid w:val="00F0730A"/>
    <w:rsid w:val="00F073ED"/>
    <w:rsid w:val="00F07478"/>
    <w:rsid w:val="00F07C4C"/>
    <w:rsid w:val="00F07E45"/>
    <w:rsid w:val="00F10F11"/>
    <w:rsid w:val="00F11159"/>
    <w:rsid w:val="00F1149B"/>
    <w:rsid w:val="00F1152E"/>
    <w:rsid w:val="00F115E4"/>
    <w:rsid w:val="00F11AC4"/>
    <w:rsid w:val="00F11FDC"/>
    <w:rsid w:val="00F120A5"/>
    <w:rsid w:val="00F12CFB"/>
    <w:rsid w:val="00F13649"/>
    <w:rsid w:val="00F137EC"/>
    <w:rsid w:val="00F1396C"/>
    <w:rsid w:val="00F13E60"/>
    <w:rsid w:val="00F13FDB"/>
    <w:rsid w:val="00F14922"/>
    <w:rsid w:val="00F149C3"/>
    <w:rsid w:val="00F14FCA"/>
    <w:rsid w:val="00F15143"/>
    <w:rsid w:val="00F158B1"/>
    <w:rsid w:val="00F15AAA"/>
    <w:rsid w:val="00F15BEF"/>
    <w:rsid w:val="00F15DCA"/>
    <w:rsid w:val="00F16ACA"/>
    <w:rsid w:val="00F16BE5"/>
    <w:rsid w:val="00F16DE3"/>
    <w:rsid w:val="00F16E14"/>
    <w:rsid w:val="00F170E6"/>
    <w:rsid w:val="00F1770C"/>
    <w:rsid w:val="00F17898"/>
    <w:rsid w:val="00F17B0D"/>
    <w:rsid w:val="00F17C5C"/>
    <w:rsid w:val="00F204BF"/>
    <w:rsid w:val="00F207C2"/>
    <w:rsid w:val="00F20A12"/>
    <w:rsid w:val="00F21337"/>
    <w:rsid w:val="00F213CF"/>
    <w:rsid w:val="00F214F3"/>
    <w:rsid w:val="00F219A1"/>
    <w:rsid w:val="00F21BB8"/>
    <w:rsid w:val="00F2378B"/>
    <w:rsid w:val="00F23927"/>
    <w:rsid w:val="00F23E20"/>
    <w:rsid w:val="00F24407"/>
    <w:rsid w:val="00F2482C"/>
    <w:rsid w:val="00F249CE"/>
    <w:rsid w:val="00F24FAA"/>
    <w:rsid w:val="00F25040"/>
    <w:rsid w:val="00F259A8"/>
    <w:rsid w:val="00F26385"/>
    <w:rsid w:val="00F269D7"/>
    <w:rsid w:val="00F26FB5"/>
    <w:rsid w:val="00F27071"/>
    <w:rsid w:val="00F27331"/>
    <w:rsid w:val="00F276D3"/>
    <w:rsid w:val="00F27EE5"/>
    <w:rsid w:val="00F27FB1"/>
    <w:rsid w:val="00F27FD6"/>
    <w:rsid w:val="00F307CB"/>
    <w:rsid w:val="00F30C0C"/>
    <w:rsid w:val="00F30C65"/>
    <w:rsid w:val="00F31EBD"/>
    <w:rsid w:val="00F321D2"/>
    <w:rsid w:val="00F32448"/>
    <w:rsid w:val="00F32550"/>
    <w:rsid w:val="00F32649"/>
    <w:rsid w:val="00F32B8A"/>
    <w:rsid w:val="00F32D8D"/>
    <w:rsid w:val="00F3313E"/>
    <w:rsid w:val="00F33523"/>
    <w:rsid w:val="00F3364D"/>
    <w:rsid w:val="00F33914"/>
    <w:rsid w:val="00F341AC"/>
    <w:rsid w:val="00F349BF"/>
    <w:rsid w:val="00F34DDC"/>
    <w:rsid w:val="00F34E04"/>
    <w:rsid w:val="00F36191"/>
    <w:rsid w:val="00F3629F"/>
    <w:rsid w:val="00F36DF3"/>
    <w:rsid w:val="00F37362"/>
    <w:rsid w:val="00F37EDC"/>
    <w:rsid w:val="00F4066D"/>
    <w:rsid w:val="00F41290"/>
    <w:rsid w:val="00F42241"/>
    <w:rsid w:val="00F437CC"/>
    <w:rsid w:val="00F43C45"/>
    <w:rsid w:val="00F44537"/>
    <w:rsid w:val="00F44DAE"/>
    <w:rsid w:val="00F4606B"/>
    <w:rsid w:val="00F46185"/>
    <w:rsid w:val="00F461C3"/>
    <w:rsid w:val="00F462F4"/>
    <w:rsid w:val="00F46423"/>
    <w:rsid w:val="00F4660F"/>
    <w:rsid w:val="00F4696A"/>
    <w:rsid w:val="00F4703A"/>
    <w:rsid w:val="00F47067"/>
    <w:rsid w:val="00F47234"/>
    <w:rsid w:val="00F47709"/>
    <w:rsid w:val="00F503BC"/>
    <w:rsid w:val="00F506A6"/>
    <w:rsid w:val="00F51ADD"/>
    <w:rsid w:val="00F525AB"/>
    <w:rsid w:val="00F525EB"/>
    <w:rsid w:val="00F52BCB"/>
    <w:rsid w:val="00F52CB5"/>
    <w:rsid w:val="00F53378"/>
    <w:rsid w:val="00F53757"/>
    <w:rsid w:val="00F53917"/>
    <w:rsid w:val="00F53A68"/>
    <w:rsid w:val="00F53AA4"/>
    <w:rsid w:val="00F53BA3"/>
    <w:rsid w:val="00F545F4"/>
    <w:rsid w:val="00F54934"/>
    <w:rsid w:val="00F55A92"/>
    <w:rsid w:val="00F5615B"/>
    <w:rsid w:val="00F56250"/>
    <w:rsid w:val="00F56611"/>
    <w:rsid w:val="00F575D3"/>
    <w:rsid w:val="00F57983"/>
    <w:rsid w:val="00F57A76"/>
    <w:rsid w:val="00F57D57"/>
    <w:rsid w:val="00F57DF8"/>
    <w:rsid w:val="00F610B1"/>
    <w:rsid w:val="00F6178B"/>
    <w:rsid w:val="00F618AD"/>
    <w:rsid w:val="00F61E6C"/>
    <w:rsid w:val="00F62BFF"/>
    <w:rsid w:val="00F62CCE"/>
    <w:rsid w:val="00F63092"/>
    <w:rsid w:val="00F6385D"/>
    <w:rsid w:val="00F638FE"/>
    <w:rsid w:val="00F63AAE"/>
    <w:rsid w:val="00F63DDE"/>
    <w:rsid w:val="00F63FB7"/>
    <w:rsid w:val="00F6421B"/>
    <w:rsid w:val="00F647F1"/>
    <w:rsid w:val="00F649D2"/>
    <w:rsid w:val="00F64D5A"/>
    <w:rsid w:val="00F6576E"/>
    <w:rsid w:val="00F6602B"/>
    <w:rsid w:val="00F66FCB"/>
    <w:rsid w:val="00F6716B"/>
    <w:rsid w:val="00F6765B"/>
    <w:rsid w:val="00F6799D"/>
    <w:rsid w:val="00F67DE0"/>
    <w:rsid w:val="00F70E52"/>
    <w:rsid w:val="00F710A4"/>
    <w:rsid w:val="00F71487"/>
    <w:rsid w:val="00F7150B"/>
    <w:rsid w:val="00F717E4"/>
    <w:rsid w:val="00F71DE6"/>
    <w:rsid w:val="00F7232B"/>
    <w:rsid w:val="00F72B83"/>
    <w:rsid w:val="00F72D71"/>
    <w:rsid w:val="00F736AF"/>
    <w:rsid w:val="00F7381C"/>
    <w:rsid w:val="00F73A0C"/>
    <w:rsid w:val="00F740BA"/>
    <w:rsid w:val="00F741EA"/>
    <w:rsid w:val="00F752DC"/>
    <w:rsid w:val="00F7549F"/>
    <w:rsid w:val="00F756DB"/>
    <w:rsid w:val="00F75C5B"/>
    <w:rsid w:val="00F766BE"/>
    <w:rsid w:val="00F767A8"/>
    <w:rsid w:val="00F77590"/>
    <w:rsid w:val="00F7786F"/>
    <w:rsid w:val="00F77A50"/>
    <w:rsid w:val="00F82750"/>
    <w:rsid w:val="00F829F5"/>
    <w:rsid w:val="00F82D14"/>
    <w:rsid w:val="00F82D84"/>
    <w:rsid w:val="00F8473D"/>
    <w:rsid w:val="00F84E7D"/>
    <w:rsid w:val="00F85034"/>
    <w:rsid w:val="00F85066"/>
    <w:rsid w:val="00F85CC1"/>
    <w:rsid w:val="00F8633B"/>
    <w:rsid w:val="00F874F8"/>
    <w:rsid w:val="00F87A4D"/>
    <w:rsid w:val="00F90968"/>
    <w:rsid w:val="00F90BEF"/>
    <w:rsid w:val="00F90C35"/>
    <w:rsid w:val="00F90EEB"/>
    <w:rsid w:val="00F912CB"/>
    <w:rsid w:val="00F9135C"/>
    <w:rsid w:val="00F91B66"/>
    <w:rsid w:val="00F9354A"/>
    <w:rsid w:val="00F93688"/>
    <w:rsid w:val="00F939E3"/>
    <w:rsid w:val="00F939F3"/>
    <w:rsid w:val="00F93C6E"/>
    <w:rsid w:val="00F93F2C"/>
    <w:rsid w:val="00F940DC"/>
    <w:rsid w:val="00F947E9"/>
    <w:rsid w:val="00F95A4E"/>
    <w:rsid w:val="00F962AD"/>
    <w:rsid w:val="00F9644E"/>
    <w:rsid w:val="00F974AA"/>
    <w:rsid w:val="00F97C60"/>
    <w:rsid w:val="00FA0105"/>
    <w:rsid w:val="00FA05A0"/>
    <w:rsid w:val="00FA0AEF"/>
    <w:rsid w:val="00FA1474"/>
    <w:rsid w:val="00FA17CC"/>
    <w:rsid w:val="00FA1CFE"/>
    <w:rsid w:val="00FA1EE7"/>
    <w:rsid w:val="00FA1F01"/>
    <w:rsid w:val="00FA26DF"/>
    <w:rsid w:val="00FA2C07"/>
    <w:rsid w:val="00FA2F0B"/>
    <w:rsid w:val="00FA32BC"/>
    <w:rsid w:val="00FA3FA8"/>
    <w:rsid w:val="00FA4059"/>
    <w:rsid w:val="00FA4574"/>
    <w:rsid w:val="00FA488C"/>
    <w:rsid w:val="00FA48A4"/>
    <w:rsid w:val="00FA4CB7"/>
    <w:rsid w:val="00FA50CB"/>
    <w:rsid w:val="00FA5112"/>
    <w:rsid w:val="00FA5479"/>
    <w:rsid w:val="00FA5526"/>
    <w:rsid w:val="00FA5BF4"/>
    <w:rsid w:val="00FA5D42"/>
    <w:rsid w:val="00FA5D4D"/>
    <w:rsid w:val="00FA6C27"/>
    <w:rsid w:val="00FA6CB6"/>
    <w:rsid w:val="00FA6DD8"/>
    <w:rsid w:val="00FA7089"/>
    <w:rsid w:val="00FA70D3"/>
    <w:rsid w:val="00FA7AEC"/>
    <w:rsid w:val="00FB0AEA"/>
    <w:rsid w:val="00FB0EE2"/>
    <w:rsid w:val="00FB100C"/>
    <w:rsid w:val="00FB1A79"/>
    <w:rsid w:val="00FB1BA4"/>
    <w:rsid w:val="00FB1C0B"/>
    <w:rsid w:val="00FB208B"/>
    <w:rsid w:val="00FB20BC"/>
    <w:rsid w:val="00FB2B2D"/>
    <w:rsid w:val="00FB4AC5"/>
    <w:rsid w:val="00FB4D91"/>
    <w:rsid w:val="00FB542E"/>
    <w:rsid w:val="00FB5580"/>
    <w:rsid w:val="00FB564F"/>
    <w:rsid w:val="00FB6A41"/>
    <w:rsid w:val="00FB6F54"/>
    <w:rsid w:val="00FB79D5"/>
    <w:rsid w:val="00FB7DBB"/>
    <w:rsid w:val="00FC01BC"/>
    <w:rsid w:val="00FC05F8"/>
    <w:rsid w:val="00FC0651"/>
    <w:rsid w:val="00FC077B"/>
    <w:rsid w:val="00FC0E5F"/>
    <w:rsid w:val="00FC1070"/>
    <w:rsid w:val="00FC1266"/>
    <w:rsid w:val="00FC1A5D"/>
    <w:rsid w:val="00FC1A95"/>
    <w:rsid w:val="00FC1ED4"/>
    <w:rsid w:val="00FC2E56"/>
    <w:rsid w:val="00FC2EBA"/>
    <w:rsid w:val="00FC3BEC"/>
    <w:rsid w:val="00FC42C5"/>
    <w:rsid w:val="00FC440B"/>
    <w:rsid w:val="00FC4FB6"/>
    <w:rsid w:val="00FC56C6"/>
    <w:rsid w:val="00FC56DE"/>
    <w:rsid w:val="00FC606F"/>
    <w:rsid w:val="00FC6100"/>
    <w:rsid w:val="00FC63D9"/>
    <w:rsid w:val="00FC64DE"/>
    <w:rsid w:val="00FC6785"/>
    <w:rsid w:val="00FC680C"/>
    <w:rsid w:val="00FC684B"/>
    <w:rsid w:val="00FC6A52"/>
    <w:rsid w:val="00FC6CCA"/>
    <w:rsid w:val="00FC6D2D"/>
    <w:rsid w:val="00FC7BC8"/>
    <w:rsid w:val="00FC7D98"/>
    <w:rsid w:val="00FD0792"/>
    <w:rsid w:val="00FD1135"/>
    <w:rsid w:val="00FD3265"/>
    <w:rsid w:val="00FD3BBD"/>
    <w:rsid w:val="00FD3CF7"/>
    <w:rsid w:val="00FD3EF2"/>
    <w:rsid w:val="00FD3F1C"/>
    <w:rsid w:val="00FD4124"/>
    <w:rsid w:val="00FD4372"/>
    <w:rsid w:val="00FD4916"/>
    <w:rsid w:val="00FD4D12"/>
    <w:rsid w:val="00FD4F73"/>
    <w:rsid w:val="00FD595E"/>
    <w:rsid w:val="00FD771F"/>
    <w:rsid w:val="00FD7767"/>
    <w:rsid w:val="00FD7802"/>
    <w:rsid w:val="00FD7D3B"/>
    <w:rsid w:val="00FD7FBE"/>
    <w:rsid w:val="00FE27C7"/>
    <w:rsid w:val="00FE2C7E"/>
    <w:rsid w:val="00FE2D10"/>
    <w:rsid w:val="00FE2F78"/>
    <w:rsid w:val="00FE3137"/>
    <w:rsid w:val="00FE346A"/>
    <w:rsid w:val="00FE346B"/>
    <w:rsid w:val="00FE346F"/>
    <w:rsid w:val="00FE431E"/>
    <w:rsid w:val="00FE460E"/>
    <w:rsid w:val="00FE46DB"/>
    <w:rsid w:val="00FE48E4"/>
    <w:rsid w:val="00FE5466"/>
    <w:rsid w:val="00FE54EE"/>
    <w:rsid w:val="00FE634C"/>
    <w:rsid w:val="00FE63D8"/>
    <w:rsid w:val="00FE6E69"/>
    <w:rsid w:val="00FE6F59"/>
    <w:rsid w:val="00FE7677"/>
    <w:rsid w:val="00FE77EF"/>
    <w:rsid w:val="00FF01B6"/>
    <w:rsid w:val="00FF03A6"/>
    <w:rsid w:val="00FF0989"/>
    <w:rsid w:val="00FF0F79"/>
    <w:rsid w:val="00FF1136"/>
    <w:rsid w:val="00FF1D4F"/>
    <w:rsid w:val="00FF363B"/>
    <w:rsid w:val="00FF3D76"/>
    <w:rsid w:val="00FF4CF2"/>
    <w:rsid w:val="00FF4E3F"/>
    <w:rsid w:val="00FF535A"/>
    <w:rsid w:val="00FF556A"/>
    <w:rsid w:val="00FF5B8C"/>
    <w:rsid w:val="00FF63E6"/>
    <w:rsid w:val="00FF72DC"/>
    <w:rsid w:val="00FF7B96"/>
    <w:rsid w:val="019CB78C"/>
    <w:rsid w:val="0523CDF2"/>
    <w:rsid w:val="06B1A837"/>
    <w:rsid w:val="08A648BF"/>
    <w:rsid w:val="0EBE9DEC"/>
    <w:rsid w:val="0FBB85B6"/>
    <w:rsid w:val="12650F4E"/>
    <w:rsid w:val="1394E51D"/>
    <w:rsid w:val="17513AF8"/>
    <w:rsid w:val="1B53A8C8"/>
    <w:rsid w:val="1BEE6986"/>
    <w:rsid w:val="20D21749"/>
    <w:rsid w:val="224482AD"/>
    <w:rsid w:val="23E0530E"/>
    <w:rsid w:val="24FC0D77"/>
    <w:rsid w:val="2A0E9F3A"/>
    <w:rsid w:val="2A2A6298"/>
    <w:rsid w:val="37D604A5"/>
    <w:rsid w:val="38C72AFC"/>
    <w:rsid w:val="3C7646FC"/>
    <w:rsid w:val="3E4A9713"/>
    <w:rsid w:val="3E77F3B4"/>
    <w:rsid w:val="40C3BF09"/>
    <w:rsid w:val="47207A7B"/>
    <w:rsid w:val="48038D4B"/>
    <w:rsid w:val="49E8263C"/>
    <w:rsid w:val="4A567F3C"/>
    <w:rsid w:val="50A35788"/>
    <w:rsid w:val="52944939"/>
    <w:rsid w:val="53942896"/>
    <w:rsid w:val="5536E42E"/>
    <w:rsid w:val="58FD3BB8"/>
    <w:rsid w:val="5CF587E8"/>
    <w:rsid w:val="5DD689BF"/>
    <w:rsid w:val="60B2C930"/>
    <w:rsid w:val="67F8BB57"/>
    <w:rsid w:val="6AEA4E8B"/>
    <w:rsid w:val="6AEC8A78"/>
    <w:rsid w:val="6D951AA9"/>
    <w:rsid w:val="7059F910"/>
    <w:rsid w:val="74EA3077"/>
    <w:rsid w:val="75B5B795"/>
    <w:rsid w:val="78058569"/>
    <w:rsid w:val="785B85D1"/>
    <w:rsid w:val="78E73CD1"/>
    <w:rsid w:val="7C941E33"/>
    <w:rsid w:val="7E2BC7B5"/>
    <w:rsid w:val="7F50878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npsmoodstavce"/>
    <w:rsid w:val="006A3CAF"/>
  </w:style>
  <w:style w:type="paragraph" w:customStyle="1" w:styleId="paragraph">
    <w:name w:val="paragraph"/>
    <w:basedOn w:val="Normln"/>
    <w:rsid w:val="006A3CA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784980"/>
  </w:style>
  <w:style w:type="character" w:styleId="Sledovanodkaz">
    <w:name w:val="FollowedHyperlink"/>
    <w:basedOn w:val="Standardnpsmoodstavce"/>
    <w:uiPriority w:val="99"/>
    <w:semiHidden/>
    <w:unhideWhenUsed/>
    <w:rsid w:val="009606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158735115">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0204932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44068063">
      <w:bodyDiv w:val="1"/>
      <w:marLeft w:val="0"/>
      <w:marRight w:val="0"/>
      <w:marTop w:val="0"/>
      <w:marBottom w:val="0"/>
      <w:divBdr>
        <w:top w:val="none" w:sz="0" w:space="0" w:color="auto"/>
        <w:left w:val="none" w:sz="0" w:space="0" w:color="auto"/>
        <w:bottom w:val="none" w:sz="0" w:space="0" w:color="auto"/>
        <w:right w:val="none" w:sz="0" w:space="0" w:color="auto"/>
      </w:divBdr>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menicky3604\JKAM%20CSU\PUBLIKACE\PUBLIKACE\2023\Qmakro\ENGL-2q2023\Grafy-Trh%20pr&#225;ce%20celorok-2q-2023-ENG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menicky3604\JKAM%20CSU\PUBLIKACE\PUBLIKACE\2023\Qmakro\ENGL-2q2023\Grafy-Trh%20pr&#225;ce%20celorok-2q-2023-ENG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menicky3604\JKAM%20CSU\PUBLIKACE\PUBLIKACE\2023\Qmakro\ENGL-2q2023\Grafy-Trh%20pr&#225;ce%20celorok-2q-2023-ENG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4522051060224651E-2"/>
          <c:w val="0.84495121574960907"/>
          <c:h val="0.67557130739459548"/>
        </c:manualLayout>
      </c:layout>
      <c:barChart>
        <c:barDir val="col"/>
        <c:grouping val="stacked"/>
        <c:varyColors val="0"/>
        <c:ser>
          <c:idx val="0"/>
          <c:order val="0"/>
          <c:tx>
            <c:strRef>
              <c:f>'Trh práce 1-SNÚ'!$AC$7</c:f>
              <c:strCache>
                <c:ptCount val="1"/>
                <c:pt idx="0">
                  <c:v>Agriculture, forestry and fishing</c:v>
                </c:pt>
              </c:strCache>
            </c:strRef>
          </c:tx>
          <c:spPr>
            <a:solidFill>
              <a:srgbClr val="7DBB2D"/>
            </a:solidFill>
            <a:ln>
              <a:noFill/>
            </a:ln>
          </c:spPr>
          <c:invertIfNegative val="0"/>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1-SNÚ'!$AC$28:$AC$62</c:f>
              <c:numCache>
                <c:formatCode>#\ ##0.0</c:formatCode>
                <c:ptCount val="35"/>
                <c:pt idx="0">
                  <c:v>-5.6828505791380539E-2</c:v>
                </c:pt>
                <c:pt idx="1">
                  <c:v>-5.3414002474862214E-2</c:v>
                </c:pt>
                <c:pt idx="2">
                  <c:v>-6.9742710596297441E-2</c:v>
                </c:pt>
                <c:pt idx="3">
                  <c:v>-0.13971969588081989</c:v>
                </c:pt>
                <c:pt idx="4">
                  <c:v>-0.12487960810120247</c:v>
                </c:pt>
                <c:pt idx="5">
                  <c:v>-3.2190093204688595E-2</c:v>
                </c:pt>
                <c:pt idx="6">
                  <c:v>-4.495117850766725E-2</c:v>
                </c:pt>
                <c:pt idx="7">
                  <c:v>5.8087184963969855E-2</c:v>
                </c:pt>
                <c:pt idx="8">
                  <c:v>9.846996933516737E-2</c:v>
                </c:pt>
                <c:pt idx="9">
                  <c:v>3.525689638197721E-2</c:v>
                </c:pt>
                <c:pt idx="10">
                  <c:v>1.9943614652896617E-2</c:v>
                </c:pt>
                <c:pt idx="11">
                  <c:v>-9.3018884588644837E-2</c:v>
                </c:pt>
                <c:pt idx="12">
                  <c:v>2.8401707115870683E-2</c:v>
                </c:pt>
                <c:pt idx="13">
                  <c:v>3.0424969757692683E-2</c:v>
                </c:pt>
                <c:pt idx="14">
                  <c:v>1.7213942100793991E-2</c:v>
                </c:pt>
                <c:pt idx="15">
                  <c:v>8.3528120512972523E-2</c:v>
                </c:pt>
                <c:pt idx="16">
                  <c:v>-3.1494865390982861E-2</c:v>
                </c:pt>
                <c:pt idx="17">
                  <c:v>-9.3480094872355937E-2</c:v>
                </c:pt>
                <c:pt idx="18">
                  <c:v>-0.12508397994816237</c:v>
                </c:pt>
                <c:pt idx="19">
                  <c:v>-0.13226896814548539</c:v>
                </c:pt>
                <c:pt idx="20">
                  <c:v>-7.8919822387198829E-2</c:v>
                </c:pt>
                <c:pt idx="21">
                  <c:v>-1.5977001932115302E-3</c:v>
                </c:pt>
                <c:pt idx="22">
                  <c:v>9.3748963565408835E-2</c:v>
                </c:pt>
                <c:pt idx="23">
                  <c:v>7.7721007097125969E-2</c:v>
                </c:pt>
                <c:pt idx="24">
                  <c:v>4.0304610198826883E-2</c:v>
                </c:pt>
                <c:pt idx="25">
                  <c:v>-4.2078229095876003E-2</c:v>
                </c:pt>
                <c:pt idx="26">
                  <c:v>-6.3204140368347303E-2</c:v>
                </c:pt>
                <c:pt idx="27">
                  <c:v>-1.9871976866903434E-2</c:v>
                </c:pt>
                <c:pt idx="28">
                  <c:v>-6.7914600586185744E-2</c:v>
                </c:pt>
                <c:pt idx="29">
                  <c:v>3.2113631816370808E-2</c:v>
                </c:pt>
                <c:pt idx="30">
                  <c:v>-1.5508012938219833E-2</c:v>
                </c:pt>
                <c:pt idx="31">
                  <c:v>-0.10816507912439968</c:v>
                </c:pt>
                <c:pt idx="32">
                  <c:v>4.5996374884010836E-2</c:v>
                </c:pt>
                <c:pt idx="33">
                  <c:v>2.1780607651521889E-2</c:v>
                </c:pt>
              </c:numCache>
            </c:numRef>
          </c:val>
          <c:extLst>
            <c:ext xmlns:c16="http://schemas.microsoft.com/office/drawing/2014/chart" uri="{C3380CC4-5D6E-409C-BE32-E72D297353CC}">
              <c16:uniqueId val="{00000000-A3B7-4CCD-97F6-6AD9864A894D}"/>
            </c:ext>
          </c:extLst>
        </c:ser>
        <c:ser>
          <c:idx val="1"/>
          <c:order val="1"/>
          <c:tx>
            <c:strRef>
              <c:f>'Trh práce 1-SNÚ'!$AD$7</c:f>
              <c:strCache>
                <c:ptCount val="1"/>
                <c:pt idx="0">
                  <c:v>Manufacturing </c:v>
                </c:pt>
              </c:strCache>
            </c:strRef>
          </c:tx>
          <c:spPr>
            <a:solidFill>
              <a:srgbClr val="A6CDE8"/>
            </a:solidFill>
            <a:ln>
              <a:noFill/>
            </a:ln>
          </c:spPr>
          <c:invertIfNegative val="0"/>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1-SNÚ'!$AD$28:$AD$62</c:f>
              <c:numCache>
                <c:formatCode>#\ ##0.0</c:formatCode>
                <c:ptCount val="35"/>
                <c:pt idx="0">
                  <c:v>0.89949329716318915</c:v>
                </c:pt>
                <c:pt idx="1">
                  <c:v>0.93127175953417007</c:v>
                </c:pt>
                <c:pt idx="2">
                  <c:v>0.7843757558148764</c:v>
                </c:pt>
                <c:pt idx="3">
                  <c:v>0.92631003282458235</c:v>
                </c:pt>
                <c:pt idx="4">
                  <c:v>0.87287644021507171</c:v>
                </c:pt>
                <c:pt idx="5">
                  <c:v>0.63654993177204455</c:v>
                </c:pt>
                <c:pt idx="6">
                  <c:v>0.6687331481290798</c:v>
                </c:pt>
                <c:pt idx="7">
                  <c:v>0.51800010991025447</c:v>
                </c:pt>
                <c:pt idx="8">
                  <c:v>0.25448906088853906</c:v>
                </c:pt>
                <c:pt idx="9">
                  <c:v>0.40500765768385577</c:v>
                </c:pt>
                <c:pt idx="10">
                  <c:v>0.49291118462601913</c:v>
                </c:pt>
                <c:pt idx="11">
                  <c:v>0.47964454670419909</c:v>
                </c:pt>
                <c:pt idx="12">
                  <c:v>0.34488863442030765</c:v>
                </c:pt>
                <c:pt idx="13">
                  <c:v>0.2913603015219437</c:v>
                </c:pt>
                <c:pt idx="14">
                  <c:v>9.8868388234755092E-2</c:v>
                </c:pt>
                <c:pt idx="15">
                  <c:v>9.0550890680990051E-2</c:v>
                </c:pt>
                <c:pt idx="16">
                  <c:v>0.14484299401542119</c:v>
                </c:pt>
                <c:pt idx="17">
                  <c:v>-1.8858080604667548E-2</c:v>
                </c:pt>
                <c:pt idx="18">
                  <c:v>-0.16365938471305239</c:v>
                </c:pt>
                <c:pt idx="19">
                  <c:v>-0.54941077591471077</c:v>
                </c:pt>
                <c:pt idx="20">
                  <c:v>-0.82546861976528974</c:v>
                </c:pt>
                <c:pt idx="21">
                  <c:v>-1.0955999520322608</c:v>
                </c:pt>
                <c:pt idx="22">
                  <c:v>-1.0803978434790316</c:v>
                </c:pt>
                <c:pt idx="23">
                  <c:v>-0.90789746373281621</c:v>
                </c:pt>
                <c:pt idx="24">
                  <c:v>-0.49316165113626664</c:v>
                </c:pt>
                <c:pt idx="25">
                  <c:v>-7.4509620655944575E-2</c:v>
                </c:pt>
                <c:pt idx="26">
                  <c:v>0.18158292508911653</c:v>
                </c:pt>
                <c:pt idx="27">
                  <c:v>0.32233404301981006</c:v>
                </c:pt>
                <c:pt idx="28">
                  <c:v>3.8187860960837004E-2</c:v>
                </c:pt>
                <c:pt idx="29">
                  <c:v>0.35388512361693553</c:v>
                </c:pt>
                <c:pt idx="30">
                  <c:v>0.17345173223946594</c:v>
                </c:pt>
                <c:pt idx="31">
                  <c:v>8.8579785635803696E-2</c:v>
                </c:pt>
                <c:pt idx="32">
                  <c:v>4.8503242308048575E-2</c:v>
                </c:pt>
                <c:pt idx="33">
                  <c:v>-0.20014019323111298</c:v>
                </c:pt>
              </c:numCache>
            </c:numRef>
          </c:val>
          <c:extLst>
            <c:ext xmlns:c16="http://schemas.microsoft.com/office/drawing/2014/chart" uri="{C3380CC4-5D6E-409C-BE32-E72D297353CC}">
              <c16:uniqueId val="{00000001-A3B7-4CCD-97F6-6AD9864A894D}"/>
            </c:ext>
          </c:extLst>
        </c:ser>
        <c:ser>
          <c:idx val="2"/>
          <c:order val="2"/>
          <c:tx>
            <c:strRef>
              <c:f>'Trh práce 1-SNÚ'!$AE$7</c:f>
              <c:strCache>
                <c:ptCount val="1"/>
                <c:pt idx="0">
                  <c:v>Construction</c:v>
                </c:pt>
              </c:strCache>
            </c:strRef>
          </c:tx>
          <c:spPr>
            <a:solidFill>
              <a:srgbClr val="48AEE7"/>
            </a:solidFill>
            <a:ln w="19050">
              <a:noFill/>
            </a:ln>
          </c:spPr>
          <c:invertIfNegative val="0"/>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1-SNÚ'!$AE$28:$AE$62</c:f>
              <c:numCache>
                <c:formatCode>#\ ##0.0</c:formatCode>
                <c:ptCount val="35"/>
                <c:pt idx="0">
                  <c:v>-0.11446239310279102</c:v>
                </c:pt>
                <c:pt idx="1">
                  <c:v>-0.10158864467757592</c:v>
                </c:pt>
                <c:pt idx="2">
                  <c:v>-0.15723882215178694</c:v>
                </c:pt>
                <c:pt idx="3">
                  <c:v>-0.18194332296049892</c:v>
                </c:pt>
                <c:pt idx="4">
                  <c:v>-0.11325522810856531</c:v>
                </c:pt>
                <c:pt idx="5">
                  <c:v>-0.12563587006311655</c:v>
                </c:pt>
                <c:pt idx="6">
                  <c:v>-2.3912252831191503E-2</c:v>
                </c:pt>
                <c:pt idx="7">
                  <c:v>9.7996904835013655E-3</c:v>
                </c:pt>
                <c:pt idx="8">
                  <c:v>-1.3015925682695844E-2</c:v>
                </c:pt>
                <c:pt idx="9">
                  <c:v>1.663061150093265E-2</c:v>
                </c:pt>
                <c:pt idx="10">
                  <c:v>7.5842717437158272E-2</c:v>
                </c:pt>
                <c:pt idx="11">
                  <c:v>-7.0108572985760911E-2</c:v>
                </c:pt>
                <c:pt idx="12">
                  <c:v>0.10624272535850564</c:v>
                </c:pt>
                <c:pt idx="13">
                  <c:v>6.6114358543656077E-2</c:v>
                </c:pt>
                <c:pt idx="14">
                  <c:v>6.2149037714554926E-2</c:v>
                </c:pt>
                <c:pt idx="15">
                  <c:v>0.11396633392024218</c:v>
                </c:pt>
                <c:pt idx="16">
                  <c:v>4.0824616446144449E-2</c:v>
                </c:pt>
                <c:pt idx="17">
                  <c:v>7.0404728663714888E-2</c:v>
                </c:pt>
                <c:pt idx="18">
                  <c:v>9.9779252707653199E-2</c:v>
                </c:pt>
                <c:pt idx="19">
                  <c:v>0.13486608895157276</c:v>
                </c:pt>
                <c:pt idx="20">
                  <c:v>2.933986408804317E-2</c:v>
                </c:pt>
                <c:pt idx="21">
                  <c:v>-0.22182322567588592</c:v>
                </c:pt>
                <c:pt idx="22">
                  <c:v>-0.10380928866499871</c:v>
                </c:pt>
                <c:pt idx="23">
                  <c:v>-5.7292436011891865E-2</c:v>
                </c:pt>
                <c:pt idx="24">
                  <c:v>-7.0787867107824684E-2</c:v>
                </c:pt>
                <c:pt idx="25">
                  <c:v>0.1427694418966676</c:v>
                </c:pt>
                <c:pt idx="26">
                  <c:v>-1.9848613983292209E-2</c:v>
                </c:pt>
                <c:pt idx="27">
                  <c:v>5.8388099330416852E-2</c:v>
                </c:pt>
                <c:pt idx="28">
                  <c:v>0.23211676197022788</c:v>
                </c:pt>
                <c:pt idx="29">
                  <c:v>0.27758956088391729</c:v>
                </c:pt>
                <c:pt idx="30">
                  <c:v>0.27910704340848885</c:v>
                </c:pt>
                <c:pt idx="31">
                  <c:v>0.25014916598053055</c:v>
                </c:pt>
                <c:pt idx="32">
                  <c:v>0.25347215065270406</c:v>
                </c:pt>
                <c:pt idx="33">
                  <c:v>0.20527902677441914</c:v>
                </c:pt>
              </c:numCache>
            </c:numRef>
          </c:val>
          <c:extLst>
            <c:ext xmlns:c16="http://schemas.microsoft.com/office/drawing/2014/chart" uri="{C3380CC4-5D6E-409C-BE32-E72D297353CC}">
              <c16:uniqueId val="{00000002-A3B7-4CCD-97F6-6AD9864A894D}"/>
            </c:ext>
          </c:extLst>
        </c:ser>
        <c:ser>
          <c:idx val="3"/>
          <c:order val="3"/>
          <c:tx>
            <c:strRef>
              <c:f>'Trh práce 1-SNÚ'!$AF$7</c:f>
              <c:strCache>
                <c:ptCount val="1"/>
                <c:pt idx="0">
                  <c:v>Trade, transport., accommod.&amp; food service</c:v>
                </c:pt>
              </c:strCache>
            </c:strRef>
          </c:tx>
          <c:spPr>
            <a:solidFill>
              <a:srgbClr val="FDDEB3"/>
            </a:solidFill>
            <a:ln w="19050">
              <a:noFill/>
            </a:ln>
          </c:spPr>
          <c:invertIfNegative val="0"/>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1-SNÚ'!$AF$28:$AF$62</c:f>
              <c:numCache>
                <c:formatCode>#\ ##0.0</c:formatCode>
                <c:ptCount val="35"/>
                <c:pt idx="0">
                  <c:v>0.22921943798120273</c:v>
                </c:pt>
                <c:pt idx="1">
                  <c:v>0.48955640475490908</c:v>
                </c:pt>
                <c:pt idx="2">
                  <c:v>0.32927866250413385</c:v>
                </c:pt>
                <c:pt idx="3">
                  <c:v>0.1661289386483682</c:v>
                </c:pt>
                <c:pt idx="4">
                  <c:v>8.1370659948460294E-2</c:v>
                </c:pt>
                <c:pt idx="5">
                  <c:v>0.2325054365383589</c:v>
                </c:pt>
                <c:pt idx="6">
                  <c:v>-6.9229828761272171E-3</c:v>
                </c:pt>
                <c:pt idx="7">
                  <c:v>7.0307975449277429E-2</c:v>
                </c:pt>
                <c:pt idx="8">
                  <c:v>0.16752509340503532</c:v>
                </c:pt>
                <c:pt idx="9">
                  <c:v>4.884648177988218E-3</c:v>
                </c:pt>
                <c:pt idx="10">
                  <c:v>0.35735158674247325</c:v>
                </c:pt>
                <c:pt idx="11">
                  <c:v>0.18418833710391025</c:v>
                </c:pt>
                <c:pt idx="12">
                  <c:v>0.15244258448001147</c:v>
                </c:pt>
                <c:pt idx="13">
                  <c:v>0.40230652744870238</c:v>
                </c:pt>
                <c:pt idx="14">
                  <c:v>0.21159735322599366</c:v>
                </c:pt>
                <c:pt idx="15">
                  <c:v>0.22968370337309346</c:v>
                </c:pt>
                <c:pt idx="16">
                  <c:v>0.43610558013709599</c:v>
                </c:pt>
                <c:pt idx="17">
                  <c:v>0.11493484477903337</c:v>
                </c:pt>
                <c:pt idx="18">
                  <c:v>-1.6666789714208444E-2</c:v>
                </c:pt>
                <c:pt idx="19">
                  <c:v>-4.3580055512076089E-2</c:v>
                </c:pt>
                <c:pt idx="20">
                  <c:v>-0.11338864767860295</c:v>
                </c:pt>
                <c:pt idx="21">
                  <c:v>-0.57012186779599949</c:v>
                </c:pt>
                <c:pt idx="22">
                  <c:v>-0.41759561915220639</c:v>
                </c:pt>
                <c:pt idx="23">
                  <c:v>-0.99268065558519958</c:v>
                </c:pt>
                <c:pt idx="24">
                  <c:v>-0.85371650200457683</c:v>
                </c:pt>
                <c:pt idx="25">
                  <c:v>-0.15752122069655991</c:v>
                </c:pt>
                <c:pt idx="26">
                  <c:v>0.24002189726109685</c:v>
                </c:pt>
                <c:pt idx="27">
                  <c:v>0.74079782964767293</c:v>
                </c:pt>
                <c:pt idx="28">
                  <c:v>0.53464885594357459</c:v>
                </c:pt>
                <c:pt idx="29">
                  <c:v>0.98634993172818253</c:v>
                </c:pt>
                <c:pt idx="30">
                  <c:v>0.46427346168042299</c:v>
                </c:pt>
                <c:pt idx="31">
                  <c:v>0.26116821630191334</c:v>
                </c:pt>
                <c:pt idx="32">
                  <c:v>8.5753435290416666E-2</c:v>
                </c:pt>
                <c:pt idx="33">
                  <c:v>5.1479773752337629E-2</c:v>
                </c:pt>
              </c:numCache>
            </c:numRef>
          </c:val>
          <c:extLst>
            <c:ext xmlns:c16="http://schemas.microsoft.com/office/drawing/2014/chart" uri="{C3380CC4-5D6E-409C-BE32-E72D297353CC}">
              <c16:uniqueId val="{00000003-A3B7-4CCD-97F6-6AD9864A894D}"/>
            </c:ext>
          </c:extLst>
        </c:ser>
        <c:ser>
          <c:idx val="4"/>
          <c:order val="4"/>
          <c:tx>
            <c:strRef>
              <c:f>'Trh práce 1-SNÚ'!$AG$7</c:f>
              <c:strCache>
                <c:ptCount val="1"/>
                <c:pt idx="0">
                  <c:v>Information and communication</c:v>
                </c:pt>
              </c:strCache>
            </c:strRef>
          </c:tx>
          <c:spPr>
            <a:solidFill>
              <a:srgbClr val="F8A124"/>
            </a:solidFill>
            <a:ln w="19050">
              <a:noFill/>
            </a:ln>
          </c:spPr>
          <c:invertIfNegative val="0"/>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1-SNÚ'!$AG$28:$AG$62</c:f>
              <c:numCache>
                <c:formatCode>#\ ##0.0</c:formatCode>
                <c:ptCount val="35"/>
                <c:pt idx="0">
                  <c:v>1.6421925627927457E-2</c:v>
                </c:pt>
                <c:pt idx="1">
                  <c:v>5.8810347324453359E-2</c:v>
                </c:pt>
                <c:pt idx="2">
                  <c:v>6.8432712948427551E-2</c:v>
                </c:pt>
                <c:pt idx="3">
                  <c:v>9.7009172732417576E-2</c:v>
                </c:pt>
                <c:pt idx="4">
                  <c:v>0.12024149989045076</c:v>
                </c:pt>
                <c:pt idx="5">
                  <c:v>0.11261710858129222</c:v>
                </c:pt>
                <c:pt idx="6">
                  <c:v>0.12964683530975846</c:v>
                </c:pt>
                <c:pt idx="7">
                  <c:v>0.16713276044214681</c:v>
                </c:pt>
                <c:pt idx="8">
                  <c:v>0.12903159219365584</c:v>
                </c:pt>
                <c:pt idx="9">
                  <c:v>0.13380514853321812</c:v>
                </c:pt>
                <c:pt idx="10">
                  <c:v>0.13863661271570704</c:v>
                </c:pt>
                <c:pt idx="11">
                  <c:v>0.12829019627380961</c:v>
                </c:pt>
                <c:pt idx="12">
                  <c:v>0.11921936740282588</c:v>
                </c:pt>
                <c:pt idx="13">
                  <c:v>0.14348820404813314</c:v>
                </c:pt>
                <c:pt idx="14">
                  <c:v>0.12461478215607252</c:v>
                </c:pt>
                <c:pt idx="15">
                  <c:v>0.14222506693054082</c:v>
                </c:pt>
                <c:pt idx="16">
                  <c:v>0.15100100067608449</c:v>
                </c:pt>
                <c:pt idx="17">
                  <c:v>8.7586944683397339E-2</c:v>
                </c:pt>
                <c:pt idx="18">
                  <c:v>0.13348197476539919</c:v>
                </c:pt>
                <c:pt idx="19">
                  <c:v>0.13584231166591765</c:v>
                </c:pt>
                <c:pt idx="20">
                  <c:v>0.12945571610776943</c:v>
                </c:pt>
                <c:pt idx="21">
                  <c:v>8.7230757675342163E-2</c:v>
                </c:pt>
                <c:pt idx="22">
                  <c:v>0.10732855989947061</c:v>
                </c:pt>
                <c:pt idx="23">
                  <c:v>7.3173108013897384E-2</c:v>
                </c:pt>
                <c:pt idx="24">
                  <c:v>6.8471510199846125E-2</c:v>
                </c:pt>
                <c:pt idx="25">
                  <c:v>0.13165868738071818</c:v>
                </c:pt>
                <c:pt idx="26">
                  <c:v>0.1041208011410886</c:v>
                </c:pt>
                <c:pt idx="27">
                  <c:v>3.910170353088413E-2</c:v>
                </c:pt>
                <c:pt idx="28">
                  <c:v>9.9089132084495796E-2</c:v>
                </c:pt>
                <c:pt idx="29">
                  <c:v>0.10416847644449308</c:v>
                </c:pt>
                <c:pt idx="30">
                  <c:v>0.11043415928068055</c:v>
                </c:pt>
                <c:pt idx="31">
                  <c:v>0.19349303709369078</c:v>
                </c:pt>
                <c:pt idx="32">
                  <c:v>0.16942709908829828</c:v>
                </c:pt>
                <c:pt idx="33">
                  <c:v>8.6994416959101276E-2</c:v>
                </c:pt>
              </c:numCache>
            </c:numRef>
          </c:val>
          <c:extLst>
            <c:ext xmlns:c16="http://schemas.microsoft.com/office/drawing/2014/chart" uri="{C3380CC4-5D6E-409C-BE32-E72D297353CC}">
              <c16:uniqueId val="{00000004-A3B7-4CCD-97F6-6AD9864A894D}"/>
            </c:ext>
          </c:extLst>
        </c:ser>
        <c:ser>
          <c:idx val="5"/>
          <c:order val="5"/>
          <c:tx>
            <c:strRef>
              <c:f>'Trh práce 1-SNÚ'!$AH$7</c:f>
              <c:strCache>
                <c:ptCount val="1"/>
                <c:pt idx="0">
                  <c:v>Professional, scientific, technic.&amp; admin.act.</c:v>
                </c:pt>
              </c:strCache>
            </c:strRef>
          </c:tx>
          <c:spPr>
            <a:solidFill>
              <a:srgbClr val="E8C0BE"/>
            </a:solidFill>
            <a:ln w="19050">
              <a:noFill/>
            </a:ln>
          </c:spPr>
          <c:invertIfNegative val="0"/>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1-SNÚ'!$AH$28:$AH$62</c:f>
              <c:numCache>
                <c:formatCode>#\ ##0.0</c:formatCode>
                <c:ptCount val="35"/>
                <c:pt idx="0">
                  <c:v>0.10308883456383169</c:v>
                </c:pt>
                <c:pt idx="1">
                  <c:v>0.12282080877669456</c:v>
                </c:pt>
                <c:pt idx="2">
                  <c:v>0.25097208668743315</c:v>
                </c:pt>
                <c:pt idx="3">
                  <c:v>0.35868659590703367</c:v>
                </c:pt>
                <c:pt idx="4">
                  <c:v>0.23811542989926252</c:v>
                </c:pt>
                <c:pt idx="5">
                  <c:v>0.24004667467079344</c:v>
                </c:pt>
                <c:pt idx="6">
                  <c:v>0.25800163760363798</c:v>
                </c:pt>
                <c:pt idx="7">
                  <c:v>0.2636501041649455</c:v>
                </c:pt>
                <c:pt idx="8">
                  <c:v>0.41654784776603992</c:v>
                </c:pt>
                <c:pt idx="9">
                  <c:v>0.35593309894624653</c:v>
                </c:pt>
                <c:pt idx="10">
                  <c:v>0.30977182035627709</c:v>
                </c:pt>
                <c:pt idx="11">
                  <c:v>0.13772607419921484</c:v>
                </c:pt>
                <c:pt idx="12">
                  <c:v>0.14343992134911879</c:v>
                </c:pt>
                <c:pt idx="13">
                  <c:v>0.13539486233919026</c:v>
                </c:pt>
                <c:pt idx="14">
                  <c:v>0.10628305160717502</c:v>
                </c:pt>
                <c:pt idx="15">
                  <c:v>0.21824608829839115</c:v>
                </c:pt>
                <c:pt idx="16">
                  <c:v>-9.1442689268283577E-3</c:v>
                </c:pt>
                <c:pt idx="17">
                  <c:v>-3.3296298567616144E-2</c:v>
                </c:pt>
                <c:pt idx="18">
                  <c:v>-2.6633640706093892E-2</c:v>
                </c:pt>
                <c:pt idx="19">
                  <c:v>-0.20614876639524751</c:v>
                </c:pt>
                <c:pt idx="20">
                  <c:v>-0.13657008164791523</c:v>
                </c:pt>
                <c:pt idx="21">
                  <c:v>-0.27353729169983609</c:v>
                </c:pt>
                <c:pt idx="22">
                  <c:v>-0.43694239818987912</c:v>
                </c:pt>
                <c:pt idx="23">
                  <c:v>-0.20909243346063147</c:v>
                </c:pt>
                <c:pt idx="24">
                  <c:v>-0.17139188033514938</c:v>
                </c:pt>
                <c:pt idx="25">
                  <c:v>0.10134809862521428</c:v>
                </c:pt>
                <c:pt idx="26">
                  <c:v>0.19100069845358972</c:v>
                </c:pt>
                <c:pt idx="27">
                  <c:v>7.1176434253319529E-2</c:v>
                </c:pt>
                <c:pt idx="28">
                  <c:v>-1.6170142996710891E-3</c:v>
                </c:pt>
                <c:pt idx="29">
                  <c:v>-4.5041283484159401E-2</c:v>
                </c:pt>
                <c:pt idx="30">
                  <c:v>1.7925329103649783E-2</c:v>
                </c:pt>
                <c:pt idx="31">
                  <c:v>5.9183263530529634E-2</c:v>
                </c:pt>
                <c:pt idx="32">
                  <c:v>0.17239820122049118</c:v>
                </c:pt>
                <c:pt idx="33">
                  <c:v>0.13830960173674228</c:v>
                </c:pt>
              </c:numCache>
            </c:numRef>
          </c:val>
          <c:extLst>
            <c:ext xmlns:c16="http://schemas.microsoft.com/office/drawing/2014/chart" uri="{C3380CC4-5D6E-409C-BE32-E72D297353CC}">
              <c16:uniqueId val="{00000005-A3B7-4CCD-97F6-6AD9864A894D}"/>
            </c:ext>
          </c:extLst>
        </c:ser>
        <c:ser>
          <c:idx val="6"/>
          <c:order val="6"/>
          <c:tx>
            <c:strRef>
              <c:f>'Trh práce 1-SNÚ'!$AI$7</c:f>
              <c:strCache>
                <c:ptCount val="1"/>
                <c:pt idx="0">
                  <c:v>Public admin, education, health &amp; soc.work</c:v>
                </c:pt>
              </c:strCache>
            </c:strRef>
          </c:tx>
          <c:spPr>
            <a:solidFill>
              <a:srgbClr val="D58D8B"/>
            </a:solidFill>
            <a:ln>
              <a:noFill/>
            </a:ln>
          </c:spPr>
          <c:invertIfNegative val="0"/>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1-SNÚ'!$AI$28:$AI$62</c:f>
              <c:numCache>
                <c:formatCode>#\ ##0.0</c:formatCode>
                <c:ptCount val="35"/>
                <c:pt idx="0">
                  <c:v>0.2031525775646241</c:v>
                </c:pt>
                <c:pt idx="1">
                  <c:v>0.21991576992497461</c:v>
                </c:pt>
                <c:pt idx="2">
                  <c:v>0.13142991326837999</c:v>
                </c:pt>
                <c:pt idx="3">
                  <c:v>0.14149199757097244</c:v>
                </c:pt>
                <c:pt idx="4">
                  <c:v>0.325463233483336</c:v>
                </c:pt>
                <c:pt idx="5">
                  <c:v>0.34066723563476009</c:v>
                </c:pt>
                <c:pt idx="6">
                  <c:v>0.44607921975090475</c:v>
                </c:pt>
                <c:pt idx="7">
                  <c:v>0.55251039247568279</c:v>
                </c:pt>
                <c:pt idx="8">
                  <c:v>0.46255274221280779</c:v>
                </c:pt>
                <c:pt idx="9">
                  <c:v>0.49230411325389428</c:v>
                </c:pt>
                <c:pt idx="10">
                  <c:v>0.5262645058931491</c:v>
                </c:pt>
                <c:pt idx="11">
                  <c:v>0.51878456833877995</c:v>
                </c:pt>
                <c:pt idx="12">
                  <c:v>0.44244887504378921</c:v>
                </c:pt>
                <c:pt idx="13">
                  <c:v>0.45935334574437608</c:v>
                </c:pt>
                <c:pt idx="14">
                  <c:v>0.30172836175807299</c:v>
                </c:pt>
                <c:pt idx="15">
                  <c:v>0.24009677638084359</c:v>
                </c:pt>
                <c:pt idx="16">
                  <c:v>0.20061747000522417</c:v>
                </c:pt>
                <c:pt idx="17">
                  <c:v>0.13283528847799517</c:v>
                </c:pt>
                <c:pt idx="18">
                  <c:v>0.15144076368225945</c:v>
                </c:pt>
                <c:pt idx="19">
                  <c:v>0.17428338345531022</c:v>
                </c:pt>
                <c:pt idx="20">
                  <c:v>0.34198589701119492</c:v>
                </c:pt>
                <c:pt idx="21">
                  <c:v>0.27678778519636987</c:v>
                </c:pt>
                <c:pt idx="22">
                  <c:v>0.37818346642688999</c:v>
                </c:pt>
                <c:pt idx="23">
                  <c:v>0.32123696939097551</c:v>
                </c:pt>
                <c:pt idx="24">
                  <c:v>0.17763677855905954</c:v>
                </c:pt>
                <c:pt idx="25">
                  <c:v>0.30954336863438126</c:v>
                </c:pt>
                <c:pt idx="26">
                  <c:v>0.28418412534868653</c:v>
                </c:pt>
                <c:pt idx="27">
                  <c:v>0.35355873670896537</c:v>
                </c:pt>
                <c:pt idx="28">
                  <c:v>0.43905698734441401</c:v>
                </c:pt>
                <c:pt idx="29">
                  <c:v>0.41338594812836138</c:v>
                </c:pt>
                <c:pt idx="30">
                  <c:v>0.41596432785129217</c:v>
                </c:pt>
                <c:pt idx="31">
                  <c:v>0.5027325572428506</c:v>
                </c:pt>
                <c:pt idx="32">
                  <c:v>0.52272828138268268</c:v>
                </c:pt>
                <c:pt idx="33">
                  <c:v>0.41937270752703609</c:v>
                </c:pt>
              </c:numCache>
            </c:numRef>
          </c:val>
          <c:extLst>
            <c:ext xmlns:c16="http://schemas.microsoft.com/office/drawing/2014/chart" uri="{C3380CC4-5D6E-409C-BE32-E72D297353CC}">
              <c16:uniqueId val="{00000006-A3B7-4CCD-97F6-6AD9864A894D}"/>
            </c:ext>
          </c:extLst>
        </c:ser>
        <c:ser>
          <c:idx val="7"/>
          <c:order val="7"/>
          <c:tx>
            <c:strRef>
              <c:f>'Trh práce 1-SNÚ'!$AJ$7</c:f>
              <c:strCache>
                <c:ptCount val="1"/>
                <c:pt idx="0">
                  <c:v>Other branches*</c:v>
                </c:pt>
              </c:strCache>
            </c:strRef>
          </c:tx>
          <c:spPr>
            <a:solidFill>
              <a:schemeClr val="bg1">
                <a:lumMod val="85000"/>
              </a:schemeClr>
            </a:solidFill>
            <a:ln>
              <a:noFill/>
            </a:ln>
          </c:spPr>
          <c:invertIfNegative val="0"/>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1-SNÚ'!$AJ$28:$AJ$62</c:f>
              <c:numCache>
                <c:formatCode>#\ ##0.0</c:formatCode>
                <c:ptCount val="35"/>
                <c:pt idx="0">
                  <c:v>-5.8105330152403607E-2</c:v>
                </c:pt>
                <c:pt idx="1">
                  <c:v>7.4822774223603811E-2</c:v>
                </c:pt>
                <c:pt idx="2">
                  <c:v>5.2908263210984269E-2</c:v>
                </c:pt>
                <c:pt idx="3">
                  <c:v>-1.0886996096651561E-2</c:v>
                </c:pt>
                <c:pt idx="4">
                  <c:v>0.13489326432190499</c:v>
                </c:pt>
                <c:pt idx="5">
                  <c:v>7.1998572758000312E-2</c:v>
                </c:pt>
                <c:pt idx="6">
                  <c:v>0.10095213191232864</c:v>
                </c:pt>
                <c:pt idx="7">
                  <c:v>0.17975706759442206</c:v>
                </c:pt>
                <c:pt idx="8">
                  <c:v>-3.4575344434650185E-2</c:v>
                </c:pt>
                <c:pt idx="9">
                  <c:v>7.1083985158272162E-3</c:v>
                </c:pt>
                <c:pt idx="10">
                  <c:v>3.3733199641470847E-2</c:v>
                </c:pt>
                <c:pt idx="11">
                  <c:v>2.2834824579480675E-2</c:v>
                </c:pt>
                <c:pt idx="12">
                  <c:v>0.20382180000527356</c:v>
                </c:pt>
                <c:pt idx="13">
                  <c:v>0.20098465243874819</c:v>
                </c:pt>
                <c:pt idx="14">
                  <c:v>1.3096754650279416E-2</c:v>
                </c:pt>
                <c:pt idx="15">
                  <c:v>1.4976942215082494E-2</c:v>
                </c:pt>
                <c:pt idx="16">
                  <c:v>-3.6076273960813698E-2</c:v>
                </c:pt>
                <c:pt idx="17">
                  <c:v>2.1528414284039416E-2</c:v>
                </c:pt>
                <c:pt idx="18">
                  <c:v>0.11899312656423239</c:v>
                </c:pt>
                <c:pt idx="19">
                  <c:v>0.11806769054624167</c:v>
                </c:pt>
                <c:pt idx="20">
                  <c:v>-0.14230569417640487</c:v>
                </c:pt>
                <c:pt idx="21">
                  <c:v>-0.35283464151923138</c:v>
                </c:pt>
                <c:pt idx="22">
                  <c:v>-0.32618669457516364</c:v>
                </c:pt>
                <c:pt idx="23">
                  <c:v>-0.43498990865563203</c:v>
                </c:pt>
                <c:pt idx="24">
                  <c:v>-0.14203900559724511</c:v>
                </c:pt>
                <c:pt idx="25">
                  <c:v>5.2288111624045716E-2</c:v>
                </c:pt>
                <c:pt idx="26">
                  <c:v>-2.6396030127119215E-2</c:v>
                </c:pt>
                <c:pt idx="27">
                  <c:v>9.1180639103177627E-2</c:v>
                </c:pt>
                <c:pt idx="28">
                  <c:v>-1.8257219592797962E-2</c:v>
                </c:pt>
                <c:pt idx="29">
                  <c:v>3.1534502912177964E-2</c:v>
                </c:pt>
                <c:pt idx="30">
                  <c:v>-8.1389175816053011E-2</c:v>
                </c:pt>
                <c:pt idx="31">
                  <c:v>-4.9706508616692853E-2</c:v>
                </c:pt>
                <c:pt idx="32">
                  <c:v>3.0156686641757607E-2</c:v>
                </c:pt>
                <c:pt idx="33">
                  <c:v>0.10460543725164165</c:v>
                </c:pt>
              </c:numCache>
            </c:numRef>
          </c:val>
          <c:extLst>
            <c:ext xmlns:c16="http://schemas.microsoft.com/office/drawing/2014/chart" uri="{C3380CC4-5D6E-409C-BE32-E72D297353CC}">
              <c16:uniqueId val="{00000007-A3B7-4CCD-97F6-6AD9864A894D}"/>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1-SNÚ'!$AK$7</c:f>
              <c:strCache>
                <c:ptCount val="1"/>
                <c:pt idx="0">
                  <c:v>Total employment growth</c:v>
                </c:pt>
              </c:strCache>
            </c:strRef>
          </c:tx>
          <c:spPr>
            <a:ln w="19050">
              <a:solidFill>
                <a:schemeClr val="tx1">
                  <a:lumMod val="95000"/>
                  <a:lumOff val="5000"/>
                </a:schemeClr>
              </a:solidFill>
            </a:ln>
          </c:spPr>
          <c:marker>
            <c:symbol val="none"/>
          </c:marker>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1-SNÚ'!$AK$28:$AK$62</c:f>
              <c:numCache>
                <c:formatCode>#\ ##0.0</c:formatCode>
                <c:ptCount val="35"/>
                <c:pt idx="0">
                  <c:v>1.2219798438542</c:v>
                </c:pt>
                <c:pt idx="1">
                  <c:v>1.7421952173863673</c:v>
                </c:pt>
                <c:pt idx="2">
                  <c:v>1.3904158616861508</c:v>
                </c:pt>
                <c:pt idx="3">
                  <c:v>1.3570767227454041</c:v>
                </c:pt>
                <c:pt idx="4">
                  <c:v>1.5348256915487184</c:v>
                </c:pt>
                <c:pt idx="5">
                  <c:v>1.4765589966874444</c:v>
                </c:pt>
                <c:pt idx="6">
                  <c:v>1.5276265584907236</c:v>
                </c:pt>
                <c:pt idx="7">
                  <c:v>1.8192452854842003</c:v>
                </c:pt>
                <c:pt idx="8">
                  <c:v>1.4810250356838992</c:v>
                </c:pt>
                <c:pt idx="9">
                  <c:v>1.4509305729939399</c:v>
                </c:pt>
                <c:pt idx="10">
                  <c:v>1.9544552420651513</c:v>
                </c:pt>
                <c:pt idx="11">
                  <c:v>1.3083410896249887</c:v>
                </c:pt>
                <c:pt idx="12">
                  <c:v>1.5409056151757028</c:v>
                </c:pt>
                <c:pt idx="13">
                  <c:v>1.7294272218424425</c:v>
                </c:pt>
                <c:pt idx="14">
                  <c:v>0.93555167144769769</c:v>
                </c:pt>
                <c:pt idx="15">
                  <c:v>1.1332739223121564</c:v>
                </c:pt>
                <c:pt idx="16">
                  <c:v>0.89667625300134546</c:v>
                </c:pt>
                <c:pt idx="17">
                  <c:v>0.28165574684354056</c:v>
                </c:pt>
                <c:pt idx="18">
                  <c:v>0.17165132263802718</c:v>
                </c:pt>
                <c:pt idx="19">
                  <c:v>-0.36834909134847749</c:v>
                </c:pt>
                <c:pt idx="20">
                  <c:v>-0.7958713884484041</c:v>
                </c:pt>
                <c:pt idx="21">
                  <c:v>-2.1514961360447131</c:v>
                </c:pt>
                <c:pt idx="22">
                  <c:v>-1.7856708541695099</c:v>
                </c:pt>
                <c:pt idx="23">
                  <c:v>-2.1298218129441722</c:v>
                </c:pt>
                <c:pt idx="24">
                  <c:v>-1.44468400722333</c:v>
                </c:pt>
                <c:pt idx="25">
                  <c:v>0.46349863771264666</c:v>
                </c:pt>
                <c:pt idx="26">
                  <c:v>0.89146166281481953</c:v>
                </c:pt>
                <c:pt idx="27">
                  <c:v>1.6566655087273432</c:v>
                </c:pt>
                <c:pt idx="28">
                  <c:v>1.2553107638248946</c:v>
                </c:pt>
                <c:pt idx="29">
                  <c:v>2.1539858920462791</c:v>
                </c:pt>
                <c:pt idx="30">
                  <c:v>1.3642588648097274</c:v>
                </c:pt>
                <c:pt idx="31">
                  <c:v>1.1974344380442261</c:v>
                </c:pt>
                <c:pt idx="32">
                  <c:v>1.3284354714684099</c:v>
                </c:pt>
                <c:pt idx="33">
                  <c:v>0.82768137842168699</c:v>
                </c:pt>
              </c:numCache>
            </c:numRef>
          </c:val>
          <c:smooth val="0"/>
          <c:extLst>
            <c:ext xmlns:c16="http://schemas.microsoft.com/office/drawing/2014/chart" uri="{C3380CC4-5D6E-409C-BE32-E72D297353CC}">
              <c16:uniqueId val="{00000008-A3B7-4CCD-97F6-6AD9864A894D}"/>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1-SNÚ'!$AL$7</c:f>
              <c:strCache>
                <c:ptCount val="1"/>
              </c:strCache>
            </c:strRef>
          </c:tx>
          <c:spPr>
            <a:ln>
              <a:noFill/>
            </a:ln>
          </c:spPr>
          <c:marker>
            <c:symbol val="none"/>
          </c:marker>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1-SNÚ'!$AL$28:$AL$62</c:f>
              <c:numCache>
                <c:formatCode>General</c:formatCode>
                <c:ptCount val="35"/>
              </c:numCache>
            </c:numRef>
          </c:val>
          <c:smooth val="0"/>
          <c:extLst>
            <c:ext xmlns:c16="http://schemas.microsoft.com/office/drawing/2014/chart" uri="{C3380CC4-5D6E-409C-BE32-E72D297353CC}">
              <c16:uniqueId val="{00000009-A3B7-4CCD-97F6-6AD9864A894D}"/>
            </c:ext>
          </c:extLst>
        </c:ser>
        <c:ser>
          <c:idx val="10"/>
          <c:order val="10"/>
          <c:tx>
            <c:strRef>
              <c:f>'Trh práce 1-SNÚ'!$AM$7</c:f>
              <c:strCache>
                <c:ptCount val="1"/>
                <c:pt idx="0">
                  <c:v>Employment expectations (industry)</c:v>
                </c:pt>
              </c:strCache>
            </c:strRef>
          </c:tx>
          <c:spPr>
            <a:ln w="15875">
              <a:solidFill>
                <a:schemeClr val="tx1">
                  <a:lumMod val="95000"/>
                  <a:lumOff val="5000"/>
                </a:schemeClr>
              </a:solidFill>
              <a:prstDash val="sysDot"/>
            </a:ln>
          </c:spPr>
          <c:marker>
            <c:symbol val="none"/>
          </c:marker>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1-SNÚ'!$AM$28:$AM$62</c:f>
              <c:numCache>
                <c:formatCode>#\ ##0.0</c:formatCode>
                <c:ptCount val="35"/>
                <c:pt idx="0">
                  <c:v>-3</c:v>
                </c:pt>
                <c:pt idx="1">
                  <c:v>4.3</c:v>
                </c:pt>
                <c:pt idx="2">
                  <c:v>5.5</c:v>
                </c:pt>
                <c:pt idx="3">
                  <c:v>7.8</c:v>
                </c:pt>
                <c:pt idx="4">
                  <c:v>8.1999999999999993</c:v>
                </c:pt>
                <c:pt idx="5">
                  <c:v>9.9</c:v>
                </c:pt>
                <c:pt idx="6">
                  <c:v>3.8</c:v>
                </c:pt>
                <c:pt idx="7">
                  <c:v>9.5</c:v>
                </c:pt>
                <c:pt idx="8">
                  <c:v>11.1</c:v>
                </c:pt>
                <c:pt idx="9">
                  <c:v>5.7</c:v>
                </c:pt>
                <c:pt idx="10">
                  <c:v>8.1999999999999993</c:v>
                </c:pt>
                <c:pt idx="11">
                  <c:v>7.3</c:v>
                </c:pt>
                <c:pt idx="12">
                  <c:v>9.8000000000000007</c:v>
                </c:pt>
                <c:pt idx="13">
                  <c:v>9.4</c:v>
                </c:pt>
                <c:pt idx="14">
                  <c:v>6.2</c:v>
                </c:pt>
                <c:pt idx="15">
                  <c:v>6.3</c:v>
                </c:pt>
                <c:pt idx="16">
                  <c:v>2.5</c:v>
                </c:pt>
                <c:pt idx="17">
                  <c:v>2.6</c:v>
                </c:pt>
                <c:pt idx="18">
                  <c:v>0.5</c:v>
                </c:pt>
                <c:pt idx="19">
                  <c:v>-2.8</c:v>
                </c:pt>
                <c:pt idx="20">
                  <c:v>2.9</c:v>
                </c:pt>
                <c:pt idx="21">
                  <c:v>-19</c:v>
                </c:pt>
                <c:pt idx="22">
                  <c:v>-10.9</c:v>
                </c:pt>
                <c:pt idx="23">
                  <c:v>-3.5</c:v>
                </c:pt>
                <c:pt idx="24">
                  <c:v>4.4000000000000004</c:v>
                </c:pt>
                <c:pt idx="25">
                  <c:v>8.6</c:v>
                </c:pt>
                <c:pt idx="26">
                  <c:v>4.7</c:v>
                </c:pt>
                <c:pt idx="27">
                  <c:v>1.8</c:v>
                </c:pt>
                <c:pt idx="28">
                  <c:v>11.2</c:v>
                </c:pt>
                <c:pt idx="29">
                  <c:v>2.2999999999999998</c:v>
                </c:pt>
                <c:pt idx="30">
                  <c:v>2.1</c:v>
                </c:pt>
                <c:pt idx="31">
                  <c:v>-9.9</c:v>
                </c:pt>
                <c:pt idx="32">
                  <c:v>-13.6</c:v>
                </c:pt>
                <c:pt idx="33">
                  <c:v>-5.8</c:v>
                </c:pt>
                <c:pt idx="34">
                  <c:v>-4.3</c:v>
                </c:pt>
              </c:numCache>
            </c:numRef>
          </c:val>
          <c:smooth val="0"/>
          <c:extLst>
            <c:ext xmlns:c16="http://schemas.microsoft.com/office/drawing/2014/chart" uri="{C3380CC4-5D6E-409C-BE32-E72D297353CC}">
              <c16:uniqueId val="{0000000A-A3B7-4CCD-97F6-6AD9864A894D}"/>
            </c:ext>
          </c:extLst>
        </c:ser>
        <c:ser>
          <c:idx val="11"/>
          <c:order val="11"/>
          <c:tx>
            <c:strRef>
              <c:f>'Trh práce 1-SNÚ'!$AN$7</c:f>
              <c:strCache>
                <c:ptCount val="1"/>
                <c:pt idx="0">
                  <c:v>Employment expectations (construction)</c:v>
                </c:pt>
              </c:strCache>
            </c:strRef>
          </c:tx>
          <c:spPr>
            <a:ln w="15875">
              <a:solidFill>
                <a:srgbClr val="00B0F0"/>
              </a:solidFill>
              <a:prstDash val="sysDot"/>
            </a:ln>
          </c:spPr>
          <c:marker>
            <c:symbol val="none"/>
          </c:marker>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1-SNÚ'!$AN$28:$AN$62</c:f>
              <c:numCache>
                <c:formatCode>#\ ##0.0</c:formatCode>
                <c:ptCount val="35"/>
                <c:pt idx="0">
                  <c:v>-4.2</c:v>
                </c:pt>
                <c:pt idx="1">
                  <c:v>7.4</c:v>
                </c:pt>
                <c:pt idx="2">
                  <c:v>1</c:v>
                </c:pt>
                <c:pt idx="3">
                  <c:v>-0.1</c:v>
                </c:pt>
                <c:pt idx="4">
                  <c:v>-3.5</c:v>
                </c:pt>
                <c:pt idx="5">
                  <c:v>-6.4</c:v>
                </c:pt>
                <c:pt idx="6">
                  <c:v>-4.7</c:v>
                </c:pt>
                <c:pt idx="7">
                  <c:v>-6.9</c:v>
                </c:pt>
                <c:pt idx="8">
                  <c:v>-7.5</c:v>
                </c:pt>
                <c:pt idx="9">
                  <c:v>-12.2</c:v>
                </c:pt>
                <c:pt idx="10">
                  <c:v>-6.2</c:v>
                </c:pt>
                <c:pt idx="11">
                  <c:v>-2.8</c:v>
                </c:pt>
                <c:pt idx="12">
                  <c:v>4.3</c:v>
                </c:pt>
                <c:pt idx="13">
                  <c:v>5.5</c:v>
                </c:pt>
                <c:pt idx="14">
                  <c:v>8.8000000000000007</c:v>
                </c:pt>
                <c:pt idx="15">
                  <c:v>9.6</c:v>
                </c:pt>
                <c:pt idx="16">
                  <c:v>6.4</c:v>
                </c:pt>
                <c:pt idx="17">
                  <c:v>9.6</c:v>
                </c:pt>
                <c:pt idx="18">
                  <c:v>3.8</c:v>
                </c:pt>
                <c:pt idx="19">
                  <c:v>10.7</c:v>
                </c:pt>
                <c:pt idx="20">
                  <c:v>5.7</c:v>
                </c:pt>
                <c:pt idx="21">
                  <c:v>-4.2</c:v>
                </c:pt>
                <c:pt idx="22">
                  <c:v>1.5</c:v>
                </c:pt>
                <c:pt idx="23">
                  <c:v>-1.5</c:v>
                </c:pt>
                <c:pt idx="24">
                  <c:v>3.9</c:v>
                </c:pt>
                <c:pt idx="25">
                  <c:v>4.4000000000000004</c:v>
                </c:pt>
                <c:pt idx="26">
                  <c:v>4.0999999999999996</c:v>
                </c:pt>
                <c:pt idx="27">
                  <c:v>8.3000000000000007</c:v>
                </c:pt>
                <c:pt idx="28">
                  <c:v>10.1</c:v>
                </c:pt>
                <c:pt idx="29">
                  <c:v>7.8</c:v>
                </c:pt>
                <c:pt idx="30">
                  <c:v>0.6</c:v>
                </c:pt>
                <c:pt idx="31">
                  <c:v>-0.3</c:v>
                </c:pt>
                <c:pt idx="32">
                  <c:v>-11.6</c:v>
                </c:pt>
                <c:pt idx="33">
                  <c:v>-13.7</c:v>
                </c:pt>
                <c:pt idx="34">
                  <c:v>-9.5</c:v>
                </c:pt>
              </c:numCache>
            </c:numRef>
          </c:val>
          <c:smooth val="0"/>
          <c:extLst>
            <c:ext xmlns:c16="http://schemas.microsoft.com/office/drawing/2014/chart" uri="{C3380CC4-5D6E-409C-BE32-E72D297353CC}">
              <c16:uniqueId val="{0000000B-A3B7-4CCD-97F6-6AD9864A894D}"/>
            </c:ext>
          </c:extLst>
        </c:ser>
        <c:ser>
          <c:idx val="12"/>
          <c:order val="12"/>
          <c:tx>
            <c:strRef>
              <c:f>'Trh práce 1-SNÚ'!$AO$7</c:f>
              <c:strCache>
                <c:ptCount val="1"/>
                <c:pt idx="0">
                  <c:v>Employment expectations (trade)</c:v>
                </c:pt>
              </c:strCache>
            </c:strRef>
          </c:tx>
          <c:spPr>
            <a:ln w="15875">
              <a:solidFill>
                <a:schemeClr val="accent6">
                  <a:lumMod val="75000"/>
                </a:schemeClr>
              </a:solidFill>
              <a:prstDash val="sysDot"/>
            </a:ln>
          </c:spPr>
          <c:marker>
            <c:symbol val="none"/>
          </c:marker>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1-SNÚ'!$AO$28:$AO$62</c:f>
              <c:numCache>
                <c:formatCode>#\ ##0.0</c:formatCode>
                <c:ptCount val="35"/>
                <c:pt idx="0">
                  <c:v>11.9</c:v>
                </c:pt>
                <c:pt idx="1">
                  <c:v>3.7</c:v>
                </c:pt>
                <c:pt idx="2">
                  <c:v>0.8</c:v>
                </c:pt>
                <c:pt idx="3">
                  <c:v>2.2999999999999998</c:v>
                </c:pt>
                <c:pt idx="4">
                  <c:v>14.8</c:v>
                </c:pt>
                <c:pt idx="5">
                  <c:v>18.2</c:v>
                </c:pt>
                <c:pt idx="6">
                  <c:v>18.7</c:v>
                </c:pt>
                <c:pt idx="7">
                  <c:v>21.4</c:v>
                </c:pt>
                <c:pt idx="8">
                  <c:v>14.5</c:v>
                </c:pt>
                <c:pt idx="9">
                  <c:v>17.100000000000001</c:v>
                </c:pt>
                <c:pt idx="10">
                  <c:v>18.8</c:v>
                </c:pt>
                <c:pt idx="11">
                  <c:v>15.3</c:v>
                </c:pt>
                <c:pt idx="12">
                  <c:v>29.9</c:v>
                </c:pt>
                <c:pt idx="13">
                  <c:v>32.5</c:v>
                </c:pt>
                <c:pt idx="14">
                  <c:v>27.1</c:v>
                </c:pt>
                <c:pt idx="15">
                  <c:v>15.3</c:v>
                </c:pt>
                <c:pt idx="16">
                  <c:v>11.9</c:v>
                </c:pt>
                <c:pt idx="17">
                  <c:v>15.9</c:v>
                </c:pt>
                <c:pt idx="18">
                  <c:v>13.7</c:v>
                </c:pt>
                <c:pt idx="19">
                  <c:v>13</c:v>
                </c:pt>
                <c:pt idx="20">
                  <c:v>11.4</c:v>
                </c:pt>
                <c:pt idx="21">
                  <c:v>-5.9</c:v>
                </c:pt>
                <c:pt idx="22">
                  <c:v>-3.5</c:v>
                </c:pt>
                <c:pt idx="23">
                  <c:v>0.7</c:v>
                </c:pt>
                <c:pt idx="24">
                  <c:v>5.3</c:v>
                </c:pt>
                <c:pt idx="25">
                  <c:v>13.1</c:v>
                </c:pt>
                <c:pt idx="26">
                  <c:v>10.8</c:v>
                </c:pt>
                <c:pt idx="27">
                  <c:v>8.5</c:v>
                </c:pt>
                <c:pt idx="28">
                  <c:v>9.6999999999999993</c:v>
                </c:pt>
                <c:pt idx="29">
                  <c:v>3.2</c:v>
                </c:pt>
                <c:pt idx="30">
                  <c:v>5.0999999999999996</c:v>
                </c:pt>
                <c:pt idx="31">
                  <c:v>12.6</c:v>
                </c:pt>
                <c:pt idx="32">
                  <c:v>10.3</c:v>
                </c:pt>
                <c:pt idx="33">
                  <c:v>9.1999999999999993</c:v>
                </c:pt>
                <c:pt idx="34">
                  <c:v>10.7</c:v>
                </c:pt>
              </c:numCache>
            </c:numRef>
          </c:val>
          <c:smooth val="0"/>
          <c:extLst>
            <c:ext xmlns:c16="http://schemas.microsoft.com/office/drawing/2014/chart" uri="{C3380CC4-5D6E-409C-BE32-E72D297353CC}">
              <c16:uniqueId val="{0000000C-A3B7-4CCD-97F6-6AD9864A894D}"/>
            </c:ext>
          </c:extLst>
        </c:ser>
        <c:ser>
          <c:idx val="13"/>
          <c:order val="13"/>
          <c:tx>
            <c:strRef>
              <c:f>'Trh práce 1-SNÚ'!$AP$7</c:f>
              <c:strCache>
                <c:ptCount val="1"/>
                <c:pt idx="0">
                  <c:v>Employment expectations (select.services)</c:v>
                </c:pt>
              </c:strCache>
            </c:strRef>
          </c:tx>
          <c:spPr>
            <a:ln w="15875">
              <a:solidFill>
                <a:srgbClr val="C00000"/>
              </a:solidFill>
              <a:prstDash val="sysDot"/>
            </a:ln>
          </c:spPr>
          <c:marker>
            <c:symbol val="none"/>
          </c:marker>
          <c:cat>
            <c:multiLvlStrRef>
              <c:f>'Trh práce 1-SNÚ'!$AA$28:$AB$62</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1-SNÚ'!$AP$28:$AP$62</c:f>
              <c:numCache>
                <c:formatCode>#\ ##0.0</c:formatCode>
                <c:ptCount val="35"/>
                <c:pt idx="0">
                  <c:v>-16.2</c:v>
                </c:pt>
                <c:pt idx="1">
                  <c:v>-24.6</c:v>
                </c:pt>
                <c:pt idx="2">
                  <c:v>5.2</c:v>
                </c:pt>
                <c:pt idx="3">
                  <c:v>5.2</c:v>
                </c:pt>
                <c:pt idx="4">
                  <c:v>2.8</c:v>
                </c:pt>
                <c:pt idx="5">
                  <c:v>21.8</c:v>
                </c:pt>
                <c:pt idx="6">
                  <c:v>-4.8</c:v>
                </c:pt>
                <c:pt idx="7">
                  <c:v>7.9</c:v>
                </c:pt>
                <c:pt idx="8">
                  <c:v>11.1</c:v>
                </c:pt>
                <c:pt idx="9">
                  <c:v>11</c:v>
                </c:pt>
                <c:pt idx="10">
                  <c:v>19.7</c:v>
                </c:pt>
                <c:pt idx="11">
                  <c:v>3.1</c:v>
                </c:pt>
                <c:pt idx="12">
                  <c:v>15.7</c:v>
                </c:pt>
                <c:pt idx="13">
                  <c:v>10.5</c:v>
                </c:pt>
                <c:pt idx="14">
                  <c:v>9.5</c:v>
                </c:pt>
                <c:pt idx="15">
                  <c:v>-7.6</c:v>
                </c:pt>
                <c:pt idx="16">
                  <c:v>-6.5</c:v>
                </c:pt>
                <c:pt idx="17">
                  <c:v>-1.1000000000000001</c:v>
                </c:pt>
                <c:pt idx="18">
                  <c:v>-4.5999999999999996</c:v>
                </c:pt>
                <c:pt idx="19">
                  <c:v>-15.4</c:v>
                </c:pt>
                <c:pt idx="20">
                  <c:v>-20.5</c:v>
                </c:pt>
                <c:pt idx="21">
                  <c:v>-32.299999999999997</c:v>
                </c:pt>
                <c:pt idx="22">
                  <c:v>-28.6</c:v>
                </c:pt>
                <c:pt idx="23">
                  <c:v>-30.1</c:v>
                </c:pt>
                <c:pt idx="24">
                  <c:v>-27</c:v>
                </c:pt>
                <c:pt idx="25">
                  <c:v>-27.7</c:v>
                </c:pt>
                <c:pt idx="26">
                  <c:v>-12.1</c:v>
                </c:pt>
                <c:pt idx="27">
                  <c:v>-15.8</c:v>
                </c:pt>
                <c:pt idx="28">
                  <c:v>-6.8</c:v>
                </c:pt>
                <c:pt idx="29">
                  <c:v>-3.5</c:v>
                </c:pt>
                <c:pt idx="30">
                  <c:v>-6.1</c:v>
                </c:pt>
                <c:pt idx="31">
                  <c:v>-6.4</c:v>
                </c:pt>
                <c:pt idx="32">
                  <c:v>-10.7</c:v>
                </c:pt>
                <c:pt idx="33">
                  <c:v>-16.7</c:v>
                </c:pt>
                <c:pt idx="34">
                  <c:v>-14.5</c:v>
                </c:pt>
              </c:numCache>
            </c:numRef>
          </c:val>
          <c:smooth val="0"/>
          <c:extLst>
            <c:ext xmlns:c16="http://schemas.microsoft.com/office/drawing/2014/chart" uri="{C3380CC4-5D6E-409C-BE32-E72D297353CC}">
              <c16:uniqueId val="{0000000D-A3B7-4CCD-97F6-6AD9864A894D}"/>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5"/>
          <c:min val="-4.5"/>
        </c:scaling>
        <c:delete val="0"/>
        <c:axPos val="l"/>
        <c:majorGridlines>
          <c:spPr>
            <a:ln w="6350">
              <a:solidFill>
                <a:schemeClr val="bg1">
                  <a:lumMod val="75000"/>
                </a:schemeClr>
              </a:solidFill>
            </a:ln>
          </c:spPr>
        </c:majorGridlines>
        <c:title>
          <c:tx>
            <c:rich>
              <a:bodyPr/>
              <a:lstStyle/>
              <a:p>
                <a:pPr>
                  <a:defRPr sz="700" b="0" i="1"/>
                </a:pPr>
                <a:r>
                  <a:rPr lang="cs-CZ" sz="700" b="0" i="1"/>
                  <a:t>Contribution to the employment growth</a:t>
                </a:r>
              </a:p>
            </c:rich>
          </c:tx>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a:defRPr sz="700" b="0" i="1"/>
                </a:pPr>
                <a:r>
                  <a:rPr lang="cs-CZ" sz="700" b="0" i="1"/>
                  <a:t>Expectations of the employment</a:t>
                </a:r>
              </a:p>
            </c:rich>
          </c:tx>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1.2773337912519967E-2"/>
          <c:y val="0.77992823117070742"/>
          <c:w val="0.97895033481051774"/>
          <c:h val="0.21194618315349945"/>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891E-2"/>
          <c:y val="1.6081916099773243E-2"/>
          <c:w val="0.83584199323558972"/>
          <c:h val="0.75413005601973626"/>
        </c:manualLayout>
      </c:layout>
      <c:barChart>
        <c:barDir val="col"/>
        <c:grouping val="clustered"/>
        <c:varyColors val="0"/>
        <c:ser>
          <c:idx val="0"/>
          <c:order val="0"/>
          <c:tx>
            <c:strRef>
              <c:f>'Trh práce-2b'!$A$32</c:f>
              <c:strCache>
                <c:ptCount val="1"/>
                <c:pt idx="0">
                  <c:v>Male unemployment rate</c:v>
                </c:pt>
              </c:strCache>
            </c:strRef>
          </c:tx>
          <c:spPr>
            <a:solidFill>
              <a:srgbClr val="BCBCBC"/>
            </a:solidFill>
          </c:spPr>
          <c:invertIfNegative val="0"/>
          <c:cat>
            <c:multiLvlStrRef>
              <c:f>'Trh práce-2b'!$B$30:$AJ$31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práce-2b'!$B$32:$AJ$32</c:f>
              <c:numCache>
                <c:formatCode>0.0</c:formatCode>
                <c:ptCount val="35"/>
                <c:pt idx="0">
                  <c:v>5.0179703567993279</c:v>
                </c:pt>
                <c:pt idx="1">
                  <c:v>4.3397037857057308</c:v>
                </c:pt>
                <c:pt idx="2">
                  <c:v>4.078363791425363</c:v>
                </c:pt>
                <c:pt idx="3">
                  <c:v>3.7766265778372001</c:v>
                </c:pt>
                <c:pt idx="4">
                  <c:v>3.6410218058510355</c:v>
                </c:pt>
                <c:pt idx="5">
                  <c:v>3.5617055995244464</c:v>
                </c:pt>
                <c:pt idx="6">
                  <c:v>3.3832737899339094</c:v>
                </c:pt>
                <c:pt idx="7">
                  <c:v>3.1624830152469721</c:v>
                </c:pt>
                <c:pt idx="8">
                  <c:v>2.7030133381290344</c:v>
                </c:pt>
                <c:pt idx="9">
                  <c:v>2.4612076398961951</c:v>
                </c:pt>
                <c:pt idx="10">
                  <c:v>2.2569337257329649</c:v>
                </c:pt>
                <c:pt idx="11">
                  <c:v>2.0533565705585919</c:v>
                </c:pt>
                <c:pt idx="12">
                  <c:v>1.8939606859689577</c:v>
                </c:pt>
                <c:pt idx="13">
                  <c:v>1.8444391535153297</c:v>
                </c:pt>
                <c:pt idx="14">
                  <c:v>1.8906657579743846</c:v>
                </c:pt>
                <c:pt idx="15">
                  <c:v>1.6613164713888826</c:v>
                </c:pt>
                <c:pt idx="16">
                  <c:v>1.8002424728293283</c:v>
                </c:pt>
                <c:pt idx="17">
                  <c:v>1.68370477728885</c:v>
                </c:pt>
                <c:pt idx="18">
                  <c:v>1.7665785210090019</c:v>
                </c:pt>
                <c:pt idx="19">
                  <c:v>1.8635330355029034</c:v>
                </c:pt>
                <c:pt idx="20">
                  <c:v>1.8345903586695378</c:v>
                </c:pt>
                <c:pt idx="21">
                  <c:v>2.2579728634053908</c:v>
                </c:pt>
                <c:pt idx="22">
                  <c:v>2.5264092526326714</c:v>
                </c:pt>
                <c:pt idx="23">
                  <c:v>2.532875325520068</c:v>
                </c:pt>
                <c:pt idx="24">
                  <c:v>2.6687894843566364</c:v>
                </c:pt>
                <c:pt idx="25">
                  <c:v>2.5658471946484771</c:v>
                </c:pt>
                <c:pt idx="26">
                  <c:v>2.2750405964284734</c:v>
                </c:pt>
                <c:pt idx="27">
                  <c:v>1.9616597792922665</c:v>
                </c:pt>
                <c:pt idx="28">
                  <c:v>1.9699114886182214</c:v>
                </c:pt>
                <c:pt idx="29">
                  <c:v>1.9099497776191254</c:v>
                </c:pt>
                <c:pt idx="30">
                  <c:v>1.924287629304005</c:v>
                </c:pt>
                <c:pt idx="31">
                  <c:v>2.0833254788649742</c:v>
                </c:pt>
                <c:pt idx="32">
                  <c:v>2.157527231950231</c:v>
                </c:pt>
                <c:pt idx="33">
                  <c:v>2.2590238099041651</c:v>
                </c:pt>
              </c:numCache>
            </c:numRef>
          </c:val>
          <c:extLst>
            <c:ext xmlns:c16="http://schemas.microsoft.com/office/drawing/2014/chart" uri="{C3380CC4-5D6E-409C-BE32-E72D297353CC}">
              <c16:uniqueId val="{00000000-EE7E-43A5-890F-700611CAED27}"/>
            </c:ext>
          </c:extLst>
        </c:ser>
        <c:ser>
          <c:idx val="1"/>
          <c:order val="1"/>
          <c:tx>
            <c:strRef>
              <c:f>'Trh práce-2b'!$A$33</c:f>
              <c:strCache>
                <c:ptCount val="1"/>
                <c:pt idx="0">
                  <c:v>Female unemployment rate</c:v>
                </c:pt>
              </c:strCache>
            </c:strRef>
          </c:tx>
          <c:spPr>
            <a:solidFill>
              <a:schemeClr val="bg1">
                <a:lumMod val="95000"/>
              </a:schemeClr>
            </a:solidFill>
            <a:ln>
              <a:solidFill>
                <a:schemeClr val="bg1">
                  <a:lumMod val="65000"/>
                </a:schemeClr>
              </a:solidFill>
            </a:ln>
          </c:spPr>
          <c:invertIfNegative val="0"/>
          <c:cat>
            <c:multiLvlStrRef>
              <c:f>'Trh práce-2b'!$B$30:$AJ$31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práce-2b'!$B$33:$AJ$33</c:f>
              <c:numCache>
                <c:formatCode>0.0</c:formatCode>
                <c:ptCount val="35"/>
                <c:pt idx="0">
                  <c:v>6.9247844222757093</c:v>
                </c:pt>
                <c:pt idx="1">
                  <c:v>6.1548239649972336</c:v>
                </c:pt>
                <c:pt idx="2">
                  <c:v>5.9772351628082871</c:v>
                </c:pt>
                <c:pt idx="3">
                  <c:v>5.6631509856934299</c:v>
                </c:pt>
                <c:pt idx="4">
                  <c:v>5.0702807689938432</c:v>
                </c:pt>
                <c:pt idx="5">
                  <c:v>4.8011933347794091</c:v>
                </c:pt>
                <c:pt idx="6">
                  <c:v>4.8094480130904822</c:v>
                </c:pt>
                <c:pt idx="7">
                  <c:v>4.3666253677207658</c:v>
                </c:pt>
                <c:pt idx="8">
                  <c:v>4.2695537029006578</c:v>
                </c:pt>
                <c:pt idx="9">
                  <c:v>3.892380756609807</c:v>
                </c:pt>
                <c:pt idx="10">
                  <c:v>3.4090462990584385</c:v>
                </c:pt>
                <c:pt idx="11">
                  <c:v>3.0268766213583489</c:v>
                </c:pt>
                <c:pt idx="12">
                  <c:v>2.9413108440125382</c:v>
                </c:pt>
                <c:pt idx="13">
                  <c:v>2.8900483618547952</c:v>
                </c:pt>
                <c:pt idx="14">
                  <c:v>2.8576069830594331</c:v>
                </c:pt>
                <c:pt idx="15">
                  <c:v>2.6813009357194431</c:v>
                </c:pt>
                <c:pt idx="16">
                  <c:v>2.2468451775037979</c:v>
                </c:pt>
                <c:pt idx="17">
                  <c:v>2.4700676446938119</c:v>
                </c:pt>
                <c:pt idx="18">
                  <c:v>2.5650647654236116</c:v>
                </c:pt>
                <c:pt idx="19">
                  <c:v>2.4357961684995288</c:v>
                </c:pt>
                <c:pt idx="20">
                  <c:v>2.0459633496495324</c:v>
                </c:pt>
                <c:pt idx="21">
                  <c:v>2.8097346782288031</c:v>
                </c:pt>
                <c:pt idx="22">
                  <c:v>3.3694736693486296</c:v>
                </c:pt>
                <c:pt idx="23">
                  <c:v>3.8967034720032188</c:v>
                </c:pt>
                <c:pt idx="24">
                  <c:v>4.1524898825665657</c:v>
                </c:pt>
                <c:pt idx="25">
                  <c:v>3.9048818536061245</c:v>
                </c:pt>
                <c:pt idx="26">
                  <c:v>3.2609428473346518</c:v>
                </c:pt>
                <c:pt idx="27">
                  <c:v>2.7351509961910576</c:v>
                </c:pt>
                <c:pt idx="28">
                  <c:v>2.9959040802138648</c:v>
                </c:pt>
                <c:pt idx="29">
                  <c:v>3.2096578909940594</c:v>
                </c:pt>
                <c:pt idx="30">
                  <c:v>2.8962648073926567</c:v>
                </c:pt>
                <c:pt idx="31">
                  <c:v>2.7939457161105916</c:v>
                </c:pt>
                <c:pt idx="32">
                  <c:v>3.0275232069435951</c:v>
                </c:pt>
                <c:pt idx="33">
                  <c:v>3.1718716331444265</c:v>
                </c:pt>
              </c:numCache>
            </c:numRef>
          </c:val>
          <c:extLst>
            <c:ext xmlns:c16="http://schemas.microsoft.com/office/drawing/2014/chart" uri="{C3380CC4-5D6E-409C-BE32-E72D297353CC}">
              <c16:uniqueId val="{00000001-EE7E-43A5-890F-700611CAED27}"/>
            </c:ext>
          </c:extLst>
        </c:ser>
        <c:dLbls>
          <c:showLegendKey val="0"/>
          <c:showVal val="0"/>
          <c:showCatName val="0"/>
          <c:showSerName val="0"/>
          <c:showPercent val="0"/>
          <c:showBubbleSize val="0"/>
        </c:dLbls>
        <c:gapWidth val="68"/>
        <c:axId val="100654464"/>
        <c:axId val="101647488"/>
      </c:barChart>
      <c:lineChart>
        <c:grouping val="standard"/>
        <c:varyColors val="0"/>
        <c:ser>
          <c:idx val="4"/>
          <c:order val="2"/>
          <c:tx>
            <c:strRef>
              <c:f>'Trh práce-2b'!$A$36</c:f>
              <c:strCache>
                <c:ptCount val="1"/>
                <c:pt idx="0">
                  <c:v>Economically inactive seeking empl.</c:v>
                </c:pt>
              </c:strCache>
            </c:strRef>
          </c:tx>
          <c:spPr>
            <a:ln w="19050">
              <a:solidFill>
                <a:schemeClr val="bg2">
                  <a:lumMod val="75000"/>
                </a:schemeClr>
              </a:solidFill>
              <a:prstDash val="sysDash"/>
            </a:ln>
          </c:spPr>
          <c:marker>
            <c:symbol val="none"/>
          </c:marker>
          <c:cat>
            <c:multiLvlStrRef>
              <c:f>'Trh práce-2b'!$B$30:$AJ$31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práce-2b'!$B$36:$AJ$36</c:f>
              <c:numCache>
                <c:formatCode>0.0</c:formatCode>
                <c:ptCount val="35"/>
                <c:pt idx="0">
                  <c:v>138.5</c:v>
                </c:pt>
                <c:pt idx="1">
                  <c:v>141.4</c:v>
                </c:pt>
                <c:pt idx="2">
                  <c:v>137.1</c:v>
                </c:pt>
                <c:pt idx="3">
                  <c:v>130.4</c:v>
                </c:pt>
                <c:pt idx="4">
                  <c:v>141</c:v>
                </c:pt>
                <c:pt idx="5">
                  <c:v>126.4</c:v>
                </c:pt>
                <c:pt idx="6">
                  <c:v>129.69999999999999</c:v>
                </c:pt>
                <c:pt idx="7">
                  <c:v>127.1</c:v>
                </c:pt>
                <c:pt idx="8">
                  <c:v>133.1</c:v>
                </c:pt>
                <c:pt idx="9">
                  <c:v>120.1</c:v>
                </c:pt>
                <c:pt idx="10">
                  <c:v>121.3</c:v>
                </c:pt>
                <c:pt idx="11">
                  <c:v>119.1</c:v>
                </c:pt>
                <c:pt idx="12">
                  <c:v>113.5</c:v>
                </c:pt>
                <c:pt idx="13">
                  <c:v>108.4</c:v>
                </c:pt>
                <c:pt idx="14">
                  <c:v>110.3</c:v>
                </c:pt>
                <c:pt idx="15">
                  <c:v>101.7</c:v>
                </c:pt>
                <c:pt idx="16">
                  <c:v>104.6</c:v>
                </c:pt>
                <c:pt idx="17">
                  <c:v>104.6</c:v>
                </c:pt>
                <c:pt idx="18">
                  <c:v>97.6</c:v>
                </c:pt>
                <c:pt idx="19">
                  <c:v>99.9</c:v>
                </c:pt>
                <c:pt idx="20">
                  <c:v>93.4</c:v>
                </c:pt>
                <c:pt idx="21">
                  <c:v>109.3</c:v>
                </c:pt>
                <c:pt idx="22">
                  <c:v>98.8</c:v>
                </c:pt>
                <c:pt idx="23">
                  <c:v>95.7</c:v>
                </c:pt>
                <c:pt idx="24">
                  <c:v>108</c:v>
                </c:pt>
                <c:pt idx="25">
                  <c:v>113.7</c:v>
                </c:pt>
                <c:pt idx="26">
                  <c:v>64.599999999999994</c:v>
                </c:pt>
                <c:pt idx="27">
                  <c:v>63.3</c:v>
                </c:pt>
                <c:pt idx="28">
                  <c:v>67</c:v>
                </c:pt>
                <c:pt idx="29">
                  <c:v>58.7</c:v>
                </c:pt>
                <c:pt idx="30">
                  <c:v>56.6</c:v>
                </c:pt>
                <c:pt idx="31">
                  <c:v>50</c:v>
                </c:pt>
                <c:pt idx="32">
                  <c:v>74</c:v>
                </c:pt>
                <c:pt idx="33">
                  <c:v>87.4</c:v>
                </c:pt>
              </c:numCache>
            </c:numRef>
          </c:val>
          <c:smooth val="0"/>
          <c:extLst>
            <c:ext xmlns:c16="http://schemas.microsoft.com/office/drawing/2014/chart" uri="{C3380CC4-5D6E-409C-BE32-E72D297353CC}">
              <c16:uniqueId val="{00000002-EE7E-43A5-890F-700611CAED27}"/>
            </c:ext>
          </c:extLst>
        </c:ser>
        <c:ser>
          <c:idx val="5"/>
          <c:order val="3"/>
          <c:tx>
            <c:strRef>
              <c:f>'Trh práce-2b'!$A$37</c:f>
              <c:strCache>
                <c:ptCount val="1"/>
                <c:pt idx="0">
                  <c:v>Unemployment expectations</c:v>
                </c:pt>
              </c:strCache>
            </c:strRef>
          </c:tx>
          <c:spPr>
            <a:ln w="19050">
              <a:solidFill>
                <a:schemeClr val="accent6">
                  <a:lumMod val="75000"/>
                </a:schemeClr>
              </a:solidFill>
              <a:prstDash val="dash"/>
            </a:ln>
          </c:spPr>
          <c:marker>
            <c:symbol val="none"/>
          </c:marker>
          <c:cat>
            <c:multiLvlStrRef>
              <c:f>'Trh práce-2b'!$B$30:$AJ$31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práce-2b'!$B$37:$AJ$37</c:f>
              <c:numCache>
                <c:formatCode>0.0</c:formatCode>
                <c:ptCount val="35"/>
                <c:pt idx="0">
                  <c:v>6</c:v>
                </c:pt>
                <c:pt idx="1">
                  <c:v>9</c:v>
                </c:pt>
                <c:pt idx="2">
                  <c:v>10</c:v>
                </c:pt>
                <c:pt idx="3">
                  <c:v>4</c:v>
                </c:pt>
                <c:pt idx="4">
                  <c:v>2</c:v>
                </c:pt>
                <c:pt idx="5">
                  <c:v>10</c:v>
                </c:pt>
                <c:pt idx="6">
                  <c:v>5</c:v>
                </c:pt>
                <c:pt idx="7">
                  <c:v>4</c:v>
                </c:pt>
                <c:pt idx="8">
                  <c:v>1</c:v>
                </c:pt>
                <c:pt idx="9">
                  <c:v>-3</c:v>
                </c:pt>
                <c:pt idx="10">
                  <c:v>0</c:v>
                </c:pt>
                <c:pt idx="11">
                  <c:v>-1</c:v>
                </c:pt>
                <c:pt idx="12">
                  <c:v>-1</c:v>
                </c:pt>
                <c:pt idx="13">
                  <c:v>-2</c:v>
                </c:pt>
                <c:pt idx="14">
                  <c:v>-2</c:v>
                </c:pt>
                <c:pt idx="15">
                  <c:v>4</c:v>
                </c:pt>
                <c:pt idx="16">
                  <c:v>8</c:v>
                </c:pt>
                <c:pt idx="17">
                  <c:v>8</c:v>
                </c:pt>
                <c:pt idx="18">
                  <c:v>11</c:v>
                </c:pt>
                <c:pt idx="19">
                  <c:v>12</c:v>
                </c:pt>
                <c:pt idx="20">
                  <c:v>18</c:v>
                </c:pt>
                <c:pt idx="21">
                  <c:v>49</c:v>
                </c:pt>
                <c:pt idx="22">
                  <c:v>46</c:v>
                </c:pt>
                <c:pt idx="23">
                  <c:v>60</c:v>
                </c:pt>
                <c:pt idx="24">
                  <c:v>57</c:v>
                </c:pt>
                <c:pt idx="25">
                  <c:v>24</c:v>
                </c:pt>
                <c:pt idx="26">
                  <c:v>16</c:v>
                </c:pt>
                <c:pt idx="27">
                  <c:v>20</c:v>
                </c:pt>
                <c:pt idx="28">
                  <c:v>14</c:v>
                </c:pt>
                <c:pt idx="29">
                  <c:v>20</c:v>
                </c:pt>
                <c:pt idx="30">
                  <c:v>26</c:v>
                </c:pt>
                <c:pt idx="31">
                  <c:v>40</c:v>
                </c:pt>
                <c:pt idx="32">
                  <c:v>35</c:v>
                </c:pt>
                <c:pt idx="33">
                  <c:v>29</c:v>
                </c:pt>
                <c:pt idx="34">
                  <c:v>25</c:v>
                </c:pt>
              </c:numCache>
            </c:numRef>
          </c:val>
          <c:smooth val="0"/>
          <c:extLst>
            <c:ext xmlns:c16="http://schemas.microsoft.com/office/drawing/2014/chart" uri="{C3380CC4-5D6E-409C-BE32-E72D297353CC}">
              <c16:uniqueId val="{00000003-EE7E-43A5-890F-700611CAED27}"/>
            </c:ext>
          </c:extLst>
        </c:ser>
        <c:ser>
          <c:idx val="6"/>
          <c:order val="4"/>
          <c:tx>
            <c:strRef>
              <c:f>'Trh práce-2b'!$A$38</c:f>
              <c:strCache>
                <c:ptCount val="1"/>
                <c:pt idx="0">
                  <c:v>Vacancies for lower qualifications</c:v>
                </c:pt>
              </c:strCache>
            </c:strRef>
          </c:tx>
          <c:spPr>
            <a:ln>
              <a:noFill/>
            </a:ln>
          </c:spPr>
          <c:marker>
            <c:symbol val="circle"/>
            <c:size val="4"/>
            <c:spPr>
              <a:solidFill>
                <a:srgbClr val="8EB149"/>
              </a:solidFill>
              <a:ln>
                <a:noFill/>
              </a:ln>
            </c:spPr>
          </c:marker>
          <c:cat>
            <c:multiLvlStrRef>
              <c:f>'Trh práce-2b'!$B$30:$AJ$31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práce-2b'!$B$38:$AJ$38</c:f>
              <c:numCache>
                <c:formatCode>0.0</c:formatCode>
                <c:ptCount val="35"/>
                <c:pt idx="0">
                  <c:v>31.7</c:v>
                </c:pt>
                <c:pt idx="1">
                  <c:v>39.700000000000003</c:v>
                </c:pt>
                <c:pt idx="2">
                  <c:v>44.4</c:v>
                </c:pt>
                <c:pt idx="3">
                  <c:v>41.2</c:v>
                </c:pt>
                <c:pt idx="4">
                  <c:v>45.3</c:v>
                </c:pt>
                <c:pt idx="5">
                  <c:v>51.4</c:v>
                </c:pt>
                <c:pt idx="6">
                  <c:v>52.8</c:v>
                </c:pt>
                <c:pt idx="7">
                  <c:v>47.2</c:v>
                </c:pt>
                <c:pt idx="8">
                  <c:v>51.5</c:v>
                </c:pt>
                <c:pt idx="9">
                  <c:v>59.1</c:v>
                </c:pt>
                <c:pt idx="10">
                  <c:v>63.1</c:v>
                </c:pt>
                <c:pt idx="11">
                  <c:v>60.9</c:v>
                </c:pt>
                <c:pt idx="12">
                  <c:v>65.3</c:v>
                </c:pt>
                <c:pt idx="13">
                  <c:v>73.3</c:v>
                </c:pt>
                <c:pt idx="14">
                  <c:v>74.2</c:v>
                </c:pt>
                <c:pt idx="15">
                  <c:v>70.400000000000006</c:v>
                </c:pt>
                <c:pt idx="16">
                  <c:v>70.2</c:v>
                </c:pt>
                <c:pt idx="17">
                  <c:v>68</c:v>
                </c:pt>
                <c:pt idx="18">
                  <c:v>65.8</c:v>
                </c:pt>
                <c:pt idx="19">
                  <c:v>59.1</c:v>
                </c:pt>
                <c:pt idx="20">
                  <c:v>57.7</c:v>
                </c:pt>
                <c:pt idx="21">
                  <c:v>54.3</c:v>
                </c:pt>
                <c:pt idx="22">
                  <c:v>49.1</c:v>
                </c:pt>
                <c:pt idx="23">
                  <c:v>46.6</c:v>
                </c:pt>
                <c:pt idx="24">
                  <c:v>47.9</c:v>
                </c:pt>
                <c:pt idx="25">
                  <c:v>53.9</c:v>
                </c:pt>
                <c:pt idx="26">
                  <c:v>55.5</c:v>
                </c:pt>
                <c:pt idx="27">
                  <c:v>48.9</c:v>
                </c:pt>
                <c:pt idx="28">
                  <c:v>53.7</c:v>
                </c:pt>
                <c:pt idx="29">
                  <c:v>51.3</c:v>
                </c:pt>
                <c:pt idx="30">
                  <c:v>48.2</c:v>
                </c:pt>
                <c:pt idx="31">
                  <c:v>43.887</c:v>
                </c:pt>
                <c:pt idx="32">
                  <c:v>43.122</c:v>
                </c:pt>
                <c:pt idx="33">
                  <c:v>42.853999999999999</c:v>
                </c:pt>
              </c:numCache>
            </c:numRef>
          </c:val>
          <c:smooth val="0"/>
          <c:extLst>
            <c:ext xmlns:c16="http://schemas.microsoft.com/office/drawing/2014/chart" uri="{C3380CC4-5D6E-409C-BE32-E72D297353CC}">
              <c16:uniqueId val="{00000004-EE7E-43A5-890F-700611CAED27}"/>
            </c:ext>
          </c:extLst>
        </c:ser>
        <c:ser>
          <c:idx val="7"/>
          <c:order val="5"/>
          <c:tx>
            <c:strRef>
              <c:f>'Trh práce-2b'!$A$39</c:f>
              <c:strCache>
                <c:ptCount val="1"/>
                <c:pt idx="0">
                  <c:v>Vacancies for higher qualifications </c:v>
                </c:pt>
              </c:strCache>
            </c:strRef>
          </c:tx>
          <c:spPr>
            <a:ln>
              <a:noFill/>
            </a:ln>
          </c:spPr>
          <c:marker>
            <c:symbol val="diamond"/>
            <c:size val="5"/>
            <c:spPr>
              <a:solidFill>
                <a:srgbClr val="00B050"/>
              </a:solidFill>
              <a:ln>
                <a:noFill/>
              </a:ln>
            </c:spPr>
          </c:marker>
          <c:cat>
            <c:multiLvlStrRef>
              <c:f>'Trh práce-2b'!$B$30:$AJ$31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práce-2b'!$B$39:$AJ$39</c:f>
              <c:numCache>
                <c:formatCode>0.0</c:formatCode>
                <c:ptCount val="35"/>
                <c:pt idx="0">
                  <c:v>16.600000000000001</c:v>
                </c:pt>
                <c:pt idx="1">
                  <c:v>19.3</c:v>
                </c:pt>
                <c:pt idx="2">
                  <c:v>20</c:v>
                </c:pt>
                <c:pt idx="3">
                  <c:v>19.600000000000001</c:v>
                </c:pt>
                <c:pt idx="4">
                  <c:v>23.4</c:v>
                </c:pt>
                <c:pt idx="5">
                  <c:v>24.8</c:v>
                </c:pt>
                <c:pt idx="6">
                  <c:v>25.2</c:v>
                </c:pt>
                <c:pt idx="7">
                  <c:v>23.5</c:v>
                </c:pt>
                <c:pt idx="8">
                  <c:v>25.9</c:v>
                </c:pt>
                <c:pt idx="9">
                  <c:v>30.3</c:v>
                </c:pt>
                <c:pt idx="10">
                  <c:v>31.4</c:v>
                </c:pt>
                <c:pt idx="11">
                  <c:v>31.8</c:v>
                </c:pt>
                <c:pt idx="12">
                  <c:v>34.299999999999997</c:v>
                </c:pt>
                <c:pt idx="13">
                  <c:v>38</c:v>
                </c:pt>
                <c:pt idx="14">
                  <c:v>37.200000000000003</c:v>
                </c:pt>
                <c:pt idx="15">
                  <c:v>36.6</c:v>
                </c:pt>
                <c:pt idx="16">
                  <c:v>37.299999999999997</c:v>
                </c:pt>
                <c:pt idx="17">
                  <c:v>38.299999999999997</c:v>
                </c:pt>
                <c:pt idx="18">
                  <c:v>38.6</c:v>
                </c:pt>
                <c:pt idx="19">
                  <c:v>36.299999999999997</c:v>
                </c:pt>
                <c:pt idx="20">
                  <c:v>37.700000000000003</c:v>
                </c:pt>
                <c:pt idx="21">
                  <c:v>38.1</c:v>
                </c:pt>
                <c:pt idx="22">
                  <c:v>34.4</c:v>
                </c:pt>
                <c:pt idx="23">
                  <c:v>34.1</c:v>
                </c:pt>
                <c:pt idx="24">
                  <c:v>36.299999999999997</c:v>
                </c:pt>
                <c:pt idx="25">
                  <c:v>39.6</c:v>
                </c:pt>
                <c:pt idx="26">
                  <c:v>40.299999999999997</c:v>
                </c:pt>
                <c:pt idx="27">
                  <c:v>39.200000000000003</c:v>
                </c:pt>
                <c:pt idx="28">
                  <c:v>42.5</c:v>
                </c:pt>
                <c:pt idx="29">
                  <c:v>41</c:v>
                </c:pt>
                <c:pt idx="30">
                  <c:v>38.5</c:v>
                </c:pt>
                <c:pt idx="31">
                  <c:v>36.56</c:v>
                </c:pt>
                <c:pt idx="32">
                  <c:v>37.613</c:v>
                </c:pt>
                <c:pt idx="33">
                  <c:v>38.130000000000003</c:v>
                </c:pt>
              </c:numCache>
            </c:numRef>
          </c:val>
          <c:smooth val="0"/>
          <c:extLst>
            <c:ext xmlns:c16="http://schemas.microsoft.com/office/drawing/2014/chart" uri="{C3380CC4-5D6E-409C-BE32-E72D297353CC}">
              <c16:uniqueId val="{00000005-EE7E-43A5-890F-700611CAED27}"/>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Unemployment rate</a:t>
                </a:r>
              </a:p>
            </c:rich>
          </c:tx>
          <c:overlay val="0"/>
        </c:title>
        <c:numFmt formatCode="0.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142"/>
          <c:min val="-10"/>
        </c:scaling>
        <c:delete val="0"/>
        <c:axPos val="r"/>
        <c:title>
          <c:tx>
            <c:rich>
              <a:bodyPr/>
              <a:lstStyle/>
              <a:p>
                <a:pPr>
                  <a:defRPr sz="700" b="0" i="1"/>
                </a:pPr>
                <a:r>
                  <a:rPr lang="cs-CZ" sz="700" b="0" i="1"/>
                  <a:t>Rate of ec.</a:t>
                </a:r>
                <a:r>
                  <a:rPr lang="cs-CZ" sz="700" b="0" i="1" baseline="0"/>
                  <a:t> </a:t>
                </a:r>
                <a:r>
                  <a:rPr lang="cs-CZ" sz="700" b="0" i="1"/>
                  <a:t>activity, Ec. inactive, Unempl. expectations</a:t>
                </a:r>
              </a:p>
            </c:rich>
          </c:tx>
          <c:overlay val="0"/>
        </c:title>
        <c:numFmt formatCode="#,##0" sourceLinked="0"/>
        <c:majorTickMark val="out"/>
        <c:minorTickMark val="none"/>
        <c:tickLblPos val="nextTo"/>
        <c:crossAx val="331670576"/>
        <c:crosses val="max"/>
        <c:crossBetween val="between"/>
        <c:majorUnit val="1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7.7707750087519942E-2"/>
          <c:y val="0.86344941601778169"/>
          <c:w val="0.87725909810586777"/>
          <c:h val="0.12604380165618712"/>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411162452186132E-2"/>
          <c:y val="1.6620151538667759E-2"/>
          <c:w val="0.94100987714831696"/>
          <c:h val="0.76753601512564729"/>
        </c:manualLayout>
      </c:layout>
      <c:barChart>
        <c:barDir val="col"/>
        <c:grouping val="clustered"/>
        <c:varyColors val="0"/>
        <c:ser>
          <c:idx val="4"/>
          <c:order val="1"/>
          <c:tx>
            <c:strRef>
              <c:f>'Trh práce 3'!$D$93</c:f>
              <c:strCache>
                <c:ptCount val="1"/>
                <c:pt idx="0">
                  <c:v>Total wage (real growth)</c:v>
                </c:pt>
              </c:strCache>
            </c:strRef>
          </c:tx>
          <c:spPr>
            <a:solidFill>
              <a:srgbClr val="DBDBDB"/>
            </a:solidFill>
            <a:ln w="19050">
              <a:noFill/>
            </a:ln>
          </c:spPr>
          <c:invertIfNegative val="0"/>
          <c:cat>
            <c:multiLvlStrRef>
              <c:f>'Trh práce 3'!$A$94:$B$125</c:f>
              <c:multiLvlStrCache>
                <c:ptCount val="32"/>
                <c:lvl>
                  <c:pt idx="0">
                    <c:v>1</c:v>
                  </c:pt>
                  <c:pt idx="1">
                    <c:v>2</c:v>
                  </c:pt>
                  <c:pt idx="2">
                    <c:v>1</c:v>
                  </c:pt>
                  <c:pt idx="3">
                    <c:v>2</c:v>
                  </c:pt>
                  <c:pt idx="4">
                    <c:v>1</c:v>
                  </c:pt>
                  <c:pt idx="5">
                    <c:v>2</c:v>
                  </c:pt>
                  <c:pt idx="6">
                    <c:v>1</c:v>
                  </c:pt>
                  <c:pt idx="7">
                    <c:v>2</c:v>
                  </c:pt>
                  <c:pt idx="8">
                    <c:v>1</c:v>
                  </c:pt>
                  <c:pt idx="9">
                    <c:v>2</c:v>
                  </c:pt>
                  <c:pt idx="10">
                    <c:v>1</c:v>
                  </c:pt>
                  <c:pt idx="11">
                    <c:v>2</c:v>
                  </c:pt>
                  <c:pt idx="12">
                    <c:v>1</c:v>
                  </c:pt>
                  <c:pt idx="13">
                    <c:v>2</c:v>
                  </c:pt>
                  <c:pt idx="14">
                    <c:v>1</c:v>
                  </c:pt>
                  <c:pt idx="15">
                    <c:v>2</c:v>
                  </c:pt>
                  <c:pt idx="16">
                    <c:v>1</c:v>
                  </c:pt>
                  <c:pt idx="17">
                    <c:v>2</c:v>
                  </c:pt>
                  <c:pt idx="18">
                    <c:v>1</c:v>
                  </c:pt>
                  <c:pt idx="19">
                    <c:v>2</c:v>
                  </c:pt>
                  <c:pt idx="20">
                    <c:v>1</c:v>
                  </c:pt>
                  <c:pt idx="21">
                    <c:v>2</c:v>
                  </c:pt>
                  <c:pt idx="22">
                    <c:v>1</c:v>
                  </c:pt>
                  <c:pt idx="23">
                    <c:v>2</c:v>
                  </c:pt>
                  <c:pt idx="24">
                    <c:v>1</c:v>
                  </c:pt>
                  <c:pt idx="25">
                    <c:v>2</c:v>
                  </c:pt>
                  <c:pt idx="26">
                    <c:v>1</c:v>
                  </c:pt>
                  <c:pt idx="27">
                    <c:v>2</c:v>
                  </c:pt>
                  <c:pt idx="28">
                    <c:v>1</c:v>
                  </c:pt>
                  <c:pt idx="29">
                    <c:v>2</c:v>
                  </c:pt>
                  <c:pt idx="30">
                    <c:v>1</c:v>
                  </c:pt>
                  <c:pt idx="31">
                    <c:v>.</c:v>
                  </c:pt>
                </c:lvl>
                <c:lvl>
                  <c:pt idx="0">
                    <c:v>2008</c:v>
                  </c:pt>
                  <c:pt idx="2">
                    <c:v>2009</c:v>
                  </c:pt>
                  <c:pt idx="4">
                    <c:v>2010</c:v>
                  </c:pt>
                  <c:pt idx="6">
                    <c:v>2011</c:v>
                  </c:pt>
                  <c:pt idx="8">
                    <c:v>2012</c:v>
                  </c:pt>
                  <c:pt idx="10">
                    <c:v>2013</c:v>
                  </c:pt>
                  <c:pt idx="12">
                    <c:v>2014</c:v>
                  </c:pt>
                  <c:pt idx="14">
                    <c:v>2015</c:v>
                  </c:pt>
                  <c:pt idx="16">
                    <c:v>2016</c:v>
                  </c:pt>
                  <c:pt idx="18">
                    <c:v>2017</c:v>
                  </c:pt>
                  <c:pt idx="20">
                    <c:v>2018</c:v>
                  </c:pt>
                  <c:pt idx="22">
                    <c:v>2019</c:v>
                  </c:pt>
                  <c:pt idx="24">
                    <c:v>2020</c:v>
                  </c:pt>
                  <c:pt idx="26">
                    <c:v>2021</c:v>
                  </c:pt>
                  <c:pt idx="28">
                    <c:v>2022</c:v>
                  </c:pt>
                  <c:pt idx="30">
                    <c:v>2023</c:v>
                  </c:pt>
                </c:lvl>
              </c:multiLvlStrCache>
            </c:multiLvlStrRef>
          </c:cat>
          <c:val>
            <c:numRef>
              <c:f>'Trh práce 3'!$D$94:$D$125</c:f>
              <c:numCache>
                <c:formatCode>0.0</c:formatCode>
                <c:ptCount val="32"/>
                <c:pt idx="0">
                  <c:v>1.3999999999999986</c:v>
                </c:pt>
                <c:pt idx="1">
                  <c:v>1.5</c:v>
                </c:pt>
                <c:pt idx="2">
                  <c:v>0.59999999999999432</c:v>
                </c:pt>
                <c:pt idx="3">
                  <c:v>4.1000000000000014</c:v>
                </c:pt>
                <c:pt idx="4">
                  <c:v>2</c:v>
                </c:pt>
                <c:pt idx="5">
                  <c:v>-0.55000000000000426</c:v>
                </c:pt>
                <c:pt idx="6">
                  <c:v>0.94999999999999574</c:v>
                </c:pt>
                <c:pt idx="7">
                  <c:v>0.14999999999999858</c:v>
                </c:pt>
                <c:pt idx="8">
                  <c:v>-0.89999999999999858</c:v>
                </c:pt>
                <c:pt idx="9">
                  <c:v>-0.69999999999999574</c:v>
                </c:pt>
                <c:pt idx="10">
                  <c:v>-1.4500000000000028</c:v>
                </c:pt>
                <c:pt idx="11">
                  <c:v>-1.5499999999999972</c:v>
                </c:pt>
                <c:pt idx="12">
                  <c:v>3.1499999999999986</c:v>
                </c:pt>
                <c:pt idx="13">
                  <c:v>1.9499999999999957</c:v>
                </c:pt>
                <c:pt idx="14">
                  <c:v>2.4000000000000057</c:v>
                </c:pt>
                <c:pt idx="15">
                  <c:v>3.3499999999999943</c:v>
                </c:pt>
                <c:pt idx="16">
                  <c:v>4</c:v>
                </c:pt>
                <c:pt idx="17">
                  <c:v>3.5999999999999943</c:v>
                </c:pt>
                <c:pt idx="18">
                  <c:v>3.75</c:v>
                </c:pt>
                <c:pt idx="19">
                  <c:v>4.5999999999999943</c:v>
                </c:pt>
                <c:pt idx="20">
                  <c:v>6.4000000000000057</c:v>
                </c:pt>
                <c:pt idx="21">
                  <c:v>5.4000000000000057</c:v>
                </c:pt>
                <c:pt idx="22">
                  <c:v>5.2999999999999972</c:v>
                </c:pt>
                <c:pt idx="23">
                  <c:v>4.6500000000000057</c:v>
                </c:pt>
                <c:pt idx="24">
                  <c:v>-0.15000000000000568</c:v>
                </c:pt>
                <c:pt idx="25">
                  <c:v>3</c:v>
                </c:pt>
                <c:pt idx="26">
                  <c:v>4.4499999999999886</c:v>
                </c:pt>
                <c:pt idx="27">
                  <c:v>-0.44999999999998863</c:v>
                </c:pt>
                <c:pt idx="28">
                  <c:v>-7.6500000000000057</c:v>
                </c:pt>
                <c:pt idx="29">
                  <c:v>-9.2000000000000028</c:v>
                </c:pt>
                <c:pt idx="30" formatCode="General">
                  <c:v>-4.7999999999999972</c:v>
                </c:pt>
              </c:numCache>
            </c:numRef>
          </c:val>
          <c:extLst>
            <c:ext xmlns:c16="http://schemas.microsoft.com/office/drawing/2014/chart" uri="{C3380CC4-5D6E-409C-BE32-E72D297353CC}">
              <c16:uniqueId val="{00000000-D20D-4B0D-99FF-119C17C6D8D2}"/>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3'!$C$93</c:f>
              <c:strCache>
                <c:ptCount val="1"/>
                <c:pt idx="0">
                  <c:v>Total wage (nominal growth)</c:v>
                </c:pt>
              </c:strCache>
            </c:strRef>
          </c:tx>
          <c:spPr>
            <a:ln w="19050">
              <a:solidFill>
                <a:schemeClr val="tx1">
                  <a:lumMod val="95000"/>
                  <a:lumOff val="5000"/>
                </a:schemeClr>
              </a:solidFill>
              <a:prstDash val="sysDash"/>
            </a:ln>
          </c:spPr>
          <c:marker>
            <c:symbol val="none"/>
          </c:marker>
          <c:cat>
            <c:multiLvlStrRef>
              <c:f>'Trh práce 3'!$A$94:$B$125</c:f>
              <c:multiLvlStrCache>
                <c:ptCount val="32"/>
                <c:lvl>
                  <c:pt idx="0">
                    <c:v>1</c:v>
                  </c:pt>
                  <c:pt idx="1">
                    <c:v>2</c:v>
                  </c:pt>
                  <c:pt idx="2">
                    <c:v>1</c:v>
                  </c:pt>
                  <c:pt idx="3">
                    <c:v>2</c:v>
                  </c:pt>
                  <c:pt idx="4">
                    <c:v>1</c:v>
                  </c:pt>
                  <c:pt idx="5">
                    <c:v>2</c:v>
                  </c:pt>
                  <c:pt idx="6">
                    <c:v>1</c:v>
                  </c:pt>
                  <c:pt idx="7">
                    <c:v>2</c:v>
                  </c:pt>
                  <c:pt idx="8">
                    <c:v>1</c:v>
                  </c:pt>
                  <c:pt idx="9">
                    <c:v>2</c:v>
                  </c:pt>
                  <c:pt idx="10">
                    <c:v>1</c:v>
                  </c:pt>
                  <c:pt idx="11">
                    <c:v>2</c:v>
                  </c:pt>
                  <c:pt idx="12">
                    <c:v>1</c:v>
                  </c:pt>
                  <c:pt idx="13">
                    <c:v>2</c:v>
                  </c:pt>
                  <c:pt idx="14">
                    <c:v>1</c:v>
                  </c:pt>
                  <c:pt idx="15">
                    <c:v>2</c:v>
                  </c:pt>
                  <c:pt idx="16">
                    <c:v>1</c:v>
                  </c:pt>
                  <c:pt idx="17">
                    <c:v>2</c:v>
                  </c:pt>
                  <c:pt idx="18">
                    <c:v>1</c:v>
                  </c:pt>
                  <c:pt idx="19">
                    <c:v>2</c:v>
                  </c:pt>
                  <c:pt idx="20">
                    <c:v>1</c:v>
                  </c:pt>
                  <c:pt idx="21">
                    <c:v>2</c:v>
                  </c:pt>
                  <c:pt idx="22">
                    <c:v>1</c:v>
                  </c:pt>
                  <c:pt idx="23">
                    <c:v>2</c:v>
                  </c:pt>
                  <c:pt idx="24">
                    <c:v>1</c:v>
                  </c:pt>
                  <c:pt idx="25">
                    <c:v>2</c:v>
                  </c:pt>
                  <c:pt idx="26">
                    <c:v>1</c:v>
                  </c:pt>
                  <c:pt idx="27">
                    <c:v>2</c:v>
                  </c:pt>
                  <c:pt idx="28">
                    <c:v>1</c:v>
                  </c:pt>
                  <c:pt idx="29">
                    <c:v>2</c:v>
                  </c:pt>
                  <c:pt idx="30">
                    <c:v>1</c:v>
                  </c:pt>
                  <c:pt idx="31">
                    <c:v>.</c:v>
                  </c:pt>
                </c:lvl>
                <c:lvl>
                  <c:pt idx="0">
                    <c:v>2008</c:v>
                  </c:pt>
                  <c:pt idx="2">
                    <c:v>2009</c:v>
                  </c:pt>
                  <c:pt idx="4">
                    <c:v>2010</c:v>
                  </c:pt>
                  <c:pt idx="6">
                    <c:v>2011</c:v>
                  </c:pt>
                  <c:pt idx="8">
                    <c:v>2012</c:v>
                  </c:pt>
                  <c:pt idx="10">
                    <c:v>2013</c:v>
                  </c:pt>
                  <c:pt idx="12">
                    <c:v>2014</c:v>
                  </c:pt>
                  <c:pt idx="14">
                    <c:v>2015</c:v>
                  </c:pt>
                  <c:pt idx="16">
                    <c:v>2016</c:v>
                  </c:pt>
                  <c:pt idx="18">
                    <c:v>2017</c:v>
                  </c:pt>
                  <c:pt idx="20">
                    <c:v>2018</c:v>
                  </c:pt>
                  <c:pt idx="22">
                    <c:v>2019</c:v>
                  </c:pt>
                  <c:pt idx="24">
                    <c:v>2020</c:v>
                  </c:pt>
                  <c:pt idx="26">
                    <c:v>2021</c:v>
                  </c:pt>
                  <c:pt idx="28">
                    <c:v>2022</c:v>
                  </c:pt>
                  <c:pt idx="30">
                    <c:v>2023</c:v>
                  </c:pt>
                </c:lvl>
              </c:multiLvlStrCache>
            </c:multiLvlStrRef>
          </c:cat>
          <c:val>
            <c:numRef>
              <c:f>'Trh práce 3'!$C$94:$C$125</c:f>
              <c:numCache>
                <c:formatCode>0.0</c:formatCode>
                <c:ptCount val="32"/>
                <c:pt idx="0">
                  <c:v>8.6000000000000014</c:v>
                </c:pt>
                <c:pt idx="1">
                  <c:v>7.2000000000000028</c:v>
                </c:pt>
                <c:pt idx="2">
                  <c:v>2.3500000000000014</c:v>
                </c:pt>
                <c:pt idx="3">
                  <c:v>4.3499999999999943</c:v>
                </c:pt>
                <c:pt idx="4">
                  <c:v>2.9499999999999957</c:v>
                </c:pt>
                <c:pt idx="5">
                  <c:v>1.4500000000000028</c:v>
                </c:pt>
                <c:pt idx="6">
                  <c:v>2.6999999999999957</c:v>
                </c:pt>
                <c:pt idx="7">
                  <c:v>2.25</c:v>
                </c:pt>
                <c:pt idx="8">
                  <c:v>2.6499999999999986</c:v>
                </c:pt>
                <c:pt idx="9">
                  <c:v>2.3000000000000043</c:v>
                </c:pt>
                <c:pt idx="10">
                  <c:v>0.20000000000000284</c:v>
                </c:pt>
                <c:pt idx="11">
                  <c:v>-0.39999999999999858</c:v>
                </c:pt>
                <c:pt idx="12">
                  <c:v>3.3500000000000014</c:v>
                </c:pt>
                <c:pt idx="13">
                  <c:v>2.5</c:v>
                </c:pt>
                <c:pt idx="14">
                  <c:v>2.7999999999999972</c:v>
                </c:pt>
                <c:pt idx="15">
                  <c:v>3.5999999999999943</c:v>
                </c:pt>
                <c:pt idx="16">
                  <c:v>4.3499999999999943</c:v>
                </c:pt>
                <c:pt idx="17">
                  <c:v>4.5500000000000114</c:v>
                </c:pt>
                <c:pt idx="18">
                  <c:v>6.1500000000000057</c:v>
                </c:pt>
                <c:pt idx="19">
                  <c:v>7.25</c:v>
                </c:pt>
                <c:pt idx="20">
                  <c:v>8.5999999999999943</c:v>
                </c:pt>
                <c:pt idx="21">
                  <c:v>7.75</c:v>
                </c:pt>
                <c:pt idx="22">
                  <c:v>8.1500000000000057</c:v>
                </c:pt>
                <c:pt idx="23">
                  <c:v>7.6500000000000057</c:v>
                </c:pt>
                <c:pt idx="24">
                  <c:v>3.2000000000000028</c:v>
                </c:pt>
                <c:pt idx="25">
                  <c:v>6.0500000000000114</c:v>
                </c:pt>
                <c:pt idx="26">
                  <c:v>7.0999999999999943</c:v>
                </c:pt>
                <c:pt idx="27">
                  <c:v>4.5999999999999943</c:v>
                </c:pt>
                <c:pt idx="28">
                  <c:v>4.75</c:v>
                </c:pt>
                <c:pt idx="29">
                  <c:v>5.9000000000000057</c:v>
                </c:pt>
                <c:pt idx="30" formatCode="General">
                  <c:v>8.2000000000000028</c:v>
                </c:pt>
              </c:numCache>
            </c:numRef>
          </c:val>
          <c:smooth val="0"/>
          <c:extLst>
            <c:ext xmlns:c16="http://schemas.microsoft.com/office/drawing/2014/chart" uri="{C3380CC4-5D6E-409C-BE32-E72D297353CC}">
              <c16:uniqueId val="{00000001-D20D-4B0D-99FF-119C17C6D8D2}"/>
            </c:ext>
          </c:extLst>
        </c:ser>
        <c:ser>
          <c:idx val="5"/>
          <c:order val="2"/>
          <c:tx>
            <c:strRef>
              <c:f>'Trh práce 3'!$E$93</c:f>
              <c:strCache>
                <c:ptCount val="1"/>
                <c:pt idx="0">
                  <c:v>Wage in industry (nominal growth)</c:v>
                </c:pt>
              </c:strCache>
            </c:strRef>
          </c:tx>
          <c:spPr>
            <a:ln w="9525">
              <a:solidFill>
                <a:srgbClr val="C00000"/>
              </a:solidFill>
              <a:prstDash val="solid"/>
            </a:ln>
          </c:spPr>
          <c:marker>
            <c:symbol val="none"/>
          </c:marker>
          <c:cat>
            <c:multiLvlStrRef>
              <c:f>'Trh práce 3'!$A$94:$B$125</c:f>
              <c:multiLvlStrCache>
                <c:ptCount val="32"/>
                <c:lvl>
                  <c:pt idx="0">
                    <c:v>1</c:v>
                  </c:pt>
                  <c:pt idx="1">
                    <c:v>2</c:v>
                  </c:pt>
                  <c:pt idx="2">
                    <c:v>1</c:v>
                  </c:pt>
                  <c:pt idx="3">
                    <c:v>2</c:v>
                  </c:pt>
                  <c:pt idx="4">
                    <c:v>1</c:v>
                  </c:pt>
                  <c:pt idx="5">
                    <c:v>2</c:v>
                  </c:pt>
                  <c:pt idx="6">
                    <c:v>1</c:v>
                  </c:pt>
                  <c:pt idx="7">
                    <c:v>2</c:v>
                  </c:pt>
                  <c:pt idx="8">
                    <c:v>1</c:v>
                  </c:pt>
                  <c:pt idx="9">
                    <c:v>2</c:v>
                  </c:pt>
                  <c:pt idx="10">
                    <c:v>1</c:v>
                  </c:pt>
                  <c:pt idx="11">
                    <c:v>2</c:v>
                  </c:pt>
                  <c:pt idx="12">
                    <c:v>1</c:v>
                  </c:pt>
                  <c:pt idx="13">
                    <c:v>2</c:v>
                  </c:pt>
                  <c:pt idx="14">
                    <c:v>1</c:v>
                  </c:pt>
                  <c:pt idx="15">
                    <c:v>2</c:v>
                  </c:pt>
                  <c:pt idx="16">
                    <c:v>1</c:v>
                  </c:pt>
                  <c:pt idx="17">
                    <c:v>2</c:v>
                  </c:pt>
                  <c:pt idx="18">
                    <c:v>1</c:v>
                  </c:pt>
                  <c:pt idx="19">
                    <c:v>2</c:v>
                  </c:pt>
                  <c:pt idx="20">
                    <c:v>1</c:v>
                  </c:pt>
                  <c:pt idx="21">
                    <c:v>2</c:v>
                  </c:pt>
                  <c:pt idx="22">
                    <c:v>1</c:v>
                  </c:pt>
                  <c:pt idx="23">
                    <c:v>2</c:v>
                  </c:pt>
                  <c:pt idx="24">
                    <c:v>1</c:v>
                  </c:pt>
                  <c:pt idx="25">
                    <c:v>2</c:v>
                  </c:pt>
                  <c:pt idx="26">
                    <c:v>1</c:v>
                  </c:pt>
                  <c:pt idx="27">
                    <c:v>2</c:v>
                  </c:pt>
                  <c:pt idx="28">
                    <c:v>1</c:v>
                  </c:pt>
                  <c:pt idx="29">
                    <c:v>2</c:v>
                  </c:pt>
                  <c:pt idx="30">
                    <c:v>1</c:v>
                  </c:pt>
                  <c:pt idx="31">
                    <c:v>.</c:v>
                  </c:pt>
                </c:lvl>
                <c:lvl>
                  <c:pt idx="0">
                    <c:v>2008</c:v>
                  </c:pt>
                  <c:pt idx="2">
                    <c:v>2009</c:v>
                  </c:pt>
                  <c:pt idx="4">
                    <c:v>2010</c:v>
                  </c:pt>
                  <c:pt idx="6">
                    <c:v>2011</c:v>
                  </c:pt>
                  <c:pt idx="8">
                    <c:v>2012</c:v>
                  </c:pt>
                  <c:pt idx="10">
                    <c:v>2013</c:v>
                  </c:pt>
                  <c:pt idx="12">
                    <c:v>2014</c:v>
                  </c:pt>
                  <c:pt idx="14">
                    <c:v>2015</c:v>
                  </c:pt>
                  <c:pt idx="16">
                    <c:v>2016</c:v>
                  </c:pt>
                  <c:pt idx="18">
                    <c:v>2017</c:v>
                  </c:pt>
                  <c:pt idx="20">
                    <c:v>2018</c:v>
                  </c:pt>
                  <c:pt idx="22">
                    <c:v>2019</c:v>
                  </c:pt>
                  <c:pt idx="24">
                    <c:v>2020</c:v>
                  </c:pt>
                  <c:pt idx="26">
                    <c:v>2021</c:v>
                  </c:pt>
                  <c:pt idx="28">
                    <c:v>2022</c:v>
                  </c:pt>
                  <c:pt idx="30">
                    <c:v>2023</c:v>
                  </c:pt>
                </c:lvl>
              </c:multiLvlStrCache>
            </c:multiLvlStrRef>
          </c:cat>
          <c:val>
            <c:numRef>
              <c:f>'Trh práce 3'!$E$94:$E$125</c:f>
              <c:numCache>
                <c:formatCode>0.0</c:formatCode>
                <c:ptCount val="32"/>
                <c:pt idx="0">
                  <c:v>10.965779626599343</c:v>
                </c:pt>
                <c:pt idx="1">
                  <c:v>7.2045848058037194</c:v>
                </c:pt>
                <c:pt idx="2">
                  <c:v>-0.10207158875207512</c:v>
                </c:pt>
                <c:pt idx="3">
                  <c:v>4.775678798547176</c:v>
                </c:pt>
                <c:pt idx="4" formatCode="#\ ##0.0">
                  <c:v>5.293197091042984</c:v>
                </c:pt>
                <c:pt idx="5" formatCode="#\ ##0.0">
                  <c:v>3.4322578877170642</c:v>
                </c:pt>
                <c:pt idx="6" formatCode="#\ ##0.0">
                  <c:v>4.078510229061024</c:v>
                </c:pt>
                <c:pt idx="7" formatCode="#\ ##0.0">
                  <c:v>2.4423868557449282</c:v>
                </c:pt>
                <c:pt idx="8" formatCode="#\ ##0.0">
                  <c:v>3.3306732748120425</c:v>
                </c:pt>
                <c:pt idx="9" formatCode="#\ ##0.0">
                  <c:v>2.7243464773580328</c:v>
                </c:pt>
                <c:pt idx="10" formatCode="#\ ##0.0">
                  <c:v>0.83733029834974104</c:v>
                </c:pt>
                <c:pt idx="11" formatCode="#\ ##0.0">
                  <c:v>0.83258081439371523</c:v>
                </c:pt>
                <c:pt idx="12" formatCode="#\ ##0.0">
                  <c:v>3.8052241212512143</c:v>
                </c:pt>
                <c:pt idx="13" formatCode="#\ ##0.0">
                  <c:v>2.8172030641298562</c:v>
                </c:pt>
                <c:pt idx="14" formatCode="#\ ##0.0">
                  <c:v>2.1784715750232948</c:v>
                </c:pt>
                <c:pt idx="15" formatCode="#\ ##0.0">
                  <c:v>2.9944452782884241</c:v>
                </c:pt>
                <c:pt idx="16" formatCode="#\ ##0.0">
                  <c:v>4.2868544065670875</c:v>
                </c:pt>
                <c:pt idx="17" formatCode="#\ ##0.0">
                  <c:v>4.275871439841552</c:v>
                </c:pt>
                <c:pt idx="18" formatCode="#\ ##0.0">
                  <c:v>6.654276447651327</c:v>
                </c:pt>
                <c:pt idx="19" formatCode="#\ ##0.0">
                  <c:v>6.957870030534707</c:v>
                </c:pt>
                <c:pt idx="20" formatCode="#\ ##0.0">
                  <c:v>8.0500222093142355</c:v>
                </c:pt>
                <c:pt idx="21" formatCode="#\ ##0.0">
                  <c:v>7.4868067232467439</c:v>
                </c:pt>
                <c:pt idx="22" formatCode="#\ ##0.0">
                  <c:v>7.1340480030357583</c:v>
                </c:pt>
                <c:pt idx="23" formatCode="#\ ##0.0">
                  <c:v>6.1891260339134462</c:v>
                </c:pt>
                <c:pt idx="24" formatCode="#\ ##0.0">
                  <c:v>0.54310930074676378</c:v>
                </c:pt>
                <c:pt idx="25" formatCode="#\ ##0.0">
                  <c:v>3.4815846936054058</c:v>
                </c:pt>
                <c:pt idx="26" formatCode="#\ ##0.0">
                  <c:v>6.0094530722484762</c:v>
                </c:pt>
                <c:pt idx="27" formatCode="#\ ##0.0">
                  <c:v>4.2384595160887315</c:v>
                </c:pt>
                <c:pt idx="28" formatCode="#\ ##0.0">
                  <c:v>6.1617280531708616</c:v>
                </c:pt>
                <c:pt idx="29" formatCode="#\ ##0.0">
                  <c:v>7.298350972611118</c:v>
                </c:pt>
                <c:pt idx="30" formatCode="#\ ##0.0">
                  <c:v>9.9047867484022447</c:v>
                </c:pt>
              </c:numCache>
            </c:numRef>
          </c:val>
          <c:smooth val="0"/>
          <c:extLst>
            <c:ext xmlns:c16="http://schemas.microsoft.com/office/drawing/2014/chart" uri="{C3380CC4-5D6E-409C-BE32-E72D297353CC}">
              <c16:uniqueId val="{00000002-D20D-4B0D-99FF-119C17C6D8D2}"/>
            </c:ext>
          </c:extLst>
        </c:ser>
        <c:ser>
          <c:idx val="1"/>
          <c:order val="3"/>
          <c:tx>
            <c:strRef>
              <c:f>'Trh práce 3'!$F$93</c:f>
              <c:strCache>
                <c:ptCount val="1"/>
                <c:pt idx="0">
                  <c:v>Wage in trade (nominal growth)</c:v>
                </c:pt>
              </c:strCache>
            </c:strRef>
          </c:tx>
          <c:spPr>
            <a:ln w="9525">
              <a:solidFill>
                <a:srgbClr val="0070C0"/>
              </a:solidFill>
              <a:prstDash val="solid"/>
            </a:ln>
          </c:spPr>
          <c:marker>
            <c:symbol val="none"/>
          </c:marker>
          <c:cat>
            <c:multiLvlStrRef>
              <c:f>'Trh práce 3'!$A$94:$B$125</c:f>
              <c:multiLvlStrCache>
                <c:ptCount val="32"/>
                <c:lvl>
                  <c:pt idx="0">
                    <c:v>1</c:v>
                  </c:pt>
                  <c:pt idx="1">
                    <c:v>2</c:v>
                  </c:pt>
                  <c:pt idx="2">
                    <c:v>1</c:v>
                  </c:pt>
                  <c:pt idx="3">
                    <c:v>2</c:v>
                  </c:pt>
                  <c:pt idx="4">
                    <c:v>1</c:v>
                  </c:pt>
                  <c:pt idx="5">
                    <c:v>2</c:v>
                  </c:pt>
                  <c:pt idx="6">
                    <c:v>1</c:v>
                  </c:pt>
                  <c:pt idx="7">
                    <c:v>2</c:v>
                  </c:pt>
                  <c:pt idx="8">
                    <c:v>1</c:v>
                  </c:pt>
                  <c:pt idx="9">
                    <c:v>2</c:v>
                  </c:pt>
                  <c:pt idx="10">
                    <c:v>1</c:v>
                  </c:pt>
                  <c:pt idx="11">
                    <c:v>2</c:v>
                  </c:pt>
                  <c:pt idx="12">
                    <c:v>1</c:v>
                  </c:pt>
                  <c:pt idx="13">
                    <c:v>2</c:v>
                  </c:pt>
                  <c:pt idx="14">
                    <c:v>1</c:v>
                  </c:pt>
                  <c:pt idx="15">
                    <c:v>2</c:v>
                  </c:pt>
                  <c:pt idx="16">
                    <c:v>1</c:v>
                  </c:pt>
                  <c:pt idx="17">
                    <c:v>2</c:v>
                  </c:pt>
                  <c:pt idx="18">
                    <c:v>1</c:v>
                  </c:pt>
                  <c:pt idx="19">
                    <c:v>2</c:v>
                  </c:pt>
                  <c:pt idx="20">
                    <c:v>1</c:v>
                  </c:pt>
                  <c:pt idx="21">
                    <c:v>2</c:v>
                  </c:pt>
                  <c:pt idx="22">
                    <c:v>1</c:v>
                  </c:pt>
                  <c:pt idx="23">
                    <c:v>2</c:v>
                  </c:pt>
                  <c:pt idx="24">
                    <c:v>1</c:v>
                  </c:pt>
                  <c:pt idx="25">
                    <c:v>2</c:v>
                  </c:pt>
                  <c:pt idx="26">
                    <c:v>1</c:v>
                  </c:pt>
                  <c:pt idx="27">
                    <c:v>2</c:v>
                  </c:pt>
                  <c:pt idx="28">
                    <c:v>1</c:v>
                  </c:pt>
                  <c:pt idx="29">
                    <c:v>2</c:v>
                  </c:pt>
                  <c:pt idx="30">
                    <c:v>1</c:v>
                  </c:pt>
                  <c:pt idx="31">
                    <c:v>.</c:v>
                  </c:pt>
                </c:lvl>
                <c:lvl>
                  <c:pt idx="0">
                    <c:v>2008</c:v>
                  </c:pt>
                  <c:pt idx="2">
                    <c:v>2009</c:v>
                  </c:pt>
                  <c:pt idx="4">
                    <c:v>2010</c:v>
                  </c:pt>
                  <c:pt idx="6">
                    <c:v>2011</c:v>
                  </c:pt>
                  <c:pt idx="8">
                    <c:v>2012</c:v>
                  </c:pt>
                  <c:pt idx="10">
                    <c:v>2013</c:v>
                  </c:pt>
                  <c:pt idx="12">
                    <c:v>2014</c:v>
                  </c:pt>
                  <c:pt idx="14">
                    <c:v>2015</c:v>
                  </c:pt>
                  <c:pt idx="16">
                    <c:v>2016</c:v>
                  </c:pt>
                  <c:pt idx="18">
                    <c:v>2017</c:v>
                  </c:pt>
                  <c:pt idx="20">
                    <c:v>2018</c:v>
                  </c:pt>
                  <c:pt idx="22">
                    <c:v>2019</c:v>
                  </c:pt>
                  <c:pt idx="24">
                    <c:v>2020</c:v>
                  </c:pt>
                  <c:pt idx="26">
                    <c:v>2021</c:v>
                  </c:pt>
                  <c:pt idx="28">
                    <c:v>2022</c:v>
                  </c:pt>
                  <c:pt idx="30">
                    <c:v>2023</c:v>
                  </c:pt>
                </c:lvl>
              </c:multiLvlStrCache>
            </c:multiLvlStrRef>
          </c:cat>
          <c:val>
            <c:numRef>
              <c:f>'Trh práce 3'!$F$94:$F$125</c:f>
              <c:numCache>
                <c:formatCode>0.0</c:formatCode>
                <c:ptCount val="32"/>
                <c:pt idx="0">
                  <c:v>9.5236281670593428</c:v>
                </c:pt>
                <c:pt idx="1">
                  <c:v>6.1173932151438422</c:v>
                </c:pt>
                <c:pt idx="2">
                  <c:v>-0.56987922579376971</c:v>
                </c:pt>
                <c:pt idx="3">
                  <c:v>0.86090696307550729</c:v>
                </c:pt>
                <c:pt idx="4" formatCode="#\ ##0.0">
                  <c:v>3.1352815947358152</c:v>
                </c:pt>
                <c:pt idx="5" formatCode="#\ ##0.0">
                  <c:v>3.1449702537917474</c:v>
                </c:pt>
                <c:pt idx="6" formatCode="#\ ##0.0">
                  <c:v>3.5044098329892961</c:v>
                </c:pt>
                <c:pt idx="7" formatCode="#\ ##0.0">
                  <c:v>3.5017847929104704</c:v>
                </c:pt>
                <c:pt idx="8" formatCode="#\ ##0.0">
                  <c:v>2.3750169967819517</c:v>
                </c:pt>
                <c:pt idx="9" formatCode="#\ ##0.0">
                  <c:v>2.0776709847314265</c:v>
                </c:pt>
                <c:pt idx="10" formatCode="#\ ##0.0">
                  <c:v>0.23464824899276948</c:v>
                </c:pt>
                <c:pt idx="11" formatCode="#\ ##0.0">
                  <c:v>-1.6674125328935219</c:v>
                </c:pt>
                <c:pt idx="12" formatCode="#\ ##0.0">
                  <c:v>3.8206713780918733</c:v>
                </c:pt>
                <c:pt idx="13" formatCode="#\ ##0.0">
                  <c:v>2.8255381000689113</c:v>
                </c:pt>
                <c:pt idx="14" formatCode="#\ ##0.0">
                  <c:v>3.5184003403531108</c:v>
                </c:pt>
                <c:pt idx="15" formatCode="#\ ##0.0">
                  <c:v>4.8703883325637847</c:v>
                </c:pt>
                <c:pt idx="16" formatCode="#\ ##0.0">
                  <c:v>4.783823771165558</c:v>
                </c:pt>
                <c:pt idx="17" formatCode="#\ ##0.0">
                  <c:v>4.7464148837768363</c:v>
                </c:pt>
                <c:pt idx="18" formatCode="#\ ##0.0">
                  <c:v>6.7893002823972353</c:v>
                </c:pt>
                <c:pt idx="19" formatCode="#\ ##0.0">
                  <c:v>8.0429381053703324</c:v>
                </c:pt>
                <c:pt idx="20" formatCode="#\ ##0.0">
                  <c:v>7.1362985271972548</c:v>
                </c:pt>
                <c:pt idx="21" formatCode="#\ ##0.0">
                  <c:v>6.7676237129747037</c:v>
                </c:pt>
                <c:pt idx="22" formatCode="#\ ##0.0">
                  <c:v>8.4573191635241756</c:v>
                </c:pt>
                <c:pt idx="23" formatCode="#\ ##0.0">
                  <c:v>7.232378367973638</c:v>
                </c:pt>
                <c:pt idx="24" formatCode="#\ ##0.0">
                  <c:v>3.634984353762988</c:v>
                </c:pt>
                <c:pt idx="25" formatCode="#\ ##0.0">
                  <c:v>3.5929532276403506</c:v>
                </c:pt>
                <c:pt idx="26" formatCode="#\ ##0.0">
                  <c:v>5.974929087748194</c:v>
                </c:pt>
                <c:pt idx="27" formatCode="#\ ##0.0">
                  <c:v>7.6602746826361425</c:v>
                </c:pt>
                <c:pt idx="28" formatCode="#\ ##0.0">
                  <c:v>6.6540033385137747</c:v>
                </c:pt>
                <c:pt idx="29" formatCode="#\ ##0.0">
                  <c:v>4.8825560638771464</c:v>
                </c:pt>
                <c:pt idx="30" formatCode="#\ ##0.0">
                  <c:v>8.2573263532840429</c:v>
                </c:pt>
              </c:numCache>
            </c:numRef>
          </c:val>
          <c:smooth val="0"/>
          <c:extLst>
            <c:ext xmlns:c16="http://schemas.microsoft.com/office/drawing/2014/chart" uri="{C3380CC4-5D6E-409C-BE32-E72D297353CC}">
              <c16:uniqueId val="{00000003-D20D-4B0D-99FF-119C17C6D8D2}"/>
            </c:ext>
          </c:extLst>
        </c:ser>
        <c:ser>
          <c:idx val="2"/>
          <c:order val="4"/>
          <c:tx>
            <c:strRef>
              <c:f>'Trh práce 3'!$G$93</c:f>
              <c:strCache>
                <c:ptCount val="1"/>
                <c:pt idx="0">
                  <c:v>Wage in public services (nominal growth)*</c:v>
                </c:pt>
              </c:strCache>
            </c:strRef>
          </c:tx>
          <c:spPr>
            <a:ln w="9525">
              <a:solidFill>
                <a:srgbClr val="00B050"/>
              </a:solidFill>
              <a:prstDash val="solid"/>
            </a:ln>
          </c:spPr>
          <c:marker>
            <c:symbol val="none"/>
          </c:marker>
          <c:cat>
            <c:multiLvlStrRef>
              <c:f>'Trh práce 3'!$A$94:$B$125</c:f>
              <c:multiLvlStrCache>
                <c:ptCount val="32"/>
                <c:lvl>
                  <c:pt idx="0">
                    <c:v>1</c:v>
                  </c:pt>
                  <c:pt idx="1">
                    <c:v>2</c:v>
                  </c:pt>
                  <c:pt idx="2">
                    <c:v>1</c:v>
                  </c:pt>
                  <c:pt idx="3">
                    <c:v>2</c:v>
                  </c:pt>
                  <c:pt idx="4">
                    <c:v>1</c:v>
                  </c:pt>
                  <c:pt idx="5">
                    <c:v>2</c:v>
                  </c:pt>
                  <c:pt idx="6">
                    <c:v>1</c:v>
                  </c:pt>
                  <c:pt idx="7">
                    <c:v>2</c:v>
                  </c:pt>
                  <c:pt idx="8">
                    <c:v>1</c:v>
                  </c:pt>
                  <c:pt idx="9">
                    <c:v>2</c:v>
                  </c:pt>
                  <c:pt idx="10">
                    <c:v>1</c:v>
                  </c:pt>
                  <c:pt idx="11">
                    <c:v>2</c:v>
                  </c:pt>
                  <c:pt idx="12">
                    <c:v>1</c:v>
                  </c:pt>
                  <c:pt idx="13">
                    <c:v>2</c:v>
                  </c:pt>
                  <c:pt idx="14">
                    <c:v>1</c:v>
                  </c:pt>
                  <c:pt idx="15">
                    <c:v>2</c:v>
                  </c:pt>
                  <c:pt idx="16">
                    <c:v>1</c:v>
                  </c:pt>
                  <c:pt idx="17">
                    <c:v>2</c:v>
                  </c:pt>
                  <c:pt idx="18">
                    <c:v>1</c:v>
                  </c:pt>
                  <c:pt idx="19">
                    <c:v>2</c:v>
                  </c:pt>
                  <c:pt idx="20">
                    <c:v>1</c:v>
                  </c:pt>
                  <c:pt idx="21">
                    <c:v>2</c:v>
                  </c:pt>
                  <c:pt idx="22">
                    <c:v>1</c:v>
                  </c:pt>
                  <c:pt idx="23">
                    <c:v>2</c:v>
                  </c:pt>
                  <c:pt idx="24">
                    <c:v>1</c:v>
                  </c:pt>
                  <c:pt idx="25">
                    <c:v>2</c:v>
                  </c:pt>
                  <c:pt idx="26">
                    <c:v>1</c:v>
                  </c:pt>
                  <c:pt idx="27">
                    <c:v>2</c:v>
                  </c:pt>
                  <c:pt idx="28">
                    <c:v>1</c:v>
                  </c:pt>
                  <c:pt idx="29">
                    <c:v>2</c:v>
                  </c:pt>
                  <c:pt idx="30">
                    <c:v>1</c:v>
                  </c:pt>
                  <c:pt idx="31">
                    <c:v>.</c:v>
                  </c:pt>
                </c:lvl>
                <c:lvl>
                  <c:pt idx="0">
                    <c:v>2008</c:v>
                  </c:pt>
                  <c:pt idx="2">
                    <c:v>2009</c:v>
                  </c:pt>
                  <c:pt idx="4">
                    <c:v>2010</c:v>
                  </c:pt>
                  <c:pt idx="6">
                    <c:v>2011</c:v>
                  </c:pt>
                  <c:pt idx="8">
                    <c:v>2012</c:v>
                  </c:pt>
                  <c:pt idx="10">
                    <c:v>2013</c:v>
                  </c:pt>
                  <c:pt idx="12">
                    <c:v>2014</c:v>
                  </c:pt>
                  <c:pt idx="14">
                    <c:v>2015</c:v>
                  </c:pt>
                  <c:pt idx="16">
                    <c:v>2016</c:v>
                  </c:pt>
                  <c:pt idx="18">
                    <c:v>2017</c:v>
                  </c:pt>
                  <c:pt idx="20">
                    <c:v>2018</c:v>
                  </c:pt>
                  <c:pt idx="22">
                    <c:v>2019</c:v>
                  </c:pt>
                  <c:pt idx="24">
                    <c:v>2020</c:v>
                  </c:pt>
                  <c:pt idx="26">
                    <c:v>2021</c:v>
                  </c:pt>
                  <c:pt idx="28">
                    <c:v>2022</c:v>
                  </c:pt>
                  <c:pt idx="30">
                    <c:v>2023</c:v>
                  </c:pt>
                </c:lvl>
              </c:multiLvlStrCache>
            </c:multiLvlStrRef>
          </c:cat>
          <c:val>
            <c:numRef>
              <c:f>'Trh práce 3'!$G$94:$G$125</c:f>
              <c:numCache>
                <c:formatCode>0.0</c:formatCode>
                <c:ptCount val="32"/>
                <c:pt idx="0">
                  <c:v>3.5657045736146955</c:v>
                </c:pt>
                <c:pt idx="1">
                  <c:v>5.270641590760583</c:v>
                </c:pt>
                <c:pt idx="2">
                  <c:v>4.9793477923024483</c:v>
                </c:pt>
                <c:pt idx="3">
                  <c:v>6.1469428778748991</c:v>
                </c:pt>
                <c:pt idx="4" formatCode="#\ ##0.0">
                  <c:v>2.7914399976036748</c:v>
                </c:pt>
                <c:pt idx="5" formatCode="#\ ##0.0">
                  <c:v>-2.1753764637075363</c:v>
                </c:pt>
                <c:pt idx="6" formatCode="#\ ##0.0">
                  <c:v>0.19673255957748381</c:v>
                </c:pt>
                <c:pt idx="7" formatCode="#\ ##0.0">
                  <c:v>2.4787428508100575</c:v>
                </c:pt>
                <c:pt idx="8" formatCode="#\ ##0.0">
                  <c:v>2.4724260713358603</c:v>
                </c:pt>
                <c:pt idx="9" formatCode="#\ ##0.0">
                  <c:v>1.4759480783641123</c:v>
                </c:pt>
                <c:pt idx="10" formatCode="#\ ##0.0">
                  <c:v>0.83401298066449669</c:v>
                </c:pt>
                <c:pt idx="11" formatCode="#\ ##0.0">
                  <c:v>0.40922312282597773</c:v>
                </c:pt>
                <c:pt idx="12" formatCode="#\ ##0.0">
                  <c:v>2.0215921131322432</c:v>
                </c:pt>
                <c:pt idx="13" formatCode="#\ ##0.0">
                  <c:v>3.0167538052527476</c:v>
                </c:pt>
                <c:pt idx="14" formatCode="#\ ##0.0">
                  <c:v>3.8195496456968812</c:v>
                </c:pt>
                <c:pt idx="15" formatCode="#\ ##0.0">
                  <c:v>3.7263593007908256</c:v>
                </c:pt>
                <c:pt idx="16" formatCode="#\ ##0.0">
                  <c:v>4.2075654139398324</c:v>
                </c:pt>
                <c:pt idx="17" formatCode="#\ ##0.0">
                  <c:v>5.4939178255430079</c:v>
                </c:pt>
                <c:pt idx="18" formatCode="#\ ##0.0">
                  <c:v>6.4136990396482787</c:v>
                </c:pt>
                <c:pt idx="19" formatCode="#\ ##0.0">
                  <c:v>9.2411219451734112</c:v>
                </c:pt>
                <c:pt idx="20" formatCode="#\ ##0.0">
                  <c:v>12.026170361451321</c:v>
                </c:pt>
                <c:pt idx="21" formatCode="#\ ##0.0">
                  <c:v>8.7447651066878649</c:v>
                </c:pt>
                <c:pt idx="22" formatCode="#\ ##0.0">
                  <c:v>9.3592560812861194</c:v>
                </c:pt>
                <c:pt idx="23" formatCode="#\ ##0.0">
                  <c:v>9.7167924346275427</c:v>
                </c:pt>
                <c:pt idx="24" formatCode="#\ ##0.0">
                  <c:v>5.0911039087648788</c:v>
                </c:pt>
                <c:pt idx="25" formatCode="#\ ##0.0">
                  <c:v>11.379812548838132</c:v>
                </c:pt>
                <c:pt idx="26" formatCode="#\ ##0.0">
                  <c:v>11.376746357961196</c:v>
                </c:pt>
                <c:pt idx="27" formatCode="#\ ##0.0">
                  <c:v>2.5296257137618738</c:v>
                </c:pt>
                <c:pt idx="28" formatCode="#\ ##0.0">
                  <c:v>-2.7747780527849812</c:v>
                </c:pt>
                <c:pt idx="29" formatCode="#\ ##0.0">
                  <c:v>1.868067696383136</c:v>
                </c:pt>
                <c:pt idx="30" formatCode="#\ ##0.0">
                  <c:v>6.6803827680378447</c:v>
                </c:pt>
              </c:numCache>
            </c:numRef>
          </c:val>
          <c:smooth val="0"/>
          <c:extLst>
            <c:ext xmlns:c16="http://schemas.microsoft.com/office/drawing/2014/chart" uri="{C3380CC4-5D6E-409C-BE32-E72D297353CC}">
              <c16:uniqueId val="{00000004-D20D-4B0D-99FF-119C17C6D8D2}"/>
            </c:ext>
          </c:extLst>
        </c:ser>
        <c:ser>
          <c:idx val="3"/>
          <c:order val="5"/>
          <c:tx>
            <c:strRef>
              <c:f>'Trh práce 3'!$H$93</c:f>
              <c:strCache>
                <c:ptCount val="1"/>
                <c:pt idx="0">
                  <c:v>Labour productivity (real growth)**</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3'!$A$94:$B$125</c:f>
              <c:multiLvlStrCache>
                <c:ptCount val="32"/>
                <c:lvl>
                  <c:pt idx="0">
                    <c:v>1</c:v>
                  </c:pt>
                  <c:pt idx="1">
                    <c:v>2</c:v>
                  </c:pt>
                  <c:pt idx="2">
                    <c:v>1</c:v>
                  </c:pt>
                  <c:pt idx="3">
                    <c:v>2</c:v>
                  </c:pt>
                  <c:pt idx="4">
                    <c:v>1</c:v>
                  </c:pt>
                  <c:pt idx="5">
                    <c:v>2</c:v>
                  </c:pt>
                  <c:pt idx="6">
                    <c:v>1</c:v>
                  </c:pt>
                  <c:pt idx="7">
                    <c:v>2</c:v>
                  </c:pt>
                  <c:pt idx="8">
                    <c:v>1</c:v>
                  </c:pt>
                  <c:pt idx="9">
                    <c:v>2</c:v>
                  </c:pt>
                  <c:pt idx="10">
                    <c:v>1</c:v>
                  </c:pt>
                  <c:pt idx="11">
                    <c:v>2</c:v>
                  </c:pt>
                  <c:pt idx="12">
                    <c:v>1</c:v>
                  </c:pt>
                  <c:pt idx="13">
                    <c:v>2</c:v>
                  </c:pt>
                  <c:pt idx="14">
                    <c:v>1</c:v>
                  </c:pt>
                  <c:pt idx="15">
                    <c:v>2</c:v>
                  </c:pt>
                  <c:pt idx="16">
                    <c:v>1</c:v>
                  </c:pt>
                  <c:pt idx="17">
                    <c:v>2</c:v>
                  </c:pt>
                  <c:pt idx="18">
                    <c:v>1</c:v>
                  </c:pt>
                  <c:pt idx="19">
                    <c:v>2</c:v>
                  </c:pt>
                  <c:pt idx="20">
                    <c:v>1</c:v>
                  </c:pt>
                  <c:pt idx="21">
                    <c:v>2</c:v>
                  </c:pt>
                  <c:pt idx="22">
                    <c:v>1</c:v>
                  </c:pt>
                  <c:pt idx="23">
                    <c:v>2</c:v>
                  </c:pt>
                  <c:pt idx="24">
                    <c:v>1</c:v>
                  </c:pt>
                  <c:pt idx="25">
                    <c:v>2</c:v>
                  </c:pt>
                  <c:pt idx="26">
                    <c:v>1</c:v>
                  </c:pt>
                  <c:pt idx="27">
                    <c:v>2</c:v>
                  </c:pt>
                  <c:pt idx="28">
                    <c:v>1</c:v>
                  </c:pt>
                  <c:pt idx="29">
                    <c:v>2</c:v>
                  </c:pt>
                  <c:pt idx="30">
                    <c:v>1</c:v>
                  </c:pt>
                  <c:pt idx="31">
                    <c:v>.</c:v>
                  </c:pt>
                </c:lvl>
                <c:lvl>
                  <c:pt idx="0">
                    <c:v>2008</c:v>
                  </c:pt>
                  <c:pt idx="2">
                    <c:v>2009</c:v>
                  </c:pt>
                  <c:pt idx="4">
                    <c:v>2010</c:v>
                  </c:pt>
                  <c:pt idx="6">
                    <c:v>2011</c:v>
                  </c:pt>
                  <c:pt idx="8">
                    <c:v>2012</c:v>
                  </c:pt>
                  <c:pt idx="10">
                    <c:v>2013</c:v>
                  </c:pt>
                  <c:pt idx="12">
                    <c:v>2014</c:v>
                  </c:pt>
                  <c:pt idx="14">
                    <c:v>2015</c:v>
                  </c:pt>
                  <c:pt idx="16">
                    <c:v>2016</c:v>
                  </c:pt>
                  <c:pt idx="18">
                    <c:v>2017</c:v>
                  </c:pt>
                  <c:pt idx="20">
                    <c:v>2018</c:v>
                  </c:pt>
                  <c:pt idx="22">
                    <c:v>2019</c:v>
                  </c:pt>
                  <c:pt idx="24">
                    <c:v>2020</c:v>
                  </c:pt>
                  <c:pt idx="26">
                    <c:v>2021</c:v>
                  </c:pt>
                  <c:pt idx="28">
                    <c:v>2022</c:v>
                  </c:pt>
                  <c:pt idx="30">
                    <c:v>2023</c:v>
                  </c:pt>
                </c:lvl>
              </c:multiLvlStrCache>
            </c:multiLvlStrRef>
          </c:cat>
          <c:val>
            <c:numRef>
              <c:f>'Trh práce 3'!$H$94:$H$125</c:f>
              <c:numCache>
                <c:formatCode>0.0</c:formatCode>
                <c:ptCount val="32"/>
                <c:pt idx="0">
                  <c:v>1.8694416733975743</c:v>
                </c:pt>
                <c:pt idx="1">
                  <c:v>-0.7811451849546529</c:v>
                </c:pt>
                <c:pt idx="2">
                  <c:v>-4.2843066737200672</c:v>
                </c:pt>
                <c:pt idx="3">
                  <c:v>-1.524806145072219</c:v>
                </c:pt>
                <c:pt idx="4">
                  <c:v>4.0615369196965219</c:v>
                </c:pt>
                <c:pt idx="5">
                  <c:v>2.9277605590762903</c:v>
                </c:pt>
                <c:pt idx="6">
                  <c:v>2.6280581110593459</c:v>
                </c:pt>
                <c:pt idx="7">
                  <c:v>1.4974051448464394</c:v>
                </c:pt>
                <c:pt idx="8">
                  <c:v>-0.572557166375816</c:v>
                </c:pt>
                <c:pt idx="9">
                  <c:v>-1.8085245571257502</c:v>
                </c:pt>
                <c:pt idx="10">
                  <c:v>-1.843026567799555</c:v>
                </c:pt>
                <c:pt idx="11">
                  <c:v>1.065425731716644</c:v>
                </c:pt>
                <c:pt idx="12">
                  <c:v>1.8529618448319951</c:v>
                </c:pt>
                <c:pt idx="13">
                  <c:v>1.546835366498641</c:v>
                </c:pt>
                <c:pt idx="14">
                  <c:v>3.9405022601187483</c:v>
                </c:pt>
                <c:pt idx="15">
                  <c:v>3.8758077448309791</c:v>
                </c:pt>
                <c:pt idx="16">
                  <c:v>1.664068357249505</c:v>
                </c:pt>
                <c:pt idx="17">
                  <c:v>0.24266923535105889</c:v>
                </c:pt>
                <c:pt idx="18">
                  <c:v>3.1792497209527397</c:v>
                </c:pt>
                <c:pt idx="19">
                  <c:v>3.9256607298481043</c:v>
                </c:pt>
                <c:pt idx="20">
                  <c:v>1.9900064909268593</c:v>
                </c:pt>
                <c:pt idx="21">
                  <c:v>1.7520848172692496</c:v>
                </c:pt>
                <c:pt idx="22">
                  <c:v>2.2734760457503285</c:v>
                </c:pt>
                <c:pt idx="23">
                  <c:v>3.2766293291678323</c:v>
                </c:pt>
                <c:pt idx="24">
                  <c:v>-4.6336037619941095</c:v>
                </c:pt>
                <c:pt idx="25">
                  <c:v>-3.0998190811865811</c:v>
                </c:pt>
                <c:pt idx="26">
                  <c:v>4.0714801300102152</c:v>
                </c:pt>
                <c:pt idx="27">
                  <c:v>2.2591335568000375</c:v>
                </c:pt>
                <c:pt idx="28">
                  <c:v>2.3600043511901987</c:v>
                </c:pt>
                <c:pt idx="29">
                  <c:v>-0.56579316382624256</c:v>
                </c:pt>
                <c:pt idx="30">
                  <c:v>-1.6421901641920442</c:v>
                </c:pt>
              </c:numCache>
            </c:numRef>
          </c:val>
          <c:smooth val="0"/>
          <c:extLst>
            <c:ext xmlns:c16="http://schemas.microsoft.com/office/drawing/2014/chart" uri="{C3380CC4-5D6E-409C-BE32-E72D297353CC}">
              <c16:uniqueId val="{00000005-D20D-4B0D-99FF-119C17C6D8D2}"/>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none"/>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1"/>
        <c:noMultiLvlLbl val="0"/>
      </c:catAx>
      <c:valAx>
        <c:axId val="100690560"/>
        <c:scaling>
          <c:orientation val="minMax"/>
          <c:max val="14"/>
          <c:min val="-10"/>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midCat"/>
        <c:majorUnit val="2"/>
      </c:valAx>
      <c:spPr>
        <a:ln>
          <a:solidFill>
            <a:schemeClr val="tx1"/>
          </a:solidFill>
        </a:ln>
      </c:spPr>
    </c:plotArea>
    <c:legend>
      <c:legendPos val="b"/>
      <c:layout>
        <c:manualLayout>
          <c:xMode val="edge"/>
          <c:yMode val="edge"/>
          <c:x val="1.6219167864768586E-2"/>
          <c:y val="0.87578175045503925"/>
          <c:w val="0.97293440311163737"/>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3" ma:contentTypeDescription="Vytvoří nový dokument" ma:contentTypeScope="" ma:versionID="3072f6f3e77686ec6964bf5712aff85a">
  <xsd:schema xmlns:xsd="http://www.w3.org/2001/XMLSchema" xmlns:xs="http://www.w3.org/2001/XMLSchema" xmlns:p="http://schemas.microsoft.com/office/2006/metadata/properties" xmlns:ns2="eabc42bd-08fe-4a27-9645-04f6ad96d74a" targetNamespace="http://schemas.microsoft.com/office/2006/metadata/properties" ma:root="true" ma:fieldsID="572e7ed591a9b745512fd70b2662d46d" ns2:_="">
    <xsd:import namespace="eabc42bd-08fe-4a27-9645-04f6ad96d7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2.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60CFD8-CD6F-4E0C-A345-781C95A8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676AC-AF1B-4179-9B10-0D52DABB9C9F}">
  <ds:schemaRefs>
    <ds:schemaRef ds:uri="http://schemas.openxmlformats.org/officeDocument/2006/bibliography"/>
  </ds:schemaRefs>
</ds:datastoreItem>
</file>

<file path=customXml/itemProps5.xml><?xml version="1.0" encoding="utf-8"?>
<ds:datastoreItem xmlns:ds="http://schemas.openxmlformats.org/officeDocument/2006/customXml" ds:itemID="{FE78959A-13B5-4DE3-83E4-A933C5F0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5</TotalTime>
  <Pages>7</Pages>
  <Words>2746</Words>
  <Characters>16204</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5</cp:revision>
  <cp:lastPrinted>2023-06-09T17:23:00Z</cp:lastPrinted>
  <dcterms:created xsi:type="dcterms:W3CDTF">2023-10-17T10:13:00Z</dcterms:created>
  <dcterms:modified xsi:type="dcterms:W3CDTF">2023-10-17T10:27:00Z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y fmtid="{D5CDD505-2E9C-101B-9397-08002B2CF9AE}" pid="3" name="MSIP_Label_29db9e61-aac5-4f6e-805d-ceb8cb9983a1_Enabled">
    <vt:lpwstr>true</vt:lpwstr>
  </property>
  <property fmtid="{D5CDD505-2E9C-101B-9397-08002B2CF9AE}" pid="4" name="MSIP_Label_29db9e61-aac5-4f6e-805d-ceb8cb9983a1_SetDate">
    <vt:lpwstr>2023-09-17T16:05:15Z</vt:lpwstr>
  </property>
  <property fmtid="{D5CDD505-2E9C-101B-9397-08002B2CF9AE}" pid="5" name="MSIP_Label_29db9e61-aac5-4f6e-805d-ceb8cb9983a1_Method">
    <vt:lpwstr>Standard</vt:lpwstr>
  </property>
  <property fmtid="{D5CDD505-2E9C-101B-9397-08002B2CF9AE}" pid="6" name="MSIP_Label_29db9e61-aac5-4f6e-805d-ceb8cb9983a1_Name">
    <vt:lpwstr>UniCredit - Internal Use Only - no visual markings</vt:lpwstr>
  </property>
  <property fmtid="{D5CDD505-2E9C-101B-9397-08002B2CF9AE}" pid="7" name="MSIP_Label_29db9e61-aac5-4f6e-805d-ceb8cb9983a1_SiteId">
    <vt:lpwstr>2cc49ce9-66a1-41ac-a96b-bdc54247696a</vt:lpwstr>
  </property>
  <property fmtid="{D5CDD505-2E9C-101B-9397-08002B2CF9AE}" pid="8" name="MSIP_Label_29db9e61-aac5-4f6e-805d-ceb8cb9983a1_ActionId">
    <vt:lpwstr>bc2e51ea-0f16-4c13-bd82-d5a39cb11630</vt:lpwstr>
  </property>
  <property fmtid="{D5CDD505-2E9C-101B-9397-08002B2CF9AE}" pid="9" name="MSIP_Label_29db9e61-aac5-4f6e-805d-ceb8cb9983a1_ContentBits">
    <vt:lpwstr>0</vt:lpwstr>
  </property>
</Properties>
</file>