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drawings/drawing2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B7" w:rsidRPr="00326DBE" w:rsidRDefault="00471EB7" w:rsidP="008B309E">
      <w:pPr>
        <w:pStyle w:val="Nadpis1"/>
      </w:pPr>
      <w:bookmarkStart w:id="0" w:name="_Toc444112496"/>
      <w:bookmarkStart w:id="1" w:name="_Toc525303515"/>
      <w:r w:rsidRPr="00326DBE">
        <w:t xml:space="preserve">Kapitola A </w:t>
      </w:r>
      <w:r w:rsidR="00D1205B">
        <w:t>ICT</w:t>
      </w:r>
      <w:r w:rsidRPr="00326DBE">
        <w:t xml:space="preserve"> infrastruktura</w:t>
      </w:r>
      <w:bookmarkEnd w:id="1"/>
    </w:p>
    <w:p w:rsidR="00471EB7" w:rsidRPr="00326DBE" w:rsidRDefault="00471EB7" w:rsidP="00471EB7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 xml:space="preserve">Základním pilířem nezbytným pro rozvoj informační společnosti či digitální ekonomiky </w:t>
      </w:r>
      <w:r w:rsidR="00B44912">
        <w:rPr>
          <w:i/>
          <w:sz w:val="20"/>
        </w:rPr>
        <w:t xml:space="preserve">je </w:t>
      </w:r>
      <w:r w:rsidRPr="00326DBE">
        <w:rPr>
          <w:i/>
          <w:sz w:val="20"/>
        </w:rPr>
        <w:t xml:space="preserve">v dnešní době nesporně robustní, spolehlivá a moderní </w:t>
      </w:r>
      <w:r w:rsidR="00FF3C27">
        <w:rPr>
          <w:i/>
          <w:sz w:val="20"/>
        </w:rPr>
        <w:t>komunikační a datová (</w:t>
      </w:r>
      <w:r w:rsidRPr="00326DBE">
        <w:rPr>
          <w:i/>
          <w:sz w:val="20"/>
        </w:rPr>
        <w:t>ICT</w:t>
      </w:r>
      <w:r w:rsidR="00FF3C27">
        <w:rPr>
          <w:i/>
          <w:sz w:val="20"/>
        </w:rPr>
        <w:t>)</w:t>
      </w:r>
      <w:r w:rsidRPr="00326DBE">
        <w:rPr>
          <w:i/>
          <w:sz w:val="20"/>
        </w:rPr>
        <w:t xml:space="preserve"> infrastruktura umožňující přenos obrovského množství dat nezbytných pro poskytování služeb dostupných prostřednictvím pevných či mobilních elektronických sítí. </w:t>
      </w:r>
    </w:p>
    <w:p w:rsidR="00471EB7" w:rsidRPr="00326DBE" w:rsidRDefault="00471EB7" w:rsidP="00471EB7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>Český statistický úřad, vědom si významu ICT infrastruktury, pravidelně přebírá a zpracovává základní data popisující vývoj a stav dané oblasti. Údaje v této kapitole – počty účastníků služeb poskytovaných v rámci pevných a mobilních elektronických sítí</w:t>
      </w:r>
      <w:r w:rsidRPr="00326DBE">
        <w:rPr>
          <w:rStyle w:val="Znakapoznpodarou"/>
          <w:i/>
          <w:sz w:val="20"/>
        </w:rPr>
        <w:footnoteReference w:id="1"/>
      </w:r>
      <w:r w:rsidRPr="00326DBE">
        <w:rPr>
          <w:i/>
          <w:sz w:val="20"/>
        </w:rPr>
        <w:t xml:space="preserve"> – pochází, na rozdíl od většiny ostatních kapitol, </w:t>
      </w:r>
      <w:r w:rsidRPr="00326DBE">
        <w:rPr>
          <w:bCs/>
          <w:i/>
          <w:sz w:val="20"/>
        </w:rPr>
        <w:t xml:space="preserve">od poskytovatelů těchto služeb a </w:t>
      </w:r>
      <w:r w:rsidRPr="00326DBE">
        <w:rPr>
          <w:i/>
          <w:sz w:val="20"/>
        </w:rPr>
        <w:t>vztahují se pouze k</w:t>
      </w:r>
      <w:r w:rsidR="00C02DB3">
        <w:rPr>
          <w:i/>
          <w:sz w:val="20"/>
        </w:rPr>
        <w:t>e</w:t>
      </w:r>
      <w:r w:rsidRPr="00326DBE">
        <w:rPr>
          <w:i/>
          <w:sz w:val="20"/>
        </w:rPr>
        <w:t> službám elektronických komunikací poskytovaných na maloobchodní úrovni, tzn. službám poskytovaným koncovým uživatelům</w:t>
      </w:r>
      <w:r w:rsidR="008B309E">
        <w:rPr>
          <w:i/>
          <w:sz w:val="20"/>
        </w:rPr>
        <w:t>.</w:t>
      </w:r>
      <w:r w:rsidRPr="00326DBE">
        <w:rPr>
          <w:i/>
          <w:sz w:val="20"/>
        </w:rPr>
        <w:t xml:space="preserve"> </w:t>
      </w:r>
    </w:p>
    <w:p w:rsidR="008B309E" w:rsidRDefault="00471EB7" w:rsidP="003B3A31">
      <w:pPr>
        <w:pStyle w:val="Nadpis2"/>
        <w:spacing w:before="240" w:after="120" w:line="264" w:lineRule="auto"/>
        <w:rPr>
          <w:i/>
          <w:sz w:val="20"/>
        </w:rPr>
      </w:pPr>
      <w:bookmarkStart w:id="2" w:name="_Toc525303516"/>
      <w:r w:rsidRPr="00990989">
        <w:t>A. 1 Telekomunikační infrastruktura – využití pevné a mobilní sítě pro hlasové služby</w:t>
      </w:r>
      <w:bookmarkEnd w:id="2"/>
    </w:p>
    <w:p w:rsidR="003B3A31" w:rsidRPr="00326DBE" w:rsidRDefault="00471EB7" w:rsidP="003B3A31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>Telekomunikační infrastruktura je základním pilířem, dle kterého byla zejména v minulých letech hodnocena informačně-technologická vyspělost jednotlivých států EU, potažmo celého světa. V minulém tisíciletí šlo zejména o telekomunikační služby na pevných telefonních linkách, od roku 2000 i v Česku nabývaly na stále větším významu služby poskytované telekomunikačními operátory prostřednictvím jejich mobilní</w:t>
      </w:r>
      <w:r w:rsidR="00B44912">
        <w:rPr>
          <w:i/>
          <w:sz w:val="20"/>
        </w:rPr>
        <w:t>ch</w:t>
      </w:r>
      <w:r w:rsidRPr="00326DBE">
        <w:rPr>
          <w:i/>
          <w:sz w:val="20"/>
        </w:rPr>
        <w:t xml:space="preserve"> sít</w:t>
      </w:r>
      <w:r w:rsidR="00B44912">
        <w:rPr>
          <w:i/>
          <w:sz w:val="20"/>
        </w:rPr>
        <w:t>í</w:t>
      </w:r>
      <w:r w:rsidRPr="00326DBE">
        <w:rPr>
          <w:i/>
          <w:sz w:val="20"/>
        </w:rPr>
        <w:t xml:space="preserve">. Jestliže v roce 2001 mělo doma pevný telefon 75 % českých domácností, tak na konci roku 2015 to bylo </w:t>
      </w:r>
      <w:r w:rsidR="00F26DD0">
        <w:rPr>
          <w:i/>
          <w:sz w:val="20"/>
        </w:rPr>
        <w:t xml:space="preserve">jen </w:t>
      </w:r>
      <w:r w:rsidRPr="00326DBE">
        <w:rPr>
          <w:i/>
          <w:sz w:val="20"/>
        </w:rPr>
        <w:t xml:space="preserve">15 %. Pokles využívání pevných telefonních linek souvisí s nárůstem počtu mobilních telefonů, resp. aktivních SIM karet. Od roku 2004 převyšuje počet aktivních SIM karet počet obyvatel ČR. </w:t>
      </w:r>
    </w:p>
    <w:p w:rsidR="00471EB7" w:rsidRPr="00990989" w:rsidRDefault="00471EB7" w:rsidP="003B3A31">
      <w:pPr>
        <w:pStyle w:val="Nadpis3"/>
        <w:spacing w:before="240" w:after="120" w:line="264" w:lineRule="auto"/>
      </w:pPr>
      <w:bookmarkStart w:id="3" w:name="_Toc525303517"/>
      <w:r w:rsidRPr="00990989">
        <w:t>Počet účastníků v pevné telefonní síti</w:t>
      </w:r>
      <w:r w:rsidRPr="00990989">
        <w:rPr>
          <w:vertAlign w:val="superscript"/>
        </w:rPr>
        <w:footnoteReference w:id="2"/>
      </w:r>
      <w:bookmarkEnd w:id="3"/>
      <w:r w:rsidRPr="00990989">
        <w:rPr>
          <w:sz w:val="22"/>
          <w:szCs w:val="20"/>
          <w:vertAlign w:val="superscript"/>
        </w:rPr>
        <w:t xml:space="preserve"> </w:t>
      </w:r>
      <w:r w:rsidRPr="00990989">
        <w:t xml:space="preserve"> </w:t>
      </w: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Počet </w:t>
      </w:r>
      <w:r w:rsidRPr="00326DBE">
        <w:rPr>
          <w:b/>
          <w:sz w:val="20"/>
          <w:szCs w:val="20"/>
        </w:rPr>
        <w:t xml:space="preserve">účastníků hlasových služeb </w:t>
      </w:r>
      <w:r w:rsidRPr="00326DBE">
        <w:rPr>
          <w:sz w:val="20"/>
          <w:szCs w:val="20"/>
        </w:rPr>
        <w:t xml:space="preserve">poskytovaných prostřednictvím klasické pevné </w:t>
      </w:r>
      <w:r w:rsidRPr="00326DBE">
        <w:rPr>
          <w:b/>
          <w:sz w:val="20"/>
          <w:szCs w:val="20"/>
        </w:rPr>
        <w:t>komutované telefonní sítě (PSTN)</w:t>
      </w:r>
      <w:r w:rsidRPr="00326DBE">
        <w:rPr>
          <w:sz w:val="20"/>
          <w:szCs w:val="20"/>
        </w:rPr>
        <w:t xml:space="preserve"> se v Česku nadále snižuje. Od roku 2001, kdy jejich počet dosáhl maxima, klesl jejich počet o 3 milióny na 832 tis. v roce 2016. Pro zajímavost jde přibližně o stejný počet hlavních pevných telefonních stanic (linek) v síti PSTN, jaký byl u nás naposledy zaznamenán v roce 1972. Pokles využívání pevných telefonních linek jak u nás, tak ve světě souvisí s nárůstem počtu </w:t>
      </w:r>
      <w:r w:rsidR="004B2A0F">
        <w:rPr>
          <w:sz w:val="20"/>
          <w:szCs w:val="20"/>
        </w:rPr>
        <w:t>používaných mobilních telefonů.</w:t>
      </w: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Klesá především počet </w:t>
      </w:r>
      <w:r w:rsidRPr="00326DBE">
        <w:rPr>
          <w:b/>
          <w:sz w:val="20"/>
          <w:szCs w:val="20"/>
        </w:rPr>
        <w:t>“bytových</w:t>
      </w:r>
      <w:r w:rsidRPr="00326DBE">
        <w:rPr>
          <w:sz w:val="20"/>
          <w:szCs w:val="20"/>
        </w:rPr>
        <w:t xml:space="preserve"> </w:t>
      </w:r>
      <w:r w:rsidRPr="00326DBE">
        <w:rPr>
          <w:b/>
          <w:sz w:val="20"/>
          <w:szCs w:val="20"/>
        </w:rPr>
        <w:t>linek“</w:t>
      </w:r>
      <w:r w:rsidRPr="00326DBE">
        <w:rPr>
          <w:sz w:val="20"/>
          <w:szCs w:val="20"/>
        </w:rPr>
        <w:t>, jež byly nejrozšířenější na přelomu tisíciletí. Jen za posledních 15 let, klesl počet klasických (PSTN) telefonních linek v českých domácnostech 6,5krát z 2,6 miliónu v roce 2001, kdy si začal do českých domácností hledat cestu mobilní telefon, na 400 tisíc v roce 2016. Jinak řečeno, jestliže v roce 2001 mělo doma pevný telefon 75 % domácností tak v roce 2016 to bylo pouze 15% z nich – spolu s Finskem nejméně ze všech zemí EU</w:t>
      </w:r>
      <w:r w:rsidRPr="00326DBE">
        <w:rPr>
          <w:rStyle w:val="Znakapoznpodarou"/>
          <w:sz w:val="20"/>
          <w:szCs w:val="20"/>
        </w:rPr>
        <w:footnoteReference w:id="3"/>
      </w:r>
      <w:r w:rsidRPr="00326DBE">
        <w:rPr>
          <w:sz w:val="20"/>
          <w:szCs w:val="20"/>
        </w:rPr>
        <w:t>.</w:t>
      </w: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V roce 2016 dosáhl v Česku poprvé počet </w:t>
      </w:r>
      <w:r w:rsidRPr="00326DBE">
        <w:rPr>
          <w:b/>
          <w:sz w:val="20"/>
          <w:szCs w:val="20"/>
        </w:rPr>
        <w:t>„podnikových linek“</w:t>
      </w:r>
      <w:r w:rsidRPr="00326DBE">
        <w:rPr>
          <w:sz w:val="20"/>
          <w:szCs w:val="20"/>
        </w:rPr>
        <w:t xml:space="preserve"> – účastníků hlasové služby v „klasické“ pevné telefonní síti (PSTN) ze strany právnických a podnikajících fyzických osob – vyšší hodnoty než bytových. Přesto i v tomto případě dochází v posledních letech k jejich významnému poklesu. Například, jestliže v letech 1997 až 2008 se jejich počet pohyboval kolem hranice 1 milionu tak v roce 2016 jejich počet klesl na </w:t>
      </w:r>
      <w:r w:rsidR="00F26DD0">
        <w:rPr>
          <w:sz w:val="20"/>
          <w:szCs w:val="20"/>
        </w:rPr>
        <w:t>méně než půl milionu (</w:t>
      </w:r>
      <w:r w:rsidRPr="00326DBE">
        <w:rPr>
          <w:sz w:val="20"/>
          <w:szCs w:val="20"/>
        </w:rPr>
        <w:t>429 tisíc</w:t>
      </w:r>
      <w:r w:rsidR="00F26DD0">
        <w:rPr>
          <w:sz w:val="20"/>
          <w:szCs w:val="20"/>
        </w:rPr>
        <w:t>)</w:t>
      </w:r>
      <w:r w:rsidRPr="00326DBE">
        <w:rPr>
          <w:sz w:val="20"/>
          <w:szCs w:val="20"/>
        </w:rPr>
        <w:t>.</w:t>
      </w:r>
    </w:p>
    <w:p w:rsidR="006D0F31" w:rsidRDefault="006D0F31" w:rsidP="006D0F31">
      <w:pPr>
        <w:pStyle w:val="Titulek"/>
        <w:keepNext/>
        <w:tabs>
          <w:tab w:val="left" w:pos="2410"/>
        </w:tabs>
        <w:spacing w:after="0"/>
        <w:jc w:val="both"/>
        <w:rPr>
          <w:color w:val="000000" w:themeColor="text1"/>
          <w:sz w:val="4"/>
          <w:szCs w:val="4"/>
        </w:rPr>
        <w:sectPr w:rsidR="006D0F31" w:rsidSect="00FA64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418" w:left="1134" w:header="680" w:footer="680" w:gutter="0"/>
          <w:pgNumType w:start="6"/>
          <w:cols w:space="708"/>
          <w:docGrid w:linePitch="360"/>
        </w:sectPr>
      </w:pPr>
    </w:p>
    <w:p w:rsidR="00C42E6C" w:rsidRPr="00761AD2" w:rsidRDefault="00C42E6C" w:rsidP="00C42E6C">
      <w:pPr>
        <w:pStyle w:val="Titulek"/>
        <w:keepNext/>
        <w:tabs>
          <w:tab w:val="left" w:pos="426"/>
          <w:tab w:val="left" w:pos="2268"/>
        </w:tabs>
        <w:spacing w:after="0"/>
        <w:jc w:val="both"/>
        <w:rPr>
          <w:color w:val="FFFFFF" w:themeColor="background1"/>
          <w:sz w:val="4"/>
          <w:szCs w:val="4"/>
        </w:rPr>
      </w:pPr>
      <w:bookmarkStart w:id="5" w:name="_Toc524332490"/>
      <w:r w:rsidRPr="00761AD2">
        <w:rPr>
          <w:color w:val="FFFFFF" w:themeColor="background1"/>
          <w:sz w:val="4"/>
          <w:szCs w:val="4"/>
        </w:rPr>
        <w:lastRenderedPageBreak/>
        <w:t>Graf A</w:t>
      </w:r>
      <w:r w:rsidRPr="00761AD2">
        <w:rPr>
          <w:color w:val="FFFFFF" w:themeColor="background1"/>
          <w:sz w:val="4"/>
          <w:szCs w:val="4"/>
        </w:rPr>
        <w:fldChar w:fldCharType="begin"/>
      </w:r>
      <w:r w:rsidRPr="00761AD2">
        <w:rPr>
          <w:color w:val="FFFFFF" w:themeColor="background1"/>
          <w:sz w:val="4"/>
          <w:szCs w:val="4"/>
        </w:rPr>
        <w:instrText xml:space="preserve"> SEQ Graf \* ARABIC </w:instrText>
      </w:r>
      <w:r w:rsidRPr="00761AD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</w:t>
      </w:r>
      <w:r w:rsidRPr="00761AD2">
        <w:rPr>
          <w:color w:val="FFFFFF" w:themeColor="background1"/>
          <w:sz w:val="4"/>
          <w:szCs w:val="4"/>
        </w:rPr>
        <w:fldChar w:fldCharType="end"/>
      </w:r>
      <w:r w:rsidRPr="00761AD2">
        <w:rPr>
          <w:color w:val="FFFFFF" w:themeColor="background1"/>
          <w:sz w:val="4"/>
          <w:szCs w:val="4"/>
        </w:rPr>
        <w:t xml:space="preserve"> Účastníci hlasové služby v pevné telefonní síti v Česku prostřednictvím klasických PSTN telefonních stanic</w:t>
      </w:r>
      <w:bookmarkEnd w:id="5"/>
    </w:p>
    <w:p w:rsidR="006D0F31" w:rsidRDefault="00471EB7" w:rsidP="00471EB7">
      <w:pPr>
        <w:pStyle w:val="Zkladntext"/>
        <w:spacing w:before="0" w:after="80" w:line="264" w:lineRule="auto"/>
      </w:pPr>
      <w:r w:rsidRPr="00326DBE">
        <w:rPr>
          <w:noProof/>
        </w:rPr>
        <w:drawing>
          <wp:inline distT="0" distB="0" distL="0" distR="0" wp14:anchorId="5F6AA900" wp14:editId="19E2614F">
            <wp:extent cx="3024000" cy="2520000"/>
            <wp:effectExtent l="0" t="0" r="508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326DBE">
        <w:rPr>
          <w:noProof/>
          <w:lang w:eastAsia="en-US"/>
        </w:rPr>
        <w:t xml:space="preserve"> </w:t>
      </w:r>
    </w:p>
    <w:p w:rsidR="006D0F31" w:rsidRPr="006D0F31" w:rsidRDefault="006D0F31" w:rsidP="006D0F31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6" w:name="_Toc524332491"/>
      <w:r w:rsidRPr="00761AD2">
        <w:rPr>
          <w:color w:val="FFFFFF" w:themeColor="background1"/>
          <w:sz w:val="4"/>
          <w:szCs w:val="4"/>
        </w:rPr>
        <w:lastRenderedPageBreak/>
        <w:t>Graf A</w:t>
      </w:r>
      <w:r w:rsidRPr="00761AD2">
        <w:rPr>
          <w:color w:val="FFFFFF" w:themeColor="background1"/>
          <w:sz w:val="4"/>
          <w:szCs w:val="4"/>
        </w:rPr>
        <w:fldChar w:fldCharType="begin"/>
      </w:r>
      <w:r w:rsidRPr="00761AD2">
        <w:rPr>
          <w:color w:val="FFFFFF" w:themeColor="background1"/>
          <w:sz w:val="4"/>
          <w:szCs w:val="4"/>
        </w:rPr>
        <w:instrText xml:space="preserve"> SEQ Graf \* ARABIC </w:instrText>
      </w:r>
      <w:r w:rsidRPr="00761AD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2</w:t>
      </w:r>
      <w:r w:rsidRPr="00761AD2">
        <w:rPr>
          <w:color w:val="FFFFFF" w:themeColor="background1"/>
          <w:sz w:val="4"/>
          <w:szCs w:val="4"/>
        </w:rPr>
        <w:fldChar w:fldCharType="end"/>
      </w:r>
      <w:r w:rsidRPr="00761AD2">
        <w:rPr>
          <w:color w:val="FFFFFF" w:themeColor="background1"/>
          <w:sz w:val="4"/>
          <w:szCs w:val="4"/>
        </w:rPr>
        <w:t xml:space="preserve"> Účastníci hlasové služby</w:t>
      </w:r>
      <w:r w:rsidR="00761AD2" w:rsidRPr="00761AD2">
        <w:rPr>
          <w:color w:val="FFFFFF" w:themeColor="background1"/>
          <w:sz w:val="4"/>
          <w:szCs w:val="4"/>
        </w:rPr>
        <w:t xml:space="preserve"> </w:t>
      </w:r>
      <w:r w:rsidRPr="00761AD2">
        <w:rPr>
          <w:color w:val="FFFFFF" w:themeColor="background1"/>
          <w:sz w:val="4"/>
          <w:szCs w:val="4"/>
        </w:rPr>
        <w:t>v pevné síti v Česku prostřednictvím internetové</w:t>
      </w:r>
      <w:r w:rsidR="00761AD2" w:rsidRPr="00761AD2">
        <w:rPr>
          <w:color w:val="FFFFFF" w:themeColor="background1"/>
          <w:sz w:val="4"/>
          <w:szCs w:val="4"/>
        </w:rPr>
        <w:t xml:space="preserve"> </w:t>
      </w:r>
      <w:proofErr w:type="gramStart"/>
      <w:r w:rsidRPr="00761AD2">
        <w:rPr>
          <w:color w:val="FFFFFF" w:themeColor="background1"/>
          <w:sz w:val="4"/>
          <w:szCs w:val="4"/>
        </w:rPr>
        <w:t>technologie</w:t>
      </w:r>
      <w:r w:rsidRPr="00761AD2">
        <w:rPr>
          <w:color w:val="FFFFFF" w:themeColor="background1"/>
          <w:sz w:val="4"/>
          <w:szCs w:val="4"/>
          <w:lang w:val="en-US"/>
        </w:rPr>
        <w:t xml:space="preserve"> </w:t>
      </w:r>
      <w:r w:rsidRPr="00761AD2">
        <w:rPr>
          <w:color w:val="FFFFFF" w:themeColor="background1"/>
          <w:sz w:val="4"/>
          <w:szCs w:val="4"/>
        </w:rPr>
        <w:t xml:space="preserve"> – </w:t>
      </w:r>
      <w:proofErr w:type="spellStart"/>
      <w:r w:rsidRPr="00761AD2">
        <w:rPr>
          <w:color w:val="FFFFFF" w:themeColor="background1"/>
          <w:sz w:val="4"/>
          <w:szCs w:val="4"/>
        </w:rPr>
        <w:t>VoIP</w:t>
      </w:r>
      <w:proofErr w:type="spellEnd"/>
      <w:proofErr w:type="gramEnd"/>
      <w:r w:rsidRPr="00761AD2">
        <w:rPr>
          <w:color w:val="FFFFFF" w:themeColor="background1"/>
          <w:sz w:val="4"/>
          <w:szCs w:val="4"/>
        </w:rPr>
        <w:t xml:space="preserve"> </w:t>
      </w:r>
      <w:r w:rsidRPr="006D0F31">
        <w:rPr>
          <w:color w:val="FFFFFF" w:themeColor="background1"/>
          <w:sz w:val="4"/>
          <w:szCs w:val="4"/>
        </w:rPr>
        <w:t>účastníci</w:t>
      </w:r>
      <w:bookmarkEnd w:id="6"/>
    </w:p>
    <w:p w:rsidR="00471EB7" w:rsidRPr="00326DBE" w:rsidRDefault="00471EB7" w:rsidP="00471EB7">
      <w:pPr>
        <w:pStyle w:val="Zkladntext"/>
        <w:spacing w:before="0" w:after="8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1CBBD44A" wp14:editId="6CCBE463">
            <wp:extent cx="3024000" cy="2520000"/>
            <wp:effectExtent l="0" t="0" r="508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D0F31" w:rsidRDefault="006D0F31" w:rsidP="00471EB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  <w:sectPr w:rsidR="006D0F31" w:rsidSect="006D0F31">
          <w:type w:val="continuous"/>
          <w:pgSz w:w="11906" w:h="16838" w:code="9"/>
          <w:pgMar w:top="1134" w:right="1134" w:bottom="1418" w:left="1134" w:header="680" w:footer="680" w:gutter="0"/>
          <w:cols w:num="2" w:space="708"/>
          <w:docGrid w:linePitch="360"/>
        </w:sectPr>
      </w:pP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lastRenderedPageBreak/>
        <w:t xml:space="preserve">Pokles PSTN linek byl i v České republice částečně kompenzován používáním hlasových služeb pomocí </w:t>
      </w:r>
      <w:r w:rsidRPr="00326DBE">
        <w:rPr>
          <w:b/>
          <w:sz w:val="20"/>
          <w:szCs w:val="20"/>
        </w:rPr>
        <w:t xml:space="preserve">technologie </w:t>
      </w:r>
      <w:proofErr w:type="spellStart"/>
      <w:r w:rsidRPr="00326DBE">
        <w:rPr>
          <w:b/>
          <w:sz w:val="20"/>
          <w:szCs w:val="20"/>
        </w:rPr>
        <w:t>VoIP</w:t>
      </w:r>
      <w:proofErr w:type="spellEnd"/>
      <w:r w:rsidRPr="00326DBE">
        <w:rPr>
          <w:rStyle w:val="Znakapoznpodarou"/>
          <w:sz w:val="20"/>
          <w:szCs w:val="20"/>
        </w:rPr>
        <w:footnoteReference w:id="4"/>
      </w:r>
      <w:r w:rsidRPr="00326DBE">
        <w:rPr>
          <w:b/>
          <w:sz w:val="20"/>
          <w:szCs w:val="20"/>
        </w:rPr>
        <w:t>.</w:t>
      </w:r>
      <w:r w:rsidRPr="00326DBE">
        <w:rPr>
          <w:sz w:val="20"/>
          <w:szCs w:val="20"/>
        </w:rPr>
        <w:t xml:space="preserve"> V roce 2016 dosáhl počet účastníků hlasových služeb prostřednictvím této technologie v pevné síti 917 tisíc oproti 462 tisícům v roce 2010. Za posledních 6 let se tak jejich počet téměř zdvojnásobil, i když v posledních letech jejich počet již tak výrazně nerostl.</w:t>
      </w: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Na uvedeném nárůstu využívání technologie </w:t>
      </w:r>
      <w:proofErr w:type="spellStart"/>
      <w:r w:rsidRPr="00326DBE">
        <w:rPr>
          <w:sz w:val="20"/>
          <w:szCs w:val="20"/>
        </w:rPr>
        <w:t>VoIP</w:t>
      </w:r>
      <w:proofErr w:type="spellEnd"/>
      <w:r w:rsidRPr="00326DBE">
        <w:rPr>
          <w:sz w:val="20"/>
          <w:szCs w:val="20"/>
        </w:rPr>
        <w:t xml:space="preserve"> pro hlasové služby mají v posledních letech hlavní podíl účastníci z řad </w:t>
      </w:r>
      <w:r w:rsidRPr="0068503B">
        <w:rPr>
          <w:b/>
          <w:sz w:val="20"/>
          <w:szCs w:val="20"/>
        </w:rPr>
        <w:t>právnických osob</w:t>
      </w:r>
      <w:r w:rsidR="0068503B">
        <w:rPr>
          <w:b/>
          <w:sz w:val="20"/>
          <w:szCs w:val="20"/>
        </w:rPr>
        <w:t xml:space="preserve"> (firem)</w:t>
      </w:r>
      <w:r w:rsidRPr="00326DBE">
        <w:rPr>
          <w:sz w:val="20"/>
          <w:szCs w:val="20"/>
        </w:rPr>
        <w:t xml:space="preserve">, jejichž počet, na rozdíl od počtu </w:t>
      </w:r>
      <w:r w:rsidRPr="0068503B">
        <w:rPr>
          <w:b/>
          <w:sz w:val="20"/>
          <w:szCs w:val="20"/>
        </w:rPr>
        <w:t>nepodnikajících fyzických osob (domácností)</w:t>
      </w:r>
      <w:r w:rsidRPr="00326DBE">
        <w:rPr>
          <w:sz w:val="20"/>
          <w:szCs w:val="20"/>
        </w:rPr>
        <w:t xml:space="preserve">, kontinuálně roste. V roce 2016 dosáhl počet účastníků hlasové služby v pevné síti pomocí technologie </w:t>
      </w:r>
      <w:proofErr w:type="spellStart"/>
      <w:r w:rsidRPr="00326DBE">
        <w:rPr>
          <w:sz w:val="20"/>
          <w:szCs w:val="20"/>
        </w:rPr>
        <w:t>VoIP</w:t>
      </w:r>
      <w:proofErr w:type="spellEnd"/>
      <w:r w:rsidRPr="00326DBE">
        <w:rPr>
          <w:sz w:val="20"/>
          <w:szCs w:val="20"/>
        </w:rPr>
        <w:t xml:space="preserve"> ze strany firem již 619 tisíc, tj. téměř 4krát více než v roce 2010. Naopak obliba používání této technologie v českých domácnostech od roku 2013, kdy jejich počet dosáhl svého maxima (383 tisíc), klesá. V roce 2016 tuto internetovou technologii pro přístup k hlasovým (telefonním) službám prostřednictvím pevné sítě využívalo v Česku již jen necelých 300 tisíc domácností, tj. stejně jako v roce 2010.</w:t>
      </w:r>
    </w:p>
    <w:p w:rsidR="007F6C9B" w:rsidRPr="003258E2" w:rsidRDefault="00761AD2" w:rsidP="003258E2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7" w:name="_Toc524332492"/>
      <w:r w:rsidRPr="003258E2">
        <w:rPr>
          <w:color w:val="FFFFFF" w:themeColor="background1"/>
          <w:sz w:val="4"/>
          <w:szCs w:val="4"/>
        </w:rPr>
        <w:t>Graf A</w:t>
      </w:r>
      <w:r w:rsidRPr="003258E2">
        <w:rPr>
          <w:color w:val="FFFFFF" w:themeColor="background1"/>
          <w:sz w:val="4"/>
          <w:szCs w:val="4"/>
        </w:rPr>
        <w:fldChar w:fldCharType="begin"/>
      </w:r>
      <w:r w:rsidRPr="003258E2">
        <w:rPr>
          <w:color w:val="FFFFFF" w:themeColor="background1"/>
          <w:sz w:val="4"/>
          <w:szCs w:val="4"/>
        </w:rPr>
        <w:instrText xml:space="preserve"> SEQ Graf \* ARABIC </w:instrText>
      </w:r>
      <w:r w:rsidRPr="003258E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3</w:t>
      </w:r>
      <w:r w:rsidRPr="003258E2">
        <w:rPr>
          <w:color w:val="FFFFFF" w:themeColor="background1"/>
          <w:sz w:val="4"/>
          <w:szCs w:val="4"/>
        </w:rPr>
        <w:fldChar w:fldCharType="end"/>
      </w:r>
      <w:r w:rsidRPr="003258E2">
        <w:rPr>
          <w:color w:val="FFFFFF" w:themeColor="background1"/>
          <w:sz w:val="4"/>
          <w:szCs w:val="4"/>
        </w:rPr>
        <w:t xml:space="preserve"> Pevné </w:t>
      </w:r>
      <w:proofErr w:type="spellStart"/>
      <w:r w:rsidRPr="003258E2">
        <w:rPr>
          <w:color w:val="FFFFFF" w:themeColor="background1"/>
          <w:sz w:val="4"/>
          <w:szCs w:val="4"/>
          <w:lang w:val="en-US"/>
        </w:rPr>
        <w:t>telefonní</w:t>
      </w:r>
      <w:proofErr w:type="spellEnd"/>
      <w:r w:rsidRPr="003258E2">
        <w:rPr>
          <w:color w:val="FFFFFF" w:themeColor="background1"/>
          <w:sz w:val="4"/>
          <w:szCs w:val="4"/>
          <w:lang w:val="en-US"/>
        </w:rPr>
        <w:t xml:space="preserve"> </w:t>
      </w:r>
      <w:r w:rsidRPr="003258E2">
        <w:rPr>
          <w:color w:val="FFFFFF" w:themeColor="background1"/>
          <w:sz w:val="4"/>
          <w:szCs w:val="4"/>
        </w:rPr>
        <w:t>s</w:t>
      </w:r>
      <w:proofErr w:type="spellStart"/>
      <w:r w:rsidRPr="003258E2">
        <w:rPr>
          <w:color w:val="FFFFFF" w:themeColor="background1"/>
          <w:sz w:val="4"/>
          <w:szCs w:val="4"/>
          <w:lang w:val="en-US"/>
        </w:rPr>
        <w:t>tanic</w:t>
      </w:r>
      <w:proofErr w:type="spellEnd"/>
      <w:r w:rsidRPr="003258E2">
        <w:rPr>
          <w:color w:val="FFFFFF" w:themeColor="background1"/>
          <w:sz w:val="4"/>
          <w:szCs w:val="4"/>
        </w:rPr>
        <w:t>e (PSTN) v Česku podle jejich typu (uživatelů)</w:t>
      </w:r>
      <w:bookmarkEnd w:id="7"/>
      <w:r w:rsidRPr="003258E2">
        <w:rPr>
          <w:color w:val="FFFFFF" w:themeColor="background1"/>
          <w:sz w:val="4"/>
          <w:szCs w:val="4"/>
        </w:rPr>
        <w:t xml:space="preserve"> </w:t>
      </w:r>
    </w:p>
    <w:p w:rsidR="0045371C" w:rsidRPr="003258E2" w:rsidRDefault="007F6C9B" w:rsidP="001B7B0A">
      <w:pPr>
        <w:pStyle w:val="Titulek"/>
        <w:keepNext/>
        <w:spacing w:after="0"/>
        <w:ind w:left="4956" w:firstLine="709"/>
        <w:jc w:val="both"/>
        <w:rPr>
          <w:color w:val="FFFFFF" w:themeColor="background1"/>
          <w:sz w:val="4"/>
          <w:szCs w:val="4"/>
        </w:rPr>
      </w:pPr>
      <w:bookmarkStart w:id="8" w:name="_Toc524332493"/>
      <w:r w:rsidRPr="003258E2">
        <w:rPr>
          <w:color w:val="FFFFFF" w:themeColor="background1"/>
          <w:sz w:val="4"/>
          <w:szCs w:val="4"/>
        </w:rPr>
        <w:t>Graf A</w:t>
      </w:r>
      <w:r w:rsidRPr="003258E2">
        <w:rPr>
          <w:color w:val="FFFFFF" w:themeColor="background1"/>
          <w:sz w:val="4"/>
          <w:szCs w:val="4"/>
        </w:rPr>
        <w:fldChar w:fldCharType="begin"/>
      </w:r>
      <w:r w:rsidRPr="003258E2">
        <w:rPr>
          <w:color w:val="FFFFFF" w:themeColor="background1"/>
          <w:sz w:val="4"/>
          <w:szCs w:val="4"/>
        </w:rPr>
        <w:instrText xml:space="preserve"> SEQ Graf \* ARABIC </w:instrText>
      </w:r>
      <w:r w:rsidRPr="003258E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4</w:t>
      </w:r>
      <w:r w:rsidRPr="003258E2">
        <w:rPr>
          <w:color w:val="FFFFFF" w:themeColor="background1"/>
          <w:sz w:val="4"/>
          <w:szCs w:val="4"/>
        </w:rPr>
        <w:fldChar w:fldCharType="end"/>
      </w:r>
      <w:r w:rsidRPr="003258E2">
        <w:rPr>
          <w:color w:val="FFFFFF" w:themeColor="background1"/>
          <w:sz w:val="4"/>
          <w:szCs w:val="4"/>
        </w:rPr>
        <w:t xml:space="preserve"> </w:t>
      </w:r>
      <w:proofErr w:type="spellStart"/>
      <w:r w:rsidRPr="003258E2">
        <w:rPr>
          <w:color w:val="FFFFFF" w:themeColor="background1"/>
          <w:sz w:val="4"/>
          <w:szCs w:val="4"/>
        </w:rPr>
        <w:t>VoIP</w:t>
      </w:r>
      <w:proofErr w:type="spellEnd"/>
      <w:r w:rsidRPr="003258E2">
        <w:rPr>
          <w:color w:val="FFFFFF" w:themeColor="background1"/>
          <w:sz w:val="4"/>
          <w:szCs w:val="4"/>
        </w:rPr>
        <w:t xml:space="preserve"> účastníci v Česku podle jejich typu</w:t>
      </w:r>
      <w:bookmarkEnd w:id="8"/>
      <w:r w:rsidR="0045371C" w:rsidRPr="003258E2">
        <w:rPr>
          <w:color w:val="FFFFFF" w:themeColor="background1"/>
          <w:sz w:val="4"/>
          <w:szCs w:val="4"/>
        </w:rPr>
        <w:t xml:space="preserve"> </w:t>
      </w:r>
    </w:p>
    <w:p w:rsidR="0045371C" w:rsidRDefault="00471EB7" w:rsidP="00471EB7">
      <w:pPr>
        <w:pStyle w:val="Zkladntext"/>
        <w:spacing w:before="0" w:after="80" w:line="264" w:lineRule="auto"/>
      </w:pPr>
      <w:r w:rsidRPr="00326DBE">
        <w:rPr>
          <w:noProof/>
        </w:rPr>
        <w:drawing>
          <wp:inline distT="0" distB="0" distL="0" distR="0" wp14:anchorId="65058B12" wp14:editId="20B51AF7">
            <wp:extent cx="3024000" cy="2520000"/>
            <wp:effectExtent l="0" t="0" r="5080" b="0"/>
            <wp:docPr id="27" name="Graf 27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326DBE">
        <w:rPr>
          <w:noProof/>
          <w:lang w:eastAsia="en-US"/>
        </w:rPr>
        <w:t xml:space="preserve"> </w:t>
      </w:r>
      <w:r w:rsidR="0045371C" w:rsidRPr="00326DBE">
        <w:rPr>
          <w:noProof/>
        </w:rPr>
        <w:drawing>
          <wp:inline distT="0" distB="0" distL="0" distR="0" wp14:anchorId="5ED83F02" wp14:editId="28F6224B">
            <wp:extent cx="3024000" cy="2520000"/>
            <wp:effectExtent l="0" t="0" r="5080" b="13970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1EB7" w:rsidRPr="00326DBE" w:rsidRDefault="00471EB7" w:rsidP="00471EB7">
      <w:pPr>
        <w:pStyle w:val="Zkladntext"/>
        <w:spacing w:before="0" w:after="80" w:line="264" w:lineRule="auto"/>
        <w:rPr>
          <w:sz w:val="20"/>
          <w:szCs w:val="20"/>
        </w:rPr>
      </w:pP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  <w:tab w:val="num" w:pos="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>Prudký nárůst podílu mobil</w:t>
      </w:r>
      <w:r w:rsidR="00872D1B">
        <w:rPr>
          <w:sz w:val="20"/>
          <w:szCs w:val="20"/>
        </w:rPr>
        <w:t xml:space="preserve">ních telefonů v České republice, </w:t>
      </w:r>
      <w:r w:rsidRPr="00326DBE">
        <w:rPr>
          <w:sz w:val="20"/>
          <w:szCs w:val="20"/>
        </w:rPr>
        <w:t xml:space="preserve">byť s jistým časovým odstupem, nevybočoval z obecného trendu, jímž procházely telekomunikační služby v rozvinutých ekonomikách. </w:t>
      </w:r>
      <w:r w:rsidR="00872D1B">
        <w:rPr>
          <w:sz w:val="20"/>
          <w:szCs w:val="20"/>
        </w:rPr>
        <w:t xml:space="preserve">(Podrobněji </w:t>
      </w:r>
      <w:r w:rsidR="00872D1B">
        <w:rPr>
          <w:sz w:val="20"/>
          <w:szCs w:val="20"/>
        </w:rPr>
        <w:lastRenderedPageBreak/>
        <w:t>o</w:t>
      </w:r>
      <w:r w:rsidR="00151D30">
        <w:rPr>
          <w:sz w:val="20"/>
          <w:szCs w:val="20"/>
        </w:rPr>
        <w:t> </w:t>
      </w:r>
      <w:r w:rsidR="00872D1B">
        <w:rPr>
          <w:sz w:val="20"/>
          <w:szCs w:val="20"/>
        </w:rPr>
        <w:t xml:space="preserve">rozvoji mobilních telefonů v České republice v následující kapitole). </w:t>
      </w:r>
      <w:r w:rsidRPr="00326DBE">
        <w:rPr>
          <w:sz w:val="20"/>
          <w:szCs w:val="20"/>
        </w:rPr>
        <w:t xml:space="preserve">Výrazný pokles počtu pevných linek však představuje v mezinárodní komparaci jisté specifikum. Z pohledu </w:t>
      </w:r>
      <w:r w:rsidRPr="00326DBE">
        <w:rPr>
          <w:b/>
          <w:sz w:val="20"/>
          <w:szCs w:val="20"/>
        </w:rPr>
        <w:t>srovnání</w:t>
      </w:r>
      <w:r w:rsidRPr="00326DBE">
        <w:rPr>
          <w:sz w:val="20"/>
          <w:szCs w:val="20"/>
        </w:rPr>
        <w:t xml:space="preserve"> </w:t>
      </w:r>
      <w:r w:rsidRPr="00326DBE">
        <w:rPr>
          <w:b/>
          <w:sz w:val="20"/>
          <w:szCs w:val="20"/>
        </w:rPr>
        <w:t>zemí EU</w:t>
      </w:r>
      <w:r w:rsidRPr="00326DBE">
        <w:rPr>
          <w:sz w:val="20"/>
          <w:szCs w:val="20"/>
        </w:rPr>
        <w:t xml:space="preserve"> patří Česko mezi země s nejnižším počtem účastníků hlasových služeb v pevné telefonní síti </w:t>
      </w:r>
      <w:r w:rsidRPr="00326DBE">
        <w:rPr>
          <w:b/>
          <w:sz w:val="20"/>
          <w:szCs w:val="20"/>
        </w:rPr>
        <w:t>na 100 obyvatel</w:t>
      </w:r>
      <w:r w:rsidRPr="00326DBE">
        <w:rPr>
          <w:sz w:val="20"/>
          <w:szCs w:val="20"/>
        </w:rPr>
        <w:t xml:space="preserve">. V roce 2016 připadlo v Česku na 100 obyvatel pouze 16 účastníků hlasové služby v pevné telefonní síti prostřednictvím </w:t>
      </w:r>
      <w:r w:rsidR="0068503B">
        <w:rPr>
          <w:sz w:val="20"/>
          <w:szCs w:val="20"/>
        </w:rPr>
        <w:t xml:space="preserve">sítí </w:t>
      </w:r>
      <w:r w:rsidRPr="00326DBE">
        <w:rPr>
          <w:sz w:val="20"/>
          <w:szCs w:val="20"/>
        </w:rPr>
        <w:t xml:space="preserve">PSTN či </w:t>
      </w:r>
      <w:proofErr w:type="spellStart"/>
      <w:r w:rsidRPr="00326DBE">
        <w:rPr>
          <w:sz w:val="20"/>
          <w:szCs w:val="20"/>
        </w:rPr>
        <w:t>VoIP</w:t>
      </w:r>
      <w:proofErr w:type="spellEnd"/>
      <w:r w:rsidRPr="00326DBE">
        <w:rPr>
          <w:sz w:val="20"/>
          <w:szCs w:val="20"/>
        </w:rPr>
        <w:t xml:space="preserve"> technologie. Nižší hodnoty byly zaznamenány pouze na Slovensku a</w:t>
      </w:r>
      <w:r w:rsidR="00151D30">
        <w:rPr>
          <w:sz w:val="20"/>
          <w:szCs w:val="20"/>
        </w:rPr>
        <w:t> </w:t>
      </w:r>
      <w:r w:rsidRPr="00326DBE">
        <w:rPr>
          <w:sz w:val="20"/>
          <w:szCs w:val="20"/>
        </w:rPr>
        <w:t>ve Finsku. Je ovšem nutné doplnit, že již před nástupem mobilních GSM sítí koncem 90. let zaostávaly země tzv. východního bloku ve vybavenosti domácností pevnými linkami za západní částí Evropy.</w:t>
      </w: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  <w:tab w:val="num" w:pos="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Jsou to </w:t>
      </w:r>
      <w:r w:rsidRPr="0068503B">
        <w:rPr>
          <w:b/>
          <w:sz w:val="20"/>
          <w:szCs w:val="20"/>
        </w:rPr>
        <w:t>Skandinávské státy</w:t>
      </w:r>
      <w:r w:rsidRPr="00326DBE">
        <w:rPr>
          <w:sz w:val="20"/>
          <w:szCs w:val="20"/>
        </w:rPr>
        <w:t>, kde za posledních 10 let došlo k nejvyššímu poklesu v tomto ukazateli – ve Švédsku se počet účastníků hlasové služby prostřednictvím pevné telefonní sítě od roku 2006 snížil 2krát a v případě Finska dokonce více než 4krát. Naopak v </w:t>
      </w:r>
      <w:r w:rsidRPr="0068503B">
        <w:rPr>
          <w:b/>
          <w:sz w:val="20"/>
          <w:szCs w:val="20"/>
        </w:rPr>
        <w:t>největších zemích EU</w:t>
      </w:r>
      <w:r w:rsidRPr="00326DBE">
        <w:rPr>
          <w:sz w:val="20"/>
          <w:szCs w:val="20"/>
        </w:rPr>
        <w:t xml:space="preserve"> – v Německu, Francii a Velké Británii – na 100 obyvatel stále připadá více než 50 účastníků této služby.</w:t>
      </w:r>
    </w:p>
    <w:p w:rsidR="0096077C" w:rsidRPr="0096077C" w:rsidRDefault="0096077C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9" w:name="_Toc524332494"/>
      <w:r w:rsidRPr="0096077C">
        <w:rPr>
          <w:color w:val="FFFFFF" w:themeColor="background1"/>
          <w:sz w:val="4"/>
          <w:szCs w:val="4"/>
        </w:rPr>
        <w:t>Graf A</w:t>
      </w:r>
      <w:r w:rsidRPr="0096077C">
        <w:rPr>
          <w:color w:val="FFFFFF" w:themeColor="background1"/>
          <w:sz w:val="4"/>
          <w:szCs w:val="4"/>
        </w:rPr>
        <w:fldChar w:fldCharType="begin"/>
      </w:r>
      <w:r w:rsidRPr="0096077C">
        <w:rPr>
          <w:color w:val="FFFFFF" w:themeColor="background1"/>
          <w:sz w:val="4"/>
          <w:szCs w:val="4"/>
        </w:rPr>
        <w:instrText xml:space="preserve"> SEQ Graf \* ARABIC </w:instrText>
      </w:r>
      <w:r w:rsidRPr="0096077C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5</w:t>
      </w:r>
      <w:r w:rsidRPr="0096077C">
        <w:rPr>
          <w:color w:val="FFFFFF" w:themeColor="background1"/>
          <w:sz w:val="4"/>
          <w:szCs w:val="4"/>
        </w:rPr>
        <w:fldChar w:fldCharType="end"/>
      </w:r>
      <w:r w:rsidRPr="0096077C">
        <w:rPr>
          <w:color w:val="FFFFFF" w:themeColor="background1"/>
          <w:sz w:val="4"/>
          <w:szCs w:val="4"/>
        </w:rPr>
        <w:t xml:space="preserve"> </w:t>
      </w:r>
      <w:proofErr w:type="spellStart"/>
      <w:r w:rsidRPr="0096077C">
        <w:rPr>
          <w:color w:val="FFFFFF" w:themeColor="background1"/>
          <w:sz w:val="4"/>
          <w:szCs w:val="4"/>
          <w:lang w:val="en-US"/>
        </w:rPr>
        <w:t>Účastníci</w:t>
      </w:r>
      <w:proofErr w:type="spellEnd"/>
      <w:r w:rsidRPr="0096077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96077C">
        <w:rPr>
          <w:color w:val="FFFFFF" w:themeColor="background1"/>
          <w:sz w:val="4"/>
          <w:szCs w:val="4"/>
          <w:lang w:val="en-US"/>
        </w:rPr>
        <w:t>hlasové</w:t>
      </w:r>
      <w:proofErr w:type="spellEnd"/>
      <w:r w:rsidRPr="0096077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96077C">
        <w:rPr>
          <w:color w:val="FFFFFF" w:themeColor="background1"/>
          <w:sz w:val="4"/>
          <w:szCs w:val="4"/>
          <w:lang w:val="en-US"/>
        </w:rPr>
        <w:t>služby</w:t>
      </w:r>
      <w:proofErr w:type="spellEnd"/>
      <w:r w:rsidRPr="0096077C">
        <w:rPr>
          <w:color w:val="FFFFFF" w:themeColor="background1"/>
          <w:sz w:val="4"/>
          <w:szCs w:val="4"/>
          <w:lang w:val="en-US"/>
        </w:rPr>
        <w:t xml:space="preserve"> </w:t>
      </w:r>
      <w:r w:rsidRPr="0096077C">
        <w:rPr>
          <w:color w:val="FFFFFF" w:themeColor="background1"/>
          <w:sz w:val="4"/>
          <w:szCs w:val="4"/>
        </w:rPr>
        <w:t xml:space="preserve">(PSTN + </w:t>
      </w:r>
      <w:proofErr w:type="spellStart"/>
      <w:r w:rsidRPr="0096077C">
        <w:rPr>
          <w:color w:val="FFFFFF" w:themeColor="background1"/>
          <w:sz w:val="4"/>
          <w:szCs w:val="4"/>
        </w:rPr>
        <w:t>VoIP</w:t>
      </w:r>
      <w:proofErr w:type="spellEnd"/>
      <w:r w:rsidRPr="0096077C">
        <w:rPr>
          <w:color w:val="FFFFFF" w:themeColor="background1"/>
          <w:sz w:val="4"/>
          <w:szCs w:val="4"/>
        </w:rPr>
        <w:t xml:space="preserve">) </w:t>
      </w:r>
      <w:r w:rsidRPr="0096077C">
        <w:rPr>
          <w:color w:val="FFFFFF" w:themeColor="background1"/>
          <w:sz w:val="4"/>
          <w:szCs w:val="4"/>
          <w:lang w:val="en-US"/>
        </w:rPr>
        <w:t xml:space="preserve">v </w:t>
      </w:r>
      <w:proofErr w:type="spellStart"/>
      <w:r w:rsidRPr="0096077C">
        <w:rPr>
          <w:color w:val="FFFFFF" w:themeColor="background1"/>
          <w:sz w:val="4"/>
          <w:szCs w:val="4"/>
          <w:lang w:val="en-US"/>
        </w:rPr>
        <w:t>pevné</w:t>
      </w:r>
      <w:proofErr w:type="spellEnd"/>
      <w:r w:rsidRPr="0096077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96077C">
        <w:rPr>
          <w:color w:val="FFFFFF" w:themeColor="background1"/>
          <w:sz w:val="4"/>
          <w:szCs w:val="4"/>
          <w:lang w:val="en-US"/>
        </w:rPr>
        <w:t>síti</w:t>
      </w:r>
      <w:proofErr w:type="spellEnd"/>
      <w:r w:rsidRPr="0096077C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96077C">
        <w:rPr>
          <w:color w:val="FFFFFF" w:themeColor="background1"/>
          <w:sz w:val="4"/>
          <w:szCs w:val="4"/>
          <w:lang w:val="en-US"/>
        </w:rPr>
        <w:t>zemích</w:t>
      </w:r>
      <w:proofErr w:type="spellEnd"/>
      <w:r w:rsidRPr="0096077C">
        <w:rPr>
          <w:color w:val="FFFFFF" w:themeColor="background1"/>
          <w:sz w:val="4"/>
          <w:szCs w:val="4"/>
          <w:lang w:val="en-US"/>
        </w:rPr>
        <w:t xml:space="preserve"> EU</w:t>
      </w:r>
      <w:bookmarkEnd w:id="9"/>
    </w:p>
    <w:p w:rsidR="00471EB7" w:rsidRPr="00326DBE" w:rsidRDefault="00471EB7" w:rsidP="00471EB7">
      <w:pPr>
        <w:pStyle w:val="Zkladntext"/>
        <w:spacing w:before="0" w:after="8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058E66AD" wp14:editId="43059CA4">
            <wp:extent cx="5972810" cy="2762250"/>
            <wp:effectExtent l="0" t="0" r="889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1EB7" w:rsidRPr="007445D0" w:rsidRDefault="00471EB7" w:rsidP="003B3A31">
      <w:pPr>
        <w:pStyle w:val="Nadpis3"/>
        <w:spacing w:before="240" w:after="120" w:line="264" w:lineRule="auto"/>
        <w:rPr>
          <w:szCs w:val="18"/>
        </w:rPr>
      </w:pPr>
      <w:bookmarkStart w:id="10" w:name="_Toc525303518"/>
      <w:r w:rsidRPr="007445D0">
        <w:rPr>
          <w:szCs w:val="18"/>
        </w:rPr>
        <w:t>Počet účastníků v mobilní telefonní síti</w:t>
      </w:r>
      <w:r w:rsidRPr="007445D0">
        <w:rPr>
          <w:szCs w:val="18"/>
          <w:vertAlign w:val="superscript"/>
        </w:rPr>
        <w:footnoteReference w:id="5"/>
      </w:r>
      <w:bookmarkEnd w:id="10"/>
    </w:p>
    <w:p w:rsidR="0068503B" w:rsidRDefault="00471EB7" w:rsidP="0068503B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>Mobilní telefon je technologie, která v posledních letech zaznamenala největší nárůst počtu svých uživatelů. Na konci roku 2016, 35 let po uvedení první mobilní sítě do provozu v</w:t>
      </w:r>
      <w:r w:rsidR="00B06238">
        <w:rPr>
          <w:i/>
          <w:sz w:val="20"/>
        </w:rPr>
        <w:t xml:space="preserve"> Saudské Arábii, </w:t>
      </w:r>
      <w:r w:rsidRPr="00326DBE">
        <w:rPr>
          <w:i/>
          <w:sz w:val="20"/>
        </w:rPr>
        <w:t xml:space="preserve">Švédsku a v Norsku, podle odhadu Mezinárodní telekomunikační unie, překročil počet </w:t>
      </w:r>
      <w:r>
        <w:rPr>
          <w:i/>
          <w:sz w:val="20"/>
        </w:rPr>
        <w:t xml:space="preserve">celosvětově </w:t>
      </w:r>
      <w:r w:rsidRPr="00326DBE">
        <w:rPr>
          <w:i/>
          <w:sz w:val="20"/>
        </w:rPr>
        <w:t>používaných mobilních telefonů počet obyvatel naší planety. Od roku 2005 vzrostl jejich počet téměř 3,5krát z 2,2 na 7,5 miliard v</w:t>
      </w:r>
      <w:r w:rsidR="00580DC8">
        <w:rPr>
          <w:i/>
          <w:sz w:val="20"/>
        </w:rPr>
        <w:t> </w:t>
      </w:r>
      <w:r w:rsidRPr="00326DBE">
        <w:rPr>
          <w:i/>
          <w:sz w:val="20"/>
        </w:rPr>
        <w:t>roce 2016. Zatímco ve vyspělých zemích je již několik let trh s mobilními telefony téměř nasycen, v</w:t>
      </w:r>
      <w:r w:rsidR="00580DC8">
        <w:rPr>
          <w:i/>
          <w:sz w:val="20"/>
        </w:rPr>
        <w:t> </w:t>
      </w:r>
      <w:r w:rsidRPr="00326DBE">
        <w:rPr>
          <w:i/>
          <w:sz w:val="20"/>
        </w:rPr>
        <w:t>rozvojových zemích zaznamenáváme st</w:t>
      </w:r>
      <w:r>
        <w:rPr>
          <w:i/>
          <w:sz w:val="20"/>
        </w:rPr>
        <w:t>á</w:t>
      </w:r>
      <w:r w:rsidRPr="00326DBE">
        <w:rPr>
          <w:i/>
          <w:sz w:val="20"/>
        </w:rPr>
        <w:t xml:space="preserve">le výrazné nárůsty počtu uživatelů této technologie. </w:t>
      </w:r>
    </w:p>
    <w:p w:rsidR="00471EB7" w:rsidRPr="00326DBE" w:rsidRDefault="00471EB7" w:rsidP="0068503B">
      <w:pPr>
        <w:pStyle w:val="Zkladntext"/>
        <w:numPr>
          <w:ilvl w:val="0"/>
          <w:numId w:val="23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>Nástup mobilních telefonů v Česku se datuje k roku 1991, kdy společnost Eurotel spustila první komerční NMT</w:t>
      </w:r>
      <w:r w:rsidR="0068503B">
        <w:rPr>
          <w:sz w:val="20"/>
          <w:szCs w:val="20"/>
        </w:rPr>
        <w:t xml:space="preserve"> </w:t>
      </w:r>
      <w:r w:rsidR="0068503B" w:rsidRPr="0068503B">
        <w:rPr>
          <w:sz w:val="20"/>
          <w:szCs w:val="20"/>
        </w:rPr>
        <w:t>(</w:t>
      </w:r>
      <w:proofErr w:type="spellStart"/>
      <w:r w:rsidR="0068503B" w:rsidRPr="0068503B">
        <w:rPr>
          <w:iCs/>
          <w:sz w:val="20"/>
          <w:szCs w:val="20"/>
        </w:rPr>
        <w:t>Nordic</w:t>
      </w:r>
      <w:proofErr w:type="spellEnd"/>
      <w:r w:rsidR="0068503B" w:rsidRPr="0068503B">
        <w:rPr>
          <w:iCs/>
          <w:sz w:val="20"/>
          <w:szCs w:val="20"/>
        </w:rPr>
        <w:t xml:space="preserve"> Mobile </w:t>
      </w:r>
      <w:proofErr w:type="spellStart"/>
      <w:r w:rsidR="0068503B" w:rsidRPr="0068503B">
        <w:rPr>
          <w:iCs/>
          <w:sz w:val="20"/>
          <w:szCs w:val="20"/>
        </w:rPr>
        <w:t>Telephony</w:t>
      </w:r>
      <w:proofErr w:type="spellEnd"/>
      <w:r w:rsidR="0068503B" w:rsidRPr="0068503B">
        <w:rPr>
          <w:iCs/>
          <w:sz w:val="20"/>
          <w:szCs w:val="20"/>
        </w:rPr>
        <w:t>)</w:t>
      </w:r>
      <w:r w:rsidRPr="00326DBE">
        <w:rPr>
          <w:sz w:val="20"/>
          <w:szCs w:val="20"/>
        </w:rPr>
        <w:t xml:space="preserve"> síť. Tehdy se jednalo o poměrně drahé řešení s limitovaným pokrytím. Její služby tak prvních několik let využívalo jen relativně málo zákazníků. Skutečná revoluce nastává o</w:t>
      </w:r>
      <w:r w:rsidR="00580DC8">
        <w:rPr>
          <w:sz w:val="20"/>
          <w:szCs w:val="20"/>
        </w:rPr>
        <w:t> </w:t>
      </w:r>
      <w:r w:rsidRPr="00326DBE">
        <w:rPr>
          <w:sz w:val="20"/>
          <w:szCs w:val="20"/>
        </w:rPr>
        <w:t>pět let později, kdy je i v Česku spuštěn Globální systém pro mobilní telekomunikaci – první GSM síť. Pozdější příchod třetího mobilního operátora v roce 2000 znamenal snížení cen a již nic nebránilo rychlému rozšiřování mobilních telefonů do české společnosti. Výše uvedené informace se projevily i</w:t>
      </w:r>
      <w:r w:rsidR="00580DC8">
        <w:rPr>
          <w:sz w:val="20"/>
          <w:szCs w:val="20"/>
        </w:rPr>
        <w:t> </w:t>
      </w:r>
      <w:r w:rsidRPr="00326DBE">
        <w:rPr>
          <w:sz w:val="20"/>
          <w:szCs w:val="20"/>
        </w:rPr>
        <w:t>na</w:t>
      </w:r>
      <w:r w:rsidR="00580DC8">
        <w:rPr>
          <w:sz w:val="20"/>
          <w:szCs w:val="20"/>
        </w:rPr>
        <w:t> </w:t>
      </w:r>
      <w:r w:rsidRPr="00326DBE">
        <w:rPr>
          <w:sz w:val="20"/>
          <w:szCs w:val="20"/>
        </w:rPr>
        <w:t xml:space="preserve">statistikách. Například v roce </w:t>
      </w:r>
      <w:r w:rsidR="0096077C">
        <w:rPr>
          <w:sz w:val="20"/>
          <w:szCs w:val="20"/>
        </w:rPr>
        <w:t>1</w:t>
      </w:r>
      <w:r w:rsidRPr="00326DBE">
        <w:rPr>
          <w:sz w:val="20"/>
          <w:szCs w:val="20"/>
        </w:rPr>
        <w:t xml:space="preserve">996 v Česku meziročně vzrostl </w:t>
      </w:r>
      <w:r w:rsidRPr="00326DBE">
        <w:rPr>
          <w:b/>
          <w:sz w:val="20"/>
          <w:szCs w:val="20"/>
        </w:rPr>
        <w:t>počet aktivních SIM karet</w:t>
      </w:r>
      <w:r w:rsidRPr="00326DBE">
        <w:rPr>
          <w:rStyle w:val="Znakapoznpodarou"/>
          <w:b/>
          <w:sz w:val="20"/>
          <w:szCs w:val="20"/>
        </w:rPr>
        <w:footnoteReference w:id="6"/>
      </w:r>
      <w:r w:rsidRPr="00326DBE">
        <w:rPr>
          <w:sz w:val="20"/>
          <w:szCs w:val="20"/>
        </w:rPr>
        <w:t xml:space="preserve"> z 50 tisíc na 200 tisíc a mezi roky 1999 a 2000 dokonce ze dvou miliónů na více </w:t>
      </w:r>
      <w:r w:rsidR="004B2A0F">
        <w:rPr>
          <w:sz w:val="20"/>
          <w:szCs w:val="20"/>
        </w:rPr>
        <w:t>než čtyři milióny.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lastRenderedPageBreak/>
        <w:t>V počátcích nástupu mobilních sítí, kdy se aktivní SIM karty vyskytovaly prakticky jen v mobilních telefonech a jen minimum lidí mělo více mobilů, počet aktivních SIM karet věrně odpovídal počtu zákazníků, resp. uživatelů mobilních telefonů. V poslední době už ale tento předpoklad zdaleka neplatí. Ke konci roku 2016 sice počet aktivních SIM karet dosáhl hodnoty 135 kusů na 100 obyvatel, mobilní telefon však využívalo 98 % obyvatel Če</w:t>
      </w:r>
      <w:r w:rsidR="004B2A0F">
        <w:rPr>
          <w:sz w:val="20"/>
          <w:szCs w:val="20"/>
        </w:rPr>
        <w:t>ské republiky starších 16 let.</w:t>
      </w:r>
    </w:p>
    <w:p w:rsidR="0096077C" w:rsidRPr="004F1191" w:rsidRDefault="0096077C" w:rsidP="003258E2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1" w:name="_Toc524332495"/>
      <w:r w:rsidRPr="004F1191">
        <w:rPr>
          <w:color w:val="FFFFFF" w:themeColor="background1"/>
          <w:sz w:val="4"/>
          <w:szCs w:val="4"/>
        </w:rPr>
        <w:t>Graf A</w:t>
      </w:r>
      <w:r w:rsidRPr="004F1191">
        <w:rPr>
          <w:color w:val="FFFFFF" w:themeColor="background1"/>
          <w:sz w:val="4"/>
          <w:szCs w:val="4"/>
        </w:rPr>
        <w:fldChar w:fldCharType="begin"/>
      </w:r>
      <w:r w:rsidRPr="004F1191">
        <w:rPr>
          <w:color w:val="FFFFFF" w:themeColor="background1"/>
          <w:sz w:val="4"/>
          <w:szCs w:val="4"/>
        </w:rPr>
        <w:instrText xml:space="preserve"> SEQ Graf \* ARABIC </w:instrText>
      </w:r>
      <w:r w:rsidRPr="004F1191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6</w:t>
      </w:r>
      <w:r w:rsidRPr="004F1191">
        <w:rPr>
          <w:color w:val="FFFFFF" w:themeColor="background1"/>
          <w:sz w:val="4"/>
          <w:szCs w:val="4"/>
        </w:rPr>
        <w:fldChar w:fldCharType="end"/>
      </w:r>
      <w:r w:rsidRPr="004F1191">
        <w:rPr>
          <w:color w:val="FFFFFF" w:themeColor="background1"/>
          <w:sz w:val="4"/>
          <w:szCs w:val="4"/>
        </w:rPr>
        <w:t xml:space="preserve"> Účastníci hlasové služby v Česku v mobilní telefonní síti – aktivní SIM karty</w:t>
      </w:r>
      <w:bookmarkEnd w:id="11"/>
      <w:r w:rsidRPr="004F1191">
        <w:rPr>
          <w:color w:val="FFFFFF" w:themeColor="background1"/>
          <w:sz w:val="4"/>
          <w:szCs w:val="4"/>
        </w:rPr>
        <w:t xml:space="preserve"> </w:t>
      </w:r>
    </w:p>
    <w:p w:rsidR="0096077C" w:rsidRPr="004F1191" w:rsidRDefault="004F1191" w:rsidP="001B7B0A">
      <w:pPr>
        <w:pStyle w:val="Titulek"/>
        <w:keepNext/>
        <w:spacing w:after="0"/>
        <w:ind w:left="4247" w:firstLine="709"/>
        <w:jc w:val="both"/>
        <w:rPr>
          <w:color w:val="FFFFFF" w:themeColor="background1"/>
          <w:sz w:val="4"/>
          <w:szCs w:val="4"/>
        </w:rPr>
      </w:pPr>
      <w:bookmarkStart w:id="12" w:name="_Toc524332496"/>
      <w:r w:rsidRPr="004F1191">
        <w:rPr>
          <w:color w:val="FFFFFF" w:themeColor="background1"/>
          <w:sz w:val="4"/>
          <w:szCs w:val="4"/>
        </w:rPr>
        <w:t>G</w:t>
      </w:r>
      <w:r w:rsidR="0096077C" w:rsidRPr="004F1191">
        <w:rPr>
          <w:color w:val="FFFFFF" w:themeColor="background1"/>
          <w:sz w:val="4"/>
          <w:szCs w:val="4"/>
        </w:rPr>
        <w:t>raf A</w:t>
      </w:r>
      <w:r w:rsidR="0096077C" w:rsidRPr="004F1191">
        <w:rPr>
          <w:color w:val="FFFFFF" w:themeColor="background1"/>
          <w:sz w:val="4"/>
          <w:szCs w:val="4"/>
        </w:rPr>
        <w:fldChar w:fldCharType="begin"/>
      </w:r>
      <w:r w:rsidR="0096077C" w:rsidRPr="004F1191">
        <w:rPr>
          <w:color w:val="FFFFFF" w:themeColor="background1"/>
          <w:sz w:val="4"/>
          <w:szCs w:val="4"/>
        </w:rPr>
        <w:instrText xml:space="preserve"> SEQ Graf \* ARABIC </w:instrText>
      </w:r>
      <w:r w:rsidR="0096077C" w:rsidRPr="004F1191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7</w:t>
      </w:r>
      <w:r w:rsidR="0096077C" w:rsidRPr="004F1191">
        <w:rPr>
          <w:color w:val="FFFFFF" w:themeColor="background1"/>
          <w:sz w:val="4"/>
          <w:szCs w:val="4"/>
        </w:rPr>
        <w:fldChar w:fldCharType="end"/>
      </w:r>
      <w:r w:rsidRPr="004F1191">
        <w:rPr>
          <w:color w:val="FFFFFF" w:themeColor="background1"/>
          <w:sz w:val="4"/>
          <w:szCs w:val="4"/>
        </w:rPr>
        <w:t xml:space="preserve"> </w:t>
      </w:r>
      <w:r w:rsidR="0096077C" w:rsidRPr="004F1191">
        <w:rPr>
          <w:color w:val="FFFFFF" w:themeColor="background1"/>
          <w:sz w:val="4"/>
          <w:szCs w:val="4"/>
        </w:rPr>
        <w:t>SIM karty používané v Česku pro M2M služby</w:t>
      </w:r>
      <w:bookmarkEnd w:id="12"/>
    </w:p>
    <w:p w:rsidR="00471EB7" w:rsidRPr="00326DBE" w:rsidRDefault="00471EB7" w:rsidP="00471EB7">
      <w:pPr>
        <w:pStyle w:val="Zkladntext"/>
        <w:spacing w:before="0" w:after="10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49571658" wp14:editId="2D0114D9">
            <wp:extent cx="3024000" cy="2520000"/>
            <wp:effectExtent l="0" t="0" r="5080" b="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326DBE">
        <w:rPr>
          <w:noProof/>
          <w:lang w:eastAsia="en-US"/>
        </w:rPr>
        <w:t xml:space="preserve"> </w:t>
      </w:r>
      <w:r w:rsidRPr="00326DBE">
        <w:rPr>
          <w:noProof/>
        </w:rPr>
        <w:drawing>
          <wp:inline distT="0" distB="0" distL="0" distR="0" wp14:anchorId="1D898B5F" wp14:editId="40B47A60">
            <wp:extent cx="3024000" cy="2520000"/>
            <wp:effectExtent l="0" t="0" r="5080" b="0"/>
            <wp:docPr id="32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5A2F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>Prvotní fáze rozšiřování mobilních telefonů v sítích GSM byla v České republice spojena především s </w:t>
      </w:r>
      <w:r w:rsidRPr="00326DBE">
        <w:rPr>
          <w:b/>
          <w:sz w:val="20"/>
          <w:szCs w:val="20"/>
        </w:rPr>
        <w:t>předplacenými (</w:t>
      </w:r>
      <w:proofErr w:type="spellStart"/>
      <w:r w:rsidRPr="00326DBE">
        <w:rPr>
          <w:b/>
          <w:sz w:val="20"/>
          <w:szCs w:val="20"/>
        </w:rPr>
        <w:t>pre-paid</w:t>
      </w:r>
      <w:proofErr w:type="spellEnd"/>
      <w:r w:rsidRPr="00326DBE">
        <w:rPr>
          <w:b/>
          <w:sz w:val="20"/>
          <w:szCs w:val="20"/>
        </w:rPr>
        <w:t>)</w:t>
      </w:r>
      <w:r w:rsidRPr="00326DBE">
        <w:rPr>
          <w:sz w:val="20"/>
          <w:szCs w:val="20"/>
        </w:rPr>
        <w:t xml:space="preserve"> SIM kartami. Na těchto kartách je uložen </w:t>
      </w:r>
      <w:proofErr w:type="spellStart"/>
      <w:r w:rsidRPr="00326DBE">
        <w:rPr>
          <w:sz w:val="20"/>
          <w:szCs w:val="20"/>
        </w:rPr>
        <w:t>přednabitý</w:t>
      </w:r>
      <w:proofErr w:type="spellEnd"/>
      <w:r w:rsidRPr="00326DBE">
        <w:rPr>
          <w:sz w:val="20"/>
          <w:szCs w:val="20"/>
        </w:rPr>
        <w:t xml:space="preserve"> </w:t>
      </w:r>
      <w:r w:rsidRPr="00326DBE">
        <w:rPr>
          <w:i/>
          <w:sz w:val="20"/>
          <w:szCs w:val="20"/>
        </w:rPr>
        <w:t>kredit</w:t>
      </w:r>
      <w:r w:rsidRPr="00326DBE">
        <w:rPr>
          <w:sz w:val="20"/>
          <w:szCs w:val="20"/>
        </w:rPr>
        <w:t xml:space="preserve">, jejž zákazník spotřebovává v souladu s tarifem nabízených služeb operátora. Alternativu představují </w:t>
      </w:r>
      <w:r w:rsidRPr="00326DBE">
        <w:rPr>
          <w:b/>
          <w:sz w:val="20"/>
          <w:szCs w:val="20"/>
        </w:rPr>
        <w:t>tarifní (post-</w:t>
      </w:r>
      <w:proofErr w:type="spellStart"/>
      <w:r w:rsidRPr="00326DBE">
        <w:rPr>
          <w:b/>
          <w:sz w:val="20"/>
          <w:szCs w:val="20"/>
        </w:rPr>
        <w:t>paid</w:t>
      </w:r>
      <w:proofErr w:type="spellEnd"/>
      <w:r w:rsidRPr="00326DBE">
        <w:rPr>
          <w:b/>
          <w:sz w:val="20"/>
          <w:szCs w:val="20"/>
        </w:rPr>
        <w:t>)</w:t>
      </w:r>
      <w:r w:rsidRPr="00326DBE">
        <w:rPr>
          <w:sz w:val="20"/>
          <w:szCs w:val="20"/>
        </w:rPr>
        <w:t xml:space="preserve"> karty, které zákazník získá uzavřením smlouvy s operátorem, kdy je za služby placeno na konci dohodnutého období (zpravidla měsíce). 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>Ještě v roce 2002 byl počet aktivních předplacených karet téměř 2krát vyšší než těch tarifních. Od roku 2008 však zaznamenávají pozvolný pokles. Naopak nadále roste počet uživatelů mobilních telefonů používajících post-</w:t>
      </w:r>
      <w:proofErr w:type="spellStart"/>
      <w:r w:rsidRPr="00326DBE">
        <w:rPr>
          <w:sz w:val="20"/>
          <w:szCs w:val="20"/>
        </w:rPr>
        <w:t>paid</w:t>
      </w:r>
      <w:proofErr w:type="spellEnd"/>
      <w:r w:rsidRPr="00326DBE">
        <w:rPr>
          <w:sz w:val="20"/>
          <w:szCs w:val="20"/>
        </w:rPr>
        <w:t xml:space="preserve"> tarify a </w:t>
      </w:r>
      <w:r w:rsidR="00FE5959">
        <w:rPr>
          <w:sz w:val="20"/>
          <w:szCs w:val="20"/>
        </w:rPr>
        <w:t xml:space="preserve">v rámci nich </w:t>
      </w:r>
      <w:r w:rsidRPr="00326DBE">
        <w:rPr>
          <w:sz w:val="20"/>
          <w:szCs w:val="20"/>
        </w:rPr>
        <w:t xml:space="preserve">dochází k rozšiřování tzv. </w:t>
      </w:r>
      <w:r w:rsidRPr="00215A2F">
        <w:rPr>
          <w:b/>
          <w:sz w:val="20"/>
          <w:szCs w:val="20"/>
        </w:rPr>
        <w:t>neomezených (</w:t>
      </w:r>
      <w:proofErr w:type="spellStart"/>
      <w:r w:rsidRPr="00215A2F">
        <w:rPr>
          <w:b/>
          <w:sz w:val="20"/>
          <w:szCs w:val="20"/>
        </w:rPr>
        <w:t>flatových</w:t>
      </w:r>
      <w:proofErr w:type="spellEnd"/>
      <w:r w:rsidRPr="00215A2F">
        <w:rPr>
          <w:b/>
          <w:sz w:val="20"/>
          <w:szCs w:val="20"/>
        </w:rPr>
        <w:t>) tarifů</w:t>
      </w:r>
      <w:r w:rsidR="004C302C">
        <w:rPr>
          <w:b/>
          <w:sz w:val="20"/>
          <w:szCs w:val="20"/>
        </w:rPr>
        <w:t xml:space="preserve"> </w:t>
      </w:r>
      <w:r w:rsidR="004C302C" w:rsidRPr="00FE5959">
        <w:rPr>
          <w:sz w:val="20"/>
          <w:szCs w:val="20"/>
        </w:rPr>
        <w:t>umožňujících</w:t>
      </w:r>
      <w:r w:rsidR="00FE5959">
        <w:rPr>
          <w:sz w:val="20"/>
          <w:szCs w:val="20"/>
        </w:rPr>
        <w:t xml:space="preserve"> nejčastěji neomezené volání a posílání SMS zpráv</w:t>
      </w:r>
      <w:r w:rsidRPr="00326DBE">
        <w:rPr>
          <w:sz w:val="20"/>
          <w:szCs w:val="20"/>
        </w:rPr>
        <w:t>. V roce 2009 poprvé více než polovina (54 %) všech aktivních SIM karet fungovala na základě paušálního tarifu. Smluvním úvazkům dává přednost stále více zákazníků a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>v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>souča</w:t>
      </w:r>
      <w:r>
        <w:rPr>
          <w:sz w:val="20"/>
          <w:szCs w:val="20"/>
        </w:rPr>
        <w:t>s</w:t>
      </w:r>
      <w:r w:rsidRPr="00326DBE">
        <w:rPr>
          <w:sz w:val="20"/>
          <w:szCs w:val="20"/>
        </w:rPr>
        <w:t>nosti jasně převažují nad předplacenými kartami – ke konci roku 2016 vzrostl jejich podíl na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>rovné dvě třetiny</w:t>
      </w:r>
      <w:r w:rsidR="00FE5959">
        <w:rPr>
          <w:sz w:val="20"/>
          <w:szCs w:val="20"/>
        </w:rPr>
        <w:t xml:space="preserve"> všech aktivních SIM karet v ČR</w:t>
      </w:r>
      <w:r w:rsidRPr="00326DBE">
        <w:rPr>
          <w:sz w:val="20"/>
          <w:szCs w:val="20"/>
        </w:rPr>
        <w:t>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V roce 2016 připadly z 14,3 mil. aktivně využívaných SIM karet dvě třetiny (9,2 mil.) na nepodnikající fyzické osoby </w:t>
      </w:r>
      <w:r w:rsidR="00215A2F">
        <w:rPr>
          <w:sz w:val="20"/>
          <w:szCs w:val="20"/>
        </w:rPr>
        <w:t>(</w:t>
      </w:r>
      <w:r w:rsidRPr="00326DBE">
        <w:rPr>
          <w:b/>
          <w:sz w:val="20"/>
          <w:szCs w:val="20"/>
        </w:rPr>
        <w:t>občany</w:t>
      </w:r>
      <w:r w:rsidR="00215A2F">
        <w:rPr>
          <w:b/>
          <w:sz w:val="20"/>
          <w:szCs w:val="20"/>
        </w:rPr>
        <w:t>)</w:t>
      </w:r>
      <w:r w:rsidRPr="00326DBE">
        <w:rPr>
          <w:sz w:val="20"/>
          <w:szCs w:val="20"/>
        </w:rPr>
        <w:t xml:space="preserve"> a zbylá třetina (5,1 mil.) na právnické a podnikající fyzické osoby</w:t>
      </w:r>
      <w:r w:rsidR="00215A2F">
        <w:rPr>
          <w:sz w:val="20"/>
          <w:szCs w:val="20"/>
        </w:rPr>
        <w:t xml:space="preserve"> (</w:t>
      </w:r>
      <w:r w:rsidRPr="00326DBE">
        <w:rPr>
          <w:sz w:val="20"/>
          <w:szCs w:val="20"/>
        </w:rPr>
        <w:t>firmy</w:t>
      </w:r>
      <w:r w:rsidR="00215A2F">
        <w:rPr>
          <w:sz w:val="20"/>
          <w:szCs w:val="20"/>
        </w:rPr>
        <w:t>)</w:t>
      </w:r>
      <w:r w:rsidRPr="00326DBE">
        <w:rPr>
          <w:sz w:val="20"/>
          <w:szCs w:val="20"/>
        </w:rPr>
        <w:t>.</w:t>
      </w:r>
    </w:p>
    <w:p w:rsidR="00471EB7" w:rsidRPr="00326DBE" w:rsidRDefault="00471EB7" w:rsidP="003B3A31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Služby mobilních operátorů jsou častěji využívány i k rutinní datové komunikaci mezi zařízeními bez přímého zásahu člověka, k čemuž jsou využívány tzv. </w:t>
      </w:r>
      <w:r w:rsidRPr="00326DBE">
        <w:rPr>
          <w:b/>
          <w:sz w:val="20"/>
          <w:szCs w:val="20"/>
        </w:rPr>
        <w:t xml:space="preserve">M2M </w:t>
      </w:r>
      <w:r w:rsidRPr="00215A2F">
        <w:rPr>
          <w:b/>
          <w:sz w:val="20"/>
          <w:szCs w:val="20"/>
        </w:rPr>
        <w:t>SIM karty</w:t>
      </w:r>
      <w:r w:rsidRPr="00326DBE">
        <w:rPr>
          <w:rStyle w:val="Znakapoznpodarou"/>
          <w:b/>
          <w:sz w:val="20"/>
          <w:szCs w:val="20"/>
        </w:rPr>
        <w:footnoteReference w:id="7"/>
      </w:r>
      <w:r w:rsidRPr="00326DBE">
        <w:rPr>
          <w:sz w:val="20"/>
          <w:szCs w:val="20"/>
        </w:rPr>
        <w:t xml:space="preserve">. V roce 2016 bylo v Česku zaznamenáno již 838 tis. karet tohoto typu oproti 179 tisícům v roce 2010. V souvislosti s rozvojem </w:t>
      </w:r>
      <w:r w:rsidRPr="00215A2F">
        <w:rPr>
          <w:b/>
          <w:sz w:val="20"/>
          <w:szCs w:val="20"/>
        </w:rPr>
        <w:t>Internetu věcí (</w:t>
      </w:r>
      <w:proofErr w:type="spellStart"/>
      <w:r w:rsidRPr="00215A2F">
        <w:rPr>
          <w:b/>
          <w:sz w:val="20"/>
          <w:szCs w:val="20"/>
        </w:rPr>
        <w:t>IoT</w:t>
      </w:r>
      <w:proofErr w:type="spellEnd"/>
      <w:r w:rsidRPr="00215A2F">
        <w:rPr>
          <w:b/>
          <w:sz w:val="20"/>
          <w:szCs w:val="20"/>
        </w:rPr>
        <w:t>)</w:t>
      </w:r>
      <w:r w:rsidR="00FE5959">
        <w:rPr>
          <w:rStyle w:val="Znakapoznpodarou"/>
          <w:b/>
          <w:sz w:val="20"/>
          <w:szCs w:val="20"/>
        </w:rPr>
        <w:footnoteReference w:id="8"/>
      </w:r>
      <w:r w:rsidRPr="00215A2F">
        <w:rPr>
          <w:b/>
          <w:sz w:val="20"/>
          <w:szCs w:val="20"/>
        </w:rPr>
        <w:t xml:space="preserve"> </w:t>
      </w:r>
      <w:r w:rsidRPr="00326DBE">
        <w:rPr>
          <w:sz w:val="20"/>
          <w:szCs w:val="20"/>
        </w:rPr>
        <w:t xml:space="preserve">se do budoucna předpokládá výrazný nárůst </w:t>
      </w:r>
      <w:r w:rsidR="00FA28A2">
        <w:rPr>
          <w:sz w:val="20"/>
          <w:szCs w:val="20"/>
        </w:rPr>
        <w:t xml:space="preserve">M2M </w:t>
      </w:r>
      <w:r w:rsidRPr="00326DBE">
        <w:rPr>
          <w:sz w:val="20"/>
          <w:szCs w:val="20"/>
        </w:rPr>
        <w:t xml:space="preserve">SIM karet používaných pro M2M služby. Dle údajů OECD připadlo v roce 2017 ze </w:t>
      </w:r>
      <w:r w:rsidRPr="00326DBE">
        <w:rPr>
          <w:b/>
          <w:sz w:val="20"/>
          <w:szCs w:val="20"/>
        </w:rPr>
        <w:t>zemí EU</w:t>
      </w:r>
      <w:r w:rsidRPr="00326DBE">
        <w:rPr>
          <w:sz w:val="20"/>
          <w:szCs w:val="20"/>
        </w:rPr>
        <w:t xml:space="preserve"> nejvíce SIM karet na 100 obyvatel ve</w:t>
      </w:r>
      <w:r w:rsidR="00580DC8">
        <w:rPr>
          <w:sz w:val="20"/>
          <w:szCs w:val="20"/>
        </w:rPr>
        <w:t> </w:t>
      </w:r>
      <w:r w:rsidRPr="00326DBE">
        <w:rPr>
          <w:sz w:val="20"/>
          <w:szCs w:val="20"/>
        </w:rPr>
        <w:t>Skandinávských zemích a dále pak v Nizozemsku, Francii a Estonsku.</w:t>
      </w:r>
    </w:p>
    <w:p w:rsidR="00272ECF" w:rsidRDefault="00272ECF">
      <w:pPr>
        <w:spacing w:after="0" w:line="240" w:lineRule="auto"/>
        <w:rPr>
          <w:rFonts w:eastAsia="MS Gothic"/>
          <w:b/>
          <w:bCs/>
          <w:color w:val="009BB4"/>
          <w:sz w:val="24"/>
        </w:rPr>
      </w:pPr>
      <w:r>
        <w:br w:type="page"/>
      </w:r>
    </w:p>
    <w:p w:rsidR="00471EB7" w:rsidRPr="00990989" w:rsidRDefault="00471EB7" w:rsidP="003B3A31">
      <w:pPr>
        <w:pStyle w:val="Nadpis3"/>
        <w:spacing w:before="240" w:after="120" w:line="264" w:lineRule="auto"/>
      </w:pPr>
      <w:bookmarkStart w:id="13" w:name="_Toc525303519"/>
      <w:r w:rsidRPr="00990989">
        <w:lastRenderedPageBreak/>
        <w:t>Hlasový provoz v pevné a mobilní telefonní síti</w:t>
      </w:r>
      <w:bookmarkEnd w:id="13"/>
    </w:p>
    <w:p w:rsidR="00471EB7" w:rsidRPr="00326DBE" w:rsidRDefault="00471EB7" w:rsidP="00471EB7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 xml:space="preserve">Dalším zajímavým pohledem pro analýzu telekomunikační infrastruktury je vývoj provozu v těchto sítích, který může být charakterizován počtem uskutečněných hovorů a provolaných minut. Vývoj hlasových služeb poskytovaných v pevných sítích </w:t>
      </w:r>
      <w:r>
        <w:rPr>
          <w:i/>
          <w:sz w:val="20"/>
        </w:rPr>
        <w:t>je v Čes</w:t>
      </w:r>
      <w:r w:rsidRPr="00326DBE">
        <w:rPr>
          <w:i/>
          <w:sz w:val="20"/>
        </w:rPr>
        <w:t>ké republice i nadále ovlivňován především rozvojem mo</w:t>
      </w:r>
      <w:r w:rsidRPr="00326DBE">
        <w:rPr>
          <w:i/>
          <w:sz w:val="20"/>
        </w:rPr>
        <w:softHyphen/>
        <w:t xml:space="preserve">bilních hlasových služeb. I v průběhu roku 2016 pokračoval v oblasti hlasových služeb v pevné síti trend rozšiřování nabídky služeb prostřednictvím technologie </w:t>
      </w:r>
      <w:proofErr w:type="spellStart"/>
      <w:r w:rsidRPr="00326DBE">
        <w:rPr>
          <w:i/>
          <w:sz w:val="20"/>
        </w:rPr>
        <w:t>VoIP</w:t>
      </w:r>
      <w:proofErr w:type="spellEnd"/>
      <w:r w:rsidRPr="00326DBE">
        <w:rPr>
          <w:i/>
          <w:sz w:val="20"/>
        </w:rPr>
        <w:t>. Charakteristické je i další prohlubo</w:t>
      </w:r>
      <w:r w:rsidRPr="00326DBE">
        <w:rPr>
          <w:i/>
          <w:sz w:val="20"/>
        </w:rPr>
        <w:softHyphen/>
        <w:t>vání konvergence. To se projevuje na trhu zejména nabídkou různých forem tzv. komunikačních balíčků, kdy v rámci jednoho balíčku může uživatel provozovat například mobilní a pevnou linku společně s pevným připojením k int</w:t>
      </w:r>
      <w:r w:rsidR="003B3A31">
        <w:rPr>
          <w:i/>
          <w:sz w:val="20"/>
        </w:rPr>
        <w:t>ernetu a internetovou televizí.</w:t>
      </w:r>
    </w:p>
    <w:p w:rsidR="00471EB7" w:rsidRPr="00326DBE" w:rsidRDefault="008603EE" w:rsidP="003B3A31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Redukce </w:t>
      </w:r>
      <w:r w:rsidR="00471EB7" w:rsidRPr="00326DBE">
        <w:rPr>
          <w:sz w:val="20"/>
          <w:szCs w:val="20"/>
        </w:rPr>
        <w:t xml:space="preserve">počtu </w:t>
      </w:r>
      <w:r w:rsidR="00471EB7" w:rsidRPr="008603EE">
        <w:rPr>
          <w:b/>
          <w:sz w:val="20"/>
          <w:szCs w:val="20"/>
        </w:rPr>
        <w:t>pevných PSTN linek</w:t>
      </w:r>
      <w:r w:rsidR="00471EB7" w:rsidRPr="00326DBE">
        <w:rPr>
          <w:sz w:val="20"/>
          <w:szCs w:val="20"/>
        </w:rPr>
        <w:t xml:space="preserve"> </w:t>
      </w:r>
      <w:r>
        <w:rPr>
          <w:sz w:val="20"/>
          <w:szCs w:val="20"/>
        </w:rPr>
        <w:t>byla doprovázena</w:t>
      </w:r>
      <w:r w:rsidR="00471EB7" w:rsidRPr="00326DBE">
        <w:rPr>
          <w:sz w:val="20"/>
          <w:szCs w:val="20"/>
        </w:rPr>
        <w:t xml:space="preserve"> poklesem celkového počtu </w:t>
      </w:r>
      <w:r w:rsidR="00471EB7" w:rsidRPr="00326DBE">
        <w:rPr>
          <w:b/>
          <w:sz w:val="20"/>
          <w:szCs w:val="20"/>
        </w:rPr>
        <w:t>provolaných minut</w:t>
      </w:r>
      <w:r w:rsidR="00471EB7" w:rsidRPr="00326DBE">
        <w:rPr>
          <w:b/>
          <w:i/>
          <w:sz w:val="22"/>
          <w:vertAlign w:val="superscript"/>
        </w:rPr>
        <w:footnoteReference w:id="9"/>
      </w:r>
      <w:r w:rsidR="00471EB7" w:rsidRPr="00326DBE">
        <w:rPr>
          <w:b/>
          <w:sz w:val="20"/>
          <w:szCs w:val="20"/>
        </w:rPr>
        <w:t xml:space="preserve"> </w:t>
      </w:r>
      <w:r w:rsidR="00471EB7" w:rsidRPr="00326DBE">
        <w:rPr>
          <w:sz w:val="20"/>
          <w:szCs w:val="20"/>
        </w:rPr>
        <w:t xml:space="preserve">z těchto sítí. Ještě v roce 2005 bylo na pevných linkách (PSTN) v České republice v rámci národního telefonního provozu provoláno 7,2 mld. minut, tzn. přibližně stejně jako z mobilních telefonů. V roce 2016 to byla již jen 1 miliarda minut. Dalších 590 mil. odchozích minut </w:t>
      </w:r>
      <w:r>
        <w:rPr>
          <w:sz w:val="20"/>
          <w:szCs w:val="20"/>
        </w:rPr>
        <w:t xml:space="preserve">v roce 2016 </w:t>
      </w:r>
      <w:r w:rsidR="00471EB7" w:rsidRPr="00326DBE">
        <w:rPr>
          <w:sz w:val="20"/>
          <w:szCs w:val="20"/>
        </w:rPr>
        <w:t xml:space="preserve">připadalo na </w:t>
      </w:r>
      <w:r w:rsidR="00471EB7" w:rsidRPr="00326DBE">
        <w:rPr>
          <w:b/>
          <w:sz w:val="20"/>
          <w:szCs w:val="20"/>
        </w:rPr>
        <w:t xml:space="preserve">pevné </w:t>
      </w:r>
      <w:proofErr w:type="spellStart"/>
      <w:r w:rsidR="00471EB7" w:rsidRPr="00326DBE">
        <w:rPr>
          <w:b/>
          <w:sz w:val="20"/>
          <w:szCs w:val="20"/>
        </w:rPr>
        <w:t>VoIP</w:t>
      </w:r>
      <w:proofErr w:type="spellEnd"/>
      <w:r w:rsidR="00471EB7" w:rsidRPr="00326DBE">
        <w:rPr>
          <w:b/>
          <w:sz w:val="20"/>
          <w:szCs w:val="20"/>
        </w:rPr>
        <w:t xml:space="preserve"> linky</w:t>
      </w:r>
      <w:r w:rsidR="00471EB7" w:rsidRPr="00326DBE">
        <w:rPr>
          <w:sz w:val="20"/>
          <w:szCs w:val="20"/>
        </w:rPr>
        <w:t xml:space="preserve">, které však v tomto ohledu také zaznamenávají od roku 2014 postupný pokles. 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Jestliže v roce 2006 bylo v Česku z jedné klasické pevné telefonní linky (PSTN) provoláno </w:t>
      </w:r>
      <w:r w:rsidRPr="008603EE">
        <w:rPr>
          <w:sz w:val="20"/>
          <w:szCs w:val="20"/>
        </w:rPr>
        <w:t>v průměru za rok 1 959 minut</w:t>
      </w:r>
      <w:r w:rsidRPr="00326DBE">
        <w:rPr>
          <w:sz w:val="20"/>
          <w:szCs w:val="20"/>
        </w:rPr>
        <w:t xml:space="preserve"> o deset let později to bylo o cca 40 % méně, tj. 1 215 minut. V případě hovorů prostřednictvím technologie </w:t>
      </w:r>
      <w:proofErr w:type="spellStart"/>
      <w:r w:rsidRPr="00326DBE">
        <w:rPr>
          <w:sz w:val="20"/>
          <w:szCs w:val="20"/>
        </w:rPr>
        <w:t>VoIP</w:t>
      </w:r>
      <w:proofErr w:type="spellEnd"/>
      <w:r w:rsidRPr="00326DBE">
        <w:rPr>
          <w:sz w:val="20"/>
          <w:szCs w:val="20"/>
        </w:rPr>
        <w:t xml:space="preserve"> připadlo v roce 2016 na jednoho uživatele této technologie v průměru 644 provolaných minut, což je o 300 minut méně než před pěti lety v roce 2011.</w:t>
      </w:r>
    </w:p>
    <w:p w:rsidR="00471EB7" w:rsidRPr="003258E2" w:rsidRDefault="00471EB7" w:rsidP="003258E2">
      <w:pPr>
        <w:pStyle w:val="Zkladntext"/>
        <w:numPr>
          <w:ilvl w:val="0"/>
          <w:numId w:val="14"/>
        </w:numPr>
        <w:tabs>
          <w:tab w:val="clear" w:pos="360"/>
          <w:tab w:val="num" w:pos="284"/>
          <w:tab w:val="left" w:pos="2552"/>
        </w:tabs>
        <w:spacing w:before="0" w:after="80" w:line="264" w:lineRule="auto"/>
        <w:ind w:left="284" w:hanging="284"/>
        <w:rPr>
          <w:color w:val="000000" w:themeColor="text1"/>
          <w:sz w:val="16"/>
          <w:szCs w:val="16"/>
        </w:rPr>
      </w:pPr>
      <w:r w:rsidRPr="00326DBE">
        <w:rPr>
          <w:sz w:val="20"/>
          <w:szCs w:val="20"/>
        </w:rPr>
        <w:t>Hlasový provoz v </w:t>
      </w:r>
      <w:r w:rsidRPr="00326DBE">
        <w:rPr>
          <w:b/>
          <w:sz w:val="20"/>
          <w:szCs w:val="20"/>
        </w:rPr>
        <w:t>mobilní síti</w:t>
      </w:r>
      <w:r w:rsidRPr="00326DBE">
        <w:rPr>
          <w:sz w:val="20"/>
          <w:szCs w:val="20"/>
        </w:rPr>
        <w:t xml:space="preserve"> se naopak těší rostoucímu zájmu. Během posledních let roste nejen počet hovorů, ale také </w:t>
      </w:r>
      <w:r w:rsidRPr="008603EE">
        <w:rPr>
          <w:b/>
          <w:sz w:val="20"/>
          <w:szCs w:val="20"/>
        </w:rPr>
        <w:t>počet provolaných minut</w:t>
      </w:r>
      <w:r w:rsidRPr="00326DBE">
        <w:rPr>
          <w:sz w:val="20"/>
          <w:szCs w:val="20"/>
        </w:rPr>
        <w:t>, jejichž nárůst je dokonce výraznější než v případě počtu hovorů. V roce 2016 bylo z veřejné mobilní telefonní sítě provoláno celkem 20,9 mld. minut, tj. o 120 % více než před deseti lety, kdy lidé v Česku z mobilu provolali 9,6 miliard minut.</w:t>
      </w:r>
    </w:p>
    <w:p w:rsidR="005A27BE" w:rsidRPr="003258E2" w:rsidRDefault="005A27BE" w:rsidP="003258E2">
      <w:pPr>
        <w:pStyle w:val="Titulek"/>
        <w:keepNext/>
        <w:tabs>
          <w:tab w:val="left" w:pos="2552"/>
        </w:tabs>
        <w:spacing w:after="0"/>
        <w:jc w:val="both"/>
        <w:rPr>
          <w:color w:val="FFFFFF" w:themeColor="background1"/>
          <w:sz w:val="4"/>
          <w:szCs w:val="4"/>
        </w:rPr>
      </w:pPr>
      <w:bookmarkStart w:id="14" w:name="_Toc524332497"/>
      <w:r w:rsidRPr="003258E2">
        <w:rPr>
          <w:color w:val="FFFFFF" w:themeColor="background1"/>
          <w:sz w:val="4"/>
          <w:szCs w:val="4"/>
        </w:rPr>
        <w:t>Graf A</w:t>
      </w:r>
      <w:r w:rsidRPr="003258E2">
        <w:rPr>
          <w:color w:val="FFFFFF" w:themeColor="background1"/>
          <w:sz w:val="4"/>
          <w:szCs w:val="4"/>
        </w:rPr>
        <w:fldChar w:fldCharType="begin"/>
      </w:r>
      <w:r w:rsidRPr="003258E2">
        <w:rPr>
          <w:color w:val="FFFFFF" w:themeColor="background1"/>
          <w:sz w:val="4"/>
          <w:szCs w:val="4"/>
        </w:rPr>
        <w:instrText xml:space="preserve"> SEQ Graf \* ARABIC </w:instrText>
      </w:r>
      <w:r w:rsidRPr="003258E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8</w:t>
      </w:r>
      <w:r w:rsidRPr="003258E2">
        <w:rPr>
          <w:color w:val="FFFFFF" w:themeColor="background1"/>
          <w:sz w:val="4"/>
          <w:szCs w:val="4"/>
        </w:rPr>
        <w:fldChar w:fldCharType="end"/>
      </w:r>
      <w:r w:rsidRPr="003258E2">
        <w:rPr>
          <w:color w:val="FFFFFF" w:themeColor="background1"/>
          <w:sz w:val="4"/>
          <w:szCs w:val="4"/>
        </w:rPr>
        <w:t xml:space="preserve"> Hlasový provoz generovaný v Česku v pevné telefonní síti</w:t>
      </w:r>
      <w:bookmarkEnd w:id="14"/>
    </w:p>
    <w:p w:rsidR="003258E2" w:rsidRPr="003258E2" w:rsidRDefault="003258E2" w:rsidP="003258E2">
      <w:pPr>
        <w:pStyle w:val="Titulek"/>
        <w:keepNext/>
        <w:tabs>
          <w:tab w:val="left" w:pos="2552"/>
        </w:tabs>
        <w:spacing w:after="0"/>
        <w:jc w:val="both"/>
        <w:rPr>
          <w:color w:val="FFFFFF" w:themeColor="background1"/>
          <w:sz w:val="4"/>
          <w:szCs w:val="4"/>
        </w:rPr>
      </w:pPr>
      <w:r w:rsidRPr="003258E2">
        <w:rPr>
          <w:color w:val="FFFFFF" w:themeColor="background1"/>
          <w:sz w:val="4"/>
          <w:szCs w:val="4"/>
        </w:rPr>
        <w:tab/>
      </w:r>
      <w:r w:rsidRPr="003258E2">
        <w:rPr>
          <w:color w:val="FFFFFF" w:themeColor="background1"/>
          <w:sz w:val="4"/>
          <w:szCs w:val="4"/>
        </w:rPr>
        <w:tab/>
      </w:r>
      <w:r w:rsidRPr="003258E2">
        <w:rPr>
          <w:color w:val="FFFFFF" w:themeColor="background1"/>
          <w:sz w:val="4"/>
          <w:szCs w:val="4"/>
        </w:rPr>
        <w:tab/>
      </w:r>
      <w:r w:rsidRPr="003258E2">
        <w:rPr>
          <w:color w:val="FFFFFF" w:themeColor="background1"/>
          <w:sz w:val="4"/>
          <w:szCs w:val="4"/>
        </w:rPr>
        <w:tab/>
      </w:r>
      <w:r w:rsidRPr="003258E2">
        <w:rPr>
          <w:color w:val="FFFFFF" w:themeColor="background1"/>
          <w:sz w:val="4"/>
          <w:szCs w:val="4"/>
        </w:rPr>
        <w:tab/>
      </w:r>
      <w:bookmarkStart w:id="15" w:name="_Toc524332498"/>
      <w:r w:rsidRPr="003258E2">
        <w:rPr>
          <w:color w:val="FFFFFF" w:themeColor="background1"/>
          <w:sz w:val="4"/>
          <w:szCs w:val="4"/>
        </w:rPr>
        <w:t>Graf A</w:t>
      </w:r>
      <w:r w:rsidRPr="003258E2">
        <w:rPr>
          <w:color w:val="FFFFFF" w:themeColor="background1"/>
          <w:sz w:val="4"/>
          <w:szCs w:val="4"/>
        </w:rPr>
        <w:fldChar w:fldCharType="begin"/>
      </w:r>
      <w:r w:rsidRPr="003258E2">
        <w:rPr>
          <w:color w:val="FFFFFF" w:themeColor="background1"/>
          <w:sz w:val="4"/>
          <w:szCs w:val="4"/>
        </w:rPr>
        <w:instrText xml:space="preserve"> SEQ Graf \* ARABIC </w:instrText>
      </w:r>
      <w:r w:rsidRPr="003258E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9</w:t>
      </w:r>
      <w:r w:rsidRPr="003258E2">
        <w:rPr>
          <w:color w:val="FFFFFF" w:themeColor="background1"/>
          <w:sz w:val="4"/>
          <w:szCs w:val="4"/>
        </w:rPr>
        <w:fldChar w:fldCharType="end"/>
      </w:r>
      <w:r w:rsidRPr="003258E2">
        <w:rPr>
          <w:color w:val="FFFFFF" w:themeColor="background1"/>
          <w:sz w:val="4"/>
          <w:szCs w:val="4"/>
        </w:rPr>
        <w:t xml:space="preserve"> Hlasový provoz generovaný v Česku v mobilní telefonní síti</w:t>
      </w:r>
      <w:bookmarkEnd w:id="15"/>
    </w:p>
    <w:p w:rsidR="00471EB7" w:rsidRPr="00326DBE" w:rsidRDefault="00471EB7" w:rsidP="00471EB7">
      <w:pPr>
        <w:pStyle w:val="Zkladntext"/>
        <w:spacing w:before="0" w:after="10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66C79DEC" wp14:editId="130259E7">
            <wp:extent cx="3024000" cy="2340000"/>
            <wp:effectExtent l="0" t="0" r="5080" b="3175"/>
            <wp:docPr id="16" name="Graf 16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326DBE">
        <w:rPr>
          <w:noProof/>
          <w:lang w:eastAsia="en-US"/>
        </w:rPr>
        <w:t xml:space="preserve"> </w:t>
      </w:r>
      <w:r w:rsidRPr="00326DBE">
        <w:rPr>
          <w:noProof/>
        </w:rPr>
        <w:drawing>
          <wp:inline distT="0" distB="0" distL="0" distR="0" wp14:anchorId="5C3FAD5C" wp14:editId="11EA9657">
            <wp:extent cx="3024000" cy="2340000"/>
            <wp:effectExtent l="0" t="0" r="5080" b="3175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V roce 2016 připadlo více (55 %) provolaných minut na telefonní přístroje (aktivní SIM karty) ve vlastnictví </w:t>
      </w:r>
      <w:r w:rsidRPr="00326DBE">
        <w:rPr>
          <w:b/>
          <w:sz w:val="20"/>
          <w:szCs w:val="20"/>
        </w:rPr>
        <w:t>nepodnikajících fyzických osob</w:t>
      </w:r>
      <w:r w:rsidRPr="00326DBE">
        <w:rPr>
          <w:sz w:val="20"/>
          <w:szCs w:val="20"/>
        </w:rPr>
        <w:t xml:space="preserve"> (11,6 miliard minut) než na ty ve vlastnictví právnických a podnikajících fyzických osob (9,4 miliard minut).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b/>
          <w:sz w:val="20"/>
          <w:szCs w:val="20"/>
        </w:rPr>
        <w:t>Odchozí hovory</w:t>
      </w:r>
      <w:r w:rsidRPr="00326DBE">
        <w:rPr>
          <w:sz w:val="20"/>
          <w:szCs w:val="20"/>
        </w:rPr>
        <w:t xml:space="preserve"> z mobilních telefonů v rámci národního volání v roce 2016 nejčastěji mířily </w:t>
      </w:r>
      <w:r w:rsidRPr="00326DBE">
        <w:rPr>
          <w:b/>
          <w:sz w:val="20"/>
          <w:szCs w:val="20"/>
        </w:rPr>
        <w:t>do vlastní mobilní sítě</w:t>
      </w:r>
      <w:r w:rsidRPr="00326DBE">
        <w:rPr>
          <w:sz w:val="20"/>
          <w:szCs w:val="20"/>
        </w:rPr>
        <w:t xml:space="preserve"> (11,5 mld. minut; 56 %), méně </w:t>
      </w:r>
      <w:r w:rsidRPr="00326DBE">
        <w:rPr>
          <w:b/>
          <w:sz w:val="20"/>
          <w:szCs w:val="20"/>
        </w:rPr>
        <w:t>do mobilní sítě jiného operátora</w:t>
      </w:r>
      <w:r w:rsidRPr="00326DBE">
        <w:rPr>
          <w:sz w:val="20"/>
          <w:szCs w:val="20"/>
        </w:rPr>
        <w:t xml:space="preserve"> (8,1 mld. minut; 40 %). Celková délka odchozích hovorů z mobilního telefonu na pevnou linku je v porovnání s tím minimální (826 mil. minut; 4 %).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Ke stále častějšímu využívání služeb mobilních operátorů přispívá i snižování cen. Za posledních deset let klesla průměrná maloobchodní </w:t>
      </w:r>
      <w:r w:rsidRPr="00326DBE">
        <w:rPr>
          <w:b/>
          <w:sz w:val="20"/>
          <w:szCs w:val="20"/>
        </w:rPr>
        <w:t>cena za minutu volání</w:t>
      </w:r>
      <w:r w:rsidRPr="00326DBE">
        <w:rPr>
          <w:sz w:val="20"/>
          <w:szCs w:val="20"/>
        </w:rPr>
        <w:t xml:space="preserve"> pětinásobně, a to ze 4,84 Kč v roce 2016 na 0,98 Kč v roce 2016. Při interpretaci výsledků je ovšem nutné brát v potaz, že mezi koncové zákazníky se počítají i firmy s vlastními (zpravidla výhodnějšími) tarify. </w:t>
      </w:r>
    </w:p>
    <w:p w:rsidR="004F1191" w:rsidRDefault="004F1191" w:rsidP="004F1191">
      <w:pPr>
        <w:pStyle w:val="Titulek"/>
        <w:keepNext/>
        <w:jc w:val="both"/>
        <w:sectPr w:rsidR="004F1191" w:rsidSect="006D0F31">
          <w:type w:val="continuous"/>
          <w:pgSz w:w="11906" w:h="16838" w:code="9"/>
          <w:pgMar w:top="1134" w:right="1134" w:bottom="1418" w:left="1134" w:header="680" w:footer="680" w:gutter="0"/>
          <w:cols w:space="708"/>
          <w:docGrid w:linePitch="360"/>
        </w:sectPr>
      </w:pPr>
    </w:p>
    <w:p w:rsidR="004F1191" w:rsidRPr="004F1191" w:rsidRDefault="004F1191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6" w:name="_Toc524332499"/>
      <w:r w:rsidRPr="004F1191">
        <w:rPr>
          <w:color w:val="FFFFFF" w:themeColor="background1"/>
          <w:sz w:val="4"/>
          <w:szCs w:val="4"/>
        </w:rPr>
        <w:lastRenderedPageBreak/>
        <w:t>Graf A</w:t>
      </w:r>
      <w:r w:rsidRPr="004F1191">
        <w:rPr>
          <w:color w:val="FFFFFF" w:themeColor="background1"/>
          <w:sz w:val="4"/>
          <w:szCs w:val="4"/>
        </w:rPr>
        <w:fldChar w:fldCharType="begin"/>
      </w:r>
      <w:r w:rsidRPr="004F1191">
        <w:rPr>
          <w:color w:val="FFFFFF" w:themeColor="background1"/>
          <w:sz w:val="4"/>
          <w:szCs w:val="4"/>
        </w:rPr>
        <w:instrText xml:space="preserve"> SEQ Graf \* ARABIC </w:instrText>
      </w:r>
      <w:r w:rsidRPr="004F1191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10</w:t>
      </w:r>
      <w:r w:rsidRPr="004F1191">
        <w:rPr>
          <w:color w:val="FFFFFF" w:themeColor="background1"/>
          <w:sz w:val="4"/>
          <w:szCs w:val="4"/>
        </w:rPr>
        <w:fldChar w:fldCharType="end"/>
      </w:r>
      <w:r w:rsidRPr="004F1191">
        <w:rPr>
          <w:color w:val="FFFFFF" w:themeColor="background1"/>
          <w:sz w:val="4"/>
          <w:szCs w:val="4"/>
        </w:rPr>
        <w:t xml:space="preserve"> Národní volání v mobilní síti v Česku podle typu volané sítě</w:t>
      </w:r>
      <w:bookmarkEnd w:id="16"/>
      <w:r w:rsidRPr="004F1191">
        <w:rPr>
          <w:color w:val="FFFFFF" w:themeColor="background1"/>
          <w:sz w:val="4"/>
          <w:szCs w:val="4"/>
        </w:rPr>
        <w:t xml:space="preserve"> </w:t>
      </w:r>
    </w:p>
    <w:p w:rsidR="004F1191" w:rsidRPr="004F1191" w:rsidRDefault="00471EB7" w:rsidP="00471EB7">
      <w:pPr>
        <w:pStyle w:val="Zkladntext"/>
        <w:spacing w:before="0" w:after="100" w:line="264" w:lineRule="auto"/>
        <w:rPr>
          <w:color w:val="FFFFFF" w:themeColor="background1"/>
        </w:rPr>
      </w:pPr>
      <w:r w:rsidRPr="004F1191">
        <w:rPr>
          <w:noProof/>
          <w:color w:val="FFFFFF" w:themeColor="background1"/>
        </w:rPr>
        <w:drawing>
          <wp:inline distT="0" distB="0" distL="0" distR="0" wp14:anchorId="6F963B01" wp14:editId="7162866D">
            <wp:extent cx="3024000" cy="2340000"/>
            <wp:effectExtent l="0" t="0" r="5080" b="3175"/>
            <wp:docPr id="18" name="Graf 18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4F1191">
        <w:rPr>
          <w:noProof/>
          <w:color w:val="FFFFFF" w:themeColor="background1"/>
          <w:lang w:eastAsia="en-US"/>
        </w:rPr>
        <w:t xml:space="preserve"> </w:t>
      </w:r>
    </w:p>
    <w:p w:rsidR="004F1191" w:rsidRPr="004F1191" w:rsidRDefault="004F1191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7" w:name="_Toc524332500"/>
      <w:r w:rsidRPr="004F1191">
        <w:rPr>
          <w:color w:val="FFFFFF" w:themeColor="background1"/>
          <w:sz w:val="4"/>
          <w:szCs w:val="4"/>
        </w:rPr>
        <w:lastRenderedPageBreak/>
        <w:t>Graf A</w:t>
      </w:r>
      <w:r w:rsidRPr="004F1191">
        <w:rPr>
          <w:color w:val="FFFFFF" w:themeColor="background1"/>
          <w:sz w:val="4"/>
          <w:szCs w:val="4"/>
        </w:rPr>
        <w:fldChar w:fldCharType="begin"/>
      </w:r>
      <w:r w:rsidRPr="004F1191">
        <w:rPr>
          <w:color w:val="FFFFFF" w:themeColor="background1"/>
          <w:sz w:val="4"/>
          <w:szCs w:val="4"/>
        </w:rPr>
        <w:instrText xml:space="preserve"> SEQ Graf \* ARABIC </w:instrText>
      </w:r>
      <w:r w:rsidRPr="004F1191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11</w:t>
      </w:r>
      <w:r w:rsidRPr="004F1191">
        <w:rPr>
          <w:color w:val="FFFFFF" w:themeColor="background1"/>
          <w:sz w:val="4"/>
          <w:szCs w:val="4"/>
        </w:rPr>
        <w:fldChar w:fldCharType="end"/>
      </w:r>
      <w:r w:rsidRPr="004F1191">
        <w:rPr>
          <w:color w:val="FFFFFF" w:themeColor="background1"/>
          <w:sz w:val="4"/>
          <w:szCs w:val="4"/>
        </w:rPr>
        <w:t xml:space="preserve"> Průměrná cena za minutu volání v Česku v mobilní síti</w:t>
      </w:r>
      <w:bookmarkEnd w:id="17"/>
    </w:p>
    <w:p w:rsidR="00471EB7" w:rsidRPr="00326DBE" w:rsidRDefault="00471EB7" w:rsidP="00471EB7">
      <w:pPr>
        <w:pStyle w:val="Zkladntext"/>
        <w:spacing w:before="0" w:after="10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6BCC078B" wp14:editId="0D4A5AC2">
            <wp:extent cx="3024000" cy="2340000"/>
            <wp:effectExtent l="0" t="0" r="5080" b="3175"/>
            <wp:docPr id="36" name="Graf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F1191" w:rsidRDefault="004F1191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  <w:sectPr w:rsidR="004F1191" w:rsidSect="004F1191">
          <w:type w:val="continuous"/>
          <w:pgSz w:w="11906" w:h="16838" w:code="9"/>
          <w:pgMar w:top="1134" w:right="1134" w:bottom="1418" w:left="1134" w:header="680" w:footer="680" w:gutter="0"/>
          <w:cols w:num="2" w:space="708"/>
          <w:docGrid w:linePitch="360"/>
        </w:sectPr>
      </w:pP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lastRenderedPageBreak/>
        <w:t>Na klesajícím trendu poklesu průměrné minutové ceny se podílí jak klesající průměrná cena pro nepodnikající (rezidentní) subjekty, tak klesající průměrná cena pro podnikající subjekty. Z výroční zprávy ČTÚ za rok 2017 plyne, že v polovině roku 2017 byla průměrná cena pro spotřebitele u tří mobilních operátorů v agregované podobě přibližně o 63,5 % vyšší ve srovnání s podnikajícími subjekty – 1,21 Kč/minutu v případě nepodnikajících subjektů, 0,74 Kč/minutu v případě podnikajících subjektů.</w:t>
      </w:r>
    </w:p>
    <w:p w:rsidR="00471EB7" w:rsidRPr="00326DBE" w:rsidRDefault="00471EB7" w:rsidP="003B3A31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b/>
          <w:bCs/>
          <w:i/>
          <w:sz w:val="20"/>
          <w:szCs w:val="20"/>
        </w:rPr>
      </w:pPr>
      <w:r w:rsidRPr="00326DBE">
        <w:rPr>
          <w:sz w:val="20"/>
          <w:szCs w:val="20"/>
        </w:rPr>
        <w:t xml:space="preserve">Při pohledu na </w:t>
      </w:r>
      <w:r w:rsidRPr="00326DBE">
        <w:rPr>
          <w:b/>
          <w:sz w:val="20"/>
          <w:szCs w:val="20"/>
        </w:rPr>
        <w:t>národní telefonní provoz</w:t>
      </w:r>
      <w:r w:rsidR="00FA28A2">
        <w:rPr>
          <w:rStyle w:val="Znakapoznpodarou"/>
          <w:b/>
          <w:sz w:val="20"/>
          <w:szCs w:val="20"/>
        </w:rPr>
        <w:footnoteReference w:id="10"/>
      </w:r>
      <w:r w:rsidRPr="00326DBE">
        <w:rPr>
          <w:b/>
          <w:sz w:val="20"/>
          <w:szCs w:val="20"/>
        </w:rPr>
        <w:t xml:space="preserve"> v zemích EU na účastníka</w:t>
      </w:r>
      <w:r w:rsidRPr="00326DBE">
        <w:rPr>
          <w:sz w:val="20"/>
          <w:szCs w:val="20"/>
        </w:rPr>
        <w:t xml:space="preserve"> (tj. aktivní SIM karta používaná pro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>hlasové služby) mezi roky 2012 a 2016,</w:t>
      </w:r>
      <w:r w:rsidRPr="00326DBE">
        <w:rPr>
          <w:b/>
          <w:sz w:val="20"/>
          <w:szCs w:val="20"/>
        </w:rPr>
        <w:t xml:space="preserve"> </w:t>
      </w:r>
      <w:r w:rsidRPr="00326DBE">
        <w:rPr>
          <w:sz w:val="20"/>
          <w:szCs w:val="20"/>
        </w:rPr>
        <w:t xml:space="preserve">dochází </w:t>
      </w:r>
      <w:r w:rsidRPr="00326DBE">
        <w:rPr>
          <w:b/>
          <w:sz w:val="20"/>
          <w:szCs w:val="20"/>
        </w:rPr>
        <w:t>v mobilní síti</w:t>
      </w:r>
      <w:r w:rsidRPr="00326DBE">
        <w:rPr>
          <w:sz w:val="20"/>
          <w:szCs w:val="20"/>
        </w:rPr>
        <w:t xml:space="preserve"> na rozdíl od pevné sítě, ve většině zemí EU mezi danými roky</w:t>
      </w:r>
      <w:r w:rsidRPr="00326DBE">
        <w:rPr>
          <w:b/>
          <w:sz w:val="20"/>
          <w:szCs w:val="20"/>
        </w:rPr>
        <w:t xml:space="preserve"> k meziročním růstům</w:t>
      </w:r>
      <w:r w:rsidRPr="00326DBE">
        <w:rPr>
          <w:sz w:val="20"/>
          <w:szCs w:val="20"/>
        </w:rPr>
        <w:t>. Ročním provozem na jednoho účastníka v mobilní síti za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>rok 2016 sice ČR patřila k nejnižším v Evropě, avšak tento údaj částečně ovlivňuje počet používaných SIM karet v jednotlivých zemích používaných pro telefonní hovory.</w:t>
      </w:r>
    </w:p>
    <w:p w:rsidR="00471EB7" w:rsidRPr="00990989" w:rsidRDefault="00471EB7" w:rsidP="003B3A31">
      <w:pPr>
        <w:pStyle w:val="Nadpis2"/>
        <w:spacing w:before="240" w:after="120" w:line="264" w:lineRule="auto"/>
      </w:pPr>
      <w:bookmarkStart w:id="18" w:name="_Toc525303520"/>
      <w:r w:rsidRPr="00990989">
        <w:t>A. 2 Internetová infrastruktura</w:t>
      </w:r>
      <w:bookmarkEnd w:id="18"/>
    </w:p>
    <w:p w:rsidR="00471EB7" w:rsidRPr="00326DBE" w:rsidRDefault="00471EB7" w:rsidP="003B3A31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>Internet, stejně jako elektřinu či dopravní cesty, lze v současné době čím dál více považovat za jednu ze základních veřejných infrastruktur, nezbytných pro plnohodnotné fungování společnosti</w:t>
      </w:r>
      <w:r w:rsidRPr="00326DBE">
        <w:rPr>
          <w:rStyle w:val="Znakapoznpodarou"/>
          <w:i/>
          <w:sz w:val="20"/>
        </w:rPr>
        <w:footnoteReference w:id="11"/>
      </w:r>
      <w:r w:rsidRPr="00326DBE">
        <w:rPr>
          <w:i/>
          <w:sz w:val="20"/>
        </w:rPr>
        <w:t>. Internetová infrastruktura je základním stavebním prvkem většiny informačních technologií a informační společnosti jako celku. Internet je tedy skutečným fenoménem dnešní doby, a proto má smysl statisticky zachytit jeho rozšíření ve společnosti, i když to vzhledem k dynamičnosti jeho rozvoje není vždy jednoduché.</w:t>
      </w:r>
    </w:p>
    <w:p w:rsidR="00471EB7" w:rsidRPr="00990989" w:rsidRDefault="00471EB7" w:rsidP="003B3A31">
      <w:pPr>
        <w:pStyle w:val="Nadpis3"/>
        <w:spacing w:before="240" w:after="120" w:line="264" w:lineRule="auto"/>
      </w:pPr>
      <w:bookmarkStart w:id="19" w:name="_Toc525303521"/>
      <w:r w:rsidRPr="00990989">
        <w:t>Počet účastníků s přístupem k internetu v pevné síti</w:t>
      </w:r>
      <w:r w:rsidRPr="00990989">
        <w:rPr>
          <w:sz w:val="22"/>
          <w:szCs w:val="20"/>
          <w:vertAlign w:val="superscript"/>
        </w:rPr>
        <w:t xml:space="preserve"> </w:t>
      </w:r>
      <w:r w:rsidRPr="00990989">
        <w:t>podle použité technologie a</w:t>
      </w:r>
      <w:r w:rsidR="00F43A6B">
        <w:t> </w:t>
      </w:r>
      <w:r w:rsidRPr="00990989">
        <w:t>rychlosti</w:t>
      </w:r>
      <w:bookmarkEnd w:id="19"/>
    </w:p>
    <w:p w:rsidR="00F348FA" w:rsidRDefault="00471EB7" w:rsidP="003B3A31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>Přestože se internet ve stávající podobě otevřel běžným uživatelům až počátkem 90. let, velmi rychle se stal neodmyslitelnou součástí našich životů a nejdůležitějším prostředkem masové komunikace. Postupný vývoj obsahu internetu vyžaduje stále rychlejší připojení a tomu odpovídají i změny v nabídce jednotlivých technologií poskytovaných pro přístup k internetu u nás i ve světě. Dominantní postavení bezdrátových přípojek používaných v Česku k přístupu k internetu z pevného místa lze v celosvětovém měřítku označit za unikátní. Velmi pozitivní je nárůst trvale dostupných přípojek formou optických vláken, kde lze vzhledem k plánovaným investicím očekávat další nárůst.</w:t>
      </w:r>
    </w:p>
    <w:p w:rsidR="00F348FA" w:rsidRDefault="00F348FA">
      <w:pPr>
        <w:spacing w:after="0" w:line="240" w:lineRule="auto"/>
        <w:rPr>
          <w:i/>
        </w:rPr>
      </w:pPr>
      <w:r>
        <w:rPr>
          <w:i/>
        </w:rPr>
        <w:br w:type="page"/>
      </w:r>
    </w:p>
    <w:p w:rsidR="00471EB7" w:rsidRPr="00326DBE" w:rsidRDefault="00471EB7" w:rsidP="003B3A31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lastRenderedPageBreak/>
        <w:t>V roce 2016 překročil v Česku celkový počet</w:t>
      </w:r>
      <w:r w:rsidRPr="00326DBE">
        <w:rPr>
          <w:b/>
          <w:sz w:val="20"/>
          <w:szCs w:val="20"/>
        </w:rPr>
        <w:t xml:space="preserve"> účastníků s přístupem k internetu v tzv. pevném místě</w:t>
      </w:r>
      <w:r w:rsidRPr="00326DBE">
        <w:rPr>
          <w:sz w:val="20"/>
          <w:szCs w:val="20"/>
          <w:vertAlign w:val="superscript"/>
        </w:rPr>
        <w:footnoteReference w:id="12"/>
      </w:r>
      <w:r w:rsidRPr="00326DBE">
        <w:rPr>
          <w:sz w:val="20"/>
          <w:szCs w:val="20"/>
        </w:rPr>
        <w:t xml:space="preserve"> poprvé třímiliónovou hranici. Na konci roku 2016 tak bylo v Česku 3,1 miliónu pevných širokopásmových internetových přípojek – včetně přípojek realizovaných pomocí pevného bezdrátového připojení a technologie Wi-Fi</w:t>
      </w:r>
      <w:r w:rsidRPr="00326DBE">
        <w:rPr>
          <w:rStyle w:val="Znakapoznpodarou"/>
          <w:sz w:val="20"/>
          <w:szCs w:val="20"/>
        </w:rPr>
        <w:footnoteReference w:id="13"/>
      </w:r>
      <w:r w:rsidRPr="00326DBE">
        <w:rPr>
          <w:sz w:val="20"/>
          <w:szCs w:val="20"/>
        </w:rPr>
        <w:t xml:space="preserve"> – tj. přesně o 2 milióny více než před deseti lety a o cca půl miliónu více než před pěti lety. I přes tento výrazný nárůst je třeba zdůraznit, že v posledních cca 3 letech se počet účastníků internetu přistupujících k němu z</w:t>
      </w:r>
      <w:r w:rsidR="003B3A31">
        <w:rPr>
          <w:sz w:val="20"/>
          <w:szCs w:val="20"/>
        </w:rPr>
        <w:t> “pevného místa“ příliš nemění.</w:t>
      </w:r>
    </w:p>
    <w:p w:rsidR="001C550B" w:rsidRPr="001C550B" w:rsidRDefault="001C550B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0" w:name="_Toc524332501"/>
      <w:r w:rsidRPr="001C550B">
        <w:rPr>
          <w:color w:val="FFFFFF" w:themeColor="background1"/>
          <w:sz w:val="4"/>
          <w:szCs w:val="4"/>
        </w:rPr>
        <w:t>Graf A</w:t>
      </w:r>
      <w:r w:rsidRPr="001C550B">
        <w:rPr>
          <w:color w:val="FFFFFF" w:themeColor="background1"/>
          <w:sz w:val="4"/>
          <w:szCs w:val="4"/>
        </w:rPr>
        <w:fldChar w:fldCharType="begin"/>
      </w:r>
      <w:r w:rsidRPr="001C550B">
        <w:rPr>
          <w:color w:val="FFFFFF" w:themeColor="background1"/>
          <w:sz w:val="4"/>
          <w:szCs w:val="4"/>
        </w:rPr>
        <w:instrText xml:space="preserve"> SEQ Graf \* ARABIC </w:instrText>
      </w:r>
      <w:r w:rsidRPr="001C550B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12</w:t>
      </w:r>
      <w:r w:rsidRPr="001C550B">
        <w:rPr>
          <w:color w:val="FFFFFF" w:themeColor="background1"/>
          <w:sz w:val="4"/>
          <w:szCs w:val="4"/>
        </w:rPr>
        <w:fldChar w:fldCharType="end"/>
      </w:r>
      <w:r w:rsidRPr="001C550B">
        <w:rPr>
          <w:color w:val="FFFFFF" w:themeColor="background1"/>
          <w:sz w:val="4"/>
          <w:szCs w:val="4"/>
        </w:rPr>
        <w:t xml:space="preserve"> Pevný internet v Česku</w:t>
      </w:r>
      <w:bookmarkEnd w:id="20"/>
    </w:p>
    <w:p w:rsidR="001C550B" w:rsidRPr="001C550B" w:rsidRDefault="001C550B" w:rsidP="001B7B0A">
      <w:pPr>
        <w:pStyle w:val="Titulek"/>
        <w:keepNext/>
        <w:spacing w:after="0"/>
        <w:ind w:left="4247"/>
        <w:jc w:val="both"/>
        <w:rPr>
          <w:color w:val="FFFFFF" w:themeColor="background1"/>
          <w:sz w:val="4"/>
          <w:szCs w:val="4"/>
        </w:rPr>
      </w:pPr>
      <w:bookmarkStart w:id="21" w:name="_Toc524332502"/>
      <w:r w:rsidRPr="001C550B">
        <w:rPr>
          <w:color w:val="FFFFFF" w:themeColor="background1"/>
          <w:sz w:val="4"/>
          <w:szCs w:val="4"/>
        </w:rPr>
        <w:t>Graf A</w:t>
      </w:r>
      <w:r w:rsidRPr="001C550B">
        <w:rPr>
          <w:color w:val="FFFFFF" w:themeColor="background1"/>
          <w:sz w:val="4"/>
          <w:szCs w:val="4"/>
        </w:rPr>
        <w:fldChar w:fldCharType="begin"/>
      </w:r>
      <w:r w:rsidRPr="001C550B">
        <w:rPr>
          <w:color w:val="FFFFFF" w:themeColor="background1"/>
          <w:sz w:val="4"/>
          <w:szCs w:val="4"/>
        </w:rPr>
        <w:instrText xml:space="preserve"> SEQ Graf \* ARABIC </w:instrText>
      </w:r>
      <w:r w:rsidRPr="001C550B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13</w:t>
      </w:r>
      <w:r w:rsidRPr="001C550B">
        <w:rPr>
          <w:color w:val="FFFFFF" w:themeColor="background1"/>
          <w:sz w:val="4"/>
          <w:szCs w:val="4"/>
        </w:rPr>
        <w:fldChar w:fldCharType="end"/>
      </w:r>
      <w:r w:rsidRPr="001C550B">
        <w:rPr>
          <w:color w:val="FFFFFF" w:themeColor="background1"/>
          <w:sz w:val="4"/>
          <w:szCs w:val="4"/>
        </w:rPr>
        <w:t xml:space="preserve"> Pevný internet v Česku podle použité technologie</w:t>
      </w:r>
      <w:bookmarkEnd w:id="21"/>
    </w:p>
    <w:p w:rsidR="00471EB7" w:rsidRPr="00326DBE" w:rsidRDefault="00471EB7" w:rsidP="00471EB7">
      <w:pPr>
        <w:pStyle w:val="Zkladntext"/>
        <w:spacing w:before="120" w:after="10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7888704E" wp14:editId="25496A81">
            <wp:extent cx="2880000" cy="2700000"/>
            <wp:effectExtent l="0" t="0" r="0" b="5715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326DBE">
        <w:rPr>
          <w:noProof/>
        </w:rPr>
        <w:drawing>
          <wp:inline distT="0" distB="0" distL="0" distR="0" wp14:anchorId="0C87AE9C" wp14:editId="4C423EAF">
            <wp:extent cx="3204000" cy="2700000"/>
            <wp:effectExtent l="0" t="0" r="0" b="5715"/>
            <wp:docPr id="20" name="Graf 20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Na konci roku 2016 bylo v </w:t>
      </w:r>
      <w:r w:rsidRPr="00326DBE">
        <w:rPr>
          <w:b/>
          <w:sz w:val="20"/>
          <w:szCs w:val="20"/>
        </w:rPr>
        <w:t>zemích EU</w:t>
      </w:r>
      <w:r w:rsidRPr="00326DBE">
        <w:rPr>
          <w:sz w:val="20"/>
          <w:szCs w:val="20"/>
        </w:rPr>
        <w:t xml:space="preserve"> celkem 170 miliónů pevných vysokorychlostních internetových přípojek, tj. cca 2krát více než před deseti lety, ale jen o pětinu (30 miliónu) více než před pěti lety. V roce 2016 tak připadalo na 100 obyvatel EU cca 33 vysokorychlostních internetových přípojek oproti 18 před deseti lety. Česká republika se s 29 přípojkami na sto obyvatel nachází spolu s Rakouskem na 20 místě na pomyslném žebříčku evropských zemí. Nižších hod</w:t>
      </w:r>
      <w:r w:rsidR="00C957FA">
        <w:rPr>
          <w:sz w:val="20"/>
          <w:szCs w:val="20"/>
        </w:rPr>
        <w:t>not než Česká republika dosahuje</w:t>
      </w:r>
      <w:r w:rsidRPr="00326DBE">
        <w:rPr>
          <w:sz w:val="20"/>
          <w:szCs w:val="20"/>
        </w:rPr>
        <w:t xml:space="preserve"> kromě některých „nových“ členských zemí i Itálie. </w:t>
      </w:r>
    </w:p>
    <w:p w:rsidR="008F3B39" w:rsidRPr="008F3B39" w:rsidRDefault="008F3B39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2" w:name="_Toc524332503"/>
      <w:r w:rsidRPr="008F3B39">
        <w:rPr>
          <w:color w:val="FFFFFF" w:themeColor="background1"/>
          <w:sz w:val="4"/>
          <w:szCs w:val="4"/>
        </w:rPr>
        <w:lastRenderedPageBreak/>
        <w:t>Graf A</w:t>
      </w:r>
      <w:r w:rsidRPr="008F3B39">
        <w:rPr>
          <w:color w:val="FFFFFF" w:themeColor="background1"/>
          <w:sz w:val="4"/>
          <w:szCs w:val="4"/>
        </w:rPr>
        <w:fldChar w:fldCharType="begin"/>
      </w:r>
      <w:r w:rsidRPr="008F3B39">
        <w:rPr>
          <w:color w:val="FFFFFF" w:themeColor="background1"/>
          <w:sz w:val="4"/>
          <w:szCs w:val="4"/>
        </w:rPr>
        <w:instrText xml:space="preserve"> SEQ Graf \* ARABIC </w:instrText>
      </w:r>
      <w:r w:rsidRPr="008F3B39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14</w:t>
      </w:r>
      <w:r w:rsidRPr="008F3B39">
        <w:rPr>
          <w:color w:val="FFFFFF" w:themeColor="background1"/>
          <w:sz w:val="4"/>
          <w:szCs w:val="4"/>
        </w:rPr>
        <w:fldChar w:fldCharType="end"/>
      </w:r>
      <w:r w:rsidRPr="008F3B39">
        <w:rPr>
          <w:color w:val="FFFFFF" w:themeColor="background1"/>
          <w:sz w:val="4"/>
          <w:szCs w:val="4"/>
        </w:rPr>
        <w:t xml:space="preserve"> Rozšíření pevného internetu v zemích EU</w:t>
      </w:r>
      <w:bookmarkEnd w:id="22"/>
      <w:r w:rsidRPr="008F3B39">
        <w:rPr>
          <w:color w:val="FFFFFF" w:themeColor="background1"/>
          <w:sz w:val="4"/>
          <w:szCs w:val="4"/>
        </w:rPr>
        <w:t xml:space="preserve"> </w:t>
      </w:r>
    </w:p>
    <w:p w:rsidR="00471EB7" w:rsidRPr="00326DBE" w:rsidRDefault="00471EB7" w:rsidP="00471EB7">
      <w:pPr>
        <w:pStyle w:val="Zkladntext"/>
        <w:spacing w:before="120" w:after="10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246B9944" wp14:editId="4EE38970">
            <wp:extent cx="5972810" cy="3003550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>Dlouhodobě nejpopulárnější způsob</w:t>
      </w:r>
      <w:r w:rsidRPr="00326DBE">
        <w:rPr>
          <w:rFonts w:cs="Arial"/>
          <w:sz w:val="20"/>
          <w:szCs w:val="20"/>
        </w:rPr>
        <w:t xml:space="preserve"> pevného přístupu k internetu představuje v Česku výše zmíněné bezdrátové připojení pomocí technologie </w:t>
      </w:r>
      <w:r w:rsidRPr="00326DBE">
        <w:rPr>
          <w:rFonts w:cs="Arial"/>
          <w:b/>
          <w:sz w:val="20"/>
          <w:szCs w:val="20"/>
        </w:rPr>
        <w:t>Wi-Fi</w:t>
      </w:r>
      <w:r w:rsidRPr="00326DBE">
        <w:rPr>
          <w:rFonts w:cs="Arial"/>
          <w:sz w:val="20"/>
          <w:szCs w:val="20"/>
        </w:rPr>
        <w:t>. Podíl této technologie na celkovém počtu účastníků (přípojek/přístupů) „pevného“ internetu se pohybuje kolem jedné třetiny</w:t>
      </w:r>
      <w:r w:rsidRPr="00326DBE">
        <w:rPr>
          <w:rStyle w:val="Znakapoznpodarou"/>
          <w:rFonts w:cs="Arial"/>
          <w:sz w:val="20"/>
          <w:szCs w:val="20"/>
        </w:rPr>
        <w:footnoteReference w:id="14"/>
      </w:r>
      <w:r w:rsidRPr="00326DBE">
        <w:rPr>
          <w:rFonts w:cs="Arial"/>
          <w:sz w:val="20"/>
          <w:szCs w:val="20"/>
        </w:rPr>
        <w:t xml:space="preserve">. V roce 2016 bylo touto technologií připojeno k internetu 1,07 milionu účastníků, mezi nimiž převažovaly </w:t>
      </w:r>
      <w:r w:rsidRPr="00326DBE">
        <w:rPr>
          <w:rFonts w:cs="Arial"/>
          <w:b/>
          <w:sz w:val="20"/>
          <w:szCs w:val="20"/>
        </w:rPr>
        <w:t>fyzické osoby</w:t>
      </w:r>
      <w:r w:rsidRPr="00326DBE">
        <w:rPr>
          <w:rFonts w:cs="Arial"/>
          <w:sz w:val="20"/>
          <w:szCs w:val="20"/>
        </w:rPr>
        <w:t xml:space="preserve"> s podílem rovných 85 %. Ke konci roku 2016 však umožňovala pouhá čtvrtina přístupů k internetu prostřednictvím Wi-Fi sítí maximální (inzerovanou) rychlost připojení 30 </w:t>
      </w:r>
      <w:proofErr w:type="spellStart"/>
      <w:r w:rsidRPr="00326DBE">
        <w:rPr>
          <w:rFonts w:cs="Arial"/>
          <w:sz w:val="20"/>
          <w:szCs w:val="20"/>
        </w:rPr>
        <w:t>Mb</w:t>
      </w:r>
      <w:proofErr w:type="spellEnd"/>
      <w:r w:rsidRPr="00326DBE">
        <w:rPr>
          <w:rFonts w:cs="Arial"/>
          <w:sz w:val="20"/>
          <w:szCs w:val="20"/>
        </w:rPr>
        <w:t>/s a více.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Podíl technologie </w:t>
      </w:r>
      <w:proofErr w:type="spellStart"/>
      <w:r w:rsidRPr="00326DBE">
        <w:rPr>
          <w:b/>
          <w:sz w:val="20"/>
          <w:szCs w:val="20"/>
        </w:rPr>
        <w:t>xDSL</w:t>
      </w:r>
      <w:proofErr w:type="spellEnd"/>
      <w:r w:rsidRPr="00326DBE">
        <w:rPr>
          <w:sz w:val="20"/>
          <w:szCs w:val="20"/>
        </w:rPr>
        <w:t xml:space="preserve"> na pevném vysokorychlostním internetu se v Česku postupně snižuje. Navzdory tomuto faktu se jedná, po bezdrátovém připojení Wi-Fi, o druhý nejčastější způsob pevného připojení k internetu. Ke konci roku 2016 činil počet účastníků </w:t>
      </w:r>
      <w:proofErr w:type="spellStart"/>
      <w:r w:rsidRPr="00326DBE">
        <w:rPr>
          <w:sz w:val="20"/>
          <w:szCs w:val="20"/>
        </w:rPr>
        <w:t>xDSL</w:t>
      </w:r>
      <w:proofErr w:type="spellEnd"/>
      <w:r w:rsidRPr="00326DBE">
        <w:rPr>
          <w:sz w:val="20"/>
          <w:szCs w:val="20"/>
        </w:rPr>
        <w:t xml:space="preserve"> technologie v Česku 904 tis., ze kterých 72 % připadalo na fyzické osoby</w:t>
      </w:r>
      <w:r w:rsidRPr="00326DBE">
        <w:rPr>
          <w:rStyle w:val="Znakapoznpodarou"/>
          <w:sz w:val="20"/>
          <w:szCs w:val="20"/>
        </w:rPr>
        <w:footnoteReference w:id="15"/>
      </w:r>
      <w:r w:rsidRPr="00326DBE">
        <w:rPr>
          <w:sz w:val="20"/>
          <w:szCs w:val="20"/>
        </w:rPr>
        <w:t>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Připojení k internetu přes telefonní rozvody pomocí technologie </w:t>
      </w:r>
      <w:proofErr w:type="spellStart"/>
      <w:r w:rsidRPr="00326DBE">
        <w:rPr>
          <w:sz w:val="20"/>
          <w:szCs w:val="20"/>
        </w:rPr>
        <w:t>xDSL</w:t>
      </w:r>
      <w:proofErr w:type="spellEnd"/>
      <w:r w:rsidRPr="00326DBE">
        <w:rPr>
          <w:sz w:val="20"/>
          <w:szCs w:val="20"/>
        </w:rPr>
        <w:t xml:space="preserve"> přestavuje nejoblíbenější způsob pevného připojení k internetu v polovině zemí Evropské unie. Významné zastoupení má například v Řecku, Francii, Itálii či Německu. V Česku se podíl této technologie na pevném internetu snížil ze 44 % v roce 2006 – tehdy to byl nejčastější způsob přístupu k i</w:t>
      </w:r>
      <w:r w:rsidR="004B2A0F">
        <w:rPr>
          <w:sz w:val="20"/>
          <w:szCs w:val="20"/>
        </w:rPr>
        <w:t>nternetu – na 30 % v roce 2016.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Do roku 2014 u nás byla většina tohoto připojení realizována pomocí </w:t>
      </w:r>
      <w:r w:rsidRPr="00326DBE">
        <w:rPr>
          <w:b/>
          <w:sz w:val="20"/>
          <w:szCs w:val="20"/>
        </w:rPr>
        <w:t>ADSL vedení</w:t>
      </w:r>
      <w:r w:rsidRPr="00326DBE">
        <w:rPr>
          <w:sz w:val="20"/>
          <w:szCs w:val="20"/>
        </w:rPr>
        <w:t xml:space="preserve">, od roku 2015 převažuje modernější </w:t>
      </w:r>
      <w:r w:rsidRPr="00326DBE">
        <w:rPr>
          <w:b/>
          <w:sz w:val="20"/>
          <w:szCs w:val="20"/>
        </w:rPr>
        <w:t>vedení VSDL</w:t>
      </w:r>
      <w:r w:rsidRPr="00326DBE">
        <w:rPr>
          <w:sz w:val="20"/>
          <w:szCs w:val="20"/>
        </w:rPr>
        <w:t>. V roce 2016 bylo v Česku 554 tisí</w:t>
      </w:r>
      <w:r>
        <w:rPr>
          <w:sz w:val="20"/>
          <w:szCs w:val="20"/>
        </w:rPr>
        <w:t>c</w:t>
      </w:r>
      <w:r w:rsidRPr="00326DBE">
        <w:rPr>
          <w:sz w:val="20"/>
          <w:szCs w:val="20"/>
        </w:rPr>
        <w:t xml:space="preserve"> aktivních VDSL přípojek oproti 350 tisíc</w:t>
      </w:r>
      <w:r w:rsidR="00C957FA">
        <w:rPr>
          <w:sz w:val="20"/>
          <w:szCs w:val="20"/>
        </w:rPr>
        <w:t>ům</w:t>
      </w:r>
      <w:r w:rsidRPr="00326DBE">
        <w:rPr>
          <w:sz w:val="20"/>
          <w:szCs w:val="20"/>
        </w:rPr>
        <w:t xml:space="preserve"> internetovým přípojkám realizovaný</w:t>
      </w:r>
      <w:r w:rsidR="00C957FA">
        <w:rPr>
          <w:sz w:val="20"/>
          <w:szCs w:val="20"/>
        </w:rPr>
        <w:t>m</w:t>
      </w:r>
      <w:r w:rsidRPr="00326DBE">
        <w:rPr>
          <w:sz w:val="20"/>
          <w:szCs w:val="20"/>
        </w:rPr>
        <w:t xml:space="preserve"> pomocí ADSL vedení.</w:t>
      </w:r>
    </w:p>
    <w:p w:rsidR="008F3B39" w:rsidRPr="008F3B39" w:rsidRDefault="008F3B39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3" w:name="_Toc524332504"/>
      <w:r w:rsidRPr="008F3B39">
        <w:rPr>
          <w:color w:val="FFFFFF" w:themeColor="background1"/>
          <w:sz w:val="4"/>
          <w:szCs w:val="4"/>
        </w:rPr>
        <w:lastRenderedPageBreak/>
        <w:t>Graf A</w:t>
      </w:r>
      <w:r w:rsidRPr="008F3B39">
        <w:rPr>
          <w:color w:val="FFFFFF" w:themeColor="background1"/>
          <w:sz w:val="4"/>
          <w:szCs w:val="4"/>
        </w:rPr>
        <w:fldChar w:fldCharType="begin"/>
      </w:r>
      <w:r w:rsidRPr="008F3B39">
        <w:rPr>
          <w:color w:val="FFFFFF" w:themeColor="background1"/>
          <w:sz w:val="4"/>
          <w:szCs w:val="4"/>
        </w:rPr>
        <w:instrText xml:space="preserve"> SEQ Graf \* ARABIC </w:instrText>
      </w:r>
      <w:r w:rsidRPr="008F3B39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15</w:t>
      </w:r>
      <w:r w:rsidRPr="008F3B39">
        <w:rPr>
          <w:color w:val="FFFFFF" w:themeColor="background1"/>
          <w:sz w:val="4"/>
          <w:szCs w:val="4"/>
        </w:rPr>
        <w:fldChar w:fldCharType="end"/>
      </w:r>
      <w:r w:rsidRPr="008F3B39">
        <w:rPr>
          <w:color w:val="FFFFFF" w:themeColor="background1"/>
          <w:sz w:val="4"/>
          <w:szCs w:val="4"/>
        </w:rPr>
        <w:t xml:space="preserve"> Pevný internet v zemích EU podle použité technologie v roce 2016</w:t>
      </w:r>
      <w:bookmarkEnd w:id="23"/>
    </w:p>
    <w:p w:rsidR="00471EB7" w:rsidRPr="00326DBE" w:rsidRDefault="00471EB7" w:rsidP="00471EB7">
      <w:pPr>
        <w:pStyle w:val="Zkladntext"/>
        <w:spacing w:before="0" w:after="10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0A1C6F53" wp14:editId="7FE76A43">
            <wp:extent cx="6048375" cy="3171825"/>
            <wp:effectExtent l="0" t="0" r="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326DBE">
        <w:rPr>
          <w:sz w:val="20"/>
          <w:szCs w:val="20"/>
        </w:rPr>
        <w:t xml:space="preserve"> 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Přístup k internetu prostřednictvím sítí </w:t>
      </w:r>
      <w:r w:rsidRPr="00326DBE">
        <w:rPr>
          <w:b/>
          <w:sz w:val="20"/>
          <w:szCs w:val="20"/>
        </w:rPr>
        <w:t>kabelové televize</w:t>
      </w:r>
      <w:r w:rsidRPr="00326DBE">
        <w:rPr>
          <w:sz w:val="20"/>
          <w:szCs w:val="20"/>
        </w:rPr>
        <w:t xml:space="preserve"> (CATV) zaznamenává v Česku stále mírný nárůst. Z 563 tisíc účastníků využívajících tuto technologii na konci roku 2016 k přístupu na internet jich 95 % tvořily </w:t>
      </w:r>
      <w:r w:rsidRPr="00326DBE">
        <w:rPr>
          <w:b/>
          <w:sz w:val="20"/>
          <w:szCs w:val="20"/>
        </w:rPr>
        <w:t>fyzické osoby</w:t>
      </w:r>
      <w:r w:rsidRPr="00326DBE">
        <w:rPr>
          <w:sz w:val="20"/>
          <w:szCs w:val="20"/>
        </w:rPr>
        <w:t xml:space="preserve">. Ze </w:t>
      </w:r>
      <w:r w:rsidRPr="00326DBE">
        <w:rPr>
          <w:b/>
          <w:sz w:val="20"/>
          <w:szCs w:val="20"/>
        </w:rPr>
        <w:t>zemí EU</w:t>
      </w:r>
      <w:r w:rsidRPr="00326DBE">
        <w:rPr>
          <w:sz w:val="20"/>
          <w:szCs w:val="20"/>
        </w:rPr>
        <w:t xml:space="preserve"> je tato technologie nejrozšířenější v Belgii, Nizozemsku a Maďarsku, kde tvoří takřka poloviční podíl na maloobchodním trhu s pevným připojením k internetu. Belgie a Nizozemsko se navíc v roce 2016 přiblížily k hranici 20 účastníků na 100 obyvatel.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V rámci jednotlivých technologií pevného připojení k internetu od roku 2009 zaznamenalo na českém trhu nejvyšší nárůst (a to na pětinásobek) připojení pomocí </w:t>
      </w:r>
      <w:r w:rsidRPr="00326DBE">
        <w:rPr>
          <w:b/>
          <w:sz w:val="20"/>
          <w:szCs w:val="20"/>
        </w:rPr>
        <w:t>optických sítí (</w:t>
      </w:r>
      <w:proofErr w:type="spellStart"/>
      <w:r w:rsidRPr="00326DBE">
        <w:rPr>
          <w:b/>
          <w:sz w:val="20"/>
          <w:szCs w:val="20"/>
        </w:rPr>
        <w:t>FTTx</w:t>
      </w:r>
      <w:proofErr w:type="spellEnd"/>
      <w:r w:rsidRPr="00326DBE">
        <w:rPr>
          <w:b/>
          <w:sz w:val="20"/>
          <w:szCs w:val="20"/>
        </w:rPr>
        <w:t>)</w:t>
      </w:r>
      <w:r w:rsidRPr="00326DBE">
        <w:rPr>
          <w:sz w:val="20"/>
          <w:szCs w:val="20"/>
        </w:rPr>
        <w:t xml:space="preserve">. Ke konci roku 2016 bylo takto připojeno 523 tis. účastníků, z čehož 91 % tvořily soukromé osoby. Rozvoj </w:t>
      </w:r>
      <w:proofErr w:type="spellStart"/>
      <w:r w:rsidRPr="00326DBE">
        <w:rPr>
          <w:sz w:val="20"/>
          <w:szCs w:val="20"/>
        </w:rPr>
        <w:t>FTTx</w:t>
      </w:r>
      <w:proofErr w:type="spellEnd"/>
      <w:r w:rsidRPr="00326DBE">
        <w:rPr>
          <w:sz w:val="20"/>
          <w:szCs w:val="20"/>
        </w:rPr>
        <w:t xml:space="preserve"> přístupů v České republice je však i nadále realizován především menšími lokálními poskytovateli. V </w:t>
      </w:r>
      <w:r w:rsidRPr="00326DBE">
        <w:rPr>
          <w:b/>
          <w:sz w:val="20"/>
          <w:szCs w:val="20"/>
        </w:rPr>
        <w:t>mezinárodním srovnání</w:t>
      </w:r>
      <w:r w:rsidRPr="00326DBE">
        <w:rPr>
          <w:sz w:val="20"/>
          <w:szCs w:val="20"/>
        </w:rPr>
        <w:t xml:space="preserve"> zemí EU jsou optické sítě nejrozšířenější – měřeno počtem jejich účastníků na 100 obyvatel - ve Švédsku, Litvě a Lotyšku.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Na konci roku 2016 přistupovalo v Česku na internet z pevné sítě pomocí technologií </w:t>
      </w:r>
      <w:r w:rsidRPr="00326DBE">
        <w:rPr>
          <w:b/>
          <w:sz w:val="20"/>
          <w:szCs w:val="20"/>
        </w:rPr>
        <w:t>s inzerovanou rychlostí přes 30 </w:t>
      </w:r>
      <w:proofErr w:type="spellStart"/>
      <w:r w:rsidRPr="00326DBE">
        <w:rPr>
          <w:b/>
          <w:sz w:val="20"/>
          <w:szCs w:val="20"/>
        </w:rPr>
        <w:t>Mb</w:t>
      </w:r>
      <w:proofErr w:type="spellEnd"/>
      <w:r w:rsidRPr="00326DBE">
        <w:rPr>
          <w:b/>
          <w:sz w:val="20"/>
          <w:szCs w:val="20"/>
        </w:rPr>
        <w:t>/s</w:t>
      </w:r>
      <w:r w:rsidRPr="00326DBE">
        <w:rPr>
          <w:sz w:val="20"/>
          <w:szCs w:val="20"/>
        </w:rPr>
        <w:t xml:space="preserve"> přes 44 % účastníků, což je výrazný nárůst proti 21 % v roce 2012. Občané a firmy s pevným přístupem k internetu měli na konci roku 2016 k dispozici nejčastěji rychlost připojení umožňující přenos 10 až 30 </w:t>
      </w:r>
      <w:proofErr w:type="spellStart"/>
      <w:r w:rsidRPr="00326DBE">
        <w:rPr>
          <w:sz w:val="20"/>
          <w:szCs w:val="20"/>
        </w:rPr>
        <w:t>Mbit</w:t>
      </w:r>
      <w:proofErr w:type="spellEnd"/>
      <w:r w:rsidRPr="00326DBE">
        <w:rPr>
          <w:sz w:val="20"/>
          <w:szCs w:val="20"/>
        </w:rPr>
        <w:t xml:space="preserve"> dat za sekundu. Tuto rychlost poskytoval cca milion vysokorychlostních pevných přípojek. Ve stejném roce mohlo využívat pro přístup k internetu v pevné síti rychlost umožňující přenos 100 </w:t>
      </w:r>
      <w:proofErr w:type="spellStart"/>
      <w:r w:rsidRPr="00326DBE">
        <w:rPr>
          <w:sz w:val="20"/>
          <w:szCs w:val="20"/>
        </w:rPr>
        <w:t>Mbit</w:t>
      </w:r>
      <w:proofErr w:type="spellEnd"/>
      <w:r w:rsidRPr="00326DBE">
        <w:rPr>
          <w:sz w:val="20"/>
          <w:szCs w:val="20"/>
        </w:rPr>
        <w:t xml:space="preserve"> dat za sekundu a více 680 tisíc občanů a firem v porovnání se 40 tisíci v roce 2012. </w:t>
      </w:r>
    </w:p>
    <w:p w:rsidR="008F3B39" w:rsidRDefault="008F3B39" w:rsidP="008F3B39">
      <w:pPr>
        <w:pStyle w:val="Titulek"/>
        <w:keepNext/>
        <w:jc w:val="both"/>
        <w:sectPr w:rsidR="008F3B39" w:rsidSect="006D0F31">
          <w:type w:val="continuous"/>
          <w:pgSz w:w="11906" w:h="16838" w:code="9"/>
          <w:pgMar w:top="1134" w:right="1134" w:bottom="1418" w:left="1134" w:header="680" w:footer="680" w:gutter="0"/>
          <w:cols w:space="708"/>
          <w:docGrid w:linePitch="360"/>
        </w:sectPr>
      </w:pPr>
    </w:p>
    <w:p w:rsidR="008F3B39" w:rsidRPr="001B7B0A" w:rsidRDefault="008F3B39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4" w:name="_Toc524332505"/>
      <w:r w:rsidRPr="001B7B0A">
        <w:rPr>
          <w:color w:val="FFFFFF" w:themeColor="background1"/>
          <w:sz w:val="4"/>
          <w:szCs w:val="4"/>
        </w:rPr>
        <w:lastRenderedPageBreak/>
        <w:t>Graf A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 w:rsidR="001B7B0A" w:rsidRPr="001B7B0A">
        <w:rPr>
          <w:noProof/>
          <w:color w:val="FFFFFF" w:themeColor="background1"/>
          <w:sz w:val="4"/>
          <w:szCs w:val="4"/>
        </w:rPr>
        <w:t>16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Pevný internet v Česku podle rychlosti</w:t>
      </w:r>
      <w:bookmarkEnd w:id="24"/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5" w:name="_Toc524332506"/>
      <w:r w:rsidRPr="001B7B0A">
        <w:rPr>
          <w:color w:val="FFFFFF" w:themeColor="background1"/>
          <w:sz w:val="4"/>
          <w:szCs w:val="4"/>
        </w:rPr>
        <w:t>Graf A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 w:rsidRPr="001B7B0A">
        <w:rPr>
          <w:noProof/>
          <w:color w:val="FFFFFF" w:themeColor="background1"/>
          <w:sz w:val="4"/>
          <w:szCs w:val="4"/>
        </w:rPr>
        <w:t>17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Pevný internet v Česku v roce 2016 podle typu a rychlosti</w:t>
      </w:r>
      <w:bookmarkEnd w:id="25"/>
      <w:r w:rsidRPr="001B7B0A">
        <w:rPr>
          <w:color w:val="FFFFFF" w:themeColor="background1"/>
          <w:sz w:val="4"/>
          <w:szCs w:val="4"/>
        </w:rPr>
        <w:t xml:space="preserve"> </w:t>
      </w:r>
    </w:p>
    <w:p w:rsidR="00471EB7" w:rsidRPr="00326DBE" w:rsidRDefault="00471EB7" w:rsidP="001B7B0A">
      <w:pPr>
        <w:pStyle w:val="Titulek"/>
        <w:keepNext/>
        <w:jc w:val="both"/>
        <w:rPr>
          <w:sz w:val="20"/>
          <w:szCs w:val="20"/>
        </w:rPr>
      </w:pPr>
      <w:r w:rsidRPr="008F3B39">
        <w:rPr>
          <w:noProof/>
          <w:color w:val="FFFFFF" w:themeColor="background1"/>
          <w:sz w:val="4"/>
          <w:szCs w:val="4"/>
        </w:rPr>
        <w:drawing>
          <wp:inline distT="0" distB="0" distL="0" distR="0" wp14:anchorId="6BE4857F" wp14:editId="38E24E66">
            <wp:extent cx="3168000" cy="2700000"/>
            <wp:effectExtent l="0" t="0" r="0" b="5715"/>
            <wp:docPr id="24" name="Graf 24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326DBE">
        <w:rPr>
          <w:noProof/>
        </w:rPr>
        <w:drawing>
          <wp:inline distT="0" distB="0" distL="0" distR="0" wp14:anchorId="5CE6833B" wp14:editId="12456905">
            <wp:extent cx="2880000" cy="2700000"/>
            <wp:effectExtent l="0" t="0" r="0" b="5715"/>
            <wp:docPr id="25" name="Graf 25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B7B0A" w:rsidRDefault="001B7B0A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  <w:sectPr w:rsidR="001B7B0A" w:rsidSect="006D0F31">
          <w:type w:val="continuous"/>
          <w:pgSz w:w="11906" w:h="16838" w:code="9"/>
          <w:pgMar w:top="1134" w:right="1134" w:bottom="1418" w:left="1134" w:header="680" w:footer="680" w:gutter="0"/>
          <w:cols w:space="708"/>
          <w:docGrid w:linePitch="360"/>
        </w:sectPr>
      </w:pP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lastRenderedPageBreak/>
        <w:t xml:space="preserve">Při porovnání počtu účastníků pevného vysokorychlostního internetu </w:t>
      </w:r>
      <w:r w:rsidRPr="00326DBE">
        <w:rPr>
          <w:b/>
          <w:sz w:val="20"/>
          <w:szCs w:val="20"/>
        </w:rPr>
        <w:t>s inzerovanou rychlostí minimálně 100 </w:t>
      </w:r>
      <w:proofErr w:type="spellStart"/>
      <w:r w:rsidRPr="00326DBE">
        <w:rPr>
          <w:b/>
          <w:sz w:val="20"/>
          <w:szCs w:val="20"/>
        </w:rPr>
        <w:t>Mb</w:t>
      </w:r>
      <w:proofErr w:type="spellEnd"/>
      <w:r w:rsidRPr="00326DBE">
        <w:rPr>
          <w:b/>
          <w:sz w:val="20"/>
          <w:szCs w:val="20"/>
        </w:rPr>
        <w:t>/s</w:t>
      </w:r>
      <w:r w:rsidRPr="00326DBE">
        <w:rPr>
          <w:sz w:val="20"/>
          <w:szCs w:val="20"/>
        </w:rPr>
        <w:t xml:space="preserve"> na 100 obyvatel v zemích EU mezi roky 2013 a 2016 je patrný značný nárůst hodnot – jestliže ještě v roce 2013 činil průměr EU 1,6 účastníků na 100 obyvatel, v roce 2016 to bylo již 5,9 účastníků (tj. téměř čtyřnásobně více). Česká republika zaznamenává od roku 2015 výrazný nárůst hodnot a již koncem roku 2016 překonala průměr EU s 6 účastníky na 100 obyvatel. EU dominuje Švédsko, kde v roce 2016 připadalo na 100 obyvatel 22,1 účastníků s připojením k internetu s inzerovanou</w:t>
      </w:r>
      <w:r w:rsidRPr="00326DBE">
        <w:rPr>
          <w:b/>
          <w:sz w:val="20"/>
          <w:szCs w:val="20"/>
        </w:rPr>
        <w:t xml:space="preserve"> </w:t>
      </w:r>
      <w:r w:rsidRPr="00326DBE">
        <w:rPr>
          <w:sz w:val="20"/>
          <w:szCs w:val="20"/>
        </w:rPr>
        <w:t>rychlostí minimálně</w:t>
      </w:r>
      <w:r w:rsidRPr="00326DBE">
        <w:rPr>
          <w:b/>
          <w:sz w:val="20"/>
          <w:szCs w:val="20"/>
        </w:rPr>
        <w:t xml:space="preserve"> </w:t>
      </w:r>
      <w:r w:rsidRPr="00326DBE">
        <w:rPr>
          <w:sz w:val="20"/>
          <w:szCs w:val="20"/>
        </w:rPr>
        <w:t>100 </w:t>
      </w:r>
      <w:proofErr w:type="spellStart"/>
      <w:r w:rsidRPr="00326DBE">
        <w:rPr>
          <w:sz w:val="20"/>
          <w:szCs w:val="20"/>
        </w:rPr>
        <w:t>Mb</w:t>
      </w:r>
      <w:proofErr w:type="spellEnd"/>
      <w:r w:rsidRPr="00326DBE">
        <w:rPr>
          <w:sz w:val="20"/>
          <w:szCs w:val="20"/>
        </w:rPr>
        <w:t>/s.</w:t>
      </w:r>
    </w:p>
    <w:p w:rsidR="00837E52" w:rsidRPr="00837E52" w:rsidRDefault="00837E52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6" w:name="_Toc524332507"/>
      <w:r w:rsidRPr="00837E52">
        <w:rPr>
          <w:color w:val="FFFFFF" w:themeColor="background1"/>
          <w:sz w:val="4"/>
          <w:szCs w:val="4"/>
        </w:rPr>
        <w:t>Graf A</w:t>
      </w:r>
      <w:r w:rsidRPr="00837E52">
        <w:rPr>
          <w:color w:val="FFFFFF" w:themeColor="background1"/>
          <w:sz w:val="4"/>
          <w:szCs w:val="4"/>
        </w:rPr>
        <w:fldChar w:fldCharType="begin"/>
      </w:r>
      <w:r w:rsidRPr="00837E52">
        <w:rPr>
          <w:color w:val="FFFFFF" w:themeColor="background1"/>
          <w:sz w:val="4"/>
          <w:szCs w:val="4"/>
        </w:rPr>
        <w:instrText xml:space="preserve"> SEQ Graf \* ARABIC </w:instrText>
      </w:r>
      <w:r w:rsidRPr="00837E5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18</w:t>
      </w:r>
      <w:r w:rsidRPr="00837E52">
        <w:rPr>
          <w:color w:val="FFFFFF" w:themeColor="background1"/>
          <w:sz w:val="4"/>
          <w:szCs w:val="4"/>
        </w:rPr>
        <w:fldChar w:fldCharType="end"/>
      </w:r>
      <w:r w:rsidRPr="00837E52">
        <w:rPr>
          <w:color w:val="FFFFFF" w:themeColor="background1"/>
          <w:sz w:val="4"/>
          <w:szCs w:val="4"/>
        </w:rPr>
        <w:t xml:space="preserve"> Rozšíření pevného internetu s nabízenou rychlostí minimálně 100 </w:t>
      </w:r>
      <w:proofErr w:type="spellStart"/>
      <w:r w:rsidRPr="00837E52">
        <w:rPr>
          <w:color w:val="FFFFFF" w:themeColor="background1"/>
          <w:sz w:val="4"/>
          <w:szCs w:val="4"/>
        </w:rPr>
        <w:t>Mbit</w:t>
      </w:r>
      <w:proofErr w:type="spellEnd"/>
      <w:r w:rsidRPr="00837E52">
        <w:rPr>
          <w:color w:val="FFFFFF" w:themeColor="background1"/>
          <w:sz w:val="4"/>
          <w:szCs w:val="4"/>
        </w:rPr>
        <w:t>/s v zemích EU</w:t>
      </w:r>
      <w:bookmarkEnd w:id="26"/>
    </w:p>
    <w:p w:rsidR="007445D0" w:rsidRDefault="00471EB7" w:rsidP="007B2E26">
      <w:pPr>
        <w:pStyle w:val="Zkladntext"/>
        <w:spacing w:before="0" w:after="80" w:line="264" w:lineRule="auto"/>
        <w:rPr>
          <w:rStyle w:val="Nadpis3Char"/>
        </w:rPr>
      </w:pPr>
      <w:r w:rsidRPr="00326DBE">
        <w:rPr>
          <w:noProof/>
        </w:rPr>
        <w:drawing>
          <wp:inline distT="0" distB="0" distL="0" distR="0" wp14:anchorId="0BDA9E97" wp14:editId="5D02BC0E">
            <wp:extent cx="5972810" cy="3003550"/>
            <wp:effectExtent l="0" t="0" r="0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71EB7" w:rsidRPr="006F48ED" w:rsidRDefault="00471EB7" w:rsidP="006F48ED">
      <w:pPr>
        <w:pStyle w:val="Zkladntext"/>
        <w:spacing w:after="120" w:line="264" w:lineRule="auto"/>
        <w:rPr>
          <w:rStyle w:val="Nadpis3Char"/>
        </w:rPr>
      </w:pPr>
      <w:bookmarkStart w:id="27" w:name="_Toc525303522"/>
      <w:r w:rsidRPr="006F48ED">
        <w:rPr>
          <w:rStyle w:val="Nadpis3Char"/>
        </w:rPr>
        <w:t>Počet účastníků s přístupem k internetu v mobilní síti</w:t>
      </w:r>
      <w:bookmarkEnd w:id="27"/>
    </w:p>
    <w:p w:rsidR="00471EB7" w:rsidRPr="00326DBE" w:rsidRDefault="00471EB7" w:rsidP="006F48ED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 xml:space="preserve">Používání mobilních telefonů se za poslední desetiletí rapidně změnilo. Až donedávna telefony sloužily jako zařízení určené k telefonování a odesílání a přijímání textových zpráv. S rozšířením </w:t>
      </w:r>
      <w:proofErr w:type="spellStart"/>
      <w:r w:rsidRPr="00326DBE">
        <w:rPr>
          <w:i/>
          <w:sz w:val="20"/>
        </w:rPr>
        <w:t>smartphonů</w:t>
      </w:r>
      <w:proofErr w:type="spellEnd"/>
      <w:r w:rsidRPr="00326DBE">
        <w:rPr>
          <w:i/>
          <w:sz w:val="20"/>
        </w:rPr>
        <w:t xml:space="preserve"> se stává primární funkcí mobilních telefonů přístup k internetu, což využívá čím dál tím více lidí. To má za následek, že mobilní připojení zaznamenává stále více dat, naopak počet textových zpráv značně klesá. Budoucnost mobilních telefonů tkví převážně v datových službách a je jisté, že používání mobilního telefonu k přístupu na internet brzy bude běžné ve všech zemích a pro všechny demografické skupiny obyvatelstva.</w:t>
      </w:r>
    </w:p>
    <w:p w:rsidR="00471EB7" w:rsidRPr="00326DBE" w:rsidRDefault="00471EB7" w:rsidP="00471EB7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 xml:space="preserve">Nárůst počtu a rozšíření mobilního připojení je patrný již od poloviny minulého desetiletí, kdy byla poprvé vytvořena mobilní datová síť. K většímu růstu došlo okolo roku 2013, který </w:t>
      </w:r>
      <w:r w:rsidR="00C957FA">
        <w:rPr>
          <w:i/>
          <w:sz w:val="20"/>
        </w:rPr>
        <w:t xml:space="preserve">byl </w:t>
      </w:r>
      <w:r w:rsidRPr="00326DBE">
        <w:rPr>
          <w:i/>
          <w:sz w:val="20"/>
        </w:rPr>
        <w:t>zapříčin</w:t>
      </w:r>
      <w:r w:rsidR="00C957FA">
        <w:rPr>
          <w:i/>
          <w:sz w:val="20"/>
        </w:rPr>
        <w:t>ěn</w:t>
      </w:r>
      <w:r w:rsidRPr="00326DBE">
        <w:rPr>
          <w:i/>
          <w:sz w:val="20"/>
        </w:rPr>
        <w:t xml:space="preserve"> rozvoj</w:t>
      </w:r>
      <w:r w:rsidR="00C957FA">
        <w:rPr>
          <w:i/>
          <w:sz w:val="20"/>
        </w:rPr>
        <w:t>em</w:t>
      </w:r>
      <w:r w:rsidRPr="00326DBE">
        <w:rPr>
          <w:i/>
          <w:sz w:val="20"/>
        </w:rPr>
        <w:t xml:space="preserve"> </w:t>
      </w:r>
      <w:proofErr w:type="spellStart"/>
      <w:r w:rsidRPr="00326DBE">
        <w:rPr>
          <w:i/>
          <w:sz w:val="20"/>
        </w:rPr>
        <w:t>smartphonů</w:t>
      </w:r>
      <w:proofErr w:type="spellEnd"/>
      <w:r w:rsidRPr="00326DBE">
        <w:rPr>
          <w:i/>
          <w:sz w:val="20"/>
        </w:rPr>
        <w:t xml:space="preserve"> a </w:t>
      </w:r>
      <w:proofErr w:type="spellStart"/>
      <w:r w:rsidRPr="00326DBE">
        <w:rPr>
          <w:i/>
          <w:sz w:val="20"/>
        </w:rPr>
        <w:t>tabletů</w:t>
      </w:r>
      <w:proofErr w:type="spellEnd"/>
      <w:r w:rsidRPr="00326DBE">
        <w:rPr>
          <w:i/>
          <w:sz w:val="20"/>
        </w:rPr>
        <w:t>. Mobilní přístup k internetu se zrychlil a síťové pokrytí rozšířilo. Mnoho lidí</w:t>
      </w:r>
      <w:r w:rsidR="00C957FA">
        <w:rPr>
          <w:i/>
          <w:sz w:val="20"/>
        </w:rPr>
        <w:t xml:space="preserve"> používajících </w:t>
      </w:r>
      <w:r w:rsidRPr="00326DBE">
        <w:rPr>
          <w:i/>
          <w:sz w:val="20"/>
        </w:rPr>
        <w:t xml:space="preserve">předplacené tarify pouze pro hlasové služby, přešlo na </w:t>
      </w:r>
      <w:proofErr w:type="spellStart"/>
      <w:r w:rsidRPr="00326DBE">
        <w:rPr>
          <w:i/>
          <w:sz w:val="20"/>
        </w:rPr>
        <w:t>smartphony</w:t>
      </w:r>
      <w:proofErr w:type="spellEnd"/>
      <w:r w:rsidRPr="00326DBE">
        <w:rPr>
          <w:i/>
          <w:sz w:val="20"/>
        </w:rPr>
        <w:t xml:space="preserve"> s mobilním širokopásmovým připojením.</w:t>
      </w:r>
    </w:p>
    <w:p w:rsidR="00471EB7" w:rsidRPr="00326DBE" w:rsidRDefault="00471EB7" w:rsidP="00471EB7">
      <w:pPr>
        <w:pStyle w:val="Zkladntext"/>
        <w:spacing w:before="0" w:after="80" w:line="264" w:lineRule="auto"/>
        <w:rPr>
          <w:i/>
          <w:sz w:val="20"/>
        </w:rPr>
      </w:pPr>
      <w:r w:rsidRPr="00326DBE">
        <w:rPr>
          <w:i/>
          <w:sz w:val="20"/>
        </w:rPr>
        <w:t>Mezinárodní telekomunikační unie na konci roku 2016 celosvětově evidovala přibližně čtyřnásobně více aktivních mobilních vysokorychlostních přípojek (3,7 milionů) než pevných (0,9 milionu). Za posledních 5 let činil průměrný roční nárůst počtu aktivních mobilních přípojek 40 %.</w:t>
      </w:r>
    </w:p>
    <w:p w:rsidR="00471EB7" w:rsidRPr="00326DBE" w:rsidRDefault="00471EB7" w:rsidP="003B3A31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Nejčastější způsob připojení k vysokorychlostnímu internetu v České republice představuje přístup přes mobilní sítě. Mobilní operátoři nabízejí v Česku v principu dva typy mobilního připojení – internet v mobilu a mobilní internet, který je určen pro přenosná zařízení (tablety, notebooky) s použitím datové SIM karty, resp. USB modemu. Na konci roku 2016 bylo zaznamenáno 8,5 milionu SIM karet, sloužících pro přístup k vysokorychlostnímu </w:t>
      </w:r>
      <w:r w:rsidRPr="00326DBE">
        <w:rPr>
          <w:b/>
          <w:sz w:val="20"/>
          <w:szCs w:val="20"/>
        </w:rPr>
        <w:t xml:space="preserve">mobilnímu internetu </w:t>
      </w:r>
      <w:r w:rsidRPr="00326DBE">
        <w:rPr>
          <w:sz w:val="20"/>
          <w:szCs w:val="20"/>
        </w:rPr>
        <w:t>– v roce 2012 to bylo 4,6 milionu</w:t>
      </w:r>
      <w:r w:rsidRPr="00326DBE">
        <w:rPr>
          <w:b/>
          <w:sz w:val="20"/>
          <w:szCs w:val="20"/>
        </w:rPr>
        <w:t>.</w:t>
      </w:r>
      <w:r w:rsidRPr="00326DBE">
        <w:rPr>
          <w:sz w:val="20"/>
          <w:szCs w:val="20"/>
        </w:rPr>
        <w:t xml:space="preserve"> Naproti tomu pro přístup prostřednictvím pevné sítě byly v Česku využívány v roce 2016 výše uvedené cca 3 milióny internetových přípojek.</w:t>
      </w:r>
    </w:p>
    <w:p w:rsidR="00471EB7" w:rsidRPr="00326DBE" w:rsidRDefault="00471EB7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>Do roku 2011 byl přístup k </w:t>
      </w:r>
      <w:r w:rsidRPr="00326DBE">
        <w:rPr>
          <w:b/>
          <w:sz w:val="20"/>
          <w:szCs w:val="20"/>
        </w:rPr>
        <w:t>mobilnímu internetu</w:t>
      </w:r>
      <w:r w:rsidRPr="00326DBE">
        <w:rPr>
          <w:sz w:val="20"/>
          <w:szCs w:val="20"/>
        </w:rPr>
        <w:t xml:space="preserve"> v České republice realizován nejčastěji jako </w:t>
      </w:r>
      <w:r w:rsidRPr="00326DBE">
        <w:rPr>
          <w:b/>
          <w:sz w:val="20"/>
          <w:szCs w:val="20"/>
        </w:rPr>
        <w:t>dočasný</w:t>
      </w:r>
      <w:r w:rsidRPr="00326DBE">
        <w:rPr>
          <w:sz w:val="20"/>
          <w:szCs w:val="20"/>
        </w:rPr>
        <w:t xml:space="preserve"> "ad-hoc" přístup v rámci standardní hlasové a datové služby. Od roku 2012 začal převládat přístup poskytovaný v rámci měsíčního tarifu jakožto </w:t>
      </w:r>
      <w:r w:rsidRPr="00326DBE">
        <w:rPr>
          <w:b/>
          <w:sz w:val="20"/>
          <w:szCs w:val="20"/>
        </w:rPr>
        <w:t>trvalý</w:t>
      </w:r>
      <w:r w:rsidRPr="00326DBE">
        <w:rPr>
          <w:sz w:val="20"/>
          <w:szCs w:val="20"/>
        </w:rPr>
        <w:t xml:space="preserve"> “</w:t>
      </w:r>
      <w:proofErr w:type="spellStart"/>
      <w:r w:rsidRPr="00326DBE">
        <w:rPr>
          <w:sz w:val="20"/>
          <w:szCs w:val="20"/>
        </w:rPr>
        <w:t>dedicated</w:t>
      </w:r>
      <w:proofErr w:type="spellEnd"/>
      <w:r w:rsidRPr="00326DBE">
        <w:rPr>
          <w:sz w:val="20"/>
          <w:szCs w:val="20"/>
        </w:rPr>
        <w:t>“ přístup. V roce 2016 tuto možnost širokopásmového přístupu k síti internet prostřednictvím mobilní sítě (CDMA, UMTS, LTE) využívalo 6,6 miliónu účastníků oproti 1,9 miliónu využívajících dočasný přístup.</w:t>
      </w:r>
    </w:p>
    <w:p w:rsidR="00837E52" w:rsidRPr="00837E52" w:rsidRDefault="00837E52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8" w:name="_Toc524332508"/>
      <w:r w:rsidRPr="00837E52">
        <w:rPr>
          <w:color w:val="FFFFFF" w:themeColor="background1"/>
          <w:sz w:val="4"/>
          <w:szCs w:val="4"/>
        </w:rPr>
        <w:lastRenderedPageBreak/>
        <w:t>Graf A</w:t>
      </w:r>
      <w:r w:rsidRPr="00837E52">
        <w:rPr>
          <w:color w:val="FFFFFF" w:themeColor="background1"/>
          <w:sz w:val="4"/>
          <w:szCs w:val="4"/>
        </w:rPr>
        <w:fldChar w:fldCharType="begin"/>
      </w:r>
      <w:r w:rsidRPr="00837E52">
        <w:rPr>
          <w:color w:val="FFFFFF" w:themeColor="background1"/>
          <w:sz w:val="4"/>
          <w:szCs w:val="4"/>
        </w:rPr>
        <w:instrText xml:space="preserve"> SEQ Graf \* ARABIC </w:instrText>
      </w:r>
      <w:r w:rsidRPr="00837E5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19</w:t>
      </w:r>
      <w:r w:rsidRPr="00837E52">
        <w:rPr>
          <w:color w:val="FFFFFF" w:themeColor="background1"/>
          <w:sz w:val="4"/>
          <w:szCs w:val="4"/>
        </w:rPr>
        <w:fldChar w:fldCharType="end"/>
      </w:r>
      <w:r w:rsidRPr="00837E52">
        <w:rPr>
          <w:color w:val="FFFFFF" w:themeColor="background1"/>
          <w:sz w:val="4"/>
          <w:szCs w:val="4"/>
        </w:rPr>
        <w:t xml:space="preserve"> Mobilní internet v Česku</w:t>
      </w:r>
      <w:bookmarkEnd w:id="28"/>
      <w:r w:rsidRPr="00837E52">
        <w:rPr>
          <w:color w:val="FFFFFF" w:themeColor="background1"/>
          <w:sz w:val="4"/>
          <w:szCs w:val="4"/>
        </w:rPr>
        <w:t xml:space="preserve"> </w:t>
      </w:r>
    </w:p>
    <w:p w:rsidR="00837E52" w:rsidRPr="00837E52" w:rsidRDefault="00837E52" w:rsidP="001B7B0A">
      <w:pPr>
        <w:pStyle w:val="Titulek"/>
        <w:keepNext/>
        <w:spacing w:after="0"/>
        <w:ind w:left="4956" w:firstLine="709"/>
        <w:jc w:val="both"/>
        <w:rPr>
          <w:color w:val="FFFFFF" w:themeColor="background1"/>
          <w:sz w:val="4"/>
          <w:szCs w:val="4"/>
        </w:rPr>
      </w:pPr>
      <w:bookmarkStart w:id="29" w:name="_Toc524332509"/>
      <w:r w:rsidRPr="00837E52">
        <w:rPr>
          <w:color w:val="FFFFFF" w:themeColor="background1"/>
          <w:sz w:val="4"/>
          <w:szCs w:val="4"/>
        </w:rPr>
        <w:t>Graf A</w:t>
      </w:r>
      <w:r w:rsidRPr="00837E52">
        <w:rPr>
          <w:color w:val="FFFFFF" w:themeColor="background1"/>
          <w:sz w:val="4"/>
          <w:szCs w:val="4"/>
        </w:rPr>
        <w:fldChar w:fldCharType="begin"/>
      </w:r>
      <w:r w:rsidRPr="00837E52">
        <w:rPr>
          <w:color w:val="FFFFFF" w:themeColor="background1"/>
          <w:sz w:val="4"/>
          <w:szCs w:val="4"/>
        </w:rPr>
        <w:instrText xml:space="preserve"> SEQ Graf \* ARABIC </w:instrText>
      </w:r>
      <w:r w:rsidRPr="00837E5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20</w:t>
      </w:r>
      <w:r w:rsidRPr="00837E52">
        <w:rPr>
          <w:color w:val="FFFFFF" w:themeColor="background1"/>
          <w:sz w:val="4"/>
          <w:szCs w:val="4"/>
        </w:rPr>
        <w:fldChar w:fldCharType="end"/>
      </w:r>
      <w:r w:rsidRPr="00837E52">
        <w:rPr>
          <w:color w:val="FFFFFF" w:themeColor="background1"/>
          <w:sz w:val="4"/>
          <w:szCs w:val="4"/>
        </w:rPr>
        <w:t xml:space="preserve"> Průměrná spotřeba dat v Česku na 1 datovou SIM kartu v MB</w:t>
      </w:r>
      <w:bookmarkEnd w:id="29"/>
    </w:p>
    <w:p w:rsidR="00471EB7" w:rsidRPr="00326DBE" w:rsidRDefault="00471EB7" w:rsidP="00471EB7">
      <w:pPr>
        <w:pStyle w:val="Zkladntext"/>
        <w:spacing w:before="0" w:after="10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4CF53D93" wp14:editId="77481E18">
            <wp:extent cx="3024000" cy="2520000"/>
            <wp:effectExtent l="0" t="0" r="5080" b="0"/>
            <wp:docPr id="35" name="Graf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Pr="00326DBE">
        <w:rPr>
          <w:noProof/>
          <w:lang w:eastAsia="en-US"/>
        </w:rPr>
        <w:t xml:space="preserve"> </w:t>
      </w:r>
      <w:r w:rsidRPr="00326DBE">
        <w:rPr>
          <w:noProof/>
        </w:rPr>
        <w:drawing>
          <wp:inline distT="0" distB="0" distL="0" distR="0" wp14:anchorId="24B77BED" wp14:editId="2E19FAA8">
            <wp:extent cx="3024000" cy="2520000"/>
            <wp:effectExtent l="0" t="0" r="5080" b="0"/>
            <wp:docPr id="37" name="Graf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</w:tabs>
        <w:spacing w:before="0" w:after="10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 xml:space="preserve">V posledních letech lze sledovat významný nárůst používání datových služeb v mobilních sítích a s tím souvisí, zejména od roku 2016, i skokový růst </w:t>
      </w:r>
      <w:r w:rsidRPr="00326DBE">
        <w:rPr>
          <w:b/>
          <w:sz w:val="20"/>
          <w:szCs w:val="20"/>
        </w:rPr>
        <w:t>objemu přenesených dat</w:t>
      </w:r>
      <w:r w:rsidRPr="00326DBE">
        <w:rPr>
          <w:sz w:val="20"/>
          <w:szCs w:val="20"/>
        </w:rPr>
        <w:t>. Na straně nabídky dochází a nadále bude docházet k zavádění nových technologií k rozšiřování a vylepšování mobilních sítí a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>ke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>zvyšování jejich kapacity a rychlosti přenosu dat. Nabídková strana rovněž stimuluje uživatele k</w:t>
      </w:r>
      <w:r w:rsidR="00580DC8">
        <w:rPr>
          <w:sz w:val="20"/>
          <w:szCs w:val="20"/>
        </w:rPr>
        <w:t> </w:t>
      </w:r>
      <w:r w:rsidRPr="00326DBE">
        <w:rPr>
          <w:sz w:val="20"/>
          <w:szCs w:val="20"/>
        </w:rPr>
        <w:t>využívání mobilních dat v ještě větší míře, a to prostřednictvím atraktivnějších nabídek mobilních tarifů s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 xml:space="preserve">daty a mobilního internetu, případně speciálních balíčků pro určitý typ spotřeby dat (např. sociální sítě, video, hudba apod.). Na straně poptávky se každoročně zvyšuje procentuální zastoupení koncových zařízení v podobě </w:t>
      </w:r>
      <w:proofErr w:type="spellStart"/>
      <w:r w:rsidRPr="00326DBE">
        <w:rPr>
          <w:sz w:val="20"/>
          <w:szCs w:val="20"/>
        </w:rPr>
        <w:t>smartphonů</w:t>
      </w:r>
      <w:proofErr w:type="spellEnd"/>
      <w:r w:rsidRPr="00326DBE">
        <w:rPr>
          <w:sz w:val="20"/>
          <w:szCs w:val="20"/>
        </w:rPr>
        <w:t xml:space="preserve">, </w:t>
      </w:r>
      <w:proofErr w:type="spellStart"/>
      <w:r w:rsidRPr="00326DBE">
        <w:rPr>
          <w:sz w:val="20"/>
          <w:szCs w:val="20"/>
        </w:rPr>
        <w:t>tabletů</w:t>
      </w:r>
      <w:proofErr w:type="spellEnd"/>
      <w:r w:rsidRPr="00326DBE">
        <w:rPr>
          <w:sz w:val="20"/>
          <w:szCs w:val="20"/>
        </w:rPr>
        <w:t>, modemů pro mobilní sítě aj., podporujících nejnovější standardy. Rovněž dochází k nárůstu používání aplikací v prostředí operačních systémů pro mobilní zařízení, pro</w:t>
      </w:r>
      <w:r w:rsidR="00F43A6B">
        <w:rPr>
          <w:sz w:val="20"/>
          <w:szCs w:val="20"/>
        </w:rPr>
        <w:t> </w:t>
      </w:r>
      <w:r w:rsidRPr="00326DBE">
        <w:rPr>
          <w:sz w:val="20"/>
          <w:szCs w:val="20"/>
        </w:rPr>
        <w:t>jejichž plnohodnotné fungování potřebují uživatelé mobilní datové připojení.</w:t>
      </w:r>
    </w:p>
    <w:p w:rsidR="00471EB7" w:rsidRPr="00326DBE" w:rsidRDefault="00471EB7" w:rsidP="00471EB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100" w:line="264" w:lineRule="auto"/>
        <w:ind w:left="284" w:hanging="284"/>
        <w:rPr>
          <w:sz w:val="20"/>
          <w:szCs w:val="20"/>
        </w:rPr>
      </w:pPr>
      <w:r w:rsidRPr="00326DBE">
        <w:rPr>
          <w:sz w:val="20"/>
          <w:szCs w:val="20"/>
        </w:rPr>
        <w:t>Z </w:t>
      </w:r>
      <w:r w:rsidRPr="00326DBE">
        <w:rPr>
          <w:b/>
          <w:sz w:val="20"/>
          <w:szCs w:val="20"/>
        </w:rPr>
        <w:t>evropské perspektivy</w:t>
      </w:r>
      <w:r w:rsidRPr="00326DBE">
        <w:rPr>
          <w:sz w:val="20"/>
          <w:szCs w:val="20"/>
        </w:rPr>
        <w:t xml:space="preserve"> je ČR ve využívání mobilního vysokorychlostního internetu </w:t>
      </w:r>
      <w:r w:rsidRPr="00326DBE">
        <w:rPr>
          <w:b/>
          <w:sz w:val="20"/>
          <w:szCs w:val="20"/>
        </w:rPr>
        <w:t xml:space="preserve">pod průměrem </w:t>
      </w:r>
      <w:r w:rsidRPr="00326DBE">
        <w:rPr>
          <w:sz w:val="20"/>
          <w:szCs w:val="20"/>
        </w:rPr>
        <w:t xml:space="preserve">EU28. V České republice </w:t>
      </w:r>
      <w:r w:rsidRPr="007745AC">
        <w:rPr>
          <w:sz w:val="20"/>
          <w:szCs w:val="20"/>
        </w:rPr>
        <w:t>připadalo 80,</w:t>
      </w:r>
      <w:r w:rsidR="008603EE" w:rsidRPr="007745AC">
        <w:rPr>
          <w:sz w:val="20"/>
          <w:szCs w:val="20"/>
        </w:rPr>
        <w:t>8</w:t>
      </w:r>
      <w:r w:rsidRPr="007745AC">
        <w:rPr>
          <w:sz w:val="20"/>
          <w:szCs w:val="20"/>
        </w:rPr>
        <w:t xml:space="preserve"> účastníků</w:t>
      </w:r>
      <w:r w:rsidRPr="00326DBE">
        <w:rPr>
          <w:sz w:val="20"/>
          <w:szCs w:val="20"/>
        </w:rPr>
        <w:t xml:space="preserve"> mobilního internetu na 100 obyvatel v roce 2016, zatímco průměr za země EU činil ve stejném roce 86,8 účastníků. </w:t>
      </w:r>
    </w:p>
    <w:p w:rsidR="00837E52" w:rsidRPr="00837E52" w:rsidRDefault="00837E52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30" w:name="_Toc524332510"/>
      <w:r w:rsidRPr="00837E52">
        <w:rPr>
          <w:color w:val="FFFFFF" w:themeColor="background1"/>
          <w:sz w:val="4"/>
          <w:szCs w:val="4"/>
        </w:rPr>
        <w:t>Graf A</w:t>
      </w:r>
      <w:r w:rsidRPr="00837E52">
        <w:rPr>
          <w:color w:val="FFFFFF" w:themeColor="background1"/>
          <w:sz w:val="4"/>
          <w:szCs w:val="4"/>
        </w:rPr>
        <w:fldChar w:fldCharType="begin"/>
      </w:r>
      <w:r w:rsidRPr="00837E52">
        <w:rPr>
          <w:color w:val="FFFFFF" w:themeColor="background1"/>
          <w:sz w:val="4"/>
          <w:szCs w:val="4"/>
        </w:rPr>
        <w:instrText xml:space="preserve"> SEQ Graf \* ARABIC </w:instrText>
      </w:r>
      <w:r w:rsidRPr="00837E52">
        <w:rPr>
          <w:color w:val="FFFFFF" w:themeColor="background1"/>
          <w:sz w:val="4"/>
          <w:szCs w:val="4"/>
        </w:rPr>
        <w:fldChar w:fldCharType="separate"/>
      </w:r>
      <w:r w:rsidR="001B7B0A">
        <w:rPr>
          <w:noProof/>
          <w:color w:val="FFFFFF" w:themeColor="background1"/>
          <w:sz w:val="4"/>
          <w:szCs w:val="4"/>
        </w:rPr>
        <w:t>21</w:t>
      </w:r>
      <w:r w:rsidRPr="00837E52">
        <w:rPr>
          <w:color w:val="FFFFFF" w:themeColor="background1"/>
          <w:sz w:val="4"/>
          <w:szCs w:val="4"/>
        </w:rPr>
        <w:fldChar w:fldCharType="end"/>
      </w:r>
      <w:r w:rsidRPr="00837E52">
        <w:rPr>
          <w:color w:val="FFFFFF" w:themeColor="background1"/>
          <w:sz w:val="4"/>
          <w:szCs w:val="4"/>
        </w:rPr>
        <w:t xml:space="preserve"> Rozšíření vysokorychlostního mobilního internetu v zemích EU</w:t>
      </w:r>
      <w:bookmarkEnd w:id="30"/>
      <w:r w:rsidRPr="00837E52">
        <w:rPr>
          <w:color w:val="FFFFFF" w:themeColor="background1"/>
          <w:sz w:val="4"/>
          <w:szCs w:val="4"/>
        </w:rPr>
        <w:t xml:space="preserve"> </w:t>
      </w:r>
    </w:p>
    <w:p w:rsidR="00471EB7" w:rsidRPr="00326DBE" w:rsidRDefault="00471EB7" w:rsidP="00471EB7">
      <w:pPr>
        <w:pStyle w:val="Zkladntext"/>
        <w:spacing w:before="0" w:after="100" w:line="264" w:lineRule="auto"/>
        <w:rPr>
          <w:sz w:val="20"/>
          <w:szCs w:val="20"/>
        </w:rPr>
      </w:pPr>
      <w:r w:rsidRPr="00326DBE">
        <w:rPr>
          <w:noProof/>
        </w:rPr>
        <w:drawing>
          <wp:inline distT="0" distB="0" distL="0" distR="0" wp14:anchorId="35B1C46A" wp14:editId="7FC8F7FC">
            <wp:extent cx="5972810" cy="3003550"/>
            <wp:effectExtent l="0" t="0" r="0" b="0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90B26" w:rsidRDefault="00090B26">
      <w:pPr>
        <w:spacing w:after="0" w:line="240" w:lineRule="auto"/>
        <w:rPr>
          <w:rFonts w:eastAsia="MS Gothic"/>
          <w:b/>
          <w:bCs/>
          <w:color w:val="009BB4"/>
          <w:sz w:val="28"/>
          <w:szCs w:val="26"/>
        </w:rPr>
      </w:pPr>
    </w:p>
    <w:bookmarkEnd w:id="0"/>
    <w:sectPr w:rsidR="00090B26" w:rsidSect="006D0F31">
      <w:type w:val="continuous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30" w:rsidRDefault="00151D30" w:rsidP="00E71A58">
      <w:r>
        <w:separator/>
      </w:r>
    </w:p>
  </w:endnote>
  <w:endnote w:type="continuationSeparator" w:id="0">
    <w:p w:rsidR="00151D30" w:rsidRDefault="00151D3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932443" w:rsidRDefault="00151D3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32EC8D48" wp14:editId="37F4C7A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0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FA6460">
      <w:rPr>
        <w:szCs w:val="16"/>
      </w:rPr>
      <w:t>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932443" w:rsidRDefault="00151D3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49BB92B" wp14:editId="251B7140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02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FA6460">
      <w:rPr>
        <w:rStyle w:val="ZpatChar"/>
        <w:szCs w:val="16"/>
      </w:rPr>
      <w:t>7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60" w:rsidRDefault="00FA64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30" w:rsidRDefault="00151D30" w:rsidP="00E71A58">
      <w:r>
        <w:separator/>
      </w:r>
    </w:p>
  </w:footnote>
  <w:footnote w:type="continuationSeparator" w:id="0">
    <w:p w:rsidR="00151D30" w:rsidRDefault="00151D30" w:rsidP="00E71A58">
      <w:r>
        <w:continuationSeparator/>
      </w:r>
    </w:p>
  </w:footnote>
  <w:footnote w:id="1">
    <w:p w:rsidR="00151D30" w:rsidRPr="00A7492D" w:rsidRDefault="00151D30" w:rsidP="00471EB7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A7492D">
        <w:rPr>
          <w:rStyle w:val="Znakapoznpodarou"/>
          <w:rFonts w:ascii="Arial" w:hAnsi="Arial" w:cs="Arial"/>
          <w:sz w:val="18"/>
          <w:szCs w:val="18"/>
        </w:rPr>
        <w:footnoteRef/>
      </w:r>
      <w:r w:rsidRPr="00A7492D">
        <w:rPr>
          <w:rFonts w:ascii="Arial" w:hAnsi="Arial" w:cs="Arial"/>
          <w:sz w:val="18"/>
          <w:szCs w:val="18"/>
        </w:rPr>
        <w:t xml:space="preserve"> Účastníkem veřejně dostupných služeb elektronických komunikací je fyzická nebo právnická osoba, která je napojena na veřejnou pevnou nebo mobilní síť na základě smlouvy s poskytovatelem </w:t>
      </w:r>
      <w:r>
        <w:rPr>
          <w:rFonts w:ascii="Arial" w:hAnsi="Arial" w:cs="Arial"/>
          <w:sz w:val="18"/>
          <w:szCs w:val="18"/>
        </w:rPr>
        <w:t xml:space="preserve">o </w:t>
      </w:r>
      <w:r w:rsidRPr="00A7492D">
        <w:rPr>
          <w:rFonts w:ascii="Arial" w:hAnsi="Arial" w:cs="Arial"/>
          <w:sz w:val="18"/>
          <w:szCs w:val="18"/>
        </w:rPr>
        <w:t xml:space="preserve">přístupu k těmto sítím v rámci poskytované služby. </w:t>
      </w:r>
    </w:p>
  </w:footnote>
  <w:footnote w:id="2">
    <w:p w:rsidR="00151D30" w:rsidRPr="00A354B1" w:rsidRDefault="00151D30" w:rsidP="00471EB7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A7492D">
        <w:rPr>
          <w:rStyle w:val="Znakapoznpodarou"/>
          <w:rFonts w:ascii="Arial" w:hAnsi="Arial" w:cs="Arial"/>
          <w:sz w:val="18"/>
          <w:szCs w:val="18"/>
        </w:rPr>
        <w:footnoteRef/>
      </w:r>
      <w:r w:rsidRPr="00A7492D">
        <w:rPr>
          <w:rFonts w:ascii="Arial" w:hAnsi="Arial" w:cs="Arial"/>
          <w:sz w:val="18"/>
          <w:szCs w:val="18"/>
        </w:rPr>
        <w:t xml:space="preserve"> Počet účastníků hlasové služby v pevné síti je měřen na základě počtu účastnických telefonních stanic (linek) poskytovaných prostřednictvím komutované telefonní sítě (PSTN: Public </w:t>
      </w:r>
      <w:proofErr w:type="spellStart"/>
      <w:r w:rsidRPr="00A7492D">
        <w:rPr>
          <w:rFonts w:ascii="Arial" w:hAnsi="Arial" w:cs="Arial"/>
          <w:sz w:val="18"/>
          <w:szCs w:val="18"/>
        </w:rPr>
        <w:t>Switched</w:t>
      </w:r>
      <w:proofErr w:type="spellEnd"/>
      <w:r w:rsidRPr="00A749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492D">
        <w:rPr>
          <w:rFonts w:ascii="Arial" w:hAnsi="Arial" w:cs="Arial"/>
          <w:sz w:val="18"/>
          <w:szCs w:val="18"/>
        </w:rPr>
        <w:t>Telephone</w:t>
      </w:r>
      <w:proofErr w:type="spellEnd"/>
      <w:r w:rsidRPr="00A7492D">
        <w:rPr>
          <w:rFonts w:ascii="Arial" w:hAnsi="Arial" w:cs="Arial"/>
          <w:sz w:val="18"/>
          <w:szCs w:val="18"/>
        </w:rPr>
        <w:t xml:space="preserve"> Network) a počtu čísel využívaných pro hlasovou telefonní službu prostřednictvím technologie internetové hlasové služby (</w:t>
      </w:r>
      <w:proofErr w:type="spellStart"/>
      <w:r w:rsidRPr="00A7492D">
        <w:rPr>
          <w:rFonts w:ascii="Arial" w:hAnsi="Arial" w:cs="Arial"/>
          <w:sz w:val="18"/>
          <w:szCs w:val="18"/>
        </w:rPr>
        <w:t>VoIP</w:t>
      </w:r>
      <w:proofErr w:type="spellEnd"/>
      <w:r w:rsidRPr="00A7492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A7492D">
        <w:rPr>
          <w:rFonts w:ascii="Arial" w:hAnsi="Arial" w:cs="Arial"/>
          <w:sz w:val="18"/>
          <w:szCs w:val="18"/>
        </w:rPr>
        <w:t>Voice</w:t>
      </w:r>
      <w:proofErr w:type="spellEnd"/>
      <w:r w:rsidRPr="00A749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492D">
        <w:rPr>
          <w:rFonts w:ascii="Arial" w:hAnsi="Arial" w:cs="Arial"/>
          <w:sz w:val="18"/>
          <w:szCs w:val="18"/>
        </w:rPr>
        <w:t>over</w:t>
      </w:r>
      <w:proofErr w:type="spellEnd"/>
      <w:r w:rsidRPr="00A7492D">
        <w:rPr>
          <w:rFonts w:ascii="Arial" w:hAnsi="Arial" w:cs="Arial"/>
          <w:sz w:val="18"/>
          <w:szCs w:val="18"/>
        </w:rPr>
        <w:t xml:space="preserve"> Internet </w:t>
      </w:r>
      <w:proofErr w:type="spellStart"/>
      <w:r w:rsidRPr="00A7492D">
        <w:rPr>
          <w:rFonts w:ascii="Arial" w:hAnsi="Arial" w:cs="Arial"/>
          <w:sz w:val="18"/>
          <w:szCs w:val="18"/>
        </w:rPr>
        <w:t>Protocol</w:t>
      </w:r>
      <w:proofErr w:type="spellEnd"/>
      <w:r w:rsidRPr="00A7492D">
        <w:rPr>
          <w:rFonts w:ascii="Arial" w:hAnsi="Arial" w:cs="Arial"/>
          <w:sz w:val="18"/>
          <w:szCs w:val="18"/>
        </w:rPr>
        <w:t>).</w:t>
      </w:r>
    </w:p>
  </w:footnote>
  <w:footnote w:id="3">
    <w:p w:rsidR="00151D30" w:rsidRDefault="00151D30" w:rsidP="00471EB7">
      <w:pPr>
        <w:pStyle w:val="Textpoznpodarou"/>
        <w:spacing w:before="60"/>
        <w:jc w:val="both"/>
      </w:pPr>
      <w:r w:rsidRPr="007C4A67">
        <w:rPr>
          <w:rStyle w:val="Znakapoznpodarou"/>
          <w:rFonts w:ascii="Arial" w:hAnsi="Arial" w:cs="Arial"/>
          <w:sz w:val="18"/>
          <w:szCs w:val="18"/>
        </w:rPr>
        <w:footnoteRef/>
      </w:r>
      <w:r w:rsidRPr="007C4A67">
        <w:rPr>
          <w:rFonts w:ascii="Arial" w:hAnsi="Arial" w:cs="Arial"/>
          <w:sz w:val="18"/>
          <w:szCs w:val="18"/>
        </w:rPr>
        <w:t xml:space="preserve"> Podrobnější informace o počtu domácností používajících pevnou telefonní linku jsou k dispozici v </w:t>
      </w:r>
      <w:proofErr w:type="gramStart"/>
      <w:r w:rsidRPr="007C4A67">
        <w:rPr>
          <w:rFonts w:ascii="Arial" w:hAnsi="Arial" w:cs="Arial"/>
          <w:sz w:val="18"/>
          <w:szCs w:val="18"/>
        </w:rPr>
        <w:t>kapitole B.1 této</w:t>
      </w:r>
      <w:proofErr w:type="gramEnd"/>
      <w:r w:rsidRPr="007C4A67">
        <w:rPr>
          <w:rFonts w:ascii="Arial" w:hAnsi="Arial" w:cs="Arial"/>
          <w:sz w:val="18"/>
          <w:szCs w:val="18"/>
        </w:rPr>
        <w:t xml:space="preserve"> analýzy.</w:t>
      </w:r>
      <w:bookmarkStart w:id="4" w:name="_GoBack"/>
      <w:bookmarkEnd w:id="4"/>
    </w:p>
  </w:footnote>
  <w:footnote w:id="4">
    <w:p w:rsidR="00151D30" w:rsidRPr="008B309E" w:rsidRDefault="00151D30" w:rsidP="00471EB7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8B309E">
        <w:rPr>
          <w:rStyle w:val="Znakapoznpodarou"/>
          <w:rFonts w:ascii="Arial" w:hAnsi="Arial" w:cs="Arial"/>
          <w:sz w:val="18"/>
          <w:szCs w:val="18"/>
        </w:rPr>
        <w:footnoteRef/>
      </w:r>
      <w:r w:rsidRPr="008B309E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Účastnická stanice </w:t>
      </w:r>
      <w:proofErr w:type="spellStart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VoIP</w:t>
      </w:r>
      <w:proofErr w:type="spellEnd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je hlasová služba poskytovaná prostřednictvím technologie </w:t>
      </w:r>
      <w:proofErr w:type="spellStart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Voice</w:t>
      </w:r>
      <w:proofErr w:type="spellEnd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proofErr w:type="spellStart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over</w:t>
      </w:r>
      <w:proofErr w:type="spellEnd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Internet </w:t>
      </w:r>
      <w:proofErr w:type="spellStart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Protocol</w:t>
      </w:r>
      <w:proofErr w:type="spellEnd"/>
      <w:r w:rsidRPr="008B309E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B309E">
        <w:rPr>
          <w:rFonts w:ascii="Arial" w:hAnsi="Arial" w:cs="Arial"/>
          <w:sz w:val="18"/>
          <w:szCs w:val="18"/>
        </w:rPr>
        <w:t>VoIP</w:t>
      </w:r>
      <w:proofErr w:type="spellEnd"/>
      <w:r w:rsidRPr="00C02DB3">
        <w:rPr>
          <w:rStyle w:val="Znakapoznpodarou"/>
          <w:rFonts w:ascii="Arial" w:hAnsi="Arial" w:cs="Arial"/>
          <w:sz w:val="18"/>
          <w:szCs w:val="18"/>
          <w:vertAlign w:val="baseline"/>
        </w:rPr>
        <w:t>),</w:t>
      </w:r>
      <w:r w:rsidRPr="008B309E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nazývaná také IP telefonie</w:t>
      </w:r>
      <w:r w:rsidRPr="008B309E">
        <w:rPr>
          <w:rFonts w:ascii="Arial" w:hAnsi="Arial" w:cs="Arial"/>
          <w:sz w:val="18"/>
          <w:szCs w:val="18"/>
        </w:rPr>
        <w:t xml:space="preserve">. </w:t>
      </w:r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Hlasové služby prostřednictvím technologie </w:t>
      </w:r>
      <w:proofErr w:type="spellStart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VoIP</w:t>
      </w:r>
      <w:proofErr w:type="spellEnd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tvoří alternativu k hlasovým službám poskytovaným prostřednictvím klasické pevné telefonní sítě založené na propojování okruhů (komutovaná síť – PSTN). Počet </w:t>
      </w:r>
      <w:proofErr w:type="spellStart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VoIP</w:t>
      </w:r>
      <w:proofErr w:type="spellEnd"/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účastnických stanic odpovídá počtu aktivních geografických čísel, tj. počtu čísel využívaných účastníky.</w:t>
      </w:r>
    </w:p>
  </w:footnote>
  <w:footnote w:id="5">
    <w:p w:rsidR="00151D30" w:rsidRPr="00A7492D" w:rsidRDefault="00151D30" w:rsidP="00471EB7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A7492D">
        <w:rPr>
          <w:rStyle w:val="Znakapoznpodarou"/>
          <w:rFonts w:ascii="Arial" w:hAnsi="Arial" w:cs="Arial"/>
          <w:sz w:val="18"/>
          <w:szCs w:val="18"/>
        </w:rPr>
        <w:footnoteRef/>
      </w:r>
      <w:r w:rsidRPr="00A7492D">
        <w:rPr>
          <w:rFonts w:ascii="Arial" w:hAnsi="Arial" w:cs="Arial"/>
          <w:sz w:val="18"/>
          <w:szCs w:val="18"/>
        </w:rPr>
        <w:t xml:space="preserve"> Účastník mobilní telefonní sítě je fyzická nebo právnická osoba, která je napojena na veřejnou mobilní telefonní síť na</w:t>
      </w:r>
      <w:r>
        <w:rPr>
          <w:rFonts w:ascii="Arial" w:hAnsi="Arial" w:cs="Arial"/>
          <w:sz w:val="18"/>
          <w:szCs w:val="18"/>
        </w:rPr>
        <w:t> </w:t>
      </w:r>
      <w:r w:rsidRPr="00A7492D">
        <w:rPr>
          <w:rFonts w:ascii="Arial" w:hAnsi="Arial" w:cs="Arial"/>
          <w:sz w:val="18"/>
          <w:szCs w:val="18"/>
        </w:rPr>
        <w:t xml:space="preserve">základě smlouvy s poskytovatelem </w:t>
      </w:r>
      <w:r>
        <w:rPr>
          <w:rFonts w:ascii="Arial" w:hAnsi="Arial" w:cs="Arial"/>
          <w:sz w:val="18"/>
          <w:szCs w:val="18"/>
        </w:rPr>
        <w:t xml:space="preserve">o </w:t>
      </w:r>
      <w:r w:rsidRPr="00A7492D">
        <w:rPr>
          <w:rFonts w:ascii="Arial" w:hAnsi="Arial" w:cs="Arial"/>
          <w:sz w:val="18"/>
          <w:szCs w:val="18"/>
        </w:rPr>
        <w:t>přístupu k těmto sítím. Počet účastníků v mobilní telefonní síti je měřen na</w:t>
      </w:r>
      <w:r>
        <w:rPr>
          <w:rFonts w:ascii="Arial" w:hAnsi="Arial" w:cs="Arial"/>
          <w:sz w:val="18"/>
          <w:szCs w:val="18"/>
        </w:rPr>
        <w:t> </w:t>
      </w:r>
      <w:r w:rsidRPr="00A7492D">
        <w:rPr>
          <w:rFonts w:ascii="Arial" w:hAnsi="Arial" w:cs="Arial"/>
          <w:sz w:val="18"/>
          <w:szCs w:val="18"/>
        </w:rPr>
        <w:t xml:space="preserve">základě počtu aktivních SIM karet, tj. těch, které byly použity minimálně jednou za poslední tři měsíce. </w:t>
      </w:r>
    </w:p>
  </w:footnote>
  <w:footnote w:id="6">
    <w:p w:rsidR="00151D30" w:rsidRPr="008B309E" w:rsidRDefault="00151D30" w:rsidP="00FE5959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A7492D">
        <w:rPr>
          <w:rStyle w:val="Znakapoznpodarou"/>
          <w:rFonts w:ascii="Arial" w:hAnsi="Arial" w:cs="Arial"/>
          <w:sz w:val="18"/>
          <w:szCs w:val="18"/>
        </w:rPr>
        <w:footnoteRef/>
      </w:r>
      <w:r w:rsidRPr="00A7492D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SIM karta je účastnická karta, která slouží pro identifikaci účastníka ve veřejné mobilní telefonní síti. SIM karty zahrnují jak předplacené karty, kdy zákazník neuzavírá s poskytovatelem žádnou smlouvu, pouze předem zaplatí určitou částku, ze které mu poskytovatel postupně odečítá platby za poskytnuté služby, tak i tarifní karty, kdy zákazníci mají s</w:t>
      </w:r>
      <w:r w:rsidRPr="008B309E">
        <w:rPr>
          <w:rFonts w:ascii="Arial" w:hAnsi="Arial" w:cs="Arial"/>
          <w:sz w:val="18"/>
          <w:szCs w:val="18"/>
        </w:rPr>
        <w:t> </w:t>
      </w:r>
      <w:r w:rsidRPr="008B309E">
        <w:rPr>
          <w:rStyle w:val="Znakapoznpodarou"/>
          <w:rFonts w:ascii="Arial" w:hAnsi="Arial" w:cs="Arial"/>
          <w:sz w:val="18"/>
          <w:szCs w:val="18"/>
          <w:vertAlign w:val="baseline"/>
        </w:rPr>
        <w:t>operátorem uzavřenou smlouvu, na jejímž základě platí za služby podle měsíčního vyúčtování</w:t>
      </w:r>
      <w:r w:rsidRPr="008B309E">
        <w:rPr>
          <w:rFonts w:ascii="Arial" w:hAnsi="Arial" w:cs="Arial"/>
          <w:sz w:val="18"/>
          <w:szCs w:val="18"/>
        </w:rPr>
        <w:t>.</w:t>
      </w:r>
    </w:p>
  </w:footnote>
  <w:footnote w:id="7">
    <w:p w:rsidR="00151D30" w:rsidRPr="00A7492D" w:rsidRDefault="00151D30" w:rsidP="00471EB7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A7492D">
        <w:rPr>
          <w:rStyle w:val="Znakapoznpodarou"/>
          <w:rFonts w:ascii="Arial" w:hAnsi="Arial" w:cs="Arial"/>
          <w:sz w:val="18"/>
          <w:szCs w:val="18"/>
        </w:rPr>
        <w:footnoteRef/>
      </w:r>
      <w:r w:rsidRPr="00A7492D">
        <w:rPr>
          <w:rFonts w:ascii="Arial" w:hAnsi="Arial" w:cs="Arial"/>
          <w:sz w:val="18"/>
          <w:szCs w:val="18"/>
        </w:rPr>
        <w:t xml:space="preserve"> M2M (</w:t>
      </w:r>
      <w:proofErr w:type="spellStart"/>
      <w:r w:rsidRPr="00A7492D">
        <w:rPr>
          <w:rFonts w:ascii="Arial" w:hAnsi="Arial" w:cs="Arial"/>
          <w:sz w:val="18"/>
          <w:szCs w:val="18"/>
        </w:rPr>
        <w:t>Machine</w:t>
      </w:r>
      <w:proofErr w:type="spellEnd"/>
      <w:r w:rsidRPr="00A7492D">
        <w:rPr>
          <w:rFonts w:ascii="Arial" w:hAnsi="Arial" w:cs="Arial"/>
          <w:sz w:val="18"/>
          <w:szCs w:val="18"/>
        </w:rPr>
        <w:t>-to-</w:t>
      </w:r>
      <w:proofErr w:type="spellStart"/>
      <w:r w:rsidRPr="00A7492D">
        <w:rPr>
          <w:rFonts w:ascii="Arial" w:hAnsi="Arial" w:cs="Arial"/>
          <w:sz w:val="18"/>
          <w:szCs w:val="18"/>
        </w:rPr>
        <w:t>machine</w:t>
      </w:r>
      <w:proofErr w:type="spellEnd"/>
      <w:r w:rsidRPr="00A7492D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–</w:t>
      </w:r>
      <w:r w:rsidRPr="00A7492D">
        <w:rPr>
          <w:rFonts w:ascii="Arial" w:hAnsi="Arial" w:cs="Arial"/>
          <w:sz w:val="18"/>
          <w:szCs w:val="18"/>
        </w:rPr>
        <w:t xml:space="preserve"> SIM karty určené výhradně pro bezdrátovou komunikaci mezi stroji, zařízeními a systémy bez nutnosti lidského zásahu.</w:t>
      </w:r>
    </w:p>
  </w:footnote>
  <w:footnote w:id="8">
    <w:p w:rsidR="00151D30" w:rsidRDefault="00151D30" w:rsidP="00FE5959">
      <w:pPr>
        <w:pStyle w:val="Textpoznpodarou"/>
        <w:spacing w:before="60"/>
        <w:jc w:val="both"/>
      </w:pPr>
      <w:r w:rsidRPr="00FE5959">
        <w:rPr>
          <w:rStyle w:val="Znakapoznpodarou"/>
          <w:rFonts w:ascii="Arial" w:hAnsi="Arial" w:cs="Arial"/>
          <w:sz w:val="18"/>
          <w:szCs w:val="18"/>
        </w:rPr>
        <w:footnoteRef/>
      </w:r>
      <w:r w:rsidRPr="00FE5959">
        <w:rPr>
          <w:rFonts w:ascii="Arial" w:hAnsi="Arial" w:cs="Arial"/>
          <w:sz w:val="18"/>
          <w:szCs w:val="18"/>
        </w:rPr>
        <w:t xml:space="preserve"> </w:t>
      </w:r>
      <w:r w:rsidRPr="00FE5959">
        <w:rPr>
          <w:rFonts w:ascii="Arial" w:hAnsi="Arial" w:cs="Arial"/>
          <w:sz w:val="18"/>
        </w:rPr>
        <w:t xml:space="preserve">Internet věcí (anglicky Internet </w:t>
      </w:r>
      <w:proofErr w:type="spellStart"/>
      <w:r w:rsidRPr="00FE5959">
        <w:rPr>
          <w:rFonts w:ascii="Arial" w:hAnsi="Arial" w:cs="Arial"/>
          <w:sz w:val="18"/>
        </w:rPr>
        <w:t>of</w:t>
      </w:r>
      <w:proofErr w:type="spellEnd"/>
      <w:r w:rsidRPr="00FE5959">
        <w:rPr>
          <w:rFonts w:ascii="Arial" w:hAnsi="Arial" w:cs="Arial"/>
          <w:sz w:val="18"/>
        </w:rPr>
        <w:t xml:space="preserve"> </w:t>
      </w:r>
      <w:proofErr w:type="spellStart"/>
      <w:r w:rsidRPr="00FE5959">
        <w:rPr>
          <w:rFonts w:ascii="Arial" w:hAnsi="Arial" w:cs="Arial"/>
          <w:sz w:val="18"/>
        </w:rPr>
        <w:t>Things</w:t>
      </w:r>
      <w:proofErr w:type="spellEnd"/>
      <w:r w:rsidRPr="00FE5959">
        <w:rPr>
          <w:rFonts w:ascii="Arial" w:hAnsi="Arial" w:cs="Arial"/>
          <w:sz w:val="18"/>
        </w:rPr>
        <w:t xml:space="preserve">, zkratka </w:t>
      </w:r>
      <w:proofErr w:type="spellStart"/>
      <w:r w:rsidRPr="00FE5959">
        <w:rPr>
          <w:rFonts w:ascii="Arial" w:hAnsi="Arial" w:cs="Arial"/>
          <w:sz w:val="18"/>
        </w:rPr>
        <w:t>IoT</w:t>
      </w:r>
      <w:proofErr w:type="spellEnd"/>
      <w:r w:rsidRPr="00FE5959">
        <w:rPr>
          <w:rFonts w:ascii="Arial" w:hAnsi="Arial" w:cs="Arial"/>
          <w:sz w:val="18"/>
        </w:rPr>
        <w:t xml:space="preserve">) je označení pro </w:t>
      </w:r>
      <w:r>
        <w:rPr>
          <w:rFonts w:ascii="Arial" w:hAnsi="Arial" w:cs="Arial"/>
          <w:sz w:val="18"/>
        </w:rPr>
        <w:t>přístroje (</w:t>
      </w:r>
      <w:r w:rsidRPr="00FE5959">
        <w:rPr>
          <w:rFonts w:ascii="Arial" w:hAnsi="Arial" w:cs="Arial"/>
          <w:sz w:val="18"/>
        </w:rPr>
        <w:t>vozidl</w:t>
      </w:r>
      <w:r>
        <w:rPr>
          <w:rFonts w:ascii="Arial" w:hAnsi="Arial" w:cs="Arial"/>
          <w:sz w:val="18"/>
        </w:rPr>
        <w:t>a</w:t>
      </w:r>
      <w:r w:rsidRPr="00FE5959">
        <w:rPr>
          <w:rFonts w:ascii="Arial" w:hAnsi="Arial" w:cs="Arial"/>
          <w:sz w:val="18"/>
        </w:rPr>
        <w:t>, domácích spotřebič</w:t>
      </w:r>
      <w:r>
        <w:rPr>
          <w:rFonts w:ascii="Arial" w:hAnsi="Arial" w:cs="Arial"/>
          <w:sz w:val="18"/>
        </w:rPr>
        <w:t>e</w:t>
      </w:r>
      <w:r w:rsidRPr="00FE5959">
        <w:rPr>
          <w:rFonts w:ascii="Arial" w:hAnsi="Arial" w:cs="Arial"/>
          <w:sz w:val="18"/>
        </w:rPr>
        <w:t xml:space="preserve"> a dalších zařízení</w:t>
      </w:r>
      <w:r>
        <w:rPr>
          <w:rFonts w:ascii="Arial" w:hAnsi="Arial" w:cs="Arial"/>
          <w:sz w:val="18"/>
        </w:rPr>
        <w:t>)</w:t>
      </w:r>
      <w:r w:rsidRPr="00FE5959">
        <w:rPr>
          <w:rFonts w:ascii="Arial" w:hAnsi="Arial" w:cs="Arial"/>
          <w:sz w:val="18"/>
        </w:rPr>
        <w:t xml:space="preserve"> vybavena elektronikou, softwarem, senzory, pohyblivými částmi a síťovou konektivitou, která umožňuje těmto zařízením se propojit a vyměňovat si data</w:t>
      </w:r>
      <w:r>
        <w:rPr>
          <w:rFonts w:ascii="Arial" w:hAnsi="Arial" w:cs="Arial"/>
          <w:sz w:val="18"/>
        </w:rPr>
        <w:t xml:space="preserve"> a být ovladatelná i na dálku, </w:t>
      </w:r>
      <w:r w:rsidRPr="00FE5959">
        <w:rPr>
          <w:rFonts w:ascii="Arial" w:hAnsi="Arial" w:cs="Arial"/>
          <w:sz w:val="18"/>
        </w:rPr>
        <w:t xml:space="preserve">a to zejména prostřednictvím technologií bezdrátového přenosu dat a internetu </w:t>
      </w:r>
      <w:r>
        <w:rPr>
          <w:rFonts w:ascii="Arial" w:hAnsi="Arial" w:cs="Arial"/>
          <w:sz w:val="18"/>
        </w:rPr>
        <w:t xml:space="preserve">např. prostřednictvím mobilního telefonu. </w:t>
      </w:r>
    </w:p>
  </w:footnote>
  <w:footnote w:id="9">
    <w:p w:rsidR="00151D30" w:rsidRPr="00341F5F" w:rsidRDefault="00151D30" w:rsidP="00471EB7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A7492D">
        <w:rPr>
          <w:rStyle w:val="Znakapoznpodarou"/>
          <w:rFonts w:ascii="Arial" w:hAnsi="Arial" w:cs="Arial"/>
          <w:sz w:val="18"/>
          <w:szCs w:val="18"/>
        </w:rPr>
        <w:footnoteRef/>
      </w:r>
      <w:r w:rsidRPr="00A7492D">
        <w:rPr>
          <w:rFonts w:ascii="Arial" w:hAnsi="Arial" w:cs="Arial"/>
          <w:sz w:val="18"/>
          <w:szCs w:val="18"/>
        </w:rPr>
        <w:t xml:space="preserve"> Celkový odchozí (generovaný) hlasový provoz z veřejných pevných nebo mobilních telefonních sítí je dán počtem skutečně provolaných (reálných, nikoli účtovaných) minut.</w:t>
      </w:r>
      <w:r w:rsidRPr="00341F5F">
        <w:rPr>
          <w:rFonts w:ascii="Arial" w:hAnsi="Arial" w:cs="Arial"/>
          <w:sz w:val="18"/>
          <w:szCs w:val="18"/>
        </w:rPr>
        <w:t xml:space="preserve"> </w:t>
      </w:r>
    </w:p>
  </w:footnote>
  <w:footnote w:id="10">
    <w:p w:rsidR="00151D30" w:rsidRPr="00FA28A2" w:rsidRDefault="00151D30">
      <w:pPr>
        <w:pStyle w:val="Textpoznpodarou"/>
        <w:rPr>
          <w:rFonts w:ascii="Arial" w:hAnsi="Arial" w:cs="Arial"/>
        </w:rPr>
      </w:pPr>
      <w:r w:rsidRPr="00FA28A2">
        <w:rPr>
          <w:rStyle w:val="Znakapoznpodarou"/>
          <w:rFonts w:ascii="Arial" w:hAnsi="Arial" w:cs="Arial"/>
          <w:sz w:val="18"/>
        </w:rPr>
        <w:footnoteRef/>
      </w:r>
      <w:r w:rsidRPr="00FA28A2">
        <w:rPr>
          <w:rFonts w:ascii="Arial" w:hAnsi="Arial" w:cs="Arial"/>
          <w:sz w:val="18"/>
        </w:rPr>
        <w:t xml:space="preserve"> Provoz je </w:t>
      </w:r>
      <w:r>
        <w:rPr>
          <w:rFonts w:ascii="Arial" w:hAnsi="Arial" w:cs="Arial"/>
          <w:sz w:val="18"/>
        </w:rPr>
        <w:t xml:space="preserve">zde </w:t>
      </w:r>
      <w:r w:rsidRPr="00FA28A2">
        <w:rPr>
          <w:rFonts w:ascii="Arial" w:hAnsi="Arial" w:cs="Arial"/>
          <w:sz w:val="18"/>
        </w:rPr>
        <w:t>měřen v minutách.</w:t>
      </w:r>
    </w:p>
  </w:footnote>
  <w:footnote w:id="11">
    <w:p w:rsidR="00151D30" w:rsidRPr="00CD0E64" w:rsidRDefault="00151D30" w:rsidP="00471EB7">
      <w:pPr>
        <w:pStyle w:val="Textpoznpodarou"/>
        <w:spacing w:before="60" w:after="60"/>
        <w:jc w:val="both"/>
        <w:rPr>
          <w:rFonts w:ascii="Arial" w:hAnsi="Arial" w:cs="Arial"/>
          <w:sz w:val="18"/>
        </w:rPr>
      </w:pPr>
      <w:r w:rsidRPr="00CD0E64">
        <w:rPr>
          <w:rStyle w:val="Znakapoznpodarou"/>
          <w:rFonts w:ascii="Arial" w:hAnsi="Arial" w:cs="Arial"/>
          <w:sz w:val="18"/>
        </w:rPr>
        <w:footnoteRef/>
      </w:r>
      <w:r w:rsidRPr="00CD0E64">
        <w:rPr>
          <w:rFonts w:ascii="Arial" w:hAnsi="Arial" w:cs="Arial"/>
          <w:sz w:val="18"/>
        </w:rPr>
        <w:t xml:space="preserve"> V roce 2018 je to již 26 let, co se Česká republika připojila poprvé k internetu. Z hlediska informačních technologií šlo o</w:t>
      </w:r>
      <w:r>
        <w:rPr>
          <w:rFonts w:ascii="Arial" w:hAnsi="Arial" w:cs="Arial"/>
          <w:sz w:val="18"/>
        </w:rPr>
        <w:t> </w:t>
      </w:r>
      <w:r w:rsidRPr="00CD0E64">
        <w:rPr>
          <w:rFonts w:ascii="Arial" w:hAnsi="Arial" w:cs="Arial"/>
          <w:sz w:val="18"/>
        </w:rPr>
        <w:t>významnou událost, jež proběhla 13. února 1992 na půdě Českého vysokého učení technického v Praze. V prvních letech byl internet výlučně akademick</w:t>
      </w:r>
      <w:r>
        <w:rPr>
          <w:rFonts w:ascii="Arial" w:hAnsi="Arial" w:cs="Arial"/>
          <w:sz w:val="18"/>
        </w:rPr>
        <w:t>ou záležitostí</w:t>
      </w:r>
      <w:r w:rsidRPr="00CD0E64">
        <w:rPr>
          <w:rFonts w:ascii="Arial" w:hAnsi="Arial" w:cs="Arial"/>
          <w:sz w:val="18"/>
        </w:rPr>
        <w:t>. Od roku 1995 dochází k jeho postupné liberalizaci a</w:t>
      </w:r>
      <w:r>
        <w:rPr>
          <w:rFonts w:ascii="Arial" w:hAnsi="Arial" w:cs="Arial"/>
          <w:sz w:val="18"/>
        </w:rPr>
        <w:t> </w:t>
      </w:r>
      <w:r w:rsidRPr="00CD0E64">
        <w:rPr>
          <w:rFonts w:ascii="Arial" w:hAnsi="Arial" w:cs="Arial"/>
          <w:sz w:val="18"/>
        </w:rPr>
        <w:t>komercionalizaci.</w:t>
      </w:r>
    </w:p>
  </w:footnote>
  <w:footnote w:id="12">
    <w:p w:rsidR="00151D30" w:rsidRPr="00A7492D" w:rsidRDefault="00151D30" w:rsidP="00471EB7">
      <w:pPr>
        <w:pStyle w:val="Textpoznpodarou"/>
        <w:spacing w:after="60"/>
        <w:jc w:val="both"/>
        <w:rPr>
          <w:rFonts w:ascii="Arial" w:hAnsi="Arial" w:cs="Arial"/>
          <w:sz w:val="18"/>
          <w:szCs w:val="18"/>
        </w:rPr>
      </w:pPr>
      <w:r w:rsidRPr="00A7492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A7492D">
        <w:rPr>
          <w:rFonts w:ascii="Arial" w:hAnsi="Arial" w:cs="Arial"/>
          <w:sz w:val="18"/>
          <w:szCs w:val="18"/>
        </w:rPr>
        <w:t>Počet účastníků s přístupem k internetu v pevné</w:t>
      </w:r>
      <w:r>
        <w:rPr>
          <w:rFonts w:ascii="Arial" w:hAnsi="Arial" w:cs="Arial"/>
          <w:sz w:val="18"/>
          <w:szCs w:val="18"/>
        </w:rPr>
        <w:t>m místě (</w:t>
      </w:r>
      <w:proofErr w:type="spellStart"/>
      <w:r>
        <w:rPr>
          <w:rFonts w:ascii="Arial" w:hAnsi="Arial" w:cs="Arial"/>
          <w:sz w:val="18"/>
          <w:szCs w:val="18"/>
        </w:rPr>
        <w:t>fix</w:t>
      </w:r>
      <w:r w:rsidRPr="00A7492D">
        <w:rPr>
          <w:rFonts w:ascii="Arial" w:hAnsi="Arial" w:cs="Arial"/>
          <w:sz w:val="18"/>
          <w:szCs w:val="18"/>
        </w:rPr>
        <w:t>ed</w:t>
      </w:r>
      <w:proofErr w:type="spellEnd"/>
      <w:r w:rsidRPr="00A749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492D">
        <w:rPr>
          <w:rFonts w:ascii="Arial" w:hAnsi="Arial" w:cs="Arial"/>
          <w:sz w:val="18"/>
          <w:szCs w:val="18"/>
        </w:rPr>
        <w:t>broadband</w:t>
      </w:r>
      <w:proofErr w:type="spellEnd"/>
      <w:r w:rsidRPr="00A7492D">
        <w:rPr>
          <w:rFonts w:ascii="Arial" w:hAnsi="Arial" w:cs="Arial"/>
          <w:sz w:val="18"/>
          <w:szCs w:val="18"/>
        </w:rPr>
        <w:t>) je měřen na základě počtu tzv.</w:t>
      </w:r>
      <w:r>
        <w:rPr>
          <w:rFonts w:ascii="Arial" w:hAnsi="Arial" w:cs="Arial"/>
          <w:sz w:val="18"/>
          <w:szCs w:val="18"/>
        </w:rPr>
        <w:t> </w:t>
      </w:r>
      <w:r w:rsidRPr="00A7492D">
        <w:rPr>
          <w:rFonts w:ascii="Arial" w:hAnsi="Arial" w:cs="Arial"/>
          <w:sz w:val="18"/>
          <w:szCs w:val="18"/>
        </w:rPr>
        <w:t xml:space="preserve">přístupových míst (aktivních přípojek), na kterých je poskytována služba pro jednu z výše uvedených technologií - </w:t>
      </w:r>
      <w:proofErr w:type="spellStart"/>
      <w:r w:rsidRPr="00A7492D">
        <w:rPr>
          <w:rFonts w:ascii="Arial" w:hAnsi="Arial" w:cs="Arial"/>
          <w:sz w:val="18"/>
          <w:szCs w:val="18"/>
        </w:rPr>
        <w:t>xDSL</w:t>
      </w:r>
      <w:proofErr w:type="spellEnd"/>
      <w:r w:rsidRPr="00A7492D">
        <w:rPr>
          <w:rFonts w:ascii="Arial" w:hAnsi="Arial" w:cs="Arial"/>
          <w:sz w:val="18"/>
          <w:szCs w:val="18"/>
        </w:rPr>
        <w:t xml:space="preserve"> vedení, kabelov</w:t>
      </w:r>
      <w:r>
        <w:rPr>
          <w:rFonts w:ascii="Arial" w:hAnsi="Arial" w:cs="Arial"/>
          <w:sz w:val="18"/>
          <w:szCs w:val="18"/>
        </w:rPr>
        <w:t>á</w:t>
      </w:r>
      <w:r w:rsidRPr="00A7492D">
        <w:rPr>
          <w:rFonts w:ascii="Arial" w:hAnsi="Arial" w:cs="Arial"/>
          <w:sz w:val="18"/>
          <w:szCs w:val="18"/>
        </w:rPr>
        <w:t xml:space="preserve"> televize (CATV), optické vedení (</w:t>
      </w:r>
      <w:proofErr w:type="spellStart"/>
      <w:r w:rsidRPr="00A7492D">
        <w:rPr>
          <w:rFonts w:ascii="Arial" w:hAnsi="Arial" w:cs="Arial"/>
          <w:sz w:val="18"/>
          <w:szCs w:val="18"/>
        </w:rPr>
        <w:t>FTTx</w:t>
      </w:r>
      <w:proofErr w:type="spellEnd"/>
      <w:r w:rsidRPr="00A7492D">
        <w:rPr>
          <w:rFonts w:ascii="Arial" w:hAnsi="Arial" w:cs="Arial"/>
          <w:sz w:val="18"/>
          <w:szCs w:val="18"/>
        </w:rPr>
        <w:t>) a bezdrátové připojení pomocí technologie Wi</w:t>
      </w:r>
      <w:r>
        <w:rPr>
          <w:rFonts w:ascii="Arial" w:hAnsi="Arial" w:cs="Arial"/>
          <w:sz w:val="18"/>
          <w:szCs w:val="18"/>
        </w:rPr>
        <w:t>-</w:t>
      </w:r>
      <w:r w:rsidRPr="00A7492D">
        <w:rPr>
          <w:rFonts w:ascii="Arial" w:hAnsi="Arial" w:cs="Arial"/>
          <w:sz w:val="18"/>
          <w:szCs w:val="18"/>
        </w:rPr>
        <w:t>Fi – používaných pro širokopásmové připojení koncových uživatelů k internetu. Ve většině případů odpovídá počtu uzavřených smluv na tyto služby na maloobchodní úrovni.</w:t>
      </w:r>
    </w:p>
  </w:footnote>
  <w:footnote w:id="13">
    <w:p w:rsidR="00151D30" w:rsidRPr="00CD0E64" w:rsidRDefault="00151D30" w:rsidP="00471EB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D0E64">
        <w:rPr>
          <w:rStyle w:val="Znakapoznpodarou"/>
          <w:rFonts w:ascii="Arial" w:hAnsi="Arial" w:cs="Arial"/>
          <w:sz w:val="18"/>
          <w:szCs w:val="18"/>
        </w:rPr>
        <w:footnoteRef/>
      </w:r>
      <w:r w:rsidRPr="00CD0E64">
        <w:rPr>
          <w:rFonts w:ascii="Arial" w:hAnsi="Arial" w:cs="Arial"/>
          <w:sz w:val="18"/>
          <w:szCs w:val="18"/>
        </w:rPr>
        <w:t xml:space="preserve"> Širokopásmový </w:t>
      </w:r>
      <w:r w:rsidRPr="00CD0E64">
        <w:rPr>
          <w:rFonts w:ascii="Arial" w:hAnsi="Arial" w:cs="Arial"/>
          <w:bCs/>
          <w:sz w:val="18"/>
          <w:szCs w:val="18"/>
        </w:rPr>
        <w:t>bezdrátový</w:t>
      </w:r>
      <w:r w:rsidRPr="00CD0E64">
        <w:rPr>
          <w:rFonts w:ascii="Arial" w:hAnsi="Arial" w:cs="Arial"/>
          <w:sz w:val="18"/>
          <w:szCs w:val="18"/>
        </w:rPr>
        <w:t xml:space="preserve"> přístup k síti internet zahrnuje připojení prostřednictvím rádiové linky jak v licencovaných kmi</w:t>
      </w:r>
      <w:r>
        <w:rPr>
          <w:rFonts w:ascii="Arial" w:hAnsi="Arial" w:cs="Arial"/>
          <w:sz w:val="18"/>
          <w:szCs w:val="18"/>
        </w:rPr>
        <w:t>točtových pásmech (běžně využíva</w:t>
      </w:r>
      <w:r w:rsidRPr="00CD0E6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ý</w:t>
      </w:r>
      <w:r w:rsidRPr="00CD0E64">
        <w:rPr>
          <w:rFonts w:ascii="Arial" w:hAnsi="Arial" w:cs="Arial"/>
          <w:sz w:val="18"/>
          <w:szCs w:val="18"/>
        </w:rPr>
        <w:t xml:space="preserve"> technologiemi kategorie FWA), tak i v nelicencovaných kmitočtových pásmech (nejčastěji na bázi technologie Wi</w:t>
      </w:r>
      <w:r>
        <w:rPr>
          <w:rFonts w:ascii="Arial" w:hAnsi="Arial" w:cs="Arial"/>
          <w:sz w:val="18"/>
          <w:szCs w:val="18"/>
        </w:rPr>
        <w:t>-</w:t>
      </w:r>
      <w:r w:rsidRPr="00CD0E64">
        <w:rPr>
          <w:rFonts w:ascii="Arial" w:hAnsi="Arial" w:cs="Arial"/>
          <w:sz w:val="18"/>
          <w:szCs w:val="18"/>
        </w:rPr>
        <w:t>Fi) podmíněný umístěním přijímacího zařízení v neměnné pozici.</w:t>
      </w:r>
      <w:r w:rsidRPr="00CD0E64">
        <w:rPr>
          <w:rFonts w:ascii="Arial" w:hAnsi="Arial" w:cs="Arial"/>
          <w:bCs/>
          <w:sz w:val="18"/>
          <w:szCs w:val="18"/>
        </w:rPr>
        <w:t xml:space="preserve"> FWA </w:t>
      </w:r>
      <w:r w:rsidRPr="00CD0E64">
        <w:rPr>
          <w:rFonts w:ascii="Arial" w:hAnsi="Arial" w:cs="Arial"/>
          <w:sz w:val="18"/>
          <w:szCs w:val="18"/>
        </w:rPr>
        <w:t>(</w:t>
      </w:r>
      <w:proofErr w:type="spellStart"/>
      <w:r w:rsidRPr="00CD0E64">
        <w:rPr>
          <w:rFonts w:ascii="Arial" w:hAnsi="Arial" w:cs="Arial"/>
          <w:i/>
          <w:sz w:val="18"/>
          <w:szCs w:val="18"/>
        </w:rPr>
        <w:t>Fixed</w:t>
      </w:r>
      <w:proofErr w:type="spellEnd"/>
      <w:r w:rsidRPr="00CD0E6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D0E64">
        <w:rPr>
          <w:rFonts w:ascii="Arial" w:hAnsi="Arial" w:cs="Arial"/>
          <w:i/>
          <w:sz w:val="18"/>
          <w:szCs w:val="18"/>
        </w:rPr>
        <w:t>Wireless</w:t>
      </w:r>
      <w:proofErr w:type="spellEnd"/>
      <w:r w:rsidRPr="00CD0E64">
        <w:rPr>
          <w:rFonts w:ascii="Arial" w:hAnsi="Arial" w:cs="Arial"/>
          <w:i/>
          <w:sz w:val="18"/>
          <w:szCs w:val="18"/>
        </w:rPr>
        <w:t xml:space="preserve"> Access</w:t>
      </w:r>
      <w:r w:rsidRPr="00CD0E64">
        <w:rPr>
          <w:rFonts w:ascii="Arial" w:hAnsi="Arial" w:cs="Arial"/>
          <w:sz w:val="18"/>
          <w:szCs w:val="18"/>
        </w:rPr>
        <w:t xml:space="preserve">) </w:t>
      </w:r>
      <w:r w:rsidRPr="00CD0E64">
        <w:rPr>
          <w:rFonts w:ascii="Arial" w:hAnsi="Arial" w:cs="Arial"/>
          <w:iCs/>
          <w:sz w:val="18"/>
          <w:szCs w:val="18"/>
        </w:rPr>
        <w:t xml:space="preserve">je </w:t>
      </w:r>
      <w:r w:rsidRPr="00CD0E64">
        <w:rPr>
          <w:rFonts w:ascii="Arial" w:hAnsi="Arial" w:cs="Arial"/>
          <w:sz w:val="18"/>
          <w:szCs w:val="18"/>
        </w:rPr>
        <w:t xml:space="preserve">označení pro fixní bezdrátové připojení, které je charakteristické trvalým a pevným umístěním koncového zařízení. Někdy je tento typ připojení označován také jako WLL </w:t>
      </w:r>
      <w:r w:rsidRPr="00CD0E64">
        <w:rPr>
          <w:rFonts w:ascii="Arial" w:hAnsi="Arial" w:cs="Arial"/>
          <w:i/>
          <w:iCs/>
          <w:sz w:val="18"/>
          <w:szCs w:val="18"/>
        </w:rPr>
        <w:t>(</w:t>
      </w:r>
      <w:proofErr w:type="spellStart"/>
      <w:r w:rsidRPr="00CD0E64">
        <w:rPr>
          <w:rFonts w:ascii="Arial" w:hAnsi="Arial" w:cs="Arial"/>
          <w:i/>
          <w:iCs/>
          <w:sz w:val="18"/>
          <w:szCs w:val="18"/>
        </w:rPr>
        <w:t>Wireless</w:t>
      </w:r>
      <w:proofErr w:type="spellEnd"/>
      <w:r w:rsidRPr="00CD0E6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CD0E64">
        <w:rPr>
          <w:rFonts w:ascii="Arial" w:hAnsi="Arial" w:cs="Arial"/>
          <w:i/>
          <w:iCs/>
          <w:sz w:val="18"/>
          <w:szCs w:val="18"/>
        </w:rPr>
        <w:t>Local</w:t>
      </w:r>
      <w:proofErr w:type="spellEnd"/>
      <w:r w:rsidRPr="00CD0E6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CD0E64">
        <w:rPr>
          <w:rFonts w:ascii="Arial" w:hAnsi="Arial" w:cs="Arial"/>
          <w:i/>
          <w:iCs/>
          <w:sz w:val="18"/>
          <w:szCs w:val="18"/>
        </w:rPr>
        <w:t>Loop</w:t>
      </w:r>
      <w:proofErr w:type="spellEnd"/>
      <w:r w:rsidRPr="00CD0E64">
        <w:rPr>
          <w:rFonts w:ascii="Arial" w:hAnsi="Arial" w:cs="Arial"/>
          <w:i/>
          <w:iCs/>
          <w:sz w:val="18"/>
          <w:szCs w:val="18"/>
        </w:rPr>
        <w:t>).</w:t>
      </w:r>
    </w:p>
  </w:footnote>
  <w:footnote w:id="14">
    <w:p w:rsidR="00151D30" w:rsidRPr="00887451" w:rsidRDefault="00151D30" w:rsidP="00471EB7">
      <w:pPr>
        <w:pStyle w:val="Textpoznpodarou"/>
        <w:jc w:val="both"/>
        <w:rPr>
          <w:rFonts w:ascii="Arial" w:hAnsi="Arial" w:cs="Arial"/>
          <w:sz w:val="18"/>
        </w:rPr>
      </w:pPr>
      <w:r w:rsidRPr="00887451">
        <w:rPr>
          <w:rStyle w:val="Znakapoznpodarou"/>
          <w:rFonts w:ascii="Arial" w:hAnsi="Arial" w:cs="Arial"/>
          <w:sz w:val="18"/>
        </w:rPr>
        <w:footnoteRef/>
      </w:r>
      <w:r w:rsidRPr="00887451">
        <w:rPr>
          <w:rFonts w:ascii="Arial" w:hAnsi="Arial" w:cs="Arial"/>
          <w:sz w:val="18"/>
        </w:rPr>
        <w:t xml:space="preserve"> Česko si právě díky této technologii používané jako alternativa k ostatním (tradičním) přístupům k internetu (</w:t>
      </w:r>
      <w:proofErr w:type="spellStart"/>
      <w:r w:rsidRPr="00887451">
        <w:rPr>
          <w:rFonts w:ascii="Arial" w:hAnsi="Arial" w:cs="Arial"/>
          <w:sz w:val="18"/>
        </w:rPr>
        <w:t>xDSL</w:t>
      </w:r>
      <w:proofErr w:type="spellEnd"/>
      <w:r w:rsidRPr="00887451">
        <w:rPr>
          <w:rFonts w:ascii="Arial" w:hAnsi="Arial" w:cs="Arial"/>
          <w:sz w:val="18"/>
        </w:rPr>
        <w:t>, připojení přes rozvody kabelové televize atd.) udržuje specifické postavení mezi zeměmi EU na trhu pevné internetové infrastruktury. Významným faktorem pro využívání vysokorychlostních služeb prostřednictvím Wi-Fi sítí je především nižší cenová úroveň při stále uživatelsky dostatečné kvalitě těchto služeb a jejich dostupnost na téměř celém území České republiky.</w:t>
      </w:r>
    </w:p>
  </w:footnote>
  <w:footnote w:id="15">
    <w:p w:rsidR="00151D30" w:rsidRPr="00534497" w:rsidRDefault="00151D30" w:rsidP="00471EB7">
      <w:pPr>
        <w:pStyle w:val="Textpoznpodarou"/>
        <w:jc w:val="both"/>
        <w:rPr>
          <w:rFonts w:ascii="Arial" w:hAnsi="Arial" w:cs="Arial"/>
          <w:sz w:val="18"/>
        </w:rPr>
      </w:pPr>
      <w:r w:rsidRPr="00534497">
        <w:rPr>
          <w:rStyle w:val="Znakapoznpodarou"/>
          <w:rFonts w:ascii="Arial" w:hAnsi="Arial" w:cs="Arial"/>
          <w:sz w:val="18"/>
        </w:rPr>
        <w:footnoteRef/>
      </w:r>
      <w:r w:rsidRPr="00534497">
        <w:rPr>
          <w:rFonts w:ascii="Arial" w:hAnsi="Arial" w:cs="Arial"/>
          <w:sz w:val="18"/>
        </w:rPr>
        <w:t xml:space="preserve"> Tato situace byla v minulosti způsobena především cenou, nabízenou kvalitou a obecně horší dostupností ADS</w:t>
      </w:r>
      <w:r>
        <w:rPr>
          <w:rFonts w:ascii="Arial" w:hAnsi="Arial" w:cs="Arial"/>
          <w:sz w:val="18"/>
        </w:rPr>
        <w:t>L</w:t>
      </w:r>
      <w:r w:rsidRPr="00534497">
        <w:rPr>
          <w:rFonts w:ascii="Arial" w:hAnsi="Arial" w:cs="Arial"/>
          <w:sz w:val="18"/>
        </w:rPr>
        <w:t xml:space="preserve"> technologie v České republice oproti většině zemí EU, kde ADSL linka patřila nejčastěji mezi první cenově a kvalitativně dostupn</w:t>
      </w:r>
      <w:r>
        <w:rPr>
          <w:rFonts w:ascii="Arial" w:hAnsi="Arial" w:cs="Arial"/>
          <w:sz w:val="18"/>
        </w:rPr>
        <w:t>é</w:t>
      </w:r>
      <w:r w:rsidRPr="00534497">
        <w:rPr>
          <w:rFonts w:ascii="Arial" w:hAnsi="Arial" w:cs="Arial"/>
          <w:sz w:val="18"/>
        </w:rPr>
        <w:t xml:space="preserve"> technologie pro přístup k vysokorychlostnímu internetu.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6F5416" w:rsidRDefault="00151D30" w:rsidP="00EF25CC">
    <w:pPr>
      <w:pStyle w:val="Zhlav"/>
    </w:pPr>
    <w:r>
      <w:t>Rozvoj informační společnosti v České republice a zemích EU</w:t>
    </w:r>
  </w:p>
  <w:p w:rsidR="00151D30" w:rsidRPr="00EF25CC" w:rsidRDefault="00151D30" w:rsidP="00EF25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6F5416" w:rsidRDefault="00151D30" w:rsidP="00937AE2">
    <w:pPr>
      <w:pStyle w:val="Zhlav"/>
    </w:pPr>
    <w:r>
      <w:t>Rozvoj informační společnosti v České republice a zemích EU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60" w:rsidRDefault="00FA64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4135D"/>
    <w:multiLevelType w:val="hybridMultilevel"/>
    <w:tmpl w:val="FD5658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F750D5"/>
    <w:multiLevelType w:val="hybridMultilevel"/>
    <w:tmpl w:val="5D747D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7D2D59"/>
    <w:multiLevelType w:val="hybridMultilevel"/>
    <w:tmpl w:val="CD607F88"/>
    <w:lvl w:ilvl="0" w:tplc="08DC1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EF0B92"/>
    <w:multiLevelType w:val="hybridMultilevel"/>
    <w:tmpl w:val="338A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E85D3C"/>
    <w:multiLevelType w:val="hybridMultilevel"/>
    <w:tmpl w:val="26643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33F88"/>
    <w:multiLevelType w:val="hybridMultilevel"/>
    <w:tmpl w:val="0F7A41B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D3662"/>
    <w:multiLevelType w:val="hybridMultilevel"/>
    <w:tmpl w:val="1DEEB002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87561"/>
    <w:multiLevelType w:val="hybridMultilevel"/>
    <w:tmpl w:val="CC78A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9"/>
  </w:num>
  <w:num w:numId="14">
    <w:abstractNumId w:val="22"/>
  </w:num>
  <w:num w:numId="15">
    <w:abstractNumId w:val="14"/>
  </w:num>
  <w:num w:numId="16">
    <w:abstractNumId w:val="11"/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21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4"/>
    <w:rsid w:val="0000209D"/>
    <w:rsid w:val="00004D5A"/>
    <w:rsid w:val="000056D5"/>
    <w:rsid w:val="0000661F"/>
    <w:rsid w:val="0000767A"/>
    <w:rsid w:val="00010702"/>
    <w:rsid w:val="000234D6"/>
    <w:rsid w:val="00023D29"/>
    <w:rsid w:val="00026389"/>
    <w:rsid w:val="00031AE0"/>
    <w:rsid w:val="00031DF9"/>
    <w:rsid w:val="000322EF"/>
    <w:rsid w:val="00033FCD"/>
    <w:rsid w:val="00041CEC"/>
    <w:rsid w:val="0004694F"/>
    <w:rsid w:val="000522E4"/>
    <w:rsid w:val="00060678"/>
    <w:rsid w:val="000610E1"/>
    <w:rsid w:val="00062EC5"/>
    <w:rsid w:val="00062F22"/>
    <w:rsid w:val="000712B3"/>
    <w:rsid w:val="000738F5"/>
    <w:rsid w:val="00080DC7"/>
    <w:rsid w:val="0008263E"/>
    <w:rsid w:val="00082C19"/>
    <w:rsid w:val="00085395"/>
    <w:rsid w:val="00085ADD"/>
    <w:rsid w:val="00087634"/>
    <w:rsid w:val="00087F2B"/>
    <w:rsid w:val="00090B26"/>
    <w:rsid w:val="000974D1"/>
    <w:rsid w:val="0009799E"/>
    <w:rsid w:val="000A1183"/>
    <w:rsid w:val="000A256D"/>
    <w:rsid w:val="000A3A2C"/>
    <w:rsid w:val="000C233D"/>
    <w:rsid w:val="000C2E06"/>
    <w:rsid w:val="000C3408"/>
    <w:rsid w:val="000C6AFD"/>
    <w:rsid w:val="000D5447"/>
    <w:rsid w:val="000D5637"/>
    <w:rsid w:val="000E6FBD"/>
    <w:rsid w:val="000F1E6B"/>
    <w:rsid w:val="00100F5C"/>
    <w:rsid w:val="00104C4C"/>
    <w:rsid w:val="0012192F"/>
    <w:rsid w:val="00125D69"/>
    <w:rsid w:val="001310B8"/>
    <w:rsid w:val="001374A5"/>
    <w:rsid w:val="001405FA"/>
    <w:rsid w:val="001425C3"/>
    <w:rsid w:val="00151D30"/>
    <w:rsid w:val="001532F4"/>
    <w:rsid w:val="0016256B"/>
    <w:rsid w:val="00163793"/>
    <w:rsid w:val="001706D6"/>
    <w:rsid w:val="001714F2"/>
    <w:rsid w:val="001719E8"/>
    <w:rsid w:val="00184B08"/>
    <w:rsid w:val="00185010"/>
    <w:rsid w:val="001964E7"/>
    <w:rsid w:val="001A552F"/>
    <w:rsid w:val="001B2CA9"/>
    <w:rsid w:val="001B3110"/>
    <w:rsid w:val="001B4729"/>
    <w:rsid w:val="001B6C09"/>
    <w:rsid w:val="001B7B0A"/>
    <w:rsid w:val="001C05CD"/>
    <w:rsid w:val="001C4EA2"/>
    <w:rsid w:val="001C550B"/>
    <w:rsid w:val="001D68B2"/>
    <w:rsid w:val="001F4597"/>
    <w:rsid w:val="001F71F0"/>
    <w:rsid w:val="002118B9"/>
    <w:rsid w:val="00215A2F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56F55"/>
    <w:rsid w:val="00263723"/>
    <w:rsid w:val="00271465"/>
    <w:rsid w:val="00272ECF"/>
    <w:rsid w:val="00285412"/>
    <w:rsid w:val="00286B82"/>
    <w:rsid w:val="002A16D4"/>
    <w:rsid w:val="002A230C"/>
    <w:rsid w:val="002C354E"/>
    <w:rsid w:val="002C43BD"/>
    <w:rsid w:val="002D0E59"/>
    <w:rsid w:val="002E02A1"/>
    <w:rsid w:val="002E4E4C"/>
    <w:rsid w:val="002E53B8"/>
    <w:rsid w:val="00304771"/>
    <w:rsid w:val="003052D4"/>
    <w:rsid w:val="00306C5B"/>
    <w:rsid w:val="0031346B"/>
    <w:rsid w:val="00320135"/>
    <w:rsid w:val="003209D6"/>
    <w:rsid w:val="00321924"/>
    <w:rsid w:val="003258E2"/>
    <w:rsid w:val="0032656E"/>
    <w:rsid w:val="00332190"/>
    <w:rsid w:val="00344668"/>
    <w:rsid w:val="003462D9"/>
    <w:rsid w:val="00346BD2"/>
    <w:rsid w:val="00360C86"/>
    <w:rsid w:val="0036231A"/>
    <w:rsid w:val="003657F3"/>
    <w:rsid w:val="003818DC"/>
    <w:rsid w:val="00384327"/>
    <w:rsid w:val="00385D98"/>
    <w:rsid w:val="003A2B4D"/>
    <w:rsid w:val="003A478C"/>
    <w:rsid w:val="003A5525"/>
    <w:rsid w:val="003A6B38"/>
    <w:rsid w:val="003B009D"/>
    <w:rsid w:val="003B3A31"/>
    <w:rsid w:val="003B5A32"/>
    <w:rsid w:val="003C3490"/>
    <w:rsid w:val="003C6AB3"/>
    <w:rsid w:val="003D5166"/>
    <w:rsid w:val="003D561C"/>
    <w:rsid w:val="003D6920"/>
    <w:rsid w:val="003D7360"/>
    <w:rsid w:val="003E4C91"/>
    <w:rsid w:val="003F313C"/>
    <w:rsid w:val="003F4B2C"/>
    <w:rsid w:val="003F551C"/>
    <w:rsid w:val="003F7D23"/>
    <w:rsid w:val="00407C13"/>
    <w:rsid w:val="00410638"/>
    <w:rsid w:val="00427DBA"/>
    <w:rsid w:val="00432A58"/>
    <w:rsid w:val="00434617"/>
    <w:rsid w:val="00440900"/>
    <w:rsid w:val="004441A0"/>
    <w:rsid w:val="00447AC3"/>
    <w:rsid w:val="0045371C"/>
    <w:rsid w:val="0045583D"/>
    <w:rsid w:val="00460FB3"/>
    <w:rsid w:val="00471EB7"/>
    <w:rsid w:val="00476240"/>
    <w:rsid w:val="00476439"/>
    <w:rsid w:val="00476ABC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021D"/>
    <w:rsid w:val="004B1417"/>
    <w:rsid w:val="004B2A0F"/>
    <w:rsid w:val="004B55B7"/>
    <w:rsid w:val="004B6468"/>
    <w:rsid w:val="004B680F"/>
    <w:rsid w:val="004C17F9"/>
    <w:rsid w:val="004C1E47"/>
    <w:rsid w:val="004C302C"/>
    <w:rsid w:val="004C384C"/>
    <w:rsid w:val="004C3867"/>
    <w:rsid w:val="004C4CD0"/>
    <w:rsid w:val="004C70DC"/>
    <w:rsid w:val="004D0211"/>
    <w:rsid w:val="004D0794"/>
    <w:rsid w:val="004D41FF"/>
    <w:rsid w:val="004D79D3"/>
    <w:rsid w:val="004F06F5"/>
    <w:rsid w:val="004F1191"/>
    <w:rsid w:val="004F33A0"/>
    <w:rsid w:val="004F3D06"/>
    <w:rsid w:val="00502A16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BB"/>
    <w:rsid w:val="00532CE7"/>
    <w:rsid w:val="0053324C"/>
    <w:rsid w:val="00534A28"/>
    <w:rsid w:val="00536744"/>
    <w:rsid w:val="00541508"/>
    <w:rsid w:val="0055599F"/>
    <w:rsid w:val="00556D68"/>
    <w:rsid w:val="005647BF"/>
    <w:rsid w:val="0057364B"/>
    <w:rsid w:val="00574773"/>
    <w:rsid w:val="00580DC8"/>
    <w:rsid w:val="00583F46"/>
    <w:rsid w:val="00583FFD"/>
    <w:rsid w:val="0058579A"/>
    <w:rsid w:val="005911BE"/>
    <w:rsid w:val="00593152"/>
    <w:rsid w:val="00597C39"/>
    <w:rsid w:val="005A10F2"/>
    <w:rsid w:val="005A21E0"/>
    <w:rsid w:val="005A27BE"/>
    <w:rsid w:val="005A28FF"/>
    <w:rsid w:val="005A3DF8"/>
    <w:rsid w:val="005A5549"/>
    <w:rsid w:val="005B121D"/>
    <w:rsid w:val="005C06ED"/>
    <w:rsid w:val="005C23A9"/>
    <w:rsid w:val="005D09AA"/>
    <w:rsid w:val="005D5802"/>
    <w:rsid w:val="005D7890"/>
    <w:rsid w:val="005E7C78"/>
    <w:rsid w:val="005F3EB1"/>
    <w:rsid w:val="005F5469"/>
    <w:rsid w:val="00604022"/>
    <w:rsid w:val="00604307"/>
    <w:rsid w:val="0060487F"/>
    <w:rsid w:val="00604EAD"/>
    <w:rsid w:val="006104FB"/>
    <w:rsid w:val="00612A2F"/>
    <w:rsid w:val="00616E05"/>
    <w:rsid w:val="00623647"/>
    <w:rsid w:val="00624093"/>
    <w:rsid w:val="006404A7"/>
    <w:rsid w:val="006451E4"/>
    <w:rsid w:val="00645B33"/>
    <w:rsid w:val="00650694"/>
    <w:rsid w:val="006516CB"/>
    <w:rsid w:val="00655739"/>
    <w:rsid w:val="00657E87"/>
    <w:rsid w:val="00664803"/>
    <w:rsid w:val="00665BA4"/>
    <w:rsid w:val="00667AF2"/>
    <w:rsid w:val="006710C9"/>
    <w:rsid w:val="00674D89"/>
    <w:rsid w:val="00675E37"/>
    <w:rsid w:val="0068174E"/>
    <w:rsid w:val="00681D9E"/>
    <w:rsid w:val="00681DCE"/>
    <w:rsid w:val="0068260E"/>
    <w:rsid w:val="0068503B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6C48"/>
    <w:rsid w:val="006C7CA6"/>
    <w:rsid w:val="006D0F31"/>
    <w:rsid w:val="006D3E8A"/>
    <w:rsid w:val="006D61F6"/>
    <w:rsid w:val="006E279A"/>
    <w:rsid w:val="006E313B"/>
    <w:rsid w:val="006E65BC"/>
    <w:rsid w:val="006F17D3"/>
    <w:rsid w:val="006F48ED"/>
    <w:rsid w:val="006F5416"/>
    <w:rsid w:val="00703765"/>
    <w:rsid w:val="00706AD4"/>
    <w:rsid w:val="007140BE"/>
    <w:rsid w:val="00715110"/>
    <w:rsid w:val="007211F5"/>
    <w:rsid w:val="00725BB5"/>
    <w:rsid w:val="00726D5A"/>
    <w:rsid w:val="00730AE8"/>
    <w:rsid w:val="00741493"/>
    <w:rsid w:val="007445D0"/>
    <w:rsid w:val="00752180"/>
    <w:rsid w:val="00755202"/>
    <w:rsid w:val="00755D3A"/>
    <w:rsid w:val="007578D3"/>
    <w:rsid w:val="007609C6"/>
    <w:rsid w:val="0076175D"/>
    <w:rsid w:val="00761AD2"/>
    <w:rsid w:val="00763A84"/>
    <w:rsid w:val="0076521E"/>
    <w:rsid w:val="007661E9"/>
    <w:rsid w:val="007745AC"/>
    <w:rsid w:val="00776169"/>
    <w:rsid w:val="00776527"/>
    <w:rsid w:val="00780EF1"/>
    <w:rsid w:val="007847E4"/>
    <w:rsid w:val="00790764"/>
    <w:rsid w:val="0079453C"/>
    <w:rsid w:val="00794677"/>
    <w:rsid w:val="00797FE8"/>
    <w:rsid w:val="007B0363"/>
    <w:rsid w:val="007B1818"/>
    <w:rsid w:val="007B2E26"/>
    <w:rsid w:val="007B6689"/>
    <w:rsid w:val="007D40DF"/>
    <w:rsid w:val="007D726B"/>
    <w:rsid w:val="007E7E61"/>
    <w:rsid w:val="007F0845"/>
    <w:rsid w:val="007F6C9B"/>
    <w:rsid w:val="00804C7B"/>
    <w:rsid w:val="00807C82"/>
    <w:rsid w:val="00813E24"/>
    <w:rsid w:val="00816905"/>
    <w:rsid w:val="00821FF6"/>
    <w:rsid w:val="0082256C"/>
    <w:rsid w:val="00825C4D"/>
    <w:rsid w:val="0083143E"/>
    <w:rsid w:val="00831CDE"/>
    <w:rsid w:val="00834304"/>
    <w:rsid w:val="0083434D"/>
    <w:rsid w:val="00834FAA"/>
    <w:rsid w:val="008353D1"/>
    <w:rsid w:val="00836086"/>
    <w:rsid w:val="00837E52"/>
    <w:rsid w:val="0084708F"/>
    <w:rsid w:val="008477C8"/>
    <w:rsid w:val="0085114D"/>
    <w:rsid w:val="00852217"/>
    <w:rsid w:val="00855408"/>
    <w:rsid w:val="00856D65"/>
    <w:rsid w:val="008603EE"/>
    <w:rsid w:val="00861B41"/>
    <w:rsid w:val="00863434"/>
    <w:rsid w:val="00865330"/>
    <w:rsid w:val="00865E4C"/>
    <w:rsid w:val="008701E4"/>
    <w:rsid w:val="00872D1B"/>
    <w:rsid w:val="00875A32"/>
    <w:rsid w:val="00876086"/>
    <w:rsid w:val="008873D4"/>
    <w:rsid w:val="0089085D"/>
    <w:rsid w:val="00893E85"/>
    <w:rsid w:val="00894031"/>
    <w:rsid w:val="008A2396"/>
    <w:rsid w:val="008B2FEB"/>
    <w:rsid w:val="008B309E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1C09"/>
    <w:rsid w:val="008F1E34"/>
    <w:rsid w:val="008F3B39"/>
    <w:rsid w:val="008F3FC9"/>
    <w:rsid w:val="008F4FFD"/>
    <w:rsid w:val="008F585B"/>
    <w:rsid w:val="009003A8"/>
    <w:rsid w:val="00902500"/>
    <w:rsid w:val="00902EFF"/>
    <w:rsid w:val="00906401"/>
    <w:rsid w:val="0091155E"/>
    <w:rsid w:val="00912A92"/>
    <w:rsid w:val="009171D1"/>
    <w:rsid w:val="0091728D"/>
    <w:rsid w:val="009172CA"/>
    <w:rsid w:val="0092180B"/>
    <w:rsid w:val="00921F14"/>
    <w:rsid w:val="00924AC8"/>
    <w:rsid w:val="0092597A"/>
    <w:rsid w:val="00927894"/>
    <w:rsid w:val="00932443"/>
    <w:rsid w:val="00937AE2"/>
    <w:rsid w:val="009404B5"/>
    <w:rsid w:val="0094427A"/>
    <w:rsid w:val="00945EE9"/>
    <w:rsid w:val="00955F38"/>
    <w:rsid w:val="0096077C"/>
    <w:rsid w:val="00974923"/>
    <w:rsid w:val="00976E82"/>
    <w:rsid w:val="00980D3D"/>
    <w:rsid w:val="00987A30"/>
    <w:rsid w:val="00990989"/>
    <w:rsid w:val="00992CF3"/>
    <w:rsid w:val="009968D6"/>
    <w:rsid w:val="009A19F9"/>
    <w:rsid w:val="009A1CAB"/>
    <w:rsid w:val="009A60D1"/>
    <w:rsid w:val="009A754C"/>
    <w:rsid w:val="009B08EC"/>
    <w:rsid w:val="009B6FD3"/>
    <w:rsid w:val="009C0729"/>
    <w:rsid w:val="009C0B75"/>
    <w:rsid w:val="009C1750"/>
    <w:rsid w:val="009C2E29"/>
    <w:rsid w:val="009C554B"/>
    <w:rsid w:val="009C719E"/>
    <w:rsid w:val="009D3ACD"/>
    <w:rsid w:val="009E5273"/>
    <w:rsid w:val="009E5DDB"/>
    <w:rsid w:val="009F30E8"/>
    <w:rsid w:val="009F4CA7"/>
    <w:rsid w:val="00A10D66"/>
    <w:rsid w:val="00A14114"/>
    <w:rsid w:val="00A16413"/>
    <w:rsid w:val="00A23E43"/>
    <w:rsid w:val="00A30F65"/>
    <w:rsid w:val="00A351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8616B"/>
    <w:rsid w:val="00AA2659"/>
    <w:rsid w:val="00AA2996"/>
    <w:rsid w:val="00AA52BF"/>
    <w:rsid w:val="00AA559A"/>
    <w:rsid w:val="00AB2AF1"/>
    <w:rsid w:val="00AB437F"/>
    <w:rsid w:val="00AB5C19"/>
    <w:rsid w:val="00AD306C"/>
    <w:rsid w:val="00AE09B3"/>
    <w:rsid w:val="00AE1A83"/>
    <w:rsid w:val="00AF1FF8"/>
    <w:rsid w:val="00B00913"/>
    <w:rsid w:val="00B01593"/>
    <w:rsid w:val="00B06238"/>
    <w:rsid w:val="00B10A4D"/>
    <w:rsid w:val="00B1686C"/>
    <w:rsid w:val="00B17E71"/>
    <w:rsid w:val="00B17FDE"/>
    <w:rsid w:val="00B2379C"/>
    <w:rsid w:val="00B2687D"/>
    <w:rsid w:val="00B32DDB"/>
    <w:rsid w:val="00B34528"/>
    <w:rsid w:val="00B402FC"/>
    <w:rsid w:val="00B42F2D"/>
    <w:rsid w:val="00B44912"/>
    <w:rsid w:val="00B46604"/>
    <w:rsid w:val="00B51564"/>
    <w:rsid w:val="00B530CD"/>
    <w:rsid w:val="00B549A5"/>
    <w:rsid w:val="00B55F5E"/>
    <w:rsid w:val="00B5752E"/>
    <w:rsid w:val="00B63A11"/>
    <w:rsid w:val="00B64C24"/>
    <w:rsid w:val="00B6608F"/>
    <w:rsid w:val="00B679FB"/>
    <w:rsid w:val="00B70408"/>
    <w:rsid w:val="00B76D1E"/>
    <w:rsid w:val="00B80EC6"/>
    <w:rsid w:val="00B92D1D"/>
    <w:rsid w:val="00B938C5"/>
    <w:rsid w:val="00B95940"/>
    <w:rsid w:val="00BB46F3"/>
    <w:rsid w:val="00BB4CB1"/>
    <w:rsid w:val="00BB4F98"/>
    <w:rsid w:val="00BC5164"/>
    <w:rsid w:val="00BC6B60"/>
    <w:rsid w:val="00BC7154"/>
    <w:rsid w:val="00BD366B"/>
    <w:rsid w:val="00BD6D50"/>
    <w:rsid w:val="00BE0024"/>
    <w:rsid w:val="00BE18B9"/>
    <w:rsid w:val="00BE2495"/>
    <w:rsid w:val="00BF1578"/>
    <w:rsid w:val="00C02DB3"/>
    <w:rsid w:val="00C21F94"/>
    <w:rsid w:val="00C27913"/>
    <w:rsid w:val="00C3376C"/>
    <w:rsid w:val="00C33B68"/>
    <w:rsid w:val="00C36A79"/>
    <w:rsid w:val="00C405D4"/>
    <w:rsid w:val="00C42E6C"/>
    <w:rsid w:val="00C4513B"/>
    <w:rsid w:val="00C54697"/>
    <w:rsid w:val="00C60393"/>
    <w:rsid w:val="00C73885"/>
    <w:rsid w:val="00C747B1"/>
    <w:rsid w:val="00C81AF4"/>
    <w:rsid w:val="00C82191"/>
    <w:rsid w:val="00C90CF4"/>
    <w:rsid w:val="00C92EB6"/>
    <w:rsid w:val="00C93389"/>
    <w:rsid w:val="00C957FA"/>
    <w:rsid w:val="00CA321C"/>
    <w:rsid w:val="00CB4930"/>
    <w:rsid w:val="00CC2E7D"/>
    <w:rsid w:val="00CD10A5"/>
    <w:rsid w:val="00CD2076"/>
    <w:rsid w:val="00CD488F"/>
    <w:rsid w:val="00CE15A4"/>
    <w:rsid w:val="00CE670B"/>
    <w:rsid w:val="00CF51EC"/>
    <w:rsid w:val="00CF73AE"/>
    <w:rsid w:val="00CF7C1A"/>
    <w:rsid w:val="00D040DD"/>
    <w:rsid w:val="00D1205B"/>
    <w:rsid w:val="00D13986"/>
    <w:rsid w:val="00D235B7"/>
    <w:rsid w:val="00D25F28"/>
    <w:rsid w:val="00D27973"/>
    <w:rsid w:val="00D50F46"/>
    <w:rsid w:val="00D66223"/>
    <w:rsid w:val="00D67EDA"/>
    <w:rsid w:val="00D8084C"/>
    <w:rsid w:val="00DA7C0C"/>
    <w:rsid w:val="00DB2EC8"/>
    <w:rsid w:val="00DC3CB6"/>
    <w:rsid w:val="00DC5B3B"/>
    <w:rsid w:val="00DD129F"/>
    <w:rsid w:val="00DF42FF"/>
    <w:rsid w:val="00DF75BB"/>
    <w:rsid w:val="00E01C0E"/>
    <w:rsid w:val="00E03F9A"/>
    <w:rsid w:val="00E04694"/>
    <w:rsid w:val="00E051F2"/>
    <w:rsid w:val="00E1152B"/>
    <w:rsid w:val="00E12B1E"/>
    <w:rsid w:val="00E17262"/>
    <w:rsid w:val="00E253A2"/>
    <w:rsid w:val="00E270A5"/>
    <w:rsid w:val="00E278A7"/>
    <w:rsid w:val="00E27D82"/>
    <w:rsid w:val="00E3309D"/>
    <w:rsid w:val="00E34F40"/>
    <w:rsid w:val="00E40AE2"/>
    <w:rsid w:val="00E50156"/>
    <w:rsid w:val="00E53470"/>
    <w:rsid w:val="00E539F6"/>
    <w:rsid w:val="00E607E7"/>
    <w:rsid w:val="00E6519D"/>
    <w:rsid w:val="00E67696"/>
    <w:rsid w:val="00E67CFF"/>
    <w:rsid w:val="00E67E74"/>
    <w:rsid w:val="00E71A58"/>
    <w:rsid w:val="00E72A7A"/>
    <w:rsid w:val="00E75C94"/>
    <w:rsid w:val="00E76B4E"/>
    <w:rsid w:val="00E93820"/>
    <w:rsid w:val="00EA0C68"/>
    <w:rsid w:val="00EA32BC"/>
    <w:rsid w:val="00EB4511"/>
    <w:rsid w:val="00EB6DB2"/>
    <w:rsid w:val="00EC03D7"/>
    <w:rsid w:val="00EC4DC9"/>
    <w:rsid w:val="00ED62C6"/>
    <w:rsid w:val="00ED64C1"/>
    <w:rsid w:val="00EE3446"/>
    <w:rsid w:val="00EE3E78"/>
    <w:rsid w:val="00EE4B1B"/>
    <w:rsid w:val="00EF150D"/>
    <w:rsid w:val="00EF1F5A"/>
    <w:rsid w:val="00EF25CC"/>
    <w:rsid w:val="00EF302A"/>
    <w:rsid w:val="00EF47BF"/>
    <w:rsid w:val="00F04811"/>
    <w:rsid w:val="00F0488C"/>
    <w:rsid w:val="00F10A64"/>
    <w:rsid w:val="00F10F11"/>
    <w:rsid w:val="00F15AAA"/>
    <w:rsid w:val="00F15BEF"/>
    <w:rsid w:val="00F15E55"/>
    <w:rsid w:val="00F24407"/>
    <w:rsid w:val="00F24FAA"/>
    <w:rsid w:val="00F26DD0"/>
    <w:rsid w:val="00F3364D"/>
    <w:rsid w:val="00F34076"/>
    <w:rsid w:val="00F348FA"/>
    <w:rsid w:val="00F40A62"/>
    <w:rsid w:val="00F437CC"/>
    <w:rsid w:val="00F43A6B"/>
    <w:rsid w:val="00F47067"/>
    <w:rsid w:val="00F525EB"/>
    <w:rsid w:val="00F5355C"/>
    <w:rsid w:val="00F556CA"/>
    <w:rsid w:val="00F63DDE"/>
    <w:rsid w:val="00F63FB7"/>
    <w:rsid w:val="00F649D2"/>
    <w:rsid w:val="00F6602B"/>
    <w:rsid w:val="00F73A0C"/>
    <w:rsid w:val="00F756DB"/>
    <w:rsid w:val="00F85066"/>
    <w:rsid w:val="00F9030B"/>
    <w:rsid w:val="00F90BD6"/>
    <w:rsid w:val="00FA28A2"/>
    <w:rsid w:val="00FA5D4D"/>
    <w:rsid w:val="00FA6197"/>
    <w:rsid w:val="00FA6460"/>
    <w:rsid w:val="00FB0EE2"/>
    <w:rsid w:val="00FB542E"/>
    <w:rsid w:val="00FC0E5F"/>
    <w:rsid w:val="00FC1A95"/>
    <w:rsid w:val="00FC56DE"/>
    <w:rsid w:val="00FC684B"/>
    <w:rsid w:val="00FD3265"/>
    <w:rsid w:val="00FE2F78"/>
    <w:rsid w:val="00FE5959"/>
    <w:rsid w:val="00FF3C27"/>
    <w:rsid w:val="00FF4CC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CE15A4"/>
    <w:pPr>
      <w:spacing w:before="120"/>
    </w:pPr>
    <w:rPr>
      <w:b/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CE15A4"/>
    <w:pPr>
      <w:spacing w:before="60"/>
      <w:ind w:left="198"/>
    </w:pPr>
    <w:rPr>
      <w:b/>
      <w:noProof/>
    </w:rPr>
  </w:style>
  <w:style w:type="paragraph" w:styleId="Obsah3">
    <w:name w:val="toc 3"/>
    <w:basedOn w:val="Obsahpoloky"/>
    <w:next w:val="Obsahpoloky"/>
    <w:autoRedefine/>
    <w:uiPriority w:val="39"/>
    <w:unhideWhenUsed/>
    <w:rsid w:val="00CE15A4"/>
    <w:pPr>
      <w:ind w:left="400"/>
    </w:pPr>
    <w:rPr>
      <w:noProof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471EB7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471EB7"/>
    <w:rPr>
      <w:rFonts w:ascii="Arial" w:eastAsia="Times New Roman" w:hAnsi="Arial"/>
      <w:sz w:val="15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1EB7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1EB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uiPriority w:val="99"/>
    <w:semiHidden/>
    <w:unhideWhenUsed/>
    <w:rsid w:val="00471EB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1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6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6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9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1D9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681D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353D1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6C6C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42E6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CE15A4"/>
    <w:pPr>
      <w:spacing w:before="120"/>
    </w:pPr>
    <w:rPr>
      <w:b/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CE15A4"/>
    <w:pPr>
      <w:spacing w:before="60"/>
      <w:ind w:left="198"/>
    </w:pPr>
    <w:rPr>
      <w:b/>
      <w:noProof/>
    </w:rPr>
  </w:style>
  <w:style w:type="paragraph" w:styleId="Obsah3">
    <w:name w:val="toc 3"/>
    <w:basedOn w:val="Obsahpoloky"/>
    <w:next w:val="Obsahpoloky"/>
    <w:autoRedefine/>
    <w:uiPriority w:val="39"/>
    <w:unhideWhenUsed/>
    <w:rsid w:val="00CE15A4"/>
    <w:pPr>
      <w:ind w:left="400"/>
    </w:pPr>
    <w:rPr>
      <w:noProof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471EB7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471EB7"/>
    <w:rPr>
      <w:rFonts w:ascii="Arial" w:eastAsia="Times New Roman" w:hAnsi="Arial"/>
      <w:sz w:val="15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1EB7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1EB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uiPriority w:val="99"/>
    <w:semiHidden/>
    <w:unhideWhenUsed/>
    <w:rsid w:val="00471EB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1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6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6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9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1D9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681D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353D1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6C6C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42E6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21" Type="http://schemas.openxmlformats.org/officeDocument/2006/relationships/chart" Target="charts/chart7.xml"/><Relationship Id="rId34" Type="http://schemas.openxmlformats.org/officeDocument/2006/relationships/chart" Target="charts/chart2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10.xml"/><Relationship Id="rId32" Type="http://schemas.openxmlformats.org/officeDocument/2006/relationships/chart" Target="charts/chart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31" Type="http://schemas.openxmlformats.org/officeDocument/2006/relationships/chart" Target="charts/chart1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chart" Target="charts/chart2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RBA~1\AppData\Local\Temp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D:\IS\IS2018_Grafy_Shrnut&#237;_A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</a:t>
            </a:r>
            <a:r>
              <a:rPr lang="cs-CZ" sz="800" b="1"/>
              <a:t>A1</a:t>
            </a:r>
            <a:r>
              <a:rPr lang="en-US" sz="800" b="1"/>
              <a:t> </a:t>
            </a:r>
            <a:r>
              <a:rPr lang="cs-CZ" sz="800" b="1"/>
              <a:t>Účastníci hlasové služby </a:t>
            </a:r>
          </a:p>
          <a:p>
            <a:pPr>
              <a:defRPr sz="800" b="1"/>
            </a:pPr>
            <a:r>
              <a:rPr lang="cs-CZ" sz="800" b="1"/>
              <a:t>v </a:t>
            </a:r>
            <a:r>
              <a:rPr lang="cs-CZ" sz="800" b="1" baseline="0"/>
              <a:t>pevné telefonní síti v Česku prostřednictvím</a:t>
            </a:r>
          </a:p>
          <a:p>
            <a:pPr>
              <a:defRPr sz="800" b="1"/>
            </a:pPr>
            <a:r>
              <a:rPr lang="cs-CZ" sz="800" b="1" baseline="0"/>
              <a:t>klasických PSTN telefonních stanic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3.1039491298527445E-2"/>
          <c:y val="0.20836944444444444"/>
          <c:w val="0.95492225540772924"/>
          <c:h val="0.5919055555555555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A_CZ!$A$3</c:f>
              <c:strCache>
                <c:ptCount val="1"/>
                <c:pt idx="0">
                  <c:v> v tisících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8"/>
              <c:layout>
                <c:manualLayout>
                  <c:x val="0"/>
                  <c:y val="0.1046805555555555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A_CZ!$B$2:$J$2</c:f>
              <c:numCache>
                <c:formatCode>General</c:formatCode>
                <c:ptCount val="9"/>
                <c:pt idx="0">
                  <c:v>1984</c:v>
                </c:pt>
                <c:pt idx="1">
                  <c:v>1988</c:v>
                </c:pt>
                <c:pt idx="2">
                  <c:v>1992</c:v>
                </c:pt>
                <c:pt idx="3">
                  <c:v>1996</c:v>
                </c:pt>
                <c:pt idx="4">
                  <c:v>2000</c:v>
                </c:pt>
                <c:pt idx="5">
                  <c:v>2004</c:v>
                </c:pt>
                <c:pt idx="6">
                  <c:v>2008</c:v>
                </c:pt>
                <c:pt idx="7">
                  <c:v>2012</c:v>
                </c:pt>
                <c:pt idx="8">
                  <c:v>2016</c:v>
                </c:pt>
              </c:numCache>
            </c:numRef>
          </c:cat>
          <c:val>
            <c:numRef>
              <c:f>A_CZ!$B$3:$J$3</c:f>
              <c:numCache>
                <c:formatCode>#,##0</c:formatCode>
                <c:ptCount val="9"/>
                <c:pt idx="0">
                  <c:v>1269.1690000000001</c:v>
                </c:pt>
                <c:pt idx="1">
                  <c:v>1495.4739999999999</c:v>
                </c:pt>
                <c:pt idx="2">
                  <c:v>1814.3489999999999</c:v>
                </c:pt>
                <c:pt idx="3">
                  <c:v>2753.9160000000002</c:v>
                </c:pt>
                <c:pt idx="4">
                  <c:v>3676.4259999999999</c:v>
                </c:pt>
                <c:pt idx="5">
                  <c:v>3423.7810000000004</c:v>
                </c:pt>
                <c:pt idx="6">
                  <c:v>2264.3510000000001</c:v>
                </c:pt>
                <c:pt idx="7">
                  <c:v>1514</c:v>
                </c:pt>
                <c:pt idx="8">
                  <c:v>832.20600000000002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2565248"/>
        <c:axId val="42213952"/>
      </c:barChart>
      <c:lineChart>
        <c:grouping val="standard"/>
        <c:varyColors val="0"/>
        <c:ser>
          <c:idx val="0"/>
          <c:order val="1"/>
          <c:tx>
            <c:strRef>
              <c:f>A_CZ!$A$4</c:f>
              <c:strCache>
                <c:ptCount val="1"/>
                <c:pt idx="0">
                  <c:v> na 100 obyvatel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#,##0.0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A_CZ!$B$2:$J$2</c:f>
              <c:numCache>
                <c:formatCode>General</c:formatCode>
                <c:ptCount val="9"/>
                <c:pt idx="0">
                  <c:v>1984</c:v>
                </c:pt>
                <c:pt idx="1">
                  <c:v>1988</c:v>
                </c:pt>
                <c:pt idx="2">
                  <c:v>1992</c:v>
                </c:pt>
                <c:pt idx="3">
                  <c:v>1996</c:v>
                </c:pt>
                <c:pt idx="4">
                  <c:v>2000</c:v>
                </c:pt>
                <c:pt idx="5">
                  <c:v>2004</c:v>
                </c:pt>
                <c:pt idx="6">
                  <c:v>2008</c:v>
                </c:pt>
                <c:pt idx="7">
                  <c:v>2012</c:v>
                </c:pt>
                <c:pt idx="8">
                  <c:v>2016</c:v>
                </c:pt>
              </c:numCache>
            </c:numRef>
          </c:cat>
          <c:val>
            <c:numRef>
              <c:f>A_CZ!$B$4:$J$4</c:f>
              <c:numCache>
                <c:formatCode>0.0</c:formatCode>
                <c:ptCount val="9"/>
                <c:pt idx="0">
                  <c:v>12.254973007405402</c:v>
                </c:pt>
                <c:pt idx="1">
                  <c:v>14.440152180896781</c:v>
                </c:pt>
                <c:pt idx="2">
                  <c:v>17.57120124675361</c:v>
                </c:pt>
                <c:pt idx="3">
                  <c:v>26.71335146676196</c:v>
                </c:pt>
                <c:pt idx="4">
                  <c:v>37.689460884070805</c:v>
                </c:pt>
                <c:pt idx="5">
                  <c:v>33.581775820195766</c:v>
                </c:pt>
                <c:pt idx="6">
                  <c:v>21.71109175611322</c:v>
                </c:pt>
                <c:pt idx="7">
                  <c:v>14.1</c:v>
                </c:pt>
                <c:pt idx="8">
                  <c:v>7.8667185943233742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566272"/>
        <c:axId val="42214528"/>
      </c:lineChart>
      <c:catAx>
        <c:axId val="19256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2213952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42213952"/>
        <c:scaling>
          <c:orientation val="minMax"/>
          <c:max val="5500"/>
          <c:min val="0"/>
        </c:scaling>
        <c:delete val="0"/>
        <c:axPos val="l"/>
        <c:numFmt formatCode="#,##0" sourceLinked="1"/>
        <c:majorTickMark val="none"/>
        <c:minorTickMark val="none"/>
        <c:tickLblPos val="none"/>
        <c:spPr>
          <a:ln w="9525">
            <a:noFill/>
          </a:ln>
        </c:spPr>
        <c:crossAx val="192565248"/>
        <c:crosses val="autoZero"/>
        <c:crossBetween val="between"/>
        <c:majorUnit val="1"/>
        <c:minorUnit val="0.1"/>
      </c:valAx>
      <c:catAx>
        <c:axId val="192566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2214528"/>
        <c:crosses val="autoZero"/>
        <c:auto val="1"/>
        <c:lblAlgn val="ctr"/>
        <c:lblOffset val="100"/>
        <c:noMultiLvlLbl val="0"/>
      </c:catAx>
      <c:valAx>
        <c:axId val="42214528"/>
        <c:scaling>
          <c:orientation val="minMax"/>
          <c:max val="45"/>
          <c:min val="0"/>
        </c:scaling>
        <c:delete val="0"/>
        <c:axPos val="r"/>
        <c:numFmt formatCode="0.0" sourceLinked="1"/>
        <c:majorTickMark val="none"/>
        <c:minorTickMark val="none"/>
        <c:tickLblPos val="none"/>
        <c:crossAx val="192566272"/>
        <c:crosses val="max"/>
        <c:crossBetween val="between"/>
        <c:majorUnit val="1.0000000000000002E-2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4.0574297188755062E-2"/>
          <c:y val="0.23082063492063493"/>
          <c:w val="0.3887612433862434"/>
          <c:h val="0.12699285714285713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A</a:t>
            </a:r>
            <a:r>
              <a:rPr lang="cs-CZ" sz="800" b="1"/>
              <a:t>10</a:t>
            </a:r>
            <a:r>
              <a:rPr lang="en-US" sz="800" b="1"/>
              <a:t> </a:t>
            </a:r>
            <a:r>
              <a:rPr lang="cs-CZ" sz="800" b="1"/>
              <a:t>Národní volání </a:t>
            </a:r>
            <a:r>
              <a:rPr lang="en-US" sz="800" b="1"/>
              <a:t>v mobilní síti</a:t>
            </a:r>
            <a:r>
              <a:rPr lang="cs-CZ" sz="800" b="1"/>
              <a:t> v Česku podle typu volané sítě –</a:t>
            </a:r>
            <a:r>
              <a:rPr lang="en-US" sz="800" b="1"/>
              <a:t> ml</a:t>
            </a:r>
            <a:r>
              <a:rPr lang="cs-CZ" sz="800" b="1"/>
              <a:t>d. </a:t>
            </a:r>
            <a:r>
              <a:rPr lang="en-US" sz="800" b="1"/>
              <a:t>provolaných minut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7.3443318563046284E-2"/>
          <c:y val="0.33381452991452998"/>
          <c:w val="0.88925198412698414"/>
          <c:h val="0.47172179487179489"/>
        </c:manualLayout>
      </c:layout>
      <c:lineChart>
        <c:grouping val="standard"/>
        <c:varyColors val="0"/>
        <c:ser>
          <c:idx val="4"/>
          <c:order val="0"/>
          <c:tx>
            <c:strRef>
              <c:f>A_CZ!$A$149</c:f>
              <c:strCache>
                <c:ptCount val="1"/>
                <c:pt idx="0">
                  <c:v>do vlastní mobilní sítě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cat>
            <c:numRef>
              <c:f>A_CZ!$B$148:$I$148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A_CZ!$B$149:$I$149</c:f>
              <c:numCache>
                <c:formatCode>#,##0.0</c:formatCode>
                <c:ptCount val="8"/>
                <c:pt idx="0">
                  <c:v>8.509639</c:v>
                </c:pt>
                <c:pt idx="1">
                  <c:v>9.3890100000000007</c:v>
                </c:pt>
                <c:pt idx="2">
                  <c:v>9.9192309999999999</c:v>
                </c:pt>
                <c:pt idx="3">
                  <c:v>10.391928999999999</c:v>
                </c:pt>
                <c:pt idx="4">
                  <c:v>11.254811999999999</c:v>
                </c:pt>
                <c:pt idx="5">
                  <c:v>12.082265</c:v>
                </c:pt>
                <c:pt idx="6">
                  <c:v>11.659977000000001</c:v>
                </c:pt>
                <c:pt idx="7">
                  <c:v>11.543514999999999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FC3-42C0-A818-0ADA36A5F18C}"/>
            </c:ext>
          </c:extLst>
        </c:ser>
        <c:ser>
          <c:idx val="1"/>
          <c:order val="1"/>
          <c:tx>
            <c:strRef>
              <c:f>A_CZ!$A$150</c:f>
              <c:strCache>
                <c:ptCount val="1"/>
                <c:pt idx="0">
                  <c:v>do ostatních mobilních sítí</c:v>
                </c:pt>
              </c:strCache>
            </c:strRef>
          </c:tx>
          <c:spPr>
            <a:ln w="19050">
              <a:solidFill>
                <a:srgbClr val="007D92"/>
              </a:solidFill>
            </a:ln>
          </c:spPr>
          <c:marker>
            <c:symbol val="circle"/>
            <c:size val="4"/>
            <c:spPr>
              <a:solidFill>
                <a:srgbClr val="47E5FF"/>
              </a:solidFill>
              <a:ln w="12700">
                <a:solidFill>
                  <a:srgbClr val="007D92"/>
                </a:solidFill>
              </a:ln>
            </c:spPr>
          </c:marker>
          <c:cat>
            <c:numRef>
              <c:f>A_CZ!$B$148:$I$148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A_CZ!$B$150:$I$150</c:f>
              <c:numCache>
                <c:formatCode>#,##0.0</c:formatCode>
                <c:ptCount val="8"/>
                <c:pt idx="0">
                  <c:v>4.274076</c:v>
                </c:pt>
                <c:pt idx="1">
                  <c:v>4.5011429999999999</c:v>
                </c:pt>
                <c:pt idx="2">
                  <c:v>4.5116570000000005</c:v>
                </c:pt>
                <c:pt idx="3">
                  <c:v>4.7753689999999995</c:v>
                </c:pt>
                <c:pt idx="4">
                  <c:v>5.704599</c:v>
                </c:pt>
                <c:pt idx="5">
                  <c:v>7.2725990000000005</c:v>
                </c:pt>
                <c:pt idx="6">
                  <c:v>7.6939419999999998</c:v>
                </c:pt>
                <c:pt idx="7">
                  <c:v>8.1414260000000009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FC3-42C0-A818-0ADA36A5F18C}"/>
            </c:ext>
          </c:extLst>
        </c:ser>
        <c:ser>
          <c:idx val="0"/>
          <c:order val="2"/>
          <c:tx>
            <c:strRef>
              <c:f>A_CZ!$A$151</c:f>
              <c:strCache>
                <c:ptCount val="1"/>
                <c:pt idx="0">
                  <c:v>do národních pevných sítí</c:v>
                </c:pt>
              </c:strCache>
            </c:strRef>
          </c:tx>
          <c:spPr>
            <a:ln w="19050">
              <a:solidFill>
                <a:srgbClr val="00C5E9"/>
              </a:solidFill>
            </a:ln>
          </c:spPr>
          <c:marker>
            <c:symbol val="triangle"/>
            <c:size val="4"/>
            <c:spPr>
              <a:solidFill>
                <a:srgbClr val="007D91"/>
              </a:solidFill>
              <a:ln w="12700">
                <a:solidFill>
                  <a:srgbClr val="00C5E9"/>
                </a:solidFill>
              </a:ln>
            </c:spPr>
          </c:marker>
          <c:cat>
            <c:numRef>
              <c:f>A_CZ!$B$148:$I$148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A_CZ!$B$151:$I$151</c:f>
              <c:numCache>
                <c:formatCode>#,##0.0</c:formatCode>
                <c:ptCount val="8"/>
                <c:pt idx="0">
                  <c:v>0.75226599999999999</c:v>
                </c:pt>
                <c:pt idx="1">
                  <c:v>0.77874199999999993</c:v>
                </c:pt>
                <c:pt idx="2">
                  <c:v>0.77846599999999999</c:v>
                </c:pt>
                <c:pt idx="3">
                  <c:v>0.70779600000000009</c:v>
                </c:pt>
                <c:pt idx="4">
                  <c:v>0.75649900000000003</c:v>
                </c:pt>
                <c:pt idx="5">
                  <c:v>0.84187400000000001</c:v>
                </c:pt>
                <c:pt idx="6">
                  <c:v>0.82203700000000002</c:v>
                </c:pt>
                <c:pt idx="7">
                  <c:v>0.82619500000000001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602560"/>
        <c:axId val="192618496"/>
      </c:lineChart>
      <c:catAx>
        <c:axId val="19360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261849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92618496"/>
        <c:scaling>
          <c:orientation val="minMax"/>
          <c:max val="12.5"/>
          <c:min val="0"/>
        </c:scaling>
        <c:delete val="0"/>
        <c:axPos val="l"/>
        <c:majorGridlines>
          <c:spPr>
            <a:ln w="12700">
              <a:solidFill>
                <a:srgbClr val="A6A6A6">
                  <a:alpha val="39000"/>
                </a:srgbClr>
              </a:solidFill>
              <a:prstDash val="solid"/>
            </a:ln>
          </c:spPr>
        </c:majorGridlines>
        <c:numFmt formatCode="#,##0.0" sourceLinked="0"/>
        <c:majorTickMark val="out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3602560"/>
        <c:crosses val="autoZero"/>
        <c:crossBetween val="between"/>
        <c:majorUnit val="2.5"/>
        <c:minorUnit val="1.0000000000000002E-2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9.4797949735449721E-2"/>
          <c:y val="0.15739316239316239"/>
          <c:w val="0.89859854497354497"/>
          <c:h val="0.16302008547008548"/>
        </c:manualLayout>
      </c:layout>
      <c:overlay val="0"/>
      <c:spPr>
        <a:solidFill>
          <a:srgbClr val="FFFFFF"/>
        </a:solidFill>
        <a:ln w="12700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 i="0" baseline="0">
                <a:effectLst/>
              </a:rPr>
              <a:t>Graf A1</a:t>
            </a:r>
            <a:r>
              <a:rPr lang="cs-CZ" sz="800" b="1" i="0" baseline="0">
                <a:effectLst/>
              </a:rPr>
              <a:t>1</a:t>
            </a:r>
            <a:r>
              <a:rPr lang="en-US" sz="800" b="1" i="0" baseline="0">
                <a:effectLst/>
              </a:rPr>
              <a:t> Průměrná cena za </a:t>
            </a:r>
            <a:r>
              <a:rPr lang="cs-CZ" sz="800" b="1" i="0" baseline="0">
                <a:effectLst/>
              </a:rPr>
              <a:t>minutu volání </a:t>
            </a:r>
          </a:p>
          <a:p>
            <a:pPr>
              <a:defRPr sz="800" b="1"/>
            </a:pPr>
            <a:r>
              <a:rPr lang="cs-CZ" sz="800" b="1" i="0" baseline="0">
                <a:effectLst/>
              </a:rPr>
              <a:t>v Česku </a:t>
            </a:r>
            <a:r>
              <a:rPr lang="en-US" sz="800" b="1" i="0" baseline="0">
                <a:effectLst/>
              </a:rPr>
              <a:t>v mobilní síti v Kč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2538872296135402E-2"/>
          <c:y val="0.16301230158730159"/>
          <c:w val="0.95492225540772924"/>
          <c:h val="0.6372626984126984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A_CZ!$A$155</c:f>
              <c:strCache>
                <c:ptCount val="1"/>
                <c:pt idx="0">
                  <c:v>Průměrná cena za provolanou minutu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A_CZ!$B$154:$L$154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A_CZ!$B$155:$L$155</c:f>
              <c:numCache>
                <c:formatCode>#,##0.0</c:formatCode>
                <c:ptCount val="11"/>
                <c:pt idx="0">
                  <c:v>4.84</c:v>
                </c:pt>
                <c:pt idx="1">
                  <c:v>4.43</c:v>
                </c:pt>
                <c:pt idx="2">
                  <c:v>3.81</c:v>
                </c:pt>
                <c:pt idx="3">
                  <c:v>3.17</c:v>
                </c:pt>
                <c:pt idx="4">
                  <c:v>2.99</c:v>
                </c:pt>
                <c:pt idx="5">
                  <c:v>2.4500000000000002</c:v>
                </c:pt>
                <c:pt idx="6">
                  <c:v>2.19</c:v>
                </c:pt>
                <c:pt idx="7">
                  <c:v>1.6</c:v>
                </c:pt>
                <c:pt idx="8">
                  <c:v>1.24</c:v>
                </c:pt>
                <c:pt idx="9">
                  <c:v>1.1000000000000001</c:v>
                </c:pt>
                <c:pt idx="10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3603584"/>
        <c:axId val="192620800"/>
      </c:barChart>
      <c:catAx>
        <c:axId val="19360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2620800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92620800"/>
        <c:scaling>
          <c:orientation val="minMax"/>
          <c:max val="5"/>
          <c:min val="0"/>
        </c:scaling>
        <c:delete val="0"/>
        <c:axPos val="l"/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193603584"/>
        <c:crosses val="autoZero"/>
        <c:crossBetween val="between"/>
        <c:majorUnit val="1"/>
        <c:minorUnit val="0.1"/>
      </c:valAx>
      <c:spPr>
        <a:noFill/>
        <a:ln w="12700">
          <a:solidFill>
            <a:srgbClr val="969696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 i="0" baseline="0">
                <a:effectLst/>
              </a:rPr>
              <a:t>Graf A12 </a:t>
            </a:r>
            <a:r>
              <a:rPr lang="en-US" sz="800" b="1" i="0" baseline="0">
                <a:effectLst/>
              </a:rPr>
              <a:t>Pevný internet</a:t>
            </a:r>
            <a:r>
              <a:rPr lang="cs-CZ" sz="800" b="1" i="0" baseline="0">
                <a:effectLst/>
              </a:rPr>
              <a:t> </a:t>
            </a:r>
            <a:r>
              <a:rPr lang="en-US" sz="800" b="1" i="0" baseline="0">
                <a:effectLst/>
              </a:rPr>
              <a:t>v Česku</a:t>
            </a:r>
            <a:r>
              <a:rPr lang="cs-CZ" sz="800" b="1" i="0" baseline="0">
                <a:effectLst/>
              </a:rPr>
              <a:t> </a:t>
            </a:r>
          </a:p>
          <a:p>
            <a:pPr>
              <a:defRPr sz="800" b="1"/>
            </a:pPr>
            <a:r>
              <a:rPr lang="cs-CZ" sz="800" b="1" i="0" baseline="0">
                <a:effectLst/>
              </a:rPr>
              <a:t>– </a:t>
            </a:r>
            <a:r>
              <a:rPr lang="en-US" sz="800" b="1" i="0" baseline="0">
                <a:effectLst/>
              </a:rPr>
              <a:t>počet účastníků</a:t>
            </a:r>
            <a:r>
              <a:rPr lang="cs-CZ" sz="800" b="1" i="0" baseline="0">
                <a:effectLst/>
              </a:rPr>
              <a:t> (přípojek/přístupů)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2538872296135402E-2"/>
          <c:y val="0.15293293650793652"/>
          <c:w val="0.95492225540772924"/>
          <c:h val="0.6473420634920634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A_CZ!$A$174</c:f>
              <c:strCache>
                <c:ptCount val="1"/>
                <c:pt idx="0">
                  <c:v> v tisících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" sourceLinked="0"/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A_CZ!$B$173:$G$173</c:f>
              <c:numCache>
                <c:formatCode>@</c:formatCode>
                <c:ptCount val="6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2014</c:v>
                </c:pt>
                <c:pt idx="5">
                  <c:v>2016</c:v>
                </c:pt>
              </c:numCache>
            </c:numRef>
          </c:cat>
          <c:val>
            <c:numRef>
              <c:f>A_CZ!$B$174:$G$174</c:f>
              <c:numCache>
                <c:formatCode>#,##0</c:formatCode>
                <c:ptCount val="6"/>
                <c:pt idx="0">
                  <c:v>1108.2751820693074</c:v>
                </c:pt>
                <c:pt idx="1">
                  <c:v>1759.5840000000001</c:v>
                </c:pt>
                <c:pt idx="2">
                  <c:v>2214.7359999999999</c:v>
                </c:pt>
                <c:pt idx="3">
                  <c:v>2644.8090000000002</c:v>
                </c:pt>
                <c:pt idx="4">
                  <c:v>2943.422</c:v>
                </c:pt>
                <c:pt idx="5">
                  <c:v>3057.7840000000001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5379712"/>
        <c:axId val="192622528"/>
      </c:barChart>
      <c:lineChart>
        <c:grouping val="standard"/>
        <c:varyColors val="0"/>
        <c:ser>
          <c:idx val="0"/>
          <c:order val="1"/>
          <c:tx>
            <c:strRef>
              <c:f>A_CZ!$A$175</c:f>
              <c:strCache>
                <c:ptCount val="1"/>
                <c:pt idx="0">
                  <c:v> na 100 obyvatel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#,##0.0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A_CZ!$B$173:$G$173</c:f>
              <c:numCache>
                <c:formatCode>@</c:formatCode>
                <c:ptCount val="6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2014</c:v>
                </c:pt>
                <c:pt idx="5">
                  <c:v>2016</c:v>
                </c:pt>
              </c:numCache>
            </c:numRef>
          </c:cat>
          <c:val>
            <c:numRef>
              <c:f>A_CZ!$B$175:$G$175</c:f>
              <c:numCache>
                <c:formatCode>0.0</c:formatCode>
                <c:ptCount val="6"/>
                <c:pt idx="0">
                  <c:v>10.773352973968958</c:v>
                </c:pt>
                <c:pt idx="1">
                  <c:v>16.809906279812395</c:v>
                </c:pt>
                <c:pt idx="2">
                  <c:v>21.027099234104611</c:v>
                </c:pt>
                <c:pt idx="3">
                  <c:v>25.150033876546736</c:v>
                </c:pt>
                <c:pt idx="4">
                  <c:v>27.930776146950041</c:v>
                </c:pt>
                <c:pt idx="5">
                  <c:v>28.904773878372069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81248"/>
        <c:axId val="192623104"/>
      </c:lineChart>
      <c:catAx>
        <c:axId val="195379712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2622528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92622528"/>
        <c:scaling>
          <c:orientation val="minMax"/>
          <c:max val="4500"/>
          <c:min val="0"/>
        </c:scaling>
        <c:delete val="0"/>
        <c:axPos val="l"/>
        <c:numFmt formatCode="#,##0" sourceLinked="1"/>
        <c:majorTickMark val="none"/>
        <c:minorTickMark val="none"/>
        <c:tickLblPos val="none"/>
        <c:spPr>
          <a:ln w="9525">
            <a:noFill/>
          </a:ln>
        </c:spPr>
        <c:crossAx val="195379712"/>
        <c:crosses val="autoZero"/>
        <c:crossBetween val="between"/>
        <c:majorUnit val="500"/>
        <c:minorUnit val="0.1"/>
      </c:valAx>
      <c:catAx>
        <c:axId val="195381248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one"/>
        <c:crossAx val="192623104"/>
        <c:crosses val="autoZero"/>
        <c:auto val="1"/>
        <c:lblAlgn val="ctr"/>
        <c:lblOffset val="100"/>
        <c:noMultiLvlLbl val="0"/>
      </c:catAx>
      <c:valAx>
        <c:axId val="192623104"/>
        <c:scaling>
          <c:orientation val="minMax"/>
          <c:max val="35"/>
          <c:min val="0"/>
        </c:scaling>
        <c:delete val="0"/>
        <c:axPos val="r"/>
        <c:numFmt formatCode="0.0" sourceLinked="1"/>
        <c:majorTickMark val="none"/>
        <c:minorTickMark val="none"/>
        <c:tickLblPos val="none"/>
        <c:crossAx val="195381248"/>
        <c:crosses val="max"/>
        <c:crossBetween val="between"/>
        <c:majorUnit val="1.0000000000000002E-2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3.6577050264550263E-2"/>
          <c:y val="0.17538412698412698"/>
          <c:w val="0.48753888888888891"/>
          <c:h val="0.12228925925925926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 i="0" baseline="0">
                <a:effectLst/>
              </a:rPr>
              <a:t>Graf A13 </a:t>
            </a:r>
            <a:r>
              <a:rPr lang="en-US" sz="800" b="1" i="0" baseline="0">
                <a:effectLst/>
              </a:rPr>
              <a:t>Pevný internet v Česku </a:t>
            </a:r>
            <a:r>
              <a:rPr lang="cs-CZ" sz="800" b="1" i="0" baseline="0">
                <a:effectLst/>
              </a:rPr>
              <a:t>podle použité technologie –</a:t>
            </a:r>
            <a:r>
              <a:rPr lang="en-US" sz="800" b="1" i="0" baseline="0">
                <a:effectLst/>
              </a:rPr>
              <a:t> </a:t>
            </a:r>
            <a:r>
              <a:rPr lang="cs-CZ" sz="800" b="1" i="0" baseline="0">
                <a:effectLst/>
              </a:rPr>
              <a:t>tis. účastníků (přípojek/přístupů)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4474940898345157"/>
          <c:y val="0.30197407407407401"/>
          <c:w val="0.81647284644194762"/>
          <c:h val="0.50356222222222224"/>
        </c:manualLayout>
      </c:layout>
      <c:lineChart>
        <c:grouping val="standard"/>
        <c:varyColors val="0"/>
        <c:ser>
          <c:idx val="4"/>
          <c:order val="0"/>
          <c:tx>
            <c:strRef>
              <c:f>A_CZ!$A$179</c:f>
              <c:strCache>
                <c:ptCount val="1"/>
                <c:pt idx="0">
                  <c:v>  Wi-Fi (FWA)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cat>
            <c:numRef>
              <c:f>A_CZ!$B$178:$G$178</c:f>
              <c:numCache>
                <c:formatCode>@</c:formatCode>
                <c:ptCount val="6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2014</c:v>
                </c:pt>
                <c:pt idx="5">
                  <c:v>2016</c:v>
                </c:pt>
              </c:numCache>
            </c:numRef>
          </c:cat>
          <c:val>
            <c:numRef>
              <c:f>A_CZ!$B$179:$G$179</c:f>
              <c:numCache>
                <c:formatCode>#,##0</c:formatCode>
                <c:ptCount val="6"/>
                <c:pt idx="0">
                  <c:v>350</c:v>
                </c:pt>
                <c:pt idx="1">
                  <c:v>609.9</c:v>
                </c:pt>
                <c:pt idx="2">
                  <c:v>729.89800000000002</c:v>
                </c:pt>
                <c:pt idx="3">
                  <c:v>941.17</c:v>
                </c:pt>
                <c:pt idx="4">
                  <c:v>1059.8889999999999</c:v>
                </c:pt>
                <c:pt idx="5">
                  <c:v>1067.6030000000001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FC3-42C0-A818-0ADA36A5F18C}"/>
            </c:ext>
          </c:extLst>
        </c:ser>
        <c:ser>
          <c:idx val="1"/>
          <c:order val="1"/>
          <c:tx>
            <c:strRef>
              <c:f>A_CZ!$A$180</c:f>
              <c:strCache>
                <c:ptCount val="1"/>
                <c:pt idx="0">
                  <c:v>  xDSL vedení</c:v>
                </c:pt>
              </c:strCache>
            </c:strRef>
          </c:tx>
          <c:spPr>
            <a:ln w="19050">
              <a:solidFill>
                <a:srgbClr val="007D92"/>
              </a:solidFill>
            </a:ln>
          </c:spPr>
          <c:marker>
            <c:symbol val="circle"/>
            <c:size val="4"/>
            <c:spPr>
              <a:solidFill>
                <a:srgbClr val="47E5FF"/>
              </a:solidFill>
              <a:ln w="12700">
                <a:solidFill>
                  <a:srgbClr val="007D91"/>
                </a:solidFill>
              </a:ln>
            </c:spPr>
          </c:marker>
          <c:cat>
            <c:numRef>
              <c:f>A_CZ!$B$178:$G$178</c:f>
              <c:numCache>
                <c:formatCode>@</c:formatCode>
                <c:ptCount val="6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2014</c:v>
                </c:pt>
                <c:pt idx="5">
                  <c:v>2016</c:v>
                </c:pt>
              </c:numCache>
            </c:numRef>
          </c:cat>
          <c:val>
            <c:numRef>
              <c:f>A_CZ!$B$180:$G$180</c:f>
              <c:numCache>
                <c:formatCode>#,##0</c:formatCode>
                <c:ptCount val="6"/>
                <c:pt idx="0">
                  <c:v>493</c:v>
                </c:pt>
                <c:pt idx="1">
                  <c:v>697.17200000000003</c:v>
                </c:pt>
                <c:pt idx="2">
                  <c:v>809.11099999999999</c:v>
                </c:pt>
                <c:pt idx="3">
                  <c:v>915.70699999999999</c:v>
                </c:pt>
                <c:pt idx="4">
                  <c:v>952.51</c:v>
                </c:pt>
                <c:pt idx="5">
                  <c:v>904.35500000000002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FC3-42C0-A818-0ADA36A5F18C}"/>
            </c:ext>
          </c:extLst>
        </c:ser>
        <c:ser>
          <c:idx val="0"/>
          <c:order val="2"/>
          <c:tx>
            <c:strRef>
              <c:f>A_CZ!$A$181</c:f>
              <c:strCache>
                <c:ptCount val="1"/>
                <c:pt idx="0">
                  <c:v>  Kabel (CATV)</c:v>
                </c:pt>
              </c:strCache>
            </c:strRef>
          </c:tx>
          <c:spPr>
            <a:ln w="19050">
              <a:solidFill>
                <a:srgbClr val="00C5E9"/>
              </a:solidFill>
            </a:ln>
          </c:spPr>
          <c:marker>
            <c:symbol val="triangle"/>
            <c:size val="4"/>
            <c:spPr>
              <a:solidFill>
                <a:srgbClr val="007D91"/>
              </a:solidFill>
              <a:ln w="12700">
                <a:solidFill>
                  <a:srgbClr val="00C5E9"/>
                </a:solidFill>
              </a:ln>
            </c:spPr>
          </c:marker>
          <c:cat>
            <c:numRef>
              <c:f>A_CZ!$B$178:$G$178</c:f>
              <c:numCache>
                <c:formatCode>@</c:formatCode>
                <c:ptCount val="6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2014</c:v>
                </c:pt>
                <c:pt idx="5">
                  <c:v>2016</c:v>
                </c:pt>
              </c:numCache>
            </c:numRef>
          </c:cat>
          <c:val>
            <c:numRef>
              <c:f>A_CZ!$B$181:$G$181</c:f>
              <c:numCache>
                <c:formatCode>#,##0</c:formatCode>
                <c:ptCount val="6"/>
                <c:pt idx="0">
                  <c:v>229.78</c:v>
                </c:pt>
                <c:pt idx="1">
                  <c:v>382.512</c:v>
                </c:pt>
                <c:pt idx="2">
                  <c:v>480.35199999999998</c:v>
                </c:pt>
                <c:pt idx="3">
                  <c:v>516.12800000000004</c:v>
                </c:pt>
                <c:pt idx="4">
                  <c:v>527.05899999999997</c:v>
                </c:pt>
                <c:pt idx="5">
                  <c:v>563.274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A_CZ!$A$182</c:f>
              <c:strCache>
                <c:ptCount val="1"/>
                <c:pt idx="0">
                  <c:v>  Optika (FTTx)</c:v>
                </c:pt>
              </c:strCache>
            </c:strRef>
          </c:tx>
          <c:spPr>
            <a:ln w="19050">
              <a:solidFill>
                <a:srgbClr val="009BB4"/>
              </a:solidFill>
            </a:ln>
          </c:spPr>
          <c:marker>
            <c:symbol val="square"/>
            <c:size val="4"/>
            <c:spPr>
              <a:solidFill>
                <a:srgbClr val="00C5E9"/>
              </a:solidFill>
              <a:ln w="12700">
                <a:solidFill>
                  <a:srgbClr val="009BB4"/>
                </a:solidFill>
              </a:ln>
            </c:spPr>
          </c:marker>
          <c:cat>
            <c:numRef>
              <c:f>A_CZ!$B$178:$G$178</c:f>
              <c:numCache>
                <c:formatCode>@</c:formatCode>
                <c:ptCount val="6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2012</c:v>
                </c:pt>
                <c:pt idx="4">
                  <c:v>2014</c:v>
                </c:pt>
                <c:pt idx="5">
                  <c:v>2016</c:v>
                </c:pt>
              </c:numCache>
            </c:numRef>
          </c:cat>
          <c:val>
            <c:numRef>
              <c:f>A_CZ!$B$182:$G$182</c:f>
              <c:numCache>
                <c:formatCode>#,##0</c:formatCode>
                <c:ptCount val="6"/>
                <c:pt idx="0">
                  <c:v>35.495182069307575</c:v>
                </c:pt>
                <c:pt idx="1">
                  <c:v>70</c:v>
                </c:pt>
                <c:pt idx="2">
                  <c:v>195.375</c:v>
                </c:pt>
                <c:pt idx="3">
                  <c:v>271.80399999999997</c:v>
                </c:pt>
                <c:pt idx="4">
                  <c:v>403.964</c:v>
                </c:pt>
                <c:pt idx="5">
                  <c:v>522.55200000000002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82784"/>
        <c:axId val="192624256"/>
      </c:lineChart>
      <c:catAx>
        <c:axId val="19538278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2624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2624256"/>
        <c:scaling>
          <c:orientation val="minMax"/>
          <c:max val="1100"/>
          <c:min val="0"/>
        </c:scaling>
        <c:delete val="0"/>
        <c:axPos val="l"/>
        <c:majorGridlines>
          <c:spPr>
            <a:ln w="12700">
              <a:solidFill>
                <a:srgbClr val="A6A6A6">
                  <a:alpha val="39000"/>
                </a:srgbClr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5382784"/>
        <c:crosses val="autoZero"/>
        <c:crossBetween val="between"/>
        <c:majorUnit val="100"/>
        <c:minorUnit val="1.0000000000000002E-2"/>
      </c:valAx>
      <c:spPr>
        <a:noFill/>
        <a:ln w="12700">
          <a:noFill/>
          <a:prstDash val="solid"/>
        </a:ln>
      </c:spPr>
    </c:plotArea>
    <c:legend>
      <c:legendPos val="t"/>
      <c:layout>
        <c:manualLayout>
          <c:xMode val="edge"/>
          <c:yMode val="edge"/>
          <c:x val="0.14010549313358303"/>
          <c:y val="0.15051851851851852"/>
          <c:w val="0.81888389513108617"/>
          <c:h val="0.13730666666666666"/>
        </c:manualLayout>
      </c:layout>
      <c:overlay val="0"/>
      <c:spPr>
        <a:solidFill>
          <a:srgbClr val="FFFFFF"/>
        </a:solidFill>
        <a:ln w="12700">
          <a:solidFill>
            <a:srgbClr val="A6A6A6"/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Graf A1</a:t>
            </a:r>
            <a:r>
              <a:rPr lang="cs-CZ" sz="800"/>
              <a:t>4</a:t>
            </a:r>
            <a:r>
              <a:rPr lang="en-US" sz="800"/>
              <a:t> </a:t>
            </a:r>
            <a:r>
              <a:rPr lang="cs-CZ" sz="800"/>
              <a:t>Rozšíření pevného internetu </a:t>
            </a:r>
            <a:r>
              <a:rPr lang="en-US" sz="800"/>
              <a:t>v zemích EU</a:t>
            </a:r>
            <a:r>
              <a:rPr lang="cs-CZ" sz="800"/>
              <a:t> </a:t>
            </a:r>
          </a:p>
          <a:p>
            <a:pPr>
              <a:defRPr sz="800"/>
            </a:pPr>
            <a:r>
              <a:rPr lang="cs-CZ" sz="800"/>
              <a:t>– </a:t>
            </a:r>
            <a:r>
              <a:rPr lang="en-US" sz="800"/>
              <a:t>počet účastníků </a:t>
            </a:r>
            <a:r>
              <a:rPr lang="cs-CZ" sz="800"/>
              <a:t>s přístupem  k internetu v pevném místě </a:t>
            </a:r>
            <a:r>
              <a:rPr lang="en-US" sz="800"/>
              <a:t>na 100 obyvatel</a:t>
            </a:r>
            <a:r>
              <a:rPr lang="cs-CZ" sz="800"/>
              <a:t> daného státu</a:t>
            </a:r>
            <a:endParaRPr lang="en-US" sz="8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1240466798159109E-2"/>
          <c:y val="0.14793725490196077"/>
          <c:w val="0.91664217619986854"/>
          <c:h val="0.587658496732026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A_CZ!$B$205</c:f>
              <c:strCache>
                <c:ptCount val="1"/>
                <c:pt idx="0">
                  <c:v> 2016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>
                <a:noFill/>
              </a:ln>
            </c:spPr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Lbls>
            <c:numFmt formatCode="#,##0.0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A_CZ!$A$206:$A$234</c:f>
              <c:strCache>
                <c:ptCount val="29"/>
                <c:pt idx="0">
                  <c:v>Nizozemsko</c:v>
                </c:pt>
                <c:pt idx="1">
                  <c:v>Dánsko</c:v>
                </c:pt>
                <c:pt idx="2">
                  <c:v>Francie</c:v>
                </c:pt>
                <c:pt idx="3">
                  <c:v>Malta</c:v>
                </c:pt>
                <c:pt idx="4">
                  <c:v>Německo</c:v>
                </c:pt>
                <c:pt idx="5">
                  <c:v>Velká Británie</c:v>
                </c:pt>
                <c:pt idx="6">
                  <c:v>Belgie</c:v>
                </c:pt>
                <c:pt idx="7">
                  <c:v>Švédsko</c:v>
                </c:pt>
                <c:pt idx="8">
                  <c:v>Lucembursko</c:v>
                </c:pt>
                <c:pt idx="9">
                  <c:v>Řecko</c:v>
                </c:pt>
                <c:pt idx="10">
                  <c:v>EU28</c:v>
                </c:pt>
                <c:pt idx="11">
                  <c:v>Kypr</c:v>
                </c:pt>
                <c:pt idx="12">
                  <c:v>Portugalsko</c:v>
                </c:pt>
                <c:pt idx="13">
                  <c:v>Estonsko</c:v>
                </c:pt>
                <c:pt idx="14">
                  <c:v>Finsko</c:v>
                </c:pt>
                <c:pt idx="15">
                  <c:v>Slovinsko</c:v>
                </c:pt>
                <c:pt idx="16">
                  <c:v>Španělsko</c:v>
                </c:pt>
                <c:pt idx="17">
                  <c:v>Litva</c:v>
                </c:pt>
                <c:pt idx="18">
                  <c:v>Irsko</c:v>
                </c:pt>
                <c:pt idx="19">
                  <c:v>Česko</c:v>
                </c:pt>
                <c:pt idx="20">
                  <c:v>Rakousko</c:v>
                </c:pt>
                <c:pt idx="21">
                  <c:v>Maďarsko</c:v>
                </c:pt>
                <c:pt idx="22">
                  <c:v>Lotyšsko</c:v>
                </c:pt>
                <c:pt idx="23">
                  <c:v>Itálie</c:v>
                </c:pt>
                <c:pt idx="24">
                  <c:v>Slovensko</c:v>
                </c:pt>
                <c:pt idx="25">
                  <c:v>Chorvatsko</c:v>
                </c:pt>
                <c:pt idx="26">
                  <c:v>Bulharsko</c:v>
                </c:pt>
                <c:pt idx="27">
                  <c:v>Rumunsko</c:v>
                </c:pt>
                <c:pt idx="28">
                  <c:v>Polsko</c:v>
                </c:pt>
              </c:strCache>
            </c:strRef>
          </c:cat>
          <c:val>
            <c:numRef>
              <c:f>A_CZ!$B$206:$B$234</c:f>
              <c:numCache>
                <c:formatCode>#,##0.0</c:formatCode>
                <c:ptCount val="29"/>
                <c:pt idx="0">
                  <c:v>44.341099999999997</c:v>
                </c:pt>
                <c:pt idx="1">
                  <c:v>43.103200000000001</c:v>
                </c:pt>
                <c:pt idx="2">
                  <c:v>41.743699999999997</c:v>
                </c:pt>
                <c:pt idx="3">
                  <c:v>39.431800000000003</c:v>
                </c:pt>
                <c:pt idx="4">
                  <c:v>38.877800000000001</c:v>
                </c:pt>
                <c:pt idx="5">
                  <c:v>38.495199999999997</c:v>
                </c:pt>
                <c:pt idx="6">
                  <c:v>37.777500000000003</c:v>
                </c:pt>
                <c:pt idx="7">
                  <c:v>37.351500000000001</c:v>
                </c:pt>
                <c:pt idx="8">
                  <c:v>35.246400000000001</c:v>
                </c:pt>
                <c:pt idx="9">
                  <c:v>33.492600000000003</c:v>
                </c:pt>
                <c:pt idx="10">
                  <c:v>33.197200000000002</c:v>
                </c:pt>
                <c:pt idx="11">
                  <c:v>32.827599999999997</c:v>
                </c:pt>
                <c:pt idx="12">
                  <c:v>32.724800000000002</c:v>
                </c:pt>
                <c:pt idx="13">
                  <c:v>31.496099999999998</c:v>
                </c:pt>
                <c:pt idx="14">
                  <c:v>31.202200000000001</c:v>
                </c:pt>
                <c:pt idx="15">
                  <c:v>30.3658</c:v>
                </c:pt>
                <c:pt idx="16">
                  <c:v>30.020700000000001</c:v>
                </c:pt>
                <c:pt idx="17">
                  <c:v>29.710799999999999</c:v>
                </c:pt>
                <c:pt idx="18">
                  <c:v>29.436699999999998</c:v>
                </c:pt>
                <c:pt idx="19">
                  <c:v>29.123999999999999</c:v>
                </c:pt>
                <c:pt idx="20">
                  <c:v>29.101400000000002</c:v>
                </c:pt>
                <c:pt idx="21">
                  <c:v>28.630600000000001</c:v>
                </c:pt>
                <c:pt idx="22">
                  <c:v>26.011700000000001</c:v>
                </c:pt>
                <c:pt idx="23">
                  <c:v>25.659600000000001</c:v>
                </c:pt>
                <c:pt idx="24">
                  <c:v>25.1356</c:v>
                </c:pt>
                <c:pt idx="25">
                  <c:v>24.907599999999999</c:v>
                </c:pt>
                <c:pt idx="26">
                  <c:v>23.73</c:v>
                </c:pt>
                <c:pt idx="27">
                  <c:v>21.715299999999999</c:v>
                </c:pt>
                <c:pt idx="28">
                  <c:v>18.428100000000001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5465216"/>
        <c:axId val="193855488"/>
      </c:barChart>
      <c:barChart>
        <c:barDir val="col"/>
        <c:grouping val="clustered"/>
        <c:varyColors val="0"/>
        <c:ser>
          <c:idx val="1"/>
          <c:order val="1"/>
          <c:tx>
            <c:strRef>
              <c:f>A_CZ!$C$205</c:f>
              <c:strCache>
                <c:ptCount val="1"/>
                <c:pt idx="0">
                  <c:v> 2006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A_CZ!$A$206:$A$234</c:f>
              <c:strCache>
                <c:ptCount val="29"/>
                <c:pt idx="0">
                  <c:v>Nizozemsko</c:v>
                </c:pt>
                <c:pt idx="1">
                  <c:v>Dánsko</c:v>
                </c:pt>
                <c:pt idx="2">
                  <c:v>Francie</c:v>
                </c:pt>
                <c:pt idx="3">
                  <c:v>Malta</c:v>
                </c:pt>
                <c:pt idx="4">
                  <c:v>Německo</c:v>
                </c:pt>
                <c:pt idx="5">
                  <c:v>Velká Británie</c:v>
                </c:pt>
                <c:pt idx="6">
                  <c:v>Belgie</c:v>
                </c:pt>
                <c:pt idx="7">
                  <c:v>Švédsko</c:v>
                </c:pt>
                <c:pt idx="8">
                  <c:v>Lucembursko</c:v>
                </c:pt>
                <c:pt idx="9">
                  <c:v>Řecko</c:v>
                </c:pt>
                <c:pt idx="10">
                  <c:v>EU28</c:v>
                </c:pt>
                <c:pt idx="11">
                  <c:v>Kypr</c:v>
                </c:pt>
                <c:pt idx="12">
                  <c:v>Portugalsko</c:v>
                </c:pt>
                <c:pt idx="13">
                  <c:v>Estonsko</c:v>
                </c:pt>
                <c:pt idx="14">
                  <c:v>Finsko</c:v>
                </c:pt>
                <c:pt idx="15">
                  <c:v>Slovinsko</c:v>
                </c:pt>
                <c:pt idx="16">
                  <c:v>Španělsko</c:v>
                </c:pt>
                <c:pt idx="17">
                  <c:v>Litva</c:v>
                </c:pt>
                <c:pt idx="18">
                  <c:v>Irsko</c:v>
                </c:pt>
                <c:pt idx="19">
                  <c:v>Česko</c:v>
                </c:pt>
                <c:pt idx="20">
                  <c:v>Rakousko</c:v>
                </c:pt>
                <c:pt idx="21">
                  <c:v>Maďarsko</c:v>
                </c:pt>
                <c:pt idx="22">
                  <c:v>Lotyšsko</c:v>
                </c:pt>
                <c:pt idx="23">
                  <c:v>Itálie</c:v>
                </c:pt>
                <c:pt idx="24">
                  <c:v>Slovensko</c:v>
                </c:pt>
                <c:pt idx="25">
                  <c:v>Chorvatsko</c:v>
                </c:pt>
                <c:pt idx="26">
                  <c:v>Bulharsko</c:v>
                </c:pt>
                <c:pt idx="27">
                  <c:v>Rumunsko</c:v>
                </c:pt>
                <c:pt idx="28">
                  <c:v>Polsko</c:v>
                </c:pt>
              </c:strCache>
            </c:strRef>
          </c:cat>
          <c:val>
            <c:numRef>
              <c:f>A_CZ!$C$206:$C$234</c:f>
              <c:numCache>
                <c:formatCode>#,##0.0</c:formatCode>
                <c:ptCount val="29"/>
                <c:pt idx="0">
                  <c:v>31.784800000000001</c:v>
                </c:pt>
                <c:pt idx="1">
                  <c:v>31.8871</c:v>
                </c:pt>
                <c:pt idx="2">
                  <c:v>20.379899999999999</c:v>
                </c:pt>
                <c:pt idx="3">
                  <c:v>12.485900000000001</c:v>
                </c:pt>
                <c:pt idx="4">
                  <c:v>18.073</c:v>
                </c:pt>
                <c:pt idx="5">
                  <c:v>21.686699999999998</c:v>
                </c:pt>
                <c:pt idx="6">
                  <c:v>22.8247</c:v>
                </c:pt>
                <c:pt idx="7">
                  <c:v>25.949400000000001</c:v>
                </c:pt>
                <c:pt idx="8">
                  <c:v>21.494</c:v>
                </c:pt>
                <c:pt idx="9">
                  <c:v>4.3863500000000002</c:v>
                </c:pt>
                <c:pt idx="10">
                  <c:v>18.125399999999999</c:v>
                </c:pt>
                <c:pt idx="11">
                  <c:v>8.8744800000000001</c:v>
                </c:pt>
                <c:pt idx="12">
                  <c:v>13.9155</c:v>
                </c:pt>
                <c:pt idx="13">
                  <c:v>18.36</c:v>
                </c:pt>
                <c:pt idx="14">
                  <c:v>27.139600000000002</c:v>
                </c:pt>
                <c:pt idx="15">
                  <c:v>13.959300000000001</c:v>
                </c:pt>
                <c:pt idx="16">
                  <c:v>15.203200000000001</c:v>
                </c:pt>
                <c:pt idx="17">
                  <c:v>10.565200000000001</c:v>
                </c:pt>
                <c:pt idx="18">
                  <c:v>12.290900000000001</c:v>
                </c:pt>
                <c:pt idx="19">
                  <c:v>10.6088</c:v>
                </c:pt>
                <c:pt idx="20">
                  <c:v>17.427600000000002</c:v>
                </c:pt>
                <c:pt idx="21">
                  <c:v>9.8821399999999997</c:v>
                </c:pt>
                <c:pt idx="22">
                  <c:v>10.526899999999999</c:v>
                </c:pt>
                <c:pt idx="23">
                  <c:v>14.419600000000001</c:v>
                </c:pt>
                <c:pt idx="24">
                  <c:v>5.1887999999999996</c:v>
                </c:pt>
                <c:pt idx="25">
                  <c:v>7.4861000000000004</c:v>
                </c:pt>
                <c:pt idx="26">
                  <c:v>4.4771099999999997</c:v>
                </c:pt>
                <c:pt idx="27">
                  <c:v>5.0275999999999996</c:v>
                </c:pt>
                <c:pt idx="28">
                  <c:v>5.2269699999999997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195468288"/>
        <c:axId val="193856064"/>
      </c:barChart>
      <c:catAx>
        <c:axId val="19546521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3855488"/>
        <c:crosses val="autoZero"/>
        <c:auto val="1"/>
        <c:lblAlgn val="ctr"/>
        <c:lblOffset val="100"/>
        <c:noMultiLvlLbl val="0"/>
      </c:catAx>
      <c:valAx>
        <c:axId val="193855488"/>
        <c:scaling>
          <c:orientation val="minMax"/>
          <c:max val="50"/>
          <c:min val="0"/>
        </c:scaling>
        <c:delete val="1"/>
        <c:axPos val="l"/>
        <c:numFmt formatCode="#,##0" sourceLinked="0"/>
        <c:majorTickMark val="out"/>
        <c:minorTickMark val="none"/>
        <c:tickLblPos val="nextTo"/>
        <c:crossAx val="195465216"/>
        <c:crosses val="autoZero"/>
        <c:crossBetween val="between"/>
        <c:majorUnit val="5"/>
        <c:minorUnit val="5.0000000000000024E-2"/>
      </c:valAx>
      <c:valAx>
        <c:axId val="193856064"/>
        <c:scaling>
          <c:orientation val="minMax"/>
          <c:max val="50"/>
        </c:scaling>
        <c:delete val="0"/>
        <c:axPos val="r"/>
        <c:numFmt formatCode="#,##0.0" sourceLinked="1"/>
        <c:majorTickMark val="none"/>
        <c:minorTickMark val="none"/>
        <c:tickLblPos val="none"/>
        <c:crossAx val="195468288"/>
        <c:crosses val="max"/>
        <c:crossBetween val="between"/>
      </c:valAx>
      <c:catAx>
        <c:axId val="195468288"/>
        <c:scaling>
          <c:orientation val="minMax"/>
        </c:scaling>
        <c:delete val="1"/>
        <c:axPos val="b"/>
        <c:majorTickMark val="out"/>
        <c:minorTickMark val="none"/>
        <c:tickLblPos val="none"/>
        <c:crossAx val="193856064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8087689020381332"/>
          <c:y val="0.17449509803921567"/>
          <c:w val="7.1111932938856023E-2"/>
          <c:h val="0.1163820987654321"/>
        </c:manualLayout>
      </c:layout>
      <c:overlay val="0"/>
      <c:spPr>
        <a:solidFill>
          <a:srgbClr val="FFFFFF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Graf A</a:t>
            </a:r>
            <a:r>
              <a:rPr lang="cs-CZ" sz="800"/>
              <a:t>15 Pevný internet v zemích EU podle použité technologie  v</a:t>
            </a:r>
            <a:r>
              <a:rPr lang="cs-CZ" sz="800" baseline="0"/>
              <a:t> roce 2016 </a:t>
            </a:r>
            <a:r>
              <a:rPr lang="cs-CZ" sz="800"/>
              <a:t>–</a:t>
            </a:r>
            <a:r>
              <a:rPr lang="cs-CZ" sz="800" b="1" i="0" baseline="0">
                <a:effectLst/>
              </a:rPr>
              <a:t> </a:t>
            </a:r>
            <a:r>
              <a:rPr lang="en-US" sz="800" b="1" i="0" baseline="0">
                <a:effectLst/>
              </a:rPr>
              <a:t>počet účastníků </a:t>
            </a:r>
            <a:endParaRPr lang="cs-CZ" sz="800" b="1" i="0" baseline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800" b="1" i="0" baseline="0">
                <a:effectLst/>
              </a:rPr>
              <a:t>s přístupem  k internetu pomocí dané technologie  </a:t>
            </a:r>
            <a:r>
              <a:rPr lang="en-US" sz="800" b="1" i="0" baseline="0">
                <a:effectLst/>
              </a:rPr>
              <a:t>na 100 obyvatel</a:t>
            </a:r>
            <a:r>
              <a:rPr lang="cs-CZ" sz="800" b="1" i="0" baseline="0">
                <a:effectLst/>
              </a:rPr>
              <a:t> daného státu</a:t>
            </a:r>
            <a:endParaRPr lang="en-US" sz="8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5387802607076347E-2"/>
          <c:y val="0.1322818881874"/>
          <c:w val="0.81686171905677141"/>
          <c:h val="0.593447305573289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A_CZ!$B$238</c:f>
              <c:strCache>
                <c:ptCount val="1"/>
                <c:pt idx="0">
                  <c:v> xDSL 
vedení</c:v>
                </c:pt>
              </c:strCache>
            </c:strRef>
          </c:tx>
          <c:spPr>
            <a:solidFill>
              <a:srgbClr val="ABF3FF"/>
            </a:solidFill>
            <a:ln>
              <a:noFill/>
            </a:ln>
          </c:spPr>
          <c:invertIfNegative val="0"/>
          <c:dPt>
            <c:idx val="7"/>
            <c:invertIfNegative val="0"/>
            <c:bubble3D val="0"/>
            <c:spPr>
              <a:solidFill>
                <a:srgbClr val="ABF3FF"/>
              </a:solidFill>
              <a:ln>
                <a:solidFill>
                  <a:srgbClr val="FF0000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rgbClr val="ABF3FF"/>
              </a:solidFill>
              <a:ln w="19050">
                <a:noFill/>
              </a:ln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ABF3FF"/>
              </a:solidFill>
              <a:ln w="19050">
                <a:noFill/>
              </a:ln>
            </c:spPr>
          </c:dPt>
          <c:dPt>
            <c:idx val="16"/>
            <c:invertIfNegative val="0"/>
            <c:bubble3D val="0"/>
            <c:spPr>
              <a:solidFill>
                <a:srgbClr val="ABF3FF"/>
              </a:solidFill>
              <a:ln>
                <a:solidFill>
                  <a:srgbClr val="FF0000"/>
                </a:solidFill>
              </a:ln>
            </c:spPr>
          </c:dPt>
          <c:dPt>
            <c:idx val="17"/>
            <c:invertIfNegative val="0"/>
            <c:bubble3D val="0"/>
          </c:dPt>
          <c:dPt>
            <c:idx val="26"/>
            <c:invertIfNegative val="0"/>
            <c:bubble3D val="0"/>
            <c:spPr>
              <a:solidFill>
                <a:srgbClr val="ABF3FF"/>
              </a:solidFill>
              <a:ln>
                <a:solidFill>
                  <a:srgbClr val="FF0000"/>
                </a:solidFill>
              </a:ln>
            </c:spPr>
          </c:dPt>
          <c:dLbls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A_CZ!$A$239:$A$264</c:f>
              <c:strCache>
                <c:ptCount val="26"/>
                <c:pt idx="0">
                  <c:v>Nizozemsko</c:v>
                </c:pt>
                <c:pt idx="1">
                  <c:v>Dánsko</c:v>
                </c:pt>
                <c:pt idx="2">
                  <c:v>Francie</c:v>
                </c:pt>
                <c:pt idx="3">
                  <c:v>Německo</c:v>
                </c:pt>
                <c:pt idx="4">
                  <c:v>Velká Británie</c:v>
                </c:pt>
                <c:pt idx="5">
                  <c:v>Belgie</c:v>
                </c:pt>
                <c:pt idx="6">
                  <c:v>Švédsko</c:v>
                </c:pt>
                <c:pt idx="7">
                  <c:v>EU28</c:v>
                </c:pt>
                <c:pt idx="8">
                  <c:v>Portugalsko</c:v>
                </c:pt>
                <c:pt idx="9">
                  <c:v>Řecko</c:v>
                </c:pt>
                <c:pt idx="10">
                  <c:v>Estonsko</c:v>
                </c:pt>
                <c:pt idx="11">
                  <c:v>Finsko</c:v>
                </c:pt>
                <c:pt idx="12">
                  <c:v>Slovinsko</c:v>
                </c:pt>
                <c:pt idx="13">
                  <c:v>Španělsko</c:v>
                </c:pt>
                <c:pt idx="14">
                  <c:v>Litva</c:v>
                </c:pt>
                <c:pt idx="15">
                  <c:v>Irsko</c:v>
                </c:pt>
                <c:pt idx="16">
                  <c:v>Česko</c:v>
                </c:pt>
                <c:pt idx="17">
                  <c:v>Maďarsko</c:v>
                </c:pt>
                <c:pt idx="18">
                  <c:v>Rakousko</c:v>
                </c:pt>
                <c:pt idx="19">
                  <c:v>Lotyšsko</c:v>
                </c:pt>
                <c:pt idx="20">
                  <c:v>Itálie</c:v>
                </c:pt>
                <c:pt idx="21">
                  <c:v>Chorvatsko</c:v>
                </c:pt>
                <c:pt idx="22">
                  <c:v>Slovensko</c:v>
                </c:pt>
                <c:pt idx="23">
                  <c:v>Bulharsko</c:v>
                </c:pt>
                <c:pt idx="24">
                  <c:v>Rumunsko</c:v>
                </c:pt>
                <c:pt idx="25">
                  <c:v>Polsko</c:v>
                </c:pt>
              </c:strCache>
            </c:strRef>
          </c:cat>
          <c:val>
            <c:numRef>
              <c:f>A_CZ!$B$239:$B$264</c:f>
              <c:numCache>
                <c:formatCode>#,##0.0</c:formatCode>
                <c:ptCount val="26"/>
                <c:pt idx="0">
                  <c:v>16.388684978745925</c:v>
                </c:pt>
                <c:pt idx="1">
                  <c:v>18.367452340476937</c:v>
                </c:pt>
                <c:pt idx="2">
                  <c:v>33.536416252669746</c:v>
                </c:pt>
                <c:pt idx="3">
                  <c:v>29.298780565220355</c:v>
                </c:pt>
                <c:pt idx="4">
                  <c:v>20.625225894089148</c:v>
                </c:pt>
                <c:pt idx="5">
                  <c:v>18.193317902140791</c:v>
                </c:pt>
                <c:pt idx="6">
                  <c:v>9.747037189100153</c:v>
                </c:pt>
                <c:pt idx="7">
                  <c:v>20.122948585829565</c:v>
                </c:pt>
                <c:pt idx="8">
                  <c:v>8.827120373688718</c:v>
                </c:pt>
                <c:pt idx="9">
                  <c:v>32.211923121080687</c:v>
                </c:pt>
                <c:pt idx="10">
                  <c:v>10.537532325237992</c:v>
                </c:pt>
                <c:pt idx="11">
                  <c:v>13.63587135471219</c:v>
                </c:pt>
                <c:pt idx="12">
                  <c:v>11.5123904282383</c:v>
                </c:pt>
                <c:pt idx="13">
                  <c:v>13.640713378408398</c:v>
                </c:pt>
                <c:pt idx="14">
                  <c:v>5.4085809021167028</c:v>
                </c:pt>
                <c:pt idx="15">
                  <c:v>19.764739388558546</c:v>
                </c:pt>
                <c:pt idx="16">
                  <c:v>8.5731839014934295</c:v>
                </c:pt>
                <c:pt idx="17">
                  <c:v>8.0588265630816949</c:v>
                </c:pt>
                <c:pt idx="18">
                  <c:v>18.750852976715127</c:v>
                </c:pt>
                <c:pt idx="19">
                  <c:v>6.5899529568187249</c:v>
                </c:pt>
                <c:pt idx="20">
                  <c:v>23.948890877187186</c:v>
                </c:pt>
                <c:pt idx="21">
                  <c:v>19.423178936050782</c:v>
                </c:pt>
                <c:pt idx="22">
                  <c:v>8.9484476925795402</c:v>
                </c:pt>
                <c:pt idx="23">
                  <c:v>2.6839817855837782</c:v>
                </c:pt>
                <c:pt idx="24">
                  <c:v>4.5105382559068037</c:v>
                </c:pt>
                <c:pt idx="25">
                  <c:v>6.5293695834677372</c:v>
                </c:pt>
              </c:numCache>
            </c:numRef>
          </c:val>
        </c:ser>
        <c:ser>
          <c:idx val="1"/>
          <c:order val="1"/>
          <c:tx>
            <c:strRef>
              <c:f>A_CZ!$C$238</c:f>
              <c:strCache>
                <c:ptCount val="1"/>
                <c:pt idx="0">
                  <c:v> kabel 
(CATV)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47E5FF"/>
              </a:solidFill>
              <a:ln>
                <a:solidFill>
                  <a:srgbClr val="FF0000"/>
                </a:solidFill>
              </a:ln>
            </c:spPr>
          </c:dPt>
          <c:dPt>
            <c:idx val="16"/>
            <c:invertIfNegative val="0"/>
            <c:bubble3D val="0"/>
            <c:spPr>
              <a:solidFill>
                <a:srgbClr val="47E5FF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14"/>
              <c:delete val="1"/>
            </c:dLbl>
            <c:dLbl>
              <c:idx val="16"/>
              <c:layout>
                <c:manualLayout>
                  <c:x val="0"/>
                  <c:y val="-6.80791355713069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delete val="1"/>
            </c:dLbl>
            <c:dLbl>
              <c:idx val="23"/>
              <c:layout>
                <c:manualLayout>
                  <c:x val="0"/>
                  <c:y val="-1.4853801169590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A_CZ!$A$239:$A$264</c:f>
              <c:strCache>
                <c:ptCount val="26"/>
                <c:pt idx="0">
                  <c:v>Nizozemsko</c:v>
                </c:pt>
                <c:pt idx="1">
                  <c:v>Dánsko</c:v>
                </c:pt>
                <c:pt idx="2">
                  <c:v>Francie</c:v>
                </c:pt>
                <c:pt idx="3">
                  <c:v>Německo</c:v>
                </c:pt>
                <c:pt idx="4">
                  <c:v>Velká Británie</c:v>
                </c:pt>
                <c:pt idx="5">
                  <c:v>Belgie</c:v>
                </c:pt>
                <c:pt idx="6">
                  <c:v>Švédsko</c:v>
                </c:pt>
                <c:pt idx="7">
                  <c:v>EU28</c:v>
                </c:pt>
                <c:pt idx="8">
                  <c:v>Portugalsko</c:v>
                </c:pt>
                <c:pt idx="9">
                  <c:v>Řecko</c:v>
                </c:pt>
                <c:pt idx="10">
                  <c:v>Estonsko</c:v>
                </c:pt>
                <c:pt idx="11">
                  <c:v>Finsko</c:v>
                </c:pt>
                <c:pt idx="12">
                  <c:v>Slovinsko</c:v>
                </c:pt>
                <c:pt idx="13">
                  <c:v>Španělsko</c:v>
                </c:pt>
                <c:pt idx="14">
                  <c:v>Litva</c:v>
                </c:pt>
                <c:pt idx="15">
                  <c:v>Irsko</c:v>
                </c:pt>
                <c:pt idx="16">
                  <c:v>Česko</c:v>
                </c:pt>
                <c:pt idx="17">
                  <c:v>Maďarsko</c:v>
                </c:pt>
                <c:pt idx="18">
                  <c:v>Rakousko</c:v>
                </c:pt>
                <c:pt idx="19">
                  <c:v>Lotyšsko</c:v>
                </c:pt>
                <c:pt idx="20">
                  <c:v>Itálie</c:v>
                </c:pt>
                <c:pt idx="21">
                  <c:v>Chorvatsko</c:v>
                </c:pt>
                <c:pt idx="22">
                  <c:v>Slovensko</c:v>
                </c:pt>
                <c:pt idx="23">
                  <c:v>Bulharsko</c:v>
                </c:pt>
                <c:pt idx="24">
                  <c:v>Rumunsko</c:v>
                </c:pt>
                <c:pt idx="25">
                  <c:v>Polsko</c:v>
                </c:pt>
              </c:strCache>
            </c:strRef>
          </c:cat>
          <c:val>
            <c:numRef>
              <c:f>A_CZ!$C$239:$C$264</c:f>
              <c:numCache>
                <c:formatCode>#,##0.0</c:formatCode>
                <c:ptCount val="26"/>
                <c:pt idx="0">
                  <c:v>19.673486062848017</c:v>
                </c:pt>
                <c:pt idx="1">
                  <c:v>12.881683231586152</c:v>
                </c:pt>
                <c:pt idx="2">
                  <c:v>5.3213276928907902</c:v>
                </c:pt>
                <c:pt idx="3">
                  <c:v>8.7896341695661064</c:v>
                </c:pt>
                <c:pt idx="4">
                  <c:v>7.4843209095853025</c:v>
                </c:pt>
                <c:pt idx="5">
                  <c:v>19.239215384519216</c:v>
                </c:pt>
                <c:pt idx="6">
                  <c:v>6.8729832977434482</c:v>
                </c:pt>
                <c:pt idx="7">
                  <c:v>6.7747216192509816</c:v>
                </c:pt>
                <c:pt idx="8">
                  <c:v>10.781799229764049</c:v>
                </c:pt>
                <c:pt idx="10">
                  <c:v>7.1320485019528483</c:v>
                </c:pt>
                <c:pt idx="11">
                  <c:v>7.4811943453291692</c:v>
                </c:pt>
                <c:pt idx="12">
                  <c:v>8.7887735566654595</c:v>
                </c:pt>
                <c:pt idx="13">
                  <c:v>5.7656564390767713</c:v>
                </c:pt>
                <c:pt idx="14">
                  <c:v>1.028247581276569</c:v>
                </c:pt>
                <c:pt idx="15">
                  <c:v>7.7590551827540724</c:v>
                </c:pt>
                <c:pt idx="16">
                  <c:v>5.3084234611670382</c:v>
                </c:pt>
                <c:pt idx="17">
                  <c:v>14.128578885402767</c:v>
                </c:pt>
                <c:pt idx="18">
                  <c:v>9.4064177365438582</c:v>
                </c:pt>
                <c:pt idx="19">
                  <c:v>0.90001167198672449</c:v>
                </c:pt>
                <c:pt idx="21">
                  <c:v>3.4069777239266936</c:v>
                </c:pt>
                <c:pt idx="22">
                  <c:v>3.0370385609099415</c:v>
                </c:pt>
                <c:pt idx="23">
                  <c:v>3.9551319821625035</c:v>
                </c:pt>
                <c:pt idx="24">
                  <c:v>3.9873328471722966</c:v>
                </c:pt>
                <c:pt idx="25">
                  <c:v>7.0980140700667453</c:v>
                </c:pt>
              </c:numCache>
            </c:numRef>
          </c:val>
        </c:ser>
        <c:ser>
          <c:idx val="2"/>
          <c:order val="2"/>
          <c:tx>
            <c:strRef>
              <c:f>A_CZ!$D$238</c:f>
              <c:strCache>
                <c:ptCount val="1"/>
                <c:pt idx="0">
                  <c:v> optika 
(FTTH/B)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16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3"/>
              <c:delete val="1"/>
            </c:dLbl>
            <c:dLbl>
              <c:idx val="5"/>
              <c:delete val="1"/>
            </c:dLbl>
            <c:dLbl>
              <c:idx val="7"/>
              <c:layout>
                <c:manualLayout>
                  <c:x val="0"/>
                  <c:y val="-6.80791355713069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delete val="1"/>
            </c:dLbl>
            <c:dLbl>
              <c:idx val="15"/>
              <c:delete val="1"/>
            </c:dLbl>
            <c:dLbl>
              <c:idx val="16"/>
              <c:layout>
                <c:manualLayout>
                  <c:x val="0"/>
                  <c:y val="6.80791355713069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5"/>
              <c:delete val="1"/>
            </c:dLbl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A_CZ!$A$239:$A$264</c:f>
              <c:strCache>
                <c:ptCount val="26"/>
                <c:pt idx="0">
                  <c:v>Nizozemsko</c:v>
                </c:pt>
                <c:pt idx="1">
                  <c:v>Dánsko</c:v>
                </c:pt>
                <c:pt idx="2">
                  <c:v>Francie</c:v>
                </c:pt>
                <c:pt idx="3">
                  <c:v>Německo</c:v>
                </c:pt>
                <c:pt idx="4">
                  <c:v>Velká Británie</c:v>
                </c:pt>
                <c:pt idx="5">
                  <c:v>Belgie</c:v>
                </c:pt>
                <c:pt idx="6">
                  <c:v>Švédsko</c:v>
                </c:pt>
                <c:pt idx="7">
                  <c:v>EU28</c:v>
                </c:pt>
                <c:pt idx="8">
                  <c:v>Portugalsko</c:v>
                </c:pt>
                <c:pt idx="9">
                  <c:v>Řecko</c:v>
                </c:pt>
                <c:pt idx="10">
                  <c:v>Estonsko</c:v>
                </c:pt>
                <c:pt idx="11">
                  <c:v>Finsko</c:v>
                </c:pt>
                <c:pt idx="12">
                  <c:v>Slovinsko</c:v>
                </c:pt>
                <c:pt idx="13">
                  <c:v>Španělsko</c:v>
                </c:pt>
                <c:pt idx="14">
                  <c:v>Litva</c:v>
                </c:pt>
                <c:pt idx="15">
                  <c:v>Irsko</c:v>
                </c:pt>
                <c:pt idx="16">
                  <c:v>Česko</c:v>
                </c:pt>
                <c:pt idx="17">
                  <c:v>Maďarsko</c:v>
                </c:pt>
                <c:pt idx="18">
                  <c:v>Rakousko</c:v>
                </c:pt>
                <c:pt idx="19">
                  <c:v>Lotyšsko</c:v>
                </c:pt>
                <c:pt idx="20">
                  <c:v>Itálie</c:v>
                </c:pt>
                <c:pt idx="21">
                  <c:v>Chorvatsko</c:v>
                </c:pt>
                <c:pt idx="22">
                  <c:v>Slovensko</c:v>
                </c:pt>
                <c:pt idx="23">
                  <c:v>Bulharsko</c:v>
                </c:pt>
                <c:pt idx="24">
                  <c:v>Rumunsko</c:v>
                </c:pt>
                <c:pt idx="25">
                  <c:v>Polsko</c:v>
                </c:pt>
              </c:strCache>
            </c:strRef>
          </c:cat>
          <c:val>
            <c:numRef>
              <c:f>A_CZ!$D$239:$D$264</c:f>
              <c:numCache>
                <c:formatCode>#,##0.0</c:formatCode>
                <c:ptCount val="26"/>
                <c:pt idx="0">
                  <c:v>6.2222844908528883</c:v>
                </c:pt>
                <c:pt idx="1">
                  <c:v>11.046644969160713</c:v>
                </c:pt>
                <c:pt idx="2">
                  <c:v>3.3760455891307708</c:v>
                </c:pt>
                <c:pt idx="3">
                  <c:v>0.70317073356528859</c:v>
                </c:pt>
                <c:pt idx="4">
                  <c:v>10.150504250175722</c:v>
                </c:pt>
                <c:pt idx="5">
                  <c:v>0.11227834535192038</c:v>
                </c:pt>
                <c:pt idx="6">
                  <c:v>20.630080732638966</c:v>
                </c:pt>
                <c:pt idx="7">
                  <c:v>5.2361245896025705</c:v>
                </c:pt>
                <c:pt idx="8">
                  <c:v>10.502691622056982</c:v>
                </c:pt>
                <c:pt idx="9">
                  <c:v>5.4221691609479351E-2</c:v>
                </c:pt>
                <c:pt idx="10">
                  <c:v>10.830370103974101</c:v>
                </c:pt>
                <c:pt idx="11">
                  <c:v>9.8453026385701818</c:v>
                </c:pt>
                <c:pt idx="12">
                  <c:v>8.5597682617998707</c:v>
                </c:pt>
                <c:pt idx="13">
                  <c:v>10.664695819259244</c:v>
                </c:pt>
                <c:pt idx="14">
                  <c:v>18.751007908882631</c:v>
                </c:pt>
                <c:pt idx="15">
                  <c:v>0.361296533827838</c:v>
                </c:pt>
                <c:pt idx="16">
                  <c:v>4.9246499864715183</c:v>
                </c:pt>
                <c:pt idx="17">
                  <c:v>5.3622980820505433</c:v>
                </c:pt>
                <c:pt idx="18">
                  <c:v>0.4694600188220181</c:v>
                </c:pt>
                <c:pt idx="19">
                  <c:v>16.528801895936628</c:v>
                </c:pt>
                <c:pt idx="20">
                  <c:v>0.77856719285152209</c:v>
                </c:pt>
                <c:pt idx="21">
                  <c:v>0.95156606574711056</c:v>
                </c:pt>
                <c:pt idx="22">
                  <c:v>7.0213206010486724</c:v>
                </c:pt>
                <c:pt idx="23">
                  <c:v>11.954970445183015</c:v>
                </c:pt>
                <c:pt idx="24">
                  <c:v>11.279879854887858</c:v>
                </c:pt>
                <c:pt idx="25">
                  <c:v>1.4556195896810442</c:v>
                </c:pt>
              </c:numCache>
            </c:numRef>
          </c:val>
        </c:ser>
        <c:ser>
          <c:idx val="3"/>
          <c:order val="3"/>
          <c:tx>
            <c:strRef>
              <c:f>A_CZ!$E$238</c:f>
              <c:strCache>
                <c:ptCount val="1"/>
                <c:pt idx="0">
                  <c:v> Bezdrátový 
přístup 
(Wi-Fi)</c:v>
                </c:pt>
              </c:strCache>
            </c:strRef>
          </c:tx>
          <c:spPr>
            <a:solidFill>
              <a:srgbClr val="00C5E6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00C5E6"/>
              </a:solidFill>
              <a:ln>
                <a:solidFill>
                  <a:srgbClr val="FF0000"/>
                </a:solidFill>
              </a:ln>
            </c:spPr>
          </c:dPt>
          <c:dPt>
            <c:idx val="16"/>
            <c:invertIfNegative val="0"/>
            <c:bubble3D val="0"/>
            <c:spPr>
              <a:solidFill>
                <a:srgbClr val="00C5E6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1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A_CZ!$A$239:$A$264</c:f>
              <c:strCache>
                <c:ptCount val="26"/>
                <c:pt idx="0">
                  <c:v>Nizozemsko</c:v>
                </c:pt>
                <c:pt idx="1">
                  <c:v>Dánsko</c:v>
                </c:pt>
                <c:pt idx="2">
                  <c:v>Francie</c:v>
                </c:pt>
                <c:pt idx="3">
                  <c:v>Německo</c:v>
                </c:pt>
                <c:pt idx="4">
                  <c:v>Velká Británie</c:v>
                </c:pt>
                <c:pt idx="5">
                  <c:v>Belgie</c:v>
                </c:pt>
                <c:pt idx="6">
                  <c:v>Švédsko</c:v>
                </c:pt>
                <c:pt idx="7">
                  <c:v>EU28</c:v>
                </c:pt>
                <c:pt idx="8">
                  <c:v>Portugalsko</c:v>
                </c:pt>
                <c:pt idx="9">
                  <c:v>Řecko</c:v>
                </c:pt>
                <c:pt idx="10">
                  <c:v>Estonsko</c:v>
                </c:pt>
                <c:pt idx="11">
                  <c:v>Finsko</c:v>
                </c:pt>
                <c:pt idx="12">
                  <c:v>Slovinsko</c:v>
                </c:pt>
                <c:pt idx="13">
                  <c:v>Španělsko</c:v>
                </c:pt>
                <c:pt idx="14">
                  <c:v>Litva</c:v>
                </c:pt>
                <c:pt idx="15">
                  <c:v>Irsko</c:v>
                </c:pt>
                <c:pt idx="16">
                  <c:v>Česko</c:v>
                </c:pt>
                <c:pt idx="17">
                  <c:v>Maďarsko</c:v>
                </c:pt>
                <c:pt idx="18">
                  <c:v>Rakousko</c:v>
                </c:pt>
                <c:pt idx="19">
                  <c:v>Lotyšsko</c:v>
                </c:pt>
                <c:pt idx="20">
                  <c:v>Itálie</c:v>
                </c:pt>
                <c:pt idx="21">
                  <c:v>Chorvatsko</c:v>
                </c:pt>
                <c:pt idx="22">
                  <c:v>Slovensko</c:v>
                </c:pt>
                <c:pt idx="23">
                  <c:v>Bulharsko</c:v>
                </c:pt>
                <c:pt idx="24">
                  <c:v>Rumunsko</c:v>
                </c:pt>
                <c:pt idx="25">
                  <c:v>Polsko</c:v>
                </c:pt>
              </c:strCache>
            </c:strRef>
          </c:cat>
          <c:val>
            <c:numRef>
              <c:f>A_CZ!$E$239:$E$264</c:f>
              <c:numCache>
                <c:formatCode>#,##0.0</c:formatCode>
                <c:ptCount val="26"/>
                <c:pt idx="1">
                  <c:v>0.3152907891811263</c:v>
                </c:pt>
                <c:pt idx="3">
                  <c:v>2.429357221866188E-2</c:v>
                </c:pt>
                <c:pt idx="4">
                  <c:v>2.8737512991237658E-2</c:v>
                </c:pt>
                <c:pt idx="5">
                  <c:v>1.8840716619862748E-3</c:v>
                </c:pt>
                <c:pt idx="6">
                  <c:v>7.8881565124101743E-2</c:v>
                </c:pt>
                <c:pt idx="7">
                  <c:v>0.82249410325939354</c:v>
                </c:pt>
                <c:pt idx="8">
                  <c:v>2.3984472253003313</c:v>
                </c:pt>
                <c:pt idx="9">
                  <c:v>8.3871943815454538E-3</c:v>
                </c:pt>
                <c:pt idx="10">
                  <c:v>1.89941864097613</c:v>
                </c:pt>
                <c:pt idx="11">
                  <c:v>5.4514411066280077E-2</c:v>
                </c:pt>
                <c:pt idx="12">
                  <c:v>1.62037738791122</c:v>
                </c:pt>
                <c:pt idx="13">
                  <c:v>0.34192079430432348</c:v>
                </c:pt>
                <c:pt idx="14">
                  <c:v>3.9413406486170888</c:v>
                </c:pt>
                <c:pt idx="15">
                  <c:v>0.98599726877127281</c:v>
                </c:pt>
                <c:pt idx="16">
                  <c:v>10.061335713014117</c:v>
                </c:pt>
                <c:pt idx="17">
                  <c:v>1.3328848005096952</c:v>
                </c:pt>
                <c:pt idx="18">
                  <c:v>0.22942548998024301</c:v>
                </c:pt>
                <c:pt idx="19">
                  <c:v>0.60044759531699587</c:v>
                </c:pt>
                <c:pt idx="20">
                  <c:v>1.4350359914560233</c:v>
                </c:pt>
                <c:pt idx="21">
                  <c:v>0.91971428334082961</c:v>
                </c:pt>
                <c:pt idx="22">
                  <c:v>5.5137027944141836</c:v>
                </c:pt>
                <c:pt idx="23">
                  <c:v>0.92156005459725543</c:v>
                </c:pt>
                <c:pt idx="24">
                  <c:v>0.94270511454522676</c:v>
                </c:pt>
                <c:pt idx="25">
                  <c:v>2.1621393240602012</c:v>
                </c:pt>
              </c:numCache>
            </c:numRef>
          </c:val>
        </c:ser>
        <c:ser>
          <c:idx val="4"/>
          <c:order val="4"/>
          <c:tx>
            <c:strRef>
              <c:f>A_CZ!$F$238</c:f>
              <c:strCache>
                <c:ptCount val="1"/>
                <c:pt idx="0">
                  <c:v> ostatní</c:v>
                </c:pt>
              </c:strCache>
            </c:strRef>
          </c:tx>
          <c:spPr>
            <a:solidFill>
              <a:srgbClr val="007D91"/>
            </a:solidFill>
          </c:spPr>
          <c:invertIfNegative val="0"/>
          <c:cat>
            <c:strRef>
              <c:f>A_CZ!$A$239:$A$264</c:f>
              <c:strCache>
                <c:ptCount val="26"/>
                <c:pt idx="0">
                  <c:v>Nizozemsko</c:v>
                </c:pt>
                <c:pt idx="1">
                  <c:v>Dánsko</c:v>
                </c:pt>
                <c:pt idx="2">
                  <c:v>Francie</c:v>
                </c:pt>
                <c:pt idx="3">
                  <c:v>Německo</c:v>
                </c:pt>
                <c:pt idx="4">
                  <c:v>Velká Británie</c:v>
                </c:pt>
                <c:pt idx="5">
                  <c:v>Belgie</c:v>
                </c:pt>
                <c:pt idx="6">
                  <c:v>Švédsko</c:v>
                </c:pt>
                <c:pt idx="7">
                  <c:v>EU28</c:v>
                </c:pt>
                <c:pt idx="8">
                  <c:v>Portugalsko</c:v>
                </c:pt>
                <c:pt idx="9">
                  <c:v>Řecko</c:v>
                </c:pt>
                <c:pt idx="10">
                  <c:v>Estonsko</c:v>
                </c:pt>
                <c:pt idx="11">
                  <c:v>Finsko</c:v>
                </c:pt>
                <c:pt idx="12">
                  <c:v>Slovinsko</c:v>
                </c:pt>
                <c:pt idx="13">
                  <c:v>Španělsko</c:v>
                </c:pt>
                <c:pt idx="14">
                  <c:v>Litva</c:v>
                </c:pt>
                <c:pt idx="15">
                  <c:v>Irsko</c:v>
                </c:pt>
                <c:pt idx="16">
                  <c:v>Česko</c:v>
                </c:pt>
                <c:pt idx="17">
                  <c:v>Maďarsko</c:v>
                </c:pt>
                <c:pt idx="18">
                  <c:v>Rakousko</c:v>
                </c:pt>
                <c:pt idx="19">
                  <c:v>Lotyšsko</c:v>
                </c:pt>
                <c:pt idx="20">
                  <c:v>Itálie</c:v>
                </c:pt>
                <c:pt idx="21">
                  <c:v>Chorvatsko</c:v>
                </c:pt>
                <c:pt idx="22">
                  <c:v>Slovensko</c:v>
                </c:pt>
                <c:pt idx="23">
                  <c:v>Bulharsko</c:v>
                </c:pt>
                <c:pt idx="24">
                  <c:v>Rumunsko</c:v>
                </c:pt>
                <c:pt idx="25">
                  <c:v>Polsko</c:v>
                </c:pt>
              </c:strCache>
            </c:strRef>
          </c:cat>
          <c:val>
            <c:numRef>
              <c:f>A_CZ!$F$239:$F$264</c:f>
              <c:numCache>
                <c:formatCode>#,##0.0</c:formatCode>
                <c:ptCount val="26"/>
                <c:pt idx="0">
                  <c:v>1.2</c:v>
                </c:pt>
                <c:pt idx="1">
                  <c:v>0.45727581335009376</c:v>
                </c:pt>
                <c:pt idx="2">
                  <c:v>0.56705205089747968</c:v>
                </c:pt>
                <c:pt idx="3">
                  <c:v>7.9350864030805129E-2</c:v>
                </c:pt>
                <c:pt idx="4">
                  <c:v>0</c:v>
                </c:pt>
                <c:pt idx="5">
                  <c:v>4.9417262797798879E-2</c:v>
                </c:pt>
                <c:pt idx="6">
                  <c:v>7.6411433638901141E-2</c:v>
                </c:pt>
                <c:pt idx="7">
                  <c:v>0.35281363739200738</c:v>
                </c:pt>
                <c:pt idx="8">
                  <c:v>3.63973752623383E-2</c:v>
                </c:pt>
                <c:pt idx="9">
                  <c:v>4.9509483252257125E-2</c:v>
                </c:pt>
                <c:pt idx="10">
                  <c:v>0.81872768472816304</c:v>
                </c:pt>
                <c:pt idx="11">
                  <c:v>9.8125939919304142E-2</c:v>
                </c:pt>
                <c:pt idx="12">
                  <c:v>0.60236483462328105</c:v>
                </c:pt>
                <c:pt idx="13">
                  <c:v>3.6006198037196166E-2</c:v>
                </c:pt>
                <c:pt idx="14">
                  <c:v>0.36489310234440037</c:v>
                </c:pt>
                <c:pt idx="15">
                  <c:v>0.11195329404212118</c:v>
                </c:pt>
                <c:pt idx="16">
                  <c:v>6.450885109500594E-2</c:v>
                </c:pt>
                <c:pt idx="17">
                  <c:v>0</c:v>
                </c:pt>
                <c:pt idx="18">
                  <c:v>5.7391200344989977E-3</c:v>
                </c:pt>
                <c:pt idx="19">
                  <c:v>1.7266928186832984</c:v>
                </c:pt>
                <c:pt idx="20">
                  <c:v>2.5113605200126576E-2</c:v>
                </c:pt>
                <c:pt idx="21">
                  <c:v>7.2509087370483463E-2</c:v>
                </c:pt>
                <c:pt idx="22">
                  <c:v>2.9223664445472242E-2</c:v>
                </c:pt>
                <c:pt idx="23">
                  <c:v>4.2884842923516446</c:v>
                </c:pt>
                <c:pt idx="24">
                  <c:v>1.7740900369363402</c:v>
                </c:pt>
                <c:pt idx="25">
                  <c:v>1.429895190010781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95671040"/>
        <c:axId val="193857792"/>
      </c:barChart>
      <c:catAx>
        <c:axId val="195671040"/>
        <c:scaling>
          <c:orientation val="minMax"/>
        </c:scaling>
        <c:delete val="0"/>
        <c:axPos val="b"/>
        <c:numFmt formatCode="#,##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2700000" vert="horz"/>
          <a:lstStyle/>
          <a:p>
            <a:pPr>
              <a:defRPr/>
            </a:pPr>
            <a:endParaRPr lang="cs-CZ"/>
          </a:p>
        </c:txPr>
        <c:crossAx val="193857792"/>
        <c:crosses val="autoZero"/>
        <c:auto val="1"/>
        <c:lblAlgn val="ctr"/>
        <c:lblOffset val="100"/>
        <c:tickLblSkip val="1"/>
        <c:noMultiLvlLbl val="0"/>
      </c:catAx>
      <c:valAx>
        <c:axId val="193857792"/>
        <c:scaling>
          <c:orientation val="minMax"/>
          <c:max val="45"/>
          <c:min val="0"/>
        </c:scaling>
        <c:delete val="0"/>
        <c:axPos val="l"/>
        <c:majorGridlines>
          <c:spPr>
            <a:ln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crossAx val="195671040"/>
        <c:crossesAt val="1"/>
        <c:crossBetween val="between"/>
        <c:majorUnit val="5"/>
        <c:minorUnit val="1"/>
      </c:val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8267607697363193"/>
          <c:y val="0.1334865574235653"/>
          <c:w val="0.11391666666666667"/>
          <c:h val="0.58773482143560873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b="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 i="0" baseline="0">
                <a:effectLst/>
              </a:rPr>
              <a:t>Graf A16 </a:t>
            </a:r>
            <a:r>
              <a:rPr lang="en-US" sz="800" b="1" i="0" baseline="0">
                <a:effectLst/>
              </a:rPr>
              <a:t>Pevný internet </a:t>
            </a:r>
            <a:r>
              <a:rPr lang="cs-CZ" sz="800" b="1" i="0" baseline="0">
                <a:effectLst/>
              </a:rPr>
              <a:t> </a:t>
            </a:r>
            <a:r>
              <a:rPr lang="en-US" sz="800" b="1" i="0" baseline="0">
                <a:effectLst/>
              </a:rPr>
              <a:t>v Česku </a:t>
            </a:r>
            <a:r>
              <a:rPr lang="cs-CZ" sz="800" b="1" i="0" baseline="0">
                <a:effectLst/>
              </a:rPr>
              <a:t>podle rychlosti </a:t>
            </a:r>
          </a:p>
          <a:p>
            <a:pPr>
              <a:defRPr sz="800" b="1"/>
            </a:pPr>
            <a:r>
              <a:rPr lang="cs-CZ" sz="800" b="1" i="0" baseline="0">
                <a:effectLst/>
              </a:rPr>
              <a:t>–</a:t>
            </a:r>
            <a:r>
              <a:rPr lang="en-US" sz="800" b="1" i="0" baseline="0">
                <a:effectLst/>
              </a:rPr>
              <a:t> </a:t>
            </a:r>
            <a:r>
              <a:rPr lang="cs-CZ" sz="800" b="1" i="0" baseline="0">
                <a:effectLst/>
              </a:rPr>
              <a:t>tis. účastníků (přípojek/přístupů) 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1387436868686869"/>
          <c:y val="0.17027037037037041"/>
          <c:w val="0.64166528733457873"/>
          <c:h val="0.63526592592592579"/>
        </c:manualLayout>
      </c:layout>
      <c:lineChart>
        <c:grouping val="standard"/>
        <c:varyColors val="0"/>
        <c:ser>
          <c:idx val="4"/>
          <c:order val="0"/>
          <c:tx>
            <c:strRef>
              <c:f>A_CZ!$A$274</c:f>
              <c:strCache>
                <c:ptCount val="1"/>
                <c:pt idx="0">
                  <c:v>10–30 
Mbit/s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cat>
            <c:numRef>
              <c:f>A_CZ!$B$273:$F$273</c:f>
              <c:numCache>
                <c:formatCode>@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A_CZ!$B$274:$F$274</c:f>
              <c:numCache>
                <c:formatCode>#,##0.0</c:formatCode>
                <c:ptCount val="5"/>
                <c:pt idx="0">
                  <c:v>633.6116025120001</c:v>
                </c:pt>
                <c:pt idx="1">
                  <c:v>856.85730811199994</c:v>
                </c:pt>
                <c:pt idx="2">
                  <c:v>961.26864360399998</c:v>
                </c:pt>
                <c:pt idx="3">
                  <c:v>1096.4699023200001</c:v>
                </c:pt>
                <c:pt idx="4">
                  <c:v>1076.4659999999999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FC3-42C0-A818-0ADA36A5F18C}"/>
            </c:ext>
          </c:extLst>
        </c:ser>
        <c:ser>
          <c:idx val="1"/>
          <c:order val="1"/>
          <c:tx>
            <c:strRef>
              <c:f>A_CZ!$A$275</c:f>
              <c:strCache>
                <c:ptCount val="1"/>
                <c:pt idx="0">
                  <c:v>30–100 
Mbit/s</c:v>
                </c:pt>
              </c:strCache>
            </c:strRef>
          </c:tx>
          <c:spPr>
            <a:ln w="19050">
              <a:solidFill>
                <a:srgbClr val="007D92"/>
              </a:solidFill>
            </a:ln>
          </c:spPr>
          <c:marker>
            <c:symbol val="circle"/>
            <c:size val="4"/>
            <c:spPr>
              <a:solidFill>
                <a:srgbClr val="47E5FF"/>
              </a:solidFill>
              <a:ln w="12700">
                <a:solidFill>
                  <a:srgbClr val="007D91"/>
                </a:solidFill>
              </a:ln>
            </c:spPr>
          </c:marker>
          <c:cat>
            <c:numRef>
              <c:f>A_CZ!$B$273:$F$273</c:f>
              <c:numCache>
                <c:formatCode>@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A_CZ!$B$275:$F$275</c:f>
              <c:numCache>
                <c:formatCode>#,##0.0</c:formatCode>
                <c:ptCount val="5"/>
                <c:pt idx="0">
                  <c:v>531.31303520100005</c:v>
                </c:pt>
                <c:pt idx="1">
                  <c:v>562.03068831780001</c:v>
                </c:pt>
                <c:pt idx="2">
                  <c:v>603.7152787852001</c:v>
                </c:pt>
                <c:pt idx="3">
                  <c:v>674.77145208000002</c:v>
                </c:pt>
                <c:pt idx="4">
                  <c:v>677.00600000000009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FC3-42C0-A818-0ADA36A5F18C}"/>
            </c:ext>
          </c:extLst>
        </c:ser>
        <c:ser>
          <c:idx val="0"/>
          <c:order val="2"/>
          <c:tx>
            <c:strRef>
              <c:f>A_CZ!$A$276</c:f>
              <c:strCache>
                <c:ptCount val="1"/>
                <c:pt idx="0">
                  <c:v> ≥ 100 
Mbit/s </c:v>
                </c:pt>
              </c:strCache>
            </c:strRef>
          </c:tx>
          <c:spPr>
            <a:ln w="19050">
              <a:solidFill>
                <a:srgbClr val="00C5E9"/>
              </a:solidFill>
            </a:ln>
          </c:spPr>
          <c:marker>
            <c:symbol val="triangle"/>
            <c:size val="4"/>
            <c:spPr>
              <a:solidFill>
                <a:srgbClr val="007D91"/>
              </a:solidFill>
              <a:ln w="12700">
                <a:solidFill>
                  <a:srgbClr val="00C5E9"/>
                </a:solidFill>
              </a:ln>
            </c:spPr>
          </c:marker>
          <c:cat>
            <c:numRef>
              <c:f>A_CZ!$B$273:$F$273</c:f>
              <c:numCache>
                <c:formatCode>@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A_CZ!$B$276:$F$276</c:f>
              <c:numCache>
                <c:formatCode>#,##0.0</c:formatCode>
                <c:ptCount val="5"/>
                <c:pt idx="0">
                  <c:v>34.676090799000001</c:v>
                </c:pt>
                <c:pt idx="1">
                  <c:v>107.66875516019999</c:v>
                </c:pt>
                <c:pt idx="2">
                  <c:v>149.2591635668</c:v>
                </c:pt>
                <c:pt idx="3">
                  <c:v>335.9470536</c:v>
                </c:pt>
                <c:pt idx="4">
                  <c:v>628.51700000000005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A_CZ!$A$277</c:f>
              <c:strCache>
                <c:ptCount val="1"/>
                <c:pt idx="0">
                  <c:v> &lt; 10 
Mbit/s </c:v>
                </c:pt>
              </c:strCache>
            </c:strRef>
          </c:tx>
          <c:spPr>
            <a:ln w="19050">
              <a:solidFill>
                <a:srgbClr val="009BB4"/>
              </a:solidFill>
            </a:ln>
          </c:spPr>
          <c:marker>
            <c:symbol val="square"/>
            <c:size val="4"/>
            <c:spPr>
              <a:solidFill>
                <a:srgbClr val="00C5E9"/>
              </a:solidFill>
              <a:ln w="12700">
                <a:solidFill>
                  <a:srgbClr val="009BB4"/>
                </a:solidFill>
              </a:ln>
            </c:spPr>
          </c:marker>
          <c:cat>
            <c:numRef>
              <c:f>A_CZ!$B$273:$F$273</c:f>
              <c:numCache>
                <c:formatCode>@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A_CZ!$B$277:$F$277</c:f>
              <c:numCache>
                <c:formatCode>#,##0.0</c:formatCode>
                <c:ptCount val="5"/>
                <c:pt idx="0">
                  <c:v>1445.2082714880003</c:v>
                </c:pt>
                <c:pt idx="1">
                  <c:v>1284.21224841</c:v>
                </c:pt>
                <c:pt idx="2">
                  <c:v>1229.1789140439998</c:v>
                </c:pt>
                <c:pt idx="3">
                  <c:v>856.09159199999999</c:v>
                </c:pt>
                <c:pt idx="4">
                  <c:v>675.79499999999996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671552"/>
        <c:axId val="193860096"/>
      </c:lineChart>
      <c:catAx>
        <c:axId val="195671552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386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3860096"/>
        <c:scaling>
          <c:orientation val="minMax"/>
          <c:max val="1500"/>
          <c:min val="0"/>
        </c:scaling>
        <c:delete val="0"/>
        <c:axPos val="l"/>
        <c:majorGridlines>
          <c:spPr>
            <a:ln w="12700">
              <a:solidFill>
                <a:srgbClr val="A6A6A6">
                  <a:alpha val="39000"/>
                </a:srgbClr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5671552"/>
        <c:crosses val="autoZero"/>
        <c:crossBetween val="between"/>
        <c:majorUnit val="250"/>
        <c:minorUnit val="1.0000000000000002E-2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4866866866866866"/>
          <c:y val="0.16377026619026189"/>
          <c:w val="0.21186564289728418"/>
          <c:h val="0.63857395917383108"/>
        </c:manualLayout>
      </c:layout>
      <c:overlay val="0"/>
      <c:spPr>
        <a:noFill/>
        <a:ln w="12700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 i="0" baseline="0">
                <a:effectLst/>
              </a:rPr>
              <a:t>Graf A17 </a:t>
            </a:r>
            <a:r>
              <a:rPr lang="en-US" sz="800" b="1" i="0" baseline="0">
                <a:effectLst/>
              </a:rPr>
              <a:t>Pevný internet </a:t>
            </a:r>
            <a:r>
              <a:rPr lang="cs-CZ" sz="800" b="1" i="0" baseline="0">
                <a:effectLst/>
              </a:rPr>
              <a:t> </a:t>
            </a:r>
            <a:r>
              <a:rPr lang="en-US" sz="800" b="1" i="0" baseline="0">
                <a:effectLst/>
              </a:rPr>
              <a:t>v Česku </a:t>
            </a:r>
            <a:r>
              <a:rPr lang="cs-CZ" sz="800" b="1" i="0" baseline="0">
                <a:effectLst/>
              </a:rPr>
              <a:t>v roce 2016 podle typu a rychlosti </a:t>
            </a:r>
          </a:p>
          <a:p>
            <a:pPr>
              <a:defRPr sz="800" b="1"/>
            </a:pPr>
            <a:r>
              <a:rPr lang="cs-CZ" sz="800" b="1" i="0" baseline="0">
                <a:effectLst/>
              </a:rPr>
              <a:t>–</a:t>
            </a:r>
            <a:r>
              <a:rPr lang="en-US" sz="800" b="1" i="0" baseline="0">
                <a:effectLst/>
              </a:rPr>
              <a:t> </a:t>
            </a:r>
            <a:r>
              <a:rPr lang="cs-CZ" sz="800" b="1" i="0" baseline="0">
                <a:effectLst/>
              </a:rPr>
              <a:t>(% a tis. přípojek/přístupů) </a:t>
            </a:r>
            <a:endParaRPr lang="en-US" sz="800" b="1"/>
          </a:p>
        </c:rich>
      </c:tx>
      <c:layout>
        <c:manualLayout>
          <c:xMode val="edge"/>
          <c:yMode val="edge"/>
          <c:x val="0.13731101493108064"/>
          <c:y val="4.6584685030108689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4474940898345157"/>
          <c:y val="0.17027037037037038"/>
          <c:w val="0.64687187499999987"/>
          <c:h val="0.63526592592592601"/>
        </c:manualLayout>
      </c:layout>
      <c:barChart>
        <c:barDir val="col"/>
        <c:grouping val="percentStacked"/>
        <c:varyColors val="0"/>
        <c:ser>
          <c:idx val="4"/>
          <c:order val="0"/>
          <c:tx>
            <c:strRef>
              <c:f>A_CZ!$B$283</c:f>
              <c:strCache>
                <c:ptCount val="1"/>
                <c:pt idx="0">
                  <c:v>≥ 100 Mbit/s </c:v>
                </c:pt>
              </c:strCache>
            </c:strRef>
          </c:tx>
          <c:spPr>
            <a:solidFill>
              <a:srgbClr val="009BB4"/>
            </a:solidFill>
            <a:ln w="19050">
              <a:noFill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A_CZ!$A$284:$A$287</c:f>
              <c:strCache>
                <c:ptCount val="4"/>
                <c:pt idx="0">
                  <c:v>  xDSL</c:v>
                </c:pt>
                <c:pt idx="1">
                  <c:v>  Wi-Fi</c:v>
                </c:pt>
                <c:pt idx="2">
                  <c:v>  Optika</c:v>
                </c:pt>
                <c:pt idx="3">
                  <c:v>  Kabel</c:v>
                </c:pt>
              </c:strCache>
            </c:strRef>
          </c:cat>
          <c:val>
            <c:numRef>
              <c:f>A_CZ!$B$284:$B$287</c:f>
              <c:numCache>
                <c:formatCode>#,##0.0</c:formatCode>
                <c:ptCount val="4"/>
                <c:pt idx="0">
                  <c:v>6.2E-2</c:v>
                </c:pt>
                <c:pt idx="1">
                  <c:v>19.821999999999999</c:v>
                </c:pt>
                <c:pt idx="2">
                  <c:v>170.87299999999999</c:v>
                </c:pt>
                <c:pt idx="3">
                  <c:v>437.76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C3-42C0-A818-0ADA36A5F18C}"/>
            </c:ext>
          </c:extLst>
        </c:ser>
        <c:ser>
          <c:idx val="1"/>
          <c:order val="1"/>
          <c:tx>
            <c:strRef>
              <c:f>A_CZ!$C$283</c:f>
              <c:strCache>
                <c:ptCount val="1"/>
                <c:pt idx="0">
                  <c:v> 30–100 
Mbit/s</c:v>
                </c:pt>
              </c:strCache>
            </c:strRef>
          </c:tx>
          <c:spPr>
            <a:solidFill>
              <a:srgbClr val="00C5E9"/>
            </a:solidFill>
            <a:ln w="19050">
              <a:noFill/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A_CZ!$A$284:$A$287</c:f>
              <c:strCache>
                <c:ptCount val="4"/>
                <c:pt idx="0">
                  <c:v>  xDSL</c:v>
                </c:pt>
                <c:pt idx="1">
                  <c:v>  Wi-Fi</c:v>
                </c:pt>
                <c:pt idx="2">
                  <c:v>  Optika</c:v>
                </c:pt>
                <c:pt idx="3">
                  <c:v>  Kabel</c:v>
                </c:pt>
              </c:strCache>
            </c:strRef>
          </c:cat>
          <c:val>
            <c:numRef>
              <c:f>A_CZ!$C$284:$C$287</c:f>
              <c:numCache>
                <c:formatCode>#,##0.0</c:formatCode>
                <c:ptCount val="4"/>
                <c:pt idx="0">
                  <c:v>113.22499999999999</c:v>
                </c:pt>
                <c:pt idx="1">
                  <c:v>251.524</c:v>
                </c:pt>
                <c:pt idx="2">
                  <c:v>226.10599999999999</c:v>
                </c:pt>
                <c:pt idx="3">
                  <c:v>86.150999999999996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C3-42C0-A818-0ADA36A5F18C}"/>
            </c:ext>
          </c:extLst>
        </c:ser>
        <c:ser>
          <c:idx val="0"/>
          <c:order val="2"/>
          <c:tx>
            <c:strRef>
              <c:f>A_CZ!$D$283</c:f>
              <c:strCache>
                <c:ptCount val="1"/>
                <c:pt idx="0">
                  <c:v> 10–30 
Mbit/s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A_CZ!$A$284:$A$287</c:f>
              <c:strCache>
                <c:ptCount val="4"/>
                <c:pt idx="0">
                  <c:v>  xDSL</c:v>
                </c:pt>
                <c:pt idx="1">
                  <c:v>  Wi-Fi</c:v>
                </c:pt>
                <c:pt idx="2">
                  <c:v>  Optika</c:v>
                </c:pt>
                <c:pt idx="3">
                  <c:v>  Kabel</c:v>
                </c:pt>
              </c:strCache>
            </c:strRef>
          </c:cat>
          <c:val>
            <c:numRef>
              <c:f>A_CZ!$D$284:$D$287</c:f>
              <c:numCache>
                <c:formatCode>#,##0.0</c:formatCode>
                <c:ptCount val="4"/>
                <c:pt idx="0">
                  <c:v>449.67699999999996</c:v>
                </c:pt>
                <c:pt idx="1">
                  <c:v>486.52</c:v>
                </c:pt>
                <c:pt idx="2">
                  <c:v>111.00699999999999</c:v>
                </c:pt>
                <c:pt idx="3">
                  <c:v>29.262</c:v>
                </c:pt>
              </c:numCache>
            </c:numRef>
          </c:val>
        </c:ser>
        <c:ser>
          <c:idx val="2"/>
          <c:order val="3"/>
          <c:tx>
            <c:strRef>
              <c:f>A_CZ!$E$283</c:f>
              <c:strCache>
                <c:ptCount val="1"/>
                <c:pt idx="0">
                  <c:v> &lt; 10 Mbit/s 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dLbl>
              <c:idx val="2"/>
              <c:delete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A_CZ!$A$284:$A$287</c:f>
              <c:strCache>
                <c:ptCount val="4"/>
                <c:pt idx="0">
                  <c:v>  xDSL</c:v>
                </c:pt>
                <c:pt idx="1">
                  <c:v>  Wi-Fi</c:v>
                </c:pt>
                <c:pt idx="2">
                  <c:v>  Optika</c:v>
                </c:pt>
                <c:pt idx="3">
                  <c:v>  Kabel</c:v>
                </c:pt>
              </c:strCache>
            </c:strRef>
          </c:cat>
          <c:val>
            <c:numRef>
              <c:f>A_CZ!$E$284:$E$287</c:f>
              <c:numCache>
                <c:formatCode>#,##0.0</c:formatCode>
                <c:ptCount val="4"/>
                <c:pt idx="0">
                  <c:v>341.39099999999996</c:v>
                </c:pt>
                <c:pt idx="1">
                  <c:v>309.73699999999997</c:v>
                </c:pt>
                <c:pt idx="2">
                  <c:v>14.565999999999999</c:v>
                </c:pt>
                <c:pt idx="3">
                  <c:v>10.101000000000001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94064384"/>
        <c:axId val="193861824"/>
      </c:barChart>
      <c:catAx>
        <c:axId val="19406438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3861824"/>
        <c:crosses val="autoZero"/>
        <c:auto val="1"/>
        <c:lblAlgn val="ctr"/>
        <c:lblOffset val="100"/>
        <c:noMultiLvlLbl val="0"/>
      </c:catAx>
      <c:valAx>
        <c:axId val="193861824"/>
        <c:scaling>
          <c:orientation val="minMax"/>
          <c:max val="1"/>
          <c:min val="0"/>
        </c:scaling>
        <c:delete val="0"/>
        <c:axPos val="l"/>
        <c:majorGridlines>
          <c:spPr>
            <a:ln w="12700">
              <a:solidFill>
                <a:srgbClr val="A6A6A6">
                  <a:alpha val="39000"/>
                </a:srgbClr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4064384"/>
        <c:crosses val="autoZero"/>
        <c:crossBetween val="between"/>
        <c:majorUnit val="0.1"/>
        <c:minorUnit val="1.0000000000000002E-2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8956354166666665"/>
          <c:y val="0.16997370370370371"/>
          <c:w val="0.19383109833971904"/>
          <c:h val="0.62916594789608893"/>
        </c:manualLayout>
      </c:layout>
      <c:overlay val="0"/>
      <c:spPr>
        <a:noFill/>
        <a:ln w="12700">
          <a:solidFill>
            <a:srgbClr val="C0C0C0"/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Graf A1</a:t>
            </a:r>
            <a:r>
              <a:rPr lang="cs-CZ" sz="800"/>
              <a:t>8</a:t>
            </a:r>
            <a:r>
              <a:rPr lang="en-US" sz="800"/>
              <a:t> </a:t>
            </a:r>
            <a:r>
              <a:rPr lang="cs-CZ" sz="800"/>
              <a:t>Rozšíření pevného internetu s nabízenou rychlostí minimálně 100 Mbit/s </a:t>
            </a:r>
            <a:r>
              <a:rPr lang="en-US" sz="800"/>
              <a:t>v zemích EU </a:t>
            </a:r>
            <a:endParaRPr lang="cs-CZ" sz="800"/>
          </a:p>
          <a:p>
            <a:pPr>
              <a:defRPr sz="800"/>
            </a:pPr>
            <a:r>
              <a:rPr lang="cs-CZ" sz="800"/>
              <a:t>– </a:t>
            </a:r>
            <a:r>
              <a:rPr lang="en-US" sz="800"/>
              <a:t>počet účastníků </a:t>
            </a:r>
            <a:r>
              <a:rPr lang="cs-CZ" sz="800"/>
              <a:t>s přístupem k internetu s touto rychlostí </a:t>
            </a:r>
            <a:r>
              <a:rPr lang="en-US" sz="800"/>
              <a:t>na 100 obyvatel</a:t>
            </a:r>
            <a:r>
              <a:rPr lang="cs-CZ" sz="800"/>
              <a:t> daného státu</a:t>
            </a:r>
            <a:endParaRPr lang="en-US" sz="8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1240466798159109E-2"/>
          <c:y val="0.14793725490196077"/>
          <c:w val="0.91664217619986854"/>
          <c:h val="0.587658496732026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A_CZ!$B$310</c:f>
              <c:strCache>
                <c:ptCount val="1"/>
                <c:pt idx="0">
                  <c:v> 2016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rgbClr val="009BB4"/>
              </a:solidFill>
              <a:ln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>
                <a:noFill/>
              </a:ln>
            </c:spPr>
          </c:dPt>
          <c:dLbls>
            <c:dLbl>
              <c:idx val="12"/>
              <c:layout>
                <c:manualLayout>
                  <c:x val="-7.7981549694007798E-17"/>
                  <c:y val="8.50371291122916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7.65862177613535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7.7981549694007798E-17"/>
                  <c:y val="8.0811673436822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1267941057324805E-3"/>
                  <c:y val="7.23607620858845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5.2801560291097294E-4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7.7981549694007798E-17"/>
                  <c:y val="-7.9228957480271724E-3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2.1267941057324805E-3"/>
                  <c:y val="5.2801560291097294E-4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6746410289156268E-7"/>
                  <c:y val="5.3892859079722371E-3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7.7981549694007798E-17"/>
                  <c:y val="-3.5600295848517361E-5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6436554913401094E-7"/>
                  <c:y val="2.7418300653594773E-4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0"/>
                  <c:y val="-3.4911247131597656E-2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874400415712888E-3"/>
                  <c:y val="-3.5287878298891434E-2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0874400415712888E-3"/>
                  <c:y val="-4.477552349902332E-2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-5.8486628096352446E-2"/>
                </c:manualLayout>
              </c:layout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numFmt formatCode="#,##0.0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A_CZ!$A$311:$A$339</c:f>
              <c:strCache>
                <c:ptCount val="29"/>
                <c:pt idx="0">
                  <c:v>Švédsko</c:v>
                </c:pt>
                <c:pt idx="1">
                  <c:v>Belgie</c:v>
                </c:pt>
                <c:pt idx="2">
                  <c:v>Nizozemsko</c:v>
                </c:pt>
                <c:pt idx="3">
                  <c:v>Portugalsko</c:v>
                </c:pt>
                <c:pt idx="4">
                  <c:v>Lotyšsko</c:v>
                </c:pt>
                <c:pt idx="5">
                  <c:v>Rumunsko</c:v>
                </c:pt>
                <c:pt idx="6">
                  <c:v>Maďarsko</c:v>
                </c:pt>
                <c:pt idx="7">
                  <c:v>Finsko</c:v>
                </c:pt>
                <c:pt idx="8">
                  <c:v>Litva</c:v>
                </c:pt>
                <c:pt idx="9">
                  <c:v>Španělsko</c:v>
                </c:pt>
                <c:pt idx="10">
                  <c:v>Dánsko</c:v>
                </c:pt>
                <c:pt idx="11">
                  <c:v>Lucembursko</c:v>
                </c:pt>
                <c:pt idx="12">
                  <c:v>Irsko</c:v>
                </c:pt>
                <c:pt idx="13">
                  <c:v>Česko</c:v>
                </c:pt>
                <c:pt idx="14">
                  <c:v>EU28</c:v>
                </c:pt>
                <c:pt idx="15">
                  <c:v>Francie</c:v>
                </c:pt>
                <c:pt idx="16">
                  <c:v>Velká Británie</c:v>
                </c:pt>
                <c:pt idx="17">
                  <c:v>Slovinsko</c:v>
                </c:pt>
                <c:pt idx="18">
                  <c:v>Německo</c:v>
                </c:pt>
                <c:pt idx="19">
                  <c:v>Estonsko</c:v>
                </c:pt>
                <c:pt idx="20">
                  <c:v>Polsko</c:v>
                </c:pt>
                <c:pt idx="21">
                  <c:v>Slovensko</c:v>
                </c:pt>
                <c:pt idx="22">
                  <c:v>Malta</c:v>
                </c:pt>
                <c:pt idx="23">
                  <c:v>Bulharsko</c:v>
                </c:pt>
                <c:pt idx="24">
                  <c:v>Rakousko</c:v>
                </c:pt>
                <c:pt idx="25">
                  <c:v>Itálie</c:v>
                </c:pt>
                <c:pt idx="26">
                  <c:v>Chorvatsko</c:v>
                </c:pt>
                <c:pt idx="27">
                  <c:v>Kypr</c:v>
                </c:pt>
                <c:pt idx="28">
                  <c:v>Řecko</c:v>
                </c:pt>
              </c:strCache>
            </c:strRef>
          </c:cat>
          <c:val>
            <c:numRef>
              <c:f>A_CZ!$B$311:$B$339</c:f>
              <c:numCache>
                <c:formatCode>#,##0.0</c:formatCode>
                <c:ptCount val="29"/>
                <c:pt idx="0">
                  <c:v>22.098118539000001</c:v>
                </c:pt>
                <c:pt idx="1">
                  <c:v>17.9522079975</c:v>
                </c:pt>
                <c:pt idx="2">
                  <c:v>14.3215545246</c:v>
                </c:pt>
                <c:pt idx="3">
                  <c:v>14.063973672000001</c:v>
                </c:pt>
                <c:pt idx="4">
                  <c:v>12.804831582400002</c:v>
                </c:pt>
                <c:pt idx="5">
                  <c:v>12.2320764829</c:v>
                </c:pt>
                <c:pt idx="6">
                  <c:v>9.5730419383999994</c:v>
                </c:pt>
                <c:pt idx="7">
                  <c:v>8.8266655491999995</c:v>
                </c:pt>
                <c:pt idx="8">
                  <c:v>7.9659408527999984</c:v>
                </c:pt>
                <c:pt idx="9">
                  <c:v>7.3085994563999996</c:v>
                </c:pt>
                <c:pt idx="10">
                  <c:v>7.3068975672000001</c:v>
                </c:pt>
                <c:pt idx="11">
                  <c:v>6.6898372128000005</c:v>
                </c:pt>
                <c:pt idx="12">
                  <c:v>6.4529956272</c:v>
                </c:pt>
                <c:pt idx="13">
                  <c:v>5.9565861</c:v>
                </c:pt>
                <c:pt idx="14">
                  <c:v>5.9270457345611272</c:v>
                </c:pt>
                <c:pt idx="15">
                  <c:v>5.3002810763999992</c:v>
                </c:pt>
                <c:pt idx="16">
                  <c:v>5.2370409887999996</c:v>
                </c:pt>
                <c:pt idx="17">
                  <c:v>4.6440543545999997</c:v>
                </c:pt>
                <c:pt idx="18">
                  <c:v>4.2824674256000002</c:v>
                </c:pt>
                <c:pt idx="19">
                  <c:v>3.6350908853999995</c:v>
                </c:pt>
                <c:pt idx="20">
                  <c:v>3.2341315500000003</c:v>
                </c:pt>
                <c:pt idx="21">
                  <c:v>3.1897830468000006</c:v>
                </c:pt>
                <c:pt idx="22">
                  <c:v>2.4311518562800005</c:v>
                </c:pt>
                <c:pt idx="23">
                  <c:v>2.2353517620000001</c:v>
                </c:pt>
                <c:pt idx="24">
                  <c:v>1.30845132652</c:v>
                </c:pt>
                <c:pt idx="25">
                  <c:v>0.74753086296000004</c:v>
                </c:pt>
                <c:pt idx="26">
                  <c:v>0.33815554063999997</c:v>
                </c:pt>
                <c:pt idx="27">
                  <c:v>6.8959954492E-2</c:v>
                </c:pt>
                <c:pt idx="28">
                  <c:v>5.2161040314000007E-3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4066944"/>
        <c:axId val="195526656"/>
      </c:barChart>
      <c:barChart>
        <c:barDir val="col"/>
        <c:grouping val="clustered"/>
        <c:varyColors val="0"/>
        <c:ser>
          <c:idx val="1"/>
          <c:order val="1"/>
          <c:tx>
            <c:strRef>
              <c:f>A_CZ!$C$310</c:f>
              <c:strCache>
                <c:ptCount val="1"/>
                <c:pt idx="0">
                  <c:v> 2013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dLbl>
              <c:idx val="18"/>
              <c:layout>
                <c:manualLayout>
                  <c:x val="7.7981549694007798E-17"/>
                  <c:y val="2.1397441370138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1.81904203263714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2.1266266416296669E-3"/>
                  <c:y val="1.38388664067289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1.47591506900634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delete val="1"/>
            </c:dLbl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A_CZ!$A$311:$A$339</c:f>
              <c:strCache>
                <c:ptCount val="29"/>
                <c:pt idx="0">
                  <c:v>Švédsko</c:v>
                </c:pt>
                <c:pt idx="1">
                  <c:v>Belgie</c:v>
                </c:pt>
                <c:pt idx="2">
                  <c:v>Nizozemsko</c:v>
                </c:pt>
                <c:pt idx="3">
                  <c:v>Portugalsko</c:v>
                </c:pt>
                <c:pt idx="4">
                  <c:v>Lotyšsko</c:v>
                </c:pt>
                <c:pt idx="5">
                  <c:v>Rumunsko</c:v>
                </c:pt>
                <c:pt idx="6">
                  <c:v>Maďarsko</c:v>
                </c:pt>
                <c:pt idx="7">
                  <c:v>Finsko</c:v>
                </c:pt>
                <c:pt idx="8">
                  <c:v>Litva</c:v>
                </c:pt>
                <c:pt idx="9">
                  <c:v>Španělsko</c:v>
                </c:pt>
                <c:pt idx="10">
                  <c:v>Dánsko</c:v>
                </c:pt>
                <c:pt idx="11">
                  <c:v>Lucembursko</c:v>
                </c:pt>
                <c:pt idx="12">
                  <c:v>Irsko</c:v>
                </c:pt>
                <c:pt idx="13">
                  <c:v>Česko</c:v>
                </c:pt>
                <c:pt idx="14">
                  <c:v>EU28</c:v>
                </c:pt>
                <c:pt idx="15">
                  <c:v>Francie</c:v>
                </c:pt>
                <c:pt idx="16">
                  <c:v>Velká Británie</c:v>
                </c:pt>
                <c:pt idx="17">
                  <c:v>Slovinsko</c:v>
                </c:pt>
                <c:pt idx="18">
                  <c:v>Německo</c:v>
                </c:pt>
                <c:pt idx="19">
                  <c:v>Estonsko</c:v>
                </c:pt>
                <c:pt idx="20">
                  <c:v>Polsko</c:v>
                </c:pt>
                <c:pt idx="21">
                  <c:v>Slovensko</c:v>
                </c:pt>
                <c:pt idx="22">
                  <c:v>Malta</c:v>
                </c:pt>
                <c:pt idx="23">
                  <c:v>Bulharsko</c:v>
                </c:pt>
                <c:pt idx="24">
                  <c:v>Rakousko</c:v>
                </c:pt>
                <c:pt idx="25">
                  <c:v>Itálie</c:v>
                </c:pt>
                <c:pt idx="26">
                  <c:v>Chorvatsko</c:v>
                </c:pt>
                <c:pt idx="27">
                  <c:v>Kypr</c:v>
                </c:pt>
                <c:pt idx="28">
                  <c:v>Řecko</c:v>
                </c:pt>
              </c:strCache>
            </c:strRef>
          </c:cat>
          <c:val>
            <c:numRef>
              <c:f>A_CZ!$C$311:$C$339</c:f>
              <c:numCache>
                <c:formatCode>#,##0.0</c:formatCode>
                <c:ptCount val="29"/>
                <c:pt idx="0">
                  <c:v>10.303332504</c:v>
                </c:pt>
                <c:pt idx="1">
                  <c:v>4.5449825777999999</c:v>
                </c:pt>
                <c:pt idx="2">
                  <c:v>3.7860390024600004</c:v>
                </c:pt>
                <c:pt idx="3">
                  <c:v>4.6377379419000002</c:v>
                </c:pt>
                <c:pt idx="4">
                  <c:v>8.7740425601999998</c:v>
                </c:pt>
                <c:pt idx="5">
                  <c:v>4.6655184449999991</c:v>
                </c:pt>
                <c:pt idx="6">
                  <c:v>0.95248879509999995</c:v>
                </c:pt>
                <c:pt idx="7">
                  <c:v>4.9312404930000007</c:v>
                </c:pt>
                <c:pt idx="8">
                  <c:v>2.4827643084399997</c:v>
                </c:pt>
                <c:pt idx="9">
                  <c:v>1.5385183800000002</c:v>
                </c:pt>
                <c:pt idx="10">
                  <c:v>0.68740835157000002</c:v>
                </c:pt>
                <c:pt idx="11">
                  <c:v>0.45942300270000003</c:v>
                </c:pt>
                <c:pt idx="12">
                  <c:v>1.9570971775899999</c:v>
                </c:pt>
                <c:pt idx="13">
                  <c:v>1.0324945332</c:v>
                </c:pt>
                <c:pt idx="14">
                  <c:v>1.5795134297597446</c:v>
                </c:pt>
                <c:pt idx="15">
                  <c:v>2.0389777443899999</c:v>
                </c:pt>
                <c:pt idx="16">
                  <c:v>0.48166761708</c:v>
                </c:pt>
                <c:pt idx="17">
                  <c:v>1.0953676803199999</c:v>
                </c:pt>
                <c:pt idx="18">
                  <c:v>0.91030412364000002</c:v>
                </c:pt>
                <c:pt idx="19">
                  <c:v>1.1333628363199999</c:v>
                </c:pt>
                <c:pt idx="20">
                  <c:v>0.40899013491000002</c:v>
                </c:pt>
                <c:pt idx="21">
                  <c:v>1.7090254235</c:v>
                </c:pt>
                <c:pt idx="22">
                  <c:v>0.22920480975599999</c:v>
                </c:pt>
                <c:pt idx="23">
                  <c:v>0.58693041239999999</c:v>
                </c:pt>
                <c:pt idx="24">
                  <c:v>0.55824418404999998</c:v>
                </c:pt>
                <c:pt idx="25">
                  <c:v>8.8618268398000008E-2</c:v>
                </c:pt>
                <c:pt idx="27">
                  <c:v>1.6200484679899999E-2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195895296"/>
        <c:axId val="195527232"/>
      </c:barChart>
      <c:catAx>
        <c:axId val="1940669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5526656"/>
        <c:crosses val="autoZero"/>
        <c:auto val="1"/>
        <c:lblAlgn val="ctr"/>
        <c:lblOffset val="100"/>
        <c:noMultiLvlLbl val="0"/>
      </c:catAx>
      <c:valAx>
        <c:axId val="195526656"/>
        <c:scaling>
          <c:orientation val="minMax"/>
          <c:max val="25"/>
          <c:min val="0"/>
        </c:scaling>
        <c:delete val="1"/>
        <c:axPos val="l"/>
        <c:numFmt formatCode="#,##0" sourceLinked="0"/>
        <c:majorTickMark val="out"/>
        <c:minorTickMark val="none"/>
        <c:tickLblPos val="nextTo"/>
        <c:crossAx val="194066944"/>
        <c:crosses val="autoZero"/>
        <c:crossBetween val="between"/>
        <c:majorUnit val="5"/>
        <c:minorUnit val="5.0000000000000024E-2"/>
      </c:valAx>
      <c:valAx>
        <c:axId val="195527232"/>
        <c:scaling>
          <c:orientation val="minMax"/>
          <c:max val="25"/>
        </c:scaling>
        <c:delete val="0"/>
        <c:axPos val="r"/>
        <c:numFmt formatCode="#,##0.0" sourceLinked="1"/>
        <c:majorTickMark val="none"/>
        <c:minorTickMark val="none"/>
        <c:tickLblPos val="none"/>
        <c:crossAx val="195895296"/>
        <c:crosses val="max"/>
        <c:crossBetween val="between"/>
      </c:valAx>
      <c:catAx>
        <c:axId val="195895296"/>
        <c:scaling>
          <c:orientation val="minMax"/>
        </c:scaling>
        <c:delete val="1"/>
        <c:axPos val="b"/>
        <c:majorTickMark val="out"/>
        <c:minorTickMark val="none"/>
        <c:tickLblPos val="none"/>
        <c:crossAx val="195527232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8087689020381332"/>
          <c:y val="0.21184803921568626"/>
          <c:w val="7.1111932938856023E-2"/>
          <c:h val="0.1163820987654321"/>
        </c:manualLayout>
      </c:layout>
      <c:overlay val="0"/>
      <c:spPr>
        <a:solidFill>
          <a:srgbClr val="FFFFFF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 i="0" baseline="0">
                <a:effectLst/>
              </a:rPr>
              <a:t>Graf A19 Mobilní </a:t>
            </a:r>
            <a:r>
              <a:rPr lang="en-US" sz="800" b="1" i="0" baseline="0">
                <a:effectLst/>
              </a:rPr>
              <a:t>internet</a:t>
            </a:r>
            <a:r>
              <a:rPr lang="cs-CZ" sz="800" b="1" i="0" baseline="0">
                <a:effectLst/>
              </a:rPr>
              <a:t> </a:t>
            </a:r>
            <a:r>
              <a:rPr lang="en-US" sz="800" b="1" i="0" baseline="0">
                <a:effectLst/>
              </a:rPr>
              <a:t>v Česku </a:t>
            </a:r>
            <a:endParaRPr lang="cs-CZ" sz="800" b="1" i="0" baseline="0">
              <a:effectLst/>
            </a:endParaRPr>
          </a:p>
          <a:p>
            <a:pPr>
              <a:defRPr sz="800" b="1"/>
            </a:pPr>
            <a:r>
              <a:rPr lang="cs-CZ" sz="800" b="1" i="0" baseline="0">
                <a:effectLst/>
              </a:rPr>
              <a:t>–</a:t>
            </a:r>
            <a:r>
              <a:rPr lang="en-US" sz="800" b="1" i="0" baseline="0">
                <a:effectLst/>
              </a:rPr>
              <a:t> počet účastníků</a:t>
            </a:r>
            <a:r>
              <a:rPr lang="cs-CZ" sz="800" b="1" i="0" baseline="0">
                <a:effectLst/>
              </a:rPr>
              <a:t> (aktivních SIM karet)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2538872296135402E-2"/>
          <c:y val="0.15293293650793652"/>
          <c:w val="0.95492225540772924"/>
          <c:h val="0.6473420634920634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A_CZ!$A$344</c:f>
              <c:strCache>
                <c:ptCount val="1"/>
                <c:pt idx="0">
                  <c:v> v tisících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" sourceLinked="0"/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A_CZ!$E$343:$I$343</c:f>
              <c:numCache>
                <c:formatCode>@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A_CZ!$E$344:$I$344</c:f>
              <c:numCache>
                <c:formatCode>#,##0</c:formatCode>
                <c:ptCount val="5"/>
                <c:pt idx="0">
                  <c:v>4643</c:v>
                </c:pt>
                <c:pt idx="1">
                  <c:v>5949.9160000000002</c:v>
                </c:pt>
                <c:pt idx="2">
                  <c:v>7164.6231710000002</c:v>
                </c:pt>
                <c:pt idx="3">
                  <c:v>7917.6924100000006</c:v>
                </c:pt>
                <c:pt idx="4">
                  <c:v>8530.1409999999996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4067456"/>
        <c:axId val="195528384"/>
      </c:barChart>
      <c:lineChart>
        <c:grouping val="standard"/>
        <c:varyColors val="0"/>
        <c:ser>
          <c:idx val="0"/>
          <c:order val="1"/>
          <c:tx>
            <c:strRef>
              <c:f>A_CZ!$A$345</c:f>
              <c:strCache>
                <c:ptCount val="1"/>
                <c:pt idx="0">
                  <c:v> na 100 obyvatel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#,##0.0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A_CZ!$E$343:$I$343</c:f>
              <c:numCache>
                <c:formatCode>@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A_CZ!$E$345:$I$345</c:f>
              <c:numCache>
                <c:formatCode>0.0</c:formatCode>
                <c:ptCount val="5"/>
                <c:pt idx="0">
                  <c:v>44.151243923022967</c:v>
                </c:pt>
                <c:pt idx="1">
                  <c:v>56.59892361596318</c:v>
                </c:pt>
                <c:pt idx="2">
                  <c:v>67.986678759094815</c:v>
                </c:pt>
                <c:pt idx="3">
                  <c:v>75.021889277678284</c:v>
                </c:pt>
                <c:pt idx="4">
                  <c:v>80.634144450893402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896320"/>
        <c:axId val="195528960"/>
      </c:lineChart>
      <c:catAx>
        <c:axId val="194067456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5528384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95528384"/>
        <c:scaling>
          <c:orientation val="minMax"/>
          <c:max val="12000"/>
          <c:min val="0"/>
        </c:scaling>
        <c:delete val="0"/>
        <c:axPos val="l"/>
        <c:numFmt formatCode="#,##0" sourceLinked="1"/>
        <c:majorTickMark val="none"/>
        <c:minorTickMark val="none"/>
        <c:tickLblPos val="none"/>
        <c:spPr>
          <a:ln w="9525">
            <a:noFill/>
          </a:ln>
        </c:spPr>
        <c:crossAx val="194067456"/>
        <c:crosses val="autoZero"/>
        <c:crossBetween val="between"/>
        <c:majorUnit val="1000"/>
        <c:minorUnit val="0.1"/>
      </c:valAx>
      <c:catAx>
        <c:axId val="195896320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one"/>
        <c:crossAx val="195528960"/>
        <c:crosses val="autoZero"/>
        <c:auto val="1"/>
        <c:lblAlgn val="ctr"/>
        <c:lblOffset val="100"/>
        <c:noMultiLvlLbl val="0"/>
      </c:catAx>
      <c:valAx>
        <c:axId val="195528960"/>
        <c:scaling>
          <c:orientation val="minMax"/>
          <c:max val="100"/>
          <c:min val="0"/>
        </c:scaling>
        <c:delete val="0"/>
        <c:axPos val="r"/>
        <c:numFmt formatCode="0.0" sourceLinked="1"/>
        <c:majorTickMark val="none"/>
        <c:minorTickMark val="none"/>
        <c:tickLblPos val="none"/>
        <c:crossAx val="195896320"/>
        <c:crosses val="max"/>
        <c:crossBetween val="between"/>
        <c:majorUnit val="1.0000000000000002E-2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3.6577050264550263E-2"/>
          <c:y val="0.17538412698412698"/>
          <c:w val="0.40816388888888888"/>
          <c:h val="0.1071702380952381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 i="0" baseline="0">
                <a:effectLst/>
              </a:rPr>
              <a:t>Graf </a:t>
            </a:r>
            <a:r>
              <a:rPr lang="cs-CZ" sz="800" b="1" i="0" baseline="0">
                <a:effectLst/>
              </a:rPr>
              <a:t>A2</a:t>
            </a:r>
            <a:r>
              <a:rPr lang="en-US" sz="800" b="1" i="0" baseline="0">
                <a:effectLst/>
              </a:rPr>
              <a:t> </a:t>
            </a:r>
            <a:r>
              <a:rPr lang="cs-CZ" sz="800" b="1" i="0" baseline="0">
                <a:effectLst/>
              </a:rPr>
              <a:t>Účastníci hlasové služby </a:t>
            </a:r>
            <a:endParaRPr lang="en-US" sz="800">
              <a:effectLst/>
            </a:endParaRPr>
          </a:p>
          <a:p>
            <a:pPr>
              <a:defRPr sz="800" b="1"/>
            </a:pPr>
            <a:r>
              <a:rPr lang="cs-CZ" sz="800" b="1" i="0" baseline="0">
                <a:effectLst/>
              </a:rPr>
              <a:t>v pevné síti v Česku prostřednictvím internetové technologie</a:t>
            </a:r>
            <a:r>
              <a:rPr lang="en-US" sz="800" b="1" i="0" baseline="0">
                <a:effectLst/>
              </a:rPr>
              <a:t> </a:t>
            </a:r>
            <a:r>
              <a:rPr lang="cs-CZ" sz="800" b="1" i="0" baseline="0">
                <a:effectLst/>
              </a:rPr>
              <a:t> – VoIP účastníci</a:t>
            </a:r>
            <a:endParaRPr lang="en-US" sz="800">
              <a:effectLst/>
            </a:endParaRPr>
          </a:p>
          <a:p>
            <a:pPr>
              <a:defRPr sz="800" b="1"/>
            </a:pP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2538872296135402E-2"/>
          <c:y val="0.20837090424180849"/>
          <c:w val="0.95492225540772924"/>
          <c:h val="0.5919219531520824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A_CZ!$A$8</c:f>
              <c:strCache>
                <c:ptCount val="1"/>
                <c:pt idx="0">
                  <c:v> v tisících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" sourceLinked="0"/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A_CZ!$B$7:$J$7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A_CZ!$B$8:$J$8</c:f>
              <c:numCache>
                <c:formatCode>0.0</c:formatCode>
                <c:ptCount val="9"/>
                <c:pt idx="0">
                  <c:v>309</c:v>
                </c:pt>
                <c:pt idx="1">
                  <c:v>387</c:v>
                </c:pt>
                <c:pt idx="2">
                  <c:v>462.48900000000003</c:v>
                </c:pt>
                <c:pt idx="3">
                  <c:v>578.68499999999995</c:v>
                </c:pt>
                <c:pt idx="4">
                  <c:v>625</c:v>
                </c:pt>
                <c:pt idx="5">
                  <c:v>747</c:v>
                </c:pt>
                <c:pt idx="6">
                  <c:v>853.255</c:v>
                </c:pt>
                <c:pt idx="7">
                  <c:v>899.76499999999999</c:v>
                </c:pt>
                <c:pt idx="8">
                  <c:v>917.245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0560256"/>
        <c:axId val="42216256"/>
      </c:barChart>
      <c:lineChart>
        <c:grouping val="standard"/>
        <c:varyColors val="0"/>
        <c:ser>
          <c:idx val="0"/>
          <c:order val="1"/>
          <c:tx>
            <c:strRef>
              <c:f>A_CZ!$A$9</c:f>
              <c:strCache>
                <c:ptCount val="1"/>
                <c:pt idx="0">
                  <c:v> na 100 obyvatel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#,##0.0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A_CZ!$B$7:$J$7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A_CZ!$B$9:$J$9</c:f>
              <c:numCache>
                <c:formatCode>0.0</c:formatCode>
                <c:ptCount val="9"/>
                <c:pt idx="0">
                  <c:v>2.9519824233807705</c:v>
                </c:pt>
                <c:pt idx="1">
                  <c:v>3.683324334410444</c:v>
                </c:pt>
                <c:pt idx="2">
                  <c:v>4.3909531870533591</c:v>
                </c:pt>
                <c:pt idx="3">
                  <c:v>5.5084292002861366</c:v>
                </c:pt>
                <c:pt idx="4">
                  <c:v>5.9432538125973204</c:v>
                </c:pt>
                <c:pt idx="5">
                  <c:v>7.1058811487631912</c:v>
                </c:pt>
                <c:pt idx="6">
                  <c:v>8.0967236098887145</c:v>
                </c:pt>
                <c:pt idx="7">
                  <c:v>8.5254726643176326</c:v>
                </c:pt>
                <c:pt idx="8">
                  <c:v>8.6705795164299992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568320"/>
        <c:axId val="42216832"/>
      </c:lineChart>
      <c:catAx>
        <c:axId val="19056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2216256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42216256"/>
        <c:scaling>
          <c:orientation val="minMax"/>
          <c:max val="1500"/>
          <c:min val="0"/>
        </c:scaling>
        <c:delete val="0"/>
        <c:axPos val="l"/>
        <c:numFmt formatCode="0.0" sourceLinked="1"/>
        <c:majorTickMark val="none"/>
        <c:minorTickMark val="none"/>
        <c:tickLblPos val="none"/>
        <c:spPr>
          <a:ln w="9525">
            <a:noFill/>
          </a:ln>
        </c:spPr>
        <c:crossAx val="190560256"/>
        <c:crosses val="autoZero"/>
        <c:crossBetween val="between"/>
        <c:majorUnit val="1"/>
        <c:minorUnit val="0.1"/>
      </c:valAx>
      <c:catAx>
        <c:axId val="192568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2216832"/>
        <c:crosses val="autoZero"/>
        <c:auto val="1"/>
        <c:lblAlgn val="ctr"/>
        <c:lblOffset val="100"/>
        <c:noMultiLvlLbl val="0"/>
      </c:catAx>
      <c:valAx>
        <c:axId val="42216832"/>
        <c:scaling>
          <c:orientation val="minMax"/>
          <c:max val="12"/>
          <c:min val="0"/>
        </c:scaling>
        <c:delete val="0"/>
        <c:axPos val="r"/>
        <c:numFmt formatCode="0.0" sourceLinked="1"/>
        <c:majorTickMark val="none"/>
        <c:minorTickMark val="none"/>
        <c:tickLblPos val="none"/>
        <c:crossAx val="192568320"/>
        <c:crosses val="max"/>
        <c:crossBetween val="between"/>
        <c:majorUnit val="1.0000000000000002E-2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3.2338938705217056E-2"/>
          <c:y val="0.22701057277114553"/>
          <c:w val="0.3887612433862434"/>
          <c:h val="0.12699285714285713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 i="0" baseline="0">
                <a:effectLst/>
              </a:rPr>
              <a:t>Graf A</a:t>
            </a:r>
            <a:r>
              <a:rPr lang="cs-CZ" sz="800" b="1" i="0" baseline="0">
                <a:effectLst/>
              </a:rPr>
              <a:t>20</a:t>
            </a:r>
            <a:r>
              <a:rPr lang="en-US" sz="800" b="1" i="0" baseline="0">
                <a:effectLst/>
              </a:rPr>
              <a:t> Průměrná spotřeba dat </a:t>
            </a:r>
            <a:r>
              <a:rPr lang="cs-CZ" sz="800" b="1" i="0" baseline="0">
                <a:effectLst/>
              </a:rPr>
              <a:t>v Česku</a:t>
            </a:r>
          </a:p>
          <a:p>
            <a:pPr>
              <a:defRPr sz="800" b="1"/>
            </a:pPr>
            <a:r>
              <a:rPr lang="en-US" sz="800" b="1" i="0" baseline="0">
                <a:effectLst/>
              </a:rPr>
              <a:t>na 1 datovou SIM kartu </a:t>
            </a:r>
            <a:r>
              <a:rPr lang="cs-CZ" sz="800" b="1" i="0" baseline="0">
                <a:effectLst/>
              </a:rPr>
              <a:t> v</a:t>
            </a:r>
            <a:r>
              <a:rPr lang="en-US" sz="800" b="1" i="0" baseline="0">
                <a:effectLst/>
              </a:rPr>
              <a:t> MB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2538872296135402E-2"/>
          <c:y val="0.16301230158730159"/>
          <c:w val="0.95492225540772924"/>
          <c:h val="0.6372626984126984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A_CZ!$A$349</c:f>
              <c:strCache>
                <c:ptCount val="1"/>
                <c:pt idx="0">
                  <c:v> na SIM karty využívající datové služby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A_CZ!$B$348:$G$348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A_CZ!$B$349:$G$349</c:f>
              <c:numCache>
                <c:formatCode>General</c:formatCode>
                <c:ptCount val="6"/>
                <c:pt idx="0">
                  <c:v>203</c:v>
                </c:pt>
                <c:pt idx="1">
                  <c:v>257</c:v>
                </c:pt>
                <c:pt idx="2">
                  <c:v>272</c:v>
                </c:pt>
                <c:pt idx="3">
                  <c:v>347</c:v>
                </c:pt>
                <c:pt idx="4">
                  <c:v>573</c:v>
                </c:pt>
                <c:pt idx="5">
                  <c:v>983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4066432"/>
        <c:axId val="195530688"/>
      </c:barChart>
      <c:catAx>
        <c:axId val="19406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5530688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95530688"/>
        <c:scaling>
          <c:orientation val="minMax"/>
          <c:max val="10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9525">
            <a:noFill/>
          </a:ln>
        </c:spPr>
        <c:crossAx val="194066432"/>
        <c:crosses val="autoZero"/>
        <c:crossBetween val="between"/>
        <c:majorUnit val="200"/>
        <c:minorUnit val="0.1"/>
      </c:valAx>
      <c:spPr>
        <a:noFill/>
        <a:ln w="12700">
          <a:solidFill>
            <a:srgbClr val="969696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Graf A</a:t>
            </a:r>
            <a:r>
              <a:rPr lang="cs-CZ" sz="800"/>
              <a:t>21</a:t>
            </a:r>
            <a:r>
              <a:rPr lang="en-US" sz="800"/>
              <a:t> </a:t>
            </a:r>
            <a:r>
              <a:rPr lang="cs-CZ" sz="800"/>
              <a:t>Rozšíření vysokorychlostního mobilního internetu </a:t>
            </a:r>
            <a:r>
              <a:rPr lang="en-US" sz="800"/>
              <a:t>v zemích EU </a:t>
            </a:r>
            <a:endParaRPr lang="cs-CZ" sz="800"/>
          </a:p>
          <a:p>
            <a:pPr>
              <a:defRPr sz="800"/>
            </a:pPr>
            <a:r>
              <a:rPr lang="cs-CZ" sz="800"/>
              <a:t>– </a:t>
            </a:r>
            <a:r>
              <a:rPr lang="en-US" sz="800"/>
              <a:t>počet účastníků </a:t>
            </a:r>
            <a:r>
              <a:rPr lang="cs-CZ" sz="800"/>
              <a:t>s přístupem  k internetu přes mobilní sítě </a:t>
            </a:r>
            <a:r>
              <a:rPr lang="en-US" sz="800"/>
              <a:t>na 100 obyvatel</a:t>
            </a:r>
            <a:r>
              <a:rPr lang="cs-CZ" sz="800"/>
              <a:t> daného státu</a:t>
            </a:r>
            <a:endParaRPr lang="en-US" sz="8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1240466798159109E-2"/>
          <c:y val="0.14793725490196077"/>
          <c:w val="0.91664217619986854"/>
          <c:h val="0.587658496732026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A_CZ!$B$368</c:f>
              <c:strCache>
                <c:ptCount val="1"/>
                <c:pt idx="0">
                  <c:v> 2016</c:v>
                </c:pt>
              </c:strCache>
            </c:strRef>
          </c:tx>
          <c:spPr>
            <a:solidFill>
              <a:srgbClr val="009BB4"/>
            </a:solidFill>
            <a:ln>
              <a:noFill/>
            </a:ln>
          </c:spPr>
          <c:invertIfNegative val="0"/>
          <c:dPt>
            <c:idx val="10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14"/>
            <c:invertIfNegative val="0"/>
            <c:bubble3D val="0"/>
          </c:dPt>
          <c:dPt>
            <c:idx val="17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19"/>
            <c:invertIfNegative val="0"/>
            <c:bubble3D val="0"/>
          </c:dPt>
          <c:dLbls>
            <c:dLbl>
              <c:idx val="28"/>
              <c:layout>
                <c:manualLayout>
                  <c:x val="-1.5307734625500961E-16"/>
                  <c:y val="0.106144444444444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A_CZ!$A$369:$A$397</c:f>
              <c:strCache>
                <c:ptCount val="29"/>
                <c:pt idx="0">
                  <c:v>Finsko</c:v>
                </c:pt>
                <c:pt idx="1">
                  <c:v>Dánsko</c:v>
                </c:pt>
                <c:pt idx="2">
                  <c:v>Polsko</c:v>
                </c:pt>
                <c:pt idx="3">
                  <c:v>Švédsko</c:v>
                </c:pt>
                <c:pt idx="4">
                  <c:v>Estonsko</c:v>
                </c:pt>
                <c:pt idx="5">
                  <c:v>Lucembursko</c:v>
                </c:pt>
                <c:pt idx="6">
                  <c:v>Irsko</c:v>
                </c:pt>
                <c:pt idx="7">
                  <c:v>Kypr</c:v>
                </c:pt>
                <c:pt idx="8">
                  <c:v>Velká Británie</c:v>
                </c:pt>
                <c:pt idx="9">
                  <c:v>Španělsko</c:v>
                </c:pt>
                <c:pt idx="10">
                  <c:v>Nizozemsko</c:v>
                </c:pt>
                <c:pt idx="11">
                  <c:v>Rakousko</c:v>
                </c:pt>
                <c:pt idx="12">
                  <c:v>Bulharsko</c:v>
                </c:pt>
                <c:pt idx="13">
                  <c:v>EU28</c:v>
                </c:pt>
                <c:pt idx="14">
                  <c:v>Francie</c:v>
                </c:pt>
                <c:pt idx="15">
                  <c:v>Itálie</c:v>
                </c:pt>
                <c:pt idx="16">
                  <c:v>Rumunsko</c:v>
                </c:pt>
                <c:pt idx="17">
                  <c:v>Česko</c:v>
                </c:pt>
                <c:pt idx="18">
                  <c:v>Chorvatsko</c:v>
                </c:pt>
                <c:pt idx="19">
                  <c:v>Litva</c:v>
                </c:pt>
                <c:pt idx="20">
                  <c:v>Slovensko</c:v>
                </c:pt>
                <c:pt idx="21">
                  <c:v>Německo</c:v>
                </c:pt>
                <c:pt idx="22">
                  <c:v>Lotyšsko</c:v>
                </c:pt>
                <c:pt idx="23">
                  <c:v>Malta</c:v>
                </c:pt>
                <c:pt idx="24">
                  <c:v>Belgie</c:v>
                </c:pt>
                <c:pt idx="25">
                  <c:v>Portugalsko</c:v>
                </c:pt>
                <c:pt idx="26">
                  <c:v>Slovinsko</c:v>
                </c:pt>
                <c:pt idx="27">
                  <c:v>Řecko</c:v>
                </c:pt>
                <c:pt idx="28">
                  <c:v>Maďarsko</c:v>
                </c:pt>
              </c:strCache>
            </c:strRef>
          </c:cat>
          <c:val>
            <c:numRef>
              <c:f>A_CZ!$B$369:$B$397</c:f>
              <c:numCache>
                <c:formatCode>#,##0.0</c:formatCode>
                <c:ptCount val="29"/>
                <c:pt idx="0">
                  <c:v>145.791</c:v>
                </c:pt>
                <c:pt idx="1">
                  <c:v>123.67100000000001</c:v>
                </c:pt>
                <c:pt idx="2">
                  <c:v>123.416</c:v>
                </c:pt>
                <c:pt idx="3">
                  <c:v>123.24</c:v>
                </c:pt>
                <c:pt idx="4">
                  <c:v>121.28400000000001</c:v>
                </c:pt>
                <c:pt idx="5">
                  <c:v>116.34699999999999</c:v>
                </c:pt>
                <c:pt idx="6">
                  <c:v>100.83799999999999</c:v>
                </c:pt>
                <c:pt idx="7">
                  <c:v>96.861400000000003</c:v>
                </c:pt>
                <c:pt idx="8">
                  <c:v>89.8459</c:v>
                </c:pt>
                <c:pt idx="9">
                  <c:v>88.982100000000003</c:v>
                </c:pt>
                <c:pt idx="10">
                  <c:v>87.333100000000002</c:v>
                </c:pt>
                <c:pt idx="11">
                  <c:v>87.183800000000005</c:v>
                </c:pt>
                <c:pt idx="12">
                  <c:v>87.115600000000001</c:v>
                </c:pt>
                <c:pt idx="13">
                  <c:v>86.831999999999994</c:v>
                </c:pt>
                <c:pt idx="14">
                  <c:v>85.488500000000002</c:v>
                </c:pt>
                <c:pt idx="15">
                  <c:v>83.441900000000004</c:v>
                </c:pt>
                <c:pt idx="16">
                  <c:v>80.982200000000006</c:v>
                </c:pt>
                <c:pt idx="17">
                  <c:v>80.825000000000003</c:v>
                </c:pt>
                <c:pt idx="18">
                  <c:v>80.673100000000005</c:v>
                </c:pt>
                <c:pt idx="19">
                  <c:v>79.444900000000004</c:v>
                </c:pt>
                <c:pt idx="20">
                  <c:v>79.018600000000006</c:v>
                </c:pt>
                <c:pt idx="21">
                  <c:v>76.793199999999999</c:v>
                </c:pt>
                <c:pt idx="22">
                  <c:v>76.398600000000002</c:v>
                </c:pt>
                <c:pt idx="23">
                  <c:v>75.069000000000003</c:v>
                </c:pt>
                <c:pt idx="24">
                  <c:v>66.2577</c:v>
                </c:pt>
                <c:pt idx="25">
                  <c:v>62.633699999999997</c:v>
                </c:pt>
                <c:pt idx="26">
                  <c:v>62.207500000000003</c:v>
                </c:pt>
                <c:pt idx="27">
                  <c:v>52.895200000000003</c:v>
                </c:pt>
                <c:pt idx="28">
                  <c:v>44.732500000000002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5897344"/>
        <c:axId val="195532416"/>
      </c:barChart>
      <c:barChart>
        <c:barDir val="col"/>
        <c:grouping val="clustered"/>
        <c:varyColors val="0"/>
        <c:ser>
          <c:idx val="1"/>
          <c:order val="1"/>
          <c:tx>
            <c:strRef>
              <c:f>A_CZ!$C$368</c:f>
              <c:strCache>
                <c:ptCount val="1"/>
                <c:pt idx="0">
                  <c:v> 2010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A_CZ!$A$369:$A$397</c:f>
              <c:strCache>
                <c:ptCount val="29"/>
                <c:pt idx="0">
                  <c:v>Finsko</c:v>
                </c:pt>
                <c:pt idx="1">
                  <c:v>Dánsko</c:v>
                </c:pt>
                <c:pt idx="2">
                  <c:v>Polsko</c:v>
                </c:pt>
                <c:pt idx="3">
                  <c:v>Švédsko</c:v>
                </c:pt>
                <c:pt idx="4">
                  <c:v>Estonsko</c:v>
                </c:pt>
                <c:pt idx="5">
                  <c:v>Lucembursko</c:v>
                </c:pt>
                <c:pt idx="6">
                  <c:v>Irsko</c:v>
                </c:pt>
                <c:pt idx="7">
                  <c:v>Kypr</c:v>
                </c:pt>
                <c:pt idx="8">
                  <c:v>Velká Británie</c:v>
                </c:pt>
                <c:pt idx="9">
                  <c:v>Španělsko</c:v>
                </c:pt>
                <c:pt idx="10">
                  <c:v>Nizozemsko</c:v>
                </c:pt>
                <c:pt idx="11">
                  <c:v>Rakousko</c:v>
                </c:pt>
                <c:pt idx="12">
                  <c:v>Bulharsko</c:v>
                </c:pt>
                <c:pt idx="13">
                  <c:v>EU28</c:v>
                </c:pt>
                <c:pt idx="14">
                  <c:v>Francie</c:v>
                </c:pt>
                <c:pt idx="15">
                  <c:v>Itálie</c:v>
                </c:pt>
                <c:pt idx="16">
                  <c:v>Rumunsko</c:v>
                </c:pt>
                <c:pt idx="17">
                  <c:v>Česko</c:v>
                </c:pt>
                <c:pt idx="18">
                  <c:v>Chorvatsko</c:v>
                </c:pt>
                <c:pt idx="19">
                  <c:v>Litva</c:v>
                </c:pt>
                <c:pt idx="20">
                  <c:v>Slovensko</c:v>
                </c:pt>
                <c:pt idx="21">
                  <c:v>Německo</c:v>
                </c:pt>
                <c:pt idx="22">
                  <c:v>Lotyšsko</c:v>
                </c:pt>
                <c:pt idx="23">
                  <c:v>Malta</c:v>
                </c:pt>
                <c:pt idx="24">
                  <c:v>Belgie</c:v>
                </c:pt>
                <c:pt idx="25">
                  <c:v>Portugalsko</c:v>
                </c:pt>
                <c:pt idx="26">
                  <c:v>Slovinsko</c:v>
                </c:pt>
                <c:pt idx="27">
                  <c:v>Řecko</c:v>
                </c:pt>
                <c:pt idx="28">
                  <c:v>Maďarsko</c:v>
                </c:pt>
              </c:strCache>
            </c:strRef>
          </c:cat>
          <c:val>
            <c:numRef>
              <c:f>A_CZ!$C$369:$C$397</c:f>
              <c:numCache>
                <c:formatCode>#,##0.0</c:formatCode>
                <c:ptCount val="29"/>
                <c:pt idx="0">
                  <c:v>84.135199999999998</c:v>
                </c:pt>
                <c:pt idx="1">
                  <c:v>63.764299999999999</c:v>
                </c:pt>
                <c:pt idx="2">
                  <c:v>40.663400000000003</c:v>
                </c:pt>
                <c:pt idx="3">
                  <c:v>82.444900000000004</c:v>
                </c:pt>
                <c:pt idx="4">
                  <c:v>26.322500000000002</c:v>
                </c:pt>
                <c:pt idx="5">
                  <c:v>45.014099999999999</c:v>
                </c:pt>
                <c:pt idx="6">
                  <c:v>40.000999999999998</c:v>
                </c:pt>
                <c:pt idx="7">
                  <c:v>33.474200000000003</c:v>
                </c:pt>
                <c:pt idx="8">
                  <c:v>35.8979</c:v>
                </c:pt>
                <c:pt idx="9">
                  <c:v>27.4346</c:v>
                </c:pt>
                <c:pt idx="10">
                  <c:v>33.633899999999997</c:v>
                </c:pt>
                <c:pt idx="11">
                  <c:v>27.709199999999999</c:v>
                </c:pt>
                <c:pt idx="12">
                  <c:v>8.1348500000000001</c:v>
                </c:pt>
                <c:pt idx="13">
                  <c:v>25.9253160332131</c:v>
                </c:pt>
                <c:pt idx="14">
                  <c:v>29.240300000000001</c:v>
                </c:pt>
                <c:pt idx="15">
                  <c:v>20.8035</c:v>
                </c:pt>
                <c:pt idx="16">
                  <c:v>11.3421</c:v>
                </c:pt>
                <c:pt idx="17">
                  <c:v>38.047899999999998</c:v>
                </c:pt>
                <c:pt idx="19">
                  <c:v>15.8148</c:v>
                </c:pt>
                <c:pt idx="20">
                  <c:v>27.8413</c:v>
                </c:pt>
                <c:pt idx="21">
                  <c:v>25.932200000000002</c:v>
                </c:pt>
                <c:pt idx="22">
                  <c:v>24.464400000000001</c:v>
                </c:pt>
                <c:pt idx="23">
                  <c:v>12.2659</c:v>
                </c:pt>
                <c:pt idx="24">
                  <c:v>9.4589599999999994</c:v>
                </c:pt>
                <c:pt idx="25">
                  <c:v>38.5745</c:v>
                </c:pt>
                <c:pt idx="26">
                  <c:v>29.614599999999999</c:v>
                </c:pt>
                <c:pt idx="27">
                  <c:v>25.051200000000001</c:v>
                </c:pt>
                <c:pt idx="28">
                  <c:v>7.78573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197420032"/>
        <c:axId val="195532992"/>
      </c:barChart>
      <c:catAx>
        <c:axId val="1958973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5532416"/>
        <c:crosses val="autoZero"/>
        <c:auto val="1"/>
        <c:lblAlgn val="ctr"/>
        <c:lblOffset val="100"/>
        <c:noMultiLvlLbl val="0"/>
      </c:catAx>
      <c:valAx>
        <c:axId val="195532416"/>
        <c:scaling>
          <c:orientation val="minMax"/>
          <c:max val="15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cs-CZ"/>
          </a:p>
        </c:txPr>
        <c:crossAx val="195897344"/>
        <c:crosses val="autoZero"/>
        <c:crossBetween val="between"/>
        <c:majorUnit val="25"/>
        <c:minorUnit val="5.0000000000000024E-2"/>
      </c:valAx>
      <c:valAx>
        <c:axId val="195532992"/>
        <c:scaling>
          <c:orientation val="minMax"/>
          <c:max val="150"/>
          <c:min val="0"/>
        </c:scaling>
        <c:delete val="0"/>
        <c:axPos val="r"/>
        <c:numFmt formatCode="#,##0.0" sourceLinked="1"/>
        <c:majorTickMark val="none"/>
        <c:minorTickMark val="none"/>
        <c:tickLblPos val="none"/>
        <c:crossAx val="197420032"/>
        <c:crosses val="max"/>
        <c:crossBetween val="between"/>
        <c:majorUnit val="25"/>
        <c:minorUnit val="5"/>
      </c:valAx>
      <c:catAx>
        <c:axId val="197420032"/>
        <c:scaling>
          <c:orientation val="minMax"/>
        </c:scaling>
        <c:delete val="1"/>
        <c:axPos val="b"/>
        <c:majorTickMark val="out"/>
        <c:minorTickMark val="none"/>
        <c:tickLblPos val="none"/>
        <c:crossAx val="195532992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8087689020381332"/>
          <c:y val="0.17449509803921567"/>
          <c:w val="7.1111932938856023E-2"/>
          <c:h val="0.1163820987654321"/>
        </c:manualLayout>
      </c:layout>
      <c:overlay val="0"/>
      <c:spPr>
        <a:solidFill>
          <a:srgbClr val="FFFFFF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A</a:t>
            </a:r>
            <a:r>
              <a:rPr lang="cs-CZ" sz="800" b="1"/>
              <a:t>3</a:t>
            </a:r>
            <a:r>
              <a:rPr lang="en-US" sz="800" b="1"/>
              <a:t> </a:t>
            </a:r>
            <a:r>
              <a:rPr lang="cs-CZ" sz="800" b="1"/>
              <a:t>Pevné </a:t>
            </a:r>
            <a:r>
              <a:rPr lang="en-US" sz="800" b="1"/>
              <a:t>telefonní </a:t>
            </a:r>
            <a:r>
              <a:rPr lang="cs-CZ" sz="800" b="1"/>
              <a:t>s</a:t>
            </a:r>
            <a:r>
              <a:rPr lang="en-US" sz="800" b="1"/>
              <a:t>tanic</a:t>
            </a:r>
            <a:r>
              <a:rPr lang="cs-CZ" sz="800" b="1"/>
              <a:t>e (PSTN) v Česku podle jejich typu (uživatelů) – mil. účastníků</a:t>
            </a:r>
            <a:endParaRPr lang="en-US" sz="800" b="1"/>
          </a:p>
          <a:p>
            <a:pPr>
              <a:defRPr sz="800" b="1"/>
            </a:pP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7.3443318563046284E-2"/>
          <c:y val="0.16556666666666667"/>
          <c:w val="0.9133087603976705"/>
          <c:h val="0.63996962962962967"/>
        </c:manualLayout>
      </c:layout>
      <c:lineChart>
        <c:grouping val="standard"/>
        <c:varyColors val="0"/>
        <c:ser>
          <c:idx val="4"/>
          <c:order val="0"/>
          <c:tx>
            <c:strRef>
              <c:f>A_CZ!$A$29</c:f>
              <c:strCache>
                <c:ptCount val="1"/>
                <c:pt idx="0">
                  <c:v> bytové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cat>
            <c:numRef>
              <c:f>A_CZ!$B$28:$N$28</c:f>
              <c:numCache>
                <c:formatCode>General</c:formatCode>
                <c:ptCount val="13"/>
                <c:pt idx="0">
                  <c:v>1992</c:v>
                </c:pt>
                <c:pt idx="1">
                  <c:v>1994</c:v>
                </c:pt>
                <c:pt idx="2">
                  <c:v>1996</c:v>
                </c:pt>
                <c:pt idx="3">
                  <c:v>1998</c:v>
                </c:pt>
                <c:pt idx="4">
                  <c:v>2000</c:v>
                </c:pt>
                <c:pt idx="5">
                  <c:v>2002</c:v>
                </c:pt>
                <c:pt idx="6">
                  <c:v>2004</c:v>
                </c:pt>
                <c:pt idx="7">
                  <c:v>2006</c:v>
                </c:pt>
                <c:pt idx="8">
                  <c:v>2008</c:v>
                </c:pt>
                <c:pt idx="9">
                  <c:v>2010</c:v>
                </c:pt>
                <c:pt idx="10">
                  <c:v>2012</c:v>
                </c:pt>
                <c:pt idx="11">
                  <c:v>2014</c:v>
                </c:pt>
                <c:pt idx="12">
                  <c:v>2016</c:v>
                </c:pt>
              </c:numCache>
            </c:numRef>
          </c:cat>
          <c:val>
            <c:numRef>
              <c:f>A_CZ!$B$29:$N$29</c:f>
              <c:numCache>
                <c:formatCode>0.00</c:formatCode>
                <c:ptCount val="13"/>
                <c:pt idx="0">
                  <c:v>1.2643499999999999</c:v>
                </c:pt>
                <c:pt idx="1">
                  <c:v>1.4365640000000002</c:v>
                </c:pt>
                <c:pt idx="2">
                  <c:v>1.8561500000000002</c:v>
                </c:pt>
                <c:pt idx="3">
                  <c:v>2.5841619999999996</c:v>
                </c:pt>
                <c:pt idx="4">
                  <c:v>2.6627899999999998</c:v>
                </c:pt>
                <c:pt idx="5">
                  <c:v>2.516035</c:v>
                </c:pt>
                <c:pt idx="6">
                  <c:v>2.2980880000000004</c:v>
                </c:pt>
                <c:pt idx="7">
                  <c:v>1.827963</c:v>
                </c:pt>
                <c:pt idx="8">
                  <c:v>1.27335</c:v>
                </c:pt>
                <c:pt idx="9">
                  <c:v>0.98899999999999999</c:v>
                </c:pt>
                <c:pt idx="10">
                  <c:v>0.76300000000000001</c:v>
                </c:pt>
                <c:pt idx="11">
                  <c:v>0.58896999999999999</c:v>
                </c:pt>
                <c:pt idx="12">
                  <c:v>0.40278699999999995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FC3-42C0-A818-0ADA36A5F18C}"/>
            </c:ext>
          </c:extLst>
        </c:ser>
        <c:ser>
          <c:idx val="1"/>
          <c:order val="1"/>
          <c:tx>
            <c:strRef>
              <c:f>A_CZ!$A$30</c:f>
              <c:strCache>
                <c:ptCount val="1"/>
                <c:pt idx="0">
                  <c:v> podnikové</c:v>
                </c:pt>
              </c:strCache>
            </c:strRef>
          </c:tx>
          <c:spPr>
            <a:ln w="19050">
              <a:solidFill>
                <a:srgbClr val="007D92"/>
              </a:solidFill>
            </a:ln>
          </c:spPr>
          <c:marker>
            <c:symbol val="circle"/>
            <c:size val="4"/>
            <c:spPr>
              <a:solidFill>
                <a:srgbClr val="47E5FF"/>
              </a:solidFill>
              <a:ln w="12700">
                <a:solidFill>
                  <a:srgbClr val="007D92"/>
                </a:solidFill>
              </a:ln>
            </c:spPr>
          </c:marker>
          <c:cat>
            <c:numRef>
              <c:f>A_CZ!$B$28:$N$28</c:f>
              <c:numCache>
                <c:formatCode>General</c:formatCode>
                <c:ptCount val="13"/>
                <c:pt idx="0">
                  <c:v>1992</c:v>
                </c:pt>
                <c:pt idx="1">
                  <c:v>1994</c:v>
                </c:pt>
                <c:pt idx="2">
                  <c:v>1996</c:v>
                </c:pt>
                <c:pt idx="3">
                  <c:v>1998</c:v>
                </c:pt>
                <c:pt idx="4">
                  <c:v>2000</c:v>
                </c:pt>
                <c:pt idx="5">
                  <c:v>2002</c:v>
                </c:pt>
                <c:pt idx="6">
                  <c:v>2004</c:v>
                </c:pt>
                <c:pt idx="7">
                  <c:v>2006</c:v>
                </c:pt>
                <c:pt idx="8">
                  <c:v>2008</c:v>
                </c:pt>
                <c:pt idx="9">
                  <c:v>2010</c:v>
                </c:pt>
                <c:pt idx="10">
                  <c:v>2012</c:v>
                </c:pt>
                <c:pt idx="11">
                  <c:v>2014</c:v>
                </c:pt>
                <c:pt idx="12">
                  <c:v>2016</c:v>
                </c:pt>
              </c:numCache>
            </c:numRef>
          </c:cat>
          <c:val>
            <c:numRef>
              <c:f>A_CZ!$B$30:$N$30</c:f>
              <c:numCache>
                <c:formatCode>0.00</c:formatCode>
                <c:ptCount val="13"/>
                <c:pt idx="0">
                  <c:v>0.54999900000000013</c:v>
                </c:pt>
                <c:pt idx="1">
                  <c:v>0.65922700000000001</c:v>
                </c:pt>
                <c:pt idx="2">
                  <c:v>0.871417</c:v>
                </c:pt>
                <c:pt idx="3">
                  <c:v>1.044788</c:v>
                </c:pt>
                <c:pt idx="4">
                  <c:v>1.0900000000000001</c:v>
                </c:pt>
                <c:pt idx="5">
                  <c:v>1.1272869999999999</c:v>
                </c:pt>
                <c:pt idx="6">
                  <c:v>1.099623</c:v>
                </c:pt>
                <c:pt idx="7">
                  <c:v>0.99135200000000001</c:v>
                </c:pt>
                <c:pt idx="8">
                  <c:v>0.96868100000000001</c:v>
                </c:pt>
                <c:pt idx="9">
                  <c:v>0.88200000000000001</c:v>
                </c:pt>
                <c:pt idx="10">
                  <c:v>0.71499999999999997</c:v>
                </c:pt>
                <c:pt idx="11">
                  <c:v>0.482541</c:v>
                </c:pt>
                <c:pt idx="12">
                  <c:v>0.429419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FC3-42C0-A818-0ADA36A5F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889344"/>
        <c:axId val="42218560"/>
      </c:lineChart>
      <c:catAx>
        <c:axId val="19288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22185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2218560"/>
        <c:scaling>
          <c:orientation val="minMax"/>
          <c:max val="3"/>
          <c:min val="0"/>
        </c:scaling>
        <c:delete val="0"/>
        <c:axPos val="l"/>
        <c:majorGridlines>
          <c:spPr>
            <a:ln w="12700">
              <a:solidFill>
                <a:srgbClr val="A6A6A6"/>
              </a:solidFill>
              <a:prstDash val="solid"/>
            </a:ln>
          </c:spPr>
        </c:majorGridlines>
        <c:numFmt formatCode="#,##0.0" sourceLinked="0"/>
        <c:majorTickMark val="out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2889344"/>
        <c:crosses val="autoZero"/>
        <c:crossBetween val="between"/>
        <c:majorUnit val="0.5"/>
        <c:minorUnit val="1.0000000000000002E-2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624991932801466"/>
          <c:y val="0.18606727838455678"/>
          <c:w val="0.29132558139534886"/>
          <c:h val="0.17642666666666668"/>
        </c:manualLayout>
      </c:layout>
      <c:overlay val="0"/>
      <c:spPr>
        <a:solidFill>
          <a:srgbClr val="FFFFFF"/>
        </a:solidFill>
        <a:ln w="12700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 i="0" baseline="0">
                <a:effectLst/>
              </a:rPr>
              <a:t>Graf </a:t>
            </a:r>
            <a:r>
              <a:rPr lang="cs-CZ" sz="800" b="1" i="0" baseline="0">
                <a:effectLst/>
              </a:rPr>
              <a:t>A4</a:t>
            </a:r>
            <a:r>
              <a:rPr lang="en-US" sz="800" b="1" i="0" baseline="0">
                <a:effectLst/>
              </a:rPr>
              <a:t> </a:t>
            </a:r>
            <a:r>
              <a:rPr lang="cs-CZ" sz="800" b="1" i="0" baseline="0">
                <a:effectLst/>
              </a:rPr>
              <a:t>VoIP účastníci v Česku </a:t>
            </a:r>
          </a:p>
          <a:p>
            <a:pPr>
              <a:defRPr sz="800" b="1"/>
            </a:pPr>
            <a:r>
              <a:rPr lang="cs-CZ" sz="800" b="1" i="0" baseline="0">
                <a:effectLst/>
              </a:rPr>
              <a:t>podle jejich typu – tis. účastníků</a:t>
            </a:r>
            <a:endParaRPr lang="cs-CZ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6552677376171354"/>
          <c:y val="0.16299484126984129"/>
          <c:w val="0.796754016064257"/>
          <c:h val="0.718092592592592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A_CZ!$A$38</c:f>
              <c:strCache>
                <c:ptCount val="1"/>
                <c:pt idx="0">
                  <c:v> domácnosti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numFmt formatCode="#,##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(A_CZ!$B$37,A_CZ!$D$37,A_CZ!$F$37,A_CZ!$H$37,A_CZ!$J$37)</c:f>
              <c:numCache>
                <c:formatCode>General</c:formatCode>
                <c:ptCount val="5"/>
                <c:pt idx="0">
                  <c:v>2008</c:v>
                </c:pt>
                <c:pt idx="1">
                  <c:v>2010</c:v>
                </c:pt>
                <c:pt idx="2">
                  <c:v>2012</c:v>
                </c:pt>
                <c:pt idx="3">
                  <c:v>2014</c:v>
                </c:pt>
                <c:pt idx="4">
                  <c:v>2016</c:v>
                </c:pt>
              </c:numCache>
            </c:numRef>
          </c:cat>
          <c:val>
            <c:numRef>
              <c:f>(A_CZ!$B$38,A_CZ!$D$38,A_CZ!$F$38,A_CZ!$H$38,A_CZ!$J$38)</c:f>
              <c:numCache>
                <c:formatCode>0</c:formatCode>
                <c:ptCount val="5"/>
                <c:pt idx="0">
                  <c:v>224</c:v>
                </c:pt>
                <c:pt idx="1">
                  <c:v>300.26100000000002</c:v>
                </c:pt>
                <c:pt idx="2">
                  <c:v>269</c:v>
                </c:pt>
                <c:pt idx="3">
                  <c:v>343.83</c:v>
                </c:pt>
                <c:pt idx="4">
                  <c:v>298.66500000000002</c:v>
                </c:pt>
              </c:numCache>
            </c:numRef>
          </c:val>
        </c:ser>
        <c:ser>
          <c:idx val="1"/>
          <c:order val="1"/>
          <c:tx>
            <c:strRef>
              <c:f>A_CZ!$A$39</c:f>
              <c:strCache>
                <c:ptCount val="1"/>
                <c:pt idx="0">
                  <c:v> firmy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(A_CZ!$B$37,A_CZ!$D$37,A_CZ!$F$37,A_CZ!$H$37,A_CZ!$J$37)</c:f>
              <c:numCache>
                <c:formatCode>General</c:formatCode>
                <c:ptCount val="5"/>
                <c:pt idx="0">
                  <c:v>2008</c:v>
                </c:pt>
                <c:pt idx="1">
                  <c:v>2010</c:v>
                </c:pt>
                <c:pt idx="2">
                  <c:v>2012</c:v>
                </c:pt>
                <c:pt idx="3">
                  <c:v>2014</c:v>
                </c:pt>
                <c:pt idx="4">
                  <c:v>2016</c:v>
                </c:pt>
              </c:numCache>
            </c:numRef>
          </c:cat>
          <c:val>
            <c:numRef>
              <c:f>(A_CZ!$B$39,A_CZ!$D$39,A_CZ!$F$39,A_CZ!$H$39,A_CZ!$J$39)</c:f>
              <c:numCache>
                <c:formatCode>0</c:formatCode>
                <c:ptCount val="5"/>
                <c:pt idx="0">
                  <c:v>85</c:v>
                </c:pt>
                <c:pt idx="1">
                  <c:v>162.22800000000001</c:v>
                </c:pt>
                <c:pt idx="2">
                  <c:v>356</c:v>
                </c:pt>
                <c:pt idx="3">
                  <c:v>509.42500000000001</c:v>
                </c:pt>
                <c:pt idx="4">
                  <c:v>618.58000000000004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7"/>
        <c:axId val="192889856"/>
        <c:axId val="66571072"/>
      </c:barChart>
      <c:catAx>
        <c:axId val="192889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66571072"/>
        <c:crosses val="autoZero"/>
        <c:auto val="1"/>
        <c:lblAlgn val="ctr"/>
        <c:lblOffset val="40"/>
        <c:tickLblSkip val="1"/>
        <c:tickMarkSkip val="1"/>
        <c:noMultiLvlLbl val="0"/>
      </c:catAx>
      <c:valAx>
        <c:axId val="66571072"/>
        <c:scaling>
          <c:orientation val="minMax"/>
          <c:max val="700"/>
        </c:scaling>
        <c:delete val="0"/>
        <c:axPos val="b"/>
        <c:numFmt formatCode="0" sourceLinked="1"/>
        <c:majorTickMark val="none"/>
        <c:minorTickMark val="none"/>
        <c:tickLblPos val="none"/>
        <c:spPr>
          <a:ln w="9525">
            <a:noFill/>
          </a:ln>
        </c:spPr>
        <c:crossAx val="192889856"/>
        <c:crosses val="autoZero"/>
        <c:crossBetween val="between"/>
        <c:majorUnit val="100"/>
        <c:minorUnit val="1.0000000000000002E-2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972958500669357"/>
          <c:y val="0.64113629629629643"/>
          <c:w val="0.24014781746031746"/>
          <c:h val="0.14963412698412698"/>
        </c:manualLayout>
      </c:layout>
      <c:overlay val="0"/>
      <c:spPr>
        <a:solidFill>
          <a:srgbClr val="FFFFFF"/>
        </a:solidFill>
        <a:ln w="9525"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b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Graf A</a:t>
            </a:r>
            <a:r>
              <a:rPr lang="cs-CZ" sz="800"/>
              <a:t>5</a:t>
            </a:r>
            <a:r>
              <a:rPr lang="en-US" sz="800"/>
              <a:t> Účastníci hlasové služby </a:t>
            </a:r>
            <a:r>
              <a:rPr lang="cs-CZ" sz="800"/>
              <a:t>(PSTN + VoIP) </a:t>
            </a:r>
            <a:r>
              <a:rPr lang="en-US" sz="800"/>
              <a:t>v pevné síti v zemích EU</a:t>
            </a:r>
            <a:r>
              <a:rPr lang="cs-CZ" sz="800"/>
              <a:t> – </a:t>
            </a:r>
            <a:r>
              <a:rPr lang="en-US" sz="800"/>
              <a:t>počet na 100 obyvatel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3579275905118602E-2"/>
          <c:y val="0.10228368055555563"/>
          <c:w val="0.95866182896379526"/>
          <c:h val="0.616018827160493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A_CZ!$B$61</c:f>
              <c:strCache>
                <c:ptCount val="1"/>
                <c:pt idx="0">
                  <c:v> 2016</c:v>
                </c:pt>
              </c:strCache>
            </c:strRef>
          </c:tx>
          <c:spPr>
            <a:solidFill>
              <a:srgbClr val="009BB4"/>
            </a:solidFill>
            <a:ln>
              <a:noFill/>
            </a:ln>
          </c:spPr>
          <c:invertIfNegative val="0"/>
          <c:dPt>
            <c:idx val="7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rgbClr val="009BB4"/>
              </a:solidFill>
              <a:ln w="19050">
                <a:noFill/>
              </a:ln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9050">
                <a:noFill/>
              </a:ln>
            </c:spPr>
          </c:dPt>
          <c:dPt>
            <c:idx val="16"/>
            <c:invertIfNegative val="0"/>
            <c:bubble3D val="0"/>
          </c:dPt>
          <c:dPt>
            <c:idx val="17"/>
            <c:invertIfNegative val="0"/>
            <c:bubble3D val="0"/>
          </c:dPt>
          <c:dPt>
            <c:idx val="26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Lbls>
            <c:spPr>
              <a:solidFill>
                <a:schemeClr val="accent5">
                  <a:lumMod val="75000"/>
                  <a:alpha val="58000"/>
                </a:schemeClr>
              </a:solidFill>
            </c:spPr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A_CZ!$A$62:$A$90</c:f>
              <c:strCache>
                <c:ptCount val="29"/>
                <c:pt idx="0">
                  <c:v>Francie</c:v>
                </c:pt>
                <c:pt idx="1">
                  <c:v>Malta</c:v>
                </c:pt>
                <c:pt idx="2">
                  <c:v>Německo</c:v>
                </c:pt>
                <c:pt idx="3">
                  <c:v>Velká Británie</c:v>
                </c:pt>
                <c:pt idx="4">
                  <c:v>Lucembursko</c:v>
                </c:pt>
                <c:pt idx="5">
                  <c:v>Řecko</c:v>
                </c:pt>
                <c:pt idx="6">
                  <c:v>Portugalsko</c:v>
                </c:pt>
                <c:pt idx="7">
                  <c:v>EU28</c:v>
                </c:pt>
                <c:pt idx="8">
                  <c:v>Rakousko</c:v>
                </c:pt>
                <c:pt idx="9">
                  <c:v>Španělsko</c:v>
                </c:pt>
                <c:pt idx="10">
                  <c:v>Nizozemsko</c:v>
                </c:pt>
                <c:pt idx="11">
                  <c:v>Irsko</c:v>
                </c:pt>
                <c:pt idx="12">
                  <c:v>Belgie</c:v>
                </c:pt>
                <c:pt idx="13">
                  <c:v>Kypr</c:v>
                </c:pt>
                <c:pt idx="14">
                  <c:v>Slovinsko</c:v>
                </c:pt>
                <c:pt idx="15">
                  <c:v>Švédsko</c:v>
                </c:pt>
                <c:pt idx="16">
                  <c:v>Chorvatsko</c:v>
                </c:pt>
                <c:pt idx="17">
                  <c:v>Itálie</c:v>
                </c:pt>
                <c:pt idx="18">
                  <c:v>Maďarsko</c:v>
                </c:pt>
                <c:pt idx="19">
                  <c:v>Estonsko</c:v>
                </c:pt>
                <c:pt idx="20">
                  <c:v>Dánsko</c:v>
                </c:pt>
                <c:pt idx="21">
                  <c:v>Polsko</c:v>
                </c:pt>
                <c:pt idx="22">
                  <c:v>Bulharsko</c:v>
                </c:pt>
                <c:pt idx="23">
                  <c:v>Rumunsko</c:v>
                </c:pt>
                <c:pt idx="24">
                  <c:v>Lotyšsko</c:v>
                </c:pt>
                <c:pt idx="25">
                  <c:v>Litva</c:v>
                </c:pt>
                <c:pt idx="26">
                  <c:v>Česko</c:v>
                </c:pt>
                <c:pt idx="27">
                  <c:v>Slovensko</c:v>
                </c:pt>
                <c:pt idx="28">
                  <c:v>Finsko</c:v>
                </c:pt>
              </c:strCache>
            </c:strRef>
          </c:cat>
          <c:val>
            <c:numRef>
              <c:f>A_CZ!$B$62:$B$90</c:f>
              <c:numCache>
                <c:formatCode>0.0</c:formatCode>
                <c:ptCount val="29"/>
                <c:pt idx="0">
                  <c:v>59.719006503915203</c:v>
                </c:pt>
                <c:pt idx="1">
                  <c:v>54.219052531986698</c:v>
                </c:pt>
                <c:pt idx="2">
                  <c:v>53.739504863291799</c:v>
                </c:pt>
                <c:pt idx="3">
                  <c:v>52.197662077104702</c:v>
                </c:pt>
                <c:pt idx="4">
                  <c:v>50.915478487301101</c:v>
                </c:pt>
                <c:pt idx="5">
                  <c:v>46.097064266285997</c:v>
                </c:pt>
                <c:pt idx="6">
                  <c:v>45.135343990254299</c:v>
                </c:pt>
                <c:pt idx="7">
                  <c:v>41.72913330751927</c:v>
                </c:pt>
                <c:pt idx="8">
                  <c:v>41.531234930199503</c:v>
                </c:pt>
                <c:pt idx="9">
                  <c:v>41.318365588482799</c:v>
                </c:pt>
                <c:pt idx="10">
                  <c:v>40.283120472783501</c:v>
                </c:pt>
                <c:pt idx="11">
                  <c:v>39.722785113864603</c:v>
                </c:pt>
                <c:pt idx="12">
                  <c:v>38.950919073288098</c:v>
                </c:pt>
                <c:pt idx="13">
                  <c:v>38.023128928952701</c:v>
                </c:pt>
                <c:pt idx="14">
                  <c:v>35.116445792360103</c:v>
                </c:pt>
                <c:pt idx="15">
                  <c:v>34.104946889617899</c:v>
                </c:pt>
                <c:pt idx="16">
                  <c:v>33.867693594351501</c:v>
                </c:pt>
                <c:pt idx="17">
                  <c:v>33.110321816298502</c:v>
                </c:pt>
                <c:pt idx="18">
                  <c:v>31.545460465327</c:v>
                </c:pt>
                <c:pt idx="19">
                  <c:v>29.0304209614321</c:v>
                </c:pt>
                <c:pt idx="20">
                  <c:v>27.395460636138701</c:v>
                </c:pt>
                <c:pt idx="21">
                  <c:v>24.451250616710499</c:v>
                </c:pt>
                <c:pt idx="22">
                  <c:v>20.9584122239349</c:v>
                </c:pt>
                <c:pt idx="23">
                  <c:v>19.102503943203001</c:v>
                </c:pt>
                <c:pt idx="24">
                  <c:v>18.1721048453667</c:v>
                </c:pt>
                <c:pt idx="25">
                  <c:v>17.765571994655001</c:v>
                </c:pt>
                <c:pt idx="26">
                  <c:v>15.5588636679999</c:v>
                </c:pt>
                <c:pt idx="27">
                  <c:v>15.080225516564701</c:v>
                </c:pt>
                <c:pt idx="28">
                  <c:v>8.3484599346034294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2890880"/>
        <c:axId val="66575104"/>
      </c:barChart>
      <c:barChart>
        <c:barDir val="col"/>
        <c:grouping val="clustered"/>
        <c:varyColors val="0"/>
        <c:ser>
          <c:idx val="1"/>
          <c:order val="1"/>
          <c:tx>
            <c:strRef>
              <c:f>A_CZ!$C$61</c:f>
              <c:strCache>
                <c:ptCount val="1"/>
                <c:pt idx="0">
                  <c:v> 2006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47E5FF"/>
              </a:solidFill>
              <a:ln>
                <a:solidFill>
                  <a:srgbClr val="FF0000"/>
                </a:solidFill>
              </a:ln>
            </c:spPr>
          </c:dPt>
          <c:dPt>
            <c:idx val="26"/>
            <c:invertIfNegative val="0"/>
            <c:bubble3D val="0"/>
            <c:spPr>
              <a:solidFill>
                <a:srgbClr val="47E5FF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2"/>
              <c:layout>
                <c:manualLayout>
                  <c:x val="0"/>
                  <c:y val="7.28462855648623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85656805931624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0.128552268643874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1.4533748043312711E-16"/>
                  <c:y val="0.128552268643874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A_CZ!$A$62:$A$90</c:f>
              <c:strCache>
                <c:ptCount val="29"/>
                <c:pt idx="0">
                  <c:v>Francie</c:v>
                </c:pt>
                <c:pt idx="1">
                  <c:v>Malta</c:v>
                </c:pt>
                <c:pt idx="2">
                  <c:v>Německo</c:v>
                </c:pt>
                <c:pt idx="3">
                  <c:v>Velká Británie</c:v>
                </c:pt>
                <c:pt idx="4">
                  <c:v>Lucembursko</c:v>
                </c:pt>
                <c:pt idx="5">
                  <c:v>Řecko</c:v>
                </c:pt>
                <c:pt idx="6">
                  <c:v>Portugalsko</c:v>
                </c:pt>
                <c:pt idx="7">
                  <c:v>EU28</c:v>
                </c:pt>
                <c:pt idx="8">
                  <c:v>Rakousko</c:v>
                </c:pt>
                <c:pt idx="9">
                  <c:v>Španělsko</c:v>
                </c:pt>
                <c:pt idx="10">
                  <c:v>Nizozemsko</c:v>
                </c:pt>
                <c:pt idx="11">
                  <c:v>Irsko</c:v>
                </c:pt>
                <c:pt idx="12">
                  <c:v>Belgie</c:v>
                </c:pt>
                <c:pt idx="13">
                  <c:v>Kypr</c:v>
                </c:pt>
                <c:pt idx="14">
                  <c:v>Slovinsko</c:v>
                </c:pt>
                <c:pt idx="15">
                  <c:v>Švédsko</c:v>
                </c:pt>
                <c:pt idx="16">
                  <c:v>Chorvatsko</c:v>
                </c:pt>
                <c:pt idx="17">
                  <c:v>Itálie</c:v>
                </c:pt>
                <c:pt idx="18">
                  <c:v>Maďarsko</c:v>
                </c:pt>
                <c:pt idx="19">
                  <c:v>Estonsko</c:v>
                </c:pt>
                <c:pt idx="20">
                  <c:v>Dánsko</c:v>
                </c:pt>
                <c:pt idx="21">
                  <c:v>Polsko</c:v>
                </c:pt>
                <c:pt idx="22">
                  <c:v>Bulharsko</c:v>
                </c:pt>
                <c:pt idx="23">
                  <c:v>Rumunsko</c:v>
                </c:pt>
                <c:pt idx="24">
                  <c:v>Lotyšsko</c:v>
                </c:pt>
                <c:pt idx="25">
                  <c:v>Litva</c:v>
                </c:pt>
                <c:pt idx="26">
                  <c:v>Česko</c:v>
                </c:pt>
                <c:pt idx="27">
                  <c:v>Slovensko</c:v>
                </c:pt>
                <c:pt idx="28">
                  <c:v>Finsko</c:v>
                </c:pt>
              </c:strCache>
            </c:strRef>
          </c:cat>
          <c:val>
            <c:numRef>
              <c:f>A_CZ!$C$62:$C$90</c:f>
              <c:numCache>
                <c:formatCode>0.0</c:formatCode>
                <c:ptCount val="29"/>
                <c:pt idx="0">
                  <c:v>55.178055015681998</c:v>
                </c:pt>
                <c:pt idx="1">
                  <c:v>50.016563286156</c:v>
                </c:pt>
                <c:pt idx="2">
                  <c:v>64.962746372708295</c:v>
                </c:pt>
                <c:pt idx="3">
                  <c:v>55.836363517292803</c:v>
                </c:pt>
                <c:pt idx="4">
                  <c:v>53.280824694503998</c:v>
                </c:pt>
                <c:pt idx="5">
                  <c:v>55.828520099590001</c:v>
                </c:pt>
                <c:pt idx="6">
                  <c:v>40.257182964573097</c:v>
                </c:pt>
                <c:pt idx="7">
                  <c:v>48.124372462116291</c:v>
                </c:pt>
                <c:pt idx="8">
                  <c:v>43.552360024466601</c:v>
                </c:pt>
                <c:pt idx="9">
                  <c:v>45.108386633718503</c:v>
                </c:pt>
                <c:pt idx="10">
                  <c:v>45.493924484848499</c:v>
                </c:pt>
                <c:pt idx="11">
                  <c:v>51.504790227595002</c:v>
                </c:pt>
                <c:pt idx="12">
                  <c:v>44.653571194810297</c:v>
                </c:pt>
                <c:pt idx="13">
                  <c:v>38.950066487712697</c:v>
                </c:pt>
                <c:pt idx="14">
                  <c:v>51.221332021925001</c:v>
                </c:pt>
                <c:pt idx="15">
                  <c:v>61.025270754945403</c:v>
                </c:pt>
                <c:pt idx="16">
                  <c:v>41.818151505469402</c:v>
                </c:pt>
                <c:pt idx="17">
                  <c:v>45.516462389361401</c:v>
                </c:pt>
                <c:pt idx="18">
                  <c:v>33.346882316463301</c:v>
                </c:pt>
                <c:pt idx="19">
                  <c:v>34.264493025590397</c:v>
                </c:pt>
                <c:pt idx="20">
                  <c:v>56.949528600202598</c:v>
                </c:pt>
                <c:pt idx="21">
                  <c:v>30.045462705911401</c:v>
                </c:pt>
                <c:pt idx="22">
                  <c:v>31.4767228853453</c:v>
                </c:pt>
                <c:pt idx="23">
                  <c:v>19.025253508783798</c:v>
                </c:pt>
                <c:pt idx="24">
                  <c:v>29.916822876917202</c:v>
                </c:pt>
                <c:pt idx="25">
                  <c:v>24.464380380626402</c:v>
                </c:pt>
                <c:pt idx="26">
                  <c:v>28.103254667244599</c:v>
                </c:pt>
                <c:pt idx="27">
                  <c:v>21.628763203589301</c:v>
                </c:pt>
                <c:pt idx="28">
                  <c:v>36.257903416158896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5"/>
        <c:axId val="193037312"/>
        <c:axId val="66575680"/>
      </c:barChart>
      <c:catAx>
        <c:axId val="19289088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2700000" vert="horz"/>
          <a:lstStyle/>
          <a:p>
            <a:pPr>
              <a:defRPr/>
            </a:pPr>
            <a:endParaRPr lang="cs-CZ"/>
          </a:p>
        </c:txPr>
        <c:crossAx val="66575104"/>
        <c:crosses val="autoZero"/>
        <c:auto val="1"/>
        <c:lblAlgn val="ctr"/>
        <c:lblOffset val="100"/>
        <c:noMultiLvlLbl val="0"/>
      </c:catAx>
      <c:valAx>
        <c:axId val="66575104"/>
        <c:scaling>
          <c:orientation val="minMax"/>
          <c:max val="0.70000000000000051"/>
          <c:min val="0"/>
        </c:scaling>
        <c:delete val="1"/>
        <c:axPos val="l"/>
        <c:numFmt formatCode="0.0" sourceLinked="1"/>
        <c:majorTickMark val="out"/>
        <c:minorTickMark val="none"/>
        <c:tickLblPos val="nextTo"/>
        <c:crossAx val="192890880"/>
        <c:crosses val="autoZero"/>
        <c:crossBetween val="between"/>
        <c:majorUnit val="0.1"/>
        <c:minorUnit val="5.0000000000000024E-2"/>
      </c:valAx>
      <c:valAx>
        <c:axId val="66575680"/>
        <c:scaling>
          <c:orientation val="minMax"/>
          <c:max val="70"/>
        </c:scaling>
        <c:delete val="0"/>
        <c:axPos val="r"/>
        <c:numFmt formatCode="0" sourceLinked="0"/>
        <c:majorTickMark val="none"/>
        <c:minorTickMark val="none"/>
        <c:tickLblPos val="none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cs-CZ"/>
          </a:p>
        </c:txPr>
        <c:crossAx val="193037312"/>
        <c:crosses val="max"/>
        <c:crossBetween val="between"/>
        <c:majorUnit val="10"/>
        <c:minorUnit val="1"/>
      </c:valAx>
      <c:catAx>
        <c:axId val="193037312"/>
        <c:scaling>
          <c:orientation val="minMax"/>
        </c:scaling>
        <c:delete val="1"/>
        <c:axPos val="b"/>
        <c:majorTickMark val="out"/>
        <c:minorTickMark val="none"/>
        <c:tickLblPos val="none"/>
        <c:crossAx val="66575680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7934650614811771"/>
          <c:y val="0.13253055555555557"/>
          <c:w val="6.9586721030664239E-2"/>
          <c:h val="0.1163820987654321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b="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</a:t>
            </a:r>
            <a:r>
              <a:rPr lang="cs-CZ" sz="800" b="1"/>
              <a:t>A6</a:t>
            </a:r>
            <a:r>
              <a:rPr lang="en-US" sz="800" b="1"/>
              <a:t> Účastníci hlasové služby v Česku </a:t>
            </a:r>
            <a:endParaRPr lang="cs-CZ" sz="800" b="1"/>
          </a:p>
          <a:p>
            <a:pPr>
              <a:defRPr sz="800" b="1"/>
            </a:pPr>
            <a:r>
              <a:rPr lang="en-US" sz="800" b="1"/>
              <a:t>v mobilní telefonní síti </a:t>
            </a:r>
            <a:r>
              <a:rPr lang="cs-CZ" sz="800" b="1"/>
              <a:t>–</a:t>
            </a:r>
            <a:r>
              <a:rPr lang="en-US" sz="800" b="1"/>
              <a:t> aktivní SIM karty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3.1039491298527445E-2"/>
          <c:y val="0.15797261904761906"/>
          <c:w val="0.94108895502645507"/>
          <c:h val="0.642302380952380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A_CZ!$A$94</c:f>
              <c:strCache>
                <c:ptCount val="1"/>
                <c:pt idx="0">
                  <c:v> v tisících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numFmt formatCode="#,##0" sourceLinked="0"/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A_CZ!$B$93:$K$93</c:f>
              <c:numCache>
                <c:formatCode>General</c:formatCode>
                <c:ptCount val="10"/>
                <c:pt idx="0">
                  <c:v>1996</c:v>
                </c:pt>
                <c:pt idx="1">
                  <c:v>1998</c:v>
                </c:pt>
                <c:pt idx="2">
                  <c:v>2000</c:v>
                </c:pt>
                <c:pt idx="3">
                  <c:v>2002</c:v>
                </c:pt>
                <c:pt idx="4">
                  <c:v>2004</c:v>
                </c:pt>
                <c:pt idx="5">
                  <c:v>2006</c:v>
                </c:pt>
                <c:pt idx="6">
                  <c:v>2010</c:v>
                </c:pt>
                <c:pt idx="7">
                  <c:v>2012</c:v>
                </c:pt>
                <c:pt idx="8">
                  <c:v>2014</c:v>
                </c:pt>
                <c:pt idx="9">
                  <c:v>2016</c:v>
                </c:pt>
              </c:numCache>
            </c:numRef>
          </c:cat>
          <c:val>
            <c:numRef>
              <c:f>A_CZ!$B$94:$K$94</c:f>
              <c:numCache>
                <c:formatCode>#,##0</c:formatCode>
                <c:ptCount val="10"/>
                <c:pt idx="0">
                  <c:v>200.4</c:v>
                </c:pt>
                <c:pt idx="1">
                  <c:v>960.5</c:v>
                </c:pt>
                <c:pt idx="2">
                  <c:v>4338</c:v>
                </c:pt>
                <c:pt idx="3">
                  <c:v>8581.4</c:v>
                </c:pt>
                <c:pt idx="4">
                  <c:v>10584</c:v>
                </c:pt>
                <c:pt idx="5">
                  <c:v>12326</c:v>
                </c:pt>
                <c:pt idx="6">
                  <c:v>12992.87956041978</c:v>
                </c:pt>
                <c:pt idx="7">
                  <c:v>13506</c:v>
                </c:pt>
                <c:pt idx="8">
                  <c:v>13518.262000000001</c:v>
                </c:pt>
                <c:pt idx="9">
                  <c:v>14299.317999999999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2891904"/>
        <c:axId val="168394752"/>
      </c:barChart>
      <c:lineChart>
        <c:grouping val="standard"/>
        <c:varyColors val="0"/>
        <c:ser>
          <c:idx val="0"/>
          <c:order val="1"/>
          <c:tx>
            <c:strRef>
              <c:f>A_CZ!$A$95</c:f>
              <c:strCache>
                <c:ptCount val="1"/>
                <c:pt idx="0">
                  <c:v> na 100 obyvatel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#,##0.0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A_CZ!$B$93:$K$93</c:f>
              <c:numCache>
                <c:formatCode>General</c:formatCode>
                <c:ptCount val="10"/>
                <c:pt idx="0">
                  <c:v>1996</c:v>
                </c:pt>
                <c:pt idx="1">
                  <c:v>1998</c:v>
                </c:pt>
                <c:pt idx="2">
                  <c:v>2000</c:v>
                </c:pt>
                <c:pt idx="3">
                  <c:v>2002</c:v>
                </c:pt>
                <c:pt idx="4">
                  <c:v>2004</c:v>
                </c:pt>
                <c:pt idx="5">
                  <c:v>2006</c:v>
                </c:pt>
                <c:pt idx="6">
                  <c:v>2010</c:v>
                </c:pt>
                <c:pt idx="7">
                  <c:v>2012</c:v>
                </c:pt>
                <c:pt idx="8">
                  <c:v>2014</c:v>
                </c:pt>
                <c:pt idx="9">
                  <c:v>2016</c:v>
                </c:pt>
              </c:numCache>
            </c:numRef>
          </c:cat>
          <c:val>
            <c:numRef>
              <c:f>A_CZ!$B$95:$K$95</c:f>
              <c:numCache>
                <c:formatCode>0.0</c:formatCode>
                <c:ptCount val="10"/>
                <c:pt idx="0">
                  <c:v>1.943906652904118</c:v>
                </c:pt>
                <c:pt idx="1">
                  <c:v>9.3346489632611345</c:v>
                </c:pt>
                <c:pt idx="2">
                  <c:v>42.253743371918851</c:v>
                </c:pt>
                <c:pt idx="3">
                  <c:v>84.104417907633319</c:v>
                </c:pt>
                <c:pt idx="4">
                  <c:v>103.55579729011384</c:v>
                </c:pt>
                <c:pt idx="5">
                  <c:v>119.81893207172534</c:v>
                </c:pt>
                <c:pt idx="6">
                  <c:v>123.35671965133371</c:v>
                </c:pt>
                <c:pt idx="7">
                  <c:v>128.43133758870306</c:v>
                </c:pt>
                <c:pt idx="8">
                  <c:v>128.27774944191529</c:v>
                </c:pt>
                <c:pt idx="9">
                  <c:v>135.1693099986577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039360"/>
        <c:axId val="168395328"/>
      </c:lineChart>
      <c:catAx>
        <c:axId val="1928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8394752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68394752"/>
        <c:scaling>
          <c:orientation val="minMax"/>
          <c:max val="18000"/>
          <c:min val="0"/>
        </c:scaling>
        <c:delete val="0"/>
        <c:axPos val="l"/>
        <c:numFmt formatCode="#,##0" sourceLinked="1"/>
        <c:majorTickMark val="none"/>
        <c:minorTickMark val="none"/>
        <c:tickLblPos val="none"/>
        <c:spPr>
          <a:ln w="9525">
            <a:noFill/>
          </a:ln>
        </c:spPr>
        <c:crossAx val="192891904"/>
        <c:crosses val="autoZero"/>
        <c:crossBetween val="between"/>
        <c:majorUnit val="1"/>
        <c:minorUnit val="0.1"/>
      </c:valAx>
      <c:catAx>
        <c:axId val="193039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8395328"/>
        <c:crosses val="autoZero"/>
        <c:auto val="1"/>
        <c:lblAlgn val="ctr"/>
        <c:lblOffset val="100"/>
        <c:noMultiLvlLbl val="0"/>
      </c:catAx>
      <c:valAx>
        <c:axId val="168395328"/>
        <c:scaling>
          <c:orientation val="minMax"/>
          <c:max val="160"/>
          <c:min val="0"/>
        </c:scaling>
        <c:delete val="0"/>
        <c:axPos val="r"/>
        <c:numFmt formatCode="0.0" sourceLinked="1"/>
        <c:majorTickMark val="none"/>
        <c:minorTickMark val="none"/>
        <c:tickLblPos val="none"/>
        <c:crossAx val="193039360"/>
        <c:crosses val="max"/>
        <c:crossBetween val="between"/>
        <c:majorUnit val="1.0000000000000002E-2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4.0574404761904763E-2"/>
          <c:y val="0.17034444444444444"/>
          <c:w val="0.3887612433862434"/>
          <c:h val="0.12699285714285713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 i="0" baseline="0">
                <a:effectLst/>
              </a:rPr>
              <a:t>Graf </a:t>
            </a:r>
            <a:r>
              <a:rPr lang="cs-CZ" sz="800" b="1" i="0" baseline="0">
                <a:effectLst/>
              </a:rPr>
              <a:t>A7 SIM karty používané v Česku </a:t>
            </a:r>
          </a:p>
          <a:p>
            <a:pPr>
              <a:defRPr sz="800" b="1"/>
            </a:pPr>
            <a:r>
              <a:rPr lang="cs-CZ" sz="800" b="1" i="0" baseline="0">
                <a:effectLst/>
              </a:rPr>
              <a:t>pro M2M služby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2538872296135402E-2"/>
          <c:y val="0.16301230158730159"/>
          <c:w val="0.95492225540772924"/>
          <c:h val="0.6372626984126984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A_CZ!$A$99</c:f>
              <c:strCache>
                <c:ptCount val="1"/>
                <c:pt idx="0">
                  <c:v> v tisících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8.3994708994708997E-3"/>
                  <c:y val="7.358452380952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A_CZ!$B$98:$I$98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A_CZ!$B$99:$I$99</c:f>
              <c:numCache>
                <c:formatCode>0.0</c:formatCode>
                <c:ptCount val="8"/>
                <c:pt idx="0">
                  <c:v>106.499</c:v>
                </c:pt>
                <c:pt idx="1">
                  <c:v>178.596</c:v>
                </c:pt>
                <c:pt idx="2">
                  <c:v>322.83699999999999</c:v>
                </c:pt>
                <c:pt idx="3">
                  <c:v>533.20000000000005</c:v>
                </c:pt>
                <c:pt idx="4">
                  <c:v>613.91300000000001</c:v>
                </c:pt>
                <c:pt idx="5">
                  <c:v>688.21400000000006</c:v>
                </c:pt>
                <c:pt idx="6">
                  <c:v>744.05600000000004</c:v>
                </c:pt>
                <c:pt idx="7">
                  <c:v>837.85599999999999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3038336"/>
        <c:axId val="168397056"/>
      </c:barChart>
      <c:lineChart>
        <c:grouping val="standard"/>
        <c:varyColors val="0"/>
        <c:ser>
          <c:idx val="0"/>
          <c:order val="1"/>
          <c:tx>
            <c:strRef>
              <c:f>A_CZ!$A$100</c:f>
              <c:strCache>
                <c:ptCount val="1"/>
                <c:pt idx="0">
                  <c:v> na 100 obyvatel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#,##0.0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A_CZ!$B$98:$I$98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A_CZ!$B$100:$I$100</c:f>
              <c:numCache>
                <c:formatCode>0.0</c:formatCode>
                <c:ptCount val="8"/>
                <c:pt idx="0">
                  <c:v>1.0136184968743613</c:v>
                </c:pt>
                <c:pt idx="1">
                  <c:v>1.6956223291688703</c:v>
                </c:pt>
                <c:pt idx="2">
                  <c:v>3.0730445021605459</c:v>
                </c:pt>
                <c:pt idx="3">
                  <c:v>5.0703086926030263</c:v>
                </c:pt>
                <c:pt idx="4">
                  <c:v>5.8398832847130615</c:v>
                </c:pt>
                <c:pt idx="5">
                  <c:v>6.5306134068431509</c:v>
                </c:pt>
                <c:pt idx="6">
                  <c:v>7.0500954012675763</c:v>
                </c:pt>
                <c:pt idx="7">
                  <c:v>7.9201271975513334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957888"/>
        <c:axId val="168397632"/>
      </c:lineChart>
      <c:catAx>
        <c:axId val="19303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8397056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68397056"/>
        <c:scaling>
          <c:orientation val="minMax"/>
          <c:max val="1200"/>
          <c:min val="0"/>
        </c:scaling>
        <c:delete val="0"/>
        <c:axPos val="l"/>
        <c:numFmt formatCode="0.0" sourceLinked="1"/>
        <c:majorTickMark val="none"/>
        <c:minorTickMark val="none"/>
        <c:tickLblPos val="none"/>
        <c:spPr>
          <a:ln w="9525">
            <a:noFill/>
          </a:ln>
        </c:spPr>
        <c:crossAx val="193038336"/>
        <c:crosses val="autoZero"/>
        <c:crossBetween val="between"/>
        <c:majorUnit val="1"/>
        <c:minorUnit val="0.1"/>
      </c:valAx>
      <c:catAx>
        <c:axId val="193957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8397632"/>
        <c:crosses val="autoZero"/>
        <c:auto val="1"/>
        <c:lblAlgn val="ctr"/>
        <c:lblOffset val="100"/>
        <c:noMultiLvlLbl val="0"/>
      </c:catAx>
      <c:valAx>
        <c:axId val="168397632"/>
        <c:scaling>
          <c:orientation val="minMax"/>
          <c:max val="10"/>
          <c:min val="0"/>
        </c:scaling>
        <c:delete val="0"/>
        <c:axPos val="r"/>
        <c:numFmt formatCode="0.0" sourceLinked="1"/>
        <c:majorTickMark val="none"/>
        <c:minorTickMark val="none"/>
        <c:tickLblPos val="none"/>
        <c:crossAx val="193957888"/>
        <c:crosses val="max"/>
        <c:crossBetween val="between"/>
        <c:majorUnit val="1.0000000000000002E-2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3.2364771438270531E-2"/>
          <c:y val="0.18081899288798578"/>
          <c:w val="0.3887612433862434"/>
          <c:h val="0.12699285714285713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A</a:t>
            </a:r>
            <a:r>
              <a:rPr lang="cs-CZ" sz="800" b="1"/>
              <a:t>8</a:t>
            </a:r>
            <a:r>
              <a:rPr lang="en-US" sz="800" b="1"/>
              <a:t> Hlasový provoz generovaný v Česku </a:t>
            </a:r>
            <a:endParaRPr lang="cs-CZ" sz="800" b="1"/>
          </a:p>
          <a:p>
            <a:pPr>
              <a:defRPr sz="800" b="1"/>
            </a:pPr>
            <a:r>
              <a:rPr lang="en-US" sz="800" b="1"/>
              <a:t>v pevné telefonní síti </a:t>
            </a:r>
            <a:r>
              <a:rPr lang="cs-CZ" sz="800" b="1"/>
              <a:t>–</a:t>
            </a:r>
            <a:r>
              <a:rPr lang="en-US" sz="800" b="1"/>
              <a:t> m</a:t>
            </a:r>
            <a:r>
              <a:rPr lang="cs-CZ" sz="800" b="1"/>
              <a:t>ld.</a:t>
            </a:r>
            <a:r>
              <a:rPr lang="en-US" sz="800" b="1"/>
              <a:t> provolaných minut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7.3443318563046284E-2"/>
          <c:y val="0.16556666666666667"/>
          <c:w val="0.9133087603976705"/>
          <c:h val="0.63996962962962967"/>
        </c:manualLayout>
      </c:layout>
      <c:lineChart>
        <c:grouping val="standard"/>
        <c:varyColors val="0"/>
        <c:ser>
          <c:idx val="4"/>
          <c:order val="0"/>
          <c:tx>
            <c:strRef>
              <c:f>A_CZ!$A$121</c:f>
              <c:strCache>
                <c:ptCount val="1"/>
                <c:pt idx="0">
                  <c:v> na komutovaných 
přípojkách (PSTN)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dLbls>
            <c:dLbl>
              <c:idx val="0"/>
              <c:layout>
                <c:manualLayout>
                  <c:x val="4.2032172815112852E-3"/>
                  <c:y val="2.7071572120799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016086407556603E-2"/>
                  <c:y val="-5.9557458665759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235390096624356E-2"/>
                  <c:y val="-6.4971773089919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3048259222669725E-2"/>
                  <c:y val="-8.121471636239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884504194115827E-2"/>
                  <c:y val="-5.9557458665759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(A_CZ!$B$120,A_CZ!$D$120,A_CZ!$F$120,A_CZ!$H$120,A_CZ!$J$120,A_CZ!$L$120,A_CZ!$N$120)</c:f>
              <c:numCache>
                <c:formatCode>General</c:formatCode>
                <c:ptCount val="7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2010</c:v>
                </c:pt>
                <c:pt idx="4">
                  <c:v>2012</c:v>
                </c:pt>
                <c:pt idx="5">
                  <c:v>2014</c:v>
                </c:pt>
                <c:pt idx="6">
                  <c:v>2016</c:v>
                </c:pt>
              </c:numCache>
            </c:numRef>
          </c:cat>
          <c:val>
            <c:numRef>
              <c:f>(A_CZ!$B$121,A_CZ!$D$121,A_CZ!$F$121,A_CZ!$H$121,A_CZ!$J$121,A_CZ!$L$121,A_CZ!$N$121)</c:f>
              <c:numCache>
                <c:formatCode>#,##0.0</c:formatCode>
                <c:ptCount val="7"/>
                <c:pt idx="0">
                  <c:v>8.18</c:v>
                </c:pt>
                <c:pt idx="1">
                  <c:v>5.4451804499999996</c:v>
                </c:pt>
                <c:pt idx="2">
                  <c:v>3.17</c:v>
                </c:pt>
                <c:pt idx="3">
                  <c:v>2.274</c:v>
                </c:pt>
                <c:pt idx="4">
                  <c:v>1.7390000000000001</c:v>
                </c:pt>
                <c:pt idx="5">
                  <c:v>1.3696410799999998</c:v>
                </c:pt>
                <c:pt idx="6">
                  <c:v>1.0111733273999999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FC3-42C0-A818-0ADA36A5F18C}"/>
            </c:ext>
          </c:extLst>
        </c:ser>
        <c:ser>
          <c:idx val="1"/>
          <c:order val="1"/>
          <c:tx>
            <c:strRef>
              <c:f>A_CZ!$A$122</c:f>
              <c:strCache>
                <c:ptCount val="1"/>
                <c:pt idx="0">
                  <c:v> pomocí 
IP protokolu (VoIP)</c:v>
                </c:pt>
              </c:strCache>
            </c:strRef>
          </c:tx>
          <c:spPr>
            <a:ln w="19050">
              <a:solidFill>
                <a:srgbClr val="009892"/>
              </a:solidFill>
            </a:ln>
          </c:spPr>
          <c:marker>
            <c:symbol val="circle"/>
            <c:size val="4"/>
            <c:spPr>
              <a:solidFill>
                <a:srgbClr val="47E5FF"/>
              </a:solidFill>
              <a:ln w="12700">
                <a:solidFill>
                  <a:srgbClr val="007D92"/>
                </a:solidFill>
              </a:ln>
            </c:spPr>
          </c:marker>
          <c:dLbls>
            <c:dLbl>
              <c:idx val="4"/>
              <c:layout>
                <c:manualLayout>
                  <c:x val="-9.0631955373085174E-2"/>
                  <c:y val="-2.75993611961627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0744496054712403"/>
                  <c:y val="-2.2202163753921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3898341571656857E-2"/>
                  <c:y val="-2.22030173057636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(A_CZ!$B$120,A_CZ!$D$120,A_CZ!$F$120,A_CZ!$H$120,A_CZ!$J$120,A_CZ!$L$120,A_CZ!$N$120)</c:f>
              <c:numCache>
                <c:formatCode>General</c:formatCode>
                <c:ptCount val="7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2010</c:v>
                </c:pt>
                <c:pt idx="4">
                  <c:v>2012</c:v>
                </c:pt>
                <c:pt idx="5">
                  <c:v>2014</c:v>
                </c:pt>
                <c:pt idx="6">
                  <c:v>2016</c:v>
                </c:pt>
              </c:numCache>
            </c:numRef>
          </c:cat>
          <c:val>
            <c:numRef>
              <c:f>(A_CZ!$B$122,A_CZ!$D$122,A_CZ!$F$122,A_CZ!$H$122,A_CZ!$J$122,A_CZ!$L$122,A_CZ!$N$122)</c:f>
              <c:numCache>
                <c:formatCode>General</c:formatCode>
                <c:ptCount val="7"/>
                <c:pt idx="2" formatCode="#,##0.0">
                  <c:v>0.35899999999999999</c:v>
                </c:pt>
                <c:pt idx="3" formatCode="#,##0.0">
                  <c:v>0.48899999999999999</c:v>
                </c:pt>
                <c:pt idx="4" formatCode="#,##0.0">
                  <c:v>0.53300000000000003</c:v>
                </c:pt>
                <c:pt idx="5" formatCode="#,##0.0">
                  <c:v>0.69157465833999965</c:v>
                </c:pt>
                <c:pt idx="6" formatCode="#,##0.0">
                  <c:v>0.5902839795999999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FC3-42C0-A818-0ADA36A5F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959424"/>
        <c:axId val="168399360"/>
      </c:lineChart>
      <c:catAx>
        <c:axId val="19395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8399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399360"/>
        <c:scaling>
          <c:orientation val="minMax"/>
          <c:max val="8.3000000000000007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spPr>
          <a:ln w="3175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3959424"/>
        <c:crosses val="autoZero"/>
        <c:crossBetween val="between"/>
        <c:majorUnit val="1"/>
        <c:minorUnit val="0.1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1759450830140488"/>
          <c:y val="0.19097222222222224"/>
          <c:w val="0.50131257982120048"/>
          <c:h val="0.23690277777777777"/>
        </c:manualLayout>
      </c:layout>
      <c:overlay val="0"/>
      <c:spPr>
        <a:solidFill>
          <a:srgbClr val="FFFFFF"/>
        </a:solidFill>
        <a:ln w="12700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 i="0" baseline="0">
                <a:effectLst/>
              </a:rPr>
              <a:t>Graf A</a:t>
            </a:r>
            <a:r>
              <a:rPr lang="cs-CZ" sz="800" b="1" i="0" baseline="0">
                <a:effectLst/>
              </a:rPr>
              <a:t>9</a:t>
            </a:r>
            <a:r>
              <a:rPr lang="en-US" sz="800" b="1" i="0" baseline="0">
                <a:effectLst/>
              </a:rPr>
              <a:t> Hlasový provoz generovaný v Česku </a:t>
            </a:r>
            <a:endParaRPr lang="cs-CZ" sz="800" b="1" i="0" baseline="0">
              <a:effectLst/>
            </a:endParaRPr>
          </a:p>
          <a:p>
            <a:pPr>
              <a:defRPr sz="800" b="1"/>
            </a:pPr>
            <a:r>
              <a:rPr lang="en-US" sz="800" b="1" i="0" baseline="0">
                <a:effectLst/>
              </a:rPr>
              <a:t>v mobilní telefonní síti 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2538872296135402E-2"/>
          <c:y val="0.16301230158730159"/>
          <c:w val="0.95492225540772924"/>
          <c:h val="0.6372626984126984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A_CZ!$A$126</c:f>
              <c:strCache>
                <c:ptCount val="1"/>
                <c:pt idx="0">
                  <c:v> mld. minut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A_CZ!$B$125:$H$125</c:f>
              <c:numCache>
                <c:formatCode>General</c:formatCode>
                <c:ptCount val="7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2010</c:v>
                </c:pt>
                <c:pt idx="4">
                  <c:v>2012</c:v>
                </c:pt>
                <c:pt idx="5">
                  <c:v>2014</c:v>
                </c:pt>
                <c:pt idx="6">
                  <c:v>2016</c:v>
                </c:pt>
              </c:numCache>
            </c:numRef>
          </c:cat>
          <c:val>
            <c:numRef>
              <c:f>A_CZ!$B$126:$H$126</c:f>
              <c:numCache>
                <c:formatCode>#,##0.0</c:formatCode>
                <c:ptCount val="7"/>
                <c:pt idx="0">
                  <c:v>6.722251</c:v>
                </c:pt>
                <c:pt idx="1">
                  <c:v>9.5982709999999987</c:v>
                </c:pt>
                <c:pt idx="2">
                  <c:v>12.6982</c:v>
                </c:pt>
                <c:pt idx="3">
                  <c:v>14.861039</c:v>
                </c:pt>
                <c:pt idx="4">
                  <c:v>16.112911999999998</c:v>
                </c:pt>
                <c:pt idx="5">
                  <c:v>20.731107999999999</c:v>
                </c:pt>
                <c:pt idx="6">
                  <c:v>20.97891447632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3959936"/>
        <c:axId val="168401088"/>
      </c:barChart>
      <c:lineChart>
        <c:grouping val="standard"/>
        <c:varyColors val="0"/>
        <c:ser>
          <c:idx val="0"/>
          <c:order val="1"/>
          <c:tx>
            <c:strRef>
              <c:f>A_CZ!$A$127</c:f>
              <c:strCache>
                <c:ptCount val="1"/>
                <c:pt idx="0">
                  <c:v> minuty na jednu SIM kartu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#,##0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A_CZ!$B$125:$H$125</c:f>
              <c:numCache>
                <c:formatCode>General</c:formatCode>
                <c:ptCount val="7"/>
                <c:pt idx="0">
                  <c:v>2004</c:v>
                </c:pt>
                <c:pt idx="1">
                  <c:v>2006</c:v>
                </c:pt>
                <c:pt idx="2">
                  <c:v>2008</c:v>
                </c:pt>
                <c:pt idx="3">
                  <c:v>2010</c:v>
                </c:pt>
                <c:pt idx="4">
                  <c:v>2012</c:v>
                </c:pt>
                <c:pt idx="5">
                  <c:v>2014</c:v>
                </c:pt>
                <c:pt idx="6">
                  <c:v>2016</c:v>
                </c:pt>
              </c:numCache>
            </c:numRef>
          </c:cat>
          <c:val>
            <c:numRef>
              <c:f>A_CZ!$B$127:$H$127</c:f>
              <c:numCache>
                <c:formatCode>#,##0.0</c:formatCode>
                <c:ptCount val="7"/>
                <c:pt idx="0">
                  <c:v>634.31546116933418</c:v>
                </c:pt>
                <c:pt idx="1">
                  <c:v>897.87428745438081</c:v>
                </c:pt>
                <c:pt idx="2">
                  <c:v>1184.8830665686601</c:v>
                </c:pt>
                <c:pt idx="3">
                  <c:v>1392.3312256330171</c:v>
                </c:pt>
                <c:pt idx="4">
                  <c:v>1499.5151961106119</c:v>
                </c:pt>
                <c:pt idx="5">
                  <c:v>1905.6423506438537</c:v>
                </c:pt>
                <c:pt idx="6">
                  <c:v>1933.0165283079823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961472"/>
        <c:axId val="168401664"/>
      </c:lineChart>
      <c:catAx>
        <c:axId val="19395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68401088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68401088"/>
        <c:scaling>
          <c:orientation val="minMax"/>
          <c:max val="30"/>
          <c:min val="0"/>
        </c:scaling>
        <c:delete val="0"/>
        <c:axPos val="l"/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193959936"/>
        <c:crosses val="autoZero"/>
        <c:crossBetween val="between"/>
        <c:majorUnit val="5"/>
        <c:minorUnit val="0.1"/>
      </c:valAx>
      <c:catAx>
        <c:axId val="193961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8401664"/>
        <c:crosses val="autoZero"/>
        <c:auto val="1"/>
        <c:lblAlgn val="ctr"/>
        <c:lblOffset val="100"/>
        <c:noMultiLvlLbl val="0"/>
      </c:catAx>
      <c:valAx>
        <c:axId val="168401664"/>
        <c:scaling>
          <c:orientation val="minMax"/>
          <c:max val="2400"/>
          <c:min val="0"/>
        </c:scaling>
        <c:delete val="0"/>
        <c:axPos val="r"/>
        <c:numFmt formatCode="#,##0.0" sourceLinked="1"/>
        <c:majorTickMark val="none"/>
        <c:minorTickMark val="none"/>
        <c:tickLblPos val="none"/>
        <c:crossAx val="193961472"/>
        <c:crosses val="max"/>
        <c:crossBetween val="between"/>
        <c:majorUnit val="1.0000000000000002E-2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5.3375992063492063E-2"/>
          <c:y val="0.18546349206349205"/>
          <c:w val="0.65334457671957669"/>
          <c:h val="0.12699285714285713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0.04102</cdr:x>
      <cdr:y>0.90076</cdr:y>
    </cdr:from>
    <cdr:to>
      <cdr:x>0.99189</cdr:x>
      <cdr:y>0.97045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27000" y="2432050"/>
          <a:ext cx="2943894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0.04102</cdr:x>
      <cdr:y>0.90076</cdr:y>
    </cdr:from>
    <cdr:to>
      <cdr:x>0.99189</cdr:x>
      <cdr:y>0.97045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27000" y="2432050"/>
          <a:ext cx="2943894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0.45129</cdr:x>
      <cdr:y>0.90999</cdr:y>
    </cdr:from>
    <cdr:to>
      <cdr:x>0.98779</cdr:x>
      <cdr:y>0.98147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2695492" y="2733206"/>
          <a:ext cx="3204375" cy="2146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Evropská komise a vlastní dopočty ČSÚ, 2018</a:t>
          </a:r>
        </a:p>
        <a:p xmlns:a="http://schemas.openxmlformats.org/drawingml/2006/main">
          <a:endParaRPr lang="cs-CZ" sz="800"/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0.23732</cdr:x>
      <cdr:y>0.91509</cdr:y>
    </cdr:from>
    <cdr:to>
      <cdr:x>0.96898</cdr:x>
      <cdr:y>0.98227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09700" y="2635461"/>
          <a:ext cx="4346025" cy="193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Mezinárodní telekomunikační unie a vlastní dopočty ČSÚ, 2018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0.04102</cdr:x>
      <cdr:y>0.90076</cdr:y>
    </cdr:from>
    <cdr:to>
      <cdr:x>0.99189</cdr:x>
      <cdr:y>0.97045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27000" y="2432050"/>
          <a:ext cx="2943894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0.04102</cdr:x>
      <cdr:y>0.90076</cdr:y>
    </cdr:from>
    <cdr:to>
      <cdr:x>0.99189</cdr:x>
      <cdr:y>0.97045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27000" y="2432050"/>
          <a:ext cx="2943894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0.50854</cdr:x>
      <cdr:y>0.92126</cdr:y>
    </cdr:from>
    <cdr:to>
      <cdr:x>0.97581</cdr:x>
      <cdr:y>0.97421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3037398" y="2767053"/>
          <a:ext cx="2790908" cy="1590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Evropská komise a vlastní dopočty ČSÚ, 2018</a:t>
          </a:r>
        </a:p>
        <a:p xmlns:a="http://schemas.openxmlformats.org/drawingml/2006/main">
          <a:endParaRPr lang="cs-CZ" sz="800"/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0.50321</cdr:x>
      <cdr:y>0.91332</cdr:y>
    </cdr:from>
    <cdr:to>
      <cdr:x>0.97314</cdr:x>
      <cdr:y>0.97685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3005593" y="2743200"/>
          <a:ext cx="2806810" cy="190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Evropská komise a vlastní dopočty ČSÚ, 2018</a:t>
          </a:r>
        </a:p>
        <a:p xmlns:a="http://schemas.openxmlformats.org/drawingml/2006/main">
          <a:endParaRPr lang="cs-CZ" sz="8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0.04102</cdr:x>
      <cdr:y>0.90076</cdr:y>
    </cdr:from>
    <cdr:to>
      <cdr:x>0.99189</cdr:x>
      <cdr:y>0.97045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27000" y="2432050"/>
          <a:ext cx="2943894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0.13891</cdr:x>
      <cdr:y>0.91848</cdr:y>
    </cdr:from>
    <cdr:to>
      <cdr:x>0.98647</cdr:x>
      <cdr:y>0.9903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00050" y="2314576"/>
          <a:ext cx="2440984" cy="18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0.25965</cdr:x>
      <cdr:y>0.91164</cdr:y>
    </cdr:from>
    <cdr:to>
      <cdr:x>0.99131</cdr:x>
      <cdr:y>0.97882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550817" y="2518182"/>
          <a:ext cx="4370066" cy="1855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Mezinárodní telekomunikační unie a vlastní dopočty ČSÚ, 2018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0.04102</cdr:x>
      <cdr:y>0.90076</cdr:y>
    </cdr:from>
    <cdr:to>
      <cdr:x>0.99189</cdr:x>
      <cdr:y>0.97045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27000" y="2432050"/>
          <a:ext cx="2943894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Český telekomunikační úřad,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BDAE-DB6E-479A-830C-054A7DCF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0</TotalTime>
  <Pages>11</Pages>
  <Words>3654</Words>
  <Characters>21563</Characters>
  <Application>Microsoft Office Word</Application>
  <DocSecurity>0</DocSecurity>
  <Lines>179</Lines>
  <Paragraphs>50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25167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Kotrbatá</dc:creator>
  <cp:lastModifiedBy>Alena Kotrbatá</cp:lastModifiedBy>
  <cp:revision>2</cp:revision>
  <cp:lastPrinted>2018-08-29T08:06:00Z</cp:lastPrinted>
  <dcterms:created xsi:type="dcterms:W3CDTF">2018-09-21T13:36:00Z</dcterms:created>
  <dcterms:modified xsi:type="dcterms:W3CDTF">2018-09-21T13:36:00Z</dcterms:modified>
</cp:coreProperties>
</file>