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5C9" w:rsidRPr="008B259E" w:rsidRDefault="00564C8F" w:rsidP="00BB7791">
      <w:pPr>
        <w:pStyle w:val="Nadpis2"/>
        <w:shd w:val="clear" w:color="auto" w:fill="EAF1DD"/>
        <w:jc w:val="center"/>
        <w:rPr>
          <w:rFonts w:ascii="Calibri" w:hAnsi="Calibri"/>
          <w:sz w:val="28"/>
          <w:szCs w:val="28"/>
        </w:rPr>
      </w:pPr>
      <w:r w:rsidRPr="008B259E">
        <w:rPr>
          <w:rFonts w:ascii="Calibri" w:hAnsi="Calibri"/>
          <w:sz w:val="28"/>
          <w:szCs w:val="28"/>
        </w:rPr>
        <w:t>STÁTNÍ ROZPOČTOVÉ VÝDAJE A DOTA</w:t>
      </w:r>
      <w:r w:rsidR="001E05C9" w:rsidRPr="008B259E">
        <w:rPr>
          <w:rFonts w:ascii="Calibri" w:hAnsi="Calibri"/>
          <w:sz w:val="28"/>
          <w:szCs w:val="28"/>
        </w:rPr>
        <w:t>CE NA VÝZKUM A VÝVOJ (GBAORD)</w:t>
      </w:r>
    </w:p>
    <w:p w:rsidR="00564C8F" w:rsidRPr="008B259E" w:rsidRDefault="001E05C9" w:rsidP="00BB7791">
      <w:pPr>
        <w:pStyle w:val="Nadpis2"/>
        <w:shd w:val="clear" w:color="auto" w:fill="EAF1DD"/>
        <w:jc w:val="center"/>
        <w:rPr>
          <w:rFonts w:ascii="Calibri" w:hAnsi="Calibri"/>
          <w:sz w:val="28"/>
          <w:szCs w:val="28"/>
        </w:rPr>
      </w:pPr>
      <w:r w:rsidRPr="008B259E">
        <w:rPr>
          <w:rFonts w:ascii="Calibri" w:hAnsi="Calibri"/>
          <w:sz w:val="28"/>
          <w:szCs w:val="28"/>
        </w:rPr>
        <w:t xml:space="preserve"> – </w:t>
      </w:r>
      <w:r w:rsidR="00564C8F" w:rsidRPr="008B259E">
        <w:rPr>
          <w:rFonts w:ascii="Calibri" w:hAnsi="Calibri"/>
          <w:sz w:val="28"/>
          <w:szCs w:val="28"/>
        </w:rPr>
        <w:t>METODICKÝ ÚVOD</w:t>
      </w:r>
      <w:r w:rsidRPr="008B259E">
        <w:rPr>
          <w:rFonts w:ascii="Calibri" w:hAnsi="Calibri"/>
          <w:sz w:val="28"/>
          <w:szCs w:val="28"/>
        </w:rPr>
        <w:t xml:space="preserve"> –</w:t>
      </w:r>
    </w:p>
    <w:p w:rsidR="00564C8F" w:rsidRDefault="00564C8F">
      <w:pPr>
        <w:pStyle w:val="Nadpis2"/>
        <w:rPr>
          <w:sz w:val="22"/>
        </w:rPr>
      </w:pPr>
    </w:p>
    <w:p w:rsidR="00564C8F" w:rsidRDefault="00564C8F">
      <w:pPr>
        <w:pStyle w:val="Nadpis2"/>
        <w:pBdr>
          <w:bottom w:val="single" w:sz="4" w:space="1" w:color="003366"/>
        </w:pBdr>
        <w:sectPr w:rsidR="00564C8F">
          <w:footerReference w:type="even" r:id="rId9"/>
          <w:footerReference w:type="default" r:id="rId10"/>
          <w:pgSz w:w="11906" w:h="16838" w:code="9"/>
          <w:pgMar w:top="1134" w:right="1134" w:bottom="1134" w:left="1134" w:header="737" w:footer="737" w:gutter="0"/>
          <w:pgNumType w:start="1"/>
          <w:cols w:space="708"/>
          <w:docGrid w:linePitch="360"/>
        </w:sectPr>
      </w:pPr>
    </w:p>
    <w:p w:rsidR="00564C8F" w:rsidRPr="00BB7791" w:rsidRDefault="00564C8F" w:rsidP="00252FFA">
      <w:pPr>
        <w:pStyle w:val="Nadpis2"/>
        <w:pBdr>
          <w:bottom w:val="single" w:sz="4" w:space="1" w:color="C2D69B"/>
        </w:pBdr>
        <w:spacing w:after="120"/>
        <w:rPr>
          <w:rFonts w:ascii="Calibri" w:hAnsi="Calibri"/>
          <w:color w:val="4F6228"/>
          <w:sz w:val="24"/>
        </w:rPr>
      </w:pPr>
      <w:r w:rsidRPr="00BB7791">
        <w:rPr>
          <w:rFonts w:ascii="Calibri" w:hAnsi="Calibri"/>
          <w:color w:val="4F6228"/>
          <w:sz w:val="24"/>
        </w:rPr>
        <w:lastRenderedPageBreak/>
        <w:t>A. METODIKA STATISTICKÉ ÚLOHY GBAORD</w:t>
      </w:r>
    </w:p>
    <w:p w:rsidR="00E45DEF" w:rsidRDefault="00E45DEF">
      <w:pPr>
        <w:pStyle w:val="Styl1"/>
        <w:rPr>
          <w:rFonts w:ascii="Calibri" w:hAnsi="Calibri" w:cs="Arial"/>
          <w:sz w:val="22"/>
          <w:szCs w:val="22"/>
        </w:rPr>
        <w:sectPr w:rsidR="00E45DEF" w:rsidSect="0062120B">
          <w:type w:val="continuous"/>
          <w:pgSz w:w="11906" w:h="16838" w:code="9"/>
          <w:pgMar w:top="1134" w:right="1134" w:bottom="1134" w:left="1134" w:header="737" w:footer="737" w:gutter="0"/>
          <w:pgNumType w:start="5"/>
          <w:cols w:space="397"/>
          <w:docGrid w:linePitch="360"/>
        </w:sectPr>
      </w:pPr>
    </w:p>
    <w:p w:rsidR="00564C8F" w:rsidRPr="009E22E6" w:rsidRDefault="00564C8F" w:rsidP="005B778A">
      <w:pPr>
        <w:pStyle w:val="Styl1"/>
        <w:spacing w:before="60" w:after="60"/>
        <w:rPr>
          <w:rFonts w:ascii="Calibri" w:hAnsi="Calibri" w:cs="Arial"/>
          <w:szCs w:val="22"/>
        </w:rPr>
      </w:pPr>
      <w:r w:rsidRPr="009E22E6">
        <w:rPr>
          <w:rFonts w:ascii="Calibri" w:hAnsi="Calibri" w:cs="Arial"/>
          <w:szCs w:val="22"/>
        </w:rPr>
        <w:lastRenderedPageBreak/>
        <w:t xml:space="preserve">Mezi hlavní úkoly státu v oblasti </w:t>
      </w:r>
      <w:r w:rsidR="00A041C8" w:rsidRPr="009E22E6">
        <w:rPr>
          <w:rFonts w:ascii="Calibri" w:hAnsi="Calibri" w:cs="Arial"/>
          <w:szCs w:val="22"/>
        </w:rPr>
        <w:t>podpory</w:t>
      </w:r>
      <w:r w:rsidRPr="009E22E6">
        <w:rPr>
          <w:rFonts w:ascii="Calibri" w:hAnsi="Calibri" w:cs="Arial"/>
          <w:szCs w:val="22"/>
        </w:rPr>
        <w:t xml:space="preserve"> výzkumu a vývoje</w:t>
      </w:r>
      <w:r w:rsidR="00A041C8" w:rsidRPr="009E22E6">
        <w:rPr>
          <w:rFonts w:ascii="Calibri" w:hAnsi="Calibri" w:cs="Arial"/>
          <w:szCs w:val="22"/>
        </w:rPr>
        <w:t xml:space="preserve"> (a inovací)</w:t>
      </w:r>
      <w:r w:rsidRPr="009E22E6">
        <w:rPr>
          <w:rFonts w:ascii="Calibri" w:hAnsi="Calibri" w:cs="Arial"/>
          <w:szCs w:val="22"/>
        </w:rPr>
        <w:t xml:space="preserve"> patří zejména tvorba strategie vědní politiky pro střednědobé období. U nás je vědní politika deklarována v pravidelně aktualizovaném dokumentu „</w:t>
      </w:r>
      <w:r w:rsidR="00321A29" w:rsidRPr="009E22E6">
        <w:rPr>
          <w:rFonts w:ascii="Calibri" w:hAnsi="Calibri" w:cs="Arial"/>
          <w:i/>
          <w:iCs/>
          <w:szCs w:val="22"/>
        </w:rPr>
        <w:t>Národní politika výzkumu a</w:t>
      </w:r>
      <w:r w:rsidR="001F3B80" w:rsidRPr="009E22E6">
        <w:rPr>
          <w:rFonts w:ascii="Calibri" w:hAnsi="Calibri" w:cs="Arial"/>
          <w:i/>
          <w:iCs/>
          <w:szCs w:val="22"/>
        </w:rPr>
        <w:t xml:space="preserve"> </w:t>
      </w:r>
      <w:r w:rsidRPr="009E22E6">
        <w:rPr>
          <w:rFonts w:ascii="Calibri" w:hAnsi="Calibri" w:cs="Arial"/>
          <w:i/>
          <w:iCs/>
          <w:szCs w:val="22"/>
        </w:rPr>
        <w:t>vývoje</w:t>
      </w:r>
      <w:r w:rsidR="001F3B80" w:rsidRPr="009E22E6">
        <w:rPr>
          <w:rFonts w:ascii="Calibri" w:hAnsi="Calibri" w:cs="Arial"/>
          <w:i/>
          <w:iCs/>
          <w:szCs w:val="22"/>
        </w:rPr>
        <w:t xml:space="preserve"> </w:t>
      </w:r>
      <w:r w:rsidR="005334A7">
        <w:rPr>
          <w:rFonts w:ascii="Calibri" w:hAnsi="Calibri" w:cs="Arial"/>
          <w:i/>
          <w:iCs/>
          <w:szCs w:val="22"/>
        </w:rPr>
        <w:t xml:space="preserve">pro léta </w:t>
      </w:r>
      <w:r w:rsidR="002C2D43" w:rsidRPr="009E22E6">
        <w:rPr>
          <w:rFonts w:ascii="Calibri" w:hAnsi="Calibri" w:cs="Arial"/>
          <w:i/>
          <w:iCs/>
          <w:szCs w:val="22"/>
        </w:rPr>
        <w:t>2009</w:t>
      </w:r>
      <w:r w:rsidR="005334A7">
        <w:rPr>
          <w:rFonts w:ascii="Calibri" w:hAnsi="Calibri" w:cs="Arial"/>
          <w:i/>
          <w:iCs/>
          <w:szCs w:val="22"/>
        </w:rPr>
        <w:t>–2015</w:t>
      </w:r>
      <w:r w:rsidRPr="009E22E6">
        <w:rPr>
          <w:rFonts w:ascii="Calibri" w:hAnsi="Calibri" w:cs="Arial"/>
          <w:i/>
          <w:iCs/>
          <w:szCs w:val="22"/>
        </w:rPr>
        <w:t>“</w:t>
      </w:r>
      <w:r w:rsidRPr="009E22E6">
        <w:rPr>
          <w:rStyle w:val="Znakapoznpodarou"/>
          <w:rFonts w:ascii="Calibri" w:hAnsi="Calibri" w:cs="Arial"/>
          <w:i/>
          <w:iCs/>
          <w:szCs w:val="22"/>
        </w:rPr>
        <w:footnoteReference w:id="1"/>
      </w:r>
      <w:r w:rsidRPr="009E22E6">
        <w:rPr>
          <w:rFonts w:ascii="Calibri" w:hAnsi="Calibri" w:cs="Arial"/>
          <w:szCs w:val="22"/>
        </w:rPr>
        <w:t>. Pro přípravu konc</w:t>
      </w:r>
      <w:r w:rsidR="0014241E">
        <w:rPr>
          <w:rFonts w:ascii="Calibri" w:hAnsi="Calibri" w:cs="Arial"/>
          <w:szCs w:val="22"/>
        </w:rPr>
        <w:t>epce národní politiky výzkumu a </w:t>
      </w:r>
      <w:r w:rsidRPr="009E22E6">
        <w:rPr>
          <w:rFonts w:ascii="Calibri" w:hAnsi="Calibri" w:cs="Arial"/>
          <w:szCs w:val="22"/>
        </w:rPr>
        <w:t>vývoje</w:t>
      </w:r>
      <w:r w:rsidR="002C2D43" w:rsidRPr="009E22E6">
        <w:rPr>
          <w:rFonts w:ascii="Calibri" w:hAnsi="Calibri" w:cs="Arial"/>
          <w:szCs w:val="22"/>
        </w:rPr>
        <w:t xml:space="preserve"> a </w:t>
      </w:r>
      <w:r w:rsidR="002A2098" w:rsidRPr="009E22E6">
        <w:rPr>
          <w:rFonts w:ascii="Calibri" w:hAnsi="Calibri" w:cs="Arial"/>
          <w:szCs w:val="22"/>
        </w:rPr>
        <w:t>následnou</w:t>
      </w:r>
      <w:r w:rsidR="002C2D43" w:rsidRPr="009E22E6">
        <w:rPr>
          <w:rFonts w:ascii="Calibri" w:hAnsi="Calibri" w:cs="Arial"/>
          <w:szCs w:val="22"/>
        </w:rPr>
        <w:t xml:space="preserve"> </w:t>
      </w:r>
      <w:r w:rsidR="002A2098" w:rsidRPr="009E22E6">
        <w:rPr>
          <w:rFonts w:ascii="Calibri" w:hAnsi="Calibri" w:cs="Arial"/>
          <w:szCs w:val="22"/>
        </w:rPr>
        <w:t>alokaci</w:t>
      </w:r>
      <w:r w:rsidR="002C2D43" w:rsidRPr="009E22E6">
        <w:rPr>
          <w:rFonts w:ascii="Calibri" w:hAnsi="Calibri" w:cs="Arial"/>
          <w:szCs w:val="22"/>
        </w:rPr>
        <w:t xml:space="preserve"> finanční podpory výzkumu, vývoje a inovací</w:t>
      </w:r>
      <w:r w:rsidR="009A6139" w:rsidRPr="009E22E6">
        <w:rPr>
          <w:rFonts w:ascii="Calibri" w:hAnsi="Calibri" w:cs="Arial"/>
          <w:szCs w:val="22"/>
        </w:rPr>
        <w:t xml:space="preserve"> jsou nutné i odpovídající ukazatele</w:t>
      </w:r>
      <w:r w:rsidRPr="009E22E6">
        <w:rPr>
          <w:rFonts w:ascii="Calibri" w:hAnsi="Calibri" w:cs="Arial"/>
          <w:szCs w:val="22"/>
        </w:rPr>
        <w:t xml:space="preserve"> </w:t>
      </w:r>
      <w:r w:rsidR="00672144">
        <w:rPr>
          <w:rFonts w:ascii="Calibri" w:hAnsi="Calibri" w:cs="Arial"/>
          <w:szCs w:val="22"/>
        </w:rPr>
        <w:t xml:space="preserve">o </w:t>
      </w:r>
      <w:r w:rsidRPr="009E22E6">
        <w:rPr>
          <w:rFonts w:ascii="Calibri" w:hAnsi="Calibri" w:cs="Arial"/>
          <w:szCs w:val="22"/>
        </w:rPr>
        <w:t>investic</w:t>
      </w:r>
      <w:r w:rsidR="00672144">
        <w:rPr>
          <w:rFonts w:ascii="Calibri" w:hAnsi="Calibri" w:cs="Arial"/>
          <w:szCs w:val="22"/>
        </w:rPr>
        <w:t>ích do výzkumu a vývoje a</w:t>
      </w:r>
      <w:r w:rsidR="0014241E">
        <w:rPr>
          <w:rFonts w:ascii="Calibri" w:hAnsi="Calibri" w:cs="Arial"/>
          <w:szCs w:val="22"/>
        </w:rPr>
        <w:t xml:space="preserve"> o</w:t>
      </w:r>
      <w:r w:rsidR="00672144">
        <w:rPr>
          <w:rFonts w:ascii="Calibri" w:hAnsi="Calibri" w:cs="Arial"/>
          <w:szCs w:val="22"/>
        </w:rPr>
        <w:t xml:space="preserve"> lidských zdrojích ve vědě a technologiích</w:t>
      </w:r>
      <w:r w:rsidRPr="009E22E6">
        <w:rPr>
          <w:rFonts w:ascii="Calibri" w:hAnsi="Calibri" w:cs="Arial"/>
          <w:szCs w:val="22"/>
        </w:rPr>
        <w:t>. Dodavatelem těchto údajů je právě Český statistický úřad.</w:t>
      </w:r>
      <w:r w:rsidR="00A42EC4" w:rsidRPr="009E22E6">
        <w:rPr>
          <w:rFonts w:ascii="Calibri" w:hAnsi="Calibri" w:cs="Arial"/>
          <w:szCs w:val="22"/>
        </w:rPr>
        <w:t xml:space="preserve"> Ukazatele </w:t>
      </w:r>
      <w:r w:rsidR="002C2D43" w:rsidRPr="009E22E6">
        <w:rPr>
          <w:rFonts w:ascii="Calibri" w:hAnsi="Calibri" w:cs="Arial"/>
          <w:szCs w:val="22"/>
        </w:rPr>
        <w:t>GBAORD se řadí do oblasti</w:t>
      </w:r>
      <w:r w:rsidR="00A42EC4" w:rsidRPr="009E22E6">
        <w:rPr>
          <w:rFonts w:ascii="Calibri" w:hAnsi="Calibri" w:cs="Arial"/>
          <w:szCs w:val="22"/>
        </w:rPr>
        <w:t xml:space="preserve"> vstupních indikátorů </w:t>
      </w:r>
      <w:r w:rsidR="002C2D43" w:rsidRPr="009E22E6">
        <w:rPr>
          <w:rFonts w:ascii="Calibri" w:hAnsi="Calibri" w:cs="Arial"/>
          <w:szCs w:val="22"/>
        </w:rPr>
        <w:t>(</w:t>
      </w:r>
      <w:r w:rsidR="00AC084F" w:rsidRPr="009E22E6">
        <w:rPr>
          <w:rFonts w:ascii="Calibri" w:hAnsi="Calibri" w:cs="Arial"/>
          <w:szCs w:val="22"/>
        </w:rPr>
        <w:t xml:space="preserve">sledují se </w:t>
      </w:r>
      <w:r w:rsidR="002C2D43" w:rsidRPr="009E22E6">
        <w:rPr>
          <w:rFonts w:ascii="Calibri" w:hAnsi="Calibri" w:cs="Arial"/>
          <w:szCs w:val="22"/>
        </w:rPr>
        <w:t>i</w:t>
      </w:r>
      <w:r w:rsidR="00A42EC4" w:rsidRPr="009E22E6">
        <w:rPr>
          <w:rFonts w:ascii="Calibri" w:hAnsi="Calibri" w:cs="Arial"/>
          <w:szCs w:val="22"/>
        </w:rPr>
        <w:t>n</w:t>
      </w:r>
      <w:r w:rsidR="002C2D43" w:rsidRPr="009E22E6">
        <w:rPr>
          <w:rFonts w:ascii="Calibri" w:hAnsi="Calibri" w:cs="Arial"/>
          <w:szCs w:val="22"/>
        </w:rPr>
        <w:t>vestice</w:t>
      </w:r>
      <w:r w:rsidR="00B06CA0">
        <w:rPr>
          <w:rFonts w:ascii="Calibri" w:hAnsi="Calibri" w:cs="Arial"/>
          <w:szCs w:val="22"/>
        </w:rPr>
        <w:t xml:space="preserve"> do výzkumu a </w:t>
      </w:r>
      <w:r w:rsidR="00A42EC4" w:rsidRPr="009E22E6">
        <w:rPr>
          <w:rFonts w:ascii="Calibri" w:hAnsi="Calibri" w:cs="Arial"/>
          <w:szCs w:val="22"/>
        </w:rPr>
        <w:t xml:space="preserve">vývoje), zatímco například inovace se řadí do </w:t>
      </w:r>
      <w:r w:rsidR="002C2D43" w:rsidRPr="009E22E6">
        <w:rPr>
          <w:rFonts w:ascii="Calibri" w:hAnsi="Calibri" w:cs="Arial"/>
          <w:szCs w:val="22"/>
        </w:rPr>
        <w:t xml:space="preserve">tzv. </w:t>
      </w:r>
      <w:r w:rsidR="00A42EC4" w:rsidRPr="009E22E6">
        <w:rPr>
          <w:rFonts w:ascii="Calibri" w:hAnsi="Calibri" w:cs="Arial"/>
          <w:szCs w:val="22"/>
        </w:rPr>
        <w:t>výstupních ukazatelů</w:t>
      </w:r>
      <w:r w:rsidR="00AC084F" w:rsidRPr="009E22E6">
        <w:rPr>
          <w:rFonts w:ascii="Calibri" w:hAnsi="Calibri" w:cs="Arial"/>
          <w:szCs w:val="22"/>
        </w:rPr>
        <w:t xml:space="preserve"> (konkrétní </w:t>
      </w:r>
      <w:r w:rsidR="00AD15E5">
        <w:rPr>
          <w:rFonts w:ascii="Calibri" w:hAnsi="Calibri" w:cs="Arial"/>
          <w:szCs w:val="22"/>
        </w:rPr>
        <w:t>vy</w:t>
      </w:r>
      <w:r w:rsidR="00AC084F" w:rsidRPr="009E22E6">
        <w:rPr>
          <w:rFonts w:ascii="Calibri" w:hAnsi="Calibri" w:cs="Arial"/>
          <w:szCs w:val="22"/>
        </w:rPr>
        <w:t xml:space="preserve">užití </w:t>
      </w:r>
      <w:r w:rsidR="00AD15E5">
        <w:rPr>
          <w:rFonts w:ascii="Calibri" w:hAnsi="Calibri" w:cs="Arial"/>
          <w:szCs w:val="22"/>
        </w:rPr>
        <w:t xml:space="preserve">výsledků </w:t>
      </w:r>
      <w:r w:rsidR="00AC084F" w:rsidRPr="009E22E6">
        <w:rPr>
          <w:rFonts w:ascii="Calibri" w:hAnsi="Calibri" w:cs="Arial"/>
          <w:szCs w:val="22"/>
        </w:rPr>
        <w:t>výzkumu a vývoje)</w:t>
      </w:r>
      <w:r w:rsidR="00A42EC4" w:rsidRPr="009E22E6">
        <w:rPr>
          <w:rFonts w:ascii="Calibri" w:hAnsi="Calibri" w:cs="Arial"/>
          <w:szCs w:val="22"/>
        </w:rPr>
        <w:t>.</w:t>
      </w:r>
    </w:p>
    <w:p w:rsidR="00564C8F" w:rsidRPr="005A7041" w:rsidRDefault="00564C8F" w:rsidP="005B778A">
      <w:pPr>
        <w:pStyle w:val="Styl1"/>
        <w:rPr>
          <w:rFonts w:ascii="Calibri" w:hAnsi="Calibri"/>
          <w:szCs w:val="22"/>
        </w:rPr>
      </w:pPr>
      <w:r w:rsidRPr="00C269CC">
        <w:rPr>
          <w:rFonts w:ascii="Calibri" w:hAnsi="Calibri"/>
          <w:b/>
          <w:szCs w:val="22"/>
        </w:rPr>
        <w:t xml:space="preserve">Cílem statistické úlohy GBAORD </w:t>
      </w:r>
      <w:r w:rsidRPr="0014241E">
        <w:rPr>
          <w:rFonts w:ascii="Calibri" w:hAnsi="Calibri"/>
          <w:szCs w:val="22"/>
        </w:rPr>
        <w:t>(</w:t>
      </w:r>
      <w:proofErr w:type="spellStart"/>
      <w:r w:rsidRPr="0014241E">
        <w:rPr>
          <w:rFonts w:ascii="Calibri" w:hAnsi="Calibri"/>
          <w:szCs w:val="22"/>
        </w:rPr>
        <w:t>Government</w:t>
      </w:r>
      <w:proofErr w:type="spellEnd"/>
      <w:r w:rsidRPr="00C914BA">
        <w:rPr>
          <w:rFonts w:ascii="Calibri" w:hAnsi="Calibri"/>
          <w:szCs w:val="22"/>
        </w:rPr>
        <w:t xml:space="preserve"> Budget</w:t>
      </w:r>
      <w:r w:rsidRPr="0014241E">
        <w:rPr>
          <w:rFonts w:ascii="Calibri" w:hAnsi="Calibri"/>
          <w:szCs w:val="22"/>
        </w:rPr>
        <w:t xml:space="preserve"> </w:t>
      </w:r>
      <w:proofErr w:type="spellStart"/>
      <w:r w:rsidRPr="0014241E">
        <w:rPr>
          <w:rFonts w:ascii="Calibri" w:hAnsi="Calibri"/>
          <w:szCs w:val="22"/>
        </w:rPr>
        <w:t>Appropriations</w:t>
      </w:r>
      <w:proofErr w:type="spellEnd"/>
      <w:r w:rsidRPr="0014241E">
        <w:rPr>
          <w:rFonts w:ascii="Calibri" w:hAnsi="Calibri"/>
          <w:szCs w:val="22"/>
        </w:rPr>
        <w:t xml:space="preserve"> </w:t>
      </w:r>
      <w:proofErr w:type="spellStart"/>
      <w:r w:rsidRPr="0014241E">
        <w:rPr>
          <w:rFonts w:ascii="Calibri" w:hAnsi="Calibri"/>
          <w:szCs w:val="22"/>
        </w:rPr>
        <w:t>or</w:t>
      </w:r>
      <w:proofErr w:type="spellEnd"/>
      <w:r w:rsidRPr="0014241E">
        <w:rPr>
          <w:rFonts w:ascii="Calibri" w:hAnsi="Calibri"/>
          <w:szCs w:val="22"/>
        </w:rPr>
        <w:t xml:space="preserve"> </w:t>
      </w:r>
      <w:proofErr w:type="spellStart"/>
      <w:r w:rsidRPr="0014241E">
        <w:rPr>
          <w:rFonts w:ascii="Calibri" w:hAnsi="Calibri"/>
          <w:szCs w:val="22"/>
        </w:rPr>
        <w:t>Outlays</w:t>
      </w:r>
      <w:proofErr w:type="spellEnd"/>
      <w:r w:rsidRPr="0014241E">
        <w:rPr>
          <w:rFonts w:ascii="Calibri" w:hAnsi="Calibri"/>
          <w:szCs w:val="22"/>
        </w:rPr>
        <w:t xml:space="preserve"> </w:t>
      </w:r>
      <w:proofErr w:type="spellStart"/>
      <w:r w:rsidRPr="0014241E">
        <w:rPr>
          <w:rFonts w:ascii="Calibri" w:hAnsi="Calibri"/>
          <w:szCs w:val="22"/>
        </w:rPr>
        <w:t>for</w:t>
      </w:r>
      <w:proofErr w:type="spellEnd"/>
      <w:r w:rsidRPr="00C914BA">
        <w:rPr>
          <w:rFonts w:ascii="Calibri" w:hAnsi="Calibri"/>
          <w:szCs w:val="22"/>
        </w:rPr>
        <w:t xml:space="preserve"> R&amp;D by</w:t>
      </w:r>
      <w:r w:rsidRPr="0014241E">
        <w:rPr>
          <w:rFonts w:ascii="Calibri" w:hAnsi="Calibri"/>
          <w:szCs w:val="22"/>
        </w:rPr>
        <w:t xml:space="preserve"> </w:t>
      </w:r>
      <w:proofErr w:type="spellStart"/>
      <w:r w:rsidRPr="0014241E">
        <w:rPr>
          <w:rFonts w:ascii="Calibri" w:hAnsi="Calibri"/>
          <w:szCs w:val="22"/>
        </w:rPr>
        <w:t>Socio-economic</w:t>
      </w:r>
      <w:proofErr w:type="spellEnd"/>
      <w:r w:rsidRPr="0014241E">
        <w:rPr>
          <w:rFonts w:ascii="Calibri" w:hAnsi="Calibri"/>
          <w:szCs w:val="22"/>
        </w:rPr>
        <w:t xml:space="preserve"> </w:t>
      </w:r>
      <w:proofErr w:type="spellStart"/>
      <w:r w:rsidR="00C71AB5" w:rsidRPr="0014241E">
        <w:rPr>
          <w:rFonts w:ascii="Calibri" w:hAnsi="Calibri"/>
          <w:szCs w:val="22"/>
        </w:rPr>
        <w:t>Objectives</w:t>
      </w:r>
      <w:proofErr w:type="spellEnd"/>
      <w:r w:rsidR="00C71AB5" w:rsidRPr="00C914BA">
        <w:rPr>
          <w:rFonts w:ascii="Calibri" w:hAnsi="Calibri"/>
          <w:szCs w:val="22"/>
        </w:rPr>
        <w:t>)</w:t>
      </w:r>
      <w:r w:rsidR="00C71AB5" w:rsidRPr="00C269CC">
        <w:rPr>
          <w:rFonts w:ascii="Calibri" w:hAnsi="Calibri"/>
          <w:b/>
          <w:szCs w:val="22"/>
        </w:rPr>
        <w:t xml:space="preserve"> </w:t>
      </w:r>
      <w:r w:rsidR="00C71AB5" w:rsidRPr="00D72B78">
        <w:rPr>
          <w:rFonts w:ascii="Calibri" w:hAnsi="Calibri"/>
          <w:szCs w:val="22"/>
        </w:rPr>
        <w:t>neboli v českém</w:t>
      </w:r>
      <w:r w:rsidRPr="00D72B78">
        <w:rPr>
          <w:rFonts w:ascii="Calibri" w:hAnsi="Calibri"/>
          <w:szCs w:val="22"/>
        </w:rPr>
        <w:t xml:space="preserve"> ekvivalentu</w:t>
      </w:r>
      <w:r w:rsidR="00C914BA" w:rsidRPr="00D72B78">
        <w:rPr>
          <w:rFonts w:ascii="Calibri" w:hAnsi="Calibri"/>
          <w:szCs w:val="22"/>
        </w:rPr>
        <w:t xml:space="preserve"> </w:t>
      </w:r>
      <w:r w:rsidR="00C269CC" w:rsidRPr="00D72B78">
        <w:rPr>
          <w:rFonts w:ascii="Calibri" w:hAnsi="Calibri"/>
          <w:szCs w:val="22"/>
        </w:rPr>
        <w:t>„</w:t>
      </w:r>
      <w:r w:rsidRPr="00D72B78">
        <w:rPr>
          <w:rFonts w:ascii="Calibri" w:hAnsi="Calibri"/>
          <w:szCs w:val="22"/>
        </w:rPr>
        <w:t>státní rozpočtové výdaje a dotace na výzkum a vývoj podle socioekonomických směrů (cílů)</w:t>
      </w:r>
      <w:r w:rsidR="00C269CC" w:rsidRPr="00D72B78">
        <w:rPr>
          <w:rFonts w:ascii="Calibri" w:hAnsi="Calibri"/>
          <w:szCs w:val="22"/>
        </w:rPr>
        <w:t>“</w:t>
      </w:r>
      <w:r w:rsidRPr="00C269CC">
        <w:rPr>
          <w:rFonts w:ascii="Calibri" w:hAnsi="Calibri"/>
          <w:b/>
          <w:szCs w:val="22"/>
        </w:rPr>
        <w:t xml:space="preserve"> je zabezpečení údajů o státní podpoře výzkumu a vývoje plynoucí z veřejných rozpočtů v členění podle socioekonomických směrů</w:t>
      </w:r>
      <w:r w:rsidR="000B620D">
        <w:rPr>
          <w:rFonts w:ascii="Calibri" w:hAnsi="Calibri"/>
          <w:b/>
          <w:szCs w:val="22"/>
        </w:rPr>
        <w:t xml:space="preserve"> (cílů)</w:t>
      </w:r>
      <w:r w:rsidRPr="00C269CC">
        <w:rPr>
          <w:rFonts w:ascii="Calibri" w:hAnsi="Calibri"/>
          <w:b/>
          <w:szCs w:val="22"/>
        </w:rPr>
        <w:t xml:space="preserve">. </w:t>
      </w:r>
      <w:r w:rsidR="005A7041">
        <w:rPr>
          <w:rFonts w:ascii="Calibri" w:hAnsi="Calibri"/>
          <w:szCs w:val="22"/>
        </w:rPr>
        <w:t xml:space="preserve">Údaje z této statistiky slouží v členských zemích EU jako podpora pro rozhodování, do jakých oblastí výzkumu a vývoje by mělo být v následujících letech investováno. </w:t>
      </w:r>
    </w:p>
    <w:p w:rsidR="00564C8F" w:rsidRPr="007D29D0" w:rsidRDefault="006E65D3" w:rsidP="00E45DEF">
      <w:pPr>
        <w:pStyle w:val="STYL10"/>
        <w:ind w:firstLine="0"/>
        <w:rPr>
          <w:rFonts w:ascii="Calibri" w:hAnsi="Calibri"/>
          <w:color w:val="4F6228"/>
          <w:szCs w:val="22"/>
          <w:u w:val="single"/>
        </w:rPr>
      </w:pPr>
      <w:proofErr w:type="gramStart"/>
      <w:r>
        <w:rPr>
          <w:rFonts w:ascii="Calibri" w:hAnsi="Calibri"/>
          <w:color w:val="4F6228"/>
          <w:szCs w:val="22"/>
          <w:u w:val="single"/>
        </w:rPr>
        <w:t xml:space="preserve">A.1 </w:t>
      </w:r>
      <w:r w:rsidR="00564C8F" w:rsidRPr="007D29D0">
        <w:rPr>
          <w:rFonts w:ascii="Calibri" w:hAnsi="Calibri"/>
          <w:color w:val="4F6228"/>
          <w:szCs w:val="22"/>
          <w:u w:val="single"/>
        </w:rPr>
        <w:t>Legislativní</w:t>
      </w:r>
      <w:proofErr w:type="gramEnd"/>
      <w:r w:rsidR="00564C8F" w:rsidRPr="007D29D0">
        <w:rPr>
          <w:rFonts w:ascii="Calibri" w:hAnsi="Calibri"/>
          <w:color w:val="4F6228"/>
          <w:szCs w:val="22"/>
          <w:u w:val="single"/>
        </w:rPr>
        <w:t xml:space="preserve"> rámec:</w:t>
      </w:r>
    </w:p>
    <w:p w:rsidR="00564C8F" w:rsidRPr="000371DC" w:rsidRDefault="00564C8F">
      <w:pPr>
        <w:pStyle w:val="STYL10"/>
        <w:rPr>
          <w:rFonts w:ascii="Calibri" w:hAnsi="Calibri"/>
          <w:szCs w:val="22"/>
        </w:rPr>
      </w:pPr>
      <w:r w:rsidRPr="000371DC">
        <w:rPr>
          <w:rFonts w:ascii="Calibri" w:hAnsi="Calibri"/>
          <w:szCs w:val="22"/>
        </w:rPr>
        <w:t xml:space="preserve">Statistická úloha GBAORD je v rámci Evropské unie organizována jako povinné zjišťování na základě legislativního aktu </w:t>
      </w:r>
      <w:r w:rsidR="003F106D" w:rsidRPr="000371DC">
        <w:rPr>
          <w:rFonts w:ascii="Calibri" w:hAnsi="Calibri"/>
          <w:b/>
          <w:bCs w:val="0"/>
          <w:szCs w:val="22"/>
        </w:rPr>
        <w:t>nařízení Komise EU</w:t>
      </w:r>
      <w:r w:rsidR="00010669" w:rsidRPr="000371DC">
        <w:rPr>
          <w:rFonts w:ascii="Calibri" w:hAnsi="Calibri"/>
          <w:b/>
          <w:bCs w:val="0"/>
          <w:szCs w:val="22"/>
        </w:rPr>
        <w:t xml:space="preserve"> č. </w:t>
      </w:r>
      <w:r w:rsidR="003F106D" w:rsidRPr="000371DC">
        <w:rPr>
          <w:rFonts w:ascii="Calibri" w:hAnsi="Calibri"/>
          <w:b/>
          <w:bCs w:val="0"/>
          <w:szCs w:val="22"/>
        </w:rPr>
        <w:t>995</w:t>
      </w:r>
      <w:r w:rsidRPr="000371DC">
        <w:rPr>
          <w:rFonts w:ascii="Calibri" w:hAnsi="Calibri"/>
          <w:b/>
          <w:bCs w:val="0"/>
          <w:szCs w:val="22"/>
        </w:rPr>
        <w:t>/20</w:t>
      </w:r>
      <w:r w:rsidR="003F106D" w:rsidRPr="000371DC">
        <w:rPr>
          <w:rFonts w:ascii="Calibri" w:hAnsi="Calibri"/>
          <w:b/>
          <w:bCs w:val="0"/>
          <w:szCs w:val="22"/>
        </w:rPr>
        <w:t>12</w:t>
      </w:r>
      <w:r w:rsidRPr="000371DC">
        <w:rPr>
          <w:rFonts w:ascii="Calibri" w:hAnsi="Calibri"/>
          <w:szCs w:val="22"/>
        </w:rPr>
        <w:t xml:space="preserve"> </w:t>
      </w:r>
      <w:r w:rsidR="000371DC" w:rsidRPr="000371DC">
        <w:rPr>
          <w:rFonts w:ascii="Calibri" w:hAnsi="Calibri" w:cs="Arial"/>
          <w:szCs w:val="22"/>
        </w:rPr>
        <w:t>ze dne 26. října 2012</w:t>
      </w:r>
      <w:r w:rsidRPr="000371DC">
        <w:rPr>
          <w:rFonts w:ascii="Calibri" w:hAnsi="Calibri" w:cs="Arial"/>
          <w:szCs w:val="22"/>
        </w:rPr>
        <w:t xml:space="preserve">, </w:t>
      </w:r>
      <w:r w:rsidR="000371DC" w:rsidRPr="000371DC">
        <w:rPr>
          <w:rFonts w:ascii="Calibri" w:hAnsi="Calibri" w:cs="Arial"/>
          <w:szCs w:val="22"/>
        </w:rPr>
        <w:t xml:space="preserve">kterým se stanoví prováděcí pravidla k </w:t>
      </w:r>
      <w:r w:rsidR="000371DC">
        <w:rPr>
          <w:rFonts w:ascii="Calibri" w:hAnsi="Calibri" w:cs="Arial"/>
          <w:szCs w:val="22"/>
        </w:rPr>
        <w:t>rozhodnutí EP</w:t>
      </w:r>
      <w:r w:rsidR="000371DC" w:rsidRPr="000371DC">
        <w:rPr>
          <w:rFonts w:ascii="Calibri" w:hAnsi="Calibri" w:cs="Arial"/>
          <w:szCs w:val="22"/>
        </w:rPr>
        <w:t xml:space="preserve"> a Rady č. 1608/2003/ES o tvorbě a rozvoji statistiky Společenství v oblasti vědy a techniky</w:t>
      </w:r>
      <w:r w:rsidRPr="000371DC">
        <w:rPr>
          <w:rFonts w:ascii="Calibri" w:hAnsi="Calibri" w:cs="Arial"/>
          <w:szCs w:val="22"/>
        </w:rPr>
        <w:t xml:space="preserve">. </w:t>
      </w:r>
      <w:r w:rsidRPr="000371DC">
        <w:rPr>
          <w:rFonts w:ascii="Calibri" w:hAnsi="Calibri"/>
          <w:szCs w:val="22"/>
        </w:rPr>
        <w:t xml:space="preserve">Zabezpečení údajů GBAORD je pro Českou republiku závazné. </w:t>
      </w:r>
      <w:r w:rsidR="00F435A8" w:rsidRPr="000371DC">
        <w:rPr>
          <w:rFonts w:ascii="Calibri" w:hAnsi="Calibri"/>
          <w:szCs w:val="22"/>
        </w:rPr>
        <w:t xml:space="preserve">Z národních </w:t>
      </w:r>
      <w:r w:rsidR="00CC5B68" w:rsidRPr="000371DC">
        <w:rPr>
          <w:rFonts w:ascii="Calibri" w:hAnsi="Calibri"/>
          <w:szCs w:val="22"/>
        </w:rPr>
        <w:t xml:space="preserve">právních </w:t>
      </w:r>
      <w:r w:rsidR="00F435A8" w:rsidRPr="000371DC">
        <w:rPr>
          <w:rFonts w:ascii="Calibri" w:hAnsi="Calibri"/>
          <w:szCs w:val="22"/>
        </w:rPr>
        <w:t xml:space="preserve">norem je pro vlastní koncepci důležitý </w:t>
      </w:r>
      <w:r w:rsidR="00F435A8" w:rsidRPr="000371DC">
        <w:rPr>
          <w:rFonts w:ascii="Calibri" w:hAnsi="Calibri"/>
          <w:b/>
          <w:szCs w:val="22"/>
        </w:rPr>
        <w:t xml:space="preserve">zákon č. </w:t>
      </w:r>
      <w:r w:rsidR="00917337" w:rsidRPr="000371DC">
        <w:rPr>
          <w:rFonts w:ascii="Calibri" w:hAnsi="Calibri"/>
          <w:b/>
          <w:szCs w:val="22"/>
        </w:rPr>
        <w:t>130/2002 Sb</w:t>
      </w:r>
      <w:r w:rsidR="00917337" w:rsidRPr="000371DC">
        <w:rPr>
          <w:rFonts w:ascii="Calibri" w:hAnsi="Calibri"/>
          <w:szCs w:val="22"/>
        </w:rPr>
        <w:t>.</w:t>
      </w:r>
    </w:p>
    <w:p w:rsidR="00564C8F" w:rsidRPr="007D29D0" w:rsidRDefault="006E65D3" w:rsidP="00E45DEF">
      <w:pPr>
        <w:pStyle w:val="STYL10"/>
        <w:ind w:firstLine="0"/>
        <w:rPr>
          <w:rFonts w:ascii="Calibri" w:hAnsi="Calibri"/>
          <w:color w:val="4F6228"/>
          <w:szCs w:val="22"/>
          <w:u w:val="single"/>
        </w:rPr>
      </w:pPr>
      <w:proofErr w:type="gramStart"/>
      <w:r>
        <w:rPr>
          <w:rFonts w:ascii="Calibri" w:hAnsi="Calibri"/>
          <w:color w:val="4F6228"/>
          <w:szCs w:val="22"/>
          <w:u w:val="single"/>
        </w:rPr>
        <w:t xml:space="preserve">A.2 </w:t>
      </w:r>
      <w:r w:rsidR="00272644">
        <w:rPr>
          <w:rFonts w:ascii="Calibri" w:hAnsi="Calibri"/>
          <w:color w:val="4F6228"/>
          <w:szCs w:val="22"/>
          <w:u w:val="single"/>
        </w:rPr>
        <w:t>Metodické</w:t>
      </w:r>
      <w:proofErr w:type="gramEnd"/>
      <w:r w:rsidR="00272644">
        <w:rPr>
          <w:rFonts w:ascii="Calibri" w:hAnsi="Calibri"/>
          <w:color w:val="4F6228"/>
          <w:szCs w:val="22"/>
          <w:u w:val="single"/>
        </w:rPr>
        <w:t xml:space="preserve"> podklady</w:t>
      </w:r>
    </w:p>
    <w:p w:rsidR="00564C8F" w:rsidRPr="003B4301" w:rsidRDefault="00564C8F" w:rsidP="005B778A">
      <w:pPr>
        <w:pStyle w:val="STYL10"/>
        <w:ind w:firstLine="284"/>
        <w:rPr>
          <w:rFonts w:ascii="Calibri" w:hAnsi="Calibri"/>
          <w:szCs w:val="22"/>
        </w:rPr>
      </w:pPr>
      <w:r w:rsidRPr="003B4301">
        <w:rPr>
          <w:rFonts w:ascii="Calibri" w:hAnsi="Calibri"/>
          <w:szCs w:val="22"/>
        </w:rPr>
        <w:t xml:space="preserve">Platná metodika vztažená k této úloze je rozvedena v mezinárodní příručce „Navrhované standardní praxe průzkumů výzkumu a vývoje“ známé pod zkráceným názvem </w:t>
      </w:r>
      <w:proofErr w:type="spellStart"/>
      <w:r w:rsidRPr="003B4301">
        <w:rPr>
          <w:rFonts w:ascii="Calibri" w:hAnsi="Calibri"/>
          <w:b/>
          <w:bCs w:val="0"/>
          <w:szCs w:val="22"/>
        </w:rPr>
        <w:t>Frascati</w:t>
      </w:r>
      <w:proofErr w:type="spellEnd"/>
      <w:r w:rsidRPr="003B4301">
        <w:rPr>
          <w:rFonts w:ascii="Calibri" w:hAnsi="Calibri"/>
          <w:b/>
          <w:bCs w:val="0"/>
          <w:szCs w:val="22"/>
        </w:rPr>
        <w:t xml:space="preserve"> manuál</w:t>
      </w:r>
      <w:r w:rsidRPr="003B4301">
        <w:rPr>
          <w:rFonts w:ascii="Calibri" w:hAnsi="Calibri"/>
          <w:szCs w:val="22"/>
        </w:rPr>
        <w:t xml:space="preserve"> (revize 2002), který vznikl z podnětu OECD. Vlastní číselník kódů socioekonomických směrů (cílů) lze nalézt v klasifikaci </w:t>
      </w:r>
      <w:r w:rsidRPr="003B4301">
        <w:rPr>
          <w:rFonts w:ascii="Calibri" w:hAnsi="Calibri"/>
          <w:b/>
          <w:bCs w:val="0"/>
          <w:szCs w:val="22"/>
        </w:rPr>
        <w:t>N</w:t>
      </w:r>
      <w:r w:rsidR="0014241E">
        <w:rPr>
          <w:rFonts w:ascii="Calibri" w:hAnsi="Calibri"/>
          <w:b/>
          <w:bCs w:val="0"/>
          <w:szCs w:val="22"/>
        </w:rPr>
        <w:t>ABS: Nomenklatura pro analýzu a </w:t>
      </w:r>
      <w:r w:rsidRPr="003B4301">
        <w:rPr>
          <w:rFonts w:ascii="Calibri" w:hAnsi="Calibri"/>
          <w:b/>
          <w:bCs w:val="0"/>
          <w:szCs w:val="22"/>
        </w:rPr>
        <w:t>srovnání vědeckých programů a rozpočtů</w:t>
      </w:r>
      <w:r w:rsidR="003E50B3">
        <w:rPr>
          <w:rFonts w:ascii="Calibri" w:hAnsi="Calibri"/>
          <w:szCs w:val="22"/>
        </w:rPr>
        <w:t xml:space="preserve"> (</w:t>
      </w:r>
      <w:proofErr w:type="spellStart"/>
      <w:r w:rsidR="003E50B3">
        <w:rPr>
          <w:rFonts w:ascii="Calibri" w:hAnsi="Calibri"/>
          <w:szCs w:val="22"/>
        </w:rPr>
        <w:t>rev</w:t>
      </w:r>
      <w:proofErr w:type="spellEnd"/>
      <w:r w:rsidR="003E50B3">
        <w:rPr>
          <w:rFonts w:ascii="Calibri" w:hAnsi="Calibri"/>
          <w:szCs w:val="22"/>
        </w:rPr>
        <w:t>. 1992</w:t>
      </w:r>
      <w:r w:rsidRPr="003B4301">
        <w:rPr>
          <w:rFonts w:ascii="Calibri" w:hAnsi="Calibri"/>
          <w:szCs w:val="22"/>
        </w:rPr>
        <w:t xml:space="preserve">, </w:t>
      </w:r>
      <w:proofErr w:type="spellStart"/>
      <w:r w:rsidRPr="003B4301">
        <w:rPr>
          <w:rFonts w:ascii="Calibri" w:hAnsi="Calibri"/>
          <w:szCs w:val="22"/>
        </w:rPr>
        <w:t>Eurostat</w:t>
      </w:r>
      <w:proofErr w:type="spellEnd"/>
      <w:r w:rsidRPr="003B4301">
        <w:rPr>
          <w:rFonts w:ascii="Calibri" w:hAnsi="Calibri"/>
          <w:szCs w:val="22"/>
        </w:rPr>
        <w:t xml:space="preserve"> 1994</w:t>
      </w:r>
      <w:r w:rsidR="00980DD0" w:rsidRPr="003B4301">
        <w:rPr>
          <w:rFonts w:ascii="Calibri" w:hAnsi="Calibri"/>
          <w:szCs w:val="22"/>
        </w:rPr>
        <w:t xml:space="preserve"> a </w:t>
      </w:r>
      <w:proofErr w:type="spellStart"/>
      <w:r w:rsidR="00980DD0" w:rsidRPr="003B4301">
        <w:rPr>
          <w:rFonts w:ascii="Calibri" w:hAnsi="Calibri"/>
          <w:szCs w:val="22"/>
        </w:rPr>
        <w:t>rev</w:t>
      </w:r>
      <w:proofErr w:type="spellEnd"/>
      <w:r w:rsidR="00980DD0" w:rsidRPr="003B4301">
        <w:rPr>
          <w:rFonts w:ascii="Calibri" w:hAnsi="Calibri"/>
          <w:szCs w:val="22"/>
        </w:rPr>
        <w:t xml:space="preserve">. 2007, </w:t>
      </w:r>
      <w:proofErr w:type="spellStart"/>
      <w:r w:rsidR="00980DD0" w:rsidRPr="003B4301">
        <w:rPr>
          <w:rFonts w:ascii="Calibri" w:hAnsi="Calibri"/>
          <w:szCs w:val="22"/>
        </w:rPr>
        <w:t>Eurostat</w:t>
      </w:r>
      <w:proofErr w:type="spellEnd"/>
      <w:r w:rsidR="00980DD0" w:rsidRPr="003B4301">
        <w:rPr>
          <w:rFonts w:ascii="Calibri" w:hAnsi="Calibri"/>
          <w:szCs w:val="22"/>
        </w:rPr>
        <w:t xml:space="preserve"> 2007</w:t>
      </w:r>
      <w:r w:rsidRPr="003B4301">
        <w:rPr>
          <w:rFonts w:ascii="Calibri" w:hAnsi="Calibri"/>
          <w:szCs w:val="22"/>
        </w:rPr>
        <w:t>).</w:t>
      </w:r>
    </w:p>
    <w:p w:rsidR="00564C8F" w:rsidRPr="007D29D0" w:rsidRDefault="006E65D3" w:rsidP="00E45DEF">
      <w:pPr>
        <w:pStyle w:val="STYL10"/>
        <w:ind w:firstLine="0"/>
        <w:rPr>
          <w:rFonts w:ascii="Calibri" w:hAnsi="Calibri"/>
          <w:color w:val="4F6228"/>
          <w:szCs w:val="22"/>
        </w:rPr>
      </w:pPr>
      <w:proofErr w:type="gramStart"/>
      <w:r>
        <w:rPr>
          <w:rFonts w:ascii="Calibri" w:hAnsi="Calibri"/>
          <w:color w:val="4F6228"/>
          <w:szCs w:val="22"/>
          <w:u w:val="single"/>
        </w:rPr>
        <w:t xml:space="preserve">A.3 </w:t>
      </w:r>
      <w:r w:rsidR="00564C8F" w:rsidRPr="007D29D0">
        <w:rPr>
          <w:rFonts w:ascii="Calibri" w:hAnsi="Calibri"/>
          <w:color w:val="4F6228"/>
          <w:szCs w:val="22"/>
          <w:u w:val="single"/>
        </w:rPr>
        <w:t>Koncepce</w:t>
      </w:r>
      <w:proofErr w:type="gramEnd"/>
      <w:r w:rsidR="00564C8F" w:rsidRPr="007D29D0">
        <w:rPr>
          <w:rFonts w:ascii="Calibri" w:hAnsi="Calibri"/>
          <w:color w:val="4F6228"/>
          <w:szCs w:val="22"/>
          <w:u w:val="single"/>
        </w:rPr>
        <w:t xml:space="preserve"> statistické úlohy</w:t>
      </w:r>
      <w:r w:rsidR="00564C8F" w:rsidRPr="007D29D0">
        <w:rPr>
          <w:rFonts w:ascii="Calibri" w:hAnsi="Calibri"/>
          <w:color w:val="4F6228"/>
          <w:szCs w:val="22"/>
        </w:rPr>
        <w:t xml:space="preserve"> </w:t>
      </w:r>
    </w:p>
    <w:p w:rsidR="00564C8F" w:rsidRPr="003B4301" w:rsidRDefault="00564C8F" w:rsidP="005B778A">
      <w:pPr>
        <w:pStyle w:val="STYL10"/>
        <w:ind w:firstLine="284"/>
        <w:rPr>
          <w:rFonts w:ascii="Calibri" w:hAnsi="Calibri"/>
          <w:szCs w:val="22"/>
        </w:rPr>
      </w:pPr>
      <w:r w:rsidRPr="003B4301">
        <w:rPr>
          <w:rFonts w:ascii="Calibri" w:hAnsi="Calibri"/>
          <w:szCs w:val="22"/>
        </w:rPr>
        <w:t>Na rozdíl od jiných statistických šetření prováděných v oblasti výzkumu a vývoje jsou údaje GBAORD založeny na analýze a identifikaci všech částek plynoucích</w:t>
      </w:r>
      <w:r w:rsidR="00E80226">
        <w:rPr>
          <w:rFonts w:ascii="Calibri" w:hAnsi="Calibri"/>
          <w:szCs w:val="22"/>
        </w:rPr>
        <w:t xml:space="preserve"> na výzkum a vývoj (dále jen </w:t>
      </w:r>
      <w:r w:rsidR="00E80226" w:rsidRPr="00C633E4">
        <w:rPr>
          <w:rFonts w:ascii="Calibri" w:hAnsi="Calibri"/>
          <w:szCs w:val="22"/>
        </w:rPr>
        <w:t>"</w:t>
      </w:r>
      <w:proofErr w:type="spellStart"/>
      <w:r w:rsidR="00E80226" w:rsidRPr="003B4301">
        <w:rPr>
          <w:rFonts w:ascii="Calibri" w:hAnsi="Calibri"/>
          <w:szCs w:val="22"/>
        </w:rPr>
        <w:t>VaV</w:t>
      </w:r>
      <w:proofErr w:type="spellEnd"/>
      <w:r w:rsidR="00E80226" w:rsidRPr="00C633E4">
        <w:rPr>
          <w:rFonts w:ascii="Calibri" w:hAnsi="Calibri"/>
          <w:szCs w:val="22"/>
        </w:rPr>
        <w:t>"</w:t>
      </w:r>
      <w:r w:rsidRPr="003B4301">
        <w:rPr>
          <w:rFonts w:ascii="Calibri" w:hAnsi="Calibri"/>
          <w:szCs w:val="22"/>
        </w:rPr>
        <w:t>) z veřejných rozpočtů a následném přiřazení kódů socioekonomických cílů. Jedná se tedy o přístup z hlediska poskytovatele finančních prostředků, kterým je v tomto případě stát zastoupený administrativou, a ne o přístup z hlediska jednotky provádějí</w:t>
      </w:r>
      <w:r w:rsidR="00DA2CD4">
        <w:rPr>
          <w:rFonts w:ascii="Calibri" w:hAnsi="Calibri"/>
          <w:szCs w:val="22"/>
        </w:rPr>
        <w:t xml:space="preserve">cí </w:t>
      </w:r>
      <w:proofErr w:type="spellStart"/>
      <w:r w:rsidR="00DA2CD4">
        <w:rPr>
          <w:rFonts w:ascii="Calibri" w:hAnsi="Calibri"/>
          <w:szCs w:val="22"/>
        </w:rPr>
        <w:t>VaV</w:t>
      </w:r>
      <w:proofErr w:type="spellEnd"/>
      <w:r w:rsidR="00DA2CD4">
        <w:rPr>
          <w:rFonts w:ascii="Calibri" w:hAnsi="Calibri"/>
          <w:szCs w:val="22"/>
        </w:rPr>
        <w:t>, jak je tomu například v Ročním</w:t>
      </w:r>
      <w:r w:rsidRPr="003B4301">
        <w:rPr>
          <w:rFonts w:ascii="Calibri" w:hAnsi="Calibri"/>
          <w:szCs w:val="22"/>
        </w:rPr>
        <w:t> statistickém šetření o výzkumu a vývoji (VTR 5-01).</w:t>
      </w:r>
    </w:p>
    <w:p w:rsidR="00564C8F" w:rsidRPr="009E22E6" w:rsidRDefault="004075D4" w:rsidP="005B778A">
      <w:pPr>
        <w:pStyle w:val="STYL10"/>
        <w:ind w:firstLine="284"/>
        <w:rPr>
          <w:rFonts w:ascii="Calibri" w:hAnsi="Calibri"/>
          <w:szCs w:val="22"/>
        </w:rPr>
      </w:pPr>
      <w:r w:rsidRPr="009E22E6">
        <w:rPr>
          <w:rFonts w:ascii="Calibri" w:hAnsi="Calibri"/>
          <w:szCs w:val="22"/>
        </w:rPr>
        <w:t>GBAORD zahrnují veškeré</w:t>
      </w:r>
      <w:r w:rsidR="00564C8F" w:rsidRPr="009E22E6">
        <w:rPr>
          <w:rFonts w:ascii="Calibri" w:hAnsi="Calibri"/>
          <w:szCs w:val="22"/>
        </w:rPr>
        <w:t xml:space="preserve"> finanční prostředky poskytnuté z veřejných rozpočtů na podporu </w:t>
      </w:r>
      <w:proofErr w:type="spellStart"/>
      <w:r w:rsidR="00564C8F" w:rsidRPr="009E22E6">
        <w:rPr>
          <w:rFonts w:ascii="Calibri" w:hAnsi="Calibri"/>
          <w:szCs w:val="22"/>
        </w:rPr>
        <w:t>VaV</w:t>
      </w:r>
      <w:proofErr w:type="spellEnd"/>
      <w:r w:rsidR="00564C8F" w:rsidRPr="009E22E6">
        <w:rPr>
          <w:rFonts w:ascii="Calibri" w:hAnsi="Calibri"/>
          <w:szCs w:val="22"/>
        </w:rPr>
        <w:t xml:space="preserve">, včetně prostředků plynoucích na </w:t>
      </w:r>
      <w:proofErr w:type="spellStart"/>
      <w:r w:rsidR="00564C8F" w:rsidRPr="009E22E6">
        <w:rPr>
          <w:rFonts w:ascii="Calibri" w:hAnsi="Calibri"/>
          <w:szCs w:val="22"/>
        </w:rPr>
        <w:t>VaV</w:t>
      </w:r>
      <w:proofErr w:type="spellEnd"/>
      <w:r w:rsidR="00564C8F" w:rsidRPr="009E22E6">
        <w:rPr>
          <w:rFonts w:ascii="Calibri" w:hAnsi="Calibri"/>
          <w:szCs w:val="22"/>
        </w:rPr>
        <w:t xml:space="preserve"> do zahraničí. </w:t>
      </w:r>
      <w:r w:rsidRPr="00B6237E">
        <w:rPr>
          <w:rFonts w:ascii="Calibri" w:hAnsi="Calibri"/>
          <w:b/>
          <w:szCs w:val="22"/>
        </w:rPr>
        <w:t>Na základě</w:t>
      </w:r>
      <w:r w:rsidR="004D5C9F" w:rsidRPr="00B6237E">
        <w:rPr>
          <w:rFonts w:ascii="Calibri" w:hAnsi="Calibri"/>
          <w:b/>
          <w:szCs w:val="22"/>
        </w:rPr>
        <w:t xml:space="preserve"> metodiky statistické úlohy je </w:t>
      </w:r>
      <w:r w:rsidR="00B6237E">
        <w:rPr>
          <w:rFonts w:ascii="Calibri" w:hAnsi="Calibri"/>
          <w:b/>
          <w:szCs w:val="22"/>
        </w:rPr>
        <w:t xml:space="preserve">z GBAORD vyloučeno </w:t>
      </w:r>
      <w:r w:rsidR="004D5C9F" w:rsidRPr="00B6237E">
        <w:rPr>
          <w:rFonts w:ascii="Calibri" w:hAnsi="Calibri"/>
          <w:b/>
          <w:szCs w:val="22"/>
        </w:rPr>
        <w:t>předfinancování</w:t>
      </w:r>
      <w:r w:rsidR="00735CB7" w:rsidRPr="00B6237E">
        <w:rPr>
          <w:rFonts w:ascii="Calibri" w:hAnsi="Calibri"/>
          <w:b/>
          <w:szCs w:val="22"/>
        </w:rPr>
        <w:t xml:space="preserve"> projektů hrazených </w:t>
      </w:r>
      <w:r w:rsidR="0014241E" w:rsidRPr="00B6237E">
        <w:rPr>
          <w:rFonts w:ascii="Calibri" w:hAnsi="Calibri"/>
          <w:b/>
          <w:szCs w:val="22"/>
        </w:rPr>
        <w:t>ze s</w:t>
      </w:r>
      <w:r w:rsidR="00B6237E">
        <w:rPr>
          <w:rFonts w:ascii="Calibri" w:hAnsi="Calibri"/>
          <w:b/>
          <w:szCs w:val="22"/>
        </w:rPr>
        <w:t>trukturálních fondů EU</w:t>
      </w:r>
      <w:r w:rsidR="00735CB7" w:rsidRPr="00B6237E">
        <w:rPr>
          <w:rFonts w:ascii="Calibri" w:hAnsi="Calibri"/>
          <w:b/>
          <w:szCs w:val="22"/>
        </w:rPr>
        <w:t>.</w:t>
      </w:r>
      <w:r w:rsidR="009E4229" w:rsidRPr="009E22E6">
        <w:rPr>
          <w:rFonts w:ascii="Calibri" w:hAnsi="Calibri"/>
          <w:szCs w:val="22"/>
        </w:rPr>
        <w:t xml:space="preserve"> </w:t>
      </w:r>
      <w:r w:rsidR="009E4229" w:rsidRPr="000716C0">
        <w:rPr>
          <w:rFonts w:ascii="Calibri" w:hAnsi="Calibri"/>
          <w:b/>
          <w:szCs w:val="22"/>
        </w:rPr>
        <w:t>Podpora inovací není zahrnuta do GBAORD.</w:t>
      </w:r>
      <w:r w:rsidR="00735CB7" w:rsidRPr="009E22E6">
        <w:rPr>
          <w:rFonts w:ascii="Calibri" w:hAnsi="Calibri"/>
          <w:szCs w:val="22"/>
        </w:rPr>
        <w:t xml:space="preserve"> </w:t>
      </w:r>
      <w:r w:rsidR="00564C8F" w:rsidRPr="009E22E6">
        <w:rPr>
          <w:rFonts w:ascii="Calibri" w:hAnsi="Calibri"/>
          <w:szCs w:val="22"/>
        </w:rPr>
        <w:t xml:space="preserve">Vychází se přitom z výdajů schválených v zákoně o státním rozpočtu pro dané fiskální období (předběžné údaje) a výdajů závěrečného státního účtu pro oblast </w:t>
      </w:r>
      <w:proofErr w:type="spellStart"/>
      <w:r w:rsidR="00564C8F" w:rsidRPr="009E22E6">
        <w:rPr>
          <w:rFonts w:ascii="Calibri" w:hAnsi="Calibri"/>
          <w:szCs w:val="22"/>
        </w:rPr>
        <w:t>VaV</w:t>
      </w:r>
      <w:proofErr w:type="spellEnd"/>
      <w:r w:rsidR="00564C8F" w:rsidRPr="009E22E6">
        <w:rPr>
          <w:rFonts w:ascii="Calibri" w:hAnsi="Calibri"/>
          <w:szCs w:val="22"/>
        </w:rPr>
        <w:t xml:space="preserve"> (konečné údaje). Veřejnými rozpočty jsou v tomto případě míněny státní rozpočet a rozpočty krajů. Státní rozpočet je zahrnut vždy, krajské rozpočty pouze v případě, že jejich příspěvek je významný.  Rozpočty na úrovni místní samosprávy, tj. města a obce jsou vyloučeny.</w:t>
      </w:r>
    </w:p>
    <w:p w:rsidR="00564C8F" w:rsidRPr="003B4301" w:rsidRDefault="00564C8F" w:rsidP="005B778A">
      <w:pPr>
        <w:pStyle w:val="STYL10"/>
        <w:ind w:firstLine="284"/>
        <w:rPr>
          <w:rFonts w:ascii="Calibri" w:hAnsi="Calibri"/>
          <w:szCs w:val="22"/>
        </w:rPr>
      </w:pPr>
      <w:r w:rsidRPr="003B4301">
        <w:rPr>
          <w:rFonts w:ascii="Calibri" w:hAnsi="Calibri"/>
          <w:szCs w:val="22"/>
        </w:rPr>
        <w:t xml:space="preserve">Údaje GBAORD zahrnují běžné i kapitálové výdaje. Striktně je vyloučena veškerá podpora realizovaná prostřednictvím návratných půjček. </w:t>
      </w:r>
    </w:p>
    <w:p w:rsidR="00564C8F" w:rsidRPr="003F106D" w:rsidRDefault="00564C8F" w:rsidP="00E5293E">
      <w:pPr>
        <w:pStyle w:val="STYL10"/>
        <w:shd w:val="clear" w:color="auto" w:fill="EAF1DD"/>
        <w:ind w:firstLine="284"/>
        <w:rPr>
          <w:rFonts w:ascii="Calibri" w:hAnsi="Calibri"/>
          <w:b/>
          <w:szCs w:val="22"/>
        </w:rPr>
      </w:pPr>
      <w:r w:rsidRPr="003B4301">
        <w:rPr>
          <w:rFonts w:ascii="Calibri" w:hAnsi="Calibri"/>
          <w:szCs w:val="22"/>
        </w:rPr>
        <w:t>Do údajů GBAORD spadají i všeob</w:t>
      </w:r>
      <w:r w:rsidR="00E80226">
        <w:rPr>
          <w:rFonts w:ascii="Calibri" w:hAnsi="Calibri"/>
          <w:szCs w:val="22"/>
        </w:rPr>
        <w:t>ecné univerzitní fondy (SEO </w:t>
      </w:r>
      <w:r w:rsidRPr="003B4301">
        <w:rPr>
          <w:rFonts w:ascii="Calibri" w:hAnsi="Calibri"/>
          <w:szCs w:val="22"/>
        </w:rPr>
        <w:t>10: Všeobecný výzkum na vysokých školách), které jsou pro potřeby</w:t>
      </w:r>
      <w:r w:rsidR="00B92AE7">
        <w:rPr>
          <w:rFonts w:ascii="Calibri" w:hAnsi="Calibri"/>
          <w:szCs w:val="22"/>
        </w:rPr>
        <w:t xml:space="preserve"> této úlohy vymezeny v souladu s</w:t>
      </w:r>
      <w:r w:rsidR="003F106D">
        <w:rPr>
          <w:rFonts w:ascii="Calibri" w:hAnsi="Calibri"/>
          <w:szCs w:val="22"/>
        </w:rPr>
        <w:t xml:space="preserve"> </w:t>
      </w:r>
      <w:r w:rsidRPr="003B4301">
        <w:rPr>
          <w:rFonts w:ascii="Calibri" w:hAnsi="Calibri"/>
          <w:szCs w:val="22"/>
        </w:rPr>
        <w:t>defini</w:t>
      </w:r>
      <w:r w:rsidR="00B92AE7">
        <w:rPr>
          <w:rFonts w:ascii="Calibri" w:hAnsi="Calibri"/>
          <w:szCs w:val="22"/>
        </w:rPr>
        <w:t xml:space="preserve">cí </w:t>
      </w:r>
      <w:proofErr w:type="spellStart"/>
      <w:r w:rsidR="00B92AE7">
        <w:rPr>
          <w:rFonts w:ascii="Calibri" w:hAnsi="Calibri"/>
          <w:szCs w:val="22"/>
        </w:rPr>
        <w:t>Frascati</w:t>
      </w:r>
      <w:proofErr w:type="spellEnd"/>
      <w:r w:rsidR="00B92AE7">
        <w:rPr>
          <w:rFonts w:ascii="Calibri" w:hAnsi="Calibri"/>
          <w:szCs w:val="22"/>
        </w:rPr>
        <w:t xml:space="preserve"> manuálu jako veškeré</w:t>
      </w:r>
      <w:r w:rsidRPr="003B4301">
        <w:rPr>
          <w:rFonts w:ascii="Calibri" w:hAnsi="Calibri"/>
          <w:szCs w:val="22"/>
        </w:rPr>
        <w:t xml:space="preserve"> </w:t>
      </w:r>
      <w:r w:rsidR="003F106D">
        <w:rPr>
          <w:rFonts w:ascii="Calibri" w:hAnsi="Calibri"/>
          <w:szCs w:val="22"/>
        </w:rPr>
        <w:t xml:space="preserve">institucionální prostředky </w:t>
      </w:r>
      <w:r w:rsidRPr="003B4301">
        <w:rPr>
          <w:rFonts w:ascii="Calibri" w:hAnsi="Calibri"/>
          <w:szCs w:val="22"/>
        </w:rPr>
        <w:t xml:space="preserve">poskytnuté vysokým školám na podporu </w:t>
      </w:r>
      <w:proofErr w:type="spellStart"/>
      <w:r w:rsidRPr="003B4301">
        <w:rPr>
          <w:rFonts w:ascii="Calibri" w:hAnsi="Calibri"/>
          <w:szCs w:val="22"/>
        </w:rPr>
        <w:t>VaV</w:t>
      </w:r>
      <w:proofErr w:type="spellEnd"/>
      <w:r w:rsidRPr="003B4301">
        <w:rPr>
          <w:rFonts w:ascii="Calibri" w:hAnsi="Calibri"/>
          <w:szCs w:val="22"/>
        </w:rPr>
        <w:t>.</w:t>
      </w:r>
      <w:r w:rsidRPr="003B4301">
        <w:rPr>
          <w:rStyle w:val="Znakapoznpodarou"/>
          <w:rFonts w:ascii="Calibri" w:hAnsi="Calibri"/>
          <w:szCs w:val="22"/>
        </w:rPr>
        <w:footnoteReference w:id="2"/>
      </w:r>
      <w:r w:rsidR="003F106D">
        <w:rPr>
          <w:rFonts w:ascii="Calibri" w:hAnsi="Calibri"/>
          <w:szCs w:val="22"/>
        </w:rPr>
        <w:t xml:space="preserve"> </w:t>
      </w:r>
      <w:r w:rsidR="003F106D" w:rsidRPr="003F106D">
        <w:rPr>
          <w:rFonts w:ascii="Calibri" w:hAnsi="Calibri"/>
          <w:b/>
          <w:szCs w:val="22"/>
        </w:rPr>
        <w:t xml:space="preserve">Takto jsou všeobecné univerzitní fondy </w:t>
      </w:r>
      <w:r w:rsidR="00B92AE7">
        <w:rPr>
          <w:rFonts w:ascii="Calibri" w:hAnsi="Calibri"/>
          <w:b/>
          <w:szCs w:val="22"/>
        </w:rPr>
        <w:t xml:space="preserve">nově </w:t>
      </w:r>
      <w:r w:rsidR="003F106D" w:rsidRPr="003F106D">
        <w:rPr>
          <w:rFonts w:ascii="Calibri" w:hAnsi="Calibri"/>
          <w:b/>
          <w:szCs w:val="22"/>
        </w:rPr>
        <w:t>definované dle metodické revize 2013</w:t>
      </w:r>
      <w:r w:rsidR="00B92AE7">
        <w:rPr>
          <w:rFonts w:ascii="Calibri" w:hAnsi="Calibri"/>
          <w:b/>
          <w:szCs w:val="22"/>
        </w:rPr>
        <w:t xml:space="preserve">. Před revizí zahrnovaly </w:t>
      </w:r>
      <w:r w:rsidR="003F106D">
        <w:rPr>
          <w:rFonts w:ascii="Calibri" w:hAnsi="Calibri"/>
          <w:b/>
          <w:szCs w:val="22"/>
        </w:rPr>
        <w:t xml:space="preserve">veškeré prostředky poskytnuté </w:t>
      </w:r>
      <w:r w:rsidR="006C79E1">
        <w:rPr>
          <w:rFonts w:ascii="Calibri" w:hAnsi="Calibri"/>
          <w:b/>
          <w:szCs w:val="22"/>
        </w:rPr>
        <w:t>M</w:t>
      </w:r>
      <w:r w:rsidR="003F106D">
        <w:rPr>
          <w:rFonts w:ascii="Calibri" w:hAnsi="Calibri"/>
          <w:b/>
          <w:szCs w:val="22"/>
        </w:rPr>
        <w:t>inisterstvem školství, mládeže a t</w:t>
      </w:r>
      <w:r w:rsidR="006F2C53">
        <w:rPr>
          <w:rFonts w:ascii="Calibri" w:hAnsi="Calibri"/>
          <w:b/>
          <w:szCs w:val="22"/>
        </w:rPr>
        <w:t>ělovýchovy vysokým školám na výzkum a vývoj</w:t>
      </w:r>
      <w:r w:rsidR="003F106D" w:rsidRPr="003F106D">
        <w:rPr>
          <w:rFonts w:ascii="Calibri" w:hAnsi="Calibri"/>
          <w:b/>
          <w:szCs w:val="22"/>
        </w:rPr>
        <w:t>.</w:t>
      </w:r>
    </w:p>
    <w:p w:rsidR="005B7DAD" w:rsidRPr="006F3967" w:rsidRDefault="00564C8F" w:rsidP="005B778A">
      <w:pPr>
        <w:pStyle w:val="STYL10"/>
        <w:ind w:firstLine="284"/>
        <w:rPr>
          <w:rFonts w:ascii="Calibri" w:hAnsi="Calibri"/>
          <w:szCs w:val="22"/>
        </w:rPr>
      </w:pPr>
      <w:r w:rsidRPr="006F3967">
        <w:rPr>
          <w:rFonts w:ascii="Calibri" w:hAnsi="Calibri"/>
          <w:szCs w:val="22"/>
        </w:rPr>
        <w:lastRenderedPageBreak/>
        <w:t xml:space="preserve">Kódy socioekonomických směrů (cílů) jsou přiřazeny na základě kritéria účelu a obsahu </w:t>
      </w:r>
      <w:proofErr w:type="spellStart"/>
      <w:r w:rsidRPr="006F3967">
        <w:rPr>
          <w:rFonts w:ascii="Calibri" w:hAnsi="Calibri"/>
          <w:szCs w:val="22"/>
        </w:rPr>
        <w:t>VaV</w:t>
      </w:r>
      <w:proofErr w:type="spellEnd"/>
      <w:r w:rsidRPr="006F3967">
        <w:rPr>
          <w:rFonts w:ascii="Calibri" w:hAnsi="Calibri"/>
          <w:szCs w:val="22"/>
        </w:rPr>
        <w:t xml:space="preserve"> programu</w:t>
      </w:r>
      <w:r w:rsidR="00AD2853" w:rsidRPr="006F3967">
        <w:rPr>
          <w:rFonts w:ascii="Calibri" w:hAnsi="Calibri"/>
          <w:szCs w:val="22"/>
        </w:rPr>
        <w:t xml:space="preserve"> (projektů) nebo výzkumného záměru</w:t>
      </w:r>
      <w:r w:rsidRPr="006F3967">
        <w:rPr>
          <w:rFonts w:ascii="Calibri" w:hAnsi="Calibri"/>
          <w:szCs w:val="22"/>
        </w:rPr>
        <w:t xml:space="preserve">. </w:t>
      </w:r>
    </w:p>
    <w:p w:rsidR="00493CE1" w:rsidRPr="009905B8" w:rsidRDefault="006E65D3" w:rsidP="00493CE1">
      <w:pPr>
        <w:pStyle w:val="STYL10"/>
        <w:ind w:firstLine="0"/>
        <w:rPr>
          <w:rFonts w:ascii="Calibri" w:hAnsi="Calibri"/>
          <w:color w:val="4F6228"/>
          <w:szCs w:val="22"/>
          <w:u w:val="single"/>
        </w:rPr>
      </w:pPr>
      <w:proofErr w:type="gramStart"/>
      <w:r>
        <w:rPr>
          <w:rFonts w:ascii="Calibri" w:hAnsi="Calibri"/>
          <w:color w:val="4F6228"/>
          <w:szCs w:val="22"/>
          <w:u w:val="single"/>
        </w:rPr>
        <w:t xml:space="preserve">A.4 </w:t>
      </w:r>
      <w:r w:rsidR="009905B8" w:rsidRPr="009905B8">
        <w:rPr>
          <w:rFonts w:ascii="Calibri" w:hAnsi="Calibri"/>
          <w:color w:val="4F6228"/>
          <w:szCs w:val="22"/>
          <w:u w:val="single"/>
        </w:rPr>
        <w:t>Členění</w:t>
      </w:r>
      <w:proofErr w:type="gramEnd"/>
      <w:r w:rsidR="009905B8" w:rsidRPr="009905B8">
        <w:rPr>
          <w:rFonts w:ascii="Calibri" w:hAnsi="Calibri"/>
          <w:color w:val="4F6228"/>
          <w:szCs w:val="22"/>
          <w:u w:val="single"/>
        </w:rPr>
        <w:t xml:space="preserve"> </w:t>
      </w:r>
      <w:r w:rsidR="00493CE1" w:rsidRPr="009905B8">
        <w:rPr>
          <w:rFonts w:ascii="Calibri" w:hAnsi="Calibri"/>
          <w:color w:val="4F6228"/>
          <w:szCs w:val="22"/>
          <w:u w:val="single"/>
        </w:rPr>
        <w:t>GBAORD v podmínkách systému státní podp</w:t>
      </w:r>
      <w:r w:rsidR="009905B8" w:rsidRPr="009905B8">
        <w:rPr>
          <w:rFonts w:ascii="Calibri" w:hAnsi="Calibri"/>
          <w:color w:val="4F6228"/>
          <w:szCs w:val="22"/>
          <w:u w:val="single"/>
        </w:rPr>
        <w:t xml:space="preserve">ory </w:t>
      </w:r>
      <w:proofErr w:type="spellStart"/>
      <w:r w:rsidR="009905B8" w:rsidRPr="009905B8">
        <w:rPr>
          <w:rFonts w:ascii="Calibri" w:hAnsi="Calibri"/>
          <w:color w:val="4F6228"/>
          <w:szCs w:val="22"/>
          <w:u w:val="single"/>
        </w:rPr>
        <w:t>VaV</w:t>
      </w:r>
      <w:proofErr w:type="spellEnd"/>
      <w:r w:rsidR="009905B8" w:rsidRPr="009905B8">
        <w:rPr>
          <w:rFonts w:ascii="Calibri" w:hAnsi="Calibri"/>
          <w:color w:val="4F6228"/>
          <w:szCs w:val="22"/>
          <w:u w:val="single"/>
        </w:rPr>
        <w:t xml:space="preserve"> v</w:t>
      </w:r>
      <w:r w:rsidR="00C553C2">
        <w:rPr>
          <w:rFonts w:ascii="Calibri" w:hAnsi="Calibri"/>
          <w:color w:val="4F6228"/>
          <w:szCs w:val="22"/>
          <w:u w:val="single"/>
        </w:rPr>
        <w:t> </w:t>
      </w:r>
      <w:r w:rsidR="009905B8" w:rsidRPr="009905B8">
        <w:rPr>
          <w:rFonts w:ascii="Calibri" w:hAnsi="Calibri"/>
          <w:color w:val="4F6228"/>
          <w:szCs w:val="22"/>
          <w:u w:val="single"/>
        </w:rPr>
        <w:t>ČR</w:t>
      </w:r>
      <w:r w:rsidR="00C553C2">
        <w:rPr>
          <w:rFonts w:ascii="Calibri" w:hAnsi="Calibri"/>
          <w:color w:val="4F6228"/>
          <w:szCs w:val="22"/>
          <w:u w:val="single"/>
        </w:rPr>
        <w:t xml:space="preserve"> a návaznost na Informační systém výzkumu, vývoje a inovací (IS </w:t>
      </w:r>
      <w:proofErr w:type="spellStart"/>
      <w:r w:rsidR="00201498">
        <w:rPr>
          <w:rFonts w:ascii="Calibri" w:hAnsi="Calibri"/>
          <w:color w:val="4F6228"/>
          <w:szCs w:val="22"/>
          <w:u w:val="single"/>
        </w:rPr>
        <w:t>VaVaI</w:t>
      </w:r>
      <w:proofErr w:type="spellEnd"/>
      <w:r w:rsidR="00C553C2">
        <w:rPr>
          <w:rFonts w:ascii="Calibri" w:hAnsi="Calibri"/>
          <w:color w:val="4F6228"/>
          <w:szCs w:val="22"/>
          <w:u w:val="single"/>
        </w:rPr>
        <w:t>)</w:t>
      </w:r>
    </w:p>
    <w:p w:rsidR="00493CE1" w:rsidRDefault="00402847" w:rsidP="003D3CFF">
      <w:pPr>
        <w:pStyle w:val="STYL10"/>
        <w:numPr>
          <w:ilvl w:val="0"/>
          <w:numId w:val="2"/>
        </w:numPr>
        <w:spacing w:before="0" w:after="0"/>
        <w:ind w:left="714" w:hanging="357"/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V</w:t>
      </w:r>
      <w:r w:rsidR="00AD2853">
        <w:rPr>
          <w:rFonts w:ascii="Calibri" w:hAnsi="Calibri"/>
          <w:szCs w:val="22"/>
        </w:rPr>
        <w:t>ýzkumné projekty</w:t>
      </w:r>
      <w:r>
        <w:rPr>
          <w:rFonts w:ascii="Calibri" w:hAnsi="Calibri"/>
          <w:szCs w:val="22"/>
        </w:rPr>
        <w:t xml:space="preserve"> –</w:t>
      </w:r>
      <w:r w:rsidRPr="00402847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účelová podpora </w:t>
      </w:r>
      <w:r w:rsidR="00AD2853">
        <w:rPr>
          <w:rFonts w:ascii="Calibri" w:hAnsi="Calibri"/>
          <w:szCs w:val="22"/>
        </w:rPr>
        <w:t>(</w:t>
      </w:r>
      <w:r w:rsidR="00047125">
        <w:rPr>
          <w:rFonts w:ascii="Calibri" w:hAnsi="Calibri"/>
          <w:szCs w:val="22"/>
        </w:rPr>
        <w:t xml:space="preserve">součást IS </w:t>
      </w:r>
      <w:proofErr w:type="spellStart"/>
      <w:r w:rsidR="00201498">
        <w:rPr>
          <w:rFonts w:ascii="Calibri" w:hAnsi="Calibri"/>
          <w:szCs w:val="22"/>
        </w:rPr>
        <w:t>VaVaI</w:t>
      </w:r>
      <w:proofErr w:type="spellEnd"/>
      <w:r>
        <w:rPr>
          <w:rFonts w:ascii="Calibri" w:hAnsi="Calibri"/>
          <w:szCs w:val="22"/>
        </w:rPr>
        <w:t xml:space="preserve"> – CEP</w:t>
      </w:r>
      <w:r w:rsidR="00AD2853">
        <w:rPr>
          <w:rFonts w:ascii="Calibri" w:hAnsi="Calibri"/>
          <w:szCs w:val="22"/>
        </w:rPr>
        <w:t>)</w:t>
      </w:r>
    </w:p>
    <w:p w:rsidR="00493CE1" w:rsidRDefault="00402847" w:rsidP="003D3CFF">
      <w:pPr>
        <w:pStyle w:val="STYL10"/>
        <w:numPr>
          <w:ilvl w:val="0"/>
          <w:numId w:val="2"/>
        </w:numPr>
        <w:spacing w:before="0" w:after="0"/>
        <w:ind w:left="714" w:hanging="357"/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V</w:t>
      </w:r>
      <w:r w:rsidR="00AD2853">
        <w:rPr>
          <w:rFonts w:ascii="Calibri" w:hAnsi="Calibri"/>
          <w:szCs w:val="22"/>
        </w:rPr>
        <w:t xml:space="preserve">ýzkumné záměry </w:t>
      </w:r>
      <w:r>
        <w:rPr>
          <w:rFonts w:ascii="Calibri" w:hAnsi="Calibri"/>
          <w:szCs w:val="22"/>
        </w:rPr>
        <w:t xml:space="preserve">– institucionální podpora </w:t>
      </w:r>
      <w:r w:rsidR="00047125">
        <w:rPr>
          <w:rFonts w:ascii="Calibri" w:hAnsi="Calibri"/>
          <w:szCs w:val="22"/>
        </w:rPr>
        <w:t xml:space="preserve">(součást IS </w:t>
      </w:r>
      <w:proofErr w:type="spellStart"/>
      <w:r w:rsidR="00201498">
        <w:rPr>
          <w:rFonts w:ascii="Calibri" w:hAnsi="Calibri"/>
          <w:szCs w:val="22"/>
        </w:rPr>
        <w:t>VaVaI</w:t>
      </w:r>
      <w:proofErr w:type="spellEnd"/>
      <w:r>
        <w:rPr>
          <w:rFonts w:ascii="Calibri" w:hAnsi="Calibri"/>
          <w:szCs w:val="22"/>
        </w:rPr>
        <w:t xml:space="preserve"> – CEZ</w:t>
      </w:r>
      <w:r w:rsidR="00AD2853">
        <w:rPr>
          <w:rFonts w:ascii="Calibri" w:hAnsi="Calibri"/>
          <w:szCs w:val="22"/>
        </w:rPr>
        <w:t>)</w:t>
      </w:r>
    </w:p>
    <w:p w:rsidR="00493CE1" w:rsidRDefault="006E07BA" w:rsidP="003D3CFF">
      <w:pPr>
        <w:pStyle w:val="STYL10"/>
        <w:numPr>
          <w:ilvl w:val="0"/>
          <w:numId w:val="2"/>
        </w:numPr>
        <w:spacing w:before="0" w:after="0"/>
        <w:ind w:left="714" w:hanging="357"/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Specifický výzkum na vysokých školách</w:t>
      </w:r>
      <w:r w:rsidR="00FB6611">
        <w:rPr>
          <w:rFonts w:ascii="Calibri" w:hAnsi="Calibri"/>
          <w:szCs w:val="22"/>
        </w:rPr>
        <w:t xml:space="preserve"> (součást</w:t>
      </w:r>
      <w:r w:rsidR="00047125">
        <w:rPr>
          <w:rFonts w:ascii="Calibri" w:hAnsi="Calibri"/>
          <w:szCs w:val="22"/>
        </w:rPr>
        <w:t xml:space="preserve"> IS </w:t>
      </w:r>
      <w:proofErr w:type="spellStart"/>
      <w:r w:rsidR="00201498">
        <w:rPr>
          <w:rFonts w:ascii="Calibri" w:hAnsi="Calibri"/>
          <w:szCs w:val="22"/>
        </w:rPr>
        <w:t>VaVaI</w:t>
      </w:r>
      <w:proofErr w:type="spellEnd"/>
      <w:r w:rsidR="00FB6611">
        <w:rPr>
          <w:rFonts w:ascii="Calibri" w:hAnsi="Calibri"/>
          <w:szCs w:val="22"/>
        </w:rPr>
        <w:t xml:space="preserve"> – CEA</w:t>
      </w:r>
      <w:r w:rsidR="00A14B88">
        <w:rPr>
          <w:rFonts w:ascii="Calibri" w:hAnsi="Calibri"/>
          <w:szCs w:val="22"/>
        </w:rPr>
        <w:t>)</w:t>
      </w:r>
    </w:p>
    <w:p w:rsidR="00493CE1" w:rsidRDefault="00493CE1" w:rsidP="003D3CFF">
      <w:pPr>
        <w:pStyle w:val="STYL10"/>
        <w:numPr>
          <w:ilvl w:val="0"/>
          <w:numId w:val="2"/>
        </w:numPr>
        <w:spacing w:before="0" w:after="0"/>
        <w:ind w:left="714" w:hanging="357"/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Podpora mezinárodního</w:t>
      </w:r>
      <w:r w:rsidR="002429C1">
        <w:rPr>
          <w:rFonts w:ascii="Calibri" w:hAnsi="Calibri"/>
          <w:szCs w:val="22"/>
        </w:rPr>
        <w:t xml:space="preserve"> výzkumu</w:t>
      </w:r>
      <w:r w:rsidR="00446558">
        <w:rPr>
          <w:rFonts w:ascii="Calibri" w:hAnsi="Calibri"/>
          <w:szCs w:val="22"/>
        </w:rPr>
        <w:t xml:space="preserve"> a vývoje</w:t>
      </w:r>
      <w:r w:rsidR="002429C1">
        <w:rPr>
          <w:rFonts w:ascii="Calibri" w:hAnsi="Calibri"/>
          <w:szCs w:val="22"/>
        </w:rPr>
        <w:t xml:space="preserve"> (příspěvky na programy a do institucí</w:t>
      </w:r>
      <w:r>
        <w:rPr>
          <w:rFonts w:ascii="Calibri" w:hAnsi="Calibri"/>
          <w:szCs w:val="22"/>
        </w:rPr>
        <w:t>)</w:t>
      </w:r>
      <w:r w:rsidR="00FB6611">
        <w:rPr>
          <w:rFonts w:ascii="Calibri" w:hAnsi="Calibri"/>
          <w:szCs w:val="22"/>
        </w:rPr>
        <w:t xml:space="preserve"> – součást</w:t>
      </w:r>
      <w:r w:rsidR="00047125">
        <w:rPr>
          <w:rFonts w:ascii="Calibri" w:hAnsi="Calibri"/>
          <w:szCs w:val="22"/>
        </w:rPr>
        <w:t xml:space="preserve"> IS </w:t>
      </w:r>
      <w:proofErr w:type="spellStart"/>
      <w:r w:rsidR="00201498">
        <w:rPr>
          <w:rFonts w:ascii="Calibri" w:hAnsi="Calibri"/>
          <w:szCs w:val="22"/>
        </w:rPr>
        <w:t>VaVaI</w:t>
      </w:r>
      <w:proofErr w:type="spellEnd"/>
      <w:r w:rsidR="00FB6611">
        <w:rPr>
          <w:rFonts w:ascii="Calibri" w:hAnsi="Calibri"/>
          <w:szCs w:val="22"/>
        </w:rPr>
        <w:t xml:space="preserve"> – CEA</w:t>
      </w:r>
    </w:p>
    <w:p w:rsidR="00787EBA" w:rsidRDefault="00FB6611" w:rsidP="00787EBA">
      <w:pPr>
        <w:pStyle w:val="STYL10"/>
        <w:numPr>
          <w:ilvl w:val="0"/>
          <w:numId w:val="2"/>
        </w:numPr>
        <w:spacing w:before="0"/>
        <w:ind w:left="714" w:hanging="357"/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R</w:t>
      </w:r>
      <w:r w:rsidR="00402847">
        <w:rPr>
          <w:rFonts w:ascii="Calibri" w:hAnsi="Calibri"/>
          <w:szCs w:val="22"/>
        </w:rPr>
        <w:t>ozvoj výzkumných organizací</w:t>
      </w:r>
      <w:r>
        <w:rPr>
          <w:rFonts w:ascii="Calibri" w:hAnsi="Calibri"/>
          <w:szCs w:val="22"/>
        </w:rPr>
        <w:t xml:space="preserve"> (součást IS </w:t>
      </w:r>
      <w:proofErr w:type="spellStart"/>
      <w:r>
        <w:rPr>
          <w:rFonts w:ascii="Calibri" w:hAnsi="Calibri"/>
          <w:szCs w:val="22"/>
        </w:rPr>
        <w:t>VaVaI</w:t>
      </w:r>
      <w:proofErr w:type="spellEnd"/>
      <w:r>
        <w:rPr>
          <w:rFonts w:ascii="Calibri" w:hAnsi="Calibri"/>
          <w:szCs w:val="22"/>
        </w:rPr>
        <w:t xml:space="preserve"> – CEA) a ostatní položky mimo IS </w:t>
      </w:r>
      <w:proofErr w:type="spellStart"/>
      <w:r>
        <w:rPr>
          <w:rFonts w:ascii="Calibri" w:hAnsi="Calibri"/>
          <w:szCs w:val="22"/>
        </w:rPr>
        <w:t>VaVaI</w:t>
      </w:r>
      <w:proofErr w:type="spellEnd"/>
    </w:p>
    <w:p w:rsidR="00787EBA" w:rsidRPr="00787EBA" w:rsidRDefault="00787EBA" w:rsidP="00787EBA">
      <w:pPr>
        <w:pStyle w:val="STYL10"/>
        <w:spacing w:before="0"/>
        <w:ind w:left="714" w:firstLine="0"/>
        <w:jc w:val="left"/>
        <w:rPr>
          <w:rFonts w:ascii="Calibri" w:hAnsi="Calibri"/>
          <w:sz w:val="10"/>
          <w:szCs w:val="22"/>
        </w:rPr>
      </w:pPr>
    </w:p>
    <w:p w:rsidR="006E07BA" w:rsidRPr="009905B8" w:rsidRDefault="006E65D3" w:rsidP="00493CE1">
      <w:pPr>
        <w:pStyle w:val="STYL10"/>
        <w:ind w:firstLine="0"/>
        <w:rPr>
          <w:rFonts w:ascii="Calibri" w:hAnsi="Calibri"/>
          <w:color w:val="4F6228"/>
          <w:szCs w:val="22"/>
          <w:u w:val="single"/>
        </w:rPr>
      </w:pPr>
      <w:proofErr w:type="gramStart"/>
      <w:r>
        <w:rPr>
          <w:rFonts w:ascii="Calibri" w:hAnsi="Calibri"/>
          <w:color w:val="4F6228"/>
          <w:szCs w:val="22"/>
          <w:u w:val="single"/>
        </w:rPr>
        <w:t xml:space="preserve">A.5 </w:t>
      </w:r>
      <w:r w:rsidR="006E07BA" w:rsidRPr="009905B8">
        <w:rPr>
          <w:rFonts w:ascii="Calibri" w:hAnsi="Calibri"/>
          <w:color w:val="4F6228"/>
          <w:szCs w:val="22"/>
          <w:u w:val="single"/>
        </w:rPr>
        <w:t>Stručné</w:t>
      </w:r>
      <w:proofErr w:type="gramEnd"/>
      <w:r w:rsidR="006E07BA" w:rsidRPr="009905B8">
        <w:rPr>
          <w:rFonts w:ascii="Calibri" w:hAnsi="Calibri"/>
          <w:color w:val="4F6228"/>
          <w:szCs w:val="22"/>
          <w:u w:val="single"/>
        </w:rPr>
        <w:t xml:space="preserve"> v</w:t>
      </w:r>
      <w:r w:rsidR="00272644">
        <w:rPr>
          <w:rFonts w:ascii="Calibri" w:hAnsi="Calibri"/>
          <w:color w:val="4F6228"/>
          <w:szCs w:val="22"/>
          <w:u w:val="single"/>
        </w:rPr>
        <w:t>ymezení pojmů</w:t>
      </w:r>
    </w:p>
    <w:p w:rsidR="006E07BA" w:rsidRPr="00F62568" w:rsidRDefault="006E07BA" w:rsidP="006547F8">
      <w:pPr>
        <w:pStyle w:val="STYL10"/>
        <w:shd w:val="clear" w:color="auto" w:fill="EAF1DD"/>
        <w:spacing w:before="0" w:after="0"/>
        <w:ind w:firstLine="0"/>
        <w:rPr>
          <w:rFonts w:ascii="Calibri" w:hAnsi="Calibri"/>
          <w:i/>
          <w:sz w:val="18"/>
          <w:szCs w:val="22"/>
        </w:rPr>
      </w:pPr>
      <w:r w:rsidRPr="00F62568">
        <w:rPr>
          <w:rFonts w:ascii="Calibri" w:hAnsi="Calibri"/>
          <w:b/>
          <w:sz w:val="18"/>
          <w:szCs w:val="22"/>
        </w:rPr>
        <w:t>Účelová podpora (CEP)</w:t>
      </w:r>
      <w:r w:rsidRPr="00F62568">
        <w:rPr>
          <w:rFonts w:ascii="Calibri" w:hAnsi="Calibri"/>
          <w:sz w:val="18"/>
          <w:szCs w:val="22"/>
        </w:rPr>
        <w:t xml:space="preserve"> – </w:t>
      </w:r>
      <w:r w:rsidRPr="00F62568">
        <w:rPr>
          <w:rFonts w:ascii="Calibri" w:hAnsi="Calibri"/>
          <w:i/>
          <w:sz w:val="18"/>
          <w:szCs w:val="22"/>
        </w:rPr>
        <w:t>zahrnuje grantové projekty.</w:t>
      </w:r>
    </w:p>
    <w:p w:rsidR="009353B4" w:rsidRPr="00F62568" w:rsidRDefault="00201498" w:rsidP="006547F8">
      <w:pPr>
        <w:pStyle w:val="STYL10"/>
        <w:shd w:val="clear" w:color="auto" w:fill="EAF1DD"/>
        <w:spacing w:before="0" w:after="0"/>
        <w:ind w:firstLine="0"/>
        <w:rPr>
          <w:rFonts w:ascii="Calibri" w:hAnsi="Calibri"/>
          <w:sz w:val="18"/>
          <w:szCs w:val="22"/>
        </w:rPr>
      </w:pPr>
      <w:r>
        <w:rPr>
          <w:rFonts w:ascii="Calibri" w:hAnsi="Calibri"/>
          <w:b/>
          <w:sz w:val="18"/>
          <w:szCs w:val="22"/>
        </w:rPr>
        <w:t>Institucionální podpora</w:t>
      </w:r>
      <w:r w:rsidR="006E07BA" w:rsidRPr="00F62568">
        <w:rPr>
          <w:rFonts w:ascii="Calibri" w:hAnsi="Calibri"/>
          <w:b/>
          <w:sz w:val="18"/>
          <w:szCs w:val="22"/>
        </w:rPr>
        <w:t xml:space="preserve"> (CEZ</w:t>
      </w:r>
      <w:r w:rsidR="00D47163">
        <w:rPr>
          <w:rFonts w:ascii="Calibri" w:hAnsi="Calibri"/>
          <w:b/>
          <w:sz w:val="18"/>
          <w:szCs w:val="22"/>
        </w:rPr>
        <w:t>/CEA</w:t>
      </w:r>
      <w:r w:rsidR="006E07BA" w:rsidRPr="00F62568">
        <w:rPr>
          <w:rFonts w:ascii="Calibri" w:hAnsi="Calibri"/>
          <w:b/>
          <w:sz w:val="18"/>
          <w:szCs w:val="22"/>
        </w:rPr>
        <w:t>)</w:t>
      </w:r>
      <w:r w:rsidR="006E07BA" w:rsidRPr="00F62568">
        <w:rPr>
          <w:rFonts w:ascii="Calibri" w:hAnsi="Calibri"/>
          <w:sz w:val="18"/>
          <w:szCs w:val="22"/>
        </w:rPr>
        <w:t xml:space="preserve"> –</w:t>
      </w:r>
      <w:r w:rsidR="009353B4" w:rsidRPr="00F62568">
        <w:rPr>
          <w:rFonts w:ascii="Calibri" w:hAnsi="Calibri"/>
          <w:sz w:val="18"/>
          <w:szCs w:val="22"/>
        </w:rPr>
        <w:t xml:space="preserve"> </w:t>
      </w:r>
      <w:r w:rsidR="009353B4" w:rsidRPr="00F62568">
        <w:rPr>
          <w:rFonts w:ascii="Calibri" w:hAnsi="Calibri"/>
          <w:i/>
          <w:sz w:val="18"/>
          <w:szCs w:val="22"/>
        </w:rPr>
        <w:t>zahrnuje výzkumné záměry</w:t>
      </w:r>
      <w:r w:rsidR="001D0A0A">
        <w:rPr>
          <w:rFonts w:ascii="Calibri" w:hAnsi="Calibri"/>
          <w:i/>
          <w:sz w:val="18"/>
          <w:szCs w:val="22"/>
        </w:rPr>
        <w:t xml:space="preserve">, </w:t>
      </w:r>
      <w:r w:rsidR="00D47163">
        <w:rPr>
          <w:rFonts w:ascii="Calibri" w:hAnsi="Calibri"/>
          <w:i/>
          <w:sz w:val="18"/>
          <w:szCs w:val="22"/>
        </w:rPr>
        <w:t>rozvoj výzkumných organizací</w:t>
      </w:r>
      <w:r w:rsidR="001D0A0A">
        <w:rPr>
          <w:rFonts w:ascii="Calibri" w:hAnsi="Calibri"/>
          <w:i/>
          <w:sz w:val="18"/>
          <w:szCs w:val="22"/>
        </w:rPr>
        <w:t xml:space="preserve"> a specifický výzkum na vysokých školách</w:t>
      </w:r>
      <w:r w:rsidR="009353B4" w:rsidRPr="00F62568">
        <w:rPr>
          <w:rFonts w:ascii="Calibri" w:hAnsi="Calibri"/>
          <w:i/>
          <w:sz w:val="18"/>
          <w:szCs w:val="22"/>
        </w:rPr>
        <w:t>.</w:t>
      </w:r>
      <w:r w:rsidR="006E07BA" w:rsidRPr="00F62568">
        <w:rPr>
          <w:rFonts w:ascii="Calibri" w:hAnsi="Calibri"/>
          <w:sz w:val="18"/>
          <w:szCs w:val="22"/>
        </w:rPr>
        <w:t xml:space="preserve"> </w:t>
      </w:r>
    </w:p>
    <w:p w:rsidR="006E07BA" w:rsidRPr="00F62568" w:rsidRDefault="00A14B88" w:rsidP="006547F8">
      <w:pPr>
        <w:pStyle w:val="STYL10"/>
        <w:shd w:val="clear" w:color="auto" w:fill="EAF1DD"/>
        <w:spacing w:before="0" w:after="0"/>
        <w:ind w:firstLine="0"/>
        <w:rPr>
          <w:rFonts w:ascii="Calibri" w:hAnsi="Calibri"/>
          <w:sz w:val="18"/>
          <w:szCs w:val="22"/>
        </w:rPr>
      </w:pPr>
      <w:r w:rsidRPr="00F62568">
        <w:rPr>
          <w:rFonts w:ascii="Calibri" w:hAnsi="Calibri"/>
          <w:b/>
          <w:sz w:val="18"/>
          <w:szCs w:val="22"/>
        </w:rPr>
        <w:t>Specifický výzkum na vysokých školách</w:t>
      </w:r>
      <w:r w:rsidRPr="00F62568">
        <w:rPr>
          <w:rFonts w:ascii="Calibri" w:hAnsi="Calibri"/>
          <w:sz w:val="18"/>
          <w:szCs w:val="22"/>
        </w:rPr>
        <w:t xml:space="preserve"> – </w:t>
      </w:r>
      <w:r w:rsidRPr="00F62568">
        <w:rPr>
          <w:rFonts w:ascii="Calibri" w:hAnsi="Calibri"/>
          <w:i/>
          <w:sz w:val="18"/>
          <w:szCs w:val="22"/>
        </w:rPr>
        <w:t>zahrnuje</w:t>
      </w:r>
      <w:r w:rsidR="006E07BA" w:rsidRPr="00F62568">
        <w:rPr>
          <w:rFonts w:ascii="Calibri" w:hAnsi="Calibri"/>
          <w:i/>
          <w:sz w:val="18"/>
          <w:szCs w:val="22"/>
        </w:rPr>
        <w:t xml:space="preserve"> výzkum</w:t>
      </w:r>
      <w:r w:rsidRPr="00F62568">
        <w:rPr>
          <w:rFonts w:ascii="Calibri" w:hAnsi="Calibri"/>
          <w:i/>
          <w:sz w:val="18"/>
          <w:szCs w:val="22"/>
        </w:rPr>
        <w:t xml:space="preserve"> </w:t>
      </w:r>
      <w:r w:rsidR="006E07BA" w:rsidRPr="00F62568">
        <w:rPr>
          <w:rFonts w:ascii="Calibri" w:hAnsi="Calibri"/>
          <w:i/>
          <w:sz w:val="18"/>
          <w:szCs w:val="22"/>
        </w:rPr>
        <w:t>prováděný studenty při uskutečňování akreditovaných</w:t>
      </w:r>
      <w:r w:rsidRPr="00F62568">
        <w:rPr>
          <w:rFonts w:ascii="Calibri" w:hAnsi="Calibri"/>
          <w:i/>
          <w:sz w:val="18"/>
          <w:szCs w:val="22"/>
        </w:rPr>
        <w:t xml:space="preserve"> </w:t>
      </w:r>
      <w:r w:rsidR="006E07BA" w:rsidRPr="00F62568">
        <w:rPr>
          <w:rFonts w:ascii="Calibri" w:hAnsi="Calibri"/>
          <w:i/>
          <w:sz w:val="18"/>
          <w:szCs w:val="22"/>
        </w:rPr>
        <w:t>doktorských nebo magisterských studijních</w:t>
      </w:r>
      <w:r w:rsidRPr="00F62568">
        <w:rPr>
          <w:rFonts w:ascii="Calibri" w:hAnsi="Calibri"/>
          <w:i/>
          <w:sz w:val="18"/>
          <w:szCs w:val="22"/>
        </w:rPr>
        <w:t xml:space="preserve"> </w:t>
      </w:r>
      <w:r w:rsidR="0099554E">
        <w:rPr>
          <w:rFonts w:ascii="Calibri" w:hAnsi="Calibri"/>
          <w:i/>
          <w:sz w:val="18"/>
          <w:szCs w:val="22"/>
        </w:rPr>
        <w:t xml:space="preserve">programů, </w:t>
      </w:r>
      <w:r w:rsidR="006E07BA" w:rsidRPr="00F62568">
        <w:rPr>
          <w:rFonts w:ascii="Calibri" w:hAnsi="Calibri"/>
          <w:i/>
          <w:sz w:val="18"/>
          <w:szCs w:val="22"/>
        </w:rPr>
        <w:t>který je bezprostředně spojen</w:t>
      </w:r>
      <w:r w:rsidRPr="00F62568">
        <w:rPr>
          <w:rFonts w:ascii="Calibri" w:hAnsi="Calibri"/>
          <w:i/>
          <w:sz w:val="18"/>
          <w:szCs w:val="22"/>
        </w:rPr>
        <w:t xml:space="preserve"> s jejich vzděláváním.</w:t>
      </w:r>
    </w:p>
    <w:p w:rsidR="00446558" w:rsidRPr="00F62568" w:rsidRDefault="00446558" w:rsidP="006547F8">
      <w:pPr>
        <w:pStyle w:val="STYL10"/>
        <w:shd w:val="clear" w:color="auto" w:fill="EAF1DD"/>
        <w:spacing w:before="0" w:after="0"/>
        <w:ind w:firstLine="0"/>
        <w:rPr>
          <w:rFonts w:ascii="Calibri" w:hAnsi="Calibri"/>
          <w:sz w:val="18"/>
          <w:szCs w:val="22"/>
        </w:rPr>
      </w:pPr>
      <w:r w:rsidRPr="00F62568">
        <w:rPr>
          <w:rFonts w:ascii="Calibri" w:hAnsi="Calibri"/>
          <w:b/>
          <w:sz w:val="18"/>
          <w:szCs w:val="22"/>
        </w:rPr>
        <w:t>Podpora mezinárodního výzkumu a vývoje</w:t>
      </w:r>
      <w:r w:rsidR="009353B4" w:rsidRPr="00F62568">
        <w:rPr>
          <w:rFonts w:ascii="Calibri" w:hAnsi="Calibri"/>
          <w:sz w:val="18"/>
          <w:szCs w:val="22"/>
        </w:rPr>
        <w:t xml:space="preserve"> – </w:t>
      </w:r>
      <w:r w:rsidR="009353B4" w:rsidRPr="00F62568">
        <w:rPr>
          <w:rFonts w:ascii="Calibri" w:hAnsi="Calibri"/>
          <w:i/>
          <w:sz w:val="18"/>
          <w:szCs w:val="22"/>
        </w:rPr>
        <w:t>zahrnuje poplatky za účast České republiky v mez</w:t>
      </w:r>
      <w:r w:rsidR="00C662AE">
        <w:rPr>
          <w:rFonts w:ascii="Calibri" w:hAnsi="Calibri"/>
          <w:i/>
          <w:sz w:val="18"/>
          <w:szCs w:val="22"/>
        </w:rPr>
        <w:t>inárodních programech výzkumu a </w:t>
      </w:r>
      <w:r w:rsidR="009353B4" w:rsidRPr="00F62568">
        <w:rPr>
          <w:rFonts w:ascii="Calibri" w:hAnsi="Calibri"/>
          <w:i/>
          <w:sz w:val="18"/>
          <w:szCs w:val="22"/>
        </w:rPr>
        <w:t>vývoje, poplatky za členství v mezinárodníc</w:t>
      </w:r>
      <w:r w:rsidR="004178A1" w:rsidRPr="00F62568">
        <w:rPr>
          <w:rFonts w:ascii="Calibri" w:hAnsi="Calibri"/>
          <w:i/>
          <w:sz w:val="18"/>
          <w:szCs w:val="22"/>
        </w:rPr>
        <w:t>h organizacích výzkumu a vývoje</w:t>
      </w:r>
      <w:r w:rsidR="009353B4" w:rsidRPr="00F62568">
        <w:rPr>
          <w:rFonts w:ascii="Calibri" w:hAnsi="Calibri"/>
          <w:i/>
          <w:sz w:val="18"/>
          <w:szCs w:val="22"/>
        </w:rPr>
        <w:t xml:space="preserve"> nebo finanční podíly </w:t>
      </w:r>
      <w:r w:rsidR="00C662AE">
        <w:rPr>
          <w:rFonts w:ascii="Calibri" w:hAnsi="Calibri"/>
          <w:i/>
          <w:sz w:val="18"/>
          <w:szCs w:val="22"/>
        </w:rPr>
        <w:t>z prostředků České republiky na </w:t>
      </w:r>
      <w:r w:rsidR="009353B4" w:rsidRPr="00F62568">
        <w:rPr>
          <w:rFonts w:ascii="Calibri" w:hAnsi="Calibri"/>
          <w:i/>
          <w:sz w:val="18"/>
          <w:szCs w:val="22"/>
        </w:rPr>
        <w:t>podporu projektů me</w:t>
      </w:r>
      <w:r w:rsidR="004178A1" w:rsidRPr="00F62568">
        <w:rPr>
          <w:rFonts w:ascii="Calibri" w:hAnsi="Calibri"/>
          <w:i/>
          <w:sz w:val="18"/>
          <w:szCs w:val="22"/>
        </w:rPr>
        <w:t>zinárodní spolupráce ve výzkumu a vývoji</w:t>
      </w:r>
      <w:r w:rsidR="009353B4" w:rsidRPr="00F62568">
        <w:rPr>
          <w:rFonts w:ascii="Calibri" w:hAnsi="Calibri"/>
          <w:i/>
          <w:sz w:val="18"/>
          <w:szCs w:val="22"/>
        </w:rPr>
        <w:t>, pokud je tento finanční podíl možno hradit z veřejných prostředků a pokud jsou projekty podporovány z rozpočtu jiných států nebo z rozpočtu Evropské unie nebo z prostředků mezinárodních organizací.</w:t>
      </w:r>
    </w:p>
    <w:p w:rsidR="008946E2" w:rsidRPr="0004546C" w:rsidRDefault="009353B4" w:rsidP="006547F8">
      <w:pPr>
        <w:pStyle w:val="STYL10"/>
        <w:shd w:val="clear" w:color="auto" w:fill="EAF1DD"/>
        <w:spacing w:before="0" w:after="0"/>
        <w:ind w:firstLine="0"/>
        <w:rPr>
          <w:rFonts w:ascii="Calibri" w:hAnsi="Calibri"/>
          <w:i/>
          <w:sz w:val="18"/>
          <w:szCs w:val="22"/>
        </w:rPr>
      </w:pPr>
      <w:r w:rsidRPr="00F62568">
        <w:rPr>
          <w:rFonts w:ascii="Calibri" w:hAnsi="Calibri"/>
          <w:b/>
          <w:sz w:val="18"/>
          <w:szCs w:val="22"/>
        </w:rPr>
        <w:t>Ostatní položky</w:t>
      </w:r>
      <w:r w:rsidRPr="00F62568">
        <w:rPr>
          <w:rFonts w:ascii="Calibri" w:hAnsi="Calibri"/>
          <w:sz w:val="18"/>
          <w:szCs w:val="22"/>
        </w:rPr>
        <w:t xml:space="preserve"> – </w:t>
      </w:r>
      <w:r w:rsidRPr="00F62568">
        <w:rPr>
          <w:rFonts w:ascii="Calibri" w:hAnsi="Calibri"/>
          <w:i/>
          <w:sz w:val="18"/>
          <w:szCs w:val="22"/>
        </w:rPr>
        <w:t>patří sem infrastruktura výzkumu a vývoje (Akademie věd ČR), specifický výzkum na vysokých školách (hrazený z kapitoly Ministerstva obrany) a další položky související s administrativou a oceněními.</w:t>
      </w:r>
    </w:p>
    <w:p w:rsidR="00DC7CDE" w:rsidRPr="00DC7CDE" w:rsidRDefault="00DC7CDE" w:rsidP="00E45DEF">
      <w:pPr>
        <w:pStyle w:val="STYL10"/>
        <w:ind w:firstLine="0"/>
        <w:rPr>
          <w:rFonts w:ascii="Calibri" w:hAnsi="Calibri"/>
          <w:color w:val="4F6228"/>
          <w:sz w:val="10"/>
          <w:szCs w:val="22"/>
          <w:u w:val="single"/>
        </w:rPr>
      </w:pPr>
    </w:p>
    <w:p w:rsidR="00564C8F" w:rsidRPr="009905B8" w:rsidRDefault="006E65D3" w:rsidP="00E45DEF">
      <w:pPr>
        <w:pStyle w:val="STYL10"/>
        <w:ind w:firstLine="0"/>
        <w:rPr>
          <w:rFonts w:ascii="Calibri" w:hAnsi="Calibri"/>
          <w:color w:val="4F6228"/>
          <w:szCs w:val="22"/>
          <w:u w:val="single"/>
        </w:rPr>
      </w:pPr>
      <w:proofErr w:type="gramStart"/>
      <w:r>
        <w:rPr>
          <w:rFonts w:ascii="Calibri" w:hAnsi="Calibri"/>
          <w:color w:val="4F6228"/>
          <w:szCs w:val="22"/>
          <w:u w:val="single"/>
        </w:rPr>
        <w:t xml:space="preserve">A.6 </w:t>
      </w:r>
      <w:r w:rsidR="00272644">
        <w:rPr>
          <w:rFonts w:ascii="Calibri" w:hAnsi="Calibri"/>
          <w:color w:val="4F6228"/>
          <w:szCs w:val="22"/>
          <w:u w:val="single"/>
        </w:rPr>
        <w:t>Poskytování</w:t>
      </w:r>
      <w:proofErr w:type="gramEnd"/>
      <w:r w:rsidR="00272644">
        <w:rPr>
          <w:rFonts w:ascii="Calibri" w:hAnsi="Calibri"/>
          <w:color w:val="4F6228"/>
          <w:szCs w:val="22"/>
          <w:u w:val="single"/>
        </w:rPr>
        <w:t xml:space="preserve"> údajů</w:t>
      </w:r>
    </w:p>
    <w:p w:rsidR="00BB7791" w:rsidRDefault="00564C8F" w:rsidP="005B778A">
      <w:pPr>
        <w:pStyle w:val="STYL10"/>
        <w:ind w:firstLine="284"/>
        <w:rPr>
          <w:rFonts w:ascii="Calibri" w:hAnsi="Calibri"/>
          <w:szCs w:val="22"/>
        </w:rPr>
      </w:pPr>
      <w:r w:rsidRPr="003B4301">
        <w:rPr>
          <w:rFonts w:ascii="Calibri" w:hAnsi="Calibri"/>
          <w:szCs w:val="22"/>
        </w:rPr>
        <w:t xml:space="preserve">Údaje GBAORD jsou hlášeny </w:t>
      </w:r>
      <w:proofErr w:type="spellStart"/>
      <w:r w:rsidRPr="003B4301">
        <w:rPr>
          <w:rFonts w:ascii="Calibri" w:hAnsi="Calibri"/>
          <w:szCs w:val="22"/>
        </w:rPr>
        <w:t>Eurostatu</w:t>
      </w:r>
      <w:proofErr w:type="spellEnd"/>
      <w:r w:rsidRPr="003B4301">
        <w:rPr>
          <w:rFonts w:ascii="Calibri" w:hAnsi="Calibri"/>
          <w:szCs w:val="22"/>
        </w:rPr>
        <w:t xml:space="preserve"> (povinná báze) a OECD (dobrovolně na základě členství) každoročně ve variantách: </w:t>
      </w:r>
    </w:p>
    <w:p w:rsidR="00BB7791" w:rsidRDefault="00201498" w:rsidP="003D3CFF">
      <w:pPr>
        <w:pStyle w:val="STYL10"/>
        <w:numPr>
          <w:ilvl w:val="0"/>
          <w:numId w:val="3"/>
        </w:numPr>
        <w:spacing w:before="0" w:after="0"/>
        <w:ind w:left="1071" w:hanging="357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předběžné údaje</w:t>
      </w:r>
    </w:p>
    <w:p w:rsidR="00BB7791" w:rsidRDefault="00201498" w:rsidP="003D3CFF">
      <w:pPr>
        <w:pStyle w:val="STYL10"/>
        <w:numPr>
          <w:ilvl w:val="0"/>
          <w:numId w:val="3"/>
        </w:numPr>
        <w:spacing w:before="0" w:after="0"/>
        <w:ind w:left="1071" w:hanging="357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konečné údaje</w:t>
      </w:r>
    </w:p>
    <w:p w:rsidR="00564C8F" w:rsidRDefault="00564C8F" w:rsidP="005B778A">
      <w:pPr>
        <w:pStyle w:val="STYL10"/>
        <w:ind w:firstLine="284"/>
        <w:rPr>
          <w:rFonts w:ascii="Calibri" w:hAnsi="Calibri"/>
          <w:szCs w:val="22"/>
        </w:rPr>
      </w:pPr>
      <w:r w:rsidRPr="003B4301">
        <w:rPr>
          <w:rFonts w:ascii="Calibri" w:hAnsi="Calibri"/>
          <w:szCs w:val="22"/>
        </w:rPr>
        <w:t xml:space="preserve">Přitom na základě výše zmíněného právního aktu jsou údaje GBAORD poskytnuty </w:t>
      </w:r>
      <w:proofErr w:type="spellStart"/>
      <w:r w:rsidRPr="003B4301">
        <w:rPr>
          <w:rFonts w:ascii="Calibri" w:hAnsi="Calibri"/>
          <w:szCs w:val="22"/>
        </w:rPr>
        <w:t>Eurostatu</w:t>
      </w:r>
      <w:proofErr w:type="spellEnd"/>
      <w:r w:rsidRPr="003B4301">
        <w:rPr>
          <w:rFonts w:ascii="Calibri" w:hAnsi="Calibri"/>
          <w:szCs w:val="22"/>
        </w:rPr>
        <w:t xml:space="preserve"> jako předběžné (přidělování prostředků z prozatímního státního r</w:t>
      </w:r>
      <w:r w:rsidR="00196977" w:rsidRPr="003B4301">
        <w:rPr>
          <w:rFonts w:ascii="Calibri" w:hAnsi="Calibri"/>
          <w:szCs w:val="22"/>
        </w:rPr>
        <w:t>ozpočtu –</w:t>
      </w:r>
      <w:r w:rsidRPr="003B4301">
        <w:rPr>
          <w:rFonts w:ascii="Calibri" w:hAnsi="Calibri"/>
          <w:szCs w:val="22"/>
        </w:rPr>
        <w:t xml:space="preserve"> fáze schválených finančních prostředků parlamentem na počátku rozpočtového roku) do 6 měsíců od konce rozpočtového (referenčního) roku a definitivní (přidělování prostředků z konečného státního rozpočtu) do 12 měsíců od konce rozpočtového (referen</w:t>
      </w:r>
      <w:r w:rsidR="0062120B" w:rsidRPr="003B4301">
        <w:rPr>
          <w:rFonts w:ascii="Calibri" w:hAnsi="Calibri"/>
          <w:szCs w:val="22"/>
        </w:rPr>
        <w:t>čního) roku.</w:t>
      </w:r>
    </w:p>
    <w:p w:rsidR="005769D5" w:rsidRPr="003B4301" w:rsidRDefault="005769D5" w:rsidP="00BB7791">
      <w:pPr>
        <w:pStyle w:val="STYL10"/>
        <w:ind w:firstLine="0"/>
        <w:rPr>
          <w:rFonts w:ascii="Calibri" w:hAnsi="Calibri"/>
          <w:szCs w:val="22"/>
        </w:rPr>
        <w:sectPr w:rsidR="005769D5" w:rsidRPr="003B4301" w:rsidSect="00AD2853">
          <w:type w:val="continuous"/>
          <w:pgSz w:w="11906" w:h="16838" w:code="9"/>
          <w:pgMar w:top="1134" w:right="1134" w:bottom="1134" w:left="1134" w:header="737" w:footer="737" w:gutter="0"/>
          <w:pgNumType w:start="5"/>
          <w:cols w:space="397"/>
          <w:docGrid w:linePitch="360"/>
        </w:sectPr>
      </w:pPr>
    </w:p>
    <w:p w:rsidR="00E45DEF" w:rsidRPr="00DC7CDE" w:rsidRDefault="00E45DEF">
      <w:pPr>
        <w:pStyle w:val="STYL10"/>
        <w:ind w:firstLine="0"/>
        <w:rPr>
          <w:rFonts w:ascii="Calibri" w:hAnsi="Calibri"/>
          <w:sz w:val="10"/>
          <w:szCs w:val="22"/>
          <w:u w:val="single"/>
        </w:rPr>
        <w:sectPr w:rsidR="00E45DEF" w:rsidRPr="00DC7CDE" w:rsidSect="0062120B">
          <w:type w:val="continuous"/>
          <w:pgSz w:w="11906" w:h="16838" w:code="9"/>
          <w:pgMar w:top="1134" w:right="1134" w:bottom="1134" w:left="1134" w:header="737" w:footer="737" w:gutter="0"/>
          <w:pgNumType w:start="5"/>
          <w:cols w:space="397"/>
          <w:docGrid w:linePitch="360"/>
        </w:sectPr>
      </w:pPr>
    </w:p>
    <w:p w:rsidR="00564C8F" w:rsidRPr="008A5FE4" w:rsidRDefault="006E65D3" w:rsidP="00907D01">
      <w:pPr>
        <w:pStyle w:val="STYL10"/>
        <w:ind w:firstLine="0"/>
        <w:rPr>
          <w:rFonts w:ascii="Calibri" w:hAnsi="Calibri" w:cs="Arial"/>
          <w:color w:val="4F6228"/>
          <w:szCs w:val="22"/>
          <w:u w:val="single"/>
        </w:rPr>
      </w:pPr>
      <w:proofErr w:type="gramStart"/>
      <w:r>
        <w:rPr>
          <w:rFonts w:ascii="Calibri" w:hAnsi="Calibri" w:cs="Arial"/>
          <w:color w:val="4F6228"/>
          <w:szCs w:val="22"/>
          <w:u w:val="single"/>
        </w:rPr>
        <w:lastRenderedPageBreak/>
        <w:t xml:space="preserve">A.7 </w:t>
      </w:r>
      <w:r w:rsidR="00564C8F" w:rsidRPr="008A5FE4">
        <w:rPr>
          <w:rFonts w:ascii="Calibri" w:hAnsi="Calibri" w:cs="Arial"/>
          <w:color w:val="4F6228"/>
          <w:szCs w:val="22"/>
          <w:u w:val="single"/>
        </w:rPr>
        <w:t>Hlavní</w:t>
      </w:r>
      <w:proofErr w:type="gramEnd"/>
      <w:r w:rsidR="00564C8F" w:rsidRPr="008A5FE4">
        <w:rPr>
          <w:rFonts w:ascii="Calibri" w:hAnsi="Calibri" w:cs="Arial"/>
          <w:color w:val="4F6228"/>
          <w:szCs w:val="22"/>
          <w:u w:val="single"/>
        </w:rPr>
        <w:t xml:space="preserve"> socioekonom</w:t>
      </w:r>
      <w:r w:rsidR="003163E9" w:rsidRPr="008A5FE4">
        <w:rPr>
          <w:rFonts w:ascii="Calibri" w:hAnsi="Calibri" w:cs="Arial"/>
          <w:color w:val="4F6228"/>
          <w:szCs w:val="22"/>
          <w:u w:val="single"/>
        </w:rPr>
        <w:t>ické směry (cíl</w:t>
      </w:r>
      <w:r w:rsidR="003E50B3" w:rsidRPr="008A5FE4">
        <w:rPr>
          <w:rFonts w:ascii="Calibri" w:hAnsi="Calibri" w:cs="Arial"/>
          <w:color w:val="4F6228"/>
          <w:szCs w:val="22"/>
          <w:u w:val="single"/>
        </w:rPr>
        <w:t xml:space="preserve">e) NABS </w:t>
      </w:r>
      <w:proofErr w:type="spellStart"/>
      <w:r w:rsidR="003E50B3" w:rsidRPr="008A5FE4">
        <w:rPr>
          <w:rFonts w:ascii="Calibri" w:hAnsi="Calibri" w:cs="Arial"/>
          <w:color w:val="4F6228"/>
          <w:szCs w:val="22"/>
          <w:u w:val="single"/>
        </w:rPr>
        <w:t>rev</w:t>
      </w:r>
      <w:proofErr w:type="spellEnd"/>
      <w:r w:rsidR="003E50B3" w:rsidRPr="008A5FE4">
        <w:rPr>
          <w:rFonts w:ascii="Calibri" w:hAnsi="Calibri" w:cs="Arial"/>
          <w:color w:val="4F6228"/>
          <w:szCs w:val="22"/>
          <w:u w:val="single"/>
        </w:rPr>
        <w:t>. 1992</w:t>
      </w:r>
    </w:p>
    <w:tbl>
      <w:tblPr>
        <w:tblW w:w="928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640"/>
        <w:gridCol w:w="1340"/>
        <w:gridCol w:w="1340"/>
      </w:tblGrid>
      <w:tr w:rsidR="0004546C" w:rsidRPr="0004546C" w:rsidTr="0004546C">
        <w:trPr>
          <w:trHeight w:val="220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vAlign w:val="center"/>
            <w:hideMark/>
          </w:tcPr>
          <w:p w:rsidR="0004546C" w:rsidRPr="0004546C" w:rsidRDefault="0004546C" w:rsidP="0004546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4546C">
              <w:rPr>
                <w:rFonts w:ascii="Calibri" w:hAnsi="Calibri"/>
                <w:b/>
                <w:bCs/>
                <w:sz w:val="18"/>
                <w:szCs w:val="18"/>
              </w:rPr>
              <w:t>Kód</w:t>
            </w:r>
          </w:p>
        </w:tc>
        <w:tc>
          <w:tcPr>
            <w:tcW w:w="5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vAlign w:val="center"/>
            <w:hideMark/>
          </w:tcPr>
          <w:p w:rsidR="0004546C" w:rsidRPr="0004546C" w:rsidRDefault="00721DA6" w:rsidP="0004546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Hlavní socioekonomické cíle</w:t>
            </w:r>
            <w:r w:rsidR="0004546C" w:rsidRPr="0004546C">
              <w:rPr>
                <w:rFonts w:ascii="Calibri" w:hAnsi="Calibri"/>
                <w:b/>
                <w:bCs/>
                <w:sz w:val="18"/>
                <w:szCs w:val="18"/>
              </w:rPr>
              <w:t xml:space="preserve"> (SEO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1</w:t>
            </w:r>
            <w:r w:rsidR="0004546C" w:rsidRPr="0004546C">
              <w:rPr>
                <w:rFonts w:ascii="Calibri" w:hAnsi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vAlign w:val="center"/>
            <w:hideMark/>
          </w:tcPr>
          <w:p w:rsidR="0004546C" w:rsidRPr="0004546C" w:rsidRDefault="00721DA6" w:rsidP="0004546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Počet podcílů</w:t>
            </w:r>
            <w:r w:rsidR="0004546C" w:rsidRPr="0004546C">
              <w:rPr>
                <w:rFonts w:ascii="Calibri" w:hAnsi="Calibri"/>
                <w:b/>
                <w:bCs/>
                <w:sz w:val="18"/>
                <w:szCs w:val="18"/>
              </w:rPr>
              <w:t xml:space="preserve"> cílů SEO2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vAlign w:val="center"/>
            <w:hideMark/>
          </w:tcPr>
          <w:p w:rsidR="0004546C" w:rsidRPr="0004546C" w:rsidRDefault="0004546C" w:rsidP="0004546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4546C">
              <w:rPr>
                <w:rFonts w:ascii="Calibri" w:hAnsi="Calibri"/>
                <w:b/>
                <w:bCs/>
                <w:sz w:val="18"/>
                <w:szCs w:val="18"/>
              </w:rPr>
              <w:t>Počet dílčích cílů SEO</w:t>
            </w:r>
            <w:r w:rsidR="00721DA6">
              <w:rPr>
                <w:rFonts w:ascii="Calibri" w:hAnsi="Calibri"/>
                <w:b/>
                <w:bCs/>
                <w:sz w:val="18"/>
                <w:szCs w:val="18"/>
              </w:rPr>
              <w:t>3</w:t>
            </w:r>
          </w:p>
        </w:tc>
      </w:tr>
      <w:tr w:rsidR="0004546C" w:rsidRPr="0004546C" w:rsidTr="0004546C">
        <w:trPr>
          <w:trHeight w:val="255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546C" w:rsidRPr="0004546C" w:rsidRDefault="0004546C" w:rsidP="0004546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5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546C" w:rsidRPr="0004546C" w:rsidRDefault="0004546C" w:rsidP="0004546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546C" w:rsidRPr="0004546C" w:rsidRDefault="0004546C" w:rsidP="0004546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546C" w:rsidRPr="0004546C" w:rsidRDefault="0004546C" w:rsidP="0004546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4546C" w:rsidRPr="0004546C" w:rsidTr="0004546C">
        <w:trPr>
          <w:trHeight w:val="22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546C" w:rsidRPr="0004546C" w:rsidRDefault="0004546C" w:rsidP="0004546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5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546C" w:rsidRPr="0004546C" w:rsidRDefault="0004546C" w:rsidP="0004546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546C" w:rsidRPr="0004546C" w:rsidRDefault="0004546C" w:rsidP="0004546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546C" w:rsidRPr="0004546C" w:rsidRDefault="0004546C" w:rsidP="0004546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4546C" w:rsidRPr="0004546C" w:rsidTr="0004546C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04546C" w:rsidRPr="0004546C" w:rsidRDefault="0004546C" w:rsidP="0004546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4546C">
              <w:rPr>
                <w:rFonts w:ascii="Calibri" w:hAnsi="Calibri"/>
                <w:sz w:val="18"/>
                <w:szCs w:val="18"/>
              </w:rPr>
              <w:t>SEO01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04546C" w:rsidRPr="0004546C" w:rsidRDefault="0004546C" w:rsidP="0004546C">
            <w:pPr>
              <w:rPr>
                <w:rFonts w:ascii="Calibri" w:hAnsi="Calibri"/>
                <w:sz w:val="18"/>
                <w:szCs w:val="18"/>
              </w:rPr>
            </w:pPr>
            <w:r w:rsidRPr="0004546C">
              <w:rPr>
                <w:rFonts w:ascii="Calibri" w:hAnsi="Calibri"/>
                <w:sz w:val="18"/>
                <w:szCs w:val="18"/>
              </w:rPr>
              <w:t xml:space="preserve">Průzkum a využití zdrojů Země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04546C" w:rsidRPr="0004546C" w:rsidRDefault="0004546C" w:rsidP="0004546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4546C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04546C" w:rsidRPr="0004546C" w:rsidRDefault="0004546C" w:rsidP="0004546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4546C">
              <w:rPr>
                <w:rFonts w:ascii="Calibri" w:hAnsi="Calibri"/>
                <w:sz w:val="18"/>
                <w:szCs w:val="18"/>
              </w:rPr>
              <w:t>0</w:t>
            </w:r>
          </w:p>
        </w:tc>
      </w:tr>
      <w:tr w:rsidR="0004546C" w:rsidRPr="0004546C" w:rsidTr="0004546C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46C" w:rsidRPr="0004546C" w:rsidRDefault="0004546C" w:rsidP="0004546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4546C">
              <w:rPr>
                <w:rFonts w:ascii="Calibri" w:hAnsi="Calibri"/>
                <w:sz w:val="18"/>
                <w:szCs w:val="18"/>
              </w:rPr>
              <w:t>SEO02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46C" w:rsidRPr="0004546C" w:rsidRDefault="0004546C" w:rsidP="0004546C">
            <w:pPr>
              <w:rPr>
                <w:rFonts w:ascii="Calibri" w:hAnsi="Calibri"/>
                <w:sz w:val="18"/>
                <w:szCs w:val="18"/>
              </w:rPr>
            </w:pPr>
            <w:r w:rsidRPr="0004546C">
              <w:rPr>
                <w:rFonts w:ascii="Calibri" w:hAnsi="Calibri"/>
                <w:sz w:val="18"/>
                <w:szCs w:val="18"/>
              </w:rPr>
              <w:t>Infrastruktura a územní plánování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46C" w:rsidRPr="0004546C" w:rsidRDefault="0004546C" w:rsidP="0004546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4546C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46C" w:rsidRPr="0004546C" w:rsidRDefault="0004546C" w:rsidP="0004546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4546C">
              <w:rPr>
                <w:rFonts w:ascii="Calibri" w:hAnsi="Calibri"/>
                <w:sz w:val="18"/>
                <w:szCs w:val="18"/>
              </w:rPr>
              <w:t>0</w:t>
            </w:r>
          </w:p>
        </w:tc>
      </w:tr>
      <w:tr w:rsidR="0004546C" w:rsidRPr="0004546C" w:rsidTr="0004546C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04546C" w:rsidRPr="0004546C" w:rsidRDefault="0004546C" w:rsidP="0004546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4546C">
              <w:rPr>
                <w:rFonts w:ascii="Calibri" w:hAnsi="Calibri"/>
                <w:sz w:val="18"/>
                <w:szCs w:val="18"/>
              </w:rPr>
              <w:t>SEO03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04546C" w:rsidRPr="0004546C" w:rsidRDefault="0004546C" w:rsidP="0004546C">
            <w:pPr>
              <w:rPr>
                <w:rFonts w:ascii="Calibri" w:hAnsi="Calibri"/>
                <w:sz w:val="18"/>
                <w:szCs w:val="18"/>
              </w:rPr>
            </w:pPr>
            <w:r w:rsidRPr="0004546C">
              <w:rPr>
                <w:rFonts w:ascii="Calibri" w:hAnsi="Calibri"/>
                <w:sz w:val="18"/>
                <w:szCs w:val="18"/>
              </w:rPr>
              <w:t xml:space="preserve">Ochrana životního prostředí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04546C" w:rsidRPr="0004546C" w:rsidRDefault="0004546C" w:rsidP="0004546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4546C">
              <w:rPr>
                <w:rFonts w:ascii="Calibri" w:hAnsi="Calibri"/>
                <w:sz w:val="18"/>
                <w:szCs w:val="18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04546C" w:rsidRPr="0004546C" w:rsidRDefault="0004546C" w:rsidP="0004546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4546C">
              <w:rPr>
                <w:rFonts w:ascii="Calibri" w:hAnsi="Calibri"/>
                <w:sz w:val="18"/>
                <w:szCs w:val="18"/>
              </w:rPr>
              <w:t>0</w:t>
            </w:r>
          </w:p>
        </w:tc>
      </w:tr>
      <w:tr w:rsidR="0004546C" w:rsidRPr="0004546C" w:rsidTr="0004546C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46C" w:rsidRPr="0004546C" w:rsidRDefault="0004546C" w:rsidP="0004546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4546C">
              <w:rPr>
                <w:rFonts w:ascii="Calibri" w:hAnsi="Calibri"/>
                <w:sz w:val="18"/>
                <w:szCs w:val="18"/>
              </w:rPr>
              <w:t>SEO04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46C" w:rsidRPr="0004546C" w:rsidRDefault="0004546C" w:rsidP="0004546C">
            <w:pPr>
              <w:rPr>
                <w:rFonts w:ascii="Calibri" w:hAnsi="Calibri"/>
                <w:sz w:val="18"/>
                <w:szCs w:val="18"/>
              </w:rPr>
            </w:pPr>
            <w:r w:rsidRPr="0004546C">
              <w:rPr>
                <w:rFonts w:ascii="Calibri" w:hAnsi="Calibri"/>
                <w:sz w:val="18"/>
                <w:szCs w:val="18"/>
              </w:rPr>
              <w:t xml:space="preserve">Ochrana a zlepšování lidského zdraví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46C" w:rsidRPr="0004546C" w:rsidRDefault="0004546C" w:rsidP="0004546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4546C"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46C" w:rsidRPr="0004546C" w:rsidRDefault="0004546C" w:rsidP="0004546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4546C">
              <w:rPr>
                <w:rFonts w:ascii="Calibri" w:hAnsi="Calibri"/>
                <w:sz w:val="18"/>
                <w:szCs w:val="18"/>
              </w:rPr>
              <w:t>0</w:t>
            </w:r>
          </w:p>
        </w:tc>
      </w:tr>
      <w:tr w:rsidR="0004546C" w:rsidRPr="0004546C" w:rsidTr="0004546C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04546C" w:rsidRPr="0004546C" w:rsidRDefault="0004546C" w:rsidP="0004546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4546C">
              <w:rPr>
                <w:rFonts w:ascii="Calibri" w:hAnsi="Calibri"/>
                <w:sz w:val="18"/>
                <w:szCs w:val="18"/>
              </w:rPr>
              <w:t>SEO05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04546C" w:rsidRPr="0004546C" w:rsidRDefault="0004546C" w:rsidP="0004546C">
            <w:pPr>
              <w:rPr>
                <w:rFonts w:ascii="Calibri" w:hAnsi="Calibri"/>
                <w:sz w:val="18"/>
                <w:szCs w:val="18"/>
              </w:rPr>
            </w:pPr>
            <w:r w:rsidRPr="0004546C">
              <w:rPr>
                <w:rFonts w:ascii="Calibri" w:hAnsi="Calibri"/>
                <w:sz w:val="18"/>
                <w:szCs w:val="18"/>
              </w:rPr>
              <w:t>Výroba, distribuce a racionální využití energie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04546C" w:rsidRPr="0004546C" w:rsidRDefault="0004546C" w:rsidP="0004546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4546C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04546C" w:rsidRPr="0004546C" w:rsidRDefault="0004546C" w:rsidP="0004546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4546C">
              <w:rPr>
                <w:rFonts w:ascii="Calibri" w:hAnsi="Calibri"/>
                <w:sz w:val="18"/>
                <w:szCs w:val="18"/>
              </w:rPr>
              <w:t>4</w:t>
            </w:r>
          </w:p>
        </w:tc>
      </w:tr>
      <w:tr w:rsidR="0004546C" w:rsidRPr="0004546C" w:rsidTr="0004546C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46C" w:rsidRPr="0004546C" w:rsidRDefault="0004546C" w:rsidP="0004546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4546C">
              <w:rPr>
                <w:rFonts w:ascii="Calibri" w:hAnsi="Calibri"/>
                <w:sz w:val="18"/>
                <w:szCs w:val="18"/>
              </w:rPr>
              <w:t>SEO06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46C" w:rsidRPr="0004546C" w:rsidRDefault="0004546C" w:rsidP="0004546C">
            <w:pPr>
              <w:rPr>
                <w:rFonts w:ascii="Calibri" w:hAnsi="Calibri"/>
                <w:sz w:val="18"/>
                <w:szCs w:val="18"/>
              </w:rPr>
            </w:pPr>
            <w:r w:rsidRPr="0004546C">
              <w:rPr>
                <w:rFonts w:ascii="Calibri" w:hAnsi="Calibri"/>
                <w:sz w:val="18"/>
                <w:szCs w:val="18"/>
              </w:rPr>
              <w:t>Zemědělská výroba a technologie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46C" w:rsidRPr="0004546C" w:rsidRDefault="0004546C" w:rsidP="0004546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4546C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46C" w:rsidRPr="0004546C" w:rsidRDefault="0004546C" w:rsidP="0004546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4546C">
              <w:rPr>
                <w:rFonts w:ascii="Calibri" w:hAnsi="Calibri"/>
                <w:sz w:val="18"/>
                <w:szCs w:val="18"/>
              </w:rPr>
              <w:t>0</w:t>
            </w:r>
          </w:p>
        </w:tc>
      </w:tr>
      <w:tr w:rsidR="0004546C" w:rsidRPr="0004546C" w:rsidTr="0004546C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04546C" w:rsidRPr="0004546C" w:rsidRDefault="0004546C" w:rsidP="0004546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4546C">
              <w:rPr>
                <w:rFonts w:ascii="Calibri" w:hAnsi="Calibri"/>
                <w:sz w:val="18"/>
                <w:szCs w:val="18"/>
              </w:rPr>
              <w:t>SEO07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04546C" w:rsidRPr="0004546C" w:rsidRDefault="0004546C" w:rsidP="0004546C">
            <w:pPr>
              <w:rPr>
                <w:rFonts w:ascii="Calibri" w:hAnsi="Calibri"/>
                <w:sz w:val="18"/>
                <w:szCs w:val="18"/>
              </w:rPr>
            </w:pPr>
            <w:r w:rsidRPr="0004546C">
              <w:rPr>
                <w:rFonts w:ascii="Calibri" w:hAnsi="Calibri"/>
                <w:sz w:val="18"/>
                <w:szCs w:val="18"/>
              </w:rPr>
              <w:t>Průmyslová výroba a technologie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04546C" w:rsidRPr="0004546C" w:rsidRDefault="0004546C" w:rsidP="0004546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4546C">
              <w:rPr>
                <w:rFonts w:ascii="Calibri" w:hAnsi="Calibri"/>
                <w:sz w:val="18"/>
                <w:szCs w:val="18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04546C" w:rsidRPr="0004546C" w:rsidRDefault="0004546C" w:rsidP="0004546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4546C">
              <w:rPr>
                <w:rFonts w:ascii="Calibri" w:hAnsi="Calibri"/>
                <w:sz w:val="18"/>
                <w:szCs w:val="18"/>
              </w:rPr>
              <w:t>10</w:t>
            </w:r>
          </w:p>
        </w:tc>
      </w:tr>
      <w:tr w:rsidR="0004546C" w:rsidRPr="0004546C" w:rsidTr="0004546C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46C" w:rsidRPr="0004546C" w:rsidRDefault="0004546C" w:rsidP="0004546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4546C">
              <w:rPr>
                <w:rFonts w:ascii="Calibri" w:hAnsi="Calibri"/>
                <w:sz w:val="18"/>
                <w:szCs w:val="18"/>
              </w:rPr>
              <w:t>SEO08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46C" w:rsidRPr="0004546C" w:rsidRDefault="0004546C" w:rsidP="0004546C">
            <w:pPr>
              <w:rPr>
                <w:rFonts w:ascii="Calibri" w:hAnsi="Calibri"/>
                <w:sz w:val="18"/>
                <w:szCs w:val="18"/>
              </w:rPr>
            </w:pPr>
            <w:r w:rsidRPr="0004546C">
              <w:rPr>
                <w:rFonts w:ascii="Calibri" w:hAnsi="Calibri"/>
                <w:sz w:val="18"/>
                <w:szCs w:val="18"/>
              </w:rPr>
              <w:t>Společenské struktury a vztahy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46C" w:rsidRPr="0004546C" w:rsidRDefault="0004546C" w:rsidP="0004546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4546C"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46C" w:rsidRPr="0004546C" w:rsidRDefault="0004546C" w:rsidP="0004546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4546C">
              <w:rPr>
                <w:rFonts w:ascii="Calibri" w:hAnsi="Calibri"/>
                <w:sz w:val="18"/>
                <w:szCs w:val="18"/>
              </w:rPr>
              <w:t>0</w:t>
            </w:r>
          </w:p>
        </w:tc>
      </w:tr>
      <w:tr w:rsidR="0004546C" w:rsidRPr="0004546C" w:rsidTr="0004546C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04546C" w:rsidRPr="0004546C" w:rsidRDefault="0004546C" w:rsidP="0004546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4546C">
              <w:rPr>
                <w:rFonts w:ascii="Calibri" w:hAnsi="Calibri"/>
                <w:sz w:val="18"/>
                <w:szCs w:val="18"/>
              </w:rPr>
              <w:t>SEO09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04546C" w:rsidRPr="0004546C" w:rsidRDefault="0004546C" w:rsidP="0004546C">
            <w:pPr>
              <w:rPr>
                <w:rFonts w:ascii="Calibri" w:hAnsi="Calibri"/>
                <w:sz w:val="18"/>
                <w:szCs w:val="18"/>
              </w:rPr>
            </w:pPr>
            <w:r w:rsidRPr="0004546C">
              <w:rPr>
                <w:rFonts w:ascii="Calibri" w:hAnsi="Calibri"/>
                <w:sz w:val="18"/>
                <w:szCs w:val="18"/>
              </w:rPr>
              <w:t>Průzkum a využití vesmíru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04546C" w:rsidRPr="0004546C" w:rsidRDefault="0004546C" w:rsidP="0004546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4546C"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04546C" w:rsidRPr="0004546C" w:rsidRDefault="0004546C" w:rsidP="0004546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4546C">
              <w:rPr>
                <w:rFonts w:ascii="Calibri" w:hAnsi="Calibri"/>
                <w:sz w:val="18"/>
                <w:szCs w:val="18"/>
              </w:rPr>
              <w:t>0</w:t>
            </w:r>
          </w:p>
        </w:tc>
      </w:tr>
      <w:tr w:rsidR="0004546C" w:rsidRPr="0004546C" w:rsidTr="0004546C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46C" w:rsidRPr="0004546C" w:rsidRDefault="0004546C" w:rsidP="0004546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4546C">
              <w:rPr>
                <w:rFonts w:ascii="Calibri" w:hAnsi="Calibri"/>
                <w:sz w:val="18"/>
                <w:szCs w:val="18"/>
              </w:rPr>
              <w:t>SEO10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46C" w:rsidRPr="0004546C" w:rsidRDefault="0004546C" w:rsidP="0004546C">
            <w:pPr>
              <w:rPr>
                <w:rFonts w:ascii="Calibri" w:hAnsi="Calibri"/>
                <w:sz w:val="18"/>
                <w:szCs w:val="18"/>
              </w:rPr>
            </w:pPr>
            <w:r w:rsidRPr="0004546C">
              <w:rPr>
                <w:rFonts w:ascii="Calibri" w:hAnsi="Calibri"/>
                <w:sz w:val="18"/>
                <w:szCs w:val="18"/>
              </w:rPr>
              <w:t>Všeobecný výzkum na vysokých školách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46C" w:rsidRPr="0004546C" w:rsidRDefault="0004546C" w:rsidP="0004546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4546C"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46C" w:rsidRPr="0004546C" w:rsidRDefault="0004546C" w:rsidP="0004546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4546C">
              <w:rPr>
                <w:rFonts w:ascii="Calibri" w:hAnsi="Calibri"/>
                <w:sz w:val="18"/>
                <w:szCs w:val="18"/>
              </w:rPr>
              <w:t>0</w:t>
            </w:r>
          </w:p>
        </w:tc>
      </w:tr>
      <w:tr w:rsidR="0004546C" w:rsidRPr="0004546C" w:rsidTr="0004546C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04546C" w:rsidRPr="0004546C" w:rsidRDefault="0004546C" w:rsidP="0004546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4546C">
              <w:rPr>
                <w:rFonts w:ascii="Calibri" w:hAnsi="Calibri"/>
                <w:sz w:val="18"/>
                <w:szCs w:val="18"/>
              </w:rPr>
              <w:t>SEO11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04546C" w:rsidRPr="0004546C" w:rsidRDefault="0004546C" w:rsidP="0004546C">
            <w:pPr>
              <w:rPr>
                <w:rFonts w:ascii="Calibri" w:hAnsi="Calibri"/>
                <w:sz w:val="18"/>
                <w:szCs w:val="18"/>
              </w:rPr>
            </w:pPr>
            <w:r w:rsidRPr="0004546C">
              <w:rPr>
                <w:rFonts w:ascii="Calibri" w:hAnsi="Calibri"/>
                <w:sz w:val="18"/>
                <w:szCs w:val="18"/>
              </w:rPr>
              <w:t>Neorientovaný výzkum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04546C" w:rsidRPr="0004546C" w:rsidRDefault="0004546C" w:rsidP="0004546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4546C"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04546C" w:rsidRPr="0004546C" w:rsidRDefault="0004546C" w:rsidP="0004546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4546C">
              <w:rPr>
                <w:rFonts w:ascii="Calibri" w:hAnsi="Calibri"/>
                <w:sz w:val="18"/>
                <w:szCs w:val="18"/>
              </w:rPr>
              <w:t>0</w:t>
            </w:r>
          </w:p>
        </w:tc>
      </w:tr>
      <w:tr w:rsidR="0004546C" w:rsidRPr="0004546C" w:rsidTr="0004546C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46C" w:rsidRPr="0004546C" w:rsidRDefault="0004546C" w:rsidP="0004546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4546C">
              <w:rPr>
                <w:rFonts w:ascii="Calibri" w:hAnsi="Calibri"/>
                <w:sz w:val="18"/>
                <w:szCs w:val="18"/>
              </w:rPr>
              <w:t>SEO12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46C" w:rsidRPr="0004546C" w:rsidRDefault="0004546C" w:rsidP="0004546C">
            <w:pPr>
              <w:rPr>
                <w:rFonts w:ascii="Calibri" w:hAnsi="Calibri"/>
                <w:sz w:val="18"/>
                <w:szCs w:val="18"/>
              </w:rPr>
            </w:pPr>
            <w:r w:rsidRPr="0004546C">
              <w:rPr>
                <w:rFonts w:ascii="Calibri" w:hAnsi="Calibri"/>
                <w:sz w:val="18"/>
                <w:szCs w:val="18"/>
              </w:rPr>
              <w:t>Ostatní civilní výzkum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46C" w:rsidRPr="0004546C" w:rsidRDefault="0004546C" w:rsidP="0004546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4546C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46C" w:rsidRPr="0004546C" w:rsidRDefault="0004546C" w:rsidP="0004546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4546C">
              <w:rPr>
                <w:rFonts w:ascii="Calibri" w:hAnsi="Calibri"/>
                <w:sz w:val="18"/>
                <w:szCs w:val="18"/>
              </w:rPr>
              <w:t>0</w:t>
            </w:r>
          </w:p>
        </w:tc>
      </w:tr>
      <w:tr w:rsidR="0004546C" w:rsidRPr="0004546C" w:rsidTr="0004546C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single" w:sz="4" w:space="0" w:color="C2D69A"/>
              <w:right w:val="nil"/>
            </w:tcBorders>
            <w:shd w:val="clear" w:color="000000" w:fill="EAF1DD"/>
            <w:noWrap/>
            <w:vAlign w:val="center"/>
            <w:hideMark/>
          </w:tcPr>
          <w:p w:rsidR="0004546C" w:rsidRPr="0004546C" w:rsidRDefault="0004546C" w:rsidP="0004546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4546C">
              <w:rPr>
                <w:rFonts w:ascii="Calibri" w:hAnsi="Calibri"/>
                <w:sz w:val="18"/>
                <w:szCs w:val="18"/>
              </w:rPr>
              <w:t>SEO13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C2D69A"/>
              <w:right w:val="nil"/>
            </w:tcBorders>
            <w:shd w:val="clear" w:color="000000" w:fill="EAF1DD"/>
            <w:vAlign w:val="center"/>
            <w:hideMark/>
          </w:tcPr>
          <w:p w:rsidR="0004546C" w:rsidRPr="0004546C" w:rsidRDefault="0004546C" w:rsidP="0004546C">
            <w:pPr>
              <w:rPr>
                <w:rFonts w:ascii="Calibri" w:hAnsi="Calibri"/>
                <w:sz w:val="18"/>
                <w:szCs w:val="18"/>
              </w:rPr>
            </w:pPr>
            <w:r w:rsidRPr="0004546C">
              <w:rPr>
                <w:rFonts w:ascii="Calibri" w:hAnsi="Calibri"/>
                <w:sz w:val="18"/>
                <w:szCs w:val="18"/>
              </w:rPr>
              <w:t xml:space="preserve">Obrana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2D69A"/>
              <w:right w:val="nil"/>
            </w:tcBorders>
            <w:shd w:val="clear" w:color="000000" w:fill="EAF1DD"/>
            <w:noWrap/>
            <w:vAlign w:val="center"/>
            <w:hideMark/>
          </w:tcPr>
          <w:p w:rsidR="0004546C" w:rsidRPr="0004546C" w:rsidRDefault="0004546C" w:rsidP="0004546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4546C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2D69A"/>
              <w:right w:val="nil"/>
            </w:tcBorders>
            <w:shd w:val="clear" w:color="000000" w:fill="EAF1DD"/>
            <w:noWrap/>
            <w:vAlign w:val="center"/>
            <w:hideMark/>
          </w:tcPr>
          <w:p w:rsidR="0004546C" w:rsidRPr="0004546C" w:rsidRDefault="0004546C" w:rsidP="0004546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4546C">
              <w:rPr>
                <w:rFonts w:ascii="Calibri" w:hAnsi="Calibri"/>
                <w:sz w:val="18"/>
                <w:szCs w:val="18"/>
              </w:rPr>
              <w:t>0</w:t>
            </w:r>
          </w:p>
        </w:tc>
      </w:tr>
    </w:tbl>
    <w:p w:rsidR="001C443D" w:rsidRDefault="001C443D" w:rsidP="00FB24B1">
      <w:pPr>
        <w:pStyle w:val="Zkladntext2"/>
        <w:ind w:right="638"/>
        <w:rPr>
          <w:sz w:val="18"/>
        </w:rPr>
      </w:pPr>
    </w:p>
    <w:p w:rsidR="00D85915" w:rsidRDefault="00FB24B1" w:rsidP="008B1761">
      <w:pPr>
        <w:pStyle w:val="Zkladntext2"/>
        <w:ind w:right="638"/>
        <w:jc w:val="both"/>
      </w:pPr>
      <w:r w:rsidRPr="00D85915">
        <w:rPr>
          <w:rFonts w:ascii="Calibri" w:hAnsi="Calibri"/>
          <w:i/>
          <w:sz w:val="18"/>
        </w:rPr>
        <w:t>POZN.:</w:t>
      </w:r>
      <w:r w:rsidR="00D85915" w:rsidRPr="00D85915">
        <w:rPr>
          <w:rFonts w:ascii="Calibri" w:hAnsi="Calibri"/>
          <w:i/>
          <w:sz w:val="18"/>
        </w:rPr>
        <w:t xml:space="preserve"> Kompletní výčet všech </w:t>
      </w:r>
      <w:r w:rsidR="00D53B04">
        <w:rPr>
          <w:rFonts w:ascii="Calibri" w:hAnsi="Calibri"/>
          <w:i/>
          <w:sz w:val="18"/>
        </w:rPr>
        <w:t xml:space="preserve">hlavních </w:t>
      </w:r>
      <w:r w:rsidR="00D85915" w:rsidRPr="00D85915">
        <w:rPr>
          <w:rFonts w:ascii="Calibri" w:hAnsi="Calibri"/>
          <w:i/>
          <w:sz w:val="18"/>
        </w:rPr>
        <w:t>cílů</w:t>
      </w:r>
      <w:r w:rsidR="00D53B04">
        <w:rPr>
          <w:rFonts w:ascii="Calibri" w:hAnsi="Calibri"/>
          <w:i/>
          <w:sz w:val="18"/>
        </w:rPr>
        <w:t xml:space="preserve"> a podcílů</w:t>
      </w:r>
      <w:r w:rsidR="00D85915" w:rsidRPr="00D85915">
        <w:rPr>
          <w:rFonts w:ascii="Calibri" w:hAnsi="Calibri"/>
          <w:i/>
          <w:sz w:val="18"/>
        </w:rPr>
        <w:t xml:space="preserve"> viz metodická pří</w:t>
      </w:r>
      <w:r w:rsidR="003E50B3">
        <w:rPr>
          <w:rFonts w:ascii="Calibri" w:hAnsi="Calibri"/>
          <w:i/>
          <w:sz w:val="18"/>
        </w:rPr>
        <w:t>loha</w:t>
      </w:r>
      <w:r w:rsidR="00D53B04">
        <w:rPr>
          <w:rFonts w:ascii="Calibri" w:hAnsi="Calibri"/>
          <w:i/>
          <w:sz w:val="18"/>
        </w:rPr>
        <w:t xml:space="preserve"> – klasifikace NABS 1992</w:t>
      </w:r>
      <w:r w:rsidR="003E50B3">
        <w:rPr>
          <w:rFonts w:ascii="Calibri" w:hAnsi="Calibri"/>
          <w:i/>
          <w:sz w:val="18"/>
        </w:rPr>
        <w:t xml:space="preserve">. </w:t>
      </w:r>
    </w:p>
    <w:p w:rsidR="00DC7CDE" w:rsidRDefault="00DC7CDE" w:rsidP="008B1761">
      <w:pPr>
        <w:pStyle w:val="Zkladntext2"/>
        <w:ind w:right="638"/>
        <w:jc w:val="both"/>
      </w:pPr>
    </w:p>
    <w:p w:rsidR="00D051DA" w:rsidRDefault="00D051DA" w:rsidP="008B1761">
      <w:pPr>
        <w:pStyle w:val="Zkladntext2"/>
        <w:ind w:right="638"/>
        <w:jc w:val="both"/>
      </w:pPr>
    </w:p>
    <w:p w:rsidR="00D051DA" w:rsidRDefault="00D051DA" w:rsidP="008B1761">
      <w:pPr>
        <w:pStyle w:val="Zkladntext2"/>
        <w:ind w:right="638"/>
        <w:jc w:val="both"/>
      </w:pPr>
    </w:p>
    <w:p w:rsidR="00E45DEF" w:rsidRPr="00D051DA" w:rsidRDefault="00564C8F" w:rsidP="00D051DA">
      <w:pPr>
        <w:pStyle w:val="Nadpis2"/>
        <w:pBdr>
          <w:bottom w:val="single" w:sz="4" w:space="1" w:color="C2D69B"/>
        </w:pBdr>
        <w:spacing w:after="120"/>
        <w:rPr>
          <w:rFonts w:ascii="Calibri" w:hAnsi="Calibri"/>
          <w:b w:val="0"/>
          <w:bCs w:val="0"/>
          <w:color w:val="4F6228"/>
          <w:sz w:val="24"/>
          <w:szCs w:val="22"/>
        </w:rPr>
        <w:sectPr w:rsidR="00E45DEF" w:rsidRPr="00D051DA" w:rsidSect="0062120B">
          <w:type w:val="continuous"/>
          <w:pgSz w:w="11906" w:h="16838" w:code="9"/>
          <w:pgMar w:top="1134" w:right="1134" w:bottom="1134" w:left="1134" w:header="737" w:footer="737" w:gutter="0"/>
          <w:pgNumType w:start="5"/>
          <w:cols w:space="397"/>
          <w:docGrid w:linePitch="360"/>
        </w:sectPr>
      </w:pPr>
      <w:r w:rsidRPr="00BB7791">
        <w:rPr>
          <w:rFonts w:ascii="Calibri" w:hAnsi="Calibri"/>
          <w:color w:val="4F6228"/>
          <w:sz w:val="24"/>
          <w:szCs w:val="22"/>
        </w:rPr>
        <w:lastRenderedPageBreak/>
        <w:t>B. REALIZACE STATISTICKÉ ÚLOHY GBAORD  V ČESKÉ REPUBLICE</w:t>
      </w:r>
    </w:p>
    <w:p w:rsidR="00AD2853" w:rsidRDefault="00564C8F" w:rsidP="005B778A">
      <w:pPr>
        <w:pStyle w:val="STYL10"/>
        <w:ind w:firstLine="284"/>
        <w:rPr>
          <w:rFonts w:ascii="Calibri" w:hAnsi="Calibri"/>
          <w:szCs w:val="22"/>
        </w:rPr>
      </w:pPr>
      <w:r w:rsidRPr="003B4301">
        <w:rPr>
          <w:rFonts w:ascii="Calibri" w:hAnsi="Calibri"/>
          <w:szCs w:val="22"/>
        </w:rPr>
        <w:lastRenderedPageBreak/>
        <w:t>Statistická úloha GBAORD je v podmínkách ČR realizována ve spol</w:t>
      </w:r>
      <w:r w:rsidR="00980DD0" w:rsidRPr="003B4301">
        <w:rPr>
          <w:rFonts w:ascii="Calibri" w:hAnsi="Calibri"/>
          <w:szCs w:val="22"/>
        </w:rPr>
        <w:t xml:space="preserve">upráci s Radou </w:t>
      </w:r>
      <w:r w:rsidRPr="003B4301">
        <w:rPr>
          <w:rFonts w:ascii="Calibri" w:hAnsi="Calibri"/>
          <w:szCs w:val="22"/>
        </w:rPr>
        <w:t>pro výzkum</w:t>
      </w:r>
      <w:r w:rsidR="00891B07">
        <w:rPr>
          <w:rFonts w:ascii="Calibri" w:hAnsi="Calibri"/>
          <w:szCs w:val="22"/>
        </w:rPr>
        <w:t xml:space="preserve">, </w:t>
      </w:r>
      <w:r w:rsidRPr="003B4301">
        <w:rPr>
          <w:rFonts w:ascii="Calibri" w:hAnsi="Calibri"/>
          <w:szCs w:val="22"/>
        </w:rPr>
        <w:t>vývoj</w:t>
      </w:r>
      <w:r w:rsidR="00891B07">
        <w:rPr>
          <w:rFonts w:ascii="Calibri" w:hAnsi="Calibri"/>
          <w:szCs w:val="22"/>
        </w:rPr>
        <w:t xml:space="preserve"> a inovace</w:t>
      </w:r>
      <w:r w:rsidR="00047586">
        <w:rPr>
          <w:rFonts w:ascii="Calibri" w:hAnsi="Calibri"/>
          <w:szCs w:val="22"/>
        </w:rPr>
        <w:t xml:space="preserve"> a </w:t>
      </w:r>
      <w:r w:rsidRPr="003B4301">
        <w:rPr>
          <w:rFonts w:ascii="Calibri" w:hAnsi="Calibri"/>
          <w:szCs w:val="22"/>
        </w:rPr>
        <w:t>Ministerstvem školství, mládeže a tělovýchovy prostře</w:t>
      </w:r>
      <w:r w:rsidR="00C633E4">
        <w:rPr>
          <w:rFonts w:ascii="Calibri" w:hAnsi="Calibri"/>
          <w:szCs w:val="22"/>
        </w:rPr>
        <w:t xml:space="preserve">dnictvím </w:t>
      </w:r>
      <w:r w:rsidR="00C633E4" w:rsidRPr="00C633E4">
        <w:rPr>
          <w:rFonts w:ascii="Calibri" w:hAnsi="Calibri"/>
          <w:szCs w:val="22"/>
        </w:rPr>
        <w:t>Informační</w:t>
      </w:r>
      <w:r w:rsidR="009E4229">
        <w:rPr>
          <w:rFonts w:ascii="Calibri" w:hAnsi="Calibri"/>
          <w:szCs w:val="22"/>
        </w:rPr>
        <w:t>ho</w:t>
      </w:r>
      <w:r w:rsidR="00C633E4" w:rsidRPr="00C633E4">
        <w:rPr>
          <w:rFonts w:ascii="Calibri" w:hAnsi="Calibri"/>
          <w:szCs w:val="22"/>
        </w:rPr>
        <w:t xml:space="preserve"> systém</w:t>
      </w:r>
      <w:r w:rsidR="009E4229">
        <w:rPr>
          <w:rFonts w:ascii="Calibri" w:hAnsi="Calibri"/>
          <w:szCs w:val="22"/>
        </w:rPr>
        <w:t>u</w:t>
      </w:r>
      <w:r w:rsidR="00C633E4" w:rsidRPr="00C633E4">
        <w:rPr>
          <w:rFonts w:ascii="Calibri" w:hAnsi="Calibri"/>
          <w:szCs w:val="22"/>
        </w:rPr>
        <w:t xml:space="preserve"> výzkumu, experimentálního vývoje a inovací </w:t>
      </w:r>
      <w:r w:rsidR="00C633E4" w:rsidRPr="00C553C2">
        <w:rPr>
          <w:rFonts w:ascii="Calibri" w:hAnsi="Calibri"/>
          <w:szCs w:val="22"/>
        </w:rPr>
        <w:t xml:space="preserve">(IS </w:t>
      </w:r>
      <w:proofErr w:type="spellStart"/>
      <w:r w:rsidR="00201498">
        <w:rPr>
          <w:rFonts w:ascii="Calibri" w:hAnsi="Calibri"/>
          <w:szCs w:val="22"/>
        </w:rPr>
        <w:t>VaVaI</w:t>
      </w:r>
      <w:proofErr w:type="spellEnd"/>
      <w:r w:rsidR="00C633E4" w:rsidRPr="00C553C2">
        <w:rPr>
          <w:rFonts w:ascii="Calibri" w:hAnsi="Calibri"/>
          <w:szCs w:val="22"/>
        </w:rPr>
        <w:t>)</w:t>
      </w:r>
      <w:r w:rsidRPr="003B4301">
        <w:rPr>
          <w:rFonts w:ascii="Calibri" w:hAnsi="Calibri"/>
          <w:szCs w:val="22"/>
        </w:rPr>
        <w:t xml:space="preserve"> a jeho integrovaných databází. </w:t>
      </w:r>
    </w:p>
    <w:p w:rsidR="00564C8F" w:rsidRPr="003B4301" w:rsidRDefault="00564C8F" w:rsidP="005B778A">
      <w:pPr>
        <w:pStyle w:val="STYL10"/>
        <w:ind w:firstLine="284"/>
        <w:rPr>
          <w:rFonts w:ascii="Calibri" w:hAnsi="Calibri"/>
          <w:szCs w:val="22"/>
        </w:rPr>
      </w:pPr>
      <w:r w:rsidRPr="003B4301">
        <w:rPr>
          <w:rFonts w:ascii="Calibri" w:hAnsi="Calibri"/>
          <w:szCs w:val="22"/>
        </w:rPr>
        <w:t xml:space="preserve">Koncepce zohledňuje podmínky dané </w:t>
      </w:r>
      <w:r w:rsidR="009E4229">
        <w:rPr>
          <w:rFonts w:ascii="Calibri" w:hAnsi="Calibri"/>
          <w:szCs w:val="22"/>
        </w:rPr>
        <w:t xml:space="preserve">novelizovaným </w:t>
      </w:r>
      <w:r w:rsidRPr="003B4301">
        <w:rPr>
          <w:rFonts w:ascii="Calibri" w:hAnsi="Calibri"/>
          <w:szCs w:val="22"/>
        </w:rPr>
        <w:t>zákonem č. 130/2002 Sb. o podpoře výzk</w:t>
      </w:r>
      <w:r w:rsidR="008B687F">
        <w:rPr>
          <w:rFonts w:ascii="Calibri" w:hAnsi="Calibri"/>
          <w:szCs w:val="22"/>
        </w:rPr>
        <w:t xml:space="preserve">umu, </w:t>
      </w:r>
      <w:r w:rsidR="00047586">
        <w:rPr>
          <w:rFonts w:ascii="Calibri" w:hAnsi="Calibri"/>
          <w:szCs w:val="22"/>
        </w:rPr>
        <w:t>vývoje</w:t>
      </w:r>
      <w:r w:rsidR="008B687F">
        <w:rPr>
          <w:rFonts w:ascii="Calibri" w:hAnsi="Calibri"/>
          <w:szCs w:val="22"/>
        </w:rPr>
        <w:t xml:space="preserve"> a inovací</w:t>
      </w:r>
      <w:r w:rsidR="00047586">
        <w:rPr>
          <w:rFonts w:ascii="Calibri" w:hAnsi="Calibri"/>
          <w:szCs w:val="22"/>
        </w:rPr>
        <w:t xml:space="preserve"> a </w:t>
      </w:r>
      <w:r w:rsidRPr="003B4301">
        <w:rPr>
          <w:rFonts w:ascii="Calibri" w:hAnsi="Calibri"/>
          <w:szCs w:val="22"/>
        </w:rPr>
        <w:t xml:space="preserve">platnými </w:t>
      </w:r>
      <w:r w:rsidR="00794B54">
        <w:rPr>
          <w:rFonts w:ascii="Calibri" w:hAnsi="Calibri"/>
          <w:szCs w:val="22"/>
        </w:rPr>
        <w:t>nařízeními vlády, zejména č. 397/2009 Sb.</w:t>
      </w:r>
      <w:r w:rsidRPr="003B4301">
        <w:rPr>
          <w:rFonts w:ascii="Calibri" w:hAnsi="Calibri"/>
          <w:szCs w:val="22"/>
        </w:rPr>
        <w:t xml:space="preserve"> o </w:t>
      </w:r>
      <w:r w:rsidR="00015EF5">
        <w:rPr>
          <w:rFonts w:ascii="Calibri" w:hAnsi="Calibri"/>
          <w:szCs w:val="22"/>
        </w:rPr>
        <w:t xml:space="preserve">IS </w:t>
      </w:r>
      <w:proofErr w:type="spellStart"/>
      <w:r w:rsidR="00015EF5">
        <w:rPr>
          <w:rFonts w:ascii="Calibri" w:hAnsi="Calibri"/>
          <w:szCs w:val="22"/>
        </w:rPr>
        <w:t>VaVaI</w:t>
      </w:r>
      <w:proofErr w:type="spellEnd"/>
      <w:r w:rsidRPr="003B4301">
        <w:rPr>
          <w:rStyle w:val="Znakapoznpodarou"/>
          <w:rFonts w:ascii="Calibri" w:hAnsi="Calibri"/>
          <w:szCs w:val="22"/>
        </w:rPr>
        <w:footnoteReference w:id="3"/>
      </w:r>
      <w:r w:rsidRPr="003B4301">
        <w:rPr>
          <w:rFonts w:ascii="Calibri" w:hAnsi="Calibri"/>
          <w:szCs w:val="22"/>
        </w:rPr>
        <w:t xml:space="preserve">. Podle současného znění zákona je správcem IS </w:t>
      </w:r>
      <w:proofErr w:type="spellStart"/>
      <w:r w:rsidR="00201498">
        <w:rPr>
          <w:rFonts w:ascii="Calibri" w:hAnsi="Calibri"/>
          <w:szCs w:val="22"/>
        </w:rPr>
        <w:t>VaVaI</w:t>
      </w:r>
      <w:proofErr w:type="spellEnd"/>
      <w:r w:rsidR="00980DD0" w:rsidRPr="003B4301">
        <w:rPr>
          <w:rFonts w:ascii="Calibri" w:hAnsi="Calibri"/>
          <w:szCs w:val="22"/>
        </w:rPr>
        <w:t xml:space="preserve"> Rada </w:t>
      </w:r>
      <w:r w:rsidRPr="003B4301">
        <w:rPr>
          <w:rFonts w:ascii="Calibri" w:hAnsi="Calibri"/>
          <w:szCs w:val="22"/>
        </w:rPr>
        <w:t>pro výzkum</w:t>
      </w:r>
      <w:r w:rsidR="004F628E">
        <w:rPr>
          <w:rFonts w:ascii="Calibri" w:hAnsi="Calibri"/>
          <w:szCs w:val="22"/>
        </w:rPr>
        <w:t xml:space="preserve">, vývoj a inovace (dále jen </w:t>
      </w:r>
      <w:r w:rsidR="004F628E" w:rsidRPr="00C633E4">
        <w:rPr>
          <w:rFonts w:ascii="Calibri" w:hAnsi="Calibri"/>
          <w:szCs w:val="22"/>
        </w:rPr>
        <w:t>"</w:t>
      </w:r>
      <w:r w:rsidR="004F628E">
        <w:rPr>
          <w:rFonts w:ascii="Calibri" w:hAnsi="Calibri"/>
          <w:szCs w:val="22"/>
        </w:rPr>
        <w:t>RVVI</w:t>
      </w:r>
      <w:r w:rsidR="004F628E" w:rsidRPr="00C633E4">
        <w:rPr>
          <w:rFonts w:ascii="Calibri" w:hAnsi="Calibri"/>
          <w:szCs w:val="22"/>
        </w:rPr>
        <w:t>"</w:t>
      </w:r>
      <w:r w:rsidR="004F628E">
        <w:rPr>
          <w:rFonts w:ascii="Calibri" w:hAnsi="Calibri"/>
          <w:szCs w:val="22"/>
        </w:rPr>
        <w:t>)</w:t>
      </w:r>
      <w:r w:rsidRPr="003B4301">
        <w:rPr>
          <w:rFonts w:ascii="Calibri" w:hAnsi="Calibri"/>
          <w:szCs w:val="22"/>
        </w:rPr>
        <w:t xml:space="preserve">. Z integrovaných databází IS </w:t>
      </w:r>
      <w:proofErr w:type="spellStart"/>
      <w:r w:rsidR="00201498">
        <w:rPr>
          <w:rFonts w:ascii="Calibri" w:hAnsi="Calibri"/>
          <w:szCs w:val="22"/>
        </w:rPr>
        <w:t>VaVaI</w:t>
      </w:r>
      <w:proofErr w:type="spellEnd"/>
      <w:r w:rsidRPr="003B4301">
        <w:rPr>
          <w:rFonts w:ascii="Calibri" w:hAnsi="Calibri"/>
          <w:szCs w:val="22"/>
        </w:rPr>
        <w:t xml:space="preserve"> jsou pro zabezpečení projektu GBAORD využity databáze CEP (</w:t>
      </w:r>
      <w:r w:rsidRPr="009E4229">
        <w:rPr>
          <w:rFonts w:ascii="Calibri" w:hAnsi="Calibri"/>
          <w:b/>
          <w:szCs w:val="22"/>
        </w:rPr>
        <w:t xml:space="preserve">Centrální evidence projektů </w:t>
      </w:r>
      <w:proofErr w:type="spellStart"/>
      <w:r w:rsidRPr="009E4229">
        <w:rPr>
          <w:rFonts w:ascii="Calibri" w:hAnsi="Calibri"/>
          <w:b/>
          <w:szCs w:val="22"/>
        </w:rPr>
        <w:t>VaV</w:t>
      </w:r>
      <w:proofErr w:type="spellEnd"/>
      <w:r w:rsidRPr="003B4301">
        <w:rPr>
          <w:rFonts w:ascii="Calibri" w:hAnsi="Calibri"/>
          <w:szCs w:val="22"/>
        </w:rPr>
        <w:t>)</w:t>
      </w:r>
      <w:r w:rsidR="00A202EB">
        <w:rPr>
          <w:rFonts w:ascii="Calibri" w:hAnsi="Calibri"/>
          <w:szCs w:val="22"/>
        </w:rPr>
        <w:t xml:space="preserve">, </w:t>
      </w:r>
      <w:r w:rsidRPr="003B4301">
        <w:rPr>
          <w:rFonts w:ascii="Calibri" w:hAnsi="Calibri"/>
          <w:szCs w:val="22"/>
        </w:rPr>
        <w:t xml:space="preserve"> CEZ (</w:t>
      </w:r>
      <w:r w:rsidRPr="009E4229">
        <w:rPr>
          <w:rFonts w:ascii="Calibri" w:hAnsi="Calibri"/>
          <w:b/>
          <w:szCs w:val="22"/>
        </w:rPr>
        <w:t>Centrální evidence výzkumných záměrů</w:t>
      </w:r>
      <w:r w:rsidRPr="003B4301">
        <w:rPr>
          <w:rFonts w:ascii="Calibri" w:hAnsi="Calibri"/>
          <w:szCs w:val="22"/>
        </w:rPr>
        <w:t>)</w:t>
      </w:r>
      <w:r w:rsidR="00A202EB">
        <w:rPr>
          <w:rFonts w:ascii="Calibri" w:hAnsi="Calibri"/>
          <w:szCs w:val="22"/>
        </w:rPr>
        <w:t xml:space="preserve"> a CEA (</w:t>
      </w:r>
      <w:r w:rsidR="00A202EB" w:rsidRPr="00A202EB">
        <w:rPr>
          <w:rFonts w:ascii="Calibri" w:hAnsi="Calibri"/>
          <w:b/>
          <w:szCs w:val="22"/>
        </w:rPr>
        <w:t>Centrální evidence aktivit</w:t>
      </w:r>
      <w:r w:rsidR="00A202EB">
        <w:rPr>
          <w:rFonts w:ascii="Calibri" w:hAnsi="Calibri"/>
          <w:szCs w:val="22"/>
        </w:rPr>
        <w:t>)</w:t>
      </w:r>
      <w:r w:rsidRPr="003B4301">
        <w:rPr>
          <w:rFonts w:ascii="Calibri" w:hAnsi="Calibri"/>
          <w:szCs w:val="22"/>
        </w:rPr>
        <w:t>. Doplňkově jsou použity údaje z oddělení pří</w:t>
      </w:r>
      <w:r w:rsidR="00980DD0" w:rsidRPr="003B4301">
        <w:rPr>
          <w:rFonts w:ascii="Calibri" w:hAnsi="Calibri"/>
          <w:szCs w:val="22"/>
        </w:rPr>
        <w:t xml:space="preserve">pravy rozpočtu úseku </w:t>
      </w:r>
      <w:r w:rsidR="007E72F7">
        <w:rPr>
          <w:rFonts w:ascii="Calibri" w:hAnsi="Calibri"/>
          <w:szCs w:val="22"/>
        </w:rPr>
        <w:t>RVVI</w:t>
      </w:r>
      <w:r w:rsidR="00A202EB">
        <w:rPr>
          <w:rFonts w:ascii="Calibri" w:hAnsi="Calibri"/>
          <w:szCs w:val="22"/>
        </w:rPr>
        <w:t xml:space="preserve">. Databáze CEP, </w:t>
      </w:r>
      <w:r w:rsidRPr="003B4301">
        <w:rPr>
          <w:rFonts w:ascii="Calibri" w:hAnsi="Calibri"/>
          <w:szCs w:val="22"/>
        </w:rPr>
        <w:t>CEZ</w:t>
      </w:r>
      <w:r w:rsidR="00A202EB">
        <w:rPr>
          <w:rFonts w:ascii="Calibri" w:hAnsi="Calibri"/>
          <w:szCs w:val="22"/>
        </w:rPr>
        <w:t xml:space="preserve"> a CEA</w:t>
      </w:r>
      <w:r w:rsidRPr="003B4301">
        <w:rPr>
          <w:rFonts w:ascii="Calibri" w:hAnsi="Calibri"/>
          <w:szCs w:val="22"/>
        </w:rPr>
        <w:t xml:space="preserve"> neobsahují všechny finanční částky poskytnuté na výzkum a vývoj (</w:t>
      </w:r>
      <w:r w:rsidR="006C564F">
        <w:rPr>
          <w:rFonts w:ascii="Calibri" w:hAnsi="Calibri"/>
          <w:szCs w:val="22"/>
        </w:rPr>
        <w:t xml:space="preserve">dále jen </w:t>
      </w:r>
      <w:r w:rsidR="006C564F" w:rsidRPr="00C633E4">
        <w:rPr>
          <w:rFonts w:ascii="Calibri" w:hAnsi="Calibri"/>
          <w:szCs w:val="22"/>
        </w:rPr>
        <w:t>"</w:t>
      </w:r>
      <w:proofErr w:type="spellStart"/>
      <w:r w:rsidRPr="003B4301">
        <w:rPr>
          <w:rFonts w:ascii="Calibri" w:hAnsi="Calibri"/>
          <w:szCs w:val="22"/>
        </w:rPr>
        <w:t>VaV</w:t>
      </w:r>
      <w:proofErr w:type="spellEnd"/>
      <w:r w:rsidR="006C564F" w:rsidRPr="00C633E4">
        <w:rPr>
          <w:rFonts w:ascii="Calibri" w:hAnsi="Calibri"/>
          <w:szCs w:val="22"/>
        </w:rPr>
        <w:t>"</w:t>
      </w:r>
      <w:r w:rsidR="005220D0">
        <w:rPr>
          <w:rFonts w:ascii="Calibri" w:hAnsi="Calibri"/>
          <w:szCs w:val="22"/>
        </w:rPr>
        <w:t>) ze </w:t>
      </w:r>
      <w:r w:rsidRPr="003B4301">
        <w:rPr>
          <w:rFonts w:ascii="Calibri" w:hAnsi="Calibri"/>
          <w:szCs w:val="22"/>
        </w:rPr>
        <w:t>státního rozpočtu</w:t>
      </w:r>
      <w:r w:rsidR="00A202EB">
        <w:rPr>
          <w:rFonts w:ascii="Calibri" w:hAnsi="Calibri"/>
          <w:szCs w:val="22"/>
        </w:rPr>
        <w:t xml:space="preserve"> v potřebném členění</w:t>
      </w:r>
      <w:r w:rsidRPr="003B4301">
        <w:rPr>
          <w:rFonts w:ascii="Calibri" w:hAnsi="Calibri"/>
          <w:szCs w:val="22"/>
        </w:rPr>
        <w:t xml:space="preserve">, a proto musí být detailní údaje o poplatcích a příspěvcích na mezinárodní programy </w:t>
      </w:r>
      <w:proofErr w:type="spellStart"/>
      <w:r w:rsidRPr="003B4301">
        <w:rPr>
          <w:rFonts w:ascii="Calibri" w:hAnsi="Calibri"/>
          <w:szCs w:val="22"/>
        </w:rPr>
        <w:t>VaV</w:t>
      </w:r>
      <w:proofErr w:type="spellEnd"/>
      <w:r w:rsidRPr="003B4301">
        <w:rPr>
          <w:rFonts w:ascii="Calibri" w:hAnsi="Calibri"/>
          <w:szCs w:val="22"/>
        </w:rPr>
        <w:t xml:space="preserve"> a údaje o specifickém výzkumu prováděném na vysokých škol</w:t>
      </w:r>
      <w:r w:rsidR="006C564F">
        <w:rPr>
          <w:rFonts w:ascii="Calibri" w:hAnsi="Calibri"/>
          <w:szCs w:val="22"/>
        </w:rPr>
        <w:t>ách získány v součinnosti s Ministerstvem školství, mládeže a tělovýchovy. Některé údaje pro socioekonomický cíl SEO 10, například</w:t>
      </w:r>
      <w:r w:rsidRPr="003B4301">
        <w:rPr>
          <w:rFonts w:ascii="Calibri" w:hAnsi="Calibri"/>
          <w:szCs w:val="22"/>
        </w:rPr>
        <w:t xml:space="preserve"> specifický výzkum na vysokých školách v členění podle vědních oblastí, jsou získávány přímo od jednotlivých vysokých škol, kterých se uvedená skutečnost týká. Stejně tak info</w:t>
      </w:r>
      <w:r w:rsidR="006C564F">
        <w:rPr>
          <w:rFonts w:ascii="Calibri" w:hAnsi="Calibri"/>
          <w:szCs w:val="22"/>
        </w:rPr>
        <w:t>rmace o návratných půjčkách byly</w:t>
      </w:r>
      <w:r w:rsidR="000F553B">
        <w:rPr>
          <w:rFonts w:ascii="Calibri" w:hAnsi="Calibri"/>
          <w:szCs w:val="22"/>
        </w:rPr>
        <w:t xml:space="preserve"> získá</w:t>
      </w:r>
      <w:r w:rsidRPr="003B4301">
        <w:rPr>
          <w:rFonts w:ascii="Calibri" w:hAnsi="Calibri"/>
          <w:szCs w:val="22"/>
        </w:rPr>
        <w:t xml:space="preserve">ny přímo od poskytovatelů (resortů) státní podpory </w:t>
      </w:r>
      <w:proofErr w:type="spellStart"/>
      <w:r w:rsidRPr="003B4301">
        <w:rPr>
          <w:rFonts w:ascii="Calibri" w:hAnsi="Calibri"/>
          <w:szCs w:val="22"/>
        </w:rPr>
        <w:t>VaV</w:t>
      </w:r>
      <w:proofErr w:type="spellEnd"/>
      <w:r w:rsidRPr="003B4301">
        <w:rPr>
          <w:rFonts w:ascii="Calibri" w:hAnsi="Calibri"/>
          <w:szCs w:val="22"/>
        </w:rPr>
        <w:t>.</w:t>
      </w:r>
      <w:r w:rsidR="006C564F">
        <w:rPr>
          <w:rFonts w:ascii="Calibri" w:hAnsi="Calibri"/>
          <w:szCs w:val="22"/>
        </w:rPr>
        <w:t xml:space="preserve"> </w:t>
      </w:r>
      <w:r w:rsidR="00C46BBE">
        <w:rPr>
          <w:rFonts w:ascii="Calibri" w:hAnsi="Calibri"/>
          <w:szCs w:val="22"/>
        </w:rPr>
        <w:t xml:space="preserve">Tato skutečnost se v období 2002 až 2005 týkala pouze dvou poskytovatelů. </w:t>
      </w:r>
      <w:r w:rsidR="006C564F">
        <w:rPr>
          <w:rFonts w:ascii="Calibri" w:hAnsi="Calibri"/>
          <w:szCs w:val="22"/>
        </w:rPr>
        <w:t>Od roku 2006 nejsou žádné návratné půjčky v GBAORD identifikovány.</w:t>
      </w:r>
    </w:p>
    <w:p w:rsidR="00564C8F" w:rsidRPr="003B4301" w:rsidRDefault="00564C8F" w:rsidP="005B778A">
      <w:pPr>
        <w:pStyle w:val="STYL10"/>
        <w:ind w:firstLine="284"/>
        <w:rPr>
          <w:rFonts w:ascii="Calibri" w:hAnsi="Calibri"/>
          <w:szCs w:val="22"/>
        </w:rPr>
      </w:pPr>
      <w:r w:rsidRPr="003B4301">
        <w:rPr>
          <w:rFonts w:ascii="Calibri" w:hAnsi="Calibri"/>
          <w:szCs w:val="22"/>
        </w:rPr>
        <w:t>Vlastní zpracování údajů a přiřazení kódů socioekonomických směrů (dále jen SEO) dle číselník</w:t>
      </w:r>
      <w:r w:rsidR="009D700E">
        <w:rPr>
          <w:rFonts w:ascii="Calibri" w:hAnsi="Calibri"/>
          <w:szCs w:val="22"/>
        </w:rPr>
        <w:t xml:space="preserve">u NABS provádí přímo </w:t>
      </w:r>
      <w:r w:rsidRPr="003B4301">
        <w:rPr>
          <w:rFonts w:ascii="Calibri" w:hAnsi="Calibri"/>
          <w:szCs w:val="22"/>
        </w:rPr>
        <w:t>ČSÚ. Z údajů získaných z databází CEP,</w:t>
      </w:r>
      <w:r w:rsidR="00183135">
        <w:rPr>
          <w:rFonts w:ascii="Calibri" w:hAnsi="Calibri"/>
          <w:szCs w:val="22"/>
        </w:rPr>
        <w:t xml:space="preserve"> CEZ</w:t>
      </w:r>
      <w:r w:rsidR="00BF0741">
        <w:rPr>
          <w:rFonts w:ascii="Calibri" w:hAnsi="Calibri"/>
          <w:szCs w:val="22"/>
        </w:rPr>
        <w:t>, CEA</w:t>
      </w:r>
      <w:r w:rsidR="00183135">
        <w:rPr>
          <w:rFonts w:ascii="Calibri" w:hAnsi="Calibri"/>
          <w:szCs w:val="22"/>
        </w:rPr>
        <w:t xml:space="preserve"> a doplňkových údajů od M</w:t>
      </w:r>
      <w:r w:rsidR="00047586">
        <w:rPr>
          <w:rFonts w:ascii="Calibri" w:hAnsi="Calibri"/>
          <w:szCs w:val="22"/>
        </w:rPr>
        <w:t>inisterstva školství, mládeže a </w:t>
      </w:r>
      <w:r w:rsidR="00183135">
        <w:rPr>
          <w:rFonts w:ascii="Calibri" w:hAnsi="Calibri"/>
          <w:szCs w:val="22"/>
        </w:rPr>
        <w:t>tělovýchovy</w:t>
      </w:r>
      <w:r w:rsidRPr="003B4301">
        <w:rPr>
          <w:rFonts w:ascii="Calibri" w:hAnsi="Calibri"/>
          <w:szCs w:val="22"/>
        </w:rPr>
        <w:t xml:space="preserve"> je nutno vyloučit podle metodiky </w:t>
      </w:r>
      <w:proofErr w:type="spellStart"/>
      <w:r w:rsidRPr="003B4301">
        <w:rPr>
          <w:rFonts w:ascii="Calibri" w:hAnsi="Calibri"/>
          <w:szCs w:val="22"/>
        </w:rPr>
        <w:t>Frascati</w:t>
      </w:r>
      <w:proofErr w:type="spellEnd"/>
      <w:r w:rsidRPr="003B4301">
        <w:rPr>
          <w:rFonts w:ascii="Calibri" w:hAnsi="Calibri"/>
          <w:szCs w:val="22"/>
        </w:rPr>
        <w:t xml:space="preserve"> manuálu částky, které nejsou považovány za souč</w:t>
      </w:r>
      <w:r w:rsidR="009D700E">
        <w:rPr>
          <w:rFonts w:ascii="Calibri" w:hAnsi="Calibri"/>
          <w:szCs w:val="22"/>
        </w:rPr>
        <w:t>ást GBAORD. J</w:t>
      </w:r>
      <w:r w:rsidRPr="003B4301">
        <w:rPr>
          <w:rFonts w:ascii="Calibri" w:hAnsi="Calibri"/>
          <w:szCs w:val="22"/>
        </w:rPr>
        <w:t xml:space="preserve">edná </w:t>
      </w:r>
      <w:r w:rsidR="007E2042">
        <w:rPr>
          <w:rFonts w:ascii="Calibri" w:hAnsi="Calibri"/>
          <w:szCs w:val="22"/>
        </w:rPr>
        <w:t xml:space="preserve">se </w:t>
      </w:r>
      <w:r w:rsidRPr="003B4301">
        <w:rPr>
          <w:rFonts w:ascii="Calibri" w:hAnsi="Calibri"/>
          <w:szCs w:val="22"/>
        </w:rPr>
        <w:t>o</w:t>
      </w:r>
      <w:r w:rsidR="007E2042">
        <w:rPr>
          <w:rFonts w:ascii="Calibri" w:hAnsi="Calibri"/>
          <w:szCs w:val="22"/>
        </w:rPr>
        <w:t xml:space="preserve"> podporu </w:t>
      </w:r>
      <w:proofErr w:type="spellStart"/>
      <w:r w:rsidR="007E2042">
        <w:rPr>
          <w:rFonts w:ascii="Calibri" w:hAnsi="Calibri"/>
          <w:szCs w:val="22"/>
        </w:rPr>
        <w:t>VaV</w:t>
      </w:r>
      <w:proofErr w:type="spellEnd"/>
      <w:r w:rsidR="007E2042">
        <w:rPr>
          <w:rFonts w:ascii="Calibri" w:hAnsi="Calibri"/>
          <w:szCs w:val="22"/>
        </w:rPr>
        <w:t>, která je financována</w:t>
      </w:r>
      <w:r w:rsidRPr="003B4301">
        <w:rPr>
          <w:rFonts w:ascii="Calibri" w:hAnsi="Calibri"/>
          <w:szCs w:val="22"/>
        </w:rPr>
        <w:t xml:space="preserve"> formou návratné půjčky (pouze u projektů realizovaných před platností zákona č. 130/2002 Sb.</w:t>
      </w:r>
      <w:r w:rsidR="009D700E">
        <w:rPr>
          <w:rFonts w:ascii="Calibri" w:hAnsi="Calibri"/>
          <w:szCs w:val="22"/>
        </w:rPr>
        <w:t xml:space="preserve"> a předfinancování Strukturálních fondů EU</w:t>
      </w:r>
      <w:r w:rsidRPr="003B4301">
        <w:rPr>
          <w:rFonts w:ascii="Calibri" w:hAnsi="Calibri"/>
          <w:szCs w:val="22"/>
        </w:rPr>
        <w:t>)</w:t>
      </w:r>
      <w:r w:rsidR="00BF0741">
        <w:rPr>
          <w:rFonts w:ascii="Calibri" w:hAnsi="Calibri"/>
          <w:szCs w:val="22"/>
        </w:rPr>
        <w:t xml:space="preserve">, </w:t>
      </w:r>
      <w:r w:rsidRPr="003B4301">
        <w:rPr>
          <w:rFonts w:ascii="Calibri" w:hAnsi="Calibri"/>
          <w:szCs w:val="22"/>
        </w:rPr>
        <w:t>některé administrativní náklady</w:t>
      </w:r>
      <w:r w:rsidR="00BF0741">
        <w:rPr>
          <w:rFonts w:ascii="Calibri" w:hAnsi="Calibri"/>
          <w:szCs w:val="22"/>
        </w:rPr>
        <w:t xml:space="preserve"> a podpora inovací</w:t>
      </w:r>
      <w:r w:rsidRPr="003B4301">
        <w:rPr>
          <w:rFonts w:ascii="Calibri" w:hAnsi="Calibri"/>
          <w:szCs w:val="22"/>
        </w:rPr>
        <w:t>. Očištěné údaje jsou klasifikovány p</w:t>
      </w:r>
      <w:r w:rsidR="00183135">
        <w:rPr>
          <w:rFonts w:ascii="Calibri" w:hAnsi="Calibri"/>
          <w:szCs w:val="22"/>
        </w:rPr>
        <w:t>odle číselníku NABS na úrovni 3</w:t>
      </w:r>
      <w:r w:rsidRPr="003B4301">
        <w:rPr>
          <w:rFonts w:ascii="Calibri" w:hAnsi="Calibri"/>
          <w:szCs w:val="22"/>
        </w:rPr>
        <w:t>místného členění SEO. Zpracování probíhá u běžících projektů, které pokračují i v následujícím roce, programově a u nově přihlášených projektů manuálně podle předem stanoveného klasifikačního klíče vytvořeného na základě struktury databází CEP a CEZ.</w:t>
      </w:r>
    </w:p>
    <w:p w:rsidR="00564C8F" w:rsidRPr="003B4301" w:rsidRDefault="00564C8F" w:rsidP="005B778A">
      <w:pPr>
        <w:pStyle w:val="STYL10"/>
        <w:ind w:firstLine="284"/>
        <w:rPr>
          <w:rFonts w:ascii="Calibri" w:hAnsi="Calibri"/>
          <w:szCs w:val="22"/>
        </w:rPr>
      </w:pPr>
      <w:r w:rsidRPr="003B4301">
        <w:rPr>
          <w:rFonts w:ascii="Calibri" w:hAnsi="Calibri"/>
          <w:szCs w:val="22"/>
        </w:rPr>
        <w:t xml:space="preserve">Počínaje rokem 2006 byl zaveden systém </w:t>
      </w:r>
      <w:r w:rsidR="00584482">
        <w:rPr>
          <w:rFonts w:ascii="Calibri" w:hAnsi="Calibri"/>
          <w:szCs w:val="22"/>
        </w:rPr>
        <w:t>pokročilých</w:t>
      </w:r>
      <w:r w:rsidRPr="003B4301">
        <w:rPr>
          <w:rFonts w:ascii="Calibri" w:hAnsi="Calibri"/>
          <w:szCs w:val="22"/>
        </w:rPr>
        <w:t xml:space="preserve"> kontrol zaručujících další zkvalitnění dat. Pro data GBAORD 2006 byla na základě grantového projektu </w:t>
      </w:r>
      <w:proofErr w:type="spellStart"/>
      <w:r w:rsidRPr="003B4301">
        <w:rPr>
          <w:rFonts w:ascii="Calibri" w:hAnsi="Calibri"/>
          <w:szCs w:val="22"/>
        </w:rPr>
        <w:t>Eurostatu</w:t>
      </w:r>
      <w:proofErr w:type="spellEnd"/>
      <w:r w:rsidRPr="003B4301">
        <w:rPr>
          <w:rFonts w:ascii="Calibri" w:hAnsi="Calibri"/>
          <w:szCs w:val="22"/>
        </w:rPr>
        <w:t xml:space="preserve"> </w:t>
      </w:r>
      <w:r w:rsidR="00193C1B" w:rsidRPr="0014241E">
        <w:rPr>
          <w:rFonts w:ascii="Calibri" w:hAnsi="Calibri"/>
          <w:szCs w:val="22"/>
        </w:rPr>
        <w:t>„</w:t>
      </w:r>
      <w:proofErr w:type="spellStart"/>
      <w:r w:rsidRPr="0014241E">
        <w:rPr>
          <w:rFonts w:ascii="Calibri" w:hAnsi="Calibri"/>
          <w:szCs w:val="22"/>
        </w:rPr>
        <w:t>Transition</w:t>
      </w:r>
      <w:proofErr w:type="spellEnd"/>
      <w:r w:rsidRPr="0014241E">
        <w:rPr>
          <w:rFonts w:ascii="Calibri" w:hAnsi="Calibri"/>
          <w:szCs w:val="22"/>
        </w:rPr>
        <w:t xml:space="preserve"> </w:t>
      </w:r>
      <w:proofErr w:type="spellStart"/>
      <w:r w:rsidRPr="0014241E">
        <w:rPr>
          <w:rFonts w:ascii="Calibri" w:hAnsi="Calibri"/>
          <w:szCs w:val="22"/>
        </w:rPr>
        <w:t>Facility</w:t>
      </w:r>
      <w:proofErr w:type="spellEnd"/>
      <w:r w:rsidRPr="003B4301">
        <w:rPr>
          <w:rFonts w:ascii="Calibri" w:hAnsi="Calibri"/>
          <w:szCs w:val="22"/>
        </w:rPr>
        <w:t xml:space="preserve"> 2004</w:t>
      </w:r>
      <w:r w:rsidR="00193C1B">
        <w:rPr>
          <w:rFonts w:ascii="Calibri" w:hAnsi="Calibri"/>
          <w:szCs w:val="22"/>
        </w:rPr>
        <w:t>“</w:t>
      </w:r>
      <w:r w:rsidRPr="003B4301">
        <w:rPr>
          <w:rFonts w:ascii="Calibri" w:hAnsi="Calibri"/>
          <w:szCs w:val="22"/>
        </w:rPr>
        <w:t xml:space="preserve"> vytvořena komplexní </w:t>
      </w:r>
      <w:r w:rsidR="00C35EB4">
        <w:rPr>
          <w:rFonts w:ascii="Calibri" w:hAnsi="Calibri"/>
          <w:szCs w:val="22"/>
        </w:rPr>
        <w:t>zpráva o kvalitě dat, která je</w:t>
      </w:r>
      <w:r w:rsidRPr="003B4301">
        <w:rPr>
          <w:rFonts w:ascii="Calibri" w:hAnsi="Calibri"/>
          <w:szCs w:val="22"/>
        </w:rPr>
        <w:t xml:space="preserve"> </w:t>
      </w:r>
      <w:r w:rsidR="00C35EB4">
        <w:rPr>
          <w:rFonts w:ascii="Calibri" w:hAnsi="Calibri"/>
          <w:szCs w:val="22"/>
        </w:rPr>
        <w:t xml:space="preserve">nyní </w:t>
      </w:r>
      <w:r w:rsidRPr="003B4301">
        <w:rPr>
          <w:rFonts w:ascii="Calibri" w:hAnsi="Calibri"/>
          <w:szCs w:val="22"/>
        </w:rPr>
        <w:t>po</w:t>
      </w:r>
      <w:r w:rsidR="00C35EB4">
        <w:rPr>
          <w:rFonts w:ascii="Calibri" w:hAnsi="Calibri"/>
          <w:szCs w:val="22"/>
        </w:rPr>
        <w:t xml:space="preserve">skytována </w:t>
      </w:r>
      <w:proofErr w:type="spellStart"/>
      <w:r w:rsidR="00C35EB4">
        <w:rPr>
          <w:rFonts w:ascii="Calibri" w:hAnsi="Calibri"/>
          <w:szCs w:val="22"/>
        </w:rPr>
        <w:t>Eurostatu</w:t>
      </w:r>
      <w:proofErr w:type="spellEnd"/>
      <w:r w:rsidR="00C35EB4">
        <w:rPr>
          <w:rFonts w:ascii="Calibri" w:hAnsi="Calibri"/>
          <w:szCs w:val="22"/>
        </w:rPr>
        <w:t xml:space="preserve"> každoročně na základě platného</w:t>
      </w:r>
      <w:r w:rsidRPr="003B4301">
        <w:rPr>
          <w:rFonts w:ascii="Calibri" w:hAnsi="Calibri"/>
          <w:szCs w:val="22"/>
        </w:rPr>
        <w:t xml:space="preserve"> právního aktu</w:t>
      </w:r>
      <w:r w:rsidR="00617448">
        <w:rPr>
          <w:rFonts w:ascii="Calibri" w:hAnsi="Calibri"/>
          <w:szCs w:val="22"/>
        </w:rPr>
        <w:t xml:space="preserve"> (n</w:t>
      </w:r>
      <w:r w:rsidR="00C35EB4">
        <w:rPr>
          <w:rFonts w:ascii="Calibri" w:hAnsi="Calibri"/>
          <w:szCs w:val="22"/>
        </w:rPr>
        <w:t>ařízení Komise EU č. 995/2012)</w:t>
      </w:r>
      <w:r w:rsidRPr="003B4301">
        <w:rPr>
          <w:rFonts w:ascii="Calibri" w:hAnsi="Calibri"/>
          <w:szCs w:val="22"/>
        </w:rPr>
        <w:t xml:space="preserve"> pro hodnocení kvality dat ve statistice </w:t>
      </w:r>
      <w:proofErr w:type="spellStart"/>
      <w:r w:rsidRPr="003B4301">
        <w:rPr>
          <w:rFonts w:ascii="Calibri" w:hAnsi="Calibri"/>
          <w:szCs w:val="22"/>
        </w:rPr>
        <w:t>VaV</w:t>
      </w:r>
      <w:proofErr w:type="spellEnd"/>
      <w:r w:rsidRPr="003B4301">
        <w:rPr>
          <w:rFonts w:ascii="Calibri" w:hAnsi="Calibri"/>
          <w:szCs w:val="22"/>
        </w:rPr>
        <w:t>.</w:t>
      </w:r>
      <w:r w:rsidR="004365E2">
        <w:rPr>
          <w:rFonts w:ascii="Calibri" w:hAnsi="Calibri"/>
          <w:szCs w:val="22"/>
        </w:rPr>
        <w:t xml:space="preserve"> </w:t>
      </w:r>
      <w:r w:rsidR="00A3039C" w:rsidRPr="003B4301">
        <w:rPr>
          <w:rFonts w:ascii="Calibri" w:hAnsi="Calibri"/>
          <w:szCs w:val="22"/>
        </w:rPr>
        <w:t xml:space="preserve">Od roku 2006 jsou využívány také </w:t>
      </w:r>
      <w:r w:rsidRPr="003B4301">
        <w:rPr>
          <w:rFonts w:ascii="Calibri" w:hAnsi="Calibri"/>
          <w:szCs w:val="22"/>
        </w:rPr>
        <w:t>přesnější odhady pro výpočet předběž</w:t>
      </w:r>
      <w:r w:rsidR="005220D0">
        <w:rPr>
          <w:rFonts w:ascii="Calibri" w:hAnsi="Calibri"/>
          <w:szCs w:val="22"/>
        </w:rPr>
        <w:t>ných dat. Metodika těchto odhadů</w:t>
      </w:r>
      <w:r w:rsidRPr="003B4301">
        <w:rPr>
          <w:rFonts w:ascii="Calibri" w:hAnsi="Calibri"/>
          <w:szCs w:val="22"/>
        </w:rPr>
        <w:t xml:space="preserve"> </w:t>
      </w:r>
      <w:r w:rsidR="00D00328">
        <w:rPr>
          <w:rFonts w:ascii="Calibri" w:hAnsi="Calibri"/>
          <w:szCs w:val="22"/>
        </w:rPr>
        <w:t>je</w:t>
      </w:r>
      <w:r w:rsidRPr="003B4301">
        <w:rPr>
          <w:rFonts w:ascii="Calibri" w:hAnsi="Calibri"/>
          <w:szCs w:val="22"/>
        </w:rPr>
        <w:t xml:space="preserve"> dále rozvíjena. </w:t>
      </w:r>
      <w:proofErr w:type="spellStart"/>
      <w:r w:rsidRPr="003B4301">
        <w:rPr>
          <w:rFonts w:ascii="Calibri" w:hAnsi="Calibri"/>
          <w:szCs w:val="22"/>
        </w:rPr>
        <w:t>Eurostat</w:t>
      </w:r>
      <w:proofErr w:type="spellEnd"/>
      <w:r w:rsidRPr="003B4301">
        <w:rPr>
          <w:rFonts w:ascii="Calibri" w:hAnsi="Calibri"/>
          <w:szCs w:val="22"/>
        </w:rPr>
        <w:t xml:space="preserve"> pro statistiku GBAORD také publikuje </w:t>
      </w:r>
      <w:r w:rsidR="00AD2853">
        <w:rPr>
          <w:rFonts w:ascii="Calibri" w:hAnsi="Calibri"/>
          <w:szCs w:val="22"/>
        </w:rPr>
        <w:t xml:space="preserve">vlastní </w:t>
      </w:r>
      <w:r w:rsidRPr="003B4301">
        <w:rPr>
          <w:rFonts w:ascii="Calibri" w:hAnsi="Calibri"/>
          <w:szCs w:val="22"/>
        </w:rPr>
        <w:t xml:space="preserve">odhady </w:t>
      </w:r>
      <w:r w:rsidR="00AD2853">
        <w:rPr>
          <w:rFonts w:ascii="Calibri" w:hAnsi="Calibri"/>
          <w:szCs w:val="22"/>
        </w:rPr>
        <w:t>pro následující 2 roky dopředu (</w:t>
      </w:r>
      <w:r w:rsidRPr="003B4301">
        <w:rPr>
          <w:rFonts w:ascii="Calibri" w:hAnsi="Calibri"/>
          <w:szCs w:val="22"/>
        </w:rPr>
        <w:t>t+1, t+2</w:t>
      </w:r>
      <w:r w:rsidR="00AD2853">
        <w:rPr>
          <w:rFonts w:ascii="Calibri" w:hAnsi="Calibri"/>
          <w:szCs w:val="22"/>
        </w:rPr>
        <w:t>)</w:t>
      </w:r>
      <w:r w:rsidRPr="003B4301">
        <w:rPr>
          <w:rFonts w:ascii="Calibri" w:hAnsi="Calibri"/>
          <w:szCs w:val="22"/>
        </w:rPr>
        <w:t>.</w:t>
      </w:r>
    </w:p>
    <w:p w:rsidR="00564C8F" w:rsidRPr="006F3967" w:rsidRDefault="00564C8F" w:rsidP="005B778A">
      <w:pPr>
        <w:pStyle w:val="STYL10"/>
        <w:ind w:firstLine="284"/>
        <w:rPr>
          <w:rFonts w:ascii="Calibri" w:hAnsi="Calibri"/>
        </w:rPr>
      </w:pPr>
      <w:r w:rsidRPr="003B4301">
        <w:rPr>
          <w:rFonts w:ascii="Calibri" w:hAnsi="Calibri"/>
          <w:szCs w:val="22"/>
        </w:rPr>
        <w:t>V</w:t>
      </w:r>
      <w:r w:rsidR="003255CF">
        <w:rPr>
          <w:rFonts w:ascii="Calibri" w:hAnsi="Calibri"/>
          <w:szCs w:val="22"/>
        </w:rPr>
        <w:t> </w:t>
      </w:r>
      <w:r w:rsidR="00A3039C" w:rsidRPr="003B4301">
        <w:rPr>
          <w:rFonts w:ascii="Calibri" w:hAnsi="Calibri"/>
          <w:szCs w:val="22"/>
        </w:rPr>
        <w:t>roce</w:t>
      </w:r>
      <w:r w:rsidR="003255CF">
        <w:rPr>
          <w:rFonts w:ascii="Calibri" w:hAnsi="Calibri"/>
          <w:szCs w:val="22"/>
        </w:rPr>
        <w:t xml:space="preserve"> 2007</w:t>
      </w:r>
      <w:r w:rsidR="00A3039C" w:rsidRPr="003B4301">
        <w:rPr>
          <w:rFonts w:ascii="Calibri" w:hAnsi="Calibri"/>
          <w:szCs w:val="22"/>
        </w:rPr>
        <w:t xml:space="preserve"> byl uskutečněn </w:t>
      </w:r>
      <w:r w:rsidRPr="003B4301">
        <w:rPr>
          <w:rFonts w:ascii="Calibri" w:hAnsi="Calibri"/>
          <w:szCs w:val="22"/>
        </w:rPr>
        <w:t>přechod na novou, výrazně je</w:t>
      </w:r>
      <w:r w:rsidR="003255CF">
        <w:rPr>
          <w:rFonts w:ascii="Calibri" w:hAnsi="Calibri"/>
          <w:szCs w:val="22"/>
        </w:rPr>
        <w:t>dnodušší verzi klasifikace NABS 2007. Data jsou</w:t>
      </w:r>
      <w:r w:rsidRPr="003B4301">
        <w:rPr>
          <w:rFonts w:ascii="Calibri" w:hAnsi="Calibri"/>
          <w:szCs w:val="22"/>
        </w:rPr>
        <w:t xml:space="preserve"> </w:t>
      </w:r>
      <w:r w:rsidR="00A3039C" w:rsidRPr="003B4301">
        <w:rPr>
          <w:rFonts w:ascii="Calibri" w:hAnsi="Calibri"/>
          <w:szCs w:val="22"/>
        </w:rPr>
        <w:t xml:space="preserve">nadále </w:t>
      </w:r>
      <w:r w:rsidR="005220D0">
        <w:rPr>
          <w:rFonts w:ascii="Calibri" w:hAnsi="Calibri"/>
          <w:szCs w:val="22"/>
        </w:rPr>
        <w:t>publikována</w:t>
      </w:r>
      <w:r w:rsidRPr="006F3967">
        <w:rPr>
          <w:rFonts w:ascii="Calibri" w:hAnsi="Calibri"/>
          <w:szCs w:val="22"/>
        </w:rPr>
        <w:t xml:space="preserve"> </w:t>
      </w:r>
      <w:r w:rsidR="003255CF" w:rsidRPr="006F3967">
        <w:rPr>
          <w:rFonts w:ascii="Calibri" w:hAnsi="Calibri"/>
          <w:szCs w:val="22"/>
        </w:rPr>
        <w:t xml:space="preserve">souběžně </w:t>
      </w:r>
      <w:r w:rsidRPr="006F3967">
        <w:rPr>
          <w:rFonts w:ascii="Calibri" w:hAnsi="Calibri"/>
          <w:szCs w:val="22"/>
        </w:rPr>
        <w:t xml:space="preserve">podle staré </w:t>
      </w:r>
      <w:r w:rsidR="00A3039C" w:rsidRPr="006F3967">
        <w:rPr>
          <w:rFonts w:ascii="Calibri" w:hAnsi="Calibri"/>
          <w:szCs w:val="22"/>
        </w:rPr>
        <w:t xml:space="preserve">(detailnější) </w:t>
      </w:r>
      <w:r w:rsidR="003163E9" w:rsidRPr="006F3967">
        <w:rPr>
          <w:rFonts w:ascii="Calibri" w:hAnsi="Calibri"/>
          <w:szCs w:val="22"/>
        </w:rPr>
        <w:t>NABS</w:t>
      </w:r>
      <w:r w:rsidR="003E50B3" w:rsidRPr="000F553B">
        <w:rPr>
          <w:rFonts w:ascii="Calibri" w:hAnsi="Calibri"/>
          <w:szCs w:val="22"/>
        </w:rPr>
        <w:t xml:space="preserve"> 1992</w:t>
      </w:r>
      <w:r w:rsidRPr="000F553B">
        <w:rPr>
          <w:rFonts w:ascii="Calibri" w:hAnsi="Calibri"/>
          <w:szCs w:val="22"/>
        </w:rPr>
        <w:t xml:space="preserve"> a</w:t>
      </w:r>
      <w:r w:rsidR="00010669" w:rsidRPr="000F553B">
        <w:rPr>
          <w:rFonts w:ascii="Calibri" w:hAnsi="Calibri"/>
          <w:szCs w:val="22"/>
        </w:rPr>
        <w:t xml:space="preserve"> nové NABS 2007.</w:t>
      </w:r>
    </w:p>
    <w:p w:rsidR="003125FA" w:rsidRDefault="00AD2853" w:rsidP="005B778A">
      <w:pPr>
        <w:pStyle w:val="STYL10"/>
        <w:ind w:firstLine="284"/>
        <w:rPr>
          <w:rFonts w:ascii="Calibri" w:hAnsi="Calibri"/>
        </w:rPr>
      </w:pPr>
      <w:r w:rsidRPr="006F3967">
        <w:rPr>
          <w:rFonts w:ascii="Calibri" w:hAnsi="Calibri"/>
        </w:rPr>
        <w:t xml:space="preserve">V roce 2008 byly zahájeny práce na </w:t>
      </w:r>
      <w:r w:rsidR="005220D0">
        <w:rPr>
          <w:rFonts w:ascii="Calibri" w:hAnsi="Calibri"/>
        </w:rPr>
        <w:t>propojení dat</w:t>
      </w:r>
      <w:r w:rsidR="0040254F">
        <w:rPr>
          <w:rFonts w:ascii="Calibri" w:hAnsi="Calibri"/>
        </w:rPr>
        <w:t xml:space="preserve"> GBAORD s </w:t>
      </w:r>
      <w:r w:rsidR="00FA2522" w:rsidRPr="006F3967">
        <w:rPr>
          <w:rFonts w:ascii="Calibri" w:hAnsi="Calibri"/>
        </w:rPr>
        <w:t>dalším</w:t>
      </w:r>
      <w:r w:rsidR="005220D0">
        <w:rPr>
          <w:rFonts w:ascii="Calibri" w:hAnsi="Calibri"/>
        </w:rPr>
        <w:t>i šetřeními</w:t>
      </w:r>
      <w:r w:rsidR="00CB15FB">
        <w:rPr>
          <w:rFonts w:ascii="Calibri" w:hAnsi="Calibri"/>
        </w:rPr>
        <w:t xml:space="preserve"> Českého statistického úřadu</w:t>
      </w:r>
      <w:r w:rsidR="005220D0">
        <w:rPr>
          <w:rFonts w:ascii="Calibri" w:hAnsi="Calibri"/>
        </w:rPr>
        <w:t xml:space="preserve"> (zejména </w:t>
      </w:r>
      <w:r w:rsidR="00244EF9">
        <w:rPr>
          <w:rFonts w:ascii="Calibri" w:hAnsi="Calibri"/>
        </w:rPr>
        <w:t xml:space="preserve">s Ročním </w:t>
      </w:r>
      <w:r w:rsidR="005220D0">
        <w:rPr>
          <w:rFonts w:ascii="Calibri" w:hAnsi="Calibri"/>
        </w:rPr>
        <w:t>šetřením o </w:t>
      </w:r>
      <w:r w:rsidR="00FA2522" w:rsidRPr="006F3967">
        <w:rPr>
          <w:rFonts w:ascii="Calibri" w:hAnsi="Calibri"/>
        </w:rPr>
        <w:t xml:space="preserve">výzkumu a vývoji </w:t>
      </w:r>
      <w:r w:rsidR="00244EF9">
        <w:rPr>
          <w:rFonts w:ascii="Calibri" w:hAnsi="Calibri"/>
        </w:rPr>
        <w:t>(</w:t>
      </w:r>
      <w:r w:rsidR="00FA2522" w:rsidRPr="006F3967">
        <w:rPr>
          <w:rFonts w:ascii="Calibri" w:hAnsi="Calibri"/>
        </w:rPr>
        <w:t>VTR5-01</w:t>
      </w:r>
      <w:r w:rsidR="00244EF9">
        <w:rPr>
          <w:rFonts w:ascii="Calibri" w:hAnsi="Calibri"/>
        </w:rPr>
        <w:t>)</w:t>
      </w:r>
      <w:r w:rsidR="00FA2522" w:rsidRPr="006F3967">
        <w:rPr>
          <w:rFonts w:ascii="Calibri" w:hAnsi="Calibri"/>
        </w:rPr>
        <w:t>) a</w:t>
      </w:r>
      <w:r w:rsidR="00CB15FB">
        <w:rPr>
          <w:rFonts w:ascii="Calibri" w:hAnsi="Calibri"/>
        </w:rPr>
        <w:t xml:space="preserve"> dále s RES</w:t>
      </w:r>
      <w:r w:rsidR="00FA2522" w:rsidRPr="006F3967">
        <w:rPr>
          <w:rFonts w:ascii="Calibri" w:hAnsi="Calibri"/>
        </w:rPr>
        <w:t xml:space="preserve"> </w:t>
      </w:r>
      <w:r w:rsidR="00CB15FB">
        <w:rPr>
          <w:rFonts w:ascii="Calibri" w:hAnsi="Calibri"/>
        </w:rPr>
        <w:t>(R</w:t>
      </w:r>
      <w:r w:rsidR="00FA2522" w:rsidRPr="006F3967">
        <w:rPr>
          <w:rFonts w:ascii="Calibri" w:hAnsi="Calibri"/>
        </w:rPr>
        <w:t>egistrem ekonomických subjektů</w:t>
      </w:r>
      <w:r w:rsidR="00CB15FB">
        <w:rPr>
          <w:rFonts w:ascii="Calibri" w:hAnsi="Calibri"/>
        </w:rPr>
        <w:t>)</w:t>
      </w:r>
      <w:r w:rsidR="00FA2522" w:rsidRPr="006F3967">
        <w:rPr>
          <w:rFonts w:ascii="Calibri" w:hAnsi="Calibri"/>
        </w:rPr>
        <w:t xml:space="preserve">. </w:t>
      </w:r>
    </w:p>
    <w:p w:rsidR="003125FA" w:rsidRDefault="00FA2522" w:rsidP="005B778A">
      <w:pPr>
        <w:pStyle w:val="STYL10"/>
        <w:ind w:firstLine="284"/>
        <w:rPr>
          <w:rFonts w:ascii="Calibri" w:hAnsi="Calibri"/>
        </w:rPr>
      </w:pPr>
      <w:r w:rsidRPr="006F3967">
        <w:rPr>
          <w:rFonts w:ascii="Calibri" w:hAnsi="Calibri"/>
        </w:rPr>
        <w:t>Nyní js</w:t>
      </w:r>
      <w:r w:rsidR="00F80548">
        <w:rPr>
          <w:rFonts w:ascii="Calibri" w:hAnsi="Calibri"/>
        </w:rPr>
        <w:t>ou dostupná další třídění</w:t>
      </w:r>
      <w:r w:rsidRPr="006F3967">
        <w:rPr>
          <w:rFonts w:ascii="Calibri" w:hAnsi="Calibri"/>
        </w:rPr>
        <w:t xml:space="preserve"> podle</w:t>
      </w:r>
      <w:r w:rsidR="003125FA">
        <w:rPr>
          <w:rFonts w:ascii="Calibri" w:hAnsi="Calibri"/>
        </w:rPr>
        <w:t>:</w:t>
      </w:r>
      <w:r w:rsidRPr="006F3967">
        <w:rPr>
          <w:rFonts w:ascii="Calibri" w:hAnsi="Calibri"/>
        </w:rPr>
        <w:t xml:space="preserve"> </w:t>
      </w:r>
    </w:p>
    <w:p w:rsidR="003125FA" w:rsidRPr="00B62AFE" w:rsidRDefault="003125FA" w:rsidP="003125FA">
      <w:pPr>
        <w:pStyle w:val="STYL10"/>
        <w:numPr>
          <w:ilvl w:val="0"/>
          <w:numId w:val="5"/>
        </w:numPr>
        <w:spacing w:before="0" w:after="0"/>
        <w:rPr>
          <w:rFonts w:ascii="Calibri" w:hAnsi="Calibri"/>
          <w:i/>
        </w:rPr>
      </w:pPr>
      <w:r>
        <w:rPr>
          <w:rFonts w:ascii="Calibri" w:hAnsi="Calibri"/>
        </w:rPr>
        <w:t xml:space="preserve">velikostních skupin příjemců </w:t>
      </w:r>
      <w:r w:rsidRPr="00B62AFE">
        <w:rPr>
          <w:rFonts w:ascii="Calibri" w:hAnsi="Calibri"/>
          <w:i/>
        </w:rPr>
        <w:t>(mikro</w:t>
      </w:r>
      <w:r w:rsidR="003836CA" w:rsidRPr="00B62AFE">
        <w:rPr>
          <w:rFonts w:ascii="Calibri" w:hAnsi="Calibri"/>
          <w:i/>
        </w:rPr>
        <w:t xml:space="preserve"> [0-9 zaměstnanců]</w:t>
      </w:r>
      <w:r w:rsidR="00F80548" w:rsidRPr="00B62AFE">
        <w:rPr>
          <w:rFonts w:ascii="Calibri" w:hAnsi="Calibri"/>
          <w:i/>
        </w:rPr>
        <w:t>,</w:t>
      </w:r>
      <w:r w:rsidRPr="00B62AFE">
        <w:rPr>
          <w:rFonts w:ascii="Calibri" w:hAnsi="Calibri"/>
          <w:i/>
        </w:rPr>
        <w:t xml:space="preserve"> malé</w:t>
      </w:r>
      <w:r w:rsidR="003836CA" w:rsidRPr="00B62AFE">
        <w:rPr>
          <w:rFonts w:ascii="Calibri" w:hAnsi="Calibri"/>
          <w:i/>
        </w:rPr>
        <w:t xml:space="preserve"> [10-49 zaměstnanců]</w:t>
      </w:r>
      <w:r w:rsidRPr="00B62AFE">
        <w:rPr>
          <w:rFonts w:ascii="Calibri" w:hAnsi="Calibri"/>
          <w:i/>
        </w:rPr>
        <w:t>, střední</w:t>
      </w:r>
      <w:r w:rsidR="003836CA" w:rsidRPr="00B62AFE">
        <w:rPr>
          <w:rFonts w:ascii="Calibri" w:hAnsi="Calibri"/>
          <w:i/>
        </w:rPr>
        <w:t xml:space="preserve"> [50-249 zaměstnanců]</w:t>
      </w:r>
      <w:r w:rsidRPr="00B62AFE">
        <w:rPr>
          <w:rFonts w:ascii="Calibri" w:hAnsi="Calibri"/>
          <w:i/>
        </w:rPr>
        <w:t>, velké</w:t>
      </w:r>
      <w:r w:rsidR="003836CA" w:rsidRPr="00B62AFE">
        <w:rPr>
          <w:rFonts w:ascii="Calibri" w:hAnsi="Calibri"/>
          <w:i/>
        </w:rPr>
        <w:t xml:space="preserve"> [250+ zaměstnanců]</w:t>
      </w:r>
      <w:r w:rsidR="00C80FB1">
        <w:rPr>
          <w:rFonts w:ascii="Calibri" w:hAnsi="Calibri"/>
          <w:i/>
        </w:rPr>
        <w:t>)</w:t>
      </w:r>
      <w:r w:rsidR="00A70EA5">
        <w:rPr>
          <w:rFonts w:ascii="Calibri" w:hAnsi="Calibri"/>
          <w:i/>
        </w:rPr>
        <w:t>,</w:t>
      </w:r>
      <w:r w:rsidR="00F80548" w:rsidRPr="00B62AFE">
        <w:rPr>
          <w:rFonts w:ascii="Calibri" w:hAnsi="Calibri"/>
          <w:i/>
        </w:rPr>
        <w:t xml:space="preserve"> </w:t>
      </w:r>
    </w:p>
    <w:p w:rsidR="00D813B6" w:rsidRDefault="00F80548" w:rsidP="003125FA">
      <w:pPr>
        <w:pStyle w:val="STYL10"/>
        <w:numPr>
          <w:ilvl w:val="0"/>
          <w:numId w:val="5"/>
        </w:numPr>
        <w:spacing w:before="0" w:after="0"/>
        <w:rPr>
          <w:rFonts w:ascii="Calibri" w:hAnsi="Calibri"/>
        </w:rPr>
      </w:pPr>
      <w:r>
        <w:rPr>
          <w:rFonts w:ascii="Calibri" w:hAnsi="Calibri"/>
        </w:rPr>
        <w:t>typu příjemců</w:t>
      </w:r>
      <w:r w:rsidR="003125FA">
        <w:rPr>
          <w:rFonts w:ascii="Calibri" w:hAnsi="Calibri"/>
        </w:rPr>
        <w:t xml:space="preserve"> </w:t>
      </w:r>
      <w:r w:rsidR="003125FA" w:rsidRPr="00B62AFE">
        <w:rPr>
          <w:rFonts w:ascii="Calibri" w:hAnsi="Calibri"/>
          <w:i/>
        </w:rPr>
        <w:t>(veřejné výzkumné instituce, veřejné a státní vysoké školy</w:t>
      </w:r>
      <w:r w:rsidRPr="00B62AFE">
        <w:rPr>
          <w:rFonts w:ascii="Calibri" w:hAnsi="Calibri"/>
          <w:i/>
        </w:rPr>
        <w:t>,</w:t>
      </w:r>
      <w:r w:rsidR="003125FA" w:rsidRPr="00B62AFE">
        <w:rPr>
          <w:rFonts w:ascii="Calibri" w:hAnsi="Calibri"/>
          <w:i/>
        </w:rPr>
        <w:t xml:space="preserve"> podniky, fakultní nemocnice aj.),</w:t>
      </w:r>
    </w:p>
    <w:p w:rsidR="003125FA" w:rsidRDefault="00D813B6" w:rsidP="003125FA">
      <w:pPr>
        <w:pStyle w:val="STYL10"/>
        <w:numPr>
          <w:ilvl w:val="0"/>
          <w:numId w:val="5"/>
        </w:numPr>
        <w:spacing w:before="0" w:after="0"/>
        <w:rPr>
          <w:rFonts w:ascii="Calibri" w:hAnsi="Calibri"/>
        </w:rPr>
      </w:pPr>
      <w:r>
        <w:rPr>
          <w:rFonts w:ascii="Calibri" w:hAnsi="Calibri"/>
        </w:rPr>
        <w:t>podle vlastnictví</w:t>
      </w:r>
      <w:r w:rsidR="00C9538C">
        <w:rPr>
          <w:rFonts w:ascii="Calibri" w:hAnsi="Calibri"/>
        </w:rPr>
        <w:t xml:space="preserve"> ekonomického subjektu</w:t>
      </w:r>
      <w:r>
        <w:rPr>
          <w:rFonts w:ascii="Calibri" w:hAnsi="Calibri"/>
        </w:rPr>
        <w:t xml:space="preserve"> </w:t>
      </w:r>
      <w:r w:rsidRPr="00B62AFE">
        <w:rPr>
          <w:rFonts w:ascii="Calibri" w:hAnsi="Calibri"/>
          <w:i/>
        </w:rPr>
        <w:t>(</w:t>
      </w:r>
      <w:r w:rsidR="00273890" w:rsidRPr="00B62AFE">
        <w:rPr>
          <w:rFonts w:ascii="Calibri" w:hAnsi="Calibri"/>
          <w:i/>
        </w:rPr>
        <w:t>veře</w:t>
      </w:r>
      <w:r w:rsidR="00033BE7">
        <w:rPr>
          <w:rFonts w:ascii="Calibri" w:hAnsi="Calibri"/>
          <w:i/>
        </w:rPr>
        <w:t>jné podniky, soukromé</w:t>
      </w:r>
      <w:r w:rsidRPr="00B62AFE">
        <w:rPr>
          <w:rFonts w:ascii="Calibri" w:hAnsi="Calibri"/>
          <w:i/>
        </w:rPr>
        <w:t xml:space="preserve"> dom</w:t>
      </w:r>
      <w:r w:rsidR="00273890" w:rsidRPr="00B62AFE">
        <w:rPr>
          <w:rFonts w:ascii="Calibri" w:hAnsi="Calibri"/>
          <w:i/>
        </w:rPr>
        <w:t>ácí podniky, zahraniční afilace</w:t>
      </w:r>
      <w:r w:rsidRPr="00B62AFE">
        <w:rPr>
          <w:rFonts w:ascii="Calibri" w:hAnsi="Calibri"/>
          <w:i/>
        </w:rPr>
        <w:t>),</w:t>
      </w:r>
      <w:r w:rsidR="00F80548">
        <w:rPr>
          <w:rFonts w:ascii="Calibri" w:hAnsi="Calibri"/>
        </w:rPr>
        <w:t xml:space="preserve"> </w:t>
      </w:r>
    </w:p>
    <w:p w:rsidR="00AD2853" w:rsidRDefault="00F80548" w:rsidP="003125FA">
      <w:pPr>
        <w:pStyle w:val="STYL10"/>
        <w:numPr>
          <w:ilvl w:val="0"/>
          <w:numId w:val="5"/>
        </w:numPr>
        <w:spacing w:before="0" w:after="0"/>
        <w:rPr>
          <w:rFonts w:ascii="Calibri" w:hAnsi="Calibri"/>
        </w:rPr>
      </w:pPr>
      <w:r>
        <w:rPr>
          <w:rFonts w:ascii="Calibri" w:hAnsi="Calibri"/>
        </w:rPr>
        <w:t xml:space="preserve">sektorů provádění </w:t>
      </w:r>
      <w:proofErr w:type="spellStart"/>
      <w:r>
        <w:rPr>
          <w:rFonts w:ascii="Calibri" w:hAnsi="Calibri"/>
        </w:rPr>
        <w:t>VaV</w:t>
      </w:r>
      <w:proofErr w:type="spellEnd"/>
      <w:r w:rsidR="003125FA">
        <w:rPr>
          <w:rFonts w:ascii="Calibri" w:hAnsi="Calibri"/>
        </w:rPr>
        <w:t xml:space="preserve"> </w:t>
      </w:r>
      <w:r w:rsidR="003125FA" w:rsidRPr="00B62AFE">
        <w:rPr>
          <w:rFonts w:ascii="Calibri" w:hAnsi="Calibri"/>
          <w:i/>
        </w:rPr>
        <w:t>(vysokoškolský, vládní, podnikatelský a soukromý neziskový),</w:t>
      </w:r>
    </w:p>
    <w:p w:rsidR="00F22A8E" w:rsidRPr="00F22A8E" w:rsidRDefault="003125FA" w:rsidP="00F22A8E">
      <w:pPr>
        <w:pStyle w:val="STYL10"/>
        <w:numPr>
          <w:ilvl w:val="0"/>
          <w:numId w:val="5"/>
        </w:numPr>
        <w:spacing w:before="0" w:after="0"/>
        <w:rPr>
          <w:rFonts w:ascii="Calibri" w:hAnsi="Calibri"/>
          <w:i/>
        </w:rPr>
      </w:pPr>
      <w:r>
        <w:rPr>
          <w:rFonts w:ascii="Calibri" w:hAnsi="Calibri"/>
        </w:rPr>
        <w:t xml:space="preserve">regionálního členění </w:t>
      </w:r>
      <w:r w:rsidRPr="00B62AFE">
        <w:rPr>
          <w:rFonts w:ascii="Calibri" w:hAnsi="Calibri"/>
          <w:i/>
        </w:rPr>
        <w:t>(</w:t>
      </w:r>
      <w:r w:rsidR="00683F49" w:rsidRPr="00B62AFE">
        <w:rPr>
          <w:rFonts w:ascii="Calibri" w:hAnsi="Calibri"/>
          <w:i/>
        </w:rPr>
        <w:t>regiony /NUTS2/,</w:t>
      </w:r>
      <w:r w:rsidR="00CF0BFC">
        <w:rPr>
          <w:rFonts w:ascii="Calibri" w:hAnsi="Calibri"/>
          <w:i/>
        </w:rPr>
        <w:t xml:space="preserve"> </w:t>
      </w:r>
      <w:r w:rsidRPr="00B62AFE">
        <w:rPr>
          <w:rFonts w:ascii="Calibri" w:hAnsi="Calibri"/>
          <w:i/>
        </w:rPr>
        <w:t>kraje</w:t>
      </w:r>
      <w:r w:rsidR="00683F49" w:rsidRPr="00B62AFE">
        <w:rPr>
          <w:rFonts w:ascii="Calibri" w:hAnsi="Calibri"/>
          <w:i/>
        </w:rPr>
        <w:t xml:space="preserve"> /NUTS3/</w:t>
      </w:r>
      <w:r w:rsidRPr="00B62AFE">
        <w:rPr>
          <w:rFonts w:ascii="Calibri" w:hAnsi="Calibri"/>
          <w:i/>
        </w:rPr>
        <w:t>, okresy</w:t>
      </w:r>
      <w:r w:rsidR="00683F49" w:rsidRPr="00B62AFE">
        <w:rPr>
          <w:rFonts w:ascii="Calibri" w:hAnsi="Calibri"/>
          <w:i/>
        </w:rPr>
        <w:t xml:space="preserve"> /NUTS4/</w:t>
      </w:r>
      <w:r w:rsidRPr="00B62AFE">
        <w:rPr>
          <w:rFonts w:ascii="Calibri" w:hAnsi="Calibri"/>
          <w:i/>
        </w:rPr>
        <w:t>).</w:t>
      </w:r>
    </w:p>
    <w:p w:rsidR="00F22A8E" w:rsidRPr="00F22A8E" w:rsidRDefault="00F22A8E" w:rsidP="00F22A8E">
      <w:pPr>
        <w:pStyle w:val="STYL10"/>
        <w:spacing w:after="240"/>
        <w:rPr>
          <w:rFonts w:ascii="Calibri" w:hAnsi="Calibri"/>
        </w:rPr>
      </w:pPr>
      <w:r>
        <w:rPr>
          <w:rFonts w:ascii="Calibri" w:hAnsi="Calibri"/>
        </w:rPr>
        <w:t>Počínaje referenčním rokem 2012 se data GBAORD nově člení podle formy podpory na účelovou a institucionální. Data za předchozí roky byla zpětně dopočítána.</w:t>
      </w:r>
    </w:p>
    <w:p w:rsidR="00B92AE7" w:rsidRDefault="007550E2" w:rsidP="00455EF0">
      <w:pPr>
        <w:pStyle w:val="STYL10"/>
        <w:ind w:firstLine="284"/>
        <w:rPr>
          <w:rFonts w:ascii="Calibri" w:hAnsi="Calibri"/>
        </w:rPr>
      </w:pPr>
      <w:r w:rsidRPr="00E664C7">
        <w:rPr>
          <w:rFonts w:ascii="Calibri" w:hAnsi="Calibri" w:cs="Calibri"/>
          <w:szCs w:val="20"/>
        </w:rPr>
        <w:t xml:space="preserve">Počínaje referenčním rokem 2012 se na základě nařízení Komise EU č. 995/2012 rozšiřuje statistika GBAORD o ukazatel sledující vnitrostátní veřejné financování nadnárodně koordinovaného </w:t>
      </w:r>
      <w:proofErr w:type="spellStart"/>
      <w:r w:rsidRPr="00E664C7">
        <w:rPr>
          <w:rFonts w:ascii="Calibri" w:hAnsi="Calibri" w:cs="Calibri"/>
          <w:szCs w:val="20"/>
        </w:rPr>
        <w:t>VaV</w:t>
      </w:r>
      <w:proofErr w:type="spellEnd"/>
      <w:r w:rsidRPr="00E664C7">
        <w:rPr>
          <w:rFonts w:ascii="Calibri" w:hAnsi="Calibri" w:cs="Calibri"/>
          <w:szCs w:val="20"/>
        </w:rPr>
        <w:t xml:space="preserve"> (GBAORD-ERA1). Jedná se o data GBAORD zaměřena na státní rozpočtové (veřejné) financování nadnárodně koordinovaného </w:t>
      </w:r>
      <w:proofErr w:type="spellStart"/>
      <w:r w:rsidRPr="00E664C7">
        <w:rPr>
          <w:rFonts w:ascii="Calibri" w:hAnsi="Calibri" w:cs="Calibri"/>
          <w:szCs w:val="20"/>
        </w:rPr>
        <w:t>VaV</w:t>
      </w:r>
      <w:proofErr w:type="spellEnd"/>
      <w:r w:rsidRPr="00E664C7">
        <w:rPr>
          <w:rFonts w:ascii="Calibri" w:hAnsi="Calibri" w:cs="Calibri"/>
          <w:szCs w:val="20"/>
        </w:rPr>
        <w:t xml:space="preserve"> v rámci evropského výzkumného prostoru. </w:t>
      </w:r>
    </w:p>
    <w:p w:rsidR="00B92AE7" w:rsidRDefault="00322613" w:rsidP="005B778A">
      <w:pPr>
        <w:pStyle w:val="STYL10"/>
        <w:ind w:firstLine="284"/>
        <w:rPr>
          <w:rFonts w:ascii="Calibri" w:hAnsi="Calibri"/>
        </w:rPr>
      </w:pPr>
      <w:r>
        <w:rPr>
          <w:rFonts w:ascii="Calibri" w:hAnsi="Calibri"/>
        </w:rPr>
        <w:t>Publikována</w:t>
      </w:r>
      <w:r w:rsidR="00B92AE7" w:rsidRPr="001E78F9">
        <w:rPr>
          <w:rFonts w:ascii="Calibri" w:hAnsi="Calibri"/>
        </w:rPr>
        <w:t xml:space="preserve"> je ča</w:t>
      </w:r>
      <w:r w:rsidR="00F22A8E">
        <w:rPr>
          <w:rFonts w:ascii="Calibri" w:hAnsi="Calibri"/>
        </w:rPr>
        <w:t>sová řada za období 2007 až 2013</w:t>
      </w:r>
      <w:r w:rsidR="00B92AE7" w:rsidRPr="001E78F9">
        <w:rPr>
          <w:rFonts w:ascii="Calibri" w:hAnsi="Calibri"/>
        </w:rPr>
        <w:t>. V souladu s meto</w:t>
      </w:r>
      <w:r w:rsidR="00F22A8E">
        <w:rPr>
          <w:rFonts w:ascii="Calibri" w:hAnsi="Calibri"/>
        </w:rPr>
        <w:t xml:space="preserve">dickou revizí statistik </w:t>
      </w:r>
      <w:proofErr w:type="spellStart"/>
      <w:r w:rsidR="00F22A8E">
        <w:rPr>
          <w:rFonts w:ascii="Calibri" w:hAnsi="Calibri"/>
        </w:rPr>
        <w:t>VaV</w:t>
      </w:r>
      <w:proofErr w:type="spellEnd"/>
      <w:r w:rsidR="00F22A8E">
        <w:rPr>
          <w:rFonts w:ascii="Calibri" w:hAnsi="Calibri"/>
        </w:rPr>
        <w:t xml:space="preserve"> 2013 byla</w:t>
      </w:r>
      <w:r w:rsidR="00B92AE7" w:rsidRPr="001E78F9">
        <w:rPr>
          <w:rFonts w:ascii="Calibri" w:hAnsi="Calibri"/>
        </w:rPr>
        <w:t xml:space="preserve"> částečně revidována i data za uk</w:t>
      </w:r>
      <w:r w:rsidR="00E516B0">
        <w:rPr>
          <w:rFonts w:ascii="Calibri" w:hAnsi="Calibri"/>
        </w:rPr>
        <w:t>azatel GBAORD ERA-1 (nadnárodně</w:t>
      </w:r>
      <w:r w:rsidR="00B92AE7" w:rsidRPr="001E78F9">
        <w:rPr>
          <w:rFonts w:ascii="Calibri" w:hAnsi="Calibri"/>
        </w:rPr>
        <w:t xml:space="preserve"> koordinovaný výzkum). </w:t>
      </w:r>
    </w:p>
    <w:p w:rsidR="00490D9F" w:rsidRPr="00BB7791" w:rsidRDefault="00490D9F" w:rsidP="00252FFA">
      <w:pPr>
        <w:pStyle w:val="Nadpis2"/>
        <w:pBdr>
          <w:bottom w:val="single" w:sz="4" w:space="1" w:color="C2D69B"/>
        </w:pBdr>
        <w:spacing w:after="120"/>
        <w:rPr>
          <w:rFonts w:ascii="Calibri" w:hAnsi="Calibri"/>
          <w:b w:val="0"/>
          <w:bCs w:val="0"/>
          <w:color w:val="4F6228"/>
          <w:sz w:val="24"/>
          <w:szCs w:val="22"/>
        </w:rPr>
      </w:pPr>
      <w:r w:rsidRPr="00BB7791">
        <w:rPr>
          <w:rFonts w:ascii="Calibri" w:hAnsi="Calibri"/>
          <w:color w:val="4F6228"/>
          <w:sz w:val="24"/>
          <w:szCs w:val="22"/>
        </w:rPr>
        <w:lastRenderedPageBreak/>
        <w:t xml:space="preserve">C. </w:t>
      </w:r>
      <w:r w:rsidR="00692718">
        <w:rPr>
          <w:rFonts w:ascii="Calibri" w:hAnsi="Calibri"/>
          <w:color w:val="4F6228"/>
          <w:sz w:val="24"/>
          <w:szCs w:val="22"/>
        </w:rPr>
        <w:t>ZMĚNA</w:t>
      </w:r>
      <w:r w:rsidR="00692718" w:rsidRPr="00BB7791">
        <w:rPr>
          <w:rFonts w:ascii="Calibri" w:hAnsi="Calibri"/>
          <w:color w:val="4F6228"/>
          <w:sz w:val="24"/>
          <w:szCs w:val="22"/>
        </w:rPr>
        <w:t xml:space="preserve"> </w:t>
      </w:r>
      <w:r w:rsidRPr="00BB7791">
        <w:rPr>
          <w:rFonts w:ascii="Calibri" w:hAnsi="Calibri"/>
          <w:color w:val="4F6228"/>
          <w:sz w:val="24"/>
          <w:szCs w:val="22"/>
        </w:rPr>
        <w:t>KONCEPCE STATISTICKÉ ÚLOHY GBAORD(I) V ČESKÉ REPUBLICE</w:t>
      </w:r>
      <w:r w:rsidR="006B299C" w:rsidRPr="00BB7791">
        <w:rPr>
          <w:rFonts w:ascii="Calibri" w:hAnsi="Calibri"/>
          <w:color w:val="4F6228"/>
          <w:sz w:val="24"/>
          <w:szCs w:val="22"/>
        </w:rPr>
        <w:t xml:space="preserve"> OD ROKU 201</w:t>
      </w:r>
      <w:r w:rsidR="00692718">
        <w:rPr>
          <w:rFonts w:ascii="Calibri" w:hAnsi="Calibri"/>
          <w:color w:val="4F6228"/>
          <w:sz w:val="24"/>
          <w:szCs w:val="22"/>
        </w:rPr>
        <w:t>0</w:t>
      </w:r>
    </w:p>
    <w:p w:rsidR="00715307" w:rsidRDefault="009E42C8" w:rsidP="00715307">
      <w:pPr>
        <w:pStyle w:val="STYL10"/>
        <w:spacing w:after="240"/>
        <w:ind w:firstLine="284"/>
        <w:rPr>
          <w:rFonts w:ascii="Calibri" w:hAnsi="Calibri"/>
          <w:szCs w:val="22"/>
        </w:rPr>
      </w:pPr>
      <w:r w:rsidRPr="005B7C63">
        <w:rPr>
          <w:rFonts w:ascii="Calibri" w:hAnsi="Calibri"/>
          <w:szCs w:val="22"/>
        </w:rPr>
        <w:t xml:space="preserve">V roce 2010 </w:t>
      </w:r>
      <w:r w:rsidR="000D76DA" w:rsidRPr="005B7C63">
        <w:rPr>
          <w:rFonts w:ascii="Calibri" w:hAnsi="Calibri"/>
          <w:szCs w:val="22"/>
        </w:rPr>
        <w:t>vstoupil</w:t>
      </w:r>
      <w:r w:rsidR="00EA137C" w:rsidRPr="005B7C63">
        <w:rPr>
          <w:rFonts w:ascii="Calibri" w:hAnsi="Calibri"/>
          <w:szCs w:val="22"/>
        </w:rPr>
        <w:t>a</w:t>
      </w:r>
      <w:r w:rsidR="00051C8E" w:rsidRPr="005B7C63">
        <w:rPr>
          <w:rFonts w:ascii="Calibri" w:hAnsi="Calibri"/>
          <w:szCs w:val="22"/>
        </w:rPr>
        <w:t xml:space="preserve"> v platnost</w:t>
      </w:r>
      <w:r w:rsidR="000D76DA" w:rsidRPr="005B7C63">
        <w:rPr>
          <w:rFonts w:ascii="Calibri" w:hAnsi="Calibri"/>
          <w:szCs w:val="22"/>
        </w:rPr>
        <w:t xml:space="preserve"> </w:t>
      </w:r>
      <w:r w:rsidR="00EA137C" w:rsidRPr="005B7C63">
        <w:rPr>
          <w:rFonts w:ascii="Calibri" w:hAnsi="Calibri"/>
          <w:szCs w:val="22"/>
        </w:rPr>
        <w:t xml:space="preserve">novelizace zákona č. 130/2002 Sb. o podpoře výzkumu a vývoje z veřejných zdrojů. Došlo k zásadní změně, kdy do veřejné podpory byla nově zařazena i podpora inovačních aktivit. Veřejné výdaje na výzkum a vývoj byly přejmenovány na veřejné výdaje na výzkum, vývoj a inovace. Odpovídající anglická zkratka </w:t>
      </w:r>
      <w:r w:rsidR="0086683A">
        <w:rPr>
          <w:rFonts w:ascii="Calibri" w:hAnsi="Calibri"/>
          <w:szCs w:val="22"/>
        </w:rPr>
        <w:t>by byla GBAORDI. Tento ukazatel</w:t>
      </w:r>
      <w:r w:rsidR="00EA137C" w:rsidRPr="005B7C63">
        <w:rPr>
          <w:rFonts w:ascii="Calibri" w:hAnsi="Calibri"/>
          <w:szCs w:val="22"/>
        </w:rPr>
        <w:t xml:space="preserve"> ale není dle definic </w:t>
      </w:r>
      <w:proofErr w:type="spellStart"/>
      <w:r w:rsidR="00EA137C" w:rsidRPr="005B7C63">
        <w:rPr>
          <w:rFonts w:ascii="Calibri" w:hAnsi="Calibri"/>
          <w:szCs w:val="22"/>
        </w:rPr>
        <w:t>Eurostatu</w:t>
      </w:r>
      <w:proofErr w:type="spellEnd"/>
      <w:r w:rsidR="00EA137C" w:rsidRPr="005B7C63">
        <w:rPr>
          <w:rFonts w:ascii="Calibri" w:hAnsi="Calibri"/>
          <w:szCs w:val="22"/>
        </w:rPr>
        <w:t xml:space="preserve"> a OECD zatím definován.  </w:t>
      </w:r>
      <w:r w:rsidR="008E46B9" w:rsidRPr="005B7C63">
        <w:rPr>
          <w:rFonts w:ascii="Calibri" w:hAnsi="Calibri"/>
          <w:szCs w:val="22"/>
        </w:rPr>
        <w:t>ČSÚ se bude snažit, pokud to bude prakticky možné, vyloučit podporu inovací, aby data odpovídala platné definici GBAORD, jak je uvedena v</w:t>
      </w:r>
      <w:r w:rsidR="007E2B26" w:rsidRPr="005B7C63">
        <w:rPr>
          <w:rFonts w:ascii="Calibri" w:hAnsi="Calibri"/>
          <w:szCs w:val="22"/>
        </w:rPr>
        <w:t> </w:t>
      </w:r>
      <w:r w:rsidR="00F12081" w:rsidRPr="005B7C63">
        <w:rPr>
          <w:rFonts w:ascii="Calibri" w:hAnsi="Calibri"/>
          <w:szCs w:val="22"/>
        </w:rPr>
        <w:t>kapitole</w:t>
      </w:r>
      <w:r w:rsidR="007E2B26" w:rsidRPr="005B7C63">
        <w:rPr>
          <w:rFonts w:ascii="Calibri" w:hAnsi="Calibri"/>
          <w:szCs w:val="22"/>
        </w:rPr>
        <w:t xml:space="preserve"> č. 8 </w:t>
      </w:r>
      <w:proofErr w:type="spellStart"/>
      <w:r w:rsidR="007E2B26" w:rsidRPr="005B7C63">
        <w:rPr>
          <w:rFonts w:ascii="Calibri" w:hAnsi="Calibri"/>
          <w:szCs w:val="22"/>
        </w:rPr>
        <w:t>Frascati</w:t>
      </w:r>
      <w:proofErr w:type="spellEnd"/>
      <w:r w:rsidR="008E46B9" w:rsidRPr="005B7C63">
        <w:rPr>
          <w:rFonts w:ascii="Calibri" w:hAnsi="Calibri"/>
          <w:szCs w:val="22"/>
        </w:rPr>
        <w:t xml:space="preserve"> manuálu. </w:t>
      </w:r>
      <w:r w:rsidR="00D2488D" w:rsidRPr="005B7C63">
        <w:rPr>
          <w:rFonts w:ascii="Calibri" w:hAnsi="Calibri"/>
          <w:szCs w:val="22"/>
        </w:rPr>
        <w:t>U účelově orientované podpory</w:t>
      </w:r>
      <w:r w:rsidR="007E2B26" w:rsidRPr="005B7C63">
        <w:rPr>
          <w:rFonts w:ascii="Calibri" w:hAnsi="Calibri"/>
          <w:szCs w:val="22"/>
        </w:rPr>
        <w:t xml:space="preserve"> není</w:t>
      </w:r>
      <w:r w:rsidR="00595AA2" w:rsidRPr="005B7C63">
        <w:rPr>
          <w:rFonts w:ascii="Calibri" w:hAnsi="Calibri"/>
          <w:szCs w:val="22"/>
        </w:rPr>
        <w:t xml:space="preserve"> </w:t>
      </w:r>
      <w:r w:rsidR="00D2488D" w:rsidRPr="005B7C63">
        <w:rPr>
          <w:rFonts w:ascii="Calibri" w:hAnsi="Calibri"/>
          <w:szCs w:val="22"/>
        </w:rPr>
        <w:t xml:space="preserve">problém </w:t>
      </w:r>
      <w:r w:rsidR="00595AA2" w:rsidRPr="005B7C63">
        <w:rPr>
          <w:rFonts w:ascii="Calibri" w:hAnsi="Calibri"/>
          <w:szCs w:val="22"/>
        </w:rPr>
        <w:t>vyloučit podporu inovací, naopak v případě ins</w:t>
      </w:r>
      <w:r w:rsidR="007E2B26" w:rsidRPr="005B7C63">
        <w:rPr>
          <w:rFonts w:ascii="Calibri" w:hAnsi="Calibri"/>
          <w:szCs w:val="22"/>
        </w:rPr>
        <w:t>titucionální podpory toto není zcela možné, neboť postupně zanikají</w:t>
      </w:r>
      <w:r w:rsidR="00595AA2" w:rsidRPr="005B7C63">
        <w:rPr>
          <w:rFonts w:ascii="Calibri" w:hAnsi="Calibri"/>
          <w:szCs w:val="22"/>
        </w:rPr>
        <w:t xml:space="preserve"> výzkumné záměry</w:t>
      </w:r>
      <w:r w:rsidR="007E2B26" w:rsidRPr="005B7C63">
        <w:rPr>
          <w:rFonts w:ascii="Calibri" w:hAnsi="Calibri"/>
          <w:szCs w:val="22"/>
        </w:rPr>
        <w:t xml:space="preserve"> (databáze CEZ)</w:t>
      </w:r>
      <w:r w:rsidR="00ED339D">
        <w:rPr>
          <w:rFonts w:ascii="Calibri" w:hAnsi="Calibri"/>
          <w:szCs w:val="22"/>
        </w:rPr>
        <w:t xml:space="preserve"> a nahrazuje je podpora rozv</w:t>
      </w:r>
      <w:r w:rsidR="0086683A">
        <w:rPr>
          <w:rFonts w:ascii="Calibri" w:hAnsi="Calibri"/>
          <w:szCs w:val="22"/>
        </w:rPr>
        <w:t>oje výzkumných organizací, která</w:t>
      </w:r>
      <w:r w:rsidR="00ED339D">
        <w:rPr>
          <w:rFonts w:ascii="Calibri" w:hAnsi="Calibri"/>
          <w:szCs w:val="22"/>
        </w:rPr>
        <w:t xml:space="preserve"> může potenciálně zahrnovat i inovační aktivity</w:t>
      </w:r>
      <w:r w:rsidR="00595AA2" w:rsidRPr="005B7C63">
        <w:rPr>
          <w:rFonts w:ascii="Calibri" w:hAnsi="Calibri"/>
          <w:szCs w:val="22"/>
        </w:rPr>
        <w:t xml:space="preserve">. </w:t>
      </w:r>
    </w:p>
    <w:p w:rsidR="00715307" w:rsidRDefault="00715307" w:rsidP="00715307">
      <w:pPr>
        <w:pStyle w:val="STYL10"/>
        <w:spacing w:after="240"/>
        <w:ind w:firstLine="284"/>
        <w:rPr>
          <w:rFonts w:ascii="Calibri" w:hAnsi="Calibri"/>
          <w:szCs w:val="22"/>
        </w:rPr>
      </w:pPr>
    </w:p>
    <w:p w:rsidR="00692718" w:rsidRPr="00BB7791" w:rsidRDefault="00692718" w:rsidP="00692718">
      <w:pPr>
        <w:pStyle w:val="Nadpis2"/>
        <w:pBdr>
          <w:bottom w:val="single" w:sz="4" w:space="1" w:color="C2D69B"/>
        </w:pBdr>
        <w:spacing w:after="120"/>
        <w:rPr>
          <w:rFonts w:ascii="Calibri" w:hAnsi="Calibri"/>
          <w:b w:val="0"/>
          <w:bCs w:val="0"/>
          <w:color w:val="4F6228"/>
          <w:sz w:val="24"/>
          <w:szCs w:val="22"/>
        </w:rPr>
      </w:pPr>
      <w:r>
        <w:rPr>
          <w:rFonts w:ascii="Calibri" w:hAnsi="Calibri"/>
          <w:color w:val="4F6228"/>
          <w:sz w:val="24"/>
          <w:szCs w:val="22"/>
        </w:rPr>
        <w:t>D. REVIZE DAT GBAORD</w:t>
      </w:r>
      <w:r w:rsidRPr="00BB7791">
        <w:rPr>
          <w:rFonts w:ascii="Calibri" w:hAnsi="Calibri"/>
          <w:color w:val="4F6228"/>
          <w:sz w:val="24"/>
          <w:szCs w:val="22"/>
        </w:rPr>
        <w:t xml:space="preserve"> </w:t>
      </w:r>
      <w:r>
        <w:rPr>
          <w:rFonts w:ascii="Calibri" w:hAnsi="Calibri"/>
          <w:color w:val="4F6228"/>
          <w:sz w:val="24"/>
          <w:szCs w:val="22"/>
        </w:rPr>
        <w:t>ZAHÁJENÁ V ROCE 2013</w:t>
      </w:r>
    </w:p>
    <w:p w:rsidR="00446D2B" w:rsidRDefault="00095D76" w:rsidP="005B778A">
      <w:pPr>
        <w:pStyle w:val="STYL10"/>
        <w:ind w:firstLine="284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V roce 201</w:t>
      </w:r>
      <w:r w:rsidR="00FF3A02">
        <w:rPr>
          <w:rFonts w:ascii="Calibri" w:hAnsi="Calibri"/>
          <w:szCs w:val="22"/>
        </w:rPr>
        <w:t>4</w:t>
      </w:r>
      <w:r>
        <w:rPr>
          <w:rFonts w:ascii="Calibri" w:hAnsi="Calibri"/>
          <w:szCs w:val="22"/>
        </w:rPr>
        <w:t xml:space="preserve"> ČSÚ v rámci </w:t>
      </w:r>
      <w:r w:rsidR="00C05D2D">
        <w:rPr>
          <w:rFonts w:ascii="Calibri" w:hAnsi="Calibri"/>
          <w:szCs w:val="22"/>
        </w:rPr>
        <w:t xml:space="preserve">revize statistiky výzkumu a vývoje (VTR, GBAORD) </w:t>
      </w:r>
      <w:r w:rsidR="00446D2B">
        <w:rPr>
          <w:rFonts w:ascii="Calibri" w:hAnsi="Calibri"/>
          <w:szCs w:val="22"/>
        </w:rPr>
        <w:t>dokončil</w:t>
      </w:r>
      <w:r w:rsidR="00C05D2D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také revizi dat</w:t>
      </w:r>
      <w:r w:rsidR="00C05D2D">
        <w:rPr>
          <w:rFonts w:ascii="Calibri" w:hAnsi="Calibri"/>
          <w:szCs w:val="22"/>
        </w:rPr>
        <w:t xml:space="preserve"> GBAORD za celé období 2002–2011, kdy je statistika GBAORD sledována.</w:t>
      </w:r>
      <w:r w:rsidR="00446D2B">
        <w:rPr>
          <w:rFonts w:ascii="Calibri" w:hAnsi="Calibri"/>
          <w:szCs w:val="22"/>
        </w:rPr>
        <w:t xml:space="preserve"> Dopočteny byly</w:t>
      </w:r>
      <w:r w:rsidR="00B05EFB">
        <w:rPr>
          <w:rFonts w:ascii="Calibri" w:hAnsi="Calibri"/>
          <w:szCs w:val="22"/>
        </w:rPr>
        <w:t xml:space="preserve"> </w:t>
      </w:r>
      <w:r w:rsidR="00FF3A02">
        <w:rPr>
          <w:rFonts w:ascii="Calibri" w:hAnsi="Calibri"/>
          <w:szCs w:val="22"/>
        </w:rPr>
        <w:t xml:space="preserve">zpětně </w:t>
      </w:r>
      <w:r w:rsidR="00446D2B">
        <w:rPr>
          <w:rFonts w:ascii="Calibri" w:hAnsi="Calibri"/>
          <w:szCs w:val="22"/>
        </w:rPr>
        <w:t xml:space="preserve">i </w:t>
      </w:r>
      <w:r w:rsidR="00B05EFB">
        <w:rPr>
          <w:rFonts w:ascii="Calibri" w:hAnsi="Calibri"/>
          <w:szCs w:val="22"/>
        </w:rPr>
        <w:t>roky 2000 a 2001.</w:t>
      </w:r>
      <w:r w:rsidR="00C05D2D">
        <w:rPr>
          <w:rFonts w:ascii="Calibri" w:hAnsi="Calibri"/>
          <w:szCs w:val="22"/>
        </w:rPr>
        <w:t xml:space="preserve"> </w:t>
      </w:r>
    </w:p>
    <w:p w:rsidR="00F30270" w:rsidRDefault="00C05D2D" w:rsidP="005B778A">
      <w:pPr>
        <w:pStyle w:val="STYL10"/>
        <w:ind w:firstLine="284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V souladu s reformou systému </w:t>
      </w:r>
      <w:proofErr w:type="spellStart"/>
      <w:r>
        <w:rPr>
          <w:rFonts w:ascii="Calibri" w:hAnsi="Calibri"/>
          <w:szCs w:val="22"/>
        </w:rPr>
        <w:t>VaVaI</w:t>
      </w:r>
      <w:proofErr w:type="spellEnd"/>
      <w:r>
        <w:rPr>
          <w:rFonts w:ascii="Calibri" w:hAnsi="Calibri"/>
          <w:szCs w:val="22"/>
        </w:rPr>
        <w:t xml:space="preserve"> v České republice a</w:t>
      </w:r>
      <w:r w:rsidR="00C43AC5">
        <w:rPr>
          <w:rFonts w:ascii="Calibri" w:hAnsi="Calibri"/>
          <w:szCs w:val="22"/>
        </w:rPr>
        <w:t xml:space="preserve"> novými požadavky kladenými</w:t>
      </w:r>
      <w:r w:rsidR="00F41542">
        <w:rPr>
          <w:rFonts w:ascii="Calibri" w:hAnsi="Calibri"/>
          <w:szCs w:val="22"/>
        </w:rPr>
        <w:t xml:space="preserve"> novelizovanou </w:t>
      </w:r>
      <w:r>
        <w:rPr>
          <w:rFonts w:ascii="Calibri" w:hAnsi="Calibri"/>
          <w:szCs w:val="22"/>
        </w:rPr>
        <w:t>le</w:t>
      </w:r>
      <w:r w:rsidR="00C43AC5">
        <w:rPr>
          <w:rFonts w:ascii="Calibri" w:hAnsi="Calibri"/>
          <w:szCs w:val="22"/>
        </w:rPr>
        <w:t>gislativou Komise EU podstoupila</w:t>
      </w:r>
      <w:r>
        <w:rPr>
          <w:rFonts w:ascii="Calibri" w:hAnsi="Calibri"/>
          <w:szCs w:val="22"/>
        </w:rPr>
        <w:t xml:space="preserve"> data GBAORD metodickou revizi, která</w:t>
      </w:r>
      <w:r w:rsidR="00F41542">
        <w:rPr>
          <w:rFonts w:ascii="Calibri" w:hAnsi="Calibri"/>
          <w:szCs w:val="22"/>
        </w:rPr>
        <w:t xml:space="preserve"> má zajistit přesnější vymezení položek dle definice</w:t>
      </w:r>
      <w:r>
        <w:rPr>
          <w:rFonts w:ascii="Calibri" w:hAnsi="Calibri"/>
          <w:szCs w:val="22"/>
        </w:rPr>
        <w:t xml:space="preserve"> </w:t>
      </w:r>
      <w:proofErr w:type="spellStart"/>
      <w:r>
        <w:rPr>
          <w:rFonts w:ascii="Calibri" w:hAnsi="Calibri"/>
          <w:szCs w:val="22"/>
        </w:rPr>
        <w:t>Frascati</w:t>
      </w:r>
      <w:proofErr w:type="spellEnd"/>
      <w:r>
        <w:rPr>
          <w:rFonts w:ascii="Calibri" w:hAnsi="Calibri"/>
          <w:szCs w:val="22"/>
        </w:rPr>
        <w:t xml:space="preserve"> manuálu. Revize se</w:t>
      </w:r>
      <w:r w:rsidR="00F41542">
        <w:rPr>
          <w:rFonts w:ascii="Calibri" w:hAnsi="Calibri"/>
          <w:szCs w:val="22"/>
        </w:rPr>
        <w:t xml:space="preserve"> týká překvalifikování obsahu termínu</w:t>
      </w:r>
      <w:r>
        <w:rPr>
          <w:rFonts w:ascii="Calibri" w:hAnsi="Calibri"/>
          <w:szCs w:val="22"/>
        </w:rPr>
        <w:t xml:space="preserve"> „všeobecných univerzitních fondů“ (u nás pod názvem „všeobecný výzkum na VŠ“).</w:t>
      </w:r>
      <w:r w:rsidR="00816028">
        <w:rPr>
          <w:rFonts w:ascii="Calibri" w:hAnsi="Calibri"/>
          <w:szCs w:val="22"/>
        </w:rPr>
        <w:t xml:space="preserve"> Z důvodu nutnosti poskytnou</w:t>
      </w:r>
      <w:r w:rsidR="00F41542">
        <w:rPr>
          <w:rFonts w:ascii="Calibri" w:hAnsi="Calibri"/>
          <w:szCs w:val="22"/>
        </w:rPr>
        <w:t>t</w:t>
      </w:r>
      <w:r w:rsidR="00816028">
        <w:rPr>
          <w:rFonts w:ascii="Calibri" w:hAnsi="Calibri"/>
          <w:szCs w:val="22"/>
        </w:rPr>
        <w:t xml:space="preserve"> </w:t>
      </w:r>
      <w:proofErr w:type="spellStart"/>
      <w:r w:rsidR="00816028">
        <w:rPr>
          <w:rFonts w:ascii="Calibri" w:hAnsi="Calibri"/>
          <w:szCs w:val="22"/>
        </w:rPr>
        <w:t>Eurostatu</w:t>
      </w:r>
      <w:proofErr w:type="spellEnd"/>
      <w:r w:rsidR="00816028">
        <w:rPr>
          <w:rFonts w:ascii="Calibri" w:hAnsi="Calibri"/>
          <w:szCs w:val="22"/>
        </w:rPr>
        <w:t xml:space="preserve"> n</w:t>
      </w:r>
      <w:r w:rsidR="003C5D42">
        <w:rPr>
          <w:rFonts w:ascii="Calibri" w:hAnsi="Calibri"/>
          <w:szCs w:val="22"/>
        </w:rPr>
        <w:t>ové</w:t>
      </w:r>
      <w:r w:rsidR="00816028">
        <w:rPr>
          <w:rFonts w:ascii="Calibri" w:hAnsi="Calibri"/>
          <w:szCs w:val="22"/>
        </w:rPr>
        <w:t xml:space="preserve"> členění dat GBAORD podle for</w:t>
      </w:r>
      <w:r w:rsidR="00F41542">
        <w:rPr>
          <w:rFonts w:ascii="Calibri" w:hAnsi="Calibri"/>
          <w:szCs w:val="22"/>
        </w:rPr>
        <w:t>my podpory muselo být revidováno</w:t>
      </w:r>
      <w:r w:rsidR="00816028">
        <w:rPr>
          <w:rFonts w:ascii="Calibri" w:hAnsi="Calibri"/>
          <w:szCs w:val="22"/>
        </w:rPr>
        <w:t xml:space="preserve"> zatřídění položek státního rozpočtu do tohoto socioekonomického cíle.</w:t>
      </w:r>
      <w:r w:rsidR="001F29C6">
        <w:rPr>
          <w:rFonts w:ascii="Calibri" w:hAnsi="Calibri"/>
          <w:szCs w:val="22"/>
        </w:rPr>
        <w:t xml:space="preserve"> </w:t>
      </w:r>
      <w:r w:rsidR="00BE7D27">
        <w:rPr>
          <w:rFonts w:ascii="Calibri" w:hAnsi="Calibri"/>
          <w:szCs w:val="22"/>
        </w:rPr>
        <w:t>Dle revize 2013 spadají</w:t>
      </w:r>
      <w:r w:rsidR="001F29C6">
        <w:rPr>
          <w:rFonts w:ascii="Calibri" w:hAnsi="Calibri"/>
          <w:szCs w:val="22"/>
        </w:rPr>
        <w:t xml:space="preserve"> </w:t>
      </w:r>
      <w:r w:rsidR="001F29C6" w:rsidRPr="00BE7D27">
        <w:rPr>
          <w:rFonts w:ascii="Calibri" w:hAnsi="Calibri"/>
          <w:b/>
          <w:szCs w:val="22"/>
        </w:rPr>
        <w:t>pod „všeobec</w:t>
      </w:r>
      <w:r w:rsidR="00BE7D27" w:rsidRPr="00BE7D27">
        <w:rPr>
          <w:rFonts w:ascii="Calibri" w:hAnsi="Calibri"/>
          <w:b/>
          <w:szCs w:val="22"/>
        </w:rPr>
        <w:t>ný výzkum a vývoj na VŠ</w:t>
      </w:r>
      <w:r w:rsidR="00F41542">
        <w:rPr>
          <w:rFonts w:ascii="Calibri" w:hAnsi="Calibri"/>
          <w:b/>
          <w:szCs w:val="22"/>
        </w:rPr>
        <w:t>“</w:t>
      </w:r>
      <w:r w:rsidR="00BE7D27" w:rsidRPr="00BE7D27">
        <w:rPr>
          <w:rFonts w:ascii="Calibri" w:hAnsi="Calibri"/>
          <w:b/>
          <w:szCs w:val="22"/>
        </w:rPr>
        <w:t xml:space="preserve"> </w:t>
      </w:r>
      <w:r w:rsidR="001F29C6" w:rsidRPr="00BE7D27">
        <w:rPr>
          <w:rFonts w:ascii="Calibri" w:hAnsi="Calibri"/>
          <w:b/>
          <w:szCs w:val="22"/>
        </w:rPr>
        <w:t xml:space="preserve">pouze </w:t>
      </w:r>
      <w:r w:rsidR="00BE7D27" w:rsidRPr="00BE7D27">
        <w:rPr>
          <w:rFonts w:ascii="Calibri" w:hAnsi="Calibri"/>
          <w:b/>
          <w:szCs w:val="22"/>
        </w:rPr>
        <w:t>institucionální prostředky státního rozpočtu poskytnuté vysokým školám na provádění výzkumu a vývoje.</w:t>
      </w:r>
      <w:r>
        <w:rPr>
          <w:rFonts w:ascii="Calibri" w:hAnsi="Calibri"/>
          <w:szCs w:val="22"/>
        </w:rPr>
        <w:t xml:space="preserve"> </w:t>
      </w:r>
      <w:r w:rsidR="00BE7D27">
        <w:rPr>
          <w:rFonts w:ascii="Calibri" w:hAnsi="Calibri"/>
          <w:szCs w:val="22"/>
        </w:rPr>
        <w:t>Dříve to byly jak účelové</w:t>
      </w:r>
      <w:r w:rsidR="003C5D42">
        <w:rPr>
          <w:rFonts w:ascii="Calibri" w:hAnsi="Calibri"/>
          <w:szCs w:val="22"/>
        </w:rPr>
        <w:t>,</w:t>
      </w:r>
      <w:r w:rsidR="00BE7D27">
        <w:rPr>
          <w:rFonts w:ascii="Calibri" w:hAnsi="Calibri"/>
          <w:szCs w:val="22"/>
        </w:rPr>
        <w:t xml:space="preserve"> tak institucionální prostředky poskytnuté vysokým školám pouze prostřednictvím rozpočtové kapitoly MŠMT.</w:t>
      </w:r>
      <w:r w:rsidR="00F30270">
        <w:rPr>
          <w:rFonts w:ascii="Calibri" w:hAnsi="Calibri"/>
          <w:szCs w:val="22"/>
        </w:rPr>
        <w:t xml:space="preserve"> </w:t>
      </w:r>
    </w:p>
    <w:p w:rsidR="00F30270" w:rsidRDefault="00F30270" w:rsidP="005B778A">
      <w:pPr>
        <w:pStyle w:val="STYL10"/>
        <w:ind w:firstLine="284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Nyní se pod SEO 10 dle NABS1992 klasifikují následující rozpočtové položky:</w:t>
      </w:r>
    </w:p>
    <w:p w:rsidR="00692718" w:rsidRDefault="00F30270" w:rsidP="005B778A">
      <w:pPr>
        <w:pStyle w:val="STYL10"/>
        <w:numPr>
          <w:ilvl w:val="0"/>
          <w:numId w:val="4"/>
        </w:numPr>
        <w:spacing w:before="0" w:after="0"/>
        <w:ind w:left="1128" w:hanging="357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výzkumné záměry,</w:t>
      </w:r>
    </w:p>
    <w:p w:rsidR="00F30270" w:rsidRDefault="00F30270" w:rsidP="005B778A">
      <w:pPr>
        <w:pStyle w:val="STYL10"/>
        <w:numPr>
          <w:ilvl w:val="0"/>
          <w:numId w:val="4"/>
        </w:numPr>
        <w:spacing w:before="0" w:after="0"/>
        <w:ind w:left="1128" w:hanging="357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rozvoj výzkumných organizací</w:t>
      </w:r>
      <w:r w:rsidR="00ED68C8">
        <w:rPr>
          <w:rFonts w:ascii="Calibri" w:hAnsi="Calibri"/>
          <w:szCs w:val="22"/>
        </w:rPr>
        <w:t>,</w:t>
      </w:r>
    </w:p>
    <w:p w:rsidR="005B778A" w:rsidRDefault="00F30270" w:rsidP="005B778A">
      <w:pPr>
        <w:pStyle w:val="STYL10"/>
        <w:numPr>
          <w:ilvl w:val="0"/>
          <w:numId w:val="4"/>
        </w:numPr>
        <w:spacing w:before="0" w:after="0"/>
        <w:ind w:left="1128" w:hanging="357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specifický výzkum na VŠ.</w:t>
      </w:r>
    </w:p>
    <w:p w:rsidR="005B778A" w:rsidRDefault="005B778A" w:rsidP="005B778A">
      <w:pPr>
        <w:pStyle w:val="STYL10"/>
        <w:ind w:firstLine="284"/>
        <w:rPr>
          <w:rFonts w:ascii="Calibri" w:hAnsi="Calibri"/>
          <w:szCs w:val="22"/>
        </w:rPr>
      </w:pPr>
      <w:r w:rsidRPr="00446D2B">
        <w:rPr>
          <w:rFonts w:ascii="Calibri" w:hAnsi="Calibri"/>
          <w:b/>
          <w:szCs w:val="22"/>
        </w:rPr>
        <w:t xml:space="preserve">V případě </w:t>
      </w:r>
      <w:r w:rsidR="00F91623" w:rsidRPr="00446D2B">
        <w:rPr>
          <w:rFonts w:ascii="Calibri" w:hAnsi="Calibri"/>
          <w:b/>
          <w:szCs w:val="22"/>
        </w:rPr>
        <w:t xml:space="preserve">specifického výzkumu se zařazení </w:t>
      </w:r>
      <w:r w:rsidR="00CA7AB2" w:rsidRPr="00446D2B">
        <w:rPr>
          <w:rFonts w:ascii="Calibri" w:hAnsi="Calibri"/>
          <w:b/>
          <w:szCs w:val="22"/>
        </w:rPr>
        <w:t xml:space="preserve">dle metodiky </w:t>
      </w:r>
      <w:proofErr w:type="spellStart"/>
      <w:r w:rsidR="00CA7AB2" w:rsidRPr="00446D2B">
        <w:rPr>
          <w:rFonts w:ascii="Calibri" w:hAnsi="Calibri"/>
          <w:b/>
          <w:szCs w:val="22"/>
        </w:rPr>
        <w:t>Frascati</w:t>
      </w:r>
      <w:proofErr w:type="spellEnd"/>
      <w:r w:rsidR="00CA7AB2" w:rsidRPr="00446D2B">
        <w:rPr>
          <w:rFonts w:ascii="Calibri" w:hAnsi="Calibri"/>
          <w:b/>
          <w:szCs w:val="22"/>
        </w:rPr>
        <w:t xml:space="preserve"> manuálu </w:t>
      </w:r>
      <w:r w:rsidR="00F91623" w:rsidRPr="00446D2B">
        <w:rPr>
          <w:rFonts w:ascii="Calibri" w:hAnsi="Calibri"/>
          <w:b/>
          <w:szCs w:val="22"/>
        </w:rPr>
        <w:t xml:space="preserve">rozchází s definicí </w:t>
      </w:r>
      <w:r w:rsidR="00CA7AB2" w:rsidRPr="00446D2B">
        <w:rPr>
          <w:rFonts w:ascii="Calibri" w:hAnsi="Calibri"/>
          <w:b/>
          <w:szCs w:val="22"/>
        </w:rPr>
        <w:t xml:space="preserve">dle </w:t>
      </w:r>
      <w:r w:rsidR="00F91623" w:rsidRPr="00446D2B">
        <w:rPr>
          <w:rFonts w:ascii="Calibri" w:hAnsi="Calibri"/>
          <w:b/>
          <w:szCs w:val="22"/>
        </w:rPr>
        <w:t>novelizovaného zákona č. 130/2002 Sb</w:t>
      </w:r>
      <w:r w:rsidR="00C06B8E" w:rsidRPr="00446D2B">
        <w:rPr>
          <w:rFonts w:ascii="Calibri" w:hAnsi="Calibri"/>
          <w:b/>
          <w:szCs w:val="22"/>
        </w:rPr>
        <w:t>.</w:t>
      </w:r>
      <w:r w:rsidR="00F91623" w:rsidRPr="00446D2B">
        <w:rPr>
          <w:rFonts w:ascii="Calibri" w:hAnsi="Calibri"/>
          <w:b/>
          <w:szCs w:val="22"/>
        </w:rPr>
        <w:t>, který považuje specifický výzkum na vysokých školách za účelovou formu podpory.</w:t>
      </w:r>
      <w:r w:rsidR="00E058AB" w:rsidRPr="00446D2B">
        <w:rPr>
          <w:rFonts w:ascii="Calibri" w:hAnsi="Calibri"/>
          <w:b/>
          <w:szCs w:val="22"/>
        </w:rPr>
        <w:t xml:space="preserve"> Po potřeby statistiky GBAORD je specifický výzkum na vysokých školách považován za institucionální formu podpory</w:t>
      </w:r>
      <w:r w:rsidR="00E058AB">
        <w:rPr>
          <w:rFonts w:ascii="Calibri" w:hAnsi="Calibri"/>
          <w:szCs w:val="22"/>
        </w:rPr>
        <w:t xml:space="preserve">, která odpovídá lépe způsobu, jakým je tato forma podpory poskytována (výpočet </w:t>
      </w:r>
      <w:r w:rsidR="0058246C">
        <w:rPr>
          <w:rFonts w:ascii="Calibri" w:hAnsi="Calibri"/>
          <w:szCs w:val="22"/>
        </w:rPr>
        <w:t xml:space="preserve">výše podpory </w:t>
      </w:r>
      <w:r w:rsidR="00E058AB">
        <w:rPr>
          <w:rFonts w:ascii="Calibri" w:hAnsi="Calibri"/>
          <w:szCs w:val="22"/>
        </w:rPr>
        <w:t>podle předem stanovených krit</w:t>
      </w:r>
      <w:r w:rsidR="007568E9">
        <w:rPr>
          <w:rFonts w:ascii="Calibri" w:hAnsi="Calibri"/>
          <w:szCs w:val="22"/>
        </w:rPr>
        <w:t>érií</w:t>
      </w:r>
      <w:r w:rsidR="00E058AB">
        <w:rPr>
          <w:rFonts w:ascii="Calibri" w:hAnsi="Calibri"/>
          <w:szCs w:val="22"/>
        </w:rPr>
        <w:t xml:space="preserve"> – </w:t>
      </w:r>
      <w:r w:rsidR="0058246C">
        <w:rPr>
          <w:rFonts w:ascii="Calibri" w:hAnsi="Calibri"/>
          <w:szCs w:val="22"/>
        </w:rPr>
        <w:t xml:space="preserve">výkonových </w:t>
      </w:r>
      <w:r w:rsidR="00E058AB">
        <w:rPr>
          <w:rFonts w:ascii="Calibri" w:hAnsi="Calibri"/>
          <w:szCs w:val="22"/>
        </w:rPr>
        <w:t>proměnných). Chybí prvek „soutěže“, jako je tomu u projektů účelové podpory.</w:t>
      </w:r>
      <w:r w:rsidR="00F91623" w:rsidRPr="00F91623">
        <w:rPr>
          <w:rFonts w:ascii="Calibri" w:hAnsi="Calibri"/>
          <w:szCs w:val="22"/>
        </w:rPr>
        <w:t xml:space="preserve"> </w:t>
      </w:r>
    </w:p>
    <w:p w:rsidR="00D74F2A" w:rsidRDefault="00265ED5" w:rsidP="00D74F2A">
      <w:pPr>
        <w:pStyle w:val="STYL10"/>
        <w:spacing w:after="240"/>
        <w:ind w:firstLine="284"/>
        <w:rPr>
          <w:rFonts w:ascii="Calibri" w:hAnsi="Calibri"/>
          <w:szCs w:val="22"/>
        </w:rPr>
      </w:pPr>
      <w:r w:rsidRPr="006D730E">
        <w:rPr>
          <w:rFonts w:ascii="Calibri" w:hAnsi="Calibri"/>
          <w:b/>
          <w:szCs w:val="22"/>
        </w:rPr>
        <w:t>Hlavním dopadem</w:t>
      </w:r>
      <w:r w:rsidR="0058246C">
        <w:rPr>
          <w:rFonts w:ascii="Calibri" w:hAnsi="Calibri"/>
          <w:b/>
          <w:szCs w:val="22"/>
        </w:rPr>
        <w:t xml:space="preserve"> provedené revize je</w:t>
      </w:r>
      <w:r w:rsidRPr="006D730E">
        <w:rPr>
          <w:rFonts w:ascii="Calibri" w:hAnsi="Calibri"/>
          <w:b/>
          <w:szCs w:val="22"/>
        </w:rPr>
        <w:t xml:space="preserve"> snížení finanční</w:t>
      </w:r>
      <w:r w:rsidR="0058246C">
        <w:rPr>
          <w:rFonts w:ascii="Calibri" w:hAnsi="Calibri"/>
          <w:b/>
          <w:szCs w:val="22"/>
        </w:rPr>
        <w:t>ch prostředků klasifikovaných pod socioekonomickým</w:t>
      </w:r>
      <w:r w:rsidRPr="006D730E">
        <w:rPr>
          <w:rFonts w:ascii="Calibri" w:hAnsi="Calibri"/>
          <w:b/>
          <w:szCs w:val="22"/>
        </w:rPr>
        <w:t xml:space="preserve"> </w:t>
      </w:r>
      <w:r w:rsidR="0058246C">
        <w:rPr>
          <w:rFonts w:ascii="Calibri" w:hAnsi="Calibri"/>
          <w:b/>
          <w:szCs w:val="22"/>
        </w:rPr>
        <w:t xml:space="preserve">cílem </w:t>
      </w:r>
      <w:r w:rsidRPr="006D730E">
        <w:rPr>
          <w:rFonts w:ascii="Calibri" w:hAnsi="Calibri"/>
          <w:b/>
          <w:szCs w:val="22"/>
        </w:rPr>
        <w:t>SEO 10</w:t>
      </w:r>
      <w:r w:rsidR="0058246C">
        <w:rPr>
          <w:rFonts w:ascii="Calibri" w:hAnsi="Calibri"/>
          <w:b/>
          <w:szCs w:val="22"/>
        </w:rPr>
        <w:t>.</w:t>
      </w:r>
      <w:r w:rsidRPr="006D730E">
        <w:rPr>
          <w:rFonts w:ascii="Calibri" w:hAnsi="Calibri"/>
          <w:b/>
          <w:szCs w:val="22"/>
        </w:rPr>
        <w:t xml:space="preserve"> Některé položky účelové podpory, které byly dříve v SEO 10</w:t>
      </w:r>
      <w:r w:rsidR="00D05603">
        <w:rPr>
          <w:rFonts w:ascii="Calibri" w:hAnsi="Calibri"/>
          <w:b/>
          <w:szCs w:val="22"/>
        </w:rPr>
        <w:t>,</w:t>
      </w:r>
      <w:r w:rsidRPr="006D730E">
        <w:rPr>
          <w:rFonts w:ascii="Calibri" w:hAnsi="Calibri"/>
          <w:b/>
          <w:szCs w:val="22"/>
        </w:rPr>
        <w:t xml:space="preserve"> se nově klasifikují do ostatních cílů</w:t>
      </w:r>
      <w:r w:rsidR="00A8443B">
        <w:rPr>
          <w:rFonts w:ascii="Calibri" w:hAnsi="Calibri"/>
          <w:b/>
          <w:szCs w:val="22"/>
        </w:rPr>
        <w:t>.</w:t>
      </w:r>
      <w:r w:rsidRPr="006D730E">
        <w:rPr>
          <w:rFonts w:ascii="Calibri" w:hAnsi="Calibri"/>
          <w:b/>
          <w:szCs w:val="22"/>
        </w:rPr>
        <w:t xml:space="preserve"> </w:t>
      </w:r>
      <w:r w:rsidR="006D730E">
        <w:rPr>
          <w:rFonts w:ascii="Calibri" w:hAnsi="Calibri"/>
          <w:szCs w:val="22"/>
        </w:rPr>
        <w:t>I když celková výše GBAORD v daném r</w:t>
      </w:r>
      <w:r w:rsidR="001E4DC3">
        <w:rPr>
          <w:rFonts w:ascii="Calibri" w:hAnsi="Calibri"/>
          <w:szCs w:val="22"/>
        </w:rPr>
        <w:t xml:space="preserve">oce zůstane stejná, </w:t>
      </w:r>
      <w:r w:rsidR="00550F27">
        <w:rPr>
          <w:rFonts w:ascii="Calibri" w:hAnsi="Calibri"/>
          <w:szCs w:val="22"/>
        </w:rPr>
        <w:t>částky i</w:t>
      </w:r>
      <w:r w:rsidR="006D730E">
        <w:rPr>
          <w:rFonts w:ascii="Calibri" w:hAnsi="Calibri"/>
          <w:szCs w:val="22"/>
        </w:rPr>
        <w:t> procentní podíly jednotlivých socioekonomických cílů budou odlišné od verze před revizí.</w:t>
      </w:r>
    </w:p>
    <w:p w:rsidR="007D1F50" w:rsidRDefault="007D1F50" w:rsidP="00D74F2A">
      <w:pPr>
        <w:pStyle w:val="STYL10"/>
        <w:spacing w:after="240"/>
        <w:ind w:firstLine="284"/>
        <w:rPr>
          <w:rFonts w:ascii="Calibri" w:hAnsi="Calibri"/>
          <w:szCs w:val="22"/>
        </w:rPr>
      </w:pPr>
    </w:p>
    <w:p w:rsidR="000C79AD" w:rsidRPr="00BB7791" w:rsidRDefault="000C79AD" w:rsidP="000C79AD">
      <w:pPr>
        <w:pStyle w:val="Nadpis2"/>
        <w:pBdr>
          <w:bottom w:val="single" w:sz="4" w:space="1" w:color="C2D69B"/>
        </w:pBdr>
        <w:spacing w:after="120"/>
        <w:rPr>
          <w:rFonts w:ascii="Calibri" w:hAnsi="Calibri"/>
          <w:b w:val="0"/>
          <w:bCs w:val="0"/>
          <w:color w:val="4F6228"/>
          <w:sz w:val="24"/>
          <w:szCs w:val="22"/>
        </w:rPr>
      </w:pPr>
      <w:r>
        <w:rPr>
          <w:rFonts w:ascii="Calibri" w:hAnsi="Calibri"/>
          <w:color w:val="4F6228"/>
          <w:sz w:val="24"/>
          <w:szCs w:val="22"/>
        </w:rPr>
        <w:t xml:space="preserve">E. </w:t>
      </w:r>
      <w:r w:rsidR="00B841E0">
        <w:rPr>
          <w:rFonts w:ascii="Calibri" w:hAnsi="Calibri"/>
          <w:color w:val="4F6228"/>
          <w:sz w:val="24"/>
          <w:szCs w:val="22"/>
        </w:rPr>
        <w:t xml:space="preserve">NEPŘÍMÁ </w:t>
      </w:r>
      <w:r w:rsidR="007D1F50">
        <w:rPr>
          <w:rFonts w:ascii="Calibri" w:hAnsi="Calibri"/>
          <w:color w:val="4F6228"/>
          <w:sz w:val="24"/>
          <w:szCs w:val="22"/>
        </w:rPr>
        <w:t xml:space="preserve">VEŘEJNÁ </w:t>
      </w:r>
      <w:r w:rsidR="00B841E0">
        <w:rPr>
          <w:rFonts w:ascii="Calibri" w:hAnsi="Calibri"/>
          <w:color w:val="4F6228"/>
          <w:sz w:val="24"/>
          <w:szCs w:val="22"/>
        </w:rPr>
        <w:t>PODPORA VÝZKUMU A VÝVOJE</w:t>
      </w:r>
    </w:p>
    <w:p w:rsidR="000C79AD" w:rsidRDefault="000C79AD" w:rsidP="00F41542">
      <w:pPr>
        <w:ind w:firstLine="284"/>
        <w:jc w:val="both"/>
        <w:rPr>
          <w:rFonts w:ascii="Calibri" w:hAnsi="Calibri"/>
          <w:bCs/>
          <w:kern w:val="32"/>
          <w:sz w:val="20"/>
          <w:szCs w:val="22"/>
        </w:rPr>
      </w:pPr>
      <w:r>
        <w:rPr>
          <w:rFonts w:ascii="Calibri" w:hAnsi="Calibri"/>
          <w:bCs/>
          <w:kern w:val="32"/>
          <w:sz w:val="20"/>
          <w:szCs w:val="22"/>
        </w:rPr>
        <w:t xml:space="preserve">Kromě přímé </w:t>
      </w:r>
      <w:r w:rsidR="00F41542">
        <w:rPr>
          <w:rFonts w:ascii="Calibri" w:hAnsi="Calibri"/>
          <w:bCs/>
          <w:kern w:val="32"/>
          <w:sz w:val="20"/>
          <w:szCs w:val="22"/>
        </w:rPr>
        <w:t xml:space="preserve">státní rozpočtové </w:t>
      </w:r>
      <w:r>
        <w:rPr>
          <w:rFonts w:ascii="Calibri" w:hAnsi="Calibri"/>
          <w:bCs/>
          <w:kern w:val="32"/>
          <w:sz w:val="20"/>
          <w:szCs w:val="22"/>
        </w:rPr>
        <w:t>podpory</w:t>
      </w:r>
      <w:r w:rsidR="00F41542">
        <w:rPr>
          <w:rFonts w:ascii="Calibri" w:hAnsi="Calibri"/>
          <w:bCs/>
          <w:kern w:val="32"/>
          <w:sz w:val="20"/>
          <w:szCs w:val="22"/>
        </w:rPr>
        <w:t xml:space="preserve"> výzkumu a vývoje</w:t>
      </w:r>
      <w:r w:rsidR="000A3A35">
        <w:rPr>
          <w:rFonts w:ascii="Calibri" w:hAnsi="Calibri"/>
          <w:bCs/>
          <w:kern w:val="32"/>
          <w:sz w:val="20"/>
          <w:szCs w:val="22"/>
        </w:rPr>
        <w:t>, kterou reprez</w:t>
      </w:r>
      <w:r>
        <w:rPr>
          <w:rFonts w:ascii="Calibri" w:hAnsi="Calibri"/>
          <w:bCs/>
          <w:kern w:val="32"/>
          <w:sz w:val="20"/>
          <w:szCs w:val="22"/>
        </w:rPr>
        <w:t>entuje statistika GBAORD – Státní rozpočtové výdaje a dotace na výzkum a vývoj (podle socioekonomických</w:t>
      </w:r>
      <w:r w:rsidR="00F41542">
        <w:rPr>
          <w:rFonts w:ascii="Calibri" w:hAnsi="Calibri"/>
          <w:bCs/>
          <w:kern w:val="32"/>
          <w:sz w:val="20"/>
          <w:szCs w:val="22"/>
        </w:rPr>
        <w:t xml:space="preserve"> cílů), existuje od roku 2005 </w:t>
      </w:r>
      <w:r>
        <w:rPr>
          <w:rFonts w:ascii="Calibri" w:hAnsi="Calibri"/>
          <w:bCs/>
          <w:kern w:val="32"/>
          <w:sz w:val="20"/>
          <w:szCs w:val="22"/>
        </w:rPr>
        <w:t xml:space="preserve">možnost daňového odpočtu uznatelných nákladů na výzkum a vývoj. Tento instrument se nazývá nepřímá </w:t>
      </w:r>
      <w:r w:rsidR="007D1F50">
        <w:rPr>
          <w:rFonts w:ascii="Calibri" w:hAnsi="Calibri"/>
          <w:bCs/>
          <w:kern w:val="32"/>
          <w:sz w:val="20"/>
          <w:szCs w:val="22"/>
        </w:rPr>
        <w:t xml:space="preserve">veřejná </w:t>
      </w:r>
      <w:r>
        <w:rPr>
          <w:rFonts w:ascii="Calibri" w:hAnsi="Calibri"/>
          <w:bCs/>
          <w:kern w:val="32"/>
          <w:sz w:val="20"/>
          <w:szCs w:val="22"/>
        </w:rPr>
        <w:t>podpora výzkumu a vývoje. Údaje o té</w:t>
      </w:r>
      <w:r w:rsidR="00F41542">
        <w:rPr>
          <w:rFonts w:ascii="Calibri" w:hAnsi="Calibri"/>
          <w:bCs/>
          <w:kern w:val="32"/>
          <w:sz w:val="20"/>
          <w:szCs w:val="22"/>
        </w:rPr>
        <w:t>to</w:t>
      </w:r>
      <w:r>
        <w:rPr>
          <w:rFonts w:ascii="Calibri" w:hAnsi="Calibri"/>
          <w:bCs/>
          <w:kern w:val="32"/>
          <w:sz w:val="20"/>
          <w:szCs w:val="22"/>
        </w:rPr>
        <w:t xml:space="preserve"> formě podpory ČSÚ také shromažďuje (z administrativních zdrojů) a publikuje na svých stránkách. </w:t>
      </w:r>
      <w:r w:rsidR="00F41542">
        <w:rPr>
          <w:rFonts w:ascii="Calibri" w:hAnsi="Calibri"/>
          <w:bCs/>
          <w:kern w:val="32"/>
          <w:sz w:val="20"/>
          <w:szCs w:val="22"/>
        </w:rPr>
        <w:t>Ú</w:t>
      </w:r>
      <w:r w:rsidR="00B876C5">
        <w:rPr>
          <w:rFonts w:ascii="Calibri" w:hAnsi="Calibri"/>
          <w:bCs/>
          <w:kern w:val="32"/>
          <w:sz w:val="20"/>
          <w:szCs w:val="22"/>
        </w:rPr>
        <w:t>daje o subjektech</w:t>
      </w:r>
      <w:r w:rsidR="00BB3AC8">
        <w:rPr>
          <w:rFonts w:ascii="Calibri" w:hAnsi="Calibri"/>
          <w:bCs/>
          <w:kern w:val="32"/>
          <w:sz w:val="20"/>
          <w:szCs w:val="22"/>
        </w:rPr>
        <w:t xml:space="preserve"> (právnické osoby)</w:t>
      </w:r>
      <w:r w:rsidR="00B876C5">
        <w:rPr>
          <w:rFonts w:ascii="Calibri" w:hAnsi="Calibri"/>
          <w:bCs/>
          <w:kern w:val="32"/>
          <w:sz w:val="20"/>
          <w:szCs w:val="22"/>
        </w:rPr>
        <w:t xml:space="preserve"> podnikatelského sektoru, které uplatnily daňový odpočet uznatelných nákladů na </w:t>
      </w:r>
      <w:proofErr w:type="spellStart"/>
      <w:r w:rsidR="00B876C5">
        <w:rPr>
          <w:rFonts w:ascii="Calibri" w:hAnsi="Calibri"/>
          <w:bCs/>
          <w:kern w:val="32"/>
          <w:sz w:val="20"/>
          <w:szCs w:val="22"/>
        </w:rPr>
        <w:t>VaV</w:t>
      </w:r>
      <w:proofErr w:type="spellEnd"/>
      <w:r w:rsidR="00B876C5">
        <w:rPr>
          <w:rFonts w:ascii="Calibri" w:hAnsi="Calibri"/>
          <w:bCs/>
          <w:kern w:val="32"/>
          <w:sz w:val="20"/>
          <w:szCs w:val="22"/>
        </w:rPr>
        <w:t>, jsou dostupné od roku 2007.</w:t>
      </w:r>
    </w:p>
    <w:p w:rsidR="00AD3AA3" w:rsidRDefault="00AD3AA3" w:rsidP="000C79AD">
      <w:pPr>
        <w:ind w:firstLine="284"/>
        <w:rPr>
          <w:rFonts w:ascii="Calibri" w:hAnsi="Calibri"/>
          <w:bCs/>
          <w:kern w:val="32"/>
          <w:sz w:val="20"/>
          <w:szCs w:val="22"/>
        </w:rPr>
      </w:pPr>
    </w:p>
    <w:p w:rsidR="00474EE6" w:rsidRDefault="000C79AD" w:rsidP="00BB3AC8">
      <w:pPr>
        <w:rPr>
          <w:rFonts w:ascii="Calibri" w:hAnsi="Calibri"/>
          <w:bCs/>
          <w:kern w:val="32"/>
          <w:sz w:val="20"/>
          <w:szCs w:val="22"/>
        </w:rPr>
      </w:pPr>
      <w:r>
        <w:rPr>
          <w:rFonts w:ascii="Calibri" w:hAnsi="Calibri"/>
          <w:bCs/>
          <w:kern w:val="32"/>
          <w:sz w:val="20"/>
          <w:szCs w:val="22"/>
        </w:rPr>
        <w:t xml:space="preserve">Blíže viz: </w:t>
      </w:r>
      <w:hyperlink r:id="rId11" w:history="1">
        <w:r w:rsidRPr="00BA21C1">
          <w:rPr>
            <w:rStyle w:val="Hypertextovodkaz"/>
            <w:rFonts w:ascii="Calibri" w:hAnsi="Calibri"/>
            <w:bCs/>
            <w:kern w:val="32"/>
            <w:sz w:val="20"/>
            <w:szCs w:val="22"/>
          </w:rPr>
          <w:t>http://www.czso.cz/csu/redakce.nsf/i/neprima_podpora_vyzkumu_a_vyvoje_v_podnikatelskem_sektoru</w:t>
        </w:r>
      </w:hyperlink>
      <w:r>
        <w:rPr>
          <w:rFonts w:ascii="Calibri" w:hAnsi="Calibri"/>
          <w:bCs/>
          <w:kern w:val="32"/>
          <w:sz w:val="20"/>
          <w:szCs w:val="22"/>
        </w:rPr>
        <w:t xml:space="preserve"> </w:t>
      </w:r>
    </w:p>
    <w:p w:rsidR="00BB3AC8" w:rsidRPr="00BB3AC8" w:rsidRDefault="00BB3AC8" w:rsidP="00BB3AC8">
      <w:pPr>
        <w:rPr>
          <w:rFonts w:ascii="Calibri" w:hAnsi="Calibri"/>
          <w:bCs/>
          <w:kern w:val="32"/>
          <w:sz w:val="20"/>
          <w:szCs w:val="22"/>
        </w:rPr>
      </w:pPr>
    </w:p>
    <w:p w:rsidR="00624F57" w:rsidRPr="00BB7791" w:rsidRDefault="00624F57" w:rsidP="00624F57">
      <w:pPr>
        <w:pStyle w:val="Nadpis2"/>
        <w:pBdr>
          <w:bottom w:val="single" w:sz="4" w:space="1" w:color="C2D69B"/>
        </w:pBdr>
        <w:spacing w:after="120"/>
        <w:rPr>
          <w:rFonts w:ascii="Calibri" w:hAnsi="Calibri"/>
          <w:b w:val="0"/>
          <w:bCs w:val="0"/>
          <w:color w:val="4F6228"/>
          <w:sz w:val="24"/>
          <w:szCs w:val="22"/>
        </w:rPr>
      </w:pPr>
      <w:r>
        <w:rPr>
          <w:rFonts w:ascii="Calibri" w:hAnsi="Calibri"/>
          <w:color w:val="4F6228"/>
          <w:sz w:val="24"/>
          <w:szCs w:val="22"/>
        </w:rPr>
        <w:lastRenderedPageBreak/>
        <w:t xml:space="preserve">F. </w:t>
      </w:r>
      <w:r w:rsidR="00B841E0">
        <w:rPr>
          <w:rFonts w:ascii="Calibri" w:hAnsi="Calibri"/>
          <w:color w:val="4F6228"/>
          <w:sz w:val="24"/>
          <w:szCs w:val="22"/>
        </w:rPr>
        <w:t>NADNÁRODNĚ KOORDINOVANÝ VÝZKUM A VÝVOJ (MEZINÁRODNÍ SPOLUPRÁCE V RÁMCI EVROPSKÉHO VÝZKUMNÉHO PROSTORU)</w:t>
      </w:r>
    </w:p>
    <w:p w:rsidR="001E2A7E" w:rsidRPr="00474EE6" w:rsidRDefault="00DB0F60" w:rsidP="00DB0F60">
      <w:pPr>
        <w:ind w:firstLine="284"/>
        <w:jc w:val="both"/>
        <w:rPr>
          <w:rFonts w:ascii="Calibri" w:hAnsi="Calibri"/>
          <w:bCs/>
          <w:kern w:val="32"/>
          <w:sz w:val="20"/>
          <w:szCs w:val="22"/>
        </w:rPr>
      </w:pPr>
      <w:r w:rsidRPr="00474EE6">
        <w:rPr>
          <w:rFonts w:ascii="Calibri" w:hAnsi="Calibri"/>
          <w:bCs/>
          <w:kern w:val="32"/>
          <w:sz w:val="20"/>
          <w:szCs w:val="22"/>
        </w:rPr>
        <w:t>Nařízení Komise EU č. 995/2012 vymezilo novou oblast statistiky státních rozpočtových výdajů na výzkum a vývoj, které má za úkol zachytit nadnárodně koordinovaný výzkum a vývoj v rámci evropského vý</w:t>
      </w:r>
      <w:r w:rsidR="007934F5">
        <w:rPr>
          <w:rFonts w:ascii="Calibri" w:hAnsi="Calibri"/>
          <w:bCs/>
          <w:kern w:val="32"/>
          <w:sz w:val="20"/>
          <w:szCs w:val="22"/>
        </w:rPr>
        <w:t>zkumného prostoru. Statistika má akronym GBAORD-</w:t>
      </w:r>
      <w:r w:rsidRPr="00474EE6">
        <w:rPr>
          <w:rFonts w:ascii="Calibri" w:hAnsi="Calibri"/>
          <w:bCs/>
          <w:kern w:val="32"/>
          <w:sz w:val="20"/>
          <w:szCs w:val="22"/>
        </w:rPr>
        <w:t xml:space="preserve">ERA1 a její zabezpečení je pro členské země povinné na základě uvedeného nařízení. Prvním referenčním rokem sběru dat </w:t>
      </w:r>
      <w:r w:rsidR="007934F5">
        <w:rPr>
          <w:rFonts w:ascii="Calibri" w:hAnsi="Calibri"/>
          <w:bCs/>
          <w:kern w:val="32"/>
          <w:sz w:val="20"/>
          <w:szCs w:val="22"/>
        </w:rPr>
        <w:t xml:space="preserve">dle nařízení </w:t>
      </w:r>
      <w:r w:rsidRPr="00474EE6">
        <w:rPr>
          <w:rFonts w:ascii="Calibri" w:hAnsi="Calibri"/>
          <w:bCs/>
          <w:kern w:val="32"/>
          <w:sz w:val="20"/>
          <w:szCs w:val="22"/>
        </w:rPr>
        <w:t>byl stanoven rok 2012. Příprava této statistiky</w:t>
      </w:r>
      <w:r w:rsidR="007934F5">
        <w:rPr>
          <w:rFonts w:ascii="Calibri" w:hAnsi="Calibri"/>
          <w:bCs/>
          <w:kern w:val="32"/>
          <w:sz w:val="20"/>
          <w:szCs w:val="22"/>
        </w:rPr>
        <w:t xml:space="preserve"> zabrala </w:t>
      </w:r>
      <w:proofErr w:type="spellStart"/>
      <w:r w:rsidR="007934F5">
        <w:rPr>
          <w:rFonts w:ascii="Calibri" w:hAnsi="Calibri"/>
          <w:bCs/>
          <w:kern w:val="32"/>
          <w:sz w:val="20"/>
          <w:szCs w:val="22"/>
        </w:rPr>
        <w:t>Eurostatu</w:t>
      </w:r>
      <w:proofErr w:type="spellEnd"/>
      <w:r w:rsidR="007934F5">
        <w:rPr>
          <w:rFonts w:ascii="Calibri" w:hAnsi="Calibri"/>
          <w:bCs/>
          <w:kern w:val="32"/>
          <w:sz w:val="20"/>
          <w:szCs w:val="22"/>
        </w:rPr>
        <w:t xml:space="preserve"> několik let. P</w:t>
      </w:r>
      <w:r w:rsidR="001E2A7E" w:rsidRPr="00474EE6">
        <w:rPr>
          <w:rFonts w:ascii="Calibri" w:hAnsi="Calibri"/>
          <w:bCs/>
          <w:kern w:val="32"/>
          <w:sz w:val="20"/>
          <w:szCs w:val="22"/>
        </w:rPr>
        <w:t xml:space="preserve">ilotní </w:t>
      </w:r>
      <w:r w:rsidR="007934F5">
        <w:rPr>
          <w:rFonts w:ascii="Calibri" w:hAnsi="Calibri"/>
          <w:bCs/>
          <w:kern w:val="32"/>
          <w:sz w:val="20"/>
          <w:szCs w:val="22"/>
        </w:rPr>
        <w:t xml:space="preserve">data </w:t>
      </w:r>
      <w:r w:rsidR="00D05603">
        <w:rPr>
          <w:rFonts w:ascii="Calibri" w:hAnsi="Calibri"/>
          <w:bCs/>
          <w:kern w:val="32"/>
          <w:sz w:val="20"/>
          <w:szCs w:val="22"/>
        </w:rPr>
        <w:t xml:space="preserve">jsou </w:t>
      </w:r>
      <w:r w:rsidR="007934F5">
        <w:rPr>
          <w:rFonts w:ascii="Calibri" w:hAnsi="Calibri"/>
          <w:bCs/>
          <w:kern w:val="32"/>
          <w:sz w:val="20"/>
          <w:szCs w:val="22"/>
        </w:rPr>
        <w:t>dostupná již od roku 2007. P</w:t>
      </w:r>
      <w:r w:rsidRPr="00474EE6">
        <w:rPr>
          <w:rFonts w:ascii="Calibri" w:hAnsi="Calibri"/>
          <w:bCs/>
          <w:kern w:val="32"/>
          <w:sz w:val="20"/>
          <w:szCs w:val="22"/>
        </w:rPr>
        <w:t xml:space="preserve">o několika </w:t>
      </w:r>
      <w:r w:rsidR="001E2A7E" w:rsidRPr="00474EE6">
        <w:rPr>
          <w:rFonts w:ascii="Calibri" w:hAnsi="Calibri"/>
          <w:bCs/>
          <w:kern w:val="32"/>
          <w:sz w:val="20"/>
          <w:szCs w:val="22"/>
        </w:rPr>
        <w:t>úpravách</w:t>
      </w:r>
      <w:r w:rsidRPr="00474EE6">
        <w:rPr>
          <w:rFonts w:ascii="Calibri" w:hAnsi="Calibri"/>
          <w:bCs/>
          <w:kern w:val="32"/>
          <w:sz w:val="20"/>
          <w:szCs w:val="22"/>
        </w:rPr>
        <w:t xml:space="preserve"> metodiky </w:t>
      </w:r>
      <w:r w:rsidR="007934F5">
        <w:rPr>
          <w:rFonts w:ascii="Calibri" w:hAnsi="Calibri"/>
          <w:bCs/>
          <w:kern w:val="32"/>
          <w:sz w:val="20"/>
          <w:szCs w:val="22"/>
        </w:rPr>
        <w:t xml:space="preserve">se </w:t>
      </w:r>
      <w:r w:rsidRPr="00474EE6">
        <w:rPr>
          <w:rFonts w:ascii="Calibri" w:hAnsi="Calibri"/>
          <w:bCs/>
          <w:kern w:val="32"/>
          <w:sz w:val="20"/>
          <w:szCs w:val="22"/>
        </w:rPr>
        <w:t xml:space="preserve">dospělo pod vedením </w:t>
      </w:r>
      <w:proofErr w:type="spellStart"/>
      <w:r w:rsidRPr="00474EE6">
        <w:rPr>
          <w:rFonts w:ascii="Calibri" w:hAnsi="Calibri"/>
          <w:bCs/>
          <w:kern w:val="32"/>
          <w:sz w:val="20"/>
          <w:szCs w:val="22"/>
        </w:rPr>
        <w:t>Eurostatu</w:t>
      </w:r>
      <w:proofErr w:type="spellEnd"/>
      <w:r w:rsidR="007934F5">
        <w:rPr>
          <w:rFonts w:ascii="Calibri" w:hAnsi="Calibri"/>
          <w:bCs/>
          <w:kern w:val="32"/>
          <w:sz w:val="20"/>
          <w:szCs w:val="22"/>
        </w:rPr>
        <w:t xml:space="preserve"> za přispění OECD</w:t>
      </w:r>
      <w:r w:rsidRPr="00474EE6">
        <w:rPr>
          <w:rFonts w:ascii="Calibri" w:hAnsi="Calibri"/>
          <w:bCs/>
          <w:kern w:val="32"/>
          <w:sz w:val="20"/>
          <w:szCs w:val="22"/>
        </w:rPr>
        <w:t xml:space="preserve"> ke konsenzu, které </w:t>
      </w:r>
      <w:r w:rsidR="007D0CDE" w:rsidRPr="00474EE6">
        <w:rPr>
          <w:rFonts w:ascii="Calibri" w:hAnsi="Calibri"/>
          <w:bCs/>
          <w:kern w:val="32"/>
          <w:sz w:val="20"/>
          <w:szCs w:val="22"/>
        </w:rPr>
        <w:t xml:space="preserve">specifické </w:t>
      </w:r>
      <w:r w:rsidRPr="00474EE6">
        <w:rPr>
          <w:rFonts w:ascii="Calibri" w:hAnsi="Calibri"/>
          <w:bCs/>
          <w:kern w:val="32"/>
          <w:sz w:val="20"/>
          <w:szCs w:val="22"/>
        </w:rPr>
        <w:t>položky</w:t>
      </w:r>
      <w:r w:rsidR="007D0CDE" w:rsidRPr="00474EE6">
        <w:rPr>
          <w:rFonts w:ascii="Calibri" w:hAnsi="Calibri"/>
          <w:bCs/>
          <w:kern w:val="32"/>
          <w:sz w:val="20"/>
          <w:szCs w:val="22"/>
        </w:rPr>
        <w:t xml:space="preserve"> státní rozpočtové podpory výzkumu a vývoje</w:t>
      </w:r>
      <w:r w:rsidR="001E2A7E" w:rsidRPr="00474EE6">
        <w:rPr>
          <w:rFonts w:ascii="Calibri" w:hAnsi="Calibri"/>
          <w:bCs/>
          <w:kern w:val="32"/>
          <w:sz w:val="20"/>
          <w:szCs w:val="22"/>
        </w:rPr>
        <w:t xml:space="preserve"> (poplatky a příspěvky)</w:t>
      </w:r>
      <w:r w:rsidRPr="00474EE6">
        <w:rPr>
          <w:rFonts w:ascii="Calibri" w:hAnsi="Calibri"/>
          <w:bCs/>
          <w:kern w:val="32"/>
          <w:sz w:val="20"/>
          <w:szCs w:val="22"/>
        </w:rPr>
        <w:t xml:space="preserve"> budou do této statistiky zařazeny. </w:t>
      </w:r>
    </w:p>
    <w:p w:rsidR="00B05EFB" w:rsidRDefault="001E2A7E" w:rsidP="00DB0F60">
      <w:pPr>
        <w:ind w:firstLine="284"/>
        <w:jc w:val="both"/>
        <w:rPr>
          <w:rFonts w:ascii="Calibri" w:hAnsi="Calibri"/>
          <w:sz w:val="20"/>
          <w:szCs w:val="22"/>
        </w:rPr>
      </w:pPr>
      <w:r w:rsidRPr="00474EE6">
        <w:rPr>
          <w:rFonts w:ascii="Calibri" w:hAnsi="Calibri"/>
          <w:bCs/>
          <w:kern w:val="32"/>
          <w:sz w:val="20"/>
          <w:szCs w:val="22"/>
        </w:rPr>
        <w:t>Statistika zachycuje vybrané poplatky a příspěvky ze státního rozpočtu na nadnárodně koordinovaný výzkum a vývoj</w:t>
      </w:r>
      <w:r w:rsidR="000C79AD" w:rsidRPr="00474EE6">
        <w:rPr>
          <w:rFonts w:ascii="Calibri" w:hAnsi="Calibri"/>
          <w:sz w:val="20"/>
          <w:szCs w:val="22"/>
        </w:rPr>
        <w:t xml:space="preserve"> </w:t>
      </w:r>
      <w:r w:rsidRPr="00474EE6">
        <w:rPr>
          <w:rFonts w:ascii="Calibri" w:hAnsi="Calibri"/>
          <w:sz w:val="20"/>
          <w:szCs w:val="22"/>
        </w:rPr>
        <w:t>v rámci evropského výzkumného prostoru</w:t>
      </w:r>
      <w:r w:rsidR="007934F5">
        <w:rPr>
          <w:rFonts w:ascii="Calibri" w:hAnsi="Calibri"/>
          <w:sz w:val="20"/>
          <w:szCs w:val="22"/>
        </w:rPr>
        <w:t xml:space="preserve"> (ERA)</w:t>
      </w:r>
      <w:r w:rsidRPr="00474EE6">
        <w:rPr>
          <w:rFonts w:ascii="Calibri" w:hAnsi="Calibri"/>
          <w:sz w:val="20"/>
          <w:szCs w:val="22"/>
        </w:rPr>
        <w:t>.</w:t>
      </w:r>
      <w:r w:rsidR="00A67265" w:rsidRPr="00474EE6">
        <w:rPr>
          <w:rFonts w:ascii="Calibri" w:hAnsi="Calibri"/>
          <w:sz w:val="20"/>
          <w:szCs w:val="22"/>
        </w:rPr>
        <w:t xml:space="preserve"> Dle metodiky jsou </w:t>
      </w:r>
      <w:r w:rsidR="007934F5">
        <w:rPr>
          <w:rFonts w:ascii="Calibri" w:hAnsi="Calibri"/>
          <w:sz w:val="20"/>
          <w:szCs w:val="22"/>
        </w:rPr>
        <w:t>údaje dále podrobněji členěny následovně</w:t>
      </w:r>
      <w:r w:rsidR="00A67265" w:rsidRPr="00474EE6">
        <w:rPr>
          <w:rFonts w:ascii="Calibri" w:hAnsi="Calibri"/>
          <w:sz w:val="20"/>
          <w:szCs w:val="22"/>
        </w:rPr>
        <w:t xml:space="preserve">:   </w:t>
      </w:r>
      <w:r w:rsidRPr="00474EE6">
        <w:rPr>
          <w:rFonts w:ascii="Calibri" w:hAnsi="Calibri"/>
          <w:sz w:val="20"/>
          <w:szCs w:val="22"/>
        </w:rPr>
        <w:t xml:space="preserve"> </w:t>
      </w:r>
    </w:p>
    <w:p w:rsidR="00474EE6" w:rsidRPr="00474EE6" w:rsidRDefault="00474EE6" w:rsidP="00DB0F60">
      <w:pPr>
        <w:ind w:firstLine="284"/>
        <w:jc w:val="both"/>
        <w:rPr>
          <w:rFonts w:ascii="Calibri" w:hAnsi="Calibri"/>
          <w:sz w:val="20"/>
          <w:szCs w:val="22"/>
        </w:rPr>
      </w:pPr>
    </w:p>
    <w:p w:rsidR="00B05EFB" w:rsidRPr="00E664C7" w:rsidRDefault="00B05EFB" w:rsidP="00455EF0">
      <w:pPr>
        <w:pStyle w:val="STYL10"/>
        <w:numPr>
          <w:ilvl w:val="0"/>
          <w:numId w:val="7"/>
        </w:numPr>
        <w:spacing w:before="0" w:after="0"/>
        <w:rPr>
          <w:rFonts w:ascii="Calibri" w:hAnsi="Calibri" w:cs="Calibri"/>
          <w:szCs w:val="20"/>
        </w:rPr>
      </w:pPr>
      <w:r w:rsidRPr="00E664C7">
        <w:rPr>
          <w:rFonts w:ascii="Calibri" w:hAnsi="Calibri" w:cs="Calibri"/>
          <w:szCs w:val="20"/>
        </w:rPr>
        <w:t xml:space="preserve">vnitrostátní příspěvky veřejným subjektům činným v nadnárodním </w:t>
      </w:r>
      <w:proofErr w:type="spellStart"/>
      <w:r w:rsidRPr="00E664C7">
        <w:rPr>
          <w:rFonts w:ascii="Calibri" w:hAnsi="Calibri" w:cs="Calibri"/>
          <w:szCs w:val="20"/>
        </w:rPr>
        <w:t>VaV</w:t>
      </w:r>
      <w:proofErr w:type="spellEnd"/>
      <w:r w:rsidRPr="00E664C7">
        <w:rPr>
          <w:rFonts w:ascii="Calibri" w:hAnsi="Calibri" w:cs="Calibri"/>
          <w:szCs w:val="20"/>
        </w:rPr>
        <w:t>,</w:t>
      </w:r>
    </w:p>
    <w:p w:rsidR="00B05EFB" w:rsidRPr="00E664C7" w:rsidRDefault="00B05EFB" w:rsidP="00455EF0">
      <w:pPr>
        <w:pStyle w:val="STYL10"/>
        <w:numPr>
          <w:ilvl w:val="0"/>
          <w:numId w:val="7"/>
        </w:numPr>
        <w:spacing w:before="0" w:after="0"/>
        <w:rPr>
          <w:rFonts w:ascii="Calibri" w:hAnsi="Calibri" w:cs="Calibri"/>
          <w:szCs w:val="20"/>
        </w:rPr>
      </w:pPr>
      <w:r w:rsidRPr="00E664C7">
        <w:rPr>
          <w:rFonts w:ascii="Calibri" w:hAnsi="Calibri" w:cs="Calibri"/>
          <w:szCs w:val="20"/>
        </w:rPr>
        <w:t xml:space="preserve">vnitrostátní příspěvky na evropské nadnárodní veřejné programy v oblasti </w:t>
      </w:r>
      <w:proofErr w:type="spellStart"/>
      <w:r w:rsidRPr="00E664C7">
        <w:rPr>
          <w:rFonts w:ascii="Calibri" w:hAnsi="Calibri" w:cs="Calibri"/>
          <w:szCs w:val="20"/>
        </w:rPr>
        <w:t>VaV</w:t>
      </w:r>
      <w:proofErr w:type="spellEnd"/>
      <w:r w:rsidRPr="00E664C7">
        <w:rPr>
          <w:rFonts w:ascii="Calibri" w:hAnsi="Calibri" w:cs="Calibri"/>
          <w:szCs w:val="20"/>
        </w:rPr>
        <w:t>,</w:t>
      </w:r>
    </w:p>
    <w:p w:rsidR="00B05EFB" w:rsidRPr="00E664C7" w:rsidRDefault="00B05EFB" w:rsidP="00455EF0">
      <w:pPr>
        <w:pStyle w:val="STYL10"/>
        <w:numPr>
          <w:ilvl w:val="0"/>
          <w:numId w:val="7"/>
        </w:numPr>
        <w:spacing w:before="0" w:after="0"/>
        <w:rPr>
          <w:rFonts w:ascii="Calibri" w:hAnsi="Calibri" w:cs="Calibri"/>
          <w:szCs w:val="20"/>
        </w:rPr>
      </w:pPr>
      <w:r w:rsidRPr="00E664C7">
        <w:rPr>
          <w:rFonts w:ascii="Calibri" w:hAnsi="Calibri" w:cs="Calibri"/>
          <w:szCs w:val="20"/>
        </w:rPr>
        <w:t xml:space="preserve">vnitrostátní příspěvky na dvoustranné či mnohostranné veřejné programy v oblasti </w:t>
      </w:r>
      <w:proofErr w:type="spellStart"/>
      <w:r w:rsidRPr="00E664C7">
        <w:rPr>
          <w:rFonts w:ascii="Calibri" w:hAnsi="Calibri" w:cs="Calibri"/>
          <w:szCs w:val="20"/>
        </w:rPr>
        <w:t>VaV</w:t>
      </w:r>
      <w:proofErr w:type="spellEnd"/>
      <w:r w:rsidRPr="00E664C7">
        <w:rPr>
          <w:rFonts w:ascii="Calibri" w:hAnsi="Calibri" w:cs="Calibri"/>
          <w:szCs w:val="20"/>
        </w:rPr>
        <w:t xml:space="preserve"> založené mezi vládami členských států (a ve spolupráci s ka</w:t>
      </w:r>
      <w:r>
        <w:rPr>
          <w:rFonts w:ascii="Calibri" w:hAnsi="Calibri" w:cs="Calibri"/>
          <w:szCs w:val="20"/>
        </w:rPr>
        <w:t xml:space="preserve">ndidátskými zeměmi a zeměmi </w:t>
      </w:r>
      <w:r w:rsidRPr="004365E2">
        <w:rPr>
          <w:rFonts w:ascii="Calibri" w:hAnsi="Calibri" w:cs="Calibri"/>
          <w:szCs w:val="20"/>
        </w:rPr>
        <w:t>Evropské</w:t>
      </w:r>
      <w:r>
        <w:rPr>
          <w:rFonts w:ascii="Calibri" w:hAnsi="Calibri" w:cs="Calibri"/>
          <w:szCs w:val="20"/>
        </w:rPr>
        <w:t>ho</w:t>
      </w:r>
      <w:r w:rsidRPr="004365E2">
        <w:rPr>
          <w:rFonts w:ascii="Calibri" w:hAnsi="Calibri" w:cs="Calibri"/>
          <w:szCs w:val="20"/>
        </w:rPr>
        <w:t xml:space="preserve"> sdružení volného obchodu</w:t>
      </w:r>
      <w:r w:rsidRPr="00E664C7">
        <w:rPr>
          <w:rFonts w:ascii="Calibri" w:hAnsi="Calibri" w:cs="Calibri"/>
          <w:szCs w:val="20"/>
        </w:rPr>
        <w:t>).</w:t>
      </w:r>
    </w:p>
    <w:p w:rsidR="005B778A" w:rsidRDefault="000C79AD" w:rsidP="00DB0F60">
      <w:pPr>
        <w:ind w:firstLine="284"/>
        <w:jc w:val="both"/>
        <w:rPr>
          <w:rFonts w:ascii="Calibri" w:hAnsi="Calibri"/>
          <w:sz w:val="20"/>
          <w:szCs w:val="22"/>
        </w:rPr>
      </w:pPr>
      <w:r w:rsidRPr="001E2A7E">
        <w:rPr>
          <w:rFonts w:ascii="Calibri" w:hAnsi="Calibri"/>
          <w:sz w:val="20"/>
          <w:szCs w:val="22"/>
        </w:rPr>
        <w:t xml:space="preserve"> </w:t>
      </w:r>
    </w:p>
    <w:p w:rsidR="0074721A" w:rsidRDefault="0074721A" w:rsidP="00455EF0">
      <w:pPr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Pod položkou „</w:t>
      </w:r>
      <w:r w:rsidRPr="0074721A">
        <w:rPr>
          <w:rFonts w:ascii="Calibri" w:hAnsi="Calibri"/>
          <w:sz w:val="20"/>
          <w:szCs w:val="22"/>
        </w:rPr>
        <w:t xml:space="preserve">vnitrostátní příspěvky veřejným subjektům činným v nadnárodním </w:t>
      </w:r>
      <w:proofErr w:type="spellStart"/>
      <w:r w:rsidRPr="0074721A">
        <w:rPr>
          <w:rFonts w:ascii="Calibri" w:hAnsi="Calibri"/>
          <w:sz w:val="20"/>
          <w:szCs w:val="22"/>
        </w:rPr>
        <w:t>VaV</w:t>
      </w:r>
      <w:proofErr w:type="spellEnd"/>
      <w:r>
        <w:rPr>
          <w:rFonts w:ascii="Calibri" w:hAnsi="Calibri"/>
          <w:sz w:val="20"/>
          <w:szCs w:val="22"/>
        </w:rPr>
        <w:t xml:space="preserve">“ je zjišťována finanční podpora </w:t>
      </w:r>
      <w:r w:rsidR="00CF39D4">
        <w:rPr>
          <w:rFonts w:ascii="Calibri" w:hAnsi="Calibri"/>
          <w:sz w:val="20"/>
          <w:szCs w:val="22"/>
        </w:rPr>
        <w:t>šesti vybraným největším</w:t>
      </w:r>
      <w:r w:rsidR="00BB6EAD">
        <w:rPr>
          <w:rFonts w:ascii="Calibri" w:hAnsi="Calibri"/>
          <w:sz w:val="20"/>
          <w:szCs w:val="22"/>
        </w:rPr>
        <w:t xml:space="preserve"> </w:t>
      </w:r>
      <w:r>
        <w:rPr>
          <w:rFonts w:ascii="Calibri" w:hAnsi="Calibri"/>
          <w:sz w:val="20"/>
          <w:szCs w:val="22"/>
        </w:rPr>
        <w:t>v</w:t>
      </w:r>
      <w:r w:rsidR="00BB6EAD">
        <w:rPr>
          <w:rFonts w:ascii="Calibri" w:hAnsi="Calibri"/>
          <w:sz w:val="20"/>
          <w:szCs w:val="22"/>
        </w:rPr>
        <w:t xml:space="preserve">eřejným subjektům, které provádí výzkum </w:t>
      </w:r>
      <w:r>
        <w:rPr>
          <w:rFonts w:ascii="Calibri" w:hAnsi="Calibri"/>
          <w:sz w:val="20"/>
          <w:szCs w:val="22"/>
        </w:rPr>
        <w:t xml:space="preserve">na bázi </w:t>
      </w:r>
      <w:r w:rsidR="00BB6EAD">
        <w:rPr>
          <w:rFonts w:ascii="Calibri" w:hAnsi="Calibri"/>
          <w:sz w:val="20"/>
          <w:szCs w:val="22"/>
        </w:rPr>
        <w:t xml:space="preserve">širší </w:t>
      </w:r>
      <w:r>
        <w:rPr>
          <w:rFonts w:ascii="Calibri" w:hAnsi="Calibri"/>
          <w:sz w:val="20"/>
          <w:szCs w:val="22"/>
        </w:rPr>
        <w:t>mezinárodní spoluprác</w:t>
      </w:r>
      <w:r w:rsidR="00861A7F">
        <w:rPr>
          <w:rFonts w:ascii="Calibri" w:hAnsi="Calibri"/>
          <w:sz w:val="20"/>
          <w:szCs w:val="22"/>
        </w:rPr>
        <w:t>e. Jedná se o následující subjekty</w:t>
      </w:r>
      <w:r>
        <w:rPr>
          <w:rFonts w:ascii="Calibri" w:hAnsi="Calibri"/>
          <w:sz w:val="20"/>
          <w:szCs w:val="22"/>
        </w:rPr>
        <w:t>:</w:t>
      </w:r>
    </w:p>
    <w:p w:rsidR="00CF39D4" w:rsidRPr="004534AE" w:rsidRDefault="00CF39D4" w:rsidP="00455EF0">
      <w:pPr>
        <w:jc w:val="both"/>
        <w:rPr>
          <w:rFonts w:ascii="Calibri" w:hAnsi="Calibri"/>
          <w:i/>
          <w:sz w:val="20"/>
          <w:szCs w:val="22"/>
          <w:lang w:val="en-GB"/>
        </w:rPr>
      </w:pPr>
      <w:r w:rsidRPr="004534AE">
        <w:rPr>
          <w:rFonts w:ascii="Calibri" w:hAnsi="Calibri"/>
          <w:i/>
          <w:sz w:val="20"/>
          <w:szCs w:val="22"/>
          <w:lang w:val="en-GB"/>
        </w:rPr>
        <w:t>European Organization for Nuclear Research (CERN); Institute Laue-</w:t>
      </w:r>
      <w:proofErr w:type="spellStart"/>
      <w:r w:rsidRPr="004534AE">
        <w:rPr>
          <w:rFonts w:ascii="Calibri" w:hAnsi="Calibri"/>
          <w:i/>
          <w:sz w:val="20"/>
          <w:szCs w:val="22"/>
          <w:lang w:val="en-GB"/>
        </w:rPr>
        <w:t>Langevin</w:t>
      </w:r>
      <w:proofErr w:type="spellEnd"/>
      <w:r w:rsidRPr="004534AE">
        <w:rPr>
          <w:rFonts w:ascii="Calibri" w:hAnsi="Calibri"/>
          <w:i/>
          <w:sz w:val="20"/>
          <w:szCs w:val="22"/>
          <w:lang w:val="en-GB"/>
        </w:rPr>
        <w:t xml:space="preserve"> (ILL); European Synchrotron Radiation Facility (ESRF); European Molecular Biology Laboratory (EMBL); European Southern Observatory (ESO) and Joint Research Centre of the European Commission (JRC).</w:t>
      </w:r>
    </w:p>
    <w:p w:rsidR="00CF39D4" w:rsidRDefault="00CF39D4" w:rsidP="00455EF0">
      <w:pPr>
        <w:jc w:val="both"/>
        <w:rPr>
          <w:rFonts w:ascii="Calibri" w:hAnsi="Calibri"/>
          <w:sz w:val="20"/>
          <w:szCs w:val="22"/>
        </w:rPr>
      </w:pPr>
    </w:p>
    <w:p w:rsidR="00CF39D4" w:rsidRDefault="004949A5" w:rsidP="00455EF0">
      <w:pPr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Pod položkou „</w:t>
      </w:r>
      <w:r w:rsidRPr="004949A5">
        <w:rPr>
          <w:rFonts w:ascii="Calibri" w:hAnsi="Calibri"/>
          <w:sz w:val="20"/>
          <w:szCs w:val="22"/>
        </w:rPr>
        <w:t xml:space="preserve">vnitrostátní příspěvky na evropské nadnárodní veřejné programy v oblasti </w:t>
      </w:r>
      <w:proofErr w:type="spellStart"/>
      <w:r w:rsidRPr="004949A5">
        <w:rPr>
          <w:rFonts w:ascii="Calibri" w:hAnsi="Calibri"/>
          <w:sz w:val="20"/>
          <w:szCs w:val="22"/>
        </w:rPr>
        <w:t>VaV</w:t>
      </w:r>
      <w:proofErr w:type="spellEnd"/>
      <w:r>
        <w:rPr>
          <w:rFonts w:ascii="Calibri" w:hAnsi="Calibri"/>
          <w:sz w:val="20"/>
          <w:szCs w:val="22"/>
        </w:rPr>
        <w:t>“ se zjišťuje finanč</w:t>
      </w:r>
      <w:r w:rsidR="00570853">
        <w:rPr>
          <w:rFonts w:ascii="Calibri" w:hAnsi="Calibri"/>
          <w:sz w:val="20"/>
          <w:szCs w:val="22"/>
        </w:rPr>
        <w:t>n</w:t>
      </w:r>
      <w:r w:rsidR="004665DE">
        <w:rPr>
          <w:rFonts w:ascii="Calibri" w:hAnsi="Calibri"/>
          <w:sz w:val="20"/>
          <w:szCs w:val="22"/>
        </w:rPr>
        <w:t>í podpora</w:t>
      </w:r>
      <w:r w:rsidR="00861A7F">
        <w:rPr>
          <w:rFonts w:ascii="Calibri" w:hAnsi="Calibri"/>
          <w:sz w:val="20"/>
          <w:szCs w:val="22"/>
        </w:rPr>
        <w:t xml:space="preserve"> evropských veřejných výzkumných</w:t>
      </w:r>
      <w:r>
        <w:rPr>
          <w:rFonts w:ascii="Calibri" w:hAnsi="Calibri"/>
          <w:sz w:val="20"/>
          <w:szCs w:val="22"/>
        </w:rPr>
        <w:t xml:space="preserve"> </w:t>
      </w:r>
      <w:proofErr w:type="gramStart"/>
      <w:r>
        <w:rPr>
          <w:rFonts w:ascii="Calibri" w:hAnsi="Calibri"/>
          <w:sz w:val="20"/>
          <w:szCs w:val="22"/>
        </w:rPr>
        <w:t>programů</w:t>
      </w:r>
      <w:r w:rsidR="00570853">
        <w:rPr>
          <w:rFonts w:ascii="Calibri" w:hAnsi="Calibri"/>
          <w:sz w:val="20"/>
          <w:szCs w:val="22"/>
        </w:rPr>
        <w:t xml:space="preserve"> mezi</w:t>
      </w:r>
      <w:proofErr w:type="gramEnd"/>
      <w:r w:rsidR="00570853">
        <w:rPr>
          <w:rFonts w:ascii="Calibri" w:hAnsi="Calibri"/>
          <w:sz w:val="20"/>
          <w:szCs w:val="22"/>
        </w:rPr>
        <w:t xml:space="preserve"> ně</w:t>
      </w:r>
      <w:r>
        <w:rPr>
          <w:rFonts w:ascii="Calibri" w:hAnsi="Calibri"/>
          <w:sz w:val="20"/>
          <w:szCs w:val="22"/>
        </w:rPr>
        <w:t xml:space="preserve">ž se řadí: </w:t>
      </w:r>
    </w:p>
    <w:p w:rsidR="00CB7362" w:rsidRPr="004534AE" w:rsidRDefault="00CF39D4" w:rsidP="00455EF0">
      <w:pPr>
        <w:jc w:val="both"/>
        <w:rPr>
          <w:rFonts w:ascii="Calibri" w:hAnsi="Calibri"/>
          <w:i/>
          <w:sz w:val="20"/>
          <w:szCs w:val="22"/>
          <w:lang w:val="en-GB"/>
        </w:rPr>
      </w:pPr>
      <w:r w:rsidRPr="004534AE">
        <w:rPr>
          <w:rFonts w:ascii="Calibri" w:hAnsi="Calibri"/>
          <w:i/>
          <w:sz w:val="20"/>
          <w:szCs w:val="22"/>
          <w:lang w:val="en-GB"/>
        </w:rPr>
        <w:t xml:space="preserve">ERA-NETs; ERA-NET+; European Fusion Development Agreement (EFDA); EUREKA; COST; EUROCORES;  European Space Agency (ESA); European Molecular Biology Organisation (EMBO); European Molecular Biology Conference (EMBC); Article 185 initiatives: (Europe-Developing Countries Clinical Trials Platform, </w:t>
      </w:r>
      <w:proofErr w:type="spellStart"/>
      <w:r w:rsidRPr="004534AE">
        <w:rPr>
          <w:rFonts w:ascii="Calibri" w:hAnsi="Calibri"/>
          <w:i/>
          <w:sz w:val="20"/>
          <w:szCs w:val="22"/>
          <w:lang w:val="en-GB"/>
        </w:rPr>
        <w:t>Eurostars</w:t>
      </w:r>
      <w:proofErr w:type="spellEnd"/>
      <w:r w:rsidRPr="004534AE">
        <w:rPr>
          <w:rFonts w:ascii="Calibri" w:hAnsi="Calibri"/>
          <w:i/>
          <w:sz w:val="20"/>
          <w:szCs w:val="22"/>
          <w:lang w:val="en-GB"/>
        </w:rPr>
        <w:t xml:space="preserve">  and Ambient assisted living for the elderly); Joint Technology Initiatives (public funding part: ENIAC (Embedded Computing Systems) and ARTEMIS (</w:t>
      </w:r>
      <w:proofErr w:type="spellStart"/>
      <w:r w:rsidRPr="004534AE">
        <w:rPr>
          <w:rFonts w:ascii="Calibri" w:hAnsi="Calibri"/>
          <w:i/>
          <w:sz w:val="20"/>
          <w:szCs w:val="22"/>
          <w:lang w:val="en-GB"/>
        </w:rPr>
        <w:t>Nanoelectronics</w:t>
      </w:r>
      <w:proofErr w:type="spellEnd"/>
      <w:r w:rsidRPr="004534AE">
        <w:rPr>
          <w:rFonts w:ascii="Calibri" w:hAnsi="Calibri"/>
          <w:i/>
          <w:sz w:val="20"/>
          <w:szCs w:val="22"/>
          <w:lang w:val="en-GB"/>
        </w:rPr>
        <w:t>))</w:t>
      </w:r>
      <w:r w:rsidR="00CB7362" w:rsidRPr="004534AE">
        <w:rPr>
          <w:rFonts w:ascii="Calibri" w:hAnsi="Calibri"/>
          <w:i/>
          <w:sz w:val="20"/>
          <w:szCs w:val="22"/>
          <w:lang w:val="en-GB"/>
        </w:rPr>
        <w:t>.</w:t>
      </w:r>
    </w:p>
    <w:p w:rsidR="00CB7362" w:rsidRDefault="00CB7362" w:rsidP="00455EF0">
      <w:pPr>
        <w:jc w:val="both"/>
        <w:rPr>
          <w:rFonts w:ascii="Calibri" w:hAnsi="Calibri"/>
          <w:i/>
          <w:sz w:val="20"/>
          <w:szCs w:val="22"/>
        </w:rPr>
      </w:pPr>
    </w:p>
    <w:p w:rsidR="00CF39D4" w:rsidRDefault="00CB7362" w:rsidP="00455EF0">
      <w:pPr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Dále</w:t>
      </w:r>
      <w:r w:rsidR="002311BB">
        <w:rPr>
          <w:rFonts w:ascii="Calibri" w:hAnsi="Calibri"/>
          <w:sz w:val="20"/>
          <w:szCs w:val="22"/>
        </w:rPr>
        <w:t xml:space="preserve"> (</w:t>
      </w:r>
      <w:r w:rsidR="00B9693A">
        <w:rPr>
          <w:rFonts w:ascii="Calibri" w:hAnsi="Calibri"/>
          <w:sz w:val="20"/>
          <w:szCs w:val="22"/>
        </w:rPr>
        <w:t>c)</w:t>
      </w:r>
      <w:r>
        <w:rPr>
          <w:rFonts w:ascii="Calibri" w:hAnsi="Calibri"/>
          <w:sz w:val="20"/>
          <w:szCs w:val="22"/>
        </w:rPr>
        <w:t xml:space="preserve"> se zjišťuje veřejná podpora v rámci </w:t>
      </w:r>
      <w:r w:rsidR="006F267E">
        <w:rPr>
          <w:rFonts w:ascii="Calibri" w:hAnsi="Calibri"/>
          <w:sz w:val="20"/>
          <w:szCs w:val="22"/>
        </w:rPr>
        <w:t xml:space="preserve">dvoustranných či mnohostranných veřejných programů v oblasti </w:t>
      </w:r>
      <w:proofErr w:type="spellStart"/>
      <w:r w:rsidR="006F267E">
        <w:rPr>
          <w:rFonts w:ascii="Calibri" w:hAnsi="Calibri"/>
          <w:sz w:val="20"/>
          <w:szCs w:val="22"/>
        </w:rPr>
        <w:t>VaV</w:t>
      </w:r>
      <w:proofErr w:type="spellEnd"/>
      <w:r w:rsidR="006F267E">
        <w:rPr>
          <w:rFonts w:ascii="Calibri" w:hAnsi="Calibri"/>
          <w:sz w:val="20"/>
          <w:szCs w:val="22"/>
        </w:rPr>
        <w:t xml:space="preserve"> založených</w:t>
      </w:r>
      <w:r w:rsidRPr="00CB7362">
        <w:rPr>
          <w:rFonts w:ascii="Calibri" w:hAnsi="Calibri"/>
          <w:sz w:val="20"/>
          <w:szCs w:val="22"/>
        </w:rPr>
        <w:t xml:space="preserve"> mezi vládami členských států (a ve spolupráci s kandidátskými zeměmi a zeměmi Evropského sdružení volného obchodu)</w:t>
      </w:r>
      <w:r>
        <w:rPr>
          <w:rFonts w:ascii="Calibri" w:hAnsi="Calibri"/>
          <w:sz w:val="20"/>
          <w:szCs w:val="22"/>
        </w:rPr>
        <w:t>, kde je stanovena podmínka,</w:t>
      </w:r>
      <w:r w:rsidR="004665DE">
        <w:rPr>
          <w:rFonts w:ascii="Calibri" w:hAnsi="Calibri"/>
          <w:sz w:val="20"/>
          <w:szCs w:val="22"/>
        </w:rPr>
        <w:t xml:space="preserve"> že musí probíhat aspoň mezi dvěma</w:t>
      </w:r>
      <w:r w:rsidR="00D3501A">
        <w:rPr>
          <w:rFonts w:ascii="Calibri" w:hAnsi="Calibri"/>
          <w:sz w:val="20"/>
          <w:szCs w:val="22"/>
        </w:rPr>
        <w:t xml:space="preserve"> členskými státy</w:t>
      </w:r>
      <w:r w:rsidR="00B9693A">
        <w:rPr>
          <w:rFonts w:ascii="Calibri" w:hAnsi="Calibri"/>
          <w:sz w:val="20"/>
          <w:szCs w:val="22"/>
        </w:rPr>
        <w:t xml:space="preserve"> nebo mezi členským státem a kandidátským státem</w:t>
      </w:r>
      <w:r w:rsidR="00D3501A">
        <w:rPr>
          <w:rFonts w:ascii="Calibri" w:hAnsi="Calibri"/>
          <w:sz w:val="20"/>
          <w:szCs w:val="22"/>
        </w:rPr>
        <w:t>.</w:t>
      </w:r>
      <w:r>
        <w:rPr>
          <w:rFonts w:ascii="Calibri" w:hAnsi="Calibri"/>
          <w:sz w:val="20"/>
          <w:szCs w:val="22"/>
        </w:rPr>
        <w:t xml:space="preserve"> </w:t>
      </w:r>
    </w:p>
    <w:p w:rsidR="0014264C" w:rsidRDefault="0014264C" w:rsidP="00455EF0">
      <w:pPr>
        <w:jc w:val="both"/>
        <w:rPr>
          <w:rFonts w:ascii="Calibri" w:hAnsi="Calibri"/>
          <w:sz w:val="20"/>
          <w:szCs w:val="22"/>
        </w:rPr>
      </w:pPr>
      <w:bookmarkStart w:id="0" w:name="_GoBack"/>
      <w:bookmarkEnd w:id="0"/>
    </w:p>
    <w:p w:rsidR="0014264C" w:rsidRDefault="0014264C" w:rsidP="00455EF0">
      <w:pPr>
        <w:jc w:val="both"/>
        <w:rPr>
          <w:rFonts w:ascii="Calibri" w:hAnsi="Calibri"/>
          <w:bCs/>
          <w:kern w:val="32"/>
          <w:sz w:val="20"/>
          <w:szCs w:val="22"/>
        </w:rPr>
      </w:pPr>
      <w:r>
        <w:rPr>
          <w:rFonts w:ascii="Calibri" w:hAnsi="Calibri"/>
          <w:bCs/>
          <w:kern w:val="32"/>
          <w:sz w:val="20"/>
          <w:szCs w:val="22"/>
        </w:rPr>
        <w:t xml:space="preserve">Blíže viz: </w:t>
      </w:r>
      <w:hyperlink r:id="rId12" w:history="1">
        <w:r w:rsidRPr="009E3656">
          <w:rPr>
            <w:rStyle w:val="Hypertextovodkaz"/>
            <w:rFonts w:ascii="Calibri" w:hAnsi="Calibri"/>
            <w:bCs/>
            <w:kern w:val="32"/>
            <w:sz w:val="20"/>
            <w:szCs w:val="22"/>
          </w:rPr>
          <w:t>http://www.czso.cz/csu/redakce.nsf/i/statni_rozpoctove_vydaje_a_dotace_na_vyzkum_a_vyvoj_gbaord</w:t>
        </w:r>
      </w:hyperlink>
      <w:r>
        <w:rPr>
          <w:rFonts w:ascii="Calibri" w:hAnsi="Calibri"/>
          <w:bCs/>
          <w:kern w:val="32"/>
          <w:sz w:val="20"/>
          <w:szCs w:val="22"/>
        </w:rPr>
        <w:t xml:space="preserve"> </w:t>
      </w:r>
    </w:p>
    <w:p w:rsidR="00B90421" w:rsidRDefault="00B90421" w:rsidP="00455EF0">
      <w:pPr>
        <w:jc w:val="both"/>
        <w:rPr>
          <w:rFonts w:ascii="Calibri" w:hAnsi="Calibri"/>
          <w:bCs/>
          <w:kern w:val="32"/>
          <w:sz w:val="20"/>
          <w:szCs w:val="22"/>
        </w:rPr>
      </w:pPr>
    </w:p>
    <w:p w:rsidR="00B90421" w:rsidRDefault="00B90421" w:rsidP="00455EF0">
      <w:pPr>
        <w:jc w:val="both"/>
        <w:rPr>
          <w:rFonts w:ascii="Calibri" w:hAnsi="Calibri"/>
          <w:bCs/>
          <w:kern w:val="32"/>
          <w:sz w:val="20"/>
          <w:szCs w:val="22"/>
        </w:rPr>
      </w:pPr>
      <w:r>
        <w:rPr>
          <w:rFonts w:ascii="Calibri" w:hAnsi="Calibri"/>
          <w:bCs/>
          <w:kern w:val="32"/>
          <w:sz w:val="20"/>
          <w:szCs w:val="22"/>
        </w:rPr>
        <w:t xml:space="preserve">Odkaz na stránky </w:t>
      </w:r>
      <w:proofErr w:type="spellStart"/>
      <w:r>
        <w:rPr>
          <w:rFonts w:ascii="Calibri" w:hAnsi="Calibri"/>
          <w:bCs/>
          <w:kern w:val="32"/>
          <w:sz w:val="20"/>
          <w:szCs w:val="22"/>
        </w:rPr>
        <w:t>Eurostatu</w:t>
      </w:r>
      <w:proofErr w:type="spellEnd"/>
      <w:r>
        <w:rPr>
          <w:rFonts w:ascii="Calibri" w:hAnsi="Calibri"/>
          <w:bCs/>
          <w:kern w:val="32"/>
          <w:sz w:val="20"/>
          <w:szCs w:val="22"/>
        </w:rPr>
        <w:t>:</w:t>
      </w:r>
    </w:p>
    <w:p w:rsidR="00B90421" w:rsidRPr="00B90421" w:rsidRDefault="00CF2526" w:rsidP="00455EF0">
      <w:pPr>
        <w:jc w:val="both"/>
        <w:rPr>
          <w:rFonts w:ascii="Calibri" w:hAnsi="Calibri"/>
          <w:bCs/>
          <w:kern w:val="32"/>
          <w:sz w:val="20"/>
          <w:szCs w:val="22"/>
        </w:rPr>
      </w:pPr>
      <w:hyperlink r:id="rId13" w:history="1">
        <w:r w:rsidR="00B90421" w:rsidRPr="009E3656">
          <w:rPr>
            <w:rStyle w:val="Hypertextovodkaz"/>
            <w:rFonts w:ascii="Calibri" w:hAnsi="Calibri"/>
            <w:bCs/>
            <w:kern w:val="32"/>
            <w:sz w:val="20"/>
            <w:szCs w:val="22"/>
          </w:rPr>
          <w:t>http://epp.eurostat.ec.europa.eu/statistics_explained/index.php/R_%26_D_budget_statistics_-_transnationally_coordinated_research</w:t>
        </w:r>
      </w:hyperlink>
      <w:r w:rsidR="00B90421">
        <w:rPr>
          <w:rFonts w:ascii="Calibri" w:hAnsi="Calibri"/>
          <w:bCs/>
          <w:kern w:val="32"/>
          <w:sz w:val="20"/>
          <w:szCs w:val="22"/>
        </w:rPr>
        <w:t xml:space="preserve"> </w:t>
      </w:r>
    </w:p>
    <w:sectPr w:rsidR="00B90421" w:rsidRPr="00B90421" w:rsidSect="00BD77FE">
      <w:type w:val="continuous"/>
      <w:pgSz w:w="11906" w:h="16838" w:code="9"/>
      <w:pgMar w:top="1134" w:right="1134" w:bottom="1134" w:left="1134" w:header="737" w:footer="737" w:gutter="0"/>
      <w:pgNumType w:start="5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526" w:rsidRDefault="00CF2526">
      <w:r>
        <w:separator/>
      </w:r>
    </w:p>
  </w:endnote>
  <w:endnote w:type="continuationSeparator" w:id="0">
    <w:p w:rsidR="00CF2526" w:rsidRDefault="00CF2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36C" w:rsidRDefault="00324D0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F536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F536C" w:rsidRDefault="00DF536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36C" w:rsidRDefault="00DF536C">
    <w:pPr>
      <w:pStyle w:val="Zpat"/>
      <w:framePr w:wrap="around" w:vAnchor="text" w:hAnchor="margin" w:xAlign="right" w:y="1"/>
      <w:rPr>
        <w:rStyle w:val="slostrnky"/>
      </w:rPr>
    </w:pPr>
  </w:p>
  <w:p w:rsidR="00DF536C" w:rsidRDefault="00DF536C" w:rsidP="0001066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526" w:rsidRDefault="00CF2526">
      <w:r>
        <w:separator/>
      </w:r>
    </w:p>
  </w:footnote>
  <w:footnote w:type="continuationSeparator" w:id="0">
    <w:p w:rsidR="00CF2526" w:rsidRDefault="00CF2526">
      <w:r>
        <w:continuationSeparator/>
      </w:r>
    </w:p>
  </w:footnote>
  <w:footnote w:id="1">
    <w:p w:rsidR="00DF536C" w:rsidRPr="006E624F" w:rsidRDefault="00DF536C">
      <w:pPr>
        <w:pStyle w:val="Textpoznpodarou"/>
        <w:jc w:val="both"/>
        <w:rPr>
          <w:rFonts w:ascii="Calibri" w:hAnsi="Calibri"/>
          <w:sz w:val="18"/>
          <w:szCs w:val="18"/>
        </w:rPr>
      </w:pPr>
      <w:r w:rsidRPr="006E624F">
        <w:rPr>
          <w:rStyle w:val="Znakapoznpodarou"/>
          <w:rFonts w:ascii="Calibri" w:hAnsi="Calibri"/>
          <w:sz w:val="18"/>
          <w:szCs w:val="18"/>
        </w:rPr>
        <w:footnoteRef/>
      </w:r>
      <w:r w:rsidRPr="006E624F">
        <w:rPr>
          <w:rFonts w:ascii="Calibri" w:hAnsi="Calibri"/>
          <w:sz w:val="18"/>
          <w:szCs w:val="18"/>
        </w:rPr>
        <w:t xml:space="preserve"> </w:t>
      </w:r>
      <w:r w:rsidRPr="009E22E6">
        <w:rPr>
          <w:rFonts w:ascii="Calibri" w:hAnsi="Calibri"/>
          <w:sz w:val="18"/>
          <w:szCs w:val="18"/>
        </w:rPr>
        <w:t>Poslední, aktualizovaný materiál</w:t>
      </w:r>
      <w:r w:rsidR="00F435A8" w:rsidRPr="009E22E6">
        <w:rPr>
          <w:rFonts w:ascii="Calibri" w:hAnsi="Calibri"/>
          <w:sz w:val="18"/>
          <w:szCs w:val="18"/>
        </w:rPr>
        <w:t xml:space="preserve"> „</w:t>
      </w:r>
      <w:r w:rsidR="00F435A8" w:rsidRPr="009E22E6">
        <w:rPr>
          <w:rFonts w:ascii="Calibri" w:hAnsi="Calibri"/>
          <w:b/>
          <w:sz w:val="18"/>
          <w:szCs w:val="18"/>
        </w:rPr>
        <w:t>Národní politika výzkumu, vývoje a inovací ČR na léta 2009–2015</w:t>
      </w:r>
      <w:r w:rsidR="00F435A8" w:rsidRPr="009E22E6">
        <w:rPr>
          <w:rFonts w:ascii="Calibri" w:hAnsi="Calibri"/>
          <w:sz w:val="18"/>
          <w:szCs w:val="18"/>
        </w:rPr>
        <w:t xml:space="preserve">“, který již zohledňuje v souladu s novelizací zákona o podpoře </w:t>
      </w:r>
      <w:proofErr w:type="spellStart"/>
      <w:r w:rsidR="00F435A8" w:rsidRPr="009E22E6">
        <w:rPr>
          <w:rFonts w:ascii="Calibri" w:hAnsi="Calibri"/>
          <w:sz w:val="18"/>
          <w:szCs w:val="18"/>
        </w:rPr>
        <w:t>VaVaI</w:t>
      </w:r>
      <w:proofErr w:type="spellEnd"/>
      <w:r w:rsidR="00F435A8" w:rsidRPr="009E22E6">
        <w:rPr>
          <w:rFonts w:ascii="Calibri" w:hAnsi="Calibri"/>
          <w:sz w:val="18"/>
          <w:szCs w:val="18"/>
        </w:rPr>
        <w:t xml:space="preserve"> z veřejných zdrojů i podporu inovací,</w:t>
      </w:r>
      <w:r w:rsidRPr="006E624F">
        <w:rPr>
          <w:rFonts w:ascii="Calibri" w:hAnsi="Calibri"/>
          <w:sz w:val="18"/>
          <w:szCs w:val="18"/>
        </w:rPr>
        <w:t xml:space="preserve"> lze nalézt na stránkách Rady vlády pro výzkum</w:t>
      </w:r>
      <w:r w:rsidR="000E0281">
        <w:rPr>
          <w:rFonts w:ascii="Calibri" w:hAnsi="Calibri"/>
          <w:sz w:val="18"/>
          <w:szCs w:val="18"/>
        </w:rPr>
        <w:t>, </w:t>
      </w:r>
      <w:r w:rsidRPr="006E624F">
        <w:rPr>
          <w:rFonts w:ascii="Calibri" w:hAnsi="Calibri"/>
          <w:sz w:val="18"/>
          <w:szCs w:val="18"/>
        </w:rPr>
        <w:t>vývoj</w:t>
      </w:r>
      <w:r w:rsidR="000E0281">
        <w:rPr>
          <w:rFonts w:ascii="Calibri" w:hAnsi="Calibri"/>
          <w:sz w:val="18"/>
          <w:szCs w:val="18"/>
        </w:rPr>
        <w:t xml:space="preserve"> a inovace</w:t>
      </w:r>
      <w:r w:rsidRPr="006E624F">
        <w:rPr>
          <w:rFonts w:ascii="Calibri" w:hAnsi="Calibri"/>
          <w:sz w:val="18"/>
          <w:szCs w:val="18"/>
        </w:rPr>
        <w:t xml:space="preserve">: </w:t>
      </w:r>
      <w:hyperlink r:id="rId1" w:history="1">
        <w:r w:rsidR="00F435A8" w:rsidRPr="00F435A8">
          <w:rPr>
            <w:rStyle w:val="Hypertextovodkaz"/>
            <w:rFonts w:ascii="Calibri" w:hAnsi="Calibri"/>
            <w:sz w:val="18"/>
          </w:rPr>
          <w:t>http://www.vyzkum.cz/FrontClanek.aspx?idsekce=532844</w:t>
        </w:r>
      </w:hyperlink>
      <w:r w:rsidRPr="006E624F">
        <w:rPr>
          <w:rFonts w:ascii="Calibri" w:hAnsi="Calibri"/>
          <w:sz w:val="18"/>
          <w:szCs w:val="18"/>
        </w:rPr>
        <w:t xml:space="preserve">  </w:t>
      </w:r>
    </w:p>
  </w:footnote>
  <w:footnote w:id="2">
    <w:p w:rsidR="00DF536C" w:rsidRPr="006E624F" w:rsidRDefault="00DF536C">
      <w:pPr>
        <w:pStyle w:val="Textpoznpodarou"/>
        <w:jc w:val="both"/>
        <w:rPr>
          <w:rFonts w:ascii="Calibri" w:hAnsi="Calibri"/>
          <w:sz w:val="18"/>
          <w:szCs w:val="18"/>
        </w:rPr>
      </w:pPr>
      <w:r w:rsidRPr="006E624F">
        <w:rPr>
          <w:rStyle w:val="Znakapoznpodarou"/>
          <w:rFonts w:ascii="Calibri" w:hAnsi="Calibri"/>
          <w:sz w:val="18"/>
          <w:szCs w:val="18"/>
        </w:rPr>
        <w:footnoteRef/>
      </w:r>
      <w:r w:rsidRPr="006E624F">
        <w:rPr>
          <w:rFonts w:ascii="Calibri" w:hAnsi="Calibri"/>
          <w:sz w:val="18"/>
          <w:szCs w:val="18"/>
        </w:rPr>
        <w:t xml:space="preserve"> V České republice nejsou všeobecné univer</w:t>
      </w:r>
      <w:r w:rsidR="000E0281">
        <w:rPr>
          <w:rFonts w:ascii="Calibri" w:hAnsi="Calibri"/>
          <w:sz w:val="18"/>
          <w:szCs w:val="18"/>
        </w:rPr>
        <w:t>zitní fondy definovány. Socioekonomický cíl SEO </w:t>
      </w:r>
      <w:r w:rsidR="005220D0">
        <w:rPr>
          <w:rFonts w:ascii="Calibri" w:hAnsi="Calibri"/>
          <w:sz w:val="18"/>
          <w:szCs w:val="18"/>
        </w:rPr>
        <w:t>10 proto</w:t>
      </w:r>
      <w:r w:rsidR="003F106D">
        <w:rPr>
          <w:rFonts w:ascii="Calibri" w:hAnsi="Calibri"/>
          <w:sz w:val="18"/>
          <w:szCs w:val="18"/>
        </w:rPr>
        <w:t xml:space="preserve"> zahrnuje </w:t>
      </w:r>
      <w:r w:rsidRPr="006E624F">
        <w:rPr>
          <w:rFonts w:ascii="Calibri" w:hAnsi="Calibri"/>
          <w:sz w:val="18"/>
          <w:szCs w:val="18"/>
        </w:rPr>
        <w:t xml:space="preserve">dle definice </w:t>
      </w:r>
      <w:proofErr w:type="spellStart"/>
      <w:r w:rsidRPr="006E624F">
        <w:rPr>
          <w:rFonts w:ascii="Calibri" w:hAnsi="Calibri"/>
          <w:sz w:val="18"/>
          <w:szCs w:val="18"/>
        </w:rPr>
        <w:t>Frascati</w:t>
      </w:r>
      <w:proofErr w:type="spellEnd"/>
      <w:r w:rsidRPr="006E624F">
        <w:rPr>
          <w:rFonts w:ascii="Calibri" w:hAnsi="Calibri"/>
          <w:sz w:val="18"/>
          <w:szCs w:val="18"/>
        </w:rPr>
        <w:t xml:space="preserve"> manuálu </w:t>
      </w:r>
      <w:r w:rsidR="000E0281">
        <w:rPr>
          <w:rFonts w:ascii="Calibri" w:hAnsi="Calibri"/>
          <w:sz w:val="18"/>
          <w:szCs w:val="18"/>
        </w:rPr>
        <w:t xml:space="preserve">pouze </w:t>
      </w:r>
      <w:r w:rsidR="003F106D">
        <w:rPr>
          <w:rFonts w:ascii="Calibri" w:hAnsi="Calibri"/>
          <w:sz w:val="18"/>
          <w:szCs w:val="18"/>
        </w:rPr>
        <w:t xml:space="preserve">institucionální </w:t>
      </w:r>
      <w:r w:rsidR="000E0281">
        <w:rPr>
          <w:rFonts w:ascii="Calibri" w:hAnsi="Calibri"/>
          <w:sz w:val="18"/>
          <w:szCs w:val="18"/>
        </w:rPr>
        <w:t>prostředky poskytnuté vysokým školám. Pro SEO </w:t>
      </w:r>
      <w:r w:rsidRPr="006E624F">
        <w:rPr>
          <w:rFonts w:ascii="Calibri" w:hAnsi="Calibri"/>
          <w:sz w:val="18"/>
          <w:szCs w:val="18"/>
        </w:rPr>
        <w:t xml:space="preserve">10 byl přijat název </w:t>
      </w:r>
      <w:r w:rsidR="000E0281">
        <w:rPr>
          <w:rFonts w:ascii="Calibri" w:hAnsi="Calibri"/>
          <w:sz w:val="18"/>
          <w:szCs w:val="18"/>
        </w:rPr>
        <w:t>„V</w:t>
      </w:r>
      <w:r w:rsidRPr="006E624F">
        <w:rPr>
          <w:rFonts w:ascii="Calibri" w:hAnsi="Calibri"/>
          <w:sz w:val="18"/>
          <w:szCs w:val="18"/>
        </w:rPr>
        <w:t>šeobecný výzkum na vysokých školách</w:t>
      </w:r>
      <w:r w:rsidR="000E0281">
        <w:rPr>
          <w:rFonts w:ascii="Calibri" w:hAnsi="Calibri"/>
          <w:sz w:val="18"/>
          <w:szCs w:val="18"/>
        </w:rPr>
        <w:t>“</w:t>
      </w:r>
      <w:r w:rsidR="009867D4">
        <w:rPr>
          <w:rFonts w:ascii="Calibri" w:hAnsi="Calibri"/>
          <w:sz w:val="18"/>
          <w:szCs w:val="18"/>
        </w:rPr>
        <w:t xml:space="preserve">, který se </w:t>
      </w:r>
      <w:r w:rsidR="009867D4" w:rsidRPr="006E624F">
        <w:rPr>
          <w:rFonts w:ascii="Calibri" w:hAnsi="Calibri"/>
          <w:sz w:val="18"/>
          <w:szCs w:val="18"/>
        </w:rPr>
        <w:t>shodně</w:t>
      </w:r>
      <w:r w:rsidR="009867D4">
        <w:rPr>
          <w:rFonts w:ascii="Calibri" w:hAnsi="Calibri"/>
          <w:sz w:val="18"/>
          <w:szCs w:val="18"/>
        </w:rPr>
        <w:t xml:space="preserve"> používal</w:t>
      </w:r>
      <w:r w:rsidRPr="006E624F">
        <w:rPr>
          <w:rFonts w:ascii="Calibri" w:hAnsi="Calibri"/>
          <w:sz w:val="18"/>
          <w:szCs w:val="18"/>
        </w:rPr>
        <w:t xml:space="preserve"> ve statistickém šetření VTR5-01</w:t>
      </w:r>
      <w:r w:rsidR="0099554E">
        <w:rPr>
          <w:rFonts w:ascii="Calibri" w:hAnsi="Calibri"/>
          <w:sz w:val="18"/>
          <w:szCs w:val="18"/>
        </w:rPr>
        <w:t>,</w:t>
      </w:r>
      <w:r w:rsidR="009867D4">
        <w:rPr>
          <w:rFonts w:ascii="Calibri" w:hAnsi="Calibri"/>
          <w:sz w:val="18"/>
          <w:szCs w:val="18"/>
        </w:rPr>
        <w:t xml:space="preserve"> než byl příslušný oddíl 290 zrušen</w:t>
      </w:r>
      <w:r w:rsidRPr="006E624F">
        <w:rPr>
          <w:rFonts w:ascii="Calibri" w:hAnsi="Calibri"/>
          <w:sz w:val="18"/>
          <w:szCs w:val="18"/>
        </w:rPr>
        <w:t xml:space="preserve">.    </w:t>
      </w:r>
    </w:p>
  </w:footnote>
  <w:footnote w:id="3">
    <w:p w:rsidR="00DF536C" w:rsidRPr="006E624F" w:rsidRDefault="00DF536C">
      <w:pPr>
        <w:pStyle w:val="Textpoznpodarou"/>
        <w:rPr>
          <w:rFonts w:ascii="Calibri" w:hAnsi="Calibri"/>
          <w:sz w:val="18"/>
          <w:szCs w:val="18"/>
        </w:rPr>
      </w:pPr>
      <w:r w:rsidRPr="006E624F">
        <w:rPr>
          <w:rStyle w:val="Znakapoznpodarou"/>
          <w:rFonts w:ascii="Calibri" w:hAnsi="Calibri"/>
          <w:sz w:val="18"/>
          <w:szCs w:val="18"/>
        </w:rPr>
        <w:footnoteRef/>
      </w:r>
      <w:r w:rsidRPr="006E624F">
        <w:rPr>
          <w:rFonts w:ascii="Calibri" w:hAnsi="Calibri"/>
          <w:sz w:val="18"/>
          <w:szCs w:val="18"/>
        </w:rPr>
        <w:t xml:space="preserve"> Více informací </w:t>
      </w:r>
      <w:r w:rsidR="00183135">
        <w:rPr>
          <w:rFonts w:ascii="Calibri" w:hAnsi="Calibri"/>
          <w:sz w:val="18"/>
          <w:szCs w:val="18"/>
        </w:rPr>
        <w:t xml:space="preserve">o Informačním systému výzkumu, </w:t>
      </w:r>
      <w:r w:rsidRPr="006E624F">
        <w:rPr>
          <w:rFonts w:ascii="Calibri" w:hAnsi="Calibri"/>
          <w:sz w:val="18"/>
          <w:szCs w:val="18"/>
        </w:rPr>
        <w:t>vývoje</w:t>
      </w:r>
      <w:r w:rsidR="00183135">
        <w:rPr>
          <w:rFonts w:ascii="Calibri" w:hAnsi="Calibri"/>
          <w:sz w:val="18"/>
          <w:szCs w:val="18"/>
        </w:rPr>
        <w:t xml:space="preserve"> a inovací</w:t>
      </w:r>
      <w:r w:rsidRPr="006E624F">
        <w:rPr>
          <w:rFonts w:ascii="Calibri" w:hAnsi="Calibri"/>
          <w:sz w:val="18"/>
          <w:szCs w:val="18"/>
        </w:rPr>
        <w:t xml:space="preserve"> lze nalézt na stránkách: </w:t>
      </w:r>
      <w:hyperlink r:id="rId2" w:history="1">
        <w:r w:rsidRPr="006E624F">
          <w:rPr>
            <w:rStyle w:val="Hypertextovodkaz"/>
            <w:rFonts w:ascii="Calibri" w:hAnsi="Calibri"/>
            <w:sz w:val="18"/>
            <w:szCs w:val="18"/>
          </w:rPr>
          <w:t>http://www.vyzkum.cz/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63C3"/>
    <w:multiLevelType w:val="hybridMultilevel"/>
    <w:tmpl w:val="DCC0523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15D9F"/>
    <w:multiLevelType w:val="hybridMultilevel"/>
    <w:tmpl w:val="C86ECC58"/>
    <w:lvl w:ilvl="0" w:tplc="04050005">
      <w:start w:val="1"/>
      <w:numFmt w:val="bullet"/>
      <w:lvlText w:val=""/>
      <w:lvlJc w:val="left"/>
      <w:pPr>
        <w:ind w:left="113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">
    <w:nsid w:val="2DEF72CF"/>
    <w:multiLevelType w:val="hybridMultilevel"/>
    <w:tmpl w:val="7C901CD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21C1488"/>
    <w:multiLevelType w:val="hybridMultilevel"/>
    <w:tmpl w:val="AB7E71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3315C6"/>
    <w:multiLevelType w:val="hybridMultilevel"/>
    <w:tmpl w:val="620039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3F6E82"/>
    <w:multiLevelType w:val="hybridMultilevel"/>
    <w:tmpl w:val="A25891BA"/>
    <w:lvl w:ilvl="0" w:tplc="040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5356422D"/>
    <w:multiLevelType w:val="hybridMultilevel"/>
    <w:tmpl w:val="11C0419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76E"/>
    <w:rsid w:val="00000249"/>
    <w:rsid w:val="00010594"/>
    <w:rsid w:val="00010669"/>
    <w:rsid w:val="00015EF5"/>
    <w:rsid w:val="00031ABF"/>
    <w:rsid w:val="00033BE7"/>
    <w:rsid w:val="000371DC"/>
    <w:rsid w:val="000411F4"/>
    <w:rsid w:val="0004546C"/>
    <w:rsid w:val="00047125"/>
    <w:rsid w:val="00047586"/>
    <w:rsid w:val="00051C8E"/>
    <w:rsid w:val="00056DDA"/>
    <w:rsid w:val="0006727C"/>
    <w:rsid w:val="000716C0"/>
    <w:rsid w:val="000811ED"/>
    <w:rsid w:val="00083293"/>
    <w:rsid w:val="00095D76"/>
    <w:rsid w:val="000A3A35"/>
    <w:rsid w:val="000A3DF6"/>
    <w:rsid w:val="000B2706"/>
    <w:rsid w:val="000B620D"/>
    <w:rsid w:val="000C79AD"/>
    <w:rsid w:val="000D76DA"/>
    <w:rsid w:val="000E0281"/>
    <w:rsid w:val="000F553B"/>
    <w:rsid w:val="00105E20"/>
    <w:rsid w:val="001116BC"/>
    <w:rsid w:val="0011755A"/>
    <w:rsid w:val="001237AC"/>
    <w:rsid w:val="0012484E"/>
    <w:rsid w:val="0013033E"/>
    <w:rsid w:val="0013317D"/>
    <w:rsid w:val="0014241E"/>
    <w:rsid w:val="0014264C"/>
    <w:rsid w:val="00151DAC"/>
    <w:rsid w:val="00176452"/>
    <w:rsid w:val="00183135"/>
    <w:rsid w:val="00193C1B"/>
    <w:rsid w:val="00196977"/>
    <w:rsid w:val="001A6D55"/>
    <w:rsid w:val="001A789D"/>
    <w:rsid w:val="001A7D03"/>
    <w:rsid w:val="001C443D"/>
    <w:rsid w:val="001D0A0A"/>
    <w:rsid w:val="001E05C9"/>
    <w:rsid w:val="001E2A7E"/>
    <w:rsid w:val="001E4DC3"/>
    <w:rsid w:val="001E78F9"/>
    <w:rsid w:val="001F29C6"/>
    <w:rsid w:val="001F3B80"/>
    <w:rsid w:val="00201498"/>
    <w:rsid w:val="0022571F"/>
    <w:rsid w:val="002311BB"/>
    <w:rsid w:val="002429C1"/>
    <w:rsid w:val="00244EF9"/>
    <w:rsid w:val="00252FFA"/>
    <w:rsid w:val="00265ED5"/>
    <w:rsid w:val="00272644"/>
    <w:rsid w:val="00273890"/>
    <w:rsid w:val="002A2098"/>
    <w:rsid w:val="002B6A2D"/>
    <w:rsid w:val="002C2D43"/>
    <w:rsid w:val="002C358A"/>
    <w:rsid w:val="002C54C4"/>
    <w:rsid w:val="002F053B"/>
    <w:rsid w:val="002F6041"/>
    <w:rsid w:val="003125FA"/>
    <w:rsid w:val="003163E9"/>
    <w:rsid w:val="00321A29"/>
    <w:rsid w:val="00322613"/>
    <w:rsid w:val="00324D08"/>
    <w:rsid w:val="003255CF"/>
    <w:rsid w:val="0033032C"/>
    <w:rsid w:val="003344EC"/>
    <w:rsid w:val="00346763"/>
    <w:rsid w:val="003564A4"/>
    <w:rsid w:val="00361BF4"/>
    <w:rsid w:val="003753DC"/>
    <w:rsid w:val="00383285"/>
    <w:rsid w:val="003836CA"/>
    <w:rsid w:val="003A7504"/>
    <w:rsid w:val="003B4301"/>
    <w:rsid w:val="003C5D42"/>
    <w:rsid w:val="003C6AAF"/>
    <w:rsid w:val="003D1ABD"/>
    <w:rsid w:val="003D3CFF"/>
    <w:rsid w:val="003E50B3"/>
    <w:rsid w:val="003F106D"/>
    <w:rsid w:val="0040254F"/>
    <w:rsid w:val="00402847"/>
    <w:rsid w:val="004075D4"/>
    <w:rsid w:val="00407EDF"/>
    <w:rsid w:val="0041456C"/>
    <w:rsid w:val="004178A1"/>
    <w:rsid w:val="00426283"/>
    <w:rsid w:val="004365E2"/>
    <w:rsid w:val="00446558"/>
    <w:rsid w:val="00446899"/>
    <w:rsid w:val="00446D2B"/>
    <w:rsid w:val="004534AE"/>
    <w:rsid w:val="00455EF0"/>
    <w:rsid w:val="004665DE"/>
    <w:rsid w:val="00474EE6"/>
    <w:rsid w:val="00485C3D"/>
    <w:rsid w:val="00490D9F"/>
    <w:rsid w:val="00493CE1"/>
    <w:rsid w:val="004949A5"/>
    <w:rsid w:val="004A4DEA"/>
    <w:rsid w:val="004A723A"/>
    <w:rsid w:val="004B3F01"/>
    <w:rsid w:val="004C4ADC"/>
    <w:rsid w:val="004D5C9F"/>
    <w:rsid w:val="004F4470"/>
    <w:rsid w:val="004F628E"/>
    <w:rsid w:val="0051676E"/>
    <w:rsid w:val="005175BB"/>
    <w:rsid w:val="005220D0"/>
    <w:rsid w:val="005276AB"/>
    <w:rsid w:val="005334A7"/>
    <w:rsid w:val="00541475"/>
    <w:rsid w:val="00541AA1"/>
    <w:rsid w:val="00550F27"/>
    <w:rsid w:val="00564C8F"/>
    <w:rsid w:val="00570853"/>
    <w:rsid w:val="005769D5"/>
    <w:rsid w:val="0058246C"/>
    <w:rsid w:val="00584194"/>
    <w:rsid w:val="00584482"/>
    <w:rsid w:val="00590C22"/>
    <w:rsid w:val="00590D27"/>
    <w:rsid w:val="00595AA2"/>
    <w:rsid w:val="005A7041"/>
    <w:rsid w:val="005B1252"/>
    <w:rsid w:val="005B778A"/>
    <w:rsid w:val="005B7C63"/>
    <w:rsid w:val="005B7DAD"/>
    <w:rsid w:val="005C71C6"/>
    <w:rsid w:val="005D46DA"/>
    <w:rsid w:val="00602EDC"/>
    <w:rsid w:val="0061022A"/>
    <w:rsid w:val="00610E1F"/>
    <w:rsid w:val="00617448"/>
    <w:rsid w:val="00617FF4"/>
    <w:rsid w:val="0062120B"/>
    <w:rsid w:val="00624F57"/>
    <w:rsid w:val="00643ADC"/>
    <w:rsid w:val="006547F8"/>
    <w:rsid w:val="00657497"/>
    <w:rsid w:val="006602B5"/>
    <w:rsid w:val="00672144"/>
    <w:rsid w:val="00683F49"/>
    <w:rsid w:val="00692718"/>
    <w:rsid w:val="006B299C"/>
    <w:rsid w:val="006B776B"/>
    <w:rsid w:val="006C4C47"/>
    <w:rsid w:val="006C564F"/>
    <w:rsid w:val="006C79E1"/>
    <w:rsid w:val="006C7F39"/>
    <w:rsid w:val="006D730E"/>
    <w:rsid w:val="006E07BA"/>
    <w:rsid w:val="006E2C27"/>
    <w:rsid w:val="006E5BF2"/>
    <w:rsid w:val="006E624F"/>
    <w:rsid w:val="006E65D3"/>
    <w:rsid w:val="006E7C99"/>
    <w:rsid w:val="006F267E"/>
    <w:rsid w:val="006F2C53"/>
    <w:rsid w:val="006F3967"/>
    <w:rsid w:val="006F3DC2"/>
    <w:rsid w:val="00714A41"/>
    <w:rsid w:val="00715307"/>
    <w:rsid w:val="00721DA6"/>
    <w:rsid w:val="00735CB7"/>
    <w:rsid w:val="00747105"/>
    <w:rsid w:val="0074721A"/>
    <w:rsid w:val="007550E2"/>
    <w:rsid w:val="007568E9"/>
    <w:rsid w:val="007603D0"/>
    <w:rsid w:val="0076292A"/>
    <w:rsid w:val="00786799"/>
    <w:rsid w:val="00787EBA"/>
    <w:rsid w:val="007934F5"/>
    <w:rsid w:val="00794B54"/>
    <w:rsid w:val="007A5F03"/>
    <w:rsid w:val="007B5338"/>
    <w:rsid w:val="007D0CDE"/>
    <w:rsid w:val="007D0E45"/>
    <w:rsid w:val="007D1F50"/>
    <w:rsid w:val="007D29D0"/>
    <w:rsid w:val="007E2042"/>
    <w:rsid w:val="007E2B26"/>
    <w:rsid w:val="007E72F7"/>
    <w:rsid w:val="00816028"/>
    <w:rsid w:val="008460E4"/>
    <w:rsid w:val="00861A5F"/>
    <w:rsid w:val="00861A7F"/>
    <w:rsid w:val="0086683A"/>
    <w:rsid w:val="008839F8"/>
    <w:rsid w:val="00891B07"/>
    <w:rsid w:val="008946E2"/>
    <w:rsid w:val="00897323"/>
    <w:rsid w:val="008A3B00"/>
    <w:rsid w:val="008A5FE4"/>
    <w:rsid w:val="008B1761"/>
    <w:rsid w:val="008B259E"/>
    <w:rsid w:val="008B33FC"/>
    <w:rsid w:val="008B687F"/>
    <w:rsid w:val="008D73BC"/>
    <w:rsid w:val="008E19E4"/>
    <w:rsid w:val="008E1D50"/>
    <w:rsid w:val="008E46B9"/>
    <w:rsid w:val="008E6383"/>
    <w:rsid w:val="00902ED9"/>
    <w:rsid w:val="00903E23"/>
    <w:rsid w:val="00907D01"/>
    <w:rsid w:val="009120B8"/>
    <w:rsid w:val="00917337"/>
    <w:rsid w:val="00933BC2"/>
    <w:rsid w:val="009353B4"/>
    <w:rsid w:val="00954AFE"/>
    <w:rsid w:val="00980DD0"/>
    <w:rsid w:val="009867D4"/>
    <w:rsid w:val="009905B8"/>
    <w:rsid w:val="0099554E"/>
    <w:rsid w:val="009A0AA4"/>
    <w:rsid w:val="009A6139"/>
    <w:rsid w:val="009D0CD6"/>
    <w:rsid w:val="009D168C"/>
    <w:rsid w:val="009D42EA"/>
    <w:rsid w:val="009D700E"/>
    <w:rsid w:val="009E22E6"/>
    <w:rsid w:val="009E309F"/>
    <w:rsid w:val="009E4229"/>
    <w:rsid w:val="009E42C8"/>
    <w:rsid w:val="00A00D19"/>
    <w:rsid w:val="00A041C8"/>
    <w:rsid w:val="00A13682"/>
    <w:rsid w:val="00A14B88"/>
    <w:rsid w:val="00A202EB"/>
    <w:rsid w:val="00A3039C"/>
    <w:rsid w:val="00A42EC4"/>
    <w:rsid w:val="00A67265"/>
    <w:rsid w:val="00A70EA5"/>
    <w:rsid w:val="00A80C57"/>
    <w:rsid w:val="00A8443B"/>
    <w:rsid w:val="00A97AEF"/>
    <w:rsid w:val="00AA2BF6"/>
    <w:rsid w:val="00AA6B39"/>
    <w:rsid w:val="00AC084F"/>
    <w:rsid w:val="00AD15E5"/>
    <w:rsid w:val="00AD2853"/>
    <w:rsid w:val="00AD3AA3"/>
    <w:rsid w:val="00AD7234"/>
    <w:rsid w:val="00AF46DB"/>
    <w:rsid w:val="00B00871"/>
    <w:rsid w:val="00B05EFB"/>
    <w:rsid w:val="00B06CA0"/>
    <w:rsid w:val="00B26087"/>
    <w:rsid w:val="00B31842"/>
    <w:rsid w:val="00B6237E"/>
    <w:rsid w:val="00B62AFE"/>
    <w:rsid w:val="00B73B5D"/>
    <w:rsid w:val="00B841E0"/>
    <w:rsid w:val="00B876C5"/>
    <w:rsid w:val="00B90421"/>
    <w:rsid w:val="00B90DB2"/>
    <w:rsid w:val="00B92AE7"/>
    <w:rsid w:val="00B94118"/>
    <w:rsid w:val="00B9693A"/>
    <w:rsid w:val="00BA306F"/>
    <w:rsid w:val="00BA538E"/>
    <w:rsid w:val="00BA5AE4"/>
    <w:rsid w:val="00BB3AC8"/>
    <w:rsid w:val="00BB6EAD"/>
    <w:rsid w:val="00BB7791"/>
    <w:rsid w:val="00BD77FE"/>
    <w:rsid w:val="00BE5F09"/>
    <w:rsid w:val="00BE7D27"/>
    <w:rsid w:val="00BF0741"/>
    <w:rsid w:val="00C00713"/>
    <w:rsid w:val="00C045A9"/>
    <w:rsid w:val="00C05D2D"/>
    <w:rsid w:val="00C06B8E"/>
    <w:rsid w:val="00C26492"/>
    <w:rsid w:val="00C269CC"/>
    <w:rsid w:val="00C35EB4"/>
    <w:rsid w:val="00C43AC5"/>
    <w:rsid w:val="00C46BBE"/>
    <w:rsid w:val="00C553C2"/>
    <w:rsid w:val="00C55E9C"/>
    <w:rsid w:val="00C633E4"/>
    <w:rsid w:val="00C662AE"/>
    <w:rsid w:val="00C71AB5"/>
    <w:rsid w:val="00C80FB1"/>
    <w:rsid w:val="00C810FB"/>
    <w:rsid w:val="00C914BA"/>
    <w:rsid w:val="00C93778"/>
    <w:rsid w:val="00C9538C"/>
    <w:rsid w:val="00C973D8"/>
    <w:rsid w:val="00CA293D"/>
    <w:rsid w:val="00CA7AB2"/>
    <w:rsid w:val="00CB15FB"/>
    <w:rsid w:val="00CB7362"/>
    <w:rsid w:val="00CC5B68"/>
    <w:rsid w:val="00CD72E6"/>
    <w:rsid w:val="00CF0BFC"/>
    <w:rsid w:val="00CF2526"/>
    <w:rsid w:val="00CF39D4"/>
    <w:rsid w:val="00CF7A56"/>
    <w:rsid w:val="00D00328"/>
    <w:rsid w:val="00D01B26"/>
    <w:rsid w:val="00D051DA"/>
    <w:rsid w:val="00D05603"/>
    <w:rsid w:val="00D2488D"/>
    <w:rsid w:val="00D25DE4"/>
    <w:rsid w:val="00D34641"/>
    <w:rsid w:val="00D3501A"/>
    <w:rsid w:val="00D44E83"/>
    <w:rsid w:val="00D47163"/>
    <w:rsid w:val="00D53B04"/>
    <w:rsid w:val="00D57CAC"/>
    <w:rsid w:val="00D72B78"/>
    <w:rsid w:val="00D74287"/>
    <w:rsid w:val="00D74F2A"/>
    <w:rsid w:val="00D80618"/>
    <w:rsid w:val="00D813B6"/>
    <w:rsid w:val="00D85915"/>
    <w:rsid w:val="00D903E4"/>
    <w:rsid w:val="00D93380"/>
    <w:rsid w:val="00DA0065"/>
    <w:rsid w:val="00DA2CD4"/>
    <w:rsid w:val="00DA468C"/>
    <w:rsid w:val="00DB0F60"/>
    <w:rsid w:val="00DC7CDE"/>
    <w:rsid w:val="00DD7887"/>
    <w:rsid w:val="00DF4B93"/>
    <w:rsid w:val="00DF536C"/>
    <w:rsid w:val="00E03642"/>
    <w:rsid w:val="00E058AB"/>
    <w:rsid w:val="00E079AF"/>
    <w:rsid w:val="00E169D2"/>
    <w:rsid w:val="00E33647"/>
    <w:rsid w:val="00E45DEF"/>
    <w:rsid w:val="00E516B0"/>
    <w:rsid w:val="00E5293E"/>
    <w:rsid w:val="00E664C7"/>
    <w:rsid w:val="00E724A8"/>
    <w:rsid w:val="00E80226"/>
    <w:rsid w:val="00E931B9"/>
    <w:rsid w:val="00EA137C"/>
    <w:rsid w:val="00ED339D"/>
    <w:rsid w:val="00ED68C8"/>
    <w:rsid w:val="00F12081"/>
    <w:rsid w:val="00F22A8E"/>
    <w:rsid w:val="00F26818"/>
    <w:rsid w:val="00F26E47"/>
    <w:rsid w:val="00F30270"/>
    <w:rsid w:val="00F41542"/>
    <w:rsid w:val="00F435A8"/>
    <w:rsid w:val="00F47077"/>
    <w:rsid w:val="00F550F0"/>
    <w:rsid w:val="00F62568"/>
    <w:rsid w:val="00F63AD2"/>
    <w:rsid w:val="00F653BF"/>
    <w:rsid w:val="00F80548"/>
    <w:rsid w:val="00F90C9D"/>
    <w:rsid w:val="00F91623"/>
    <w:rsid w:val="00FA2522"/>
    <w:rsid w:val="00FA340B"/>
    <w:rsid w:val="00FB24B1"/>
    <w:rsid w:val="00FB5784"/>
    <w:rsid w:val="00FB6212"/>
    <w:rsid w:val="00FB6611"/>
    <w:rsid w:val="00FC615E"/>
    <w:rsid w:val="00FE5310"/>
    <w:rsid w:val="00FF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4DEA"/>
    <w:rPr>
      <w:sz w:val="24"/>
      <w:szCs w:val="24"/>
    </w:rPr>
  </w:style>
  <w:style w:type="paragraph" w:styleId="Nadpis1">
    <w:name w:val="heading 1"/>
    <w:basedOn w:val="Normln"/>
    <w:next w:val="Normln"/>
    <w:qFormat/>
    <w:rsid w:val="004A4DEA"/>
    <w:pPr>
      <w:keepNext/>
      <w:outlineLvl w:val="0"/>
    </w:pPr>
    <w:rPr>
      <w:rFonts w:ascii="Arial" w:hAnsi="Arial"/>
      <w:b/>
      <w:bCs/>
      <w:sz w:val="22"/>
    </w:rPr>
  </w:style>
  <w:style w:type="paragraph" w:styleId="Nadpis2">
    <w:name w:val="heading 2"/>
    <w:basedOn w:val="Normln"/>
    <w:next w:val="Normln"/>
    <w:qFormat/>
    <w:rsid w:val="004A4DEA"/>
    <w:pPr>
      <w:keepNext/>
      <w:outlineLvl w:val="1"/>
    </w:pPr>
    <w:rPr>
      <w:rFonts w:ascii="Arial" w:hAnsi="Arial"/>
      <w:b/>
      <w:bCs/>
      <w:sz w:val="20"/>
    </w:rPr>
  </w:style>
  <w:style w:type="paragraph" w:styleId="Nadpis3">
    <w:name w:val="heading 3"/>
    <w:basedOn w:val="Normln"/>
    <w:next w:val="Normln"/>
    <w:qFormat/>
    <w:rsid w:val="004A4DEA"/>
    <w:pPr>
      <w:keepNext/>
      <w:jc w:val="center"/>
      <w:outlineLvl w:val="2"/>
    </w:pPr>
    <w:rPr>
      <w:rFonts w:ascii="Arial" w:hAnsi="Arial"/>
      <w:b/>
      <w:bCs/>
      <w:sz w:val="18"/>
      <w:szCs w:val="18"/>
    </w:rPr>
  </w:style>
  <w:style w:type="paragraph" w:styleId="Nadpis4">
    <w:name w:val="heading 4"/>
    <w:basedOn w:val="Normln"/>
    <w:next w:val="Normln"/>
    <w:qFormat/>
    <w:rsid w:val="004A4DEA"/>
    <w:pPr>
      <w:keepNext/>
      <w:jc w:val="center"/>
      <w:outlineLvl w:val="3"/>
    </w:pPr>
    <w:rPr>
      <w:rFonts w:ascii="Arial" w:hAnsi="Arial"/>
      <w:b/>
      <w:bCs/>
      <w:sz w:val="18"/>
    </w:rPr>
  </w:style>
  <w:style w:type="paragraph" w:styleId="Nadpis5">
    <w:name w:val="heading 5"/>
    <w:basedOn w:val="Normln"/>
    <w:next w:val="Normln"/>
    <w:qFormat/>
    <w:rsid w:val="004A4DEA"/>
    <w:pPr>
      <w:keepNext/>
      <w:jc w:val="center"/>
      <w:outlineLvl w:val="4"/>
    </w:pPr>
    <w:rPr>
      <w:rFonts w:ascii="Arial" w:hAnsi="Arial"/>
      <w:b/>
      <w:bCs/>
      <w:sz w:val="18"/>
      <w:szCs w:val="18"/>
    </w:rPr>
  </w:style>
  <w:style w:type="paragraph" w:styleId="Nadpis6">
    <w:name w:val="heading 6"/>
    <w:basedOn w:val="Normln"/>
    <w:next w:val="Normln"/>
    <w:qFormat/>
    <w:rsid w:val="004A4DEA"/>
    <w:pPr>
      <w:keepNext/>
      <w:ind w:left="113"/>
      <w:outlineLvl w:val="5"/>
    </w:pPr>
    <w:rPr>
      <w:rFonts w:ascii="Arial" w:hAnsi="Arial" w:cs="Arial"/>
      <w:b/>
      <w:bCs/>
      <w:sz w:val="18"/>
      <w:szCs w:val="18"/>
    </w:rPr>
  </w:style>
  <w:style w:type="paragraph" w:styleId="Nadpis7">
    <w:name w:val="heading 7"/>
    <w:basedOn w:val="Normln"/>
    <w:next w:val="Normln"/>
    <w:qFormat/>
    <w:rsid w:val="004A4DEA"/>
    <w:pPr>
      <w:keepNext/>
      <w:shd w:val="clear" w:color="auto" w:fill="E0E0E0"/>
      <w:outlineLvl w:val="6"/>
    </w:pPr>
    <w:rPr>
      <w:rFonts w:ascii="Arial" w:hAnsi="Arial"/>
      <w:b/>
      <w:sz w:val="20"/>
    </w:rPr>
  </w:style>
  <w:style w:type="paragraph" w:styleId="Nadpis8">
    <w:name w:val="heading 8"/>
    <w:basedOn w:val="Normln"/>
    <w:next w:val="Normln"/>
    <w:qFormat/>
    <w:rsid w:val="004A4DEA"/>
    <w:pPr>
      <w:keepNext/>
      <w:tabs>
        <w:tab w:val="left" w:pos="540"/>
      </w:tabs>
      <w:spacing w:before="120"/>
      <w:ind w:left="538" w:hanging="357"/>
      <w:outlineLvl w:val="7"/>
    </w:pPr>
    <w:rPr>
      <w:rFonts w:ascii="Arial" w:hAnsi="Arial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4A4DEA"/>
    <w:rPr>
      <w:rFonts w:ascii="Arial" w:hAnsi="Arial"/>
      <w:sz w:val="20"/>
    </w:rPr>
  </w:style>
  <w:style w:type="paragraph" w:styleId="Zpat">
    <w:name w:val="footer"/>
    <w:basedOn w:val="Normln"/>
    <w:rsid w:val="004A4DE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A4DEA"/>
  </w:style>
  <w:style w:type="paragraph" w:styleId="Zhlav">
    <w:name w:val="header"/>
    <w:basedOn w:val="Normln"/>
    <w:rsid w:val="004A4DE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4A4DEA"/>
    <w:pPr>
      <w:jc w:val="both"/>
    </w:pPr>
    <w:rPr>
      <w:rFonts w:ascii="Arial" w:hAnsi="Arial"/>
      <w:sz w:val="20"/>
      <w:lang w:val="en-GB"/>
    </w:rPr>
  </w:style>
  <w:style w:type="paragraph" w:styleId="Zkladntextodsazen">
    <w:name w:val="Body Text Indent"/>
    <w:basedOn w:val="Normln"/>
    <w:rsid w:val="004A4DEA"/>
    <w:pPr>
      <w:ind w:firstLine="360"/>
      <w:jc w:val="both"/>
    </w:pPr>
    <w:rPr>
      <w:rFonts w:ascii="Arial" w:hAnsi="Arial"/>
      <w:sz w:val="20"/>
    </w:rPr>
  </w:style>
  <w:style w:type="character" w:styleId="Znakapoznpodarou">
    <w:name w:val="footnote reference"/>
    <w:semiHidden/>
    <w:rsid w:val="004A4DEA"/>
    <w:rPr>
      <w:vertAlign w:val="superscript"/>
    </w:rPr>
  </w:style>
  <w:style w:type="paragraph" w:styleId="Zkladntextodsazen2">
    <w:name w:val="Body Text Indent 2"/>
    <w:basedOn w:val="Normln"/>
    <w:rsid w:val="004A4DEA"/>
    <w:pPr>
      <w:ind w:firstLine="360"/>
      <w:jc w:val="both"/>
    </w:pPr>
    <w:rPr>
      <w:rFonts w:ascii="Arial" w:hAnsi="Arial"/>
      <w:color w:val="333399"/>
      <w:sz w:val="20"/>
    </w:rPr>
  </w:style>
  <w:style w:type="paragraph" w:styleId="Textpoznpodarou">
    <w:name w:val="footnote text"/>
    <w:basedOn w:val="Normln"/>
    <w:semiHidden/>
    <w:rsid w:val="004A4DEA"/>
    <w:rPr>
      <w:sz w:val="20"/>
      <w:szCs w:val="20"/>
    </w:rPr>
  </w:style>
  <w:style w:type="paragraph" w:customStyle="1" w:styleId="Styl1">
    <w:name w:val="Styl1"/>
    <w:basedOn w:val="Zkladntext2"/>
    <w:rsid w:val="004A4DEA"/>
    <w:pPr>
      <w:spacing w:before="120" w:after="120"/>
      <w:ind w:firstLine="284"/>
      <w:jc w:val="both"/>
    </w:pPr>
    <w:rPr>
      <w:lang w:eastAsia="en-US"/>
    </w:rPr>
  </w:style>
  <w:style w:type="character" w:styleId="Siln">
    <w:name w:val="Strong"/>
    <w:qFormat/>
    <w:rsid w:val="004A4DEA"/>
    <w:rPr>
      <w:b/>
      <w:bCs/>
    </w:rPr>
  </w:style>
  <w:style w:type="character" w:styleId="Hypertextovodkaz">
    <w:name w:val="Hyperlink"/>
    <w:rsid w:val="004A4DEA"/>
    <w:rPr>
      <w:color w:val="0000FF"/>
      <w:u w:val="single"/>
    </w:rPr>
  </w:style>
  <w:style w:type="paragraph" w:styleId="Zkladntextodsazen3">
    <w:name w:val="Body Text Indent 3"/>
    <w:basedOn w:val="Normln"/>
    <w:rsid w:val="004A4DEA"/>
    <w:pPr>
      <w:ind w:firstLine="708"/>
    </w:pPr>
    <w:rPr>
      <w:rFonts w:ascii="Arial" w:hAnsi="Arial"/>
      <w:sz w:val="20"/>
    </w:rPr>
  </w:style>
  <w:style w:type="paragraph" w:customStyle="1" w:styleId="STYL10">
    <w:name w:val="STYL_1"/>
    <w:basedOn w:val="Zkladntext"/>
    <w:rsid w:val="004A4DEA"/>
    <w:pPr>
      <w:spacing w:before="120" w:after="120"/>
      <w:ind w:firstLine="357"/>
    </w:pPr>
    <w:rPr>
      <w:bCs/>
      <w:kern w:val="32"/>
      <w:szCs w:val="32"/>
      <w:lang w:val="cs-CZ"/>
    </w:rPr>
  </w:style>
  <w:style w:type="character" w:styleId="Sledovanodkaz">
    <w:name w:val="FollowedHyperlink"/>
    <w:rsid w:val="004A4DEA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C55E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5E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0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pp.eurostat.ec.europa.eu/statistics_explained/index.php/R_%26_D_budget_statistics_-_transnationally_coordinated_researc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zso.cz/csu/redakce.nsf/i/statni_rozpoctove_vydaje_a_dotace_na_vyzkum_a_vyvoj_gbaor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zso.cz/csu/redakce.nsf/i/neprima_podpora_vyzkumu_a_vyvoje_v_podnikatelskem_sekto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yzkum.cz/" TargetMode="External"/><Relationship Id="rId1" Type="http://schemas.openxmlformats.org/officeDocument/2006/relationships/hyperlink" Target="http://www.vyzkum.cz/FrontClanek.aspx?idsekce=532844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3DE18-6EDA-44D1-BBD7-FC35902EE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1542</TotalTime>
  <Pages>5</Pages>
  <Words>2890</Words>
  <Characters>17055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TENDENCE VÝVOJE</vt:lpstr>
    </vt:vector>
  </TitlesOfParts>
  <Company>CSU</Company>
  <LinksUpToDate>false</LinksUpToDate>
  <CharactersWithSpaces>19906</CharactersWithSpaces>
  <SharedDoc>false</SharedDoc>
  <HLinks>
    <vt:vector size="18" baseType="variant">
      <vt:variant>
        <vt:i4>8060963</vt:i4>
      </vt:variant>
      <vt:variant>
        <vt:i4>0</vt:i4>
      </vt:variant>
      <vt:variant>
        <vt:i4>0</vt:i4>
      </vt:variant>
      <vt:variant>
        <vt:i4>5</vt:i4>
      </vt:variant>
      <vt:variant>
        <vt:lpwstr>http://czso.cz/csu/redakce.nsf/i/metodika_ulohy_gbaord</vt:lpwstr>
      </vt:variant>
      <vt:variant>
        <vt:lpwstr/>
      </vt:variant>
      <vt:variant>
        <vt:i4>393292</vt:i4>
      </vt:variant>
      <vt:variant>
        <vt:i4>3</vt:i4>
      </vt:variant>
      <vt:variant>
        <vt:i4>0</vt:i4>
      </vt:variant>
      <vt:variant>
        <vt:i4>5</vt:i4>
      </vt:variant>
      <vt:variant>
        <vt:lpwstr>http://www.vyzkum.cz/</vt:lpwstr>
      </vt:variant>
      <vt:variant>
        <vt:lpwstr/>
      </vt:variant>
      <vt:variant>
        <vt:i4>6029338</vt:i4>
      </vt:variant>
      <vt:variant>
        <vt:i4>0</vt:i4>
      </vt:variant>
      <vt:variant>
        <vt:i4>0</vt:i4>
      </vt:variant>
      <vt:variant>
        <vt:i4>5</vt:i4>
      </vt:variant>
      <vt:variant>
        <vt:lpwstr>http://www.vyzkum.cz/FrontClanek.aspx?idsekce=532844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TENDENCE VÝVOJE</dc:title>
  <dc:subject/>
  <dc:creator>csu</dc:creator>
  <cp:keywords/>
  <cp:lastModifiedBy>Václav Sojka</cp:lastModifiedBy>
  <cp:revision>182</cp:revision>
  <cp:lastPrinted>2013-11-14T13:42:00Z</cp:lastPrinted>
  <dcterms:created xsi:type="dcterms:W3CDTF">2010-12-29T08:11:00Z</dcterms:created>
  <dcterms:modified xsi:type="dcterms:W3CDTF">2015-01-09T08:21:00Z</dcterms:modified>
</cp:coreProperties>
</file>