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01" w:rsidRDefault="00A33A01" w:rsidP="00C1168A">
      <w:pPr>
        <w:pStyle w:val="Nadpis1"/>
        <w:spacing w:line="276" w:lineRule="auto"/>
      </w:pPr>
      <w:bookmarkStart w:id="0" w:name="_Toc134178217"/>
      <w:bookmarkStart w:id="1" w:name="_Toc138754302"/>
      <w:bookmarkStart w:id="2" w:name="_GoBack"/>
      <w:bookmarkEnd w:id="2"/>
      <w:r>
        <w:t>Komentář k základním výsledkům SLDB 2021</w:t>
      </w:r>
      <w:r w:rsidR="00C1168A">
        <w:br/>
      </w:r>
      <w:r>
        <w:t>v České republice</w:t>
      </w:r>
      <w:bookmarkEnd w:id="0"/>
      <w:bookmarkEnd w:id="1"/>
    </w:p>
    <w:p w:rsidR="00EB121C" w:rsidRDefault="00EB121C" w:rsidP="00EB121C">
      <w:pPr>
        <w:jc w:val="both"/>
      </w:pPr>
      <w:r>
        <w:t>Výsledky SLDB 2021 jsou zpracovány a publikovány podle místa obvyklého pobytu. Z tohoto hlediska jsou plně srovnatelné s výsledky SLDB 2011. Zpracovány byly údaje za obyvatelstvo, domy, byty a hospodařící domácnosti. Základní výsledky představují jednotlivá témata zjišťovaná ve sčítání podle velikostních skupin obcí a krajů.</w:t>
      </w:r>
    </w:p>
    <w:p w:rsidR="00A33A01" w:rsidRPr="00C1168A" w:rsidRDefault="00A33A01" w:rsidP="002D1D6B">
      <w:pPr>
        <w:pStyle w:val="Nadpis2"/>
        <w:spacing w:before="240" w:after="120"/>
      </w:pPr>
      <w:bookmarkStart w:id="3" w:name="_Toc134178218"/>
      <w:bookmarkStart w:id="4" w:name="_Toc138754303"/>
      <w:r w:rsidRPr="00C1168A">
        <w:t>Obyvatelstvo</w:t>
      </w:r>
      <w:bookmarkEnd w:id="3"/>
      <w:bookmarkEnd w:id="4"/>
    </w:p>
    <w:p w:rsidR="00EB121C" w:rsidRDefault="00EB121C" w:rsidP="00EB121C">
      <w:pPr>
        <w:spacing w:after="120"/>
        <w:jc w:val="both"/>
        <w:rPr>
          <w:rFonts w:cs="Arial"/>
          <w:color w:val="000000" w:themeColor="text1"/>
          <w:szCs w:val="20"/>
          <w:shd w:val="clear" w:color="auto" w:fill="FFFFFF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K rozhodnému okamžiku sčítání, tj. k 26.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>
        <w:rPr>
          <w:rFonts w:cs="Arial"/>
          <w:color w:val="000000" w:themeColor="text1"/>
          <w:szCs w:val="20"/>
          <w:shd w:val="clear" w:color="auto" w:fill="FFFFFF"/>
        </w:rPr>
        <w:t>3.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>
        <w:rPr>
          <w:rFonts w:cs="Arial"/>
          <w:color w:val="000000" w:themeColor="text1"/>
          <w:szCs w:val="20"/>
          <w:shd w:val="clear" w:color="auto" w:fill="FFFFFF"/>
        </w:rPr>
        <w:t>2021, žilo na území České republiky 10 524 167 obvykle bydlících osob, což ve srovnání s předchozím sčítáním bylo o 87,6 tisíc obyvatel více. Nejvíce obyvatel žilo ve Středočeském kraji, dále pak v hlavním městě Praze, Jihomoravském a Moravskoslezském kraji. Každý z těchto územních celků měl více než milion obyvatel. Regionem s nejnižším počtem obyvatel byl Karlovarský kraj, kde k rozhodnému okamžiku žilo necelých 280 tisíc obvykle bydlících obyvatel. Z celkového počtu obyvatel žila zhruba pětina ve městech s více než 100 tisíci obyvateli. V obcích do 2 tisíc obyvatel žilo 27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obyvatel České republiky.</w:t>
      </w:r>
    </w:p>
    <w:p w:rsidR="00EB121C" w:rsidRDefault="00EB121C" w:rsidP="00EB121C">
      <w:pPr>
        <w:spacing w:after="120"/>
        <w:jc w:val="both"/>
        <w:rPr>
          <w:rFonts w:cs="Arial"/>
          <w:color w:val="000000" w:themeColor="text1"/>
          <w:szCs w:val="20"/>
          <w:shd w:val="clear" w:color="auto" w:fill="FFFFFF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V relativním vyjádření 97,5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obvykle bydlících obyvatel mělo zároveň na území České republiky trvalý pobyt. 2,2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pak představovali cizinci s povolením k dlouhodobému pobytu. Zbývající 0,3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obvykle bydlících obyvatel pobývalo na území státu bez registrovaného pobytu.</w:t>
      </w:r>
    </w:p>
    <w:p w:rsidR="00EB121C" w:rsidRPr="006A7B85" w:rsidRDefault="00EB121C" w:rsidP="00EB121C">
      <w:pPr>
        <w:spacing w:after="120"/>
        <w:jc w:val="both"/>
        <w:rPr>
          <w:color w:val="000000" w:themeColor="text1"/>
          <w:highlight w:val="yellow"/>
          <w:shd w:val="clear" w:color="auto" w:fill="FFFFFF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 xml:space="preserve">Polovina obyvatel deklarovala, že v době sčítání žila v obci svého </w:t>
      </w:r>
      <w:r w:rsidRPr="00361BD6">
        <w:rPr>
          <w:rFonts w:cs="Arial"/>
          <w:color w:val="000000" w:themeColor="text1"/>
          <w:szCs w:val="20"/>
          <w:shd w:val="clear" w:color="auto" w:fill="FFFFFF"/>
        </w:rPr>
        <w:t xml:space="preserve">narození. </w:t>
      </w:r>
      <w:r>
        <w:rPr>
          <w:rFonts w:cs="Arial"/>
          <w:color w:val="000000" w:themeColor="text1"/>
          <w:szCs w:val="20"/>
          <w:shd w:val="clear" w:color="auto" w:fill="FFFFFF"/>
        </w:rPr>
        <w:t>Dle zjištěný</w:t>
      </w:r>
      <w:r w:rsidRPr="00361BD6">
        <w:rPr>
          <w:rFonts w:cs="Arial"/>
          <w:color w:val="000000" w:themeColor="text1"/>
          <w:szCs w:val="20"/>
          <w:shd w:val="clear" w:color="auto" w:fill="FFFFFF"/>
        </w:rPr>
        <w:t>ch údajů lze vyjádřit, že podíl rodáků vzrůstá s velikostí obce. V obcích do 5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 w:rsidRPr="00361BD6">
        <w:rPr>
          <w:rFonts w:cs="Arial"/>
          <w:color w:val="000000" w:themeColor="text1"/>
          <w:szCs w:val="20"/>
          <w:shd w:val="clear" w:color="auto" w:fill="FFFFFF"/>
        </w:rPr>
        <w:t>tisíc se jejich podíl pohyboval mezi 44–47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 w:rsidRPr="00361BD6">
        <w:rPr>
          <w:rFonts w:cs="Arial"/>
          <w:color w:val="000000" w:themeColor="text1"/>
          <w:szCs w:val="20"/>
          <w:shd w:val="clear" w:color="auto" w:fill="FFFFFF"/>
        </w:rPr>
        <w:t>. Ve větších obcích nad 20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 w:rsidRPr="00361BD6">
        <w:rPr>
          <w:rFonts w:cs="Arial"/>
          <w:color w:val="000000" w:themeColor="text1"/>
          <w:szCs w:val="20"/>
          <w:shd w:val="clear" w:color="auto" w:fill="FFFFFF"/>
        </w:rPr>
        <w:t>tisíc obyvatel podíl rodáků překročil dokonce polovinu. Rozdíly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jsou patrné také v regionálním pohledu. Nadpoloviční většinu obyvatel tvořili rodáci ve všech moravských krajích. Jejich největší podíl 56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měl Moravskoslezský kraj. Na druhé straně byl například kraj Středočeský, kde v době narození bydlelo ve stejné obci jako při sčítání necelých 42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obyvatel. Bydliště v době narození v zahraničí deklarovalo 6,5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> osob. V tomto směru jednoznačně vyčnívá hlavní město Praha, kde má rodiště v zahraničí téměř 16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> obyvatel.</w:t>
      </w:r>
    </w:p>
    <w:p w:rsidR="00EB121C" w:rsidRPr="006A7B85" w:rsidRDefault="00EB121C" w:rsidP="00EB121C">
      <w:pPr>
        <w:spacing w:after="120"/>
        <w:jc w:val="both"/>
        <w:rPr>
          <w:b/>
          <w:color w:val="000000" w:themeColor="text1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Podle výsledků vzrostl počet cizích státních příslušníků bydlících na území České republiky. Cizinci tvořili 4,7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</w:t>
      </w:r>
      <w:r w:rsidRPr="003C5AF0">
        <w:rPr>
          <w:rFonts w:cs="Arial"/>
          <w:color w:val="000000" w:themeColor="text1"/>
          <w:szCs w:val="20"/>
          <w:shd w:val="clear" w:color="auto" w:fill="FFFFFF"/>
        </w:rPr>
        <w:t>populace. Obecně lze říci, že nejčastěji zastoupenou kategorií byly osoby pocházející z evropských zemí mimo EU.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Vůbec nejpočetnější skupinou byli Ukrajinci, kteří představovali bezmála třetinu všech cizinců. V absolutním vyjádření se jednalo o více než 150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>
        <w:rPr>
          <w:rFonts w:cs="Arial"/>
          <w:color w:val="000000" w:themeColor="text1"/>
          <w:szCs w:val="20"/>
          <w:shd w:val="clear" w:color="auto" w:fill="FFFFFF"/>
        </w:rPr>
        <w:t>tisíc osob. Následováni byli Slováky (95 tisíc), Vietnamci (54 tisíc), Rusy (35 tisíc) a Poláky (14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>
        <w:rPr>
          <w:rFonts w:cs="Arial"/>
          <w:color w:val="000000" w:themeColor="text1"/>
          <w:szCs w:val="20"/>
          <w:shd w:val="clear" w:color="auto" w:fill="FFFFFF"/>
        </w:rPr>
        <w:t>tisíc</w:t>
      </w:r>
      <w:r w:rsidRPr="003C5AF0">
        <w:rPr>
          <w:rFonts w:cs="Arial"/>
          <w:color w:val="000000" w:themeColor="text1"/>
          <w:szCs w:val="20"/>
          <w:shd w:val="clear" w:color="auto" w:fill="FFFFFF"/>
        </w:rPr>
        <w:t>). S rostoucím počtem obyvatel obce se zvyšoval podíl osob s cizím státním občanstvím. V obcích s více než 100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 w:rsidRPr="003C5AF0">
        <w:rPr>
          <w:rFonts w:cs="Arial"/>
          <w:color w:val="000000" w:themeColor="text1"/>
          <w:szCs w:val="20"/>
          <w:shd w:val="clear" w:color="auto" w:fill="FFFFFF"/>
        </w:rPr>
        <w:t>tisíci obyvateli tvořili cizinci desetinu populace. Z hle</w:t>
      </w:r>
      <w:r>
        <w:rPr>
          <w:rFonts w:cs="Arial"/>
          <w:color w:val="000000" w:themeColor="text1"/>
          <w:szCs w:val="20"/>
          <w:shd w:val="clear" w:color="auto" w:fill="FFFFFF"/>
        </w:rPr>
        <w:t>diska regionálního rozložení se cizinci v absolutním počtu nejvíce koncentrovali v</w:t>
      </w:r>
      <w:r w:rsidR="00712472">
        <w:rPr>
          <w:color w:val="000000" w:themeColor="text1"/>
        </w:rPr>
        <w:t xml:space="preserve"> Praze a ve Středočeském kraji.</w:t>
      </w:r>
    </w:p>
    <w:p w:rsidR="002D1D6B" w:rsidRDefault="00EB121C" w:rsidP="00EB121C">
      <w:pPr>
        <w:spacing w:after="120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Průměrný věk obyvat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ele České republiky dosáhl 42,7 </w:t>
      </w:r>
      <w:r>
        <w:rPr>
          <w:rFonts w:cs="Arial"/>
          <w:color w:val="000000" w:themeColor="text1"/>
          <w:szCs w:val="20"/>
          <w:shd w:val="clear" w:color="auto" w:fill="FFFFFF"/>
        </w:rPr>
        <w:t>let. Je to o 1,7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>
        <w:rPr>
          <w:rFonts w:cs="Arial"/>
          <w:color w:val="000000" w:themeColor="text1"/>
          <w:szCs w:val="20"/>
          <w:shd w:val="clear" w:color="auto" w:fill="FFFFFF"/>
        </w:rPr>
        <w:t>let více než před deseti lety. Oproti trendu z předchozích desetiletí vzrostl počet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 xml:space="preserve"> osob ve věkové skupině 0–14 </w:t>
      </w:r>
      <w:r>
        <w:rPr>
          <w:rFonts w:cs="Arial"/>
          <w:color w:val="000000" w:themeColor="text1"/>
          <w:szCs w:val="20"/>
          <w:shd w:val="clear" w:color="auto" w:fill="FFFFFF"/>
        </w:rPr>
        <w:t>let. Přírůstek o více než 200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>
        <w:rPr>
          <w:rFonts w:cs="Arial"/>
          <w:color w:val="000000" w:themeColor="text1"/>
          <w:szCs w:val="20"/>
          <w:shd w:val="clear" w:color="auto" w:fill="FFFFFF"/>
        </w:rPr>
        <w:t>tisíc znamenal, že podíl dětské složky na celkové populaci vzrostl na 16,1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>. Narostl rovněž podíl osob v nejstarší věkové skupině 65 a více let, která tvořila pětinu obyvatelstva. Výsledky sčítání tak potvrzují jev stárnutí populace. Úbytek počtu obyvatel v produktivním věku dosáhl téměř 600 tisíc osob a podíl této skupiny ve věku 15–64</w:t>
      </w:r>
      <w:r w:rsidR="00712472">
        <w:rPr>
          <w:rFonts w:cs="Arial"/>
          <w:color w:val="000000" w:themeColor="text1"/>
          <w:szCs w:val="20"/>
          <w:shd w:val="clear" w:color="auto" w:fill="FFFFFF"/>
        </w:rPr>
        <w:t> </w:t>
      </w:r>
      <w:r>
        <w:rPr>
          <w:rFonts w:cs="Arial"/>
          <w:color w:val="000000" w:themeColor="text1"/>
          <w:szCs w:val="20"/>
          <w:shd w:val="clear" w:color="auto" w:fill="FFFFFF"/>
        </w:rPr>
        <w:t>let klesl na 63, 5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>. Rozdíly v zastoupení jednotlivých věkových skupin lze pozorovat také v regionálním členění. Patrné je především specifické postavení Prahy vůči ostatním krajům. Při pohledu na prostorové rozložení dětské složky v populaci je zjevný rozdíl mezi Prahou a sousedícím Středočeským krajem. V širším zázemí hlavního města převažuje v rámci porovnání těchto dvou územních celků více podíl dětské složky, naopak nižší je podíl obyvatel v produktivním věku</w:t>
      </w:r>
      <w:r w:rsidRPr="006A7B85">
        <w:rPr>
          <w:color w:val="000000" w:themeColor="text1"/>
        </w:rPr>
        <w:t>. Regionálním rozdílům odpovídá věková struktura i dle velikostních skupin obcí. V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městech nad 100</w:t>
      </w:r>
      <w:r w:rsidR="00712472">
        <w:rPr>
          <w:color w:val="000000" w:themeColor="text1"/>
        </w:rPr>
        <w:t> </w:t>
      </w:r>
      <w:r w:rsidRPr="006A7B85">
        <w:rPr>
          <w:color w:val="000000" w:themeColor="text1"/>
        </w:rPr>
        <w:t>tisíc obyvatel je zastoupení dětské a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postproduktivní složky podprůměrné a naopak produktivní složka je nad celorepublikovým průměrem.</w:t>
      </w:r>
    </w:p>
    <w:p w:rsidR="002D1D6B" w:rsidRDefault="002D1D6B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B121C" w:rsidRDefault="00EB121C" w:rsidP="00EB121C">
      <w:pPr>
        <w:spacing w:after="120"/>
        <w:jc w:val="both"/>
        <w:rPr>
          <w:rFonts w:cs="Arial"/>
          <w:color w:val="000000" w:themeColor="text1"/>
          <w:szCs w:val="20"/>
          <w:shd w:val="clear" w:color="auto" w:fill="FFFFFF"/>
        </w:rPr>
      </w:pPr>
      <w:r>
        <w:rPr>
          <w:rFonts w:cs="Arial"/>
          <w:color w:val="000000" w:themeColor="text1"/>
          <w:szCs w:val="20"/>
          <w:shd w:val="clear" w:color="auto" w:fill="FFFFFF"/>
        </w:rPr>
        <w:lastRenderedPageBreak/>
        <w:t>Přestože se počet mužů od Sčítání 2011 zvýšil o 1,5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>, v populaci stále mírně převažovaly ženy (50,7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 w:rsidR="002D1D6B">
        <w:rPr>
          <w:rFonts w:cs="Arial"/>
          <w:color w:val="000000" w:themeColor="text1"/>
          <w:szCs w:val="20"/>
          <w:shd w:val="clear" w:color="auto" w:fill="FFFFFF"/>
        </w:rPr>
        <w:t xml:space="preserve">). </w:t>
      </w:r>
      <w:r>
        <w:rPr>
          <w:rFonts w:cs="Arial"/>
          <w:color w:val="000000" w:themeColor="text1"/>
          <w:szCs w:val="20"/>
          <w:shd w:val="clear" w:color="auto" w:fill="FFFFFF"/>
        </w:rPr>
        <w:t>Nejčetnější skupinou obyvatelstva podle rodinného stavu byly svobodné osoby. V případě mužské kategorie tvořily 48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všech obvykle bydlících. Mezi ženami byl jejich podíl o něco nižší, a to 38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>. Vyšší podíl svobodných na úkor ženatých/vdaných bylo možné pozorovat především v hlavním městě Praze. Nadprůměrné zastoupení v kategorii ženatých/vdaných měl Kraj Vysočina a Zlínský region. Za posledních deset let významně vzrostl počet rozvedených osob, v celkovém úhrnu o více než 160 tisíc. Tradičně nejvyšší rozdíl mezi pohlavími je v kategorii ovdovělých, kde počet žen převyšuje nad počtem mužů téměř pětkrát.</w:t>
      </w:r>
    </w:p>
    <w:p w:rsidR="00EB121C" w:rsidRPr="006A7B85" w:rsidRDefault="00EB121C" w:rsidP="00EB121C">
      <w:pPr>
        <w:spacing w:after="120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Vzdělanostní struktura obyvatelstva potvrdila vývoj nastolený v posledních letech. Obecně lze konstatovat, že se zvyšuje podíl osob s vyšším stupněm vzdělání. Při Sčítání</w:t>
      </w:r>
      <w:r w:rsidR="00712472">
        <w:rPr>
          <w:color w:val="000000" w:themeColor="text1"/>
        </w:rPr>
        <w:t xml:space="preserve"> 2021 bylo evidováno 1 </w:t>
      </w:r>
      <w:r w:rsidRPr="006A7B85">
        <w:rPr>
          <w:color w:val="000000" w:themeColor="text1"/>
        </w:rPr>
        <w:t>552</w:t>
      </w:r>
      <w:r>
        <w:rPr>
          <w:rFonts w:cs="Arial"/>
          <w:bCs/>
          <w:color w:val="000000" w:themeColor="text1"/>
          <w:szCs w:val="20"/>
        </w:rPr>
        <w:t> </w:t>
      </w:r>
      <w:r w:rsidRPr="006A7B85">
        <w:rPr>
          <w:color w:val="000000" w:themeColor="text1"/>
        </w:rPr>
        <w:t>407 lidí s vysokoškolským diplomem, což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 xml:space="preserve">představuje </w:t>
      </w:r>
      <w:r>
        <w:rPr>
          <w:rFonts w:cs="Arial"/>
          <w:color w:val="000000" w:themeColor="text1"/>
          <w:szCs w:val="20"/>
        </w:rPr>
        <w:t>18,7</w:t>
      </w:r>
      <w:r w:rsidR="001705B1">
        <w:rPr>
          <w:color w:val="000000" w:themeColor="text1"/>
        </w:rPr>
        <w:t> %</w:t>
      </w:r>
      <w:r w:rsidRPr="006A7B85">
        <w:rPr>
          <w:color w:val="000000" w:themeColor="text1"/>
        </w:rPr>
        <w:t xml:space="preserve"> obyvatelstva staršího 15 let se zjištěným stupněm vzdělání. Navzdory tomu, že ubylo osob, které absolvovaly střední školu bez maturity, jednalo se stále o nejčetnější skupinu obyvatel podle vzdělání. Na druhé straně vzrostl počet těch, kteří mají úplné střední vzdělání s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 xml:space="preserve">maturitou </w:t>
      </w:r>
      <w:r>
        <w:rPr>
          <w:rFonts w:cs="Arial"/>
          <w:color w:val="000000" w:themeColor="text1"/>
          <w:szCs w:val="20"/>
        </w:rPr>
        <w:t xml:space="preserve">(včetně nástavbového a pomaturitního), </w:t>
      </w:r>
      <w:r w:rsidRPr="006A7B85">
        <w:rPr>
          <w:color w:val="000000" w:themeColor="text1"/>
        </w:rPr>
        <w:t>vyšší odborné</w:t>
      </w:r>
      <w:r>
        <w:rPr>
          <w:rFonts w:cs="Arial"/>
          <w:color w:val="000000" w:themeColor="text1"/>
          <w:szCs w:val="20"/>
        </w:rPr>
        <w:t xml:space="preserve"> vzdělání či konzervatoř.</w:t>
      </w:r>
      <w:r w:rsidRPr="006A7B85">
        <w:rPr>
          <w:color w:val="000000" w:themeColor="text1"/>
        </w:rPr>
        <w:t xml:space="preserve"> Z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hlediska územního srovnání měla nejvyšší podíl vysokoškolsky vzdělaných lidí Praha (33,7</w:t>
      </w:r>
      <w:r w:rsidR="001705B1">
        <w:rPr>
          <w:color w:val="000000" w:themeColor="text1"/>
        </w:rPr>
        <w:t> %</w:t>
      </w:r>
      <w:r w:rsidRPr="006A7B85">
        <w:rPr>
          <w:color w:val="000000" w:themeColor="text1"/>
        </w:rPr>
        <w:t>), což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znamená, že každý třetí člověk bydlící v Praze vystudoval vysokou školu. Nejvyšší podíl osob se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 xml:space="preserve">základním vzděláním </w:t>
      </w:r>
      <w:r>
        <w:rPr>
          <w:rFonts w:cs="Arial"/>
          <w:color w:val="000000" w:themeColor="text1"/>
          <w:szCs w:val="20"/>
        </w:rPr>
        <w:t>(</w:t>
      </w:r>
      <w:r w:rsidRPr="006A7B85">
        <w:rPr>
          <w:color w:val="000000" w:themeColor="text1"/>
        </w:rPr>
        <w:t>včetně neukončeného</w:t>
      </w:r>
      <w:r>
        <w:rPr>
          <w:rFonts w:cs="Arial"/>
          <w:color w:val="000000" w:themeColor="text1"/>
          <w:szCs w:val="20"/>
        </w:rPr>
        <w:t>)</w:t>
      </w:r>
      <w:r w:rsidRPr="006A7B85">
        <w:rPr>
          <w:color w:val="000000" w:themeColor="text1"/>
        </w:rPr>
        <w:t xml:space="preserve"> a osob bez vzdělání měl Ústecký a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Karlovarský kraj. Stejně jako v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Praze, tak i v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ostatních městech nad 100</w:t>
      </w:r>
      <w:r w:rsidR="00712472">
        <w:rPr>
          <w:color w:val="000000" w:themeColor="text1"/>
        </w:rPr>
        <w:t> </w:t>
      </w:r>
      <w:r>
        <w:rPr>
          <w:rFonts w:cs="Arial"/>
          <w:color w:val="000000" w:themeColor="text1"/>
          <w:szCs w:val="20"/>
        </w:rPr>
        <w:t>tisíc obyvatel</w:t>
      </w:r>
      <w:r w:rsidRPr="006A7B85">
        <w:rPr>
          <w:color w:val="000000" w:themeColor="text1"/>
        </w:rPr>
        <w:t xml:space="preserve"> byl podíl vysokoškolsky vzdělaných lidí nad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celorepublikovým průměrem.</w:t>
      </w:r>
    </w:p>
    <w:p w:rsidR="00EB121C" w:rsidRPr="006A7B85" w:rsidRDefault="00EB121C" w:rsidP="00EB121C">
      <w:pPr>
        <w:spacing w:after="120"/>
        <w:jc w:val="both"/>
        <w:rPr>
          <w:color w:val="000000" w:themeColor="text1"/>
        </w:rPr>
      </w:pPr>
      <w:r w:rsidRPr="006A7B85">
        <w:rPr>
          <w:color w:val="000000" w:themeColor="text1"/>
        </w:rPr>
        <w:t>Další zjišťované údaje a z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nich publikované výstupy se týkaly ekonomických charakteristik obyvatelstva. V celkovém pohledu došlo za poslední dekádu k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nárůstu počtu osob zahrnutých mezi pracovní sílu (zaměstnaných a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nezaměstnaných) na téměř 5,6</w:t>
      </w:r>
      <w:r w:rsidR="00712472">
        <w:rPr>
          <w:color w:val="000000" w:themeColor="text1"/>
        </w:rPr>
        <w:t> </w:t>
      </w:r>
      <w:r w:rsidRPr="006A7B85">
        <w:rPr>
          <w:color w:val="000000" w:themeColor="text1"/>
        </w:rPr>
        <w:t>milionu, což odpovídá 53,5</w:t>
      </w:r>
      <w:r w:rsidR="001705B1">
        <w:rPr>
          <w:color w:val="000000" w:themeColor="text1"/>
        </w:rPr>
        <w:t> %</w:t>
      </w:r>
      <w:r w:rsidRPr="006A7B85">
        <w:rPr>
          <w:color w:val="000000" w:themeColor="text1"/>
        </w:rPr>
        <w:t xml:space="preserve"> obyvatel se zjištěnou ekonomickou aktivitou. Za posledních deset let </w:t>
      </w:r>
      <w:r>
        <w:rPr>
          <w:rFonts w:cs="Arial"/>
          <w:color w:val="000000" w:themeColor="text1"/>
          <w:szCs w:val="20"/>
        </w:rPr>
        <w:t>výrazně (o</w:t>
      </w:r>
      <w:r w:rsidRPr="006A7B85">
        <w:rPr>
          <w:color w:val="000000" w:themeColor="text1"/>
        </w:rPr>
        <w:t xml:space="preserve"> více než </w:t>
      </w:r>
      <w:r>
        <w:rPr>
          <w:rFonts w:cs="Arial"/>
          <w:color w:val="000000" w:themeColor="text1"/>
          <w:szCs w:val="20"/>
        </w:rPr>
        <w:t>330</w:t>
      </w:r>
      <w:r w:rsidR="00712472">
        <w:rPr>
          <w:rFonts w:cs="Arial"/>
          <w:color w:val="000000" w:themeColor="text1"/>
          <w:szCs w:val="20"/>
        </w:rPr>
        <w:t> </w:t>
      </w:r>
      <w:r>
        <w:rPr>
          <w:rFonts w:cs="Arial"/>
          <w:color w:val="000000" w:themeColor="text1"/>
          <w:szCs w:val="20"/>
        </w:rPr>
        <w:t>tisíc) stoupl</w:t>
      </w:r>
      <w:r w:rsidRPr="006A7B85">
        <w:rPr>
          <w:color w:val="000000" w:themeColor="text1"/>
        </w:rPr>
        <w:t xml:space="preserve"> počet pracujících důchodců, kterých bylo </w:t>
      </w:r>
      <w:r>
        <w:rPr>
          <w:rFonts w:cs="Arial"/>
          <w:color w:val="000000" w:themeColor="text1"/>
          <w:szCs w:val="20"/>
        </w:rPr>
        <w:t>v roce 2021 sečteno</w:t>
      </w:r>
      <w:r w:rsidRPr="006A7B85">
        <w:rPr>
          <w:color w:val="000000" w:themeColor="text1"/>
        </w:rPr>
        <w:t xml:space="preserve"> necelých 566 tisíc. Mimo pracovní sílu bylo zahrnuto 46,5</w:t>
      </w:r>
      <w:r w:rsidR="001705B1">
        <w:rPr>
          <w:color w:val="000000" w:themeColor="text1"/>
        </w:rPr>
        <w:t> %</w:t>
      </w:r>
      <w:r w:rsidRPr="006A7B85">
        <w:rPr>
          <w:color w:val="000000" w:themeColor="text1"/>
        </w:rPr>
        <w:t xml:space="preserve"> osob se zjištěnou ekonomickou aktivitou, z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toho polovinu tvořili nepracující důchodci a necelou třetinu žáci a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 xml:space="preserve">studenti. 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</w:rPr>
      </w:pPr>
      <w:r w:rsidRPr="006A7B85">
        <w:rPr>
          <w:rFonts w:ascii="Arial" w:hAnsi="Arial"/>
          <w:color w:val="000000" w:themeColor="text1"/>
          <w:sz w:val="20"/>
        </w:rPr>
        <w:t>Většina zaměstnaných pracovala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postavení zaměstnance (76,1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). Jako OSVČ pracovalo </w:t>
      </w:r>
      <w:r w:rsidRPr="006A7B85">
        <w:rPr>
          <w:rFonts w:ascii="Arial" w:hAnsi="Arial"/>
          <w:color w:val="000000" w:themeColor="text1"/>
          <w:sz w:val="20"/>
          <w:lang w:val="en-GB"/>
        </w:rPr>
        <w:t>13,6</w:t>
      </w:r>
      <w:r w:rsidR="001705B1">
        <w:rPr>
          <w:rFonts w:ascii="Arial" w:hAnsi="Arial"/>
          <w:color w:val="000000" w:themeColor="text1"/>
          <w:sz w:val="20"/>
          <w:lang w:val="en-GB"/>
        </w:rPr>
        <w:t> %</w:t>
      </w:r>
      <w:r w:rsidRPr="006A7B85">
        <w:rPr>
          <w:rFonts w:ascii="Arial" w:hAnsi="Arial"/>
          <w:color w:val="000000" w:themeColor="text1"/>
          <w:sz w:val="20"/>
          <w:lang w:val="en-GB"/>
        </w:rPr>
        <w:t xml:space="preserve"> </w:t>
      </w:r>
      <w:r w:rsidRPr="006A7B85">
        <w:rPr>
          <w:rFonts w:ascii="Arial" w:hAnsi="Arial"/>
          <w:color w:val="000000" w:themeColor="text1"/>
          <w:sz w:val="20"/>
        </w:rPr>
        <w:t>zaměstnaných a jen 1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osob zaměstnávalo v rám</w:t>
      </w:r>
      <w:r w:rsidR="002D1D6B">
        <w:rPr>
          <w:rFonts w:ascii="Arial" w:hAnsi="Arial"/>
          <w:color w:val="000000" w:themeColor="text1"/>
          <w:sz w:val="20"/>
        </w:rPr>
        <w:t>ci svého podnikání další osoby.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  <w:highlight w:val="yellow"/>
        </w:rPr>
      </w:pPr>
      <w:r w:rsidRPr="006A7B85">
        <w:rPr>
          <w:rFonts w:ascii="Arial" w:hAnsi="Arial"/>
          <w:color w:val="000000" w:themeColor="text1"/>
          <w:sz w:val="20"/>
        </w:rPr>
        <w:t>Více než čtvrtina, konkrétně 27,5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zaměstnaných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Česku, u kterých se podařilo zjistit odvětví ekonomické činnosti jejich zaměstnavatele, pracovala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průmyslu.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zemědělství, lesnictví a rybářství pracovalo pouze 3,2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ze všech zaměstnaných se zjištěným odvětvím ekonomické činnosti. Patrné jsou rozdíly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regionálním rozložení jednotlivých odvětví. Zemědělství bylo doménou menších měst a obcí, v</w:t>
      </w:r>
      <w:r w:rsidRPr="007D67A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těch nejmenších do 199 obyvatel v</w:t>
      </w:r>
      <w:r w:rsidRPr="007D67A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 xml:space="preserve">něm pracovalo </w:t>
      </w:r>
      <w:r>
        <w:rPr>
          <w:rFonts w:ascii="Arial" w:hAnsi="Arial" w:cs="Arial"/>
          <w:color w:val="000000" w:themeColor="text1"/>
          <w:sz w:val="20"/>
          <w:szCs w:val="20"/>
        </w:rPr>
        <w:t>téměř 13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zaměstnaných. Pro srovnání naopak v</w:t>
      </w:r>
      <w:r w:rsidRPr="007D67A9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největších městech pouze necelé 1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>. Průmysl měl největší podíl ve městech střední velikosti. Jednou z</w:t>
      </w:r>
      <w:r w:rsidRPr="009955B1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mnoha zajímavostí je</w:t>
      </w:r>
      <w:r w:rsidRPr="009955B1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 xml:space="preserve">mimo jiné to, že každý desátý </w:t>
      </w:r>
      <w:r>
        <w:rPr>
          <w:rFonts w:ascii="Arial" w:hAnsi="Arial" w:cs="Arial"/>
          <w:color w:val="000000" w:themeColor="text1"/>
          <w:sz w:val="20"/>
          <w:szCs w:val="20"/>
        </w:rPr>
        <w:t>pracující</w:t>
      </w:r>
      <w:r w:rsidRPr="006A7B85">
        <w:rPr>
          <w:rFonts w:ascii="Arial" w:hAnsi="Arial"/>
          <w:color w:val="000000" w:themeColor="text1"/>
          <w:sz w:val="20"/>
        </w:rPr>
        <w:t xml:space="preserve"> v </w:t>
      </w:r>
      <w:r>
        <w:rPr>
          <w:rFonts w:ascii="Arial" w:hAnsi="Arial" w:cs="Arial"/>
          <w:color w:val="000000" w:themeColor="text1"/>
          <w:sz w:val="20"/>
          <w:szCs w:val="20"/>
        </w:rPr>
        <w:t>Praze</w:t>
      </w:r>
      <w:r w:rsidRPr="009955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byl</w:t>
      </w:r>
      <w:r w:rsidRPr="009955B1">
        <w:rPr>
          <w:rFonts w:ascii="Arial" w:hAnsi="Arial" w:cs="Arial"/>
          <w:color w:val="000000" w:themeColor="text1"/>
          <w:sz w:val="20"/>
          <w:szCs w:val="20"/>
        </w:rPr>
        <w:t xml:space="preserve"> v </w:t>
      </w:r>
      <w:r w:rsidRPr="006A7B85">
        <w:rPr>
          <w:rFonts w:ascii="Arial" w:hAnsi="Arial"/>
          <w:color w:val="000000" w:themeColor="text1"/>
          <w:sz w:val="20"/>
        </w:rPr>
        <w:t>odvětví informačních a komunikačních činností.</w:t>
      </w:r>
    </w:p>
    <w:p w:rsidR="00EB121C" w:rsidRPr="006A7B85" w:rsidRDefault="00EB121C" w:rsidP="00EB121C">
      <w:pPr>
        <w:spacing w:after="120"/>
        <w:jc w:val="both"/>
        <w:rPr>
          <w:color w:val="000000" w:themeColor="text1"/>
          <w:highlight w:val="yellow"/>
        </w:rPr>
      </w:pPr>
      <w:r w:rsidRPr="006A7B85">
        <w:rPr>
          <w:color w:val="000000" w:themeColor="text1"/>
        </w:rPr>
        <w:t>Otázka na náboženskou víru byla dobrovolná</w:t>
      </w:r>
      <w:r>
        <w:rPr>
          <w:rFonts w:cs="Arial"/>
          <w:color w:val="000000" w:themeColor="text1"/>
          <w:szCs w:val="20"/>
        </w:rPr>
        <w:t>, možnost</w:t>
      </w:r>
      <w:r w:rsidRPr="006A7B85">
        <w:rPr>
          <w:color w:val="000000" w:themeColor="text1"/>
        </w:rPr>
        <w:t xml:space="preserve"> neodpovědět využilo 30</w:t>
      </w:r>
      <w:r w:rsidR="001705B1">
        <w:rPr>
          <w:color w:val="000000" w:themeColor="text1"/>
        </w:rPr>
        <w:t> %</w:t>
      </w:r>
      <w:r w:rsidRPr="006A7B85">
        <w:rPr>
          <w:color w:val="000000" w:themeColor="text1"/>
        </w:rPr>
        <w:t xml:space="preserve"> osob. Příslušnost k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církvi či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náboženské společnosti deklarovalo necelých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1,4</w:t>
      </w:r>
      <w:r>
        <w:rPr>
          <w:rFonts w:cs="Arial"/>
          <w:bCs/>
          <w:color w:val="000000" w:themeColor="text1"/>
          <w:szCs w:val="20"/>
        </w:rPr>
        <w:t> </w:t>
      </w:r>
      <w:r w:rsidRPr="006A7B85">
        <w:rPr>
          <w:color w:val="000000" w:themeColor="text1"/>
        </w:rPr>
        <w:t>milionu</w:t>
      </w:r>
      <w:r>
        <w:rPr>
          <w:rFonts w:cs="Arial"/>
          <w:bCs/>
          <w:color w:val="000000" w:themeColor="text1"/>
          <w:szCs w:val="20"/>
        </w:rPr>
        <w:t> </w:t>
      </w:r>
      <w:r w:rsidRPr="006A7B85">
        <w:rPr>
          <w:color w:val="000000" w:themeColor="text1"/>
        </w:rPr>
        <w:t>obyvatel</w:t>
      </w:r>
      <w:r>
        <w:rPr>
          <w:rFonts w:cs="Arial"/>
          <w:color w:val="000000" w:themeColor="text1"/>
          <w:szCs w:val="20"/>
        </w:rPr>
        <w:t>,</w:t>
      </w:r>
      <w:r w:rsidRPr="006A7B85">
        <w:rPr>
          <w:color w:val="000000" w:themeColor="text1"/>
        </w:rPr>
        <w:t xml:space="preserve"> naopak odpověď bez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náboženské víry zvolilo více než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>5</w:t>
      </w:r>
      <w:r>
        <w:rPr>
          <w:rFonts w:cs="Arial"/>
          <w:bCs/>
          <w:color w:val="000000" w:themeColor="text1"/>
          <w:szCs w:val="20"/>
        </w:rPr>
        <w:t> </w:t>
      </w:r>
      <w:r w:rsidRPr="006A7B85">
        <w:rPr>
          <w:color w:val="000000" w:themeColor="text1"/>
        </w:rPr>
        <w:t>milionu</w:t>
      </w:r>
      <w:r>
        <w:rPr>
          <w:rFonts w:cs="Arial"/>
          <w:bCs/>
          <w:color w:val="000000" w:themeColor="text1"/>
          <w:szCs w:val="20"/>
        </w:rPr>
        <w:t> </w:t>
      </w:r>
      <w:r w:rsidRPr="006A7B85">
        <w:rPr>
          <w:color w:val="000000" w:themeColor="text1"/>
        </w:rPr>
        <w:t>obyvatel</w:t>
      </w:r>
      <w:r>
        <w:rPr>
          <w:rFonts w:cs="Arial"/>
          <w:color w:val="000000" w:themeColor="text1"/>
          <w:szCs w:val="20"/>
        </w:rPr>
        <w:t xml:space="preserve">. </w:t>
      </w:r>
      <w:r w:rsidRPr="009F389A">
        <w:rPr>
          <w:rFonts w:cs="Arial"/>
          <w:color w:val="000000" w:themeColor="text1"/>
          <w:szCs w:val="20"/>
        </w:rPr>
        <w:t xml:space="preserve">Z </w:t>
      </w:r>
      <w:r>
        <w:rPr>
          <w:rFonts w:cs="Arial"/>
          <w:color w:val="000000" w:themeColor="text1"/>
          <w:szCs w:val="20"/>
        </w:rPr>
        <w:t>konkrétních uváděných</w:t>
      </w:r>
      <w:r w:rsidRPr="009F389A">
        <w:rPr>
          <w:rFonts w:cs="Arial"/>
          <w:color w:val="000000" w:themeColor="text1"/>
          <w:szCs w:val="20"/>
        </w:rPr>
        <w:t xml:space="preserve"> církví </w:t>
      </w:r>
      <w:r>
        <w:rPr>
          <w:rFonts w:cs="Arial"/>
          <w:color w:val="000000" w:themeColor="text1"/>
          <w:szCs w:val="20"/>
        </w:rPr>
        <w:t xml:space="preserve">nebo náboženských společností </w:t>
      </w:r>
      <w:r w:rsidRPr="009F389A">
        <w:rPr>
          <w:rFonts w:cs="Arial"/>
          <w:color w:val="000000" w:themeColor="text1"/>
          <w:szCs w:val="20"/>
        </w:rPr>
        <w:t>byla</w:t>
      </w:r>
      <w:r w:rsidRPr="006A7B85">
        <w:rPr>
          <w:color w:val="000000" w:themeColor="text1"/>
        </w:rPr>
        <w:t xml:space="preserve"> nejvíce </w:t>
      </w:r>
      <w:r w:rsidRPr="009F389A">
        <w:rPr>
          <w:rFonts w:cs="Arial"/>
          <w:color w:val="000000" w:themeColor="text1"/>
          <w:szCs w:val="20"/>
        </w:rPr>
        <w:t xml:space="preserve">zastoupena Církev </w:t>
      </w:r>
      <w:r w:rsidRPr="006A7B85">
        <w:rPr>
          <w:color w:val="000000" w:themeColor="text1"/>
        </w:rPr>
        <w:t>římskokatolická (741</w:t>
      </w:r>
      <w:r>
        <w:rPr>
          <w:rFonts w:cs="Arial"/>
          <w:bCs/>
          <w:color w:val="000000" w:themeColor="text1"/>
          <w:szCs w:val="20"/>
        </w:rPr>
        <w:t> </w:t>
      </w:r>
      <w:r w:rsidRPr="006A7B85">
        <w:rPr>
          <w:color w:val="000000" w:themeColor="text1"/>
        </w:rPr>
        <w:t>tisíc</w:t>
      </w:r>
      <w:r>
        <w:rPr>
          <w:rFonts w:cs="Arial"/>
          <w:color w:val="000000" w:themeColor="text1"/>
          <w:szCs w:val="20"/>
        </w:rPr>
        <w:t>). Přibližně 960</w:t>
      </w:r>
      <w:r w:rsidRPr="006A7B85">
        <w:rPr>
          <w:color w:val="000000" w:themeColor="text1"/>
        </w:rPr>
        <w:t xml:space="preserve"> tisíc</w:t>
      </w:r>
      <w:r>
        <w:rPr>
          <w:rFonts w:cs="Arial"/>
          <w:color w:val="000000" w:themeColor="text1"/>
          <w:szCs w:val="20"/>
        </w:rPr>
        <w:t xml:space="preserve"> osob</w:t>
      </w:r>
      <w:r w:rsidRPr="006A7B85">
        <w:rPr>
          <w:color w:val="000000" w:themeColor="text1"/>
        </w:rPr>
        <w:t xml:space="preserve"> se </w:t>
      </w:r>
      <w:r>
        <w:rPr>
          <w:rFonts w:cs="Arial"/>
          <w:color w:val="000000" w:themeColor="text1"/>
          <w:szCs w:val="20"/>
        </w:rPr>
        <w:t>označilo za věřící</w:t>
      </w:r>
      <w:r w:rsidRPr="006A7B85">
        <w:rPr>
          <w:color w:val="000000" w:themeColor="text1"/>
        </w:rPr>
        <w:t xml:space="preserve">, ale </w:t>
      </w:r>
      <w:r>
        <w:rPr>
          <w:rFonts w:cs="Arial"/>
          <w:color w:val="000000" w:themeColor="text1"/>
          <w:szCs w:val="20"/>
        </w:rPr>
        <w:t>nehlásící</w:t>
      </w:r>
      <w:r w:rsidRPr="006A7B85">
        <w:rPr>
          <w:color w:val="000000" w:themeColor="text1"/>
        </w:rPr>
        <w:t xml:space="preserve"> se</w:t>
      </w:r>
      <w:r>
        <w:rPr>
          <w:rFonts w:cs="Arial"/>
          <w:color w:val="000000" w:themeColor="text1"/>
          <w:szCs w:val="20"/>
        </w:rPr>
        <w:t> </w:t>
      </w:r>
      <w:r w:rsidRPr="006A7B85">
        <w:rPr>
          <w:color w:val="000000" w:themeColor="text1"/>
        </w:rPr>
        <w:t xml:space="preserve">k žádné </w:t>
      </w:r>
      <w:r>
        <w:rPr>
          <w:rFonts w:cs="Arial"/>
          <w:color w:val="000000" w:themeColor="text1"/>
          <w:szCs w:val="20"/>
        </w:rPr>
        <w:t>církvi, náboženské společnosti nebo směru</w:t>
      </w:r>
      <w:r w:rsidRPr="006A7B85">
        <w:rPr>
          <w:color w:val="000000" w:themeColor="text1"/>
        </w:rPr>
        <w:t>.</w:t>
      </w:r>
    </w:p>
    <w:p w:rsidR="00EB121C" w:rsidRDefault="00EB121C" w:rsidP="00EB121C">
      <w:pPr>
        <w:spacing w:after="120"/>
        <w:jc w:val="both"/>
        <w:rPr>
          <w:rFonts w:cs="Arial"/>
          <w:color w:val="000000" w:themeColor="text1"/>
          <w:szCs w:val="20"/>
          <w:shd w:val="clear" w:color="auto" w:fill="FFFFFF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V dobrovolné otázce na národnost se k české národnosti, ať už samostatně nebo v kombinaci s jinou národností, přihlásilo 6,4 milionu osob, k moravské národnosti více než 550 tisíc osob. Z ostatních národností lidé nejčastěji deklarovali slovenskou, ukrajinskou, vietnamskou a polskou. Bez vyplnění nechala tuto otázku necelá třetina dotazovaných.</w:t>
      </w:r>
    </w:p>
    <w:p w:rsidR="00EB121C" w:rsidRPr="006A7B85" w:rsidRDefault="00EB121C" w:rsidP="00EB121C">
      <w:pPr>
        <w:spacing w:after="120"/>
        <w:jc w:val="both"/>
        <w:rPr>
          <w:color w:val="000000" w:themeColor="text1"/>
          <w:sz w:val="22"/>
          <w:highlight w:val="yellow"/>
        </w:rPr>
      </w:pPr>
      <w:r>
        <w:rPr>
          <w:rFonts w:cs="Arial"/>
          <w:color w:val="000000" w:themeColor="text1"/>
          <w:szCs w:val="20"/>
          <w:shd w:val="clear" w:color="auto" w:fill="FFFFFF"/>
        </w:rPr>
        <w:t>Téměř polovina zaměstnaných pracuje v obci svého obvyklého pobytu. Významná je skupina obyvatelstva pracující přímo na adrese obvyklého pobytu (19,6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zaměstnaných). Dalších 21,6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pracuje v jiné obci okresu obvyklého pobytu. Přes 60</w:t>
      </w:r>
      <w:r w:rsidR="001705B1">
        <w:rPr>
          <w:rFonts w:cs="Arial"/>
          <w:color w:val="000000" w:themeColor="text1"/>
          <w:szCs w:val="20"/>
          <w:shd w:val="clear" w:color="auto" w:fill="FFFFFF"/>
        </w:rPr>
        <w:t> %</w:t>
      </w:r>
      <w:r>
        <w:rPr>
          <w:rFonts w:cs="Arial"/>
          <w:color w:val="000000" w:themeColor="text1"/>
          <w:szCs w:val="20"/>
          <w:shd w:val="clear" w:color="auto" w:fill="FFFFFF"/>
        </w:rPr>
        <w:t xml:space="preserve"> žáků a studentů studuje v obci obvyklého pobytu. </w:t>
      </w:r>
      <w:r w:rsidRPr="006A7B85">
        <w:rPr>
          <w:color w:val="000000"/>
          <w:shd w:val="clear" w:color="auto" w:fill="FFFFFF"/>
        </w:rPr>
        <w:t>V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hlavním městě Praze, Jihomoravském, Moravskoslezském, Libereckém a Plzeňském kraji převažují zaměstnaní pracující na jiné adrese v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obci obvyklého pobytu. Dominantní postavení měla Praha, kde podíl osob pracujících v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 xml:space="preserve">obci </w:t>
      </w:r>
      <w:r w:rsidRPr="006A7B85">
        <w:rPr>
          <w:color w:val="000000"/>
          <w:shd w:val="clear" w:color="auto" w:fill="FFFFFF"/>
        </w:rPr>
        <w:lastRenderedPageBreak/>
        <w:t xml:space="preserve">obvyklého pobytu přesáhl </w:t>
      </w:r>
      <w:r>
        <w:rPr>
          <w:rFonts w:cs="Arial"/>
          <w:color w:val="000000"/>
          <w:szCs w:val="20"/>
          <w:shd w:val="clear" w:color="auto" w:fill="FFFFFF"/>
        </w:rPr>
        <w:t>81</w:t>
      </w:r>
      <w:r w:rsidR="001705B1">
        <w:rPr>
          <w:color w:val="000000"/>
          <w:shd w:val="clear" w:color="auto" w:fill="FFFFFF"/>
        </w:rPr>
        <w:t> %</w:t>
      </w:r>
      <w:r w:rsidRPr="006A7B85">
        <w:rPr>
          <w:color w:val="000000"/>
          <w:shd w:val="clear" w:color="auto" w:fill="FFFFFF"/>
        </w:rPr>
        <w:t xml:space="preserve"> všech zaměstnaných se zjištěným místem pracoviště. Ovlivněno je to mimo jiné tím, že Praha je zároveň obcí, okresem a krajem. Významný podíl zaměstnaných vyjíždějících za prací do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zahraničí vykazovaly kraje na hranicích s Německem, případně Rakouskem. Vůbec nejvyšší podíl zaměstnaných v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zahraničí žije v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Karlovarském kraji</w:t>
      </w:r>
      <w:r>
        <w:rPr>
          <w:rFonts w:cs="Arial"/>
          <w:color w:val="000000"/>
          <w:szCs w:val="20"/>
          <w:shd w:val="clear" w:color="auto" w:fill="FFFFFF"/>
        </w:rPr>
        <w:t xml:space="preserve"> (8,8</w:t>
      </w:r>
      <w:r w:rsidR="001705B1">
        <w:rPr>
          <w:rFonts w:cs="Arial"/>
          <w:color w:val="000000"/>
          <w:szCs w:val="20"/>
          <w:shd w:val="clear" w:color="auto" w:fill="FFFFFF"/>
        </w:rPr>
        <w:t> %</w:t>
      </w:r>
      <w:r>
        <w:rPr>
          <w:rFonts w:cs="Arial"/>
          <w:color w:val="000000"/>
          <w:szCs w:val="20"/>
          <w:shd w:val="clear" w:color="auto" w:fill="FFFFFF"/>
        </w:rPr>
        <w:t>).</w:t>
      </w:r>
    </w:p>
    <w:p w:rsidR="00EB121C" w:rsidRPr="006A7B85" w:rsidRDefault="00EB121C" w:rsidP="00EB121C">
      <w:pPr>
        <w:spacing w:after="120"/>
        <w:jc w:val="both"/>
        <w:rPr>
          <w:color w:val="000000"/>
        </w:rPr>
      </w:pPr>
      <w:r w:rsidRPr="006A7B85">
        <w:rPr>
          <w:color w:val="000000"/>
        </w:rPr>
        <w:t>Ve všech krajích převažují žáci a studenti studující na jiné adrese v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obci obvyklého pobytu</w:t>
      </w:r>
      <w:r>
        <w:rPr>
          <w:rFonts w:cs="Arial"/>
          <w:color w:val="000000"/>
          <w:szCs w:val="20"/>
        </w:rPr>
        <w:t>, nejvíce</w:t>
      </w:r>
      <w:r w:rsidRPr="006A7B85">
        <w:rPr>
          <w:color w:val="000000"/>
        </w:rPr>
        <w:t xml:space="preserve"> v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Praze (95</w:t>
      </w:r>
      <w:r w:rsidR="001705B1">
        <w:rPr>
          <w:color w:val="000000"/>
        </w:rPr>
        <w:t> %</w:t>
      </w:r>
      <w:r w:rsidRPr="006A7B85">
        <w:rPr>
          <w:color w:val="000000"/>
        </w:rPr>
        <w:t xml:space="preserve"> všech žáků se zjištěným místem školy). Z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ostatních krajů byl tento podíl nejvyšší v Moravskoslezském kraji (více než 65</w:t>
      </w:r>
      <w:r w:rsidR="001705B1">
        <w:rPr>
          <w:color w:val="000000"/>
        </w:rPr>
        <w:t> %</w:t>
      </w:r>
      <w:r w:rsidRPr="006A7B85">
        <w:rPr>
          <w:color w:val="000000"/>
        </w:rPr>
        <w:t>), zatímco nejnižší ve Středočeském kraji (přibližně 45</w:t>
      </w:r>
      <w:r w:rsidR="001705B1">
        <w:rPr>
          <w:color w:val="000000"/>
        </w:rPr>
        <w:t> %</w:t>
      </w:r>
      <w:r w:rsidRPr="006A7B85">
        <w:rPr>
          <w:color w:val="000000"/>
        </w:rPr>
        <w:t>). Středočeský kraj měl naopak nejvyšší zastoupení v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části populace studující v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jiném kraji (téměř 22</w:t>
      </w:r>
      <w:r w:rsidR="001705B1">
        <w:rPr>
          <w:color w:val="000000"/>
        </w:rPr>
        <w:t> %</w:t>
      </w:r>
      <w:r w:rsidRPr="006A7B85">
        <w:rPr>
          <w:color w:val="000000"/>
        </w:rPr>
        <w:t>).</w:t>
      </w:r>
    </w:p>
    <w:p w:rsidR="00EB121C" w:rsidRPr="006A7B85" w:rsidRDefault="00EB121C" w:rsidP="00EB121C">
      <w:pPr>
        <w:spacing w:after="120"/>
        <w:jc w:val="both"/>
        <w:rPr>
          <w:color w:val="000000"/>
          <w:highlight w:val="yellow"/>
        </w:rPr>
      </w:pPr>
      <w:r w:rsidRPr="006A7B85">
        <w:rPr>
          <w:color w:val="000000"/>
        </w:rPr>
        <w:t>Nejčastěji používaným</w:t>
      </w:r>
      <w:r>
        <w:rPr>
          <w:rFonts w:cs="Arial"/>
          <w:color w:val="000000"/>
          <w:szCs w:val="20"/>
        </w:rPr>
        <w:t xml:space="preserve"> hlavním</w:t>
      </w:r>
      <w:r w:rsidRPr="006A7B85">
        <w:rPr>
          <w:color w:val="000000"/>
        </w:rPr>
        <w:t xml:space="preserve"> dopravním prostředkem pro cesty do zaměstnání a škol byl na republikové úrovni automobil řízený vyjíždějící osobou</w:t>
      </w:r>
      <w:r>
        <w:rPr>
          <w:rFonts w:cs="Arial"/>
          <w:color w:val="000000"/>
          <w:szCs w:val="20"/>
        </w:rPr>
        <w:t>.</w:t>
      </w:r>
      <w:r w:rsidRPr="006A7B85">
        <w:rPr>
          <w:color w:val="000000"/>
        </w:rPr>
        <w:t xml:space="preserve"> Využití automobilu a autobusu klesá s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narůstající velikostí obce a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na úrovni největších měst se</w:t>
      </w:r>
      <w:r w:rsidRPr="00741450"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nejvyužívanějším dopravním prostředkem stala městská hromadná doprava (MHD). Pěšky nejčastěji lidé dochází do práce či školy v obcích střední velikosti, tj. v kategorii od 10 do 50 tisíc obyvatel.</w:t>
      </w:r>
    </w:p>
    <w:p w:rsidR="00EB121C" w:rsidRPr="006A7B85" w:rsidRDefault="00EB121C" w:rsidP="00EB121C">
      <w:pPr>
        <w:spacing w:after="120"/>
        <w:jc w:val="both"/>
        <w:rPr>
          <w:color w:val="000000"/>
        </w:rPr>
      </w:pPr>
      <w:r w:rsidRPr="006A7B85">
        <w:rPr>
          <w:color w:val="000000"/>
        </w:rPr>
        <w:t xml:space="preserve">Odlišnému využívání dopravních prostředků podle velikostních skupin obcí nad 100 tisíci </w:t>
      </w:r>
      <w:r>
        <w:rPr>
          <w:rFonts w:cs="Arial"/>
          <w:color w:val="000000"/>
          <w:szCs w:val="20"/>
        </w:rPr>
        <w:t>obyvatel</w:t>
      </w:r>
      <w:r w:rsidRPr="006A7B85">
        <w:rPr>
          <w:color w:val="000000"/>
        </w:rPr>
        <w:t xml:space="preserve"> odpovídá i rozdílné postavení hlavního města ve srovnání s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 xml:space="preserve">ostatními kraji. Nejčastějším dopravním prostředkem byla dle zpracovaných odpovědí </w:t>
      </w:r>
      <w:r>
        <w:rPr>
          <w:rFonts w:cs="Arial"/>
          <w:color w:val="000000"/>
          <w:szCs w:val="20"/>
        </w:rPr>
        <w:t>městská hromadná doprava</w:t>
      </w:r>
      <w:r w:rsidRPr="006A7B85">
        <w:rPr>
          <w:color w:val="000000"/>
        </w:rPr>
        <w:t>.</w:t>
      </w:r>
    </w:p>
    <w:p w:rsidR="00336FCE" w:rsidRDefault="00EB121C" w:rsidP="00EB121C">
      <w:pPr>
        <w:spacing w:after="120"/>
        <w:jc w:val="both"/>
      </w:pPr>
      <w:r w:rsidRPr="006A7B85">
        <w:rPr>
          <w:color w:val="000000"/>
        </w:rPr>
        <w:t>Mezi 4,4 miliony žen ve věku 15 a více let se zjištěným počtem živě narozených dětí bylo 1,9 milionu žen se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dvěma dětmi a z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celku tak tvořily 43,2</w:t>
      </w:r>
      <w:r w:rsidR="001705B1">
        <w:rPr>
          <w:color w:val="000000"/>
        </w:rPr>
        <w:t> %</w:t>
      </w:r>
      <w:r w:rsidRPr="006A7B85">
        <w:rPr>
          <w:color w:val="000000"/>
        </w:rPr>
        <w:t>. Počet bezdětných žen dosáhl téměř 1 milionu a představoval podíl 22,5</w:t>
      </w:r>
      <w:r w:rsidR="001705B1">
        <w:rPr>
          <w:color w:val="000000"/>
        </w:rPr>
        <w:t> %</w:t>
      </w:r>
      <w:r w:rsidRPr="006A7B85">
        <w:rPr>
          <w:color w:val="000000"/>
        </w:rPr>
        <w:t>. Třetí nejvyšší zastoupení pak měly ženy s</w:t>
      </w:r>
      <w:r>
        <w:rPr>
          <w:rFonts w:cs="Arial"/>
          <w:color w:val="000000"/>
          <w:szCs w:val="20"/>
        </w:rPr>
        <w:t> </w:t>
      </w:r>
      <w:r w:rsidRPr="006A7B85">
        <w:rPr>
          <w:color w:val="000000"/>
        </w:rPr>
        <w:t>jedním živě narozeným dítětem, kterých bylo přes</w:t>
      </w:r>
      <w:r>
        <w:rPr>
          <w:rFonts w:cs="Arial"/>
          <w:color w:val="000000"/>
          <w:szCs w:val="20"/>
        </w:rPr>
        <w:t xml:space="preserve"> </w:t>
      </w:r>
      <w:r w:rsidRPr="006A7B85">
        <w:rPr>
          <w:color w:val="000000"/>
        </w:rPr>
        <w:t xml:space="preserve">0,8 milionu. Průměrný počet živě narozených dětí připadající na jednu ženu ve věku 15 a více let se zjištěným počtem dětí dosáhl hodnoty 1,57. </w:t>
      </w:r>
      <w:r w:rsidRPr="006A7B85">
        <w:rPr>
          <w:color w:val="000000"/>
          <w:shd w:val="clear" w:color="auto" w:fill="FFFFFF"/>
        </w:rPr>
        <w:t>Ženy se dvěma dětmi tvořily nejčetnější skupinu žen ve věku 15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6A7B85">
        <w:rPr>
          <w:color w:val="000000"/>
          <w:shd w:val="clear" w:color="auto" w:fill="FFFFFF"/>
        </w:rPr>
        <w:t>a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6A7B85">
        <w:rPr>
          <w:color w:val="000000"/>
          <w:shd w:val="clear" w:color="auto" w:fill="FFFFFF"/>
        </w:rPr>
        <w:t xml:space="preserve">více let se zjištěným počtem dětí ve všech krajích. Nejnižší hodnoty dosáhl </w:t>
      </w:r>
      <w:r>
        <w:rPr>
          <w:rFonts w:cs="Arial"/>
          <w:color w:val="000000"/>
          <w:szCs w:val="20"/>
          <w:shd w:val="clear" w:color="auto" w:fill="FFFFFF"/>
        </w:rPr>
        <w:t xml:space="preserve">tento </w:t>
      </w:r>
      <w:r w:rsidRPr="006A7B85">
        <w:rPr>
          <w:color w:val="000000"/>
          <w:shd w:val="clear" w:color="auto" w:fill="FFFFFF"/>
        </w:rPr>
        <w:t>podíl v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hlavním městě Praze, a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to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35,4</w:t>
      </w:r>
      <w:r w:rsidR="001705B1">
        <w:rPr>
          <w:rFonts w:cs="Arial"/>
          <w:color w:val="000000"/>
          <w:szCs w:val="20"/>
          <w:shd w:val="clear" w:color="auto" w:fill="FFFFFF"/>
        </w:rPr>
        <w:t> %</w:t>
      </w:r>
      <w:r w:rsidRPr="006A7B85">
        <w:rPr>
          <w:color w:val="000000"/>
          <w:shd w:val="clear" w:color="auto" w:fill="FFFFFF"/>
        </w:rPr>
        <w:t>. Druhý nejnižší podíl byl zaznamenán v</w:t>
      </w:r>
      <w:r>
        <w:rPr>
          <w:rFonts w:cs="Arial"/>
          <w:color w:val="000000"/>
          <w:szCs w:val="20"/>
          <w:shd w:val="clear" w:color="auto" w:fill="FFFFFF"/>
        </w:rPr>
        <w:t> </w:t>
      </w:r>
      <w:r w:rsidRPr="006A7B85">
        <w:rPr>
          <w:color w:val="000000"/>
          <w:shd w:val="clear" w:color="auto" w:fill="FFFFFF"/>
        </w:rPr>
        <w:t>Karlovarském kraji (41,5</w:t>
      </w:r>
      <w:r w:rsidR="001705B1">
        <w:rPr>
          <w:color w:val="000000"/>
          <w:shd w:val="clear" w:color="auto" w:fill="FFFFFF"/>
        </w:rPr>
        <w:t> %</w:t>
      </w:r>
      <w:r w:rsidRPr="006A7B85">
        <w:rPr>
          <w:color w:val="000000"/>
          <w:shd w:val="clear" w:color="auto" w:fill="FFFFFF"/>
        </w:rPr>
        <w:t>), naopak ten nejvyšší byl v Královéhradeckém kraji (přes 46</w:t>
      </w:r>
      <w:r w:rsidR="001705B1">
        <w:rPr>
          <w:color w:val="000000"/>
          <w:shd w:val="clear" w:color="auto" w:fill="FFFFFF"/>
        </w:rPr>
        <w:t> %</w:t>
      </w:r>
      <w:r w:rsidRPr="006A7B85">
        <w:rPr>
          <w:color w:val="000000"/>
          <w:shd w:val="clear" w:color="auto" w:fill="FFFFFF"/>
        </w:rPr>
        <w:t>). Skupinu s druhým nejvyšším zastoupením mezi ženami staršími 15 let představovaly ženy bezdětné ve všech krajích vyjma Karlovarského a Ústeckého, kde to byly ženy s jedním dítětem</w:t>
      </w:r>
      <w:r>
        <w:rPr>
          <w:rFonts w:cs="Arial"/>
          <w:color w:val="000000"/>
          <w:szCs w:val="20"/>
          <w:shd w:val="clear" w:color="auto" w:fill="FFFFFF"/>
        </w:rPr>
        <w:t>.</w:t>
      </w:r>
      <w:r w:rsidRPr="006A7B85">
        <w:rPr>
          <w:color w:val="000000"/>
          <w:shd w:val="clear" w:color="auto" w:fill="FFFFFF"/>
        </w:rPr>
        <w:t xml:space="preserve"> Podíl bezdětných žen mělo ze všech krajů nejvyšší hlavní město Praha (33,1</w:t>
      </w:r>
      <w:r w:rsidR="001705B1">
        <w:rPr>
          <w:color w:val="000000"/>
          <w:shd w:val="clear" w:color="auto" w:fill="FFFFFF"/>
        </w:rPr>
        <w:t> %</w:t>
      </w:r>
      <w:r w:rsidRPr="006A7B85">
        <w:rPr>
          <w:color w:val="000000"/>
          <w:shd w:val="clear" w:color="auto" w:fill="FFFFFF"/>
        </w:rPr>
        <w:t>) a naopak nejnižší Karlovarský kraj (19,8</w:t>
      </w:r>
      <w:r w:rsidR="001705B1">
        <w:rPr>
          <w:color w:val="000000"/>
          <w:shd w:val="clear" w:color="auto" w:fill="FFFFFF"/>
        </w:rPr>
        <w:t> %</w:t>
      </w:r>
      <w:r w:rsidRPr="006A7B85">
        <w:rPr>
          <w:color w:val="000000"/>
          <w:shd w:val="clear" w:color="auto" w:fill="FFFFFF"/>
        </w:rPr>
        <w:t>).</w:t>
      </w:r>
    </w:p>
    <w:p w:rsidR="00A33A01" w:rsidRPr="001E6497" w:rsidRDefault="00A33A01" w:rsidP="006E329E">
      <w:pPr>
        <w:pStyle w:val="Nadpis2"/>
        <w:spacing w:before="240" w:after="120"/>
        <w:rPr>
          <w:b w:val="0"/>
        </w:rPr>
      </w:pPr>
      <w:bookmarkStart w:id="5" w:name="_Toc134178219"/>
      <w:bookmarkStart w:id="6" w:name="_Toc138754304"/>
      <w:r w:rsidRPr="00C1168A">
        <w:t>Domy</w:t>
      </w:r>
      <w:bookmarkEnd w:id="5"/>
      <w:bookmarkEnd w:id="6"/>
    </w:p>
    <w:p w:rsidR="00EB121C" w:rsidRPr="001E6497" w:rsidRDefault="00712472" w:rsidP="001E6497">
      <w:pPr>
        <w:spacing w:after="120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K 26. 3. </w:t>
      </w:r>
      <w:r w:rsidR="00EB121C" w:rsidRPr="001E6497">
        <w:rPr>
          <w:bCs/>
          <w:color w:val="000000"/>
          <w:shd w:val="clear" w:color="auto" w:fill="FFFFFF"/>
        </w:rPr>
        <w:t>2021 bylo v České republice celkem 2</w:t>
      </w:r>
      <w:r>
        <w:rPr>
          <w:bCs/>
          <w:color w:val="000000"/>
          <w:shd w:val="clear" w:color="auto" w:fill="FFFFFF"/>
        </w:rPr>
        <w:t> </w:t>
      </w:r>
      <w:r w:rsidR="00EB121C" w:rsidRPr="001E6497">
        <w:rPr>
          <w:bCs/>
          <w:color w:val="000000"/>
          <w:shd w:val="clear" w:color="auto" w:fill="FFFFFF"/>
        </w:rPr>
        <w:t>317</w:t>
      </w:r>
      <w:r>
        <w:rPr>
          <w:bCs/>
          <w:color w:val="000000"/>
          <w:shd w:val="clear" w:color="auto" w:fill="FFFFFF"/>
        </w:rPr>
        <w:t> </w:t>
      </w:r>
      <w:r w:rsidR="00EB121C" w:rsidRPr="001E6497">
        <w:rPr>
          <w:bCs/>
          <w:color w:val="000000"/>
          <w:shd w:val="clear" w:color="auto" w:fill="FFFFFF"/>
        </w:rPr>
        <w:t>276 domů. Ve srovnání s předchozím sčítáním v roce 2011 tak </w:t>
      </w:r>
      <w:r>
        <w:rPr>
          <w:bCs/>
          <w:color w:val="000000"/>
          <w:shd w:val="clear" w:color="auto" w:fill="FFFFFF"/>
        </w:rPr>
        <w:t>přibylo více než 159 </w:t>
      </w:r>
      <w:r w:rsidR="00EB121C" w:rsidRPr="001E6497">
        <w:rPr>
          <w:bCs/>
          <w:color w:val="000000"/>
          <w:shd w:val="clear" w:color="auto" w:fill="FFFFFF"/>
        </w:rPr>
        <w:t>tisíc domů.</w:t>
      </w:r>
      <w:r w:rsidR="00EB121C" w:rsidRPr="001E6497">
        <w:rPr>
          <w:b/>
          <w:bCs/>
          <w:color w:val="000000"/>
          <w:shd w:val="clear" w:color="auto" w:fill="FFFFFF"/>
        </w:rPr>
        <w:t xml:space="preserve"> </w:t>
      </w:r>
      <w:r w:rsidR="00EB121C" w:rsidRPr="001E6497">
        <w:rPr>
          <w:color w:val="000000"/>
          <w:shd w:val="clear" w:color="auto" w:fill="FFFFFF"/>
        </w:rPr>
        <w:t>Téměř dva miliony domů v Česku bylo v době sčítání obydlených, neobydlený byl přibližně každý sedmý dům. V relativním vyjádření bylo 84</w:t>
      </w:r>
      <w:r w:rsidR="001705B1">
        <w:rPr>
          <w:color w:val="000000"/>
          <w:shd w:val="clear" w:color="auto" w:fill="FFFFFF"/>
        </w:rPr>
        <w:t> %</w:t>
      </w:r>
      <w:r w:rsidR="00EB121C" w:rsidRPr="001E6497">
        <w:rPr>
          <w:color w:val="000000"/>
          <w:shd w:val="clear" w:color="auto" w:fill="FFFFFF"/>
        </w:rPr>
        <w:t xml:space="preserve"> domů obydlených. Při pohledu na data za jednotlivé kraje byl rozdíl mezi nejvyšší a nejnižší hodnotou obydlenosti přibližně 16 procentních bodů. Maximální podíl – přes 90</w:t>
      </w:r>
      <w:r w:rsidR="001705B1">
        <w:rPr>
          <w:color w:val="000000"/>
          <w:shd w:val="clear" w:color="auto" w:fill="FFFFFF"/>
        </w:rPr>
        <w:t> %</w:t>
      </w:r>
      <w:r w:rsidR="00EB121C" w:rsidRPr="001E6497">
        <w:rPr>
          <w:color w:val="000000"/>
          <w:shd w:val="clear" w:color="auto" w:fill="FFFFFF"/>
        </w:rPr>
        <w:t xml:space="preserve"> – měla Praha a Moravskoslezský kraj. Nad celorepublikovým průměrem byl dále kraj Karlovarský, Jihomoravský, Olomoucký, Ústecký a Zlínský. Méně než 80</w:t>
      </w:r>
      <w:r w:rsidR="001705B1">
        <w:rPr>
          <w:color w:val="000000"/>
          <w:shd w:val="clear" w:color="auto" w:fill="FFFFFF"/>
        </w:rPr>
        <w:t> %</w:t>
      </w:r>
      <w:r w:rsidR="00EB121C" w:rsidRPr="001E6497">
        <w:rPr>
          <w:color w:val="000000"/>
          <w:shd w:val="clear" w:color="auto" w:fill="FFFFFF"/>
        </w:rPr>
        <w:t xml:space="preserve"> obydlených domů měly jen dva kraje – Kraj Vysočina a Jihočeský kraj.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  <w:highlight w:val="yellow"/>
        </w:rPr>
      </w:pPr>
      <w:r w:rsidRPr="006A7B85">
        <w:rPr>
          <w:rFonts w:ascii="Arial" w:hAnsi="Arial"/>
          <w:color w:val="000000" w:themeColor="text1"/>
          <w:sz w:val="20"/>
        </w:rPr>
        <w:t xml:space="preserve">Více než dva miliony domů, tedy naprostou většinu domovního fondu, představují rodinné domy. Bytových domů je </w:t>
      </w:r>
      <w:r>
        <w:rPr>
          <w:rFonts w:ascii="Arial" w:hAnsi="Arial" w:cs="Arial"/>
          <w:color w:val="000000" w:themeColor="text1"/>
          <w:sz w:val="20"/>
          <w:szCs w:val="20"/>
        </w:rPr>
        <w:t>zhruba</w:t>
      </w:r>
      <w:r w:rsidRPr="006A7B85">
        <w:rPr>
          <w:rFonts w:ascii="Arial" w:hAnsi="Arial"/>
          <w:color w:val="000000" w:themeColor="text1"/>
          <w:sz w:val="20"/>
        </w:rPr>
        <w:t xml:space="preserve"> desetkrát méně. 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celkového počtu obydlených domů bylo více než 1,7 milionu rodinných 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více než 207 tisíc bytových. Struktura obydlených domů podle druhu domu je dána zejména charakterem zástavby v</w:t>
      </w:r>
      <w:r w:rsidRPr="00282B1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konkrétním území a souvisí také s</w:t>
      </w:r>
      <w:r w:rsidRPr="00282B1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rozložením podle velikostní skupiny obcí. Se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zvyšující se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velikostí obce roste zastoupení bytových domů a klesá podíl rodinných domů. V</w:t>
      </w:r>
      <w:r w:rsidRPr="00282B1A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územním členění měly výrazně podprůměrné zastoupení rodinných domů kromě Prahy také Karlovarský a Ústecký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kraj</w:t>
      </w:r>
      <w:r w:rsidRPr="006A7B85">
        <w:rPr>
          <w:rFonts w:ascii="Arial" w:hAnsi="Arial"/>
          <w:color w:val="000000" w:themeColor="text1"/>
          <w:sz w:val="20"/>
        </w:rPr>
        <w:t>.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  <w:highlight w:val="yellow"/>
        </w:rPr>
      </w:pPr>
      <w:r w:rsidRPr="006A7B85">
        <w:rPr>
          <w:rFonts w:ascii="Arial" w:hAnsi="Arial"/>
          <w:color w:val="000000" w:themeColor="text1"/>
          <w:sz w:val="20"/>
        </w:rPr>
        <w:t>Nejčastějším vlastníkem domů byly fyzické osoby, které vlastnily téměř 88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všech obydlených domů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Česku. U rodinných domů byla tato hodnota ještě vyšší, a to přes 95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ve všech čtrnácti samosprávných krajích. I v tomto případě platilo, že podíl vlastnického práva fyzických osob klesá s</w:t>
      </w:r>
      <w:r w:rsidRPr="00F11136">
        <w:rPr>
          <w:rFonts w:ascii="Arial" w:hAnsi="Arial" w:cs="Arial"/>
          <w:color w:val="000000" w:themeColor="text1"/>
          <w:sz w:val="20"/>
          <w:szCs w:val="20"/>
        </w:rPr>
        <w:t> </w:t>
      </w:r>
      <w:r>
        <w:rPr>
          <w:rFonts w:ascii="Arial" w:hAnsi="Arial" w:cs="Arial"/>
          <w:color w:val="000000" w:themeColor="text1"/>
          <w:sz w:val="20"/>
          <w:szCs w:val="20"/>
        </w:rPr>
        <w:t>rostoucí</w:t>
      </w:r>
      <w:r w:rsidRPr="006A7B85">
        <w:rPr>
          <w:rFonts w:ascii="Arial" w:hAnsi="Arial"/>
          <w:color w:val="000000" w:themeColor="text1"/>
          <w:sz w:val="20"/>
        </w:rPr>
        <w:t xml:space="preserve"> velikostí obce </w:t>
      </w:r>
      <w:r>
        <w:rPr>
          <w:rFonts w:ascii="Arial" w:hAnsi="Arial" w:cs="Arial"/>
          <w:color w:val="000000" w:themeColor="text1"/>
          <w:sz w:val="20"/>
          <w:szCs w:val="20"/>
        </w:rPr>
        <w:t>ve prospěch</w:t>
      </w:r>
      <w:r w:rsidRPr="006A7B85">
        <w:rPr>
          <w:rFonts w:ascii="Arial" w:hAnsi="Arial"/>
          <w:color w:val="000000" w:themeColor="text1"/>
          <w:sz w:val="20"/>
        </w:rPr>
        <w:t xml:space="preserve"> jiných forem vlastnictví. Druhou nejčetnější formu vlastnictví obydlených domů představovala kategorie spoluvlastnictví vlastníků bytů, která je typická především pro bytové domy. V</w:t>
      </w:r>
      <w:r w:rsidRPr="0092660F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roce 2021 vlastnila obec nebo stát pouze 31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tisíc obydlených domů, což znamenalo podíl zhruba 1,6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. Ještě nižší hodnoty pak měla </w:t>
      </w:r>
      <w:r w:rsidRPr="006A7B85">
        <w:rPr>
          <w:rFonts w:ascii="Arial" w:hAnsi="Arial"/>
          <w:color w:val="000000" w:themeColor="text1"/>
          <w:sz w:val="20"/>
        </w:rPr>
        <w:lastRenderedPageBreak/>
        <w:t>kategorie obydlených domů ve vlastnictví bytového družstva,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celkovém úhrnu přibližně 13 tisíc obydlených domů (cca 0,7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>). Z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územního pohledu se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tomto směru výrazněji odlišovala pouze Praha, Moravskoslezský a Ústecký kraj.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těchto krajích byly ve srovnání s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ostatními významněji zastoupeny obydlené domy právě ve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vlastnictví bytového družstva.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  <w:highlight w:val="yellow"/>
        </w:rPr>
      </w:pPr>
      <w:r w:rsidRPr="006A7B85">
        <w:rPr>
          <w:rFonts w:ascii="Arial" w:hAnsi="Arial"/>
          <w:color w:val="000000" w:themeColor="text1"/>
          <w:sz w:val="20"/>
        </w:rPr>
        <w:t>Struktura obydlených domů podle období výstavby odrážela nejen novou výstavbu ve sledovaných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obdobích, ale i intenzitu rekonstrukcí starších domů. Více než polovina domovního fondu byla postavena nebo zásadně rekonstruována po roce 1970,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 xml:space="preserve">desetiletí po roce 2011 to bylo úhrnem přes 200 tisíc staveb. Průměrné stáří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obydlených </w:t>
      </w:r>
      <w:r w:rsidRPr="006A7B85">
        <w:rPr>
          <w:rFonts w:ascii="Arial" w:hAnsi="Arial"/>
          <w:color w:val="000000" w:themeColor="text1"/>
          <w:sz w:val="20"/>
        </w:rPr>
        <w:t xml:space="preserve">domů činilo </w:t>
      </w:r>
      <w:r w:rsidRPr="00EA26B6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1,9</w:t>
      </w:r>
      <w:r w:rsidRPr="006A7B85">
        <w:rPr>
          <w:rFonts w:ascii="Arial" w:hAnsi="Arial"/>
          <w:color w:val="000000" w:themeColor="text1"/>
          <w:sz w:val="20"/>
        </w:rPr>
        <w:t xml:space="preserve"> let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6A7B85">
        <w:rPr>
          <w:rFonts w:ascii="Arial" w:hAnsi="Arial"/>
          <w:color w:val="000000" w:themeColor="text1"/>
          <w:sz w:val="20"/>
        </w:rPr>
        <w:t xml:space="preserve"> V</w:t>
      </w:r>
      <w:r w:rsidRPr="00BD745F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 xml:space="preserve">průměru nejstarší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obydlené </w:t>
      </w:r>
      <w:r w:rsidRPr="006A7B85">
        <w:rPr>
          <w:rFonts w:ascii="Arial" w:hAnsi="Arial"/>
          <w:color w:val="000000" w:themeColor="text1"/>
          <w:sz w:val="20"/>
        </w:rPr>
        <w:t>domy byly v</w:t>
      </w:r>
      <w:r w:rsidRPr="00BD745F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Ústeckém kraji (</w:t>
      </w:r>
      <w:r>
        <w:rPr>
          <w:rFonts w:ascii="Arial" w:hAnsi="Arial" w:cs="Arial"/>
          <w:color w:val="000000" w:themeColor="text1"/>
          <w:sz w:val="20"/>
          <w:szCs w:val="20"/>
        </w:rPr>
        <w:t>62,8</w:t>
      </w:r>
      <w:r w:rsidRPr="006A7B85">
        <w:rPr>
          <w:rFonts w:ascii="Arial" w:hAnsi="Arial"/>
          <w:color w:val="000000" w:themeColor="text1"/>
          <w:sz w:val="20"/>
        </w:rPr>
        <w:t xml:space="preserve"> let), naopak nejmladší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shodně </w:t>
      </w:r>
      <w:r w:rsidRPr="00BD745F">
        <w:rPr>
          <w:rFonts w:ascii="Arial" w:hAnsi="Arial" w:cs="Arial"/>
          <w:color w:val="000000" w:themeColor="text1"/>
          <w:sz w:val="20"/>
          <w:szCs w:val="20"/>
        </w:rPr>
        <w:t>v kraj</w:t>
      </w:r>
      <w:r>
        <w:rPr>
          <w:rFonts w:ascii="Arial" w:hAnsi="Arial" w:cs="Arial"/>
          <w:color w:val="000000" w:themeColor="text1"/>
          <w:sz w:val="20"/>
          <w:szCs w:val="20"/>
        </w:rPr>
        <w:t>ích</w:t>
      </w:r>
      <w:r w:rsidRPr="006A7B85">
        <w:rPr>
          <w:rFonts w:ascii="Arial" w:hAnsi="Arial"/>
          <w:color w:val="000000" w:themeColor="text1"/>
          <w:sz w:val="20"/>
        </w:rPr>
        <w:t xml:space="preserve"> Středočeském a Zlínském (</w:t>
      </w:r>
      <w:r>
        <w:rPr>
          <w:rFonts w:ascii="Arial" w:hAnsi="Arial" w:cs="Arial"/>
          <w:color w:val="000000" w:themeColor="text1"/>
          <w:sz w:val="20"/>
          <w:szCs w:val="20"/>
        </w:rPr>
        <w:t>47,9</w:t>
      </w:r>
      <w:r w:rsidRPr="006A7B85">
        <w:rPr>
          <w:rFonts w:ascii="Arial" w:hAnsi="Arial"/>
          <w:color w:val="000000" w:themeColor="text1"/>
          <w:sz w:val="20"/>
        </w:rPr>
        <w:t xml:space="preserve"> let). Ve struktuře obydlených domů podle období výstavby byly mezi kraji značné rozdíly. Například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kraji Ústeckém a Libereckém byl zhruba každý pátý obydlený dům postaven před více než 100 lety.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případě výstavby domů za posledních deset let zase výrazně vyčníval Středočeský kraj oproti ostatním, od roku 2011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tomto území přibylo zhruba 50 tisíc nových domů,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době Sčítání 2021 obydlených.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  <w:highlight w:val="yellow"/>
        </w:rPr>
      </w:pPr>
      <w:r w:rsidRPr="006A7B85">
        <w:rPr>
          <w:rFonts w:ascii="Arial" w:hAnsi="Arial"/>
          <w:color w:val="000000" w:themeColor="text1"/>
          <w:sz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 xml:space="preserve">obdobím výstavby a rekonstrukce úzce souvisí také parametry technické vybavenosti domů, respektive materiál nosných zdí. Jednoznačně nejčetnějším stavebním materiálem nosných zdí u obydlených domů byl kámen, cihly, tvárnice a jejich vzájemné kombinace. Celorepublikový podíl </w:t>
      </w:r>
      <w:r>
        <w:rPr>
          <w:rFonts w:ascii="Arial" w:hAnsi="Arial" w:cs="Arial"/>
          <w:color w:val="000000" w:themeColor="text1"/>
          <w:sz w:val="20"/>
          <w:szCs w:val="20"/>
        </w:rPr>
        <w:t>této kategorie činil 88</w:t>
      </w:r>
      <w:r w:rsidR="001705B1">
        <w:rPr>
          <w:rFonts w:ascii="Arial" w:hAnsi="Arial" w:cs="Arial"/>
          <w:color w:val="000000" w:themeColor="text1"/>
          <w:sz w:val="20"/>
          <w:szCs w:val="20"/>
        </w:rPr>
        <w:t> %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 obydlených domů se zjištěným materiálem nosných zdí.</w:t>
      </w:r>
      <w:r w:rsidRPr="006A7B85">
        <w:rPr>
          <w:rFonts w:ascii="Arial" w:hAnsi="Arial"/>
          <w:color w:val="000000" w:themeColor="text1"/>
          <w:sz w:val="20"/>
        </w:rPr>
        <w:t xml:space="preserve"> Ve větších městech byl podíl nepatrně nižší, 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to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 xml:space="preserve">především ve prospěch stěnových panelů. Odlišná struktura byla zaznamenána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 krajského pohledu především </w:t>
      </w:r>
      <w:r w:rsidRPr="006A7B85">
        <w:rPr>
          <w:rFonts w:ascii="Arial" w:hAnsi="Arial"/>
          <w:color w:val="000000" w:themeColor="text1"/>
          <w:sz w:val="20"/>
        </w:rPr>
        <w:t xml:space="preserve">v Praze, kde bylo panelových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obydlených domů se zjištěným </w:t>
      </w:r>
      <w:r w:rsidR="001E6497">
        <w:rPr>
          <w:rFonts w:ascii="Arial" w:hAnsi="Arial" w:cs="Arial"/>
          <w:color w:val="000000" w:themeColor="text1"/>
          <w:sz w:val="20"/>
          <w:szCs w:val="20"/>
        </w:rPr>
        <w:t>materiálem nosných zdí téměř 12</w:t>
      </w:r>
      <w:r w:rsidR="001705B1">
        <w:rPr>
          <w:rFonts w:ascii="Arial" w:hAnsi="Arial" w:cs="Arial"/>
          <w:color w:val="000000" w:themeColor="text1"/>
          <w:sz w:val="20"/>
          <w:szCs w:val="20"/>
        </w:rPr>
        <w:t> %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6A7B85">
        <w:rPr>
          <w:rFonts w:ascii="Arial" w:hAnsi="Arial"/>
          <w:color w:val="000000" w:themeColor="text1"/>
          <w:sz w:val="20"/>
        </w:rPr>
        <w:t xml:space="preserve"> Této hodnotě se přiblížil kraj Karlovarský a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Ústecký. Od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 xml:space="preserve">roku 2011 se mimo jiné zvýšil </w:t>
      </w:r>
      <w:r>
        <w:rPr>
          <w:rFonts w:ascii="Arial" w:hAnsi="Arial" w:cs="Arial"/>
          <w:color w:val="000000" w:themeColor="text1"/>
          <w:sz w:val="20"/>
          <w:szCs w:val="20"/>
        </w:rPr>
        <w:t>počet</w:t>
      </w:r>
      <w:r w:rsidRPr="006A7B85">
        <w:rPr>
          <w:rFonts w:ascii="Arial" w:hAnsi="Arial"/>
          <w:color w:val="000000" w:themeColor="text1"/>
          <w:sz w:val="20"/>
        </w:rPr>
        <w:t xml:space="preserve"> obydlených domů postavených ze dřeva, </w:t>
      </w:r>
      <w:r>
        <w:rPr>
          <w:rFonts w:ascii="Arial" w:hAnsi="Arial" w:cs="Arial"/>
          <w:color w:val="000000" w:themeColor="text1"/>
          <w:sz w:val="20"/>
          <w:szCs w:val="20"/>
        </w:rPr>
        <w:t>v celé republice</w:t>
      </w:r>
      <w:r w:rsidRPr="006A7B85">
        <w:rPr>
          <w:rFonts w:ascii="Arial" w:hAnsi="Arial"/>
          <w:color w:val="000000" w:themeColor="text1"/>
          <w:sz w:val="20"/>
        </w:rPr>
        <w:t xml:space="preserve"> jich bylo </w:t>
      </w:r>
      <w:r>
        <w:rPr>
          <w:rFonts w:ascii="Arial" w:hAnsi="Arial" w:cs="Arial"/>
          <w:color w:val="000000" w:themeColor="text1"/>
          <w:sz w:val="20"/>
          <w:szCs w:val="20"/>
        </w:rPr>
        <w:t>při Sčítání 2021 více než 41</w:t>
      </w:r>
      <w:r w:rsidRPr="006A7B85">
        <w:rPr>
          <w:rFonts w:ascii="Arial" w:hAnsi="Arial"/>
          <w:color w:val="000000" w:themeColor="text1"/>
          <w:sz w:val="20"/>
        </w:rPr>
        <w:t xml:space="preserve"> tisíc.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</w:rPr>
      </w:pPr>
      <w:r w:rsidRPr="006A7B85">
        <w:rPr>
          <w:rFonts w:ascii="Arial" w:hAnsi="Arial"/>
          <w:color w:val="000000" w:themeColor="text1"/>
          <w:sz w:val="20"/>
        </w:rPr>
        <w:t xml:space="preserve">Přípojku na kanalizační síť </w:t>
      </w:r>
      <w:r>
        <w:rPr>
          <w:rFonts w:ascii="Arial" w:hAnsi="Arial" w:cs="Arial"/>
          <w:color w:val="000000" w:themeColor="text1"/>
          <w:sz w:val="20"/>
          <w:szCs w:val="20"/>
        </w:rPr>
        <w:t>mělo 64</w:t>
      </w:r>
      <w:r w:rsidR="001705B1">
        <w:rPr>
          <w:rFonts w:ascii="Arial" w:hAnsi="Arial" w:cs="Arial"/>
          <w:color w:val="000000" w:themeColor="text1"/>
          <w:sz w:val="20"/>
          <w:szCs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obydlených domů se zjištěným způsobem odvádění odpadních vod.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mezikrajském srovnání byl nejvyšší podíl v Praze. Na opačném konci byl Moravskoslezský a Liberecký kraj, kde měla přípoj na kanalizaci méně než polovina tamních obydlených domů. Žumpu či jímku využívala necelá třetina obydlených domů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Česku. Moravskoslezský kraj byl jediným krajem, ve kterém se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nacházelo více obydlených domů vybavených žumpou či jímkou než připojených na veřejnou kanalizaci. Vlastní čističkou odpadních vod disponovaly relativně nejčastěji domy v</w:t>
      </w:r>
      <w:r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Libereckém a Královéhradeckém kraji. Pozitivním zjištěním je fakt, že podíl domů bez kanalizace a jímky tvo</w:t>
      </w:r>
      <w:r w:rsidR="001E6497">
        <w:rPr>
          <w:rFonts w:ascii="Arial" w:hAnsi="Arial"/>
          <w:color w:val="000000" w:themeColor="text1"/>
          <w:sz w:val="20"/>
        </w:rPr>
        <w:t>řil ve všech krajích méně než 1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 xml:space="preserve"> všech obydlených domů se zjištěným způsobem odvádění odpadních vod.</w:t>
      </w:r>
    </w:p>
    <w:p w:rsidR="00EB121C" w:rsidRPr="006A7B8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/>
          <w:color w:val="000000" w:themeColor="text1"/>
          <w:sz w:val="20"/>
          <w:highlight w:val="yellow"/>
        </w:rPr>
      </w:pPr>
      <w:r w:rsidRPr="006A7B85">
        <w:rPr>
          <w:rFonts w:ascii="Arial" w:hAnsi="Arial"/>
          <w:color w:val="000000" w:themeColor="text1"/>
          <w:sz w:val="20"/>
        </w:rPr>
        <w:t>Připojení domu na vodovod je podobně jako u bytů již téměř stoprocentní. V</w:t>
      </w:r>
      <w:r w:rsidRPr="00B92FC3">
        <w:rPr>
          <w:rFonts w:ascii="Arial" w:hAnsi="Arial" w:cs="Arial"/>
          <w:color w:val="000000" w:themeColor="text1"/>
          <w:sz w:val="20"/>
          <w:szCs w:val="20"/>
        </w:rPr>
        <w:t> </w:t>
      </w:r>
      <w:r w:rsidRPr="006A7B85">
        <w:rPr>
          <w:rFonts w:ascii="Arial" w:hAnsi="Arial"/>
          <w:color w:val="000000" w:themeColor="text1"/>
          <w:sz w:val="20"/>
        </w:rPr>
        <w:t>žádném kraji nebyl podíl obydlených domů se zavedeným vodovodem nižší než 99,5</w:t>
      </w:r>
      <w:r w:rsidR="001705B1">
        <w:rPr>
          <w:rFonts w:ascii="Arial" w:hAnsi="Arial"/>
          <w:color w:val="000000" w:themeColor="text1"/>
          <w:sz w:val="20"/>
        </w:rPr>
        <w:t> %</w:t>
      </w:r>
      <w:r w:rsidRPr="006A7B85">
        <w:rPr>
          <w:rFonts w:ascii="Arial" w:hAnsi="Arial"/>
          <w:color w:val="000000" w:themeColor="text1"/>
          <w:sz w:val="20"/>
        </w:rPr>
        <w:t>. Podíl obydlených domů se zavedeným plynem dosahoval v celostátním průměru téměř dvou třetin, ovšem s výraznými rozdíly mezi jednotlivými regiony způsobenými různou mírou plynofikace v jejich obcích.</w:t>
      </w:r>
    </w:p>
    <w:p w:rsidR="00EB121C" w:rsidRPr="00EB121C" w:rsidRDefault="00EB121C" w:rsidP="00EB121C">
      <w:pPr>
        <w:jc w:val="both"/>
      </w:pPr>
      <w:r w:rsidRPr="006A7B85">
        <w:rPr>
          <w:color w:val="000000" w:themeColor="text1"/>
        </w:rPr>
        <w:t xml:space="preserve">Více než dvě třetiny obydlených domů měly ústřední domovní vytápění. </w:t>
      </w:r>
      <w:r w:rsidRPr="006A7B85">
        <w:rPr>
          <w:color w:val="000000" w:themeColor="text1"/>
          <w:shd w:val="clear" w:color="auto" w:fill="FFFFFF"/>
        </w:rPr>
        <w:t>Výtahem bylo vybaveno necelých 60 tisíc obydlených domů v</w:t>
      </w:r>
      <w:r>
        <w:rPr>
          <w:rFonts w:cs="Arial"/>
          <w:color w:val="000000" w:themeColor="text1"/>
          <w:szCs w:val="20"/>
          <w:shd w:val="clear" w:color="auto" w:fill="FFFFFF"/>
        </w:rPr>
        <w:t> </w:t>
      </w:r>
      <w:r w:rsidRPr="006A7B85">
        <w:rPr>
          <w:color w:val="000000" w:themeColor="text1"/>
          <w:shd w:val="clear" w:color="auto" w:fill="FFFFFF"/>
        </w:rPr>
        <w:t>Česku, výrazně nejvíce jich bylo v</w:t>
      </w:r>
      <w:r>
        <w:rPr>
          <w:rFonts w:cs="Arial"/>
          <w:color w:val="000000" w:themeColor="text1"/>
          <w:szCs w:val="20"/>
          <w:shd w:val="clear" w:color="auto" w:fill="FFFFFF"/>
        </w:rPr>
        <w:t> </w:t>
      </w:r>
      <w:r w:rsidRPr="006A7B85">
        <w:rPr>
          <w:color w:val="000000" w:themeColor="text1"/>
          <w:shd w:val="clear" w:color="auto" w:fill="FFFFFF"/>
        </w:rPr>
        <w:t>Praze.</w:t>
      </w:r>
    </w:p>
    <w:p w:rsidR="00A33A01" w:rsidRDefault="00A33A01" w:rsidP="006E329E">
      <w:pPr>
        <w:pStyle w:val="Nadpis2"/>
        <w:spacing w:before="240" w:after="120"/>
      </w:pPr>
      <w:bookmarkStart w:id="7" w:name="_Toc134178220"/>
      <w:bookmarkStart w:id="8" w:name="_Toc138754305"/>
      <w:r w:rsidRPr="00BD2670">
        <w:t>Byty</w:t>
      </w:r>
      <w:bookmarkEnd w:id="7"/>
      <w:bookmarkEnd w:id="8"/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t>Při Sčítání 2021 bylo sečteno celkem 5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340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033 bytů. Celkový počet bytů tak od minulého sčítání vzrostl o</w:t>
      </w:r>
      <w:r w:rsidRPr="006A7B85">
        <w:rPr>
          <w:color w:val="000000" w:themeColor="text1"/>
        </w:rPr>
        <w:t xml:space="preserve"> více </w:t>
      </w:r>
      <w:r>
        <w:rPr>
          <w:rFonts w:cs="Arial"/>
          <w:color w:val="000000" w:themeColor="text1"/>
          <w:szCs w:val="20"/>
        </w:rPr>
        <w:t xml:space="preserve">než </w:t>
      </w:r>
      <w:r w:rsidRPr="00260B7F">
        <w:rPr>
          <w:color w:val="000000" w:themeColor="text1"/>
        </w:rPr>
        <w:t xml:space="preserve">půl milionu bytů. Více než </w:t>
      </w:r>
      <w:r>
        <w:rPr>
          <w:rFonts w:cs="Arial"/>
          <w:color w:val="000000" w:themeColor="text1"/>
          <w:szCs w:val="20"/>
        </w:rPr>
        <w:t>83</w:t>
      </w:r>
      <w:r w:rsidR="001705B1">
        <w:rPr>
          <w:rFonts w:cs="Arial"/>
          <w:color w:val="000000" w:themeColor="text1"/>
          <w:szCs w:val="20"/>
        </w:rPr>
        <w:t> %</w:t>
      </w:r>
      <w:r w:rsidRPr="00260B7F">
        <w:rPr>
          <w:color w:val="000000" w:themeColor="text1"/>
        </w:rPr>
        <w:t xml:space="preserve"> z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celkového počtu představovaly byty obydlené. Nárůst počtu obydlených bytů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posledním desetiletí činil 9,1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t>Neobydleno bylo k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datu sčítání 16,1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 xml:space="preserve"> bytů. Více n</w:t>
      </w:r>
      <w:r w:rsidRPr="006A7B85">
        <w:rPr>
          <w:color w:val="000000" w:themeColor="text1"/>
        </w:rPr>
        <w:t>ež polovina byla v</w:t>
      </w:r>
      <w:r w:rsidRPr="009D6DD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obcích do 5</w:t>
      </w:r>
      <w:r w:rsidR="00B53C90">
        <w:rPr>
          <w:color w:val="000000" w:themeColor="text1"/>
        </w:rPr>
        <w:t> </w:t>
      </w:r>
      <w:r w:rsidRPr="00260B7F">
        <w:rPr>
          <w:color w:val="000000" w:themeColor="text1"/>
        </w:rPr>
        <w:t>000 obyvatel. Z</w:t>
      </w:r>
      <w:r w:rsidRPr="009D6DD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regionálního pohledu byl největší podíl neobydlených bytů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Jihočeském kraji, a to více než 20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t>Více než polovina obydlených bytů byla situována v</w:t>
      </w:r>
      <w:r w:rsidRPr="00FB3876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bytových domech. Tento podíl se výrazně lišil podle velikostních skupin obcí. V</w:t>
      </w:r>
      <w:r w:rsidRPr="00FB3876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nejmenších obcích dosahoval pouze jednotek procent, s</w:t>
      </w:r>
      <w:r w:rsidRPr="00FB3876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narůstající velikostí obce tento podíl rostl. V</w:t>
      </w:r>
      <w:r w:rsidRPr="00FB3876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obcích střední velikosti dosahoval téměř 65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. V</w:t>
      </w:r>
      <w:r w:rsidRPr="00FB3876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nejpočetnějších obcích s</w:t>
      </w:r>
      <w:r w:rsidRPr="0010618F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více než 100</w:t>
      </w:r>
      <w:r w:rsidRPr="0010618F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000 obyvateli pak bylo 83,5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 xml:space="preserve"> obydlených bytů v</w:t>
      </w:r>
      <w:r w:rsidRPr="0010618F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bytových domech. Naopak minimální podíl bytů v </w:t>
      </w:r>
      <w:r w:rsidRPr="006A7B85">
        <w:rPr>
          <w:color w:val="000000" w:themeColor="text1"/>
        </w:rPr>
        <w:t>rodinných domech byl sečten v</w:t>
      </w:r>
      <w:r w:rsidRPr="0010618F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největších městech (jen 15,3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 xml:space="preserve"> bytů) a maximální v</w:t>
      </w:r>
      <w:r w:rsidRPr="0010618F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menších obcích. Nízkým podílem bytů v</w:t>
      </w:r>
      <w:r w:rsidRPr="0010618F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rodinných domech a vysokým podílem bytů v</w:t>
      </w:r>
      <w:r w:rsidRPr="0010618F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bytových domech se mezi kraji vymyká hlavní město </w:t>
      </w:r>
      <w:r w:rsidRPr="006A7B85">
        <w:rPr>
          <w:color w:val="000000" w:themeColor="text1"/>
        </w:rPr>
        <w:lastRenderedPageBreak/>
        <w:t>Praha. Poměr mezi počtem osob žijících v</w:t>
      </w:r>
      <w:r w:rsidRPr="00BD0F8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bytech v</w:t>
      </w:r>
      <w:r w:rsidRPr="00BD0F8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rodinných domech a bytech v</w:t>
      </w:r>
      <w:r w:rsidRPr="00BD0F8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bytových domech byl </w:t>
      </w:r>
      <w:r>
        <w:rPr>
          <w:rFonts w:cs="Arial"/>
          <w:color w:val="000000" w:themeColor="text1"/>
          <w:szCs w:val="20"/>
        </w:rPr>
        <w:t>v celostátním průměru</w:t>
      </w:r>
      <w:r w:rsidRPr="00BD0F8A">
        <w:rPr>
          <w:rFonts w:cs="Arial"/>
          <w:color w:val="000000" w:themeColor="text1"/>
          <w:szCs w:val="20"/>
        </w:rPr>
        <w:t xml:space="preserve"> </w:t>
      </w:r>
      <w:r w:rsidRPr="00260B7F">
        <w:rPr>
          <w:color w:val="000000" w:themeColor="text1"/>
        </w:rPr>
        <w:t>mírně ve</w:t>
      </w:r>
      <w:r w:rsidRPr="00BD0F8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prospěch rodinných domů.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t>Z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hlediska právního důvodu užívání bytu se z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více než třetiny jednalo o byty ve vlastním domě, čtvrtina bytů byla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osobním vlastnictví a pětinu tvořily byty nájemní</w:t>
      </w:r>
      <w:r>
        <w:rPr>
          <w:rFonts w:cs="Arial"/>
          <w:color w:val="000000" w:themeColor="text1"/>
          <w:szCs w:val="20"/>
        </w:rPr>
        <w:t>/</w:t>
      </w:r>
      <w:r w:rsidRPr="00260B7F">
        <w:rPr>
          <w:color w:val="000000" w:themeColor="text1"/>
        </w:rPr>
        <w:t>pronajaté. V</w:t>
      </w:r>
      <w:r w:rsidRPr="009B3887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souladu se strukturou bytového fondu podle druhu domu byl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Praze nízký podíl (10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) bytů ve vlastním domě, naopak každý třetí byt byl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osobním vlastnictví. Také každý třetí byt byl nájemní. Opakem je Kraj Vysočina, kde byty ve vlastním domě tvořily polovinu bytového fondu a byty nájemní pouze 12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. Moravskoslezský kraj pak vynikal vyšším podílem nájemních bytů, které tvoří čtvrtinu místního bytového fondu.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t>Průměrně velký byt měl 3,9 obytných místností (včetně kuchyně, pokud se jedná o samostatnou místnost). Nejčastěji se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na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celorepublikové úrovni lze setkat </w:t>
      </w:r>
      <w:r w:rsidRPr="00167BDD">
        <w:rPr>
          <w:rFonts w:cs="Arial"/>
          <w:color w:val="000000" w:themeColor="text1"/>
          <w:szCs w:val="20"/>
        </w:rPr>
        <w:t>s</w:t>
      </w:r>
      <w:r w:rsidRPr="00260B7F">
        <w:rPr>
          <w:color w:val="000000" w:themeColor="text1"/>
        </w:rPr>
        <w:t xml:space="preserve"> byty</w:t>
      </w:r>
      <w:r>
        <w:rPr>
          <w:rFonts w:cs="Arial"/>
          <w:color w:val="000000" w:themeColor="text1"/>
          <w:szCs w:val="20"/>
        </w:rPr>
        <w:t xml:space="preserve"> se čtyřmi obytnými místnostmi</w:t>
      </w:r>
      <w:r w:rsidRPr="00260B7F">
        <w:rPr>
          <w:color w:val="000000" w:themeColor="text1"/>
        </w:rPr>
        <w:t>.</w:t>
      </w:r>
    </w:p>
    <w:p w:rsidR="00EB121C" w:rsidRPr="00260B7F" w:rsidRDefault="00EB121C" w:rsidP="00EB121C">
      <w:pPr>
        <w:shd w:val="clear" w:color="auto" w:fill="FFFFFF"/>
        <w:spacing w:after="120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0"/>
        </w:rPr>
        <w:t>Podle</w:t>
      </w:r>
      <w:r w:rsidRPr="00260B7F">
        <w:rPr>
          <w:color w:val="000000" w:themeColor="text1"/>
        </w:rPr>
        <w:t xml:space="preserve"> počtu bydlících osob bylo nejvíce těch bytů, ve kterých žila jen jedna osoba. Početně pak následovaly obydlené byty se dvěma a se třemi osobami. Na jeden obydlený byt tak v</w:t>
      </w:r>
      <w:r>
        <w:rPr>
          <w:rFonts w:cs="Arial"/>
          <w:color w:val="000000" w:themeColor="text1"/>
          <w:szCs w:val="20"/>
        </w:rPr>
        <w:t> </w:t>
      </w:r>
      <w:r w:rsidR="001705B1">
        <w:rPr>
          <w:color w:val="000000" w:themeColor="text1"/>
        </w:rPr>
        <w:t>Česku připadalo průměrně 2,3 </w:t>
      </w:r>
      <w:r w:rsidRPr="00260B7F">
        <w:rPr>
          <w:color w:val="000000" w:themeColor="text1"/>
        </w:rPr>
        <w:t>bydlících osob.</w:t>
      </w:r>
    </w:p>
    <w:p w:rsidR="00A33A01" w:rsidRPr="00143975" w:rsidRDefault="00EB121C" w:rsidP="00EB121C">
      <w:pPr>
        <w:pStyle w:val="Normlnweb"/>
        <w:shd w:val="clear" w:color="auto" w:fill="FFFFFF"/>
        <w:spacing w:before="0" w:beforeAutospacing="0" w:after="120" w:afterAutospacing="0"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A7B85">
        <w:rPr>
          <w:rFonts w:ascii="Arial" w:hAnsi="Arial"/>
          <w:sz w:val="20"/>
        </w:rPr>
        <w:t>Technická vybavenost bytů, jako je zavedení vodovodu či plynu do bytu nebo vytápění ústředním topením, se</w:t>
      </w:r>
      <w:r w:rsidRPr="00E5552B">
        <w:rPr>
          <w:rFonts w:ascii="Arial" w:hAnsi="Arial" w:cs="Arial"/>
          <w:sz w:val="20"/>
          <w:szCs w:val="20"/>
        </w:rPr>
        <w:t> </w:t>
      </w:r>
      <w:r w:rsidRPr="006A7B85">
        <w:rPr>
          <w:rFonts w:ascii="Arial" w:hAnsi="Arial"/>
          <w:sz w:val="20"/>
        </w:rPr>
        <w:t>postupem času stále zvyšuje. Plyn byl zaveden již ve více než dvou třetinách obydlených bytů.</w:t>
      </w:r>
      <w:r w:rsidRPr="00DA55E4">
        <w:rPr>
          <w:rFonts w:ascii="Arial" w:hAnsi="Arial" w:cs="Arial"/>
          <w:color w:val="000000" w:themeColor="text1"/>
          <w:sz w:val="20"/>
          <w:szCs w:val="20"/>
        </w:rPr>
        <w:t xml:space="preserve"> Vodovod zavedený do bytu je již samozřejmostí, ve všech krajích ho mělo více než 99</w:t>
      </w:r>
      <w:r w:rsidR="001705B1">
        <w:rPr>
          <w:rFonts w:ascii="Arial" w:hAnsi="Arial" w:cs="Arial"/>
          <w:color w:val="000000" w:themeColor="text1"/>
          <w:sz w:val="20"/>
          <w:szCs w:val="20"/>
        </w:rPr>
        <w:t> %</w:t>
      </w:r>
      <w:r w:rsidRPr="00DA55E4">
        <w:rPr>
          <w:rFonts w:ascii="Arial" w:hAnsi="Arial" w:cs="Arial"/>
          <w:color w:val="000000" w:themeColor="text1"/>
          <w:sz w:val="20"/>
          <w:szCs w:val="20"/>
        </w:rPr>
        <w:t xml:space="preserve"> obydlených bytů, u nichž byl údaj zjištěn</w:t>
      </w:r>
      <w:r w:rsidRPr="003F0584">
        <w:rPr>
          <w:rFonts w:ascii="Arial" w:hAnsi="Arial" w:cs="Arial"/>
          <w:color w:val="000000" w:themeColor="text1"/>
          <w:sz w:val="20"/>
          <w:szCs w:val="20"/>
        </w:rPr>
        <w:t xml:space="preserve">. Devět z deseti obydlených bytů v Česku je </w:t>
      </w:r>
      <w:r w:rsidRPr="00777A55">
        <w:rPr>
          <w:rFonts w:ascii="Arial" w:hAnsi="Arial" w:cs="Arial"/>
          <w:color w:val="000000" w:themeColor="text1"/>
          <w:sz w:val="20"/>
          <w:szCs w:val="20"/>
        </w:rPr>
        <w:t xml:space="preserve">vytápěno ústředním topením. Přibližně třetina obydlených bytů má ústřední dálkové vytápění z teplárny či kotelny mimo dům, další třetina využívá ústřední vytápění s vlastním zdrojem pouze pro daný </w:t>
      </w:r>
      <w:r w:rsidRPr="004702A2">
        <w:rPr>
          <w:rFonts w:ascii="Arial" w:hAnsi="Arial" w:cs="Arial"/>
          <w:color w:val="000000" w:themeColor="text1"/>
          <w:sz w:val="20"/>
          <w:szCs w:val="20"/>
        </w:rPr>
        <w:t>byt, pětina obydlených bytů pak ústřední domovní vytápění. Jako hlavní zdroj energie k vytápění bytu byl nejčastěji využíván plyn nebo energie z kotelny mimo dům bez rozlišení paliva.</w:t>
      </w:r>
    </w:p>
    <w:p w:rsidR="00A33A01" w:rsidRDefault="00A33A01" w:rsidP="002D1D6B">
      <w:pPr>
        <w:pStyle w:val="Nadpis2"/>
        <w:spacing w:before="240" w:after="120"/>
      </w:pPr>
      <w:bookmarkStart w:id="9" w:name="_Toc134178221"/>
      <w:bookmarkStart w:id="10" w:name="_Toc138754306"/>
      <w:r w:rsidRPr="00C1168A">
        <w:t>Domácnosti</w:t>
      </w:r>
      <w:bookmarkEnd w:id="9"/>
      <w:bookmarkEnd w:id="10"/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t>Celkový počet hospodařících domácností dosáhl hodnoty 4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813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103.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absolutním vyjádření to znamená, že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se počet hospodařících domácností zvýšil za posledních 30 let o téměř 830</w:t>
      </w:r>
      <w:r w:rsidR="002D1D6B">
        <w:rPr>
          <w:color w:val="000000" w:themeColor="text1"/>
        </w:rPr>
        <w:t> </w:t>
      </w:r>
      <w:r w:rsidRPr="00260B7F">
        <w:rPr>
          <w:color w:val="000000" w:themeColor="text1"/>
        </w:rPr>
        <w:t>tisíc. Ve srovnání s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předchozím sčítáním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roce 2011 došlo k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nárůstu o 10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t>Změny ve struktuře domácností, které se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intercenzálním období udály, odpovídají dlouhodobým trendům. Struktuře domácností podle typu dominuje i nadále kategorie úplných rodin tvořených </w:t>
      </w:r>
      <w:r>
        <w:rPr>
          <w:rFonts w:cs="Arial"/>
          <w:color w:val="000000" w:themeColor="text1"/>
          <w:szCs w:val="20"/>
        </w:rPr>
        <w:t>jednou</w:t>
      </w:r>
      <w:r w:rsidRPr="00260B7F">
        <w:rPr>
          <w:color w:val="000000" w:themeColor="text1"/>
        </w:rPr>
        <w:t xml:space="preserve"> rodinou. Nej</w:t>
      </w:r>
      <w:r w:rsidRPr="006A7B85">
        <w:rPr>
          <w:color w:val="000000" w:themeColor="text1"/>
        </w:rPr>
        <w:t>častější formou úplné rodiny bylo manželství, které přesto, že jeho podíl od roku 2011 klesl, stále představovalo 77</w:t>
      </w:r>
      <w:r w:rsidR="001705B1">
        <w:rPr>
          <w:color w:val="000000" w:themeColor="text1"/>
        </w:rPr>
        <w:t> %</w:t>
      </w:r>
      <w:r w:rsidRPr="006A7B85">
        <w:rPr>
          <w:color w:val="000000" w:themeColor="text1"/>
        </w:rPr>
        <w:t xml:space="preserve"> úplných rodin. Stále častěji ovšem lidé neuzavírají de iure sňatek, ale žijí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neformálních soužitích. Podíl faktických manželství na cel</w:t>
      </w:r>
      <w:r w:rsidRPr="006A7B85">
        <w:rPr>
          <w:color w:val="000000" w:themeColor="text1"/>
        </w:rPr>
        <w:t>kovém počtu úplných rodin vzrostl z</w:t>
      </w:r>
      <w:r w:rsidRPr="00F06D72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11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 xml:space="preserve"> na </w:t>
      </w:r>
      <w:r w:rsidRPr="00F06D72">
        <w:rPr>
          <w:rFonts w:cs="Arial"/>
          <w:color w:val="000000" w:themeColor="text1"/>
          <w:szCs w:val="20"/>
        </w:rPr>
        <w:t>2</w:t>
      </w:r>
      <w:r>
        <w:rPr>
          <w:rFonts w:cs="Arial"/>
          <w:color w:val="000000" w:themeColor="text1"/>
          <w:szCs w:val="20"/>
        </w:rPr>
        <w:t>2</w:t>
      </w:r>
      <w:r w:rsidR="001705B1">
        <w:rPr>
          <w:rFonts w:cs="Arial"/>
          <w:color w:val="000000" w:themeColor="text1"/>
          <w:szCs w:val="20"/>
        </w:rPr>
        <w:t> %</w:t>
      </w:r>
      <w:r w:rsidRPr="00F06D72">
        <w:rPr>
          <w:rFonts w:cs="Arial"/>
          <w:color w:val="000000" w:themeColor="text1"/>
          <w:szCs w:val="20"/>
        </w:rPr>
        <w:t xml:space="preserve">. </w:t>
      </w:r>
      <w:r>
        <w:rPr>
          <w:rFonts w:cs="Arial"/>
          <w:color w:val="000000" w:themeColor="text1"/>
          <w:szCs w:val="20"/>
        </w:rPr>
        <w:t>Rozdíl v zastoupení</w:t>
      </w:r>
      <w:r w:rsidRPr="00F06D72">
        <w:rPr>
          <w:rFonts w:cs="Arial"/>
          <w:color w:val="000000" w:themeColor="text1"/>
          <w:szCs w:val="20"/>
        </w:rPr>
        <w:t xml:space="preserve"> formální</w:t>
      </w:r>
      <w:r>
        <w:rPr>
          <w:rFonts w:cs="Arial"/>
          <w:color w:val="000000" w:themeColor="text1"/>
          <w:szCs w:val="20"/>
        </w:rPr>
        <w:t>ho</w:t>
      </w:r>
      <w:r w:rsidRPr="00260B7F">
        <w:rPr>
          <w:color w:val="000000" w:themeColor="text1"/>
        </w:rPr>
        <w:t xml:space="preserve"> a </w:t>
      </w:r>
      <w:r w:rsidRPr="00F06D72">
        <w:rPr>
          <w:rFonts w:cs="Arial"/>
          <w:color w:val="000000" w:themeColor="text1"/>
          <w:szCs w:val="20"/>
        </w:rPr>
        <w:t>neformální</w:t>
      </w:r>
      <w:r>
        <w:rPr>
          <w:rFonts w:cs="Arial"/>
          <w:color w:val="000000" w:themeColor="text1"/>
          <w:szCs w:val="20"/>
        </w:rPr>
        <w:t>ho</w:t>
      </w:r>
      <w:r w:rsidRPr="00F06D72">
        <w:rPr>
          <w:rFonts w:cs="Arial"/>
          <w:color w:val="000000" w:themeColor="text1"/>
          <w:szCs w:val="20"/>
        </w:rPr>
        <w:t xml:space="preserve"> soužití (</w:t>
      </w:r>
      <w:r>
        <w:rPr>
          <w:rFonts w:cs="Arial"/>
          <w:color w:val="000000" w:themeColor="text1"/>
          <w:szCs w:val="20"/>
        </w:rPr>
        <w:t xml:space="preserve">osob </w:t>
      </w:r>
      <w:r w:rsidRPr="00260B7F">
        <w:rPr>
          <w:color w:val="000000" w:themeColor="text1"/>
        </w:rPr>
        <w:t xml:space="preserve">rozdílného pohlaví) se </w:t>
      </w:r>
      <w:r>
        <w:rPr>
          <w:rFonts w:cs="Arial"/>
          <w:color w:val="000000" w:themeColor="text1"/>
          <w:szCs w:val="20"/>
        </w:rPr>
        <w:t>snižuje</w:t>
      </w:r>
      <w:r w:rsidRPr="00260B7F">
        <w:rPr>
          <w:color w:val="000000" w:themeColor="text1"/>
        </w:rPr>
        <w:t xml:space="preserve"> se </w:t>
      </w:r>
      <w:r>
        <w:rPr>
          <w:rFonts w:cs="Arial"/>
          <w:color w:val="000000" w:themeColor="text1"/>
          <w:szCs w:val="20"/>
        </w:rPr>
        <w:t>zvyšujícím</w:t>
      </w:r>
      <w:r w:rsidRPr="00260B7F">
        <w:rPr>
          <w:color w:val="000000" w:themeColor="text1"/>
        </w:rPr>
        <w:t xml:space="preserve"> se počtem obyvatel obce. Nejmenší rozdíl mezi těmito dvěma podíly byl zaznamenán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největších městech, kde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manželství tvořilo </w:t>
      </w:r>
      <w:r>
        <w:rPr>
          <w:rFonts w:cs="Arial"/>
          <w:color w:val="000000" w:themeColor="text1"/>
          <w:szCs w:val="20"/>
        </w:rPr>
        <w:t xml:space="preserve">přibližně </w:t>
      </w:r>
      <w:r w:rsidRPr="00260B7F">
        <w:rPr>
          <w:color w:val="000000" w:themeColor="text1"/>
        </w:rPr>
        <w:t>71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 xml:space="preserve"> úplných rodin a</w:t>
      </w:r>
      <w:r w:rsidRPr="00F06D72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faktická manželství </w:t>
      </w:r>
      <w:r>
        <w:rPr>
          <w:rFonts w:cs="Arial"/>
          <w:color w:val="000000" w:themeColor="text1"/>
          <w:szCs w:val="20"/>
        </w:rPr>
        <w:t xml:space="preserve">necelých </w:t>
      </w:r>
      <w:r w:rsidRPr="00F06D72">
        <w:rPr>
          <w:rFonts w:cs="Arial"/>
          <w:color w:val="000000" w:themeColor="text1"/>
          <w:szCs w:val="20"/>
        </w:rPr>
        <w:t>2</w:t>
      </w:r>
      <w:r>
        <w:rPr>
          <w:rFonts w:cs="Arial"/>
          <w:color w:val="000000" w:themeColor="text1"/>
          <w:szCs w:val="20"/>
        </w:rPr>
        <w:t>9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. Z</w:t>
      </w:r>
      <w:r w:rsidRPr="00F06D72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regionálního pohledu je manželství nejčastěji zastoupeno ve Zlínském kraji a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Kraji Vysočina.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hlavním městě Praha naopak klesl podíl manželství pod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70</w:t>
      </w:r>
      <w:r w:rsidR="001705B1">
        <w:rPr>
          <w:rFonts w:cs="Arial"/>
          <w:color w:val="000000" w:themeColor="text1"/>
          <w:szCs w:val="20"/>
        </w:rPr>
        <w:t> %</w:t>
      </w:r>
      <w:r w:rsidRPr="00260B7F">
        <w:rPr>
          <w:color w:val="000000" w:themeColor="text1"/>
        </w:rPr>
        <w:t>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</w:rPr>
      </w:pPr>
      <w:r w:rsidRPr="00260B7F">
        <w:rPr>
          <w:color w:val="000000" w:themeColor="text1"/>
        </w:rPr>
        <w:t>Podruhé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historii byla také zjišťována soužití osob stejného pohlaví, tzn. osob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registrovaném partnerství nebo neformálních soužitích. Na úrovni republiky šlo o téměř 8 tisíc párů. Ze tří čtvrtin se jednalo o faktická partnerství, z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jedné </w:t>
      </w:r>
      <w:r>
        <w:rPr>
          <w:rFonts w:cs="Arial"/>
          <w:color w:val="000000" w:themeColor="text1"/>
          <w:szCs w:val="20"/>
        </w:rPr>
        <w:t>čtvrtiny</w:t>
      </w:r>
      <w:r w:rsidRPr="00260B7F">
        <w:rPr>
          <w:color w:val="000000" w:themeColor="text1"/>
        </w:rPr>
        <w:t xml:space="preserve"> partnerství registrovaná. </w:t>
      </w:r>
      <w:r w:rsidRPr="006A7B85">
        <w:rPr>
          <w:color w:val="000000" w:themeColor="text1"/>
        </w:rPr>
        <w:t>Partnerství osob stejného pohlaví byla koncentrována do nejlidnatějších obcí, skoro polovina partnerství stejného pohlaví žila ve městech nad 100</w:t>
      </w:r>
      <w:r w:rsidRPr="00ED68C6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000 obyvatel.</w:t>
      </w:r>
    </w:p>
    <w:p w:rsidR="00EB121C" w:rsidRPr="00260B7F" w:rsidRDefault="00EB121C" w:rsidP="00EB121C">
      <w:pPr>
        <w:shd w:val="clear" w:color="auto" w:fill="FFFFFF"/>
        <w:spacing w:after="120"/>
        <w:jc w:val="both"/>
        <w:rPr>
          <w:color w:val="000000" w:themeColor="text1"/>
        </w:rPr>
      </w:pPr>
      <w:r w:rsidRPr="00260B7F">
        <w:rPr>
          <w:color w:val="000000" w:themeColor="text1"/>
        </w:rPr>
        <w:t>Necelou pětinu rodinných domácností představovaly neúplné rodiny.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této kategorii výrazně převažovaly osamělé matky nad osam</w:t>
      </w:r>
      <w:r w:rsidRPr="006A7B85">
        <w:rPr>
          <w:color w:val="000000" w:themeColor="text1"/>
        </w:rPr>
        <w:t xml:space="preserve">ělými otci. Podíl neúplných rodin na rodinných domácnostech se </w:t>
      </w:r>
      <w:r>
        <w:rPr>
          <w:rFonts w:cs="Arial"/>
          <w:color w:val="000000" w:themeColor="text1"/>
          <w:szCs w:val="20"/>
        </w:rPr>
        <w:t xml:space="preserve">obecně </w:t>
      </w:r>
      <w:r w:rsidRPr="00260B7F">
        <w:rPr>
          <w:color w:val="000000" w:themeColor="text1"/>
        </w:rPr>
        <w:t>zvyšoval s</w:t>
      </w:r>
      <w:r w:rsidRPr="00345C61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rostoucí velikostí obce. Nejvyšší podíl měly neúplné rodiny v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kraji Ústeckém a Karlovarském (21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>).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6A7B85">
        <w:rPr>
          <w:color w:val="000000" w:themeColor="text1"/>
        </w:rPr>
        <w:t xml:space="preserve">Téměř </w:t>
      </w:r>
      <w:r>
        <w:rPr>
          <w:rFonts w:cs="Arial"/>
          <w:color w:val="000000" w:themeColor="text1"/>
          <w:szCs w:val="20"/>
        </w:rPr>
        <w:t>41</w:t>
      </w:r>
      <w:r w:rsidR="001705B1">
        <w:rPr>
          <w:color w:val="000000" w:themeColor="text1"/>
        </w:rPr>
        <w:t> %</w:t>
      </w:r>
      <w:r w:rsidRPr="00260B7F">
        <w:rPr>
          <w:color w:val="000000" w:themeColor="text1"/>
        </w:rPr>
        <w:t xml:space="preserve"> hospodařících domácností představovaly domácnosti nerodinné. Jedním z</w:t>
      </w:r>
      <w:r>
        <w:rPr>
          <w:rFonts w:cs="Arial"/>
          <w:color w:val="000000" w:themeColor="text1"/>
          <w:szCs w:val="20"/>
        </w:rPr>
        <w:t> nejvýraznějších</w:t>
      </w:r>
      <w:r w:rsidRPr="00260B7F">
        <w:rPr>
          <w:color w:val="000000" w:themeColor="text1"/>
        </w:rPr>
        <w:t xml:space="preserve"> trendů </w:t>
      </w:r>
      <w:r>
        <w:rPr>
          <w:rFonts w:cs="Arial"/>
          <w:color w:val="000000" w:themeColor="text1"/>
          <w:szCs w:val="20"/>
        </w:rPr>
        <w:t>měnících</w:t>
      </w:r>
      <w:r w:rsidRPr="00260B7F">
        <w:rPr>
          <w:color w:val="000000" w:themeColor="text1"/>
        </w:rPr>
        <w:t xml:space="preserve"> strukturu domácností je stabilní nárůst počtu domácností jednotlivců - mezi posledními sčítáními se</w:t>
      </w:r>
      <w:r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počet domácností jednotlivců zvýšil dokonce o třetinu.</w:t>
      </w:r>
    </w:p>
    <w:p w:rsidR="00EB121C" w:rsidRPr="006A7B85" w:rsidRDefault="00EB121C" w:rsidP="00EB121C">
      <w:pPr>
        <w:shd w:val="clear" w:color="auto" w:fill="FFFFFF"/>
        <w:spacing w:after="120"/>
        <w:jc w:val="both"/>
        <w:rPr>
          <w:color w:val="000000" w:themeColor="text1"/>
          <w:highlight w:val="yellow"/>
        </w:rPr>
      </w:pPr>
      <w:r w:rsidRPr="00260B7F">
        <w:rPr>
          <w:color w:val="000000" w:themeColor="text1"/>
        </w:rPr>
        <w:lastRenderedPageBreak/>
        <w:t>V</w:t>
      </w:r>
      <w:r w:rsidRPr="009E74B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převážné většině případů bydlí v</w:t>
      </w:r>
      <w:r w:rsidRPr="009E74BA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jednom bytě jedna hospodařící domácnost. V</w:t>
      </w:r>
      <w:r w:rsidRPr="009E74BA">
        <w:rPr>
          <w:rFonts w:cs="Arial"/>
          <w:color w:val="000000" w:themeColor="text1"/>
          <w:szCs w:val="20"/>
        </w:rPr>
        <w:t> </w:t>
      </w:r>
      <w:r w:rsidR="001705B1">
        <w:rPr>
          <w:color w:val="000000" w:themeColor="text1"/>
        </w:rPr>
        <w:t>necelých 3</w:t>
      </w:r>
      <w:r w:rsidR="00B53C90">
        <w:rPr>
          <w:color w:val="000000" w:themeColor="text1"/>
        </w:rPr>
        <w:t> </w:t>
      </w:r>
      <w:r w:rsidRPr="00260B7F">
        <w:rPr>
          <w:color w:val="000000" w:themeColor="text1"/>
        </w:rPr>
        <w:t xml:space="preserve">% bytových domácností bydlí </w:t>
      </w:r>
      <w:r>
        <w:rPr>
          <w:rFonts w:cs="Arial"/>
          <w:color w:val="000000" w:themeColor="text1"/>
          <w:szCs w:val="20"/>
        </w:rPr>
        <w:t>dvě</w:t>
      </w:r>
      <w:r w:rsidRPr="00260B7F">
        <w:rPr>
          <w:color w:val="000000" w:themeColor="text1"/>
        </w:rPr>
        <w:t xml:space="preserve"> hos</w:t>
      </w:r>
      <w:r w:rsidR="00B53C90">
        <w:rPr>
          <w:color w:val="000000" w:themeColor="text1"/>
        </w:rPr>
        <w:t>podařící domácnosti společně. S </w:t>
      </w:r>
      <w:r w:rsidRPr="00260B7F">
        <w:rPr>
          <w:color w:val="000000" w:themeColor="text1"/>
        </w:rPr>
        <w:t xml:space="preserve">byty obývanými </w:t>
      </w:r>
      <w:r>
        <w:rPr>
          <w:rFonts w:cs="Arial"/>
          <w:color w:val="000000" w:themeColor="text1"/>
          <w:szCs w:val="20"/>
        </w:rPr>
        <w:t>třemi</w:t>
      </w:r>
      <w:r w:rsidRPr="00260B7F">
        <w:rPr>
          <w:color w:val="000000" w:themeColor="text1"/>
        </w:rPr>
        <w:t xml:space="preserve"> a více hospodařícími domácnostmi se lze setkat už jen velmi výjimečně. Z</w:t>
      </w:r>
      <w:r w:rsidRPr="0050451E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hlediska velikostních skupin obcí jsou rozdíly v</w:t>
      </w:r>
      <w:r w:rsidRPr="0050451E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podílech podle počtu hospodařících domácností v</w:t>
      </w:r>
      <w:r w:rsidRPr="0050451E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bytě nepatrné. Lze sledovat, že s</w:t>
      </w:r>
      <w:r w:rsidRPr="0050451E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rostoucí velikostí obce klesá podíl bytových domácností s</w:t>
      </w:r>
      <w:r w:rsidRPr="0050451E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větším počtem hospodařících domácností. Také regionální rozdíly jsou spíše nepatrné. Nejvyšší zastoupení bytových domácnosti s</w:t>
      </w:r>
      <w:r w:rsidRPr="00611A79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 xml:space="preserve">jednou hospodařící </w:t>
      </w:r>
      <w:r>
        <w:rPr>
          <w:rFonts w:cs="Arial"/>
          <w:color w:val="000000" w:themeColor="text1"/>
          <w:szCs w:val="20"/>
        </w:rPr>
        <w:t>domácností</w:t>
      </w:r>
      <w:r w:rsidRPr="00260B7F">
        <w:rPr>
          <w:color w:val="000000" w:themeColor="text1"/>
        </w:rPr>
        <w:t xml:space="preserve"> byl v</w:t>
      </w:r>
      <w:r w:rsidRPr="00611A79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Ústeckém a Karlovarském kraji, a</w:t>
      </w:r>
      <w:r w:rsidRPr="00611A79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také v hlavním městě Praze. Naopak nejnižší zastoupení pak v</w:t>
      </w:r>
      <w:r w:rsidRPr="00611A79">
        <w:rPr>
          <w:rFonts w:cs="Arial"/>
          <w:color w:val="000000" w:themeColor="text1"/>
          <w:szCs w:val="20"/>
        </w:rPr>
        <w:t> </w:t>
      </w:r>
      <w:r w:rsidRPr="00260B7F">
        <w:rPr>
          <w:color w:val="000000" w:themeColor="text1"/>
        </w:rPr>
        <w:t>Moravskoslezském kraji a na Vysočině.</w:t>
      </w:r>
    </w:p>
    <w:p w:rsidR="00057DD1" w:rsidRDefault="00EB121C" w:rsidP="002C32B5">
      <w:pPr>
        <w:jc w:val="both"/>
      </w:pPr>
      <w:r w:rsidRPr="00260B7F">
        <w:t>Ve více než v polovině (54</w:t>
      </w:r>
      <w:r w:rsidR="001705B1">
        <w:t> %</w:t>
      </w:r>
      <w:r w:rsidRPr="00260B7F">
        <w:t>) hospodařících domácností tvořených jednou rodinou nežilo žádné závislé dítě. Domácnosti s</w:t>
      </w:r>
      <w:r>
        <w:rPr>
          <w:rFonts w:cs="Arial"/>
          <w:szCs w:val="20"/>
        </w:rPr>
        <w:t> </w:t>
      </w:r>
      <w:r w:rsidRPr="00260B7F">
        <w:t>jedním závislým dítětem představovaly více než pětinu (22</w:t>
      </w:r>
      <w:r w:rsidR="001705B1">
        <w:t> %</w:t>
      </w:r>
      <w:r w:rsidRPr="00260B7F">
        <w:t>) všech hospodařících domácností tvořených jednou rodinou, další téměř pětinu pak domácnosti se dvěma závislými dětmi.</w:t>
      </w:r>
    </w:p>
    <w:sectPr w:rsidR="00057DD1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ED" w:rsidRDefault="006B49ED" w:rsidP="00E71A58">
      <w:r>
        <w:separator/>
      </w:r>
    </w:p>
  </w:endnote>
  <w:endnote w:type="continuationSeparator" w:id="0">
    <w:p w:rsidR="006B49ED" w:rsidRDefault="006B49E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Segoe Print"/>
    <w:charset w:val="00"/>
    <w:family w:val="auto"/>
    <w:pitch w:val="default"/>
    <w:sig w:usb0="00000000" w:usb1="00000000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932443" w:rsidRDefault="006B49E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C32B5">
      <w:rPr>
        <w:szCs w:val="16"/>
      </w:rPr>
      <w:t>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932443" w:rsidRDefault="006B49ED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2021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C32B5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ED" w:rsidRDefault="006B49ED" w:rsidP="00E71A58">
      <w:r>
        <w:separator/>
      </w:r>
    </w:p>
  </w:footnote>
  <w:footnote w:type="continuationSeparator" w:id="0">
    <w:p w:rsidR="006B49ED" w:rsidRDefault="006B49E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264157" w:rsidRDefault="006B49ED" w:rsidP="00264157">
    <w:pPr>
      <w:pStyle w:val="Zhlav"/>
    </w:pPr>
    <w:r>
      <w:t>Základní výsledky Sčítání lidu, domů a bytů v České republice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ED" w:rsidRPr="00EA1787" w:rsidRDefault="006B49ED" w:rsidP="00EA1787">
    <w:pPr>
      <w:pStyle w:val="Zhlav"/>
    </w:pPr>
    <w:r>
      <w:t>Základní výsledky Sčítání lidu, domů a bytů v České republice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64EF6"/>
    <w:multiLevelType w:val="hybridMultilevel"/>
    <w:tmpl w:val="D42C4130"/>
    <w:lvl w:ilvl="0" w:tplc="9990CEB4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4"/>
        </w:tabs>
        <w:ind w:left="6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4"/>
        </w:tabs>
        <w:ind w:left="71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4"/>
        </w:tabs>
        <w:ind w:left="7904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5376"/>
    <w:multiLevelType w:val="hybridMultilevel"/>
    <w:tmpl w:val="3AE02706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640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1"/>
    <w:rsid w:val="0000209D"/>
    <w:rsid w:val="00004D5A"/>
    <w:rsid w:val="000056D5"/>
    <w:rsid w:val="0000729D"/>
    <w:rsid w:val="0000767A"/>
    <w:rsid w:val="00010702"/>
    <w:rsid w:val="000154C6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57DD1"/>
    <w:rsid w:val="000610E1"/>
    <w:rsid w:val="00062EC5"/>
    <w:rsid w:val="00062F22"/>
    <w:rsid w:val="000712B3"/>
    <w:rsid w:val="00076646"/>
    <w:rsid w:val="0008263E"/>
    <w:rsid w:val="00082C19"/>
    <w:rsid w:val="00085395"/>
    <w:rsid w:val="00087634"/>
    <w:rsid w:val="00087F2B"/>
    <w:rsid w:val="000974D1"/>
    <w:rsid w:val="0009799E"/>
    <w:rsid w:val="000A0071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075DA"/>
    <w:rsid w:val="0012192F"/>
    <w:rsid w:val="00125D69"/>
    <w:rsid w:val="0013575C"/>
    <w:rsid w:val="001405FA"/>
    <w:rsid w:val="001425C3"/>
    <w:rsid w:val="001443AF"/>
    <w:rsid w:val="0015347C"/>
    <w:rsid w:val="0016256B"/>
    <w:rsid w:val="00163793"/>
    <w:rsid w:val="00166171"/>
    <w:rsid w:val="001705B1"/>
    <w:rsid w:val="001706D6"/>
    <w:rsid w:val="001714F2"/>
    <w:rsid w:val="00184B08"/>
    <w:rsid w:val="00185010"/>
    <w:rsid w:val="001857F6"/>
    <w:rsid w:val="001A552F"/>
    <w:rsid w:val="001B2CA9"/>
    <w:rsid w:val="001B2F75"/>
    <w:rsid w:val="001B3110"/>
    <w:rsid w:val="001B4729"/>
    <w:rsid w:val="001B6C09"/>
    <w:rsid w:val="001C05CD"/>
    <w:rsid w:val="001D68B2"/>
    <w:rsid w:val="001E6497"/>
    <w:rsid w:val="001F4597"/>
    <w:rsid w:val="002118B9"/>
    <w:rsid w:val="00217C5B"/>
    <w:rsid w:val="002206B4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64157"/>
    <w:rsid w:val="00271465"/>
    <w:rsid w:val="002811AB"/>
    <w:rsid w:val="00285412"/>
    <w:rsid w:val="0029209F"/>
    <w:rsid w:val="00296AF2"/>
    <w:rsid w:val="002A00BE"/>
    <w:rsid w:val="002A16D4"/>
    <w:rsid w:val="002A230C"/>
    <w:rsid w:val="002B6284"/>
    <w:rsid w:val="002C32B5"/>
    <w:rsid w:val="002C43BD"/>
    <w:rsid w:val="002D0E59"/>
    <w:rsid w:val="002D1D6B"/>
    <w:rsid w:val="002D1EB0"/>
    <w:rsid w:val="002E02A1"/>
    <w:rsid w:val="002E4E4C"/>
    <w:rsid w:val="002F3F42"/>
    <w:rsid w:val="00304771"/>
    <w:rsid w:val="003052D4"/>
    <w:rsid w:val="00306C5B"/>
    <w:rsid w:val="00306E71"/>
    <w:rsid w:val="003209D6"/>
    <w:rsid w:val="00321924"/>
    <w:rsid w:val="0032656E"/>
    <w:rsid w:val="0033123A"/>
    <w:rsid w:val="00332190"/>
    <w:rsid w:val="00336FCE"/>
    <w:rsid w:val="00344668"/>
    <w:rsid w:val="003462D9"/>
    <w:rsid w:val="00360C86"/>
    <w:rsid w:val="003657F3"/>
    <w:rsid w:val="0037610B"/>
    <w:rsid w:val="003818DC"/>
    <w:rsid w:val="00383D12"/>
    <w:rsid w:val="00384327"/>
    <w:rsid w:val="00385D98"/>
    <w:rsid w:val="003A2B4D"/>
    <w:rsid w:val="003A478C"/>
    <w:rsid w:val="003A5525"/>
    <w:rsid w:val="003A6B38"/>
    <w:rsid w:val="003B337D"/>
    <w:rsid w:val="003B5A32"/>
    <w:rsid w:val="003C3490"/>
    <w:rsid w:val="003D1FC0"/>
    <w:rsid w:val="003D6920"/>
    <w:rsid w:val="003E4C91"/>
    <w:rsid w:val="003E7899"/>
    <w:rsid w:val="003F313C"/>
    <w:rsid w:val="003F4B2C"/>
    <w:rsid w:val="003F551C"/>
    <w:rsid w:val="003F7D23"/>
    <w:rsid w:val="0040631C"/>
    <w:rsid w:val="00407C13"/>
    <w:rsid w:val="00410638"/>
    <w:rsid w:val="00432A58"/>
    <w:rsid w:val="00434617"/>
    <w:rsid w:val="00440900"/>
    <w:rsid w:val="004441A0"/>
    <w:rsid w:val="00460FB3"/>
    <w:rsid w:val="00475B69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2BDA"/>
    <w:rsid w:val="004B55B7"/>
    <w:rsid w:val="004B6468"/>
    <w:rsid w:val="004C384C"/>
    <w:rsid w:val="004C3867"/>
    <w:rsid w:val="004C4CD0"/>
    <w:rsid w:val="004C70DC"/>
    <w:rsid w:val="004D0211"/>
    <w:rsid w:val="004D0794"/>
    <w:rsid w:val="004F06F5"/>
    <w:rsid w:val="004F33A0"/>
    <w:rsid w:val="005005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25DB5"/>
    <w:rsid w:val="00532CE7"/>
    <w:rsid w:val="0053324C"/>
    <w:rsid w:val="00534A28"/>
    <w:rsid w:val="00541508"/>
    <w:rsid w:val="0055599F"/>
    <w:rsid w:val="00556D68"/>
    <w:rsid w:val="005647BF"/>
    <w:rsid w:val="0056613B"/>
    <w:rsid w:val="0057364B"/>
    <w:rsid w:val="00574773"/>
    <w:rsid w:val="00583FFD"/>
    <w:rsid w:val="005911BE"/>
    <w:rsid w:val="00593152"/>
    <w:rsid w:val="005A10F2"/>
    <w:rsid w:val="005A21E0"/>
    <w:rsid w:val="005A28FF"/>
    <w:rsid w:val="005A36A6"/>
    <w:rsid w:val="005A3DF8"/>
    <w:rsid w:val="005A5549"/>
    <w:rsid w:val="005B121D"/>
    <w:rsid w:val="005B1909"/>
    <w:rsid w:val="005B524A"/>
    <w:rsid w:val="005C06ED"/>
    <w:rsid w:val="005D5802"/>
    <w:rsid w:val="005D7890"/>
    <w:rsid w:val="005E7C78"/>
    <w:rsid w:val="005F0331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49ED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329E"/>
    <w:rsid w:val="006F5416"/>
    <w:rsid w:val="006F7137"/>
    <w:rsid w:val="00706AD4"/>
    <w:rsid w:val="00712472"/>
    <w:rsid w:val="007140BE"/>
    <w:rsid w:val="00714AA0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A1F46"/>
    <w:rsid w:val="007A4BF3"/>
    <w:rsid w:val="007B1459"/>
    <w:rsid w:val="007B6689"/>
    <w:rsid w:val="007D40DF"/>
    <w:rsid w:val="007D749B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0C82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67CA3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3FE8"/>
    <w:rsid w:val="008F585B"/>
    <w:rsid w:val="009003A8"/>
    <w:rsid w:val="00902500"/>
    <w:rsid w:val="00902EFF"/>
    <w:rsid w:val="00905EBB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65DB8"/>
    <w:rsid w:val="00974923"/>
    <w:rsid w:val="00980D3D"/>
    <w:rsid w:val="00987A30"/>
    <w:rsid w:val="00992CF3"/>
    <w:rsid w:val="009956BA"/>
    <w:rsid w:val="009968D6"/>
    <w:rsid w:val="009A1CAB"/>
    <w:rsid w:val="009A60D1"/>
    <w:rsid w:val="009B4C30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9F682F"/>
    <w:rsid w:val="00A10D66"/>
    <w:rsid w:val="00A14114"/>
    <w:rsid w:val="00A16413"/>
    <w:rsid w:val="00A23E43"/>
    <w:rsid w:val="00A30F65"/>
    <w:rsid w:val="00A33A01"/>
    <w:rsid w:val="00A418BC"/>
    <w:rsid w:val="00A46DE0"/>
    <w:rsid w:val="00A50D73"/>
    <w:rsid w:val="00A52AFB"/>
    <w:rsid w:val="00A52CAD"/>
    <w:rsid w:val="00A53620"/>
    <w:rsid w:val="00A53FC7"/>
    <w:rsid w:val="00A6133B"/>
    <w:rsid w:val="00A61C65"/>
    <w:rsid w:val="00A62CE1"/>
    <w:rsid w:val="00A6741E"/>
    <w:rsid w:val="00A75E40"/>
    <w:rsid w:val="00A77D1D"/>
    <w:rsid w:val="00A857C0"/>
    <w:rsid w:val="00AA2996"/>
    <w:rsid w:val="00AA2A1A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3C90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1F54"/>
    <w:rsid w:val="00BD2670"/>
    <w:rsid w:val="00BD366B"/>
    <w:rsid w:val="00BD6D50"/>
    <w:rsid w:val="00BE18B9"/>
    <w:rsid w:val="00BE2495"/>
    <w:rsid w:val="00BE42D9"/>
    <w:rsid w:val="00BE7667"/>
    <w:rsid w:val="00BF1578"/>
    <w:rsid w:val="00BF451E"/>
    <w:rsid w:val="00C1168A"/>
    <w:rsid w:val="00C21F94"/>
    <w:rsid w:val="00C2261F"/>
    <w:rsid w:val="00C27913"/>
    <w:rsid w:val="00C27ECC"/>
    <w:rsid w:val="00C33B68"/>
    <w:rsid w:val="00C36A79"/>
    <w:rsid w:val="00C405D4"/>
    <w:rsid w:val="00C4513B"/>
    <w:rsid w:val="00C5240D"/>
    <w:rsid w:val="00C54697"/>
    <w:rsid w:val="00C73885"/>
    <w:rsid w:val="00C747B1"/>
    <w:rsid w:val="00C82191"/>
    <w:rsid w:val="00C86AB0"/>
    <w:rsid w:val="00C90CF4"/>
    <w:rsid w:val="00C92EB6"/>
    <w:rsid w:val="00C93389"/>
    <w:rsid w:val="00CB4930"/>
    <w:rsid w:val="00CB7C87"/>
    <w:rsid w:val="00CC2E7D"/>
    <w:rsid w:val="00CD10A5"/>
    <w:rsid w:val="00CD1EEB"/>
    <w:rsid w:val="00CD2076"/>
    <w:rsid w:val="00CE670B"/>
    <w:rsid w:val="00CF51EC"/>
    <w:rsid w:val="00CF73AE"/>
    <w:rsid w:val="00D040DD"/>
    <w:rsid w:val="00D05FDC"/>
    <w:rsid w:val="00D13986"/>
    <w:rsid w:val="00D15E1E"/>
    <w:rsid w:val="00D235B7"/>
    <w:rsid w:val="00D25F28"/>
    <w:rsid w:val="00D27973"/>
    <w:rsid w:val="00D43D1D"/>
    <w:rsid w:val="00D50F46"/>
    <w:rsid w:val="00D64DBE"/>
    <w:rsid w:val="00D66223"/>
    <w:rsid w:val="00D8084C"/>
    <w:rsid w:val="00DA7C0C"/>
    <w:rsid w:val="00DB2EC8"/>
    <w:rsid w:val="00DC5B3B"/>
    <w:rsid w:val="00DD129F"/>
    <w:rsid w:val="00DD5896"/>
    <w:rsid w:val="00DE3C6A"/>
    <w:rsid w:val="00DF42FF"/>
    <w:rsid w:val="00E016DB"/>
    <w:rsid w:val="00E01C0E"/>
    <w:rsid w:val="00E03F9A"/>
    <w:rsid w:val="00E04694"/>
    <w:rsid w:val="00E06F53"/>
    <w:rsid w:val="00E12B1E"/>
    <w:rsid w:val="00E17262"/>
    <w:rsid w:val="00E253A2"/>
    <w:rsid w:val="00E3309D"/>
    <w:rsid w:val="00E37706"/>
    <w:rsid w:val="00E50156"/>
    <w:rsid w:val="00E5331E"/>
    <w:rsid w:val="00E53470"/>
    <w:rsid w:val="00E539F6"/>
    <w:rsid w:val="00E6519D"/>
    <w:rsid w:val="00E67696"/>
    <w:rsid w:val="00E71A58"/>
    <w:rsid w:val="00E72A7A"/>
    <w:rsid w:val="00E75C94"/>
    <w:rsid w:val="00E877BE"/>
    <w:rsid w:val="00E87D7F"/>
    <w:rsid w:val="00E93820"/>
    <w:rsid w:val="00EA0C68"/>
    <w:rsid w:val="00EA1787"/>
    <w:rsid w:val="00EA32BC"/>
    <w:rsid w:val="00EB121C"/>
    <w:rsid w:val="00EB4511"/>
    <w:rsid w:val="00EC03D7"/>
    <w:rsid w:val="00ED106E"/>
    <w:rsid w:val="00ED62C6"/>
    <w:rsid w:val="00ED64C1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36C72"/>
    <w:rsid w:val="00F437CC"/>
    <w:rsid w:val="00F44C06"/>
    <w:rsid w:val="00F47067"/>
    <w:rsid w:val="00F525EB"/>
    <w:rsid w:val="00F5794C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BD71E3A"/>
  <w15:docId w15:val="{ABB23CD1-7A59-40B7-9136-ACFFED53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Nadpisobsahu">
    <w:name w:val="TOC Heading"/>
    <w:basedOn w:val="Nadpis1"/>
    <w:next w:val="Normln"/>
    <w:uiPriority w:val="39"/>
    <w:unhideWhenUsed/>
    <w:qFormat/>
    <w:rsid w:val="00EA1787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64D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4DB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4DBE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64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BE"/>
    <w:rPr>
      <w:rFonts w:ascii="Arial" w:eastAsia="Times New Roman" w:hAnsi="Arial"/>
      <w:b/>
      <w:bCs/>
      <w:lang w:eastAsia="cs-CZ"/>
    </w:rPr>
  </w:style>
  <w:style w:type="paragraph" w:styleId="Normlnweb">
    <w:name w:val="Normal (Web)"/>
    <w:basedOn w:val="Normln"/>
    <w:uiPriority w:val="99"/>
    <w:unhideWhenUsed/>
    <w:qFormat/>
    <w:rsid w:val="008F3FE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customStyle="1" w:styleId="Rbntext">
    <w:name w:val="R běžný text"/>
    <w:rsid w:val="006B49ED"/>
    <w:pPr>
      <w:spacing w:after="120"/>
      <w:jc w:val="both"/>
    </w:pPr>
    <w:rPr>
      <w:rFonts w:ascii="Arial" w:eastAsia="Times New Roman" w:hAnsi="Arial"/>
      <w:lang w:eastAsia="cs-CZ"/>
    </w:rPr>
  </w:style>
  <w:style w:type="paragraph" w:customStyle="1" w:styleId="Default">
    <w:name w:val="Default"/>
    <w:rsid w:val="006B49E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Muj-zakltext3">
    <w:name w:val="Muj-zakl.text3"/>
    <w:basedOn w:val="Normln"/>
    <w:rsid w:val="006B49ED"/>
    <w:pPr>
      <w:keepNext/>
      <w:spacing w:after="0" w:line="240" w:lineRule="auto"/>
      <w:jc w:val="both"/>
    </w:pPr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7230-F788-4177-B48F-F113BED7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3301</Words>
  <Characters>19480</Characters>
  <Application>Microsoft Office Word</Application>
  <DocSecurity>0</DocSecurity>
  <Lines>162</Lines>
  <Paragraphs>45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22736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Varmužová Věra</dc:creator>
  <cp:keywords/>
  <dc:description/>
  <cp:lastModifiedBy>Honner Jan</cp:lastModifiedBy>
  <cp:revision>2</cp:revision>
  <cp:lastPrinted>2023-06-27T08:33:00Z</cp:lastPrinted>
  <dcterms:created xsi:type="dcterms:W3CDTF">2023-06-27T09:40:00Z</dcterms:created>
  <dcterms:modified xsi:type="dcterms:W3CDTF">2023-06-27T09:40:00Z</dcterms:modified>
  <cp:category/>
</cp:coreProperties>
</file>