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31DB51" w14:textId="77777777" w:rsidR="00C2211E" w:rsidRPr="00D970F7" w:rsidRDefault="00C2211E" w:rsidP="00C2211E">
      <w:pPr>
        <w:pStyle w:val="Nadpis11"/>
        <w:rPr>
          <w:lang w:val="en-GB"/>
        </w:rPr>
      </w:pPr>
      <w:bookmarkStart w:id="0" w:name="_Toc19090676"/>
      <w:bookmarkStart w:id="1" w:name="_Toc37403642"/>
      <w:bookmarkStart w:id="2" w:name="_Toc50712127"/>
      <w:r w:rsidRPr="00D970F7">
        <w:rPr>
          <w:lang w:val="en-GB"/>
        </w:rPr>
        <w:t>3. </w:t>
      </w:r>
      <w:bookmarkStart w:id="3" w:name="_Toc454185150"/>
      <w:bookmarkStart w:id="4" w:name="_Toc493683635"/>
      <w:r w:rsidRPr="00D970F7">
        <w:rPr>
          <w:lang w:val="en-GB"/>
        </w:rPr>
        <w:t>Branches Performance</w:t>
      </w:r>
      <w:bookmarkEnd w:id="1"/>
      <w:bookmarkEnd w:id="2"/>
      <w:bookmarkEnd w:id="3"/>
      <w:bookmarkEnd w:id="4"/>
    </w:p>
    <w:tbl>
      <w:tblPr>
        <w:tblW w:w="9644" w:type="dxa"/>
        <w:tblCellMar>
          <w:left w:w="0" w:type="dxa"/>
          <w:right w:w="0" w:type="dxa"/>
        </w:tblCellMar>
        <w:tblLook w:val="00A0" w:firstRow="1" w:lastRow="0" w:firstColumn="1" w:lastColumn="0" w:noHBand="0" w:noVBand="0"/>
      </w:tblPr>
      <w:tblGrid>
        <w:gridCol w:w="1723"/>
        <w:gridCol w:w="191"/>
        <w:gridCol w:w="7730"/>
      </w:tblGrid>
      <w:tr w:rsidR="00C2211E" w:rsidRPr="00D970F7" w14:paraId="6DC492CD" w14:textId="77777777" w:rsidTr="00C2211E">
        <w:trPr>
          <w:trHeight w:val="145"/>
        </w:trPr>
        <w:tc>
          <w:tcPr>
            <w:tcW w:w="1723" w:type="dxa"/>
            <w:shd w:val="clear" w:color="auto" w:fill="auto"/>
            <w:tcMar>
              <w:left w:w="0" w:type="dxa"/>
            </w:tcMar>
          </w:tcPr>
          <w:bookmarkEnd w:id="0"/>
          <w:p w14:paraId="426C367B" w14:textId="77777777" w:rsidR="00C2211E" w:rsidRPr="00D970F7" w:rsidRDefault="00C2211E" w:rsidP="00C2211E">
            <w:pPr>
              <w:pStyle w:val="Marginlie"/>
              <w:rPr>
                <w:lang w:val="en-GB"/>
              </w:rPr>
            </w:pPr>
            <w:r w:rsidRPr="00D970F7">
              <w:rPr>
                <w:lang w:val="en-GB"/>
              </w:rPr>
              <w:t>Quarter-on-quarter decrease of GVA deepened down to 9.4% in the whole economy in Q2.</w:t>
            </w:r>
          </w:p>
          <w:p w14:paraId="4C72F788" w14:textId="77777777" w:rsidR="00C2211E" w:rsidRPr="00D970F7" w:rsidRDefault="00C2211E" w:rsidP="00C2211E">
            <w:pPr>
              <w:pStyle w:val="Marginlie"/>
              <w:rPr>
                <w:lang w:val="en-GB"/>
              </w:rPr>
            </w:pPr>
          </w:p>
          <w:p w14:paraId="718EF6FE" w14:textId="77777777" w:rsidR="00C2211E" w:rsidRPr="00D970F7" w:rsidRDefault="00C2211E" w:rsidP="00C2211E">
            <w:pPr>
              <w:pStyle w:val="Marginlie"/>
              <w:rPr>
                <w:lang w:val="en-GB"/>
              </w:rPr>
            </w:pPr>
          </w:p>
          <w:p w14:paraId="14A65F45" w14:textId="77777777" w:rsidR="00C2211E" w:rsidRPr="00D970F7" w:rsidRDefault="00C2211E" w:rsidP="00C2211E">
            <w:pPr>
              <w:pStyle w:val="Marginlie"/>
              <w:rPr>
                <w:lang w:val="en-GB"/>
              </w:rPr>
            </w:pPr>
          </w:p>
          <w:p w14:paraId="4DA18A3F" w14:textId="77777777" w:rsidR="00C2211E" w:rsidRPr="00D970F7" w:rsidRDefault="00C2211E" w:rsidP="00C2211E">
            <w:pPr>
              <w:pStyle w:val="Marginlie"/>
              <w:rPr>
                <w:lang w:val="en-GB"/>
              </w:rPr>
            </w:pPr>
          </w:p>
          <w:p w14:paraId="494164DC" w14:textId="77777777" w:rsidR="00C2211E" w:rsidRPr="00D970F7" w:rsidRDefault="00C2211E" w:rsidP="00C2211E">
            <w:pPr>
              <w:pStyle w:val="Marginlie"/>
              <w:rPr>
                <w:lang w:val="en-GB"/>
              </w:rPr>
            </w:pPr>
          </w:p>
          <w:p w14:paraId="6CC71AD2" w14:textId="4E38EBAA" w:rsidR="00C2211E" w:rsidRPr="00D970F7" w:rsidRDefault="00C2211E" w:rsidP="00C2211E">
            <w:pPr>
              <w:pStyle w:val="Marginlie"/>
              <w:rPr>
                <w:lang w:val="en-GB"/>
              </w:rPr>
            </w:pPr>
            <w:r w:rsidRPr="00D970F7">
              <w:rPr>
                <w:lang w:val="en-GB"/>
              </w:rPr>
              <w:t>The highest year-on-year economic performance downturn afflicted mainly the states of the euro area southern</w:t>
            </w:r>
            <w:r w:rsidR="006C0221">
              <w:rPr>
                <w:lang w:val="en-GB"/>
              </w:rPr>
              <w:t xml:space="preserve"> wing in H1. The CR belonged</w:t>
            </w:r>
            <w:r w:rsidRPr="00D970F7">
              <w:rPr>
                <w:lang w:val="en-GB"/>
              </w:rPr>
              <w:t xml:space="preserve"> to the average. </w:t>
            </w:r>
          </w:p>
        </w:tc>
        <w:tc>
          <w:tcPr>
            <w:tcW w:w="191" w:type="dxa"/>
            <w:shd w:val="clear" w:color="auto" w:fill="auto"/>
            <w:tcMar>
              <w:left w:w="0" w:type="dxa"/>
            </w:tcMar>
          </w:tcPr>
          <w:p w14:paraId="2D5CCE65" w14:textId="77777777" w:rsidR="00C2211E" w:rsidRPr="00D970F7" w:rsidRDefault="00C2211E" w:rsidP="00C2211E">
            <w:pPr>
              <w:pStyle w:val="Textpoznpodarou"/>
              <w:jc w:val="both"/>
              <w:rPr>
                <w:spacing w:val="-4"/>
                <w:lang w:val="en-GB"/>
              </w:rPr>
            </w:pPr>
          </w:p>
        </w:tc>
        <w:tc>
          <w:tcPr>
            <w:tcW w:w="7730" w:type="dxa"/>
            <w:shd w:val="clear" w:color="auto" w:fill="auto"/>
            <w:tcMar>
              <w:left w:w="0" w:type="dxa"/>
            </w:tcMar>
          </w:tcPr>
          <w:p w14:paraId="5C66C5F1" w14:textId="251C2CE0" w:rsidR="00C2211E" w:rsidRPr="00D970F7" w:rsidRDefault="002238F3" w:rsidP="00C2211E">
            <w:pPr>
              <w:spacing w:after="220"/>
              <w:rPr>
                <w:spacing w:val="-3"/>
                <w:lang w:val="en-GB"/>
              </w:rPr>
            </w:pPr>
            <w:r>
              <w:rPr>
                <w:spacing w:val="-3"/>
                <w:lang w:val="en-GB"/>
              </w:rPr>
              <w:t xml:space="preserve">If the restrictive </w:t>
            </w:r>
            <w:r w:rsidR="00C2211E" w:rsidRPr="00D970F7">
              <w:rPr>
                <w:spacing w:val="-3"/>
                <w:lang w:val="en-GB"/>
              </w:rPr>
              <w:t>pandemic measures severely hit primarily the branches closely tied to tourism in Q1 2020,</w:t>
            </w:r>
            <w:r>
              <w:rPr>
                <w:spacing w:val="-3"/>
                <w:lang w:val="en-GB"/>
              </w:rPr>
              <w:t xml:space="preserve"> it already managed to</w:t>
            </w:r>
            <w:r w:rsidR="00C2211E" w:rsidRPr="00D970F7">
              <w:rPr>
                <w:spacing w:val="-3"/>
                <w:lang w:val="en-GB"/>
              </w:rPr>
              <w:t xml:space="preserve"> paralyse a large part of the economy during the subsequent quarter. The gross value added (GVA)</w:t>
            </w:r>
            <w:r w:rsidR="00C2211E" w:rsidRPr="00D970F7">
              <w:rPr>
                <w:rStyle w:val="Znakapoznpodarou"/>
                <w:spacing w:val="-3"/>
                <w:lang w:val="en-GB"/>
              </w:rPr>
              <w:footnoteReference w:id="1"/>
            </w:r>
            <w:r w:rsidR="00C2211E" w:rsidRPr="00D970F7">
              <w:rPr>
                <w:spacing w:val="-3"/>
                <w:lang w:val="en-GB"/>
              </w:rPr>
              <w:t xml:space="preserve"> thus dived by record 9.4% quarter-on-quarter and markedly deepened its descend from Q1 (</w:t>
            </w:r>
            <w:r w:rsidR="00C2211E" w:rsidRPr="00D970F7">
              <w:rPr>
                <w:color w:val="000000" w:themeColor="text1"/>
                <w:spacing w:val="-3"/>
                <w:lang w:val="en-GB"/>
              </w:rPr>
              <w:t>–</w:t>
            </w:r>
            <w:r w:rsidR="00C2211E" w:rsidRPr="00D970F7">
              <w:rPr>
                <w:spacing w:val="-3"/>
                <w:lang w:val="en-GB"/>
              </w:rPr>
              <w:t>2.4%). In year-on-year expression, the GVA decreased by 6.1% in the whole H1 and slightly overtook the intensity of similar downturn from the first half of the crisis year 2009. Half-yearly performance of the Czech Republic ranked more to the average among the EU stat</w:t>
            </w:r>
            <w:r w:rsidR="00831E88">
              <w:rPr>
                <w:spacing w:val="-3"/>
                <w:lang w:val="en-GB"/>
              </w:rPr>
              <w:t>es (to the 12th place out of 23</w:t>
            </w:r>
            <w:r w:rsidR="00831E88" w:rsidRPr="00831E88">
              <w:t> </w:t>
            </w:r>
            <w:r w:rsidR="00C2211E" w:rsidRPr="00D970F7">
              <w:rPr>
                <w:spacing w:val="-3"/>
                <w:lang w:val="en-GB"/>
              </w:rPr>
              <w:t>states with available data</w:t>
            </w:r>
            <w:r w:rsidR="00C2211E" w:rsidRPr="00D970F7">
              <w:rPr>
                <w:rStyle w:val="Znakapoznpodarou"/>
                <w:spacing w:val="-3"/>
                <w:lang w:val="en-GB"/>
              </w:rPr>
              <w:footnoteReference w:id="2"/>
            </w:r>
            <w:r w:rsidR="00C2211E" w:rsidRPr="00D970F7">
              <w:rPr>
                <w:spacing w:val="-3"/>
                <w:lang w:val="en-GB"/>
              </w:rPr>
              <w:t>). Mainly the countries of the southern wing of the euro area registered the deepest downturn (for instance Spain 12.9%, Italy 11.8%, Portugal 8.7%) and also France (12.1%). By contrast, mainly the northern states and also the majority of newer EU members (with accession after year 2000) have so far enjoyed a relatively favourable position</w:t>
            </w:r>
            <w:r w:rsidR="00C2211E" w:rsidRPr="00D970F7">
              <w:rPr>
                <w:lang w:val="en-GB"/>
              </w:rPr>
              <w:t>, for example Lithuania (</w:t>
            </w:r>
            <w:r w:rsidR="00C2211E" w:rsidRPr="00D970F7">
              <w:rPr>
                <w:color w:val="000000" w:themeColor="text1"/>
                <w:lang w:val="en-GB"/>
              </w:rPr>
              <w:t>–</w:t>
            </w:r>
            <w:r w:rsidR="00C2211E" w:rsidRPr="00D970F7">
              <w:rPr>
                <w:lang w:val="en-GB"/>
              </w:rPr>
              <w:t>0.8%), Bulgaria (</w:t>
            </w:r>
            <w:r w:rsidR="00C2211E" w:rsidRPr="00D970F7">
              <w:rPr>
                <w:color w:val="000000" w:themeColor="text1"/>
                <w:lang w:val="en-GB"/>
              </w:rPr>
              <w:t>–</w:t>
            </w:r>
            <w:r w:rsidR="00C2211E" w:rsidRPr="00D970F7">
              <w:rPr>
                <w:lang w:val="en-GB"/>
              </w:rPr>
              <w:t>2.7%), Poland (</w:t>
            </w:r>
            <w:r w:rsidR="00C2211E" w:rsidRPr="00D970F7">
              <w:rPr>
                <w:color w:val="000000" w:themeColor="text1"/>
                <w:lang w:val="en-GB"/>
              </w:rPr>
              <w:t>–</w:t>
            </w:r>
            <w:r w:rsidR="00C2211E" w:rsidRPr="00D970F7">
              <w:rPr>
                <w:lang w:val="en-GB"/>
              </w:rPr>
              <w:t>3.5%).</w:t>
            </w:r>
            <w:r w:rsidR="00C2211E" w:rsidRPr="00D970F7">
              <w:rPr>
                <w:spacing w:val="-3"/>
                <w:lang w:val="en-GB"/>
              </w:rPr>
              <w:t xml:space="preserve"> Differences between the states primarily reflect the outbreak of the coronavirus infection across the EU, speed and intensity of the government measures and partially also the varying branch structure of economies (larger proportion of branches tied to tourism had an adverse effect, the role of public services </w:t>
            </w:r>
            <w:r w:rsidR="00511DFB">
              <w:rPr>
                <w:spacing w:val="-3"/>
                <w:lang w:val="en-GB"/>
              </w:rPr>
              <w:t xml:space="preserve">or agriculture </w:t>
            </w:r>
            <w:r w:rsidR="00C2211E" w:rsidRPr="00D970F7">
              <w:rPr>
                <w:spacing w:val="-3"/>
                <w:lang w:val="en-GB"/>
              </w:rPr>
              <w:t>then a positive effect).</w:t>
            </w:r>
          </w:p>
        </w:tc>
      </w:tr>
      <w:tr w:rsidR="00C2211E" w:rsidRPr="00D970F7" w14:paraId="50E38E5B" w14:textId="77777777" w:rsidTr="00C2211E">
        <w:trPr>
          <w:trHeight w:val="145"/>
        </w:trPr>
        <w:tc>
          <w:tcPr>
            <w:tcW w:w="1723" w:type="dxa"/>
            <w:shd w:val="clear" w:color="auto" w:fill="auto"/>
            <w:tcMar>
              <w:left w:w="0" w:type="dxa"/>
            </w:tcMar>
          </w:tcPr>
          <w:p w14:paraId="2940C406" w14:textId="77777777" w:rsidR="00C2211E" w:rsidRPr="00D970F7" w:rsidRDefault="00C2211E" w:rsidP="00C2211E">
            <w:pPr>
              <w:pStyle w:val="Marginlie"/>
              <w:rPr>
                <w:lang w:val="en-GB"/>
              </w:rPr>
            </w:pPr>
            <w:r w:rsidRPr="00D970F7">
              <w:rPr>
                <w:lang w:val="en-GB"/>
              </w:rPr>
              <w:t xml:space="preserve">Manufacturing dragged the economic performance down the most. </w:t>
            </w:r>
          </w:p>
          <w:p w14:paraId="34ACF644" w14:textId="77777777" w:rsidR="00C2211E" w:rsidRPr="00D970F7" w:rsidRDefault="00C2211E" w:rsidP="00C2211E">
            <w:pPr>
              <w:pStyle w:val="Marginlie"/>
              <w:rPr>
                <w:lang w:val="en-GB"/>
              </w:rPr>
            </w:pPr>
          </w:p>
          <w:p w14:paraId="6A70719B" w14:textId="77777777" w:rsidR="00C2211E" w:rsidRPr="00D970F7" w:rsidRDefault="00C2211E" w:rsidP="00C2211E">
            <w:pPr>
              <w:pStyle w:val="Marginlie"/>
              <w:rPr>
                <w:lang w:val="en-GB"/>
              </w:rPr>
            </w:pPr>
          </w:p>
          <w:p w14:paraId="76C33E84" w14:textId="77777777" w:rsidR="00C2211E" w:rsidRPr="00D970F7" w:rsidRDefault="00C2211E" w:rsidP="00C2211E">
            <w:pPr>
              <w:pStyle w:val="Marginlie"/>
              <w:rPr>
                <w:lang w:val="en-GB"/>
              </w:rPr>
            </w:pPr>
          </w:p>
          <w:p w14:paraId="3B424DC8" w14:textId="77777777" w:rsidR="00C2211E" w:rsidRPr="00D970F7" w:rsidRDefault="00C2211E" w:rsidP="00C2211E">
            <w:pPr>
              <w:pStyle w:val="Marginlie"/>
              <w:rPr>
                <w:lang w:val="en-GB"/>
              </w:rPr>
            </w:pPr>
          </w:p>
          <w:p w14:paraId="79AEC6FF" w14:textId="77777777" w:rsidR="00C2211E" w:rsidRPr="00D970F7" w:rsidRDefault="00C2211E" w:rsidP="00C2211E">
            <w:pPr>
              <w:pStyle w:val="Marginlie"/>
              <w:rPr>
                <w:lang w:val="en-GB"/>
              </w:rPr>
            </w:pPr>
            <w:r w:rsidRPr="00D970F7">
              <w:rPr>
                <w:lang w:val="en-GB"/>
              </w:rPr>
              <w:t xml:space="preserve">The negative impacts started to manifest with a slight lag in construction. </w:t>
            </w:r>
          </w:p>
          <w:p w14:paraId="41152092" w14:textId="77777777" w:rsidR="00C2211E" w:rsidRPr="00D970F7" w:rsidRDefault="00C2211E" w:rsidP="00C2211E">
            <w:pPr>
              <w:pStyle w:val="Marginlie"/>
              <w:rPr>
                <w:lang w:val="en-GB"/>
              </w:rPr>
            </w:pPr>
          </w:p>
          <w:p w14:paraId="628F454C" w14:textId="77777777" w:rsidR="00C2211E" w:rsidRPr="00D970F7" w:rsidRDefault="00C2211E" w:rsidP="00C2211E">
            <w:pPr>
              <w:pStyle w:val="Marginlie"/>
              <w:rPr>
                <w:lang w:val="en-GB"/>
              </w:rPr>
            </w:pPr>
          </w:p>
          <w:p w14:paraId="2D6260A8" w14:textId="77777777" w:rsidR="00C2211E" w:rsidRPr="00D970F7" w:rsidRDefault="00C2211E" w:rsidP="00C2211E">
            <w:pPr>
              <w:pStyle w:val="Marginlie"/>
              <w:rPr>
                <w:lang w:val="en-GB"/>
              </w:rPr>
            </w:pPr>
          </w:p>
          <w:p w14:paraId="3222E406" w14:textId="77777777" w:rsidR="00C2211E" w:rsidRPr="00D970F7" w:rsidRDefault="00C2211E" w:rsidP="00C2211E">
            <w:pPr>
              <w:pStyle w:val="Marginlie"/>
              <w:rPr>
                <w:lang w:val="en-GB"/>
              </w:rPr>
            </w:pPr>
          </w:p>
          <w:p w14:paraId="7F928F98" w14:textId="77777777" w:rsidR="00C2211E" w:rsidRPr="00D970F7" w:rsidRDefault="00C2211E" w:rsidP="00C2211E">
            <w:pPr>
              <w:pStyle w:val="Marginlie"/>
              <w:rPr>
                <w:lang w:val="en-GB"/>
              </w:rPr>
            </w:pPr>
          </w:p>
          <w:p w14:paraId="349BBD1F" w14:textId="3233462D" w:rsidR="00C2211E" w:rsidRPr="00D970F7" w:rsidRDefault="00C2211E" w:rsidP="00C2211E">
            <w:pPr>
              <w:pStyle w:val="Marginlie"/>
              <w:rPr>
                <w:lang w:val="en-GB"/>
              </w:rPr>
            </w:pPr>
            <w:r w:rsidRPr="00D970F7">
              <w:rPr>
                <w:lang w:val="en-GB"/>
              </w:rPr>
              <w:t>Both ani</w:t>
            </w:r>
            <w:r w:rsidR="001B0606">
              <w:rPr>
                <w:lang w:val="en-GB"/>
              </w:rPr>
              <w:t>mal production and forestry</w:t>
            </w:r>
            <w:r w:rsidRPr="00D970F7">
              <w:rPr>
                <w:lang w:val="en-GB"/>
              </w:rPr>
              <w:t xml:space="preserve"> assisted the output growth in the primary sector. </w:t>
            </w:r>
          </w:p>
          <w:p w14:paraId="55B30E53" w14:textId="77777777" w:rsidR="00C2211E" w:rsidRPr="00D970F7" w:rsidRDefault="00C2211E" w:rsidP="00C2211E">
            <w:pPr>
              <w:pStyle w:val="Marginlie"/>
              <w:rPr>
                <w:lang w:val="en-GB"/>
              </w:rPr>
            </w:pPr>
          </w:p>
        </w:tc>
        <w:tc>
          <w:tcPr>
            <w:tcW w:w="191" w:type="dxa"/>
            <w:shd w:val="clear" w:color="auto" w:fill="auto"/>
            <w:tcMar>
              <w:left w:w="0" w:type="dxa"/>
            </w:tcMar>
          </w:tcPr>
          <w:p w14:paraId="51396B9B" w14:textId="77777777" w:rsidR="00C2211E" w:rsidRPr="00D970F7" w:rsidRDefault="00C2211E" w:rsidP="00C2211E">
            <w:pPr>
              <w:pStyle w:val="Textpoznpodarou"/>
              <w:jc w:val="both"/>
              <w:rPr>
                <w:spacing w:val="-4"/>
                <w:lang w:val="en-GB"/>
              </w:rPr>
            </w:pPr>
          </w:p>
        </w:tc>
        <w:tc>
          <w:tcPr>
            <w:tcW w:w="7730" w:type="dxa"/>
            <w:shd w:val="clear" w:color="auto" w:fill="auto"/>
            <w:tcMar>
              <w:left w:w="0" w:type="dxa"/>
            </w:tcMar>
          </w:tcPr>
          <w:p w14:paraId="22E1F0E7" w14:textId="77777777" w:rsidR="00C2211E" w:rsidRPr="00D970F7" w:rsidRDefault="00C2211E" w:rsidP="00C2211E">
            <w:pPr>
              <w:spacing w:after="220"/>
              <w:rPr>
                <w:spacing w:val="-4"/>
                <w:lang w:val="en-GB"/>
              </w:rPr>
            </w:pPr>
            <w:r w:rsidRPr="00D970F7">
              <w:rPr>
                <w:spacing w:val="-4"/>
                <w:lang w:val="en-GB"/>
              </w:rPr>
              <w:t>Year-on-year decline of the value added in the domestic economy was from nearly one half the result of considerable slump of manufacturing in H1 2020 (contribution 2.7 p.p., decline of the branch itself by 10.6%). This branch simultaneously due to the influence of its weight dragged down the whole economy the most both in Q1 and Q2 of this year. Non-manufacturing industrial branches also recorded weaker performance by more than one tenth in H1. The effect of several weeks’ disruption of production stemming from the sanitary measures, but also lowered demand were evident here as well</w:t>
            </w:r>
            <w:r w:rsidRPr="00D970F7">
              <w:rPr>
                <w:rStyle w:val="Znakapoznpodarou"/>
                <w:spacing w:val="-3"/>
                <w:lang w:val="en-GB"/>
              </w:rPr>
              <w:footnoteReference w:id="3"/>
            </w:r>
            <w:r w:rsidRPr="00D970F7">
              <w:rPr>
                <w:spacing w:val="-4"/>
                <w:lang w:val="en-GB"/>
              </w:rPr>
              <w:t xml:space="preserve">. Construction was progressing substantially better, the impacts of the onset of economic recession were not apparent at the beginning there. Its performance even slightly improved thanks to the large stock of orders as well as favourable weather in Q1. The GVA already decreased in Q2 (by 6.2%). The already demanding administrative process of structures preparation became complicated further due to the declared state of emergency, number of projects was suspended. The branch was limited by the lack of labour force, many workers returned only slowly after reopening of the borders to the CR. This factor was also valid for branches of the primary sector, which manifested in the reduction of the hours worked (by more than 5% in H1). Despite this development, the GVA grew here already third year in a row (+4.1%, the most out of 11 main branches). It was thanks to the stabilised situation in the agriculture primary production, which was not negatively affected by the regulatory influences except for stricter sanitary measures. Meat production stagnated in H1; the domestic producers sold naturally by 5% milk more. The continuing natural wood industry also supported the growth of the whole primary sector. </w:t>
            </w:r>
          </w:p>
        </w:tc>
      </w:tr>
      <w:tr w:rsidR="00C2211E" w:rsidRPr="00D970F7" w14:paraId="7030A7F7" w14:textId="77777777" w:rsidTr="00C2211E">
        <w:trPr>
          <w:trHeight w:val="145"/>
        </w:trPr>
        <w:tc>
          <w:tcPr>
            <w:tcW w:w="1723" w:type="dxa"/>
            <w:shd w:val="clear" w:color="auto" w:fill="auto"/>
            <w:tcMar>
              <w:left w:w="0" w:type="dxa"/>
            </w:tcMar>
          </w:tcPr>
          <w:p w14:paraId="44D91AFD" w14:textId="77777777" w:rsidR="00C2211E" w:rsidRPr="00D970F7" w:rsidRDefault="00C2211E" w:rsidP="00C2211E">
            <w:pPr>
              <w:pStyle w:val="Marginlie"/>
              <w:rPr>
                <w:spacing w:val="-4"/>
                <w:lang w:val="en-GB"/>
              </w:rPr>
            </w:pPr>
            <w:r w:rsidRPr="00D970F7">
              <w:rPr>
                <w:lang w:val="en-GB"/>
              </w:rPr>
              <w:t xml:space="preserve">Value added was decreasing the most in branch trade, transportation, accommodation and restaurants. </w:t>
            </w:r>
          </w:p>
          <w:p w14:paraId="57ED4542" w14:textId="77777777" w:rsidR="00C2211E" w:rsidRPr="00D970F7" w:rsidRDefault="00C2211E" w:rsidP="00C2211E">
            <w:pPr>
              <w:pStyle w:val="Marginlie"/>
              <w:rPr>
                <w:spacing w:val="-4"/>
                <w:lang w:val="en-GB"/>
              </w:rPr>
            </w:pPr>
          </w:p>
          <w:p w14:paraId="4486DDA7" w14:textId="77777777" w:rsidR="00C2211E" w:rsidRPr="00D970F7" w:rsidRDefault="00C2211E" w:rsidP="00C2211E">
            <w:pPr>
              <w:pStyle w:val="Marginlie"/>
              <w:rPr>
                <w:spacing w:val="-4"/>
                <w:lang w:val="en-GB"/>
              </w:rPr>
            </w:pPr>
          </w:p>
          <w:p w14:paraId="04F21FFF" w14:textId="57BBB15A" w:rsidR="00C2211E" w:rsidRPr="00D970F7" w:rsidRDefault="00F3394D" w:rsidP="00C2211E">
            <w:pPr>
              <w:pStyle w:val="Marginlie"/>
              <w:rPr>
                <w:spacing w:val="-4"/>
                <w:lang w:val="en-GB"/>
              </w:rPr>
            </w:pPr>
            <w:r>
              <w:rPr>
                <w:spacing w:val="-4"/>
                <w:lang w:val="en-GB"/>
              </w:rPr>
              <w:lastRenderedPageBreak/>
              <w:t>P</w:t>
            </w:r>
            <w:r w:rsidR="00C2211E" w:rsidRPr="00D970F7">
              <w:rPr>
                <w:spacing w:val="-4"/>
                <w:lang w:val="en-GB"/>
              </w:rPr>
              <w:t xml:space="preserve">andemic measures strengthened the role of public services and information and communication. </w:t>
            </w:r>
          </w:p>
          <w:p w14:paraId="57C22252" w14:textId="77777777" w:rsidR="00C2211E" w:rsidRPr="00D970F7" w:rsidRDefault="00C2211E" w:rsidP="00C2211E">
            <w:pPr>
              <w:pStyle w:val="Marginlie"/>
              <w:rPr>
                <w:lang w:val="en-GB"/>
              </w:rPr>
            </w:pPr>
          </w:p>
        </w:tc>
        <w:tc>
          <w:tcPr>
            <w:tcW w:w="191" w:type="dxa"/>
            <w:shd w:val="clear" w:color="auto" w:fill="auto"/>
            <w:tcMar>
              <w:left w:w="0" w:type="dxa"/>
            </w:tcMar>
          </w:tcPr>
          <w:p w14:paraId="4DAB95D4" w14:textId="77777777" w:rsidR="00C2211E" w:rsidRPr="00D970F7" w:rsidRDefault="00C2211E" w:rsidP="00C2211E">
            <w:pPr>
              <w:pStyle w:val="Textpoznpodarou"/>
              <w:jc w:val="both"/>
              <w:rPr>
                <w:spacing w:val="-4"/>
                <w:lang w:val="en-GB"/>
              </w:rPr>
            </w:pPr>
          </w:p>
        </w:tc>
        <w:tc>
          <w:tcPr>
            <w:tcW w:w="7730" w:type="dxa"/>
            <w:shd w:val="clear" w:color="auto" w:fill="auto"/>
            <w:tcMar>
              <w:left w:w="0" w:type="dxa"/>
            </w:tcMar>
          </w:tcPr>
          <w:p w14:paraId="4A9FD163" w14:textId="77777777" w:rsidR="00C2211E" w:rsidRPr="00D970F7" w:rsidRDefault="00C2211E" w:rsidP="00C2211E">
            <w:pPr>
              <w:spacing w:after="220"/>
              <w:rPr>
                <w:lang w:val="en-GB"/>
              </w:rPr>
            </w:pPr>
            <w:r w:rsidRPr="00D970F7">
              <w:rPr>
                <w:spacing w:val="-4"/>
                <w:lang w:val="en-GB"/>
              </w:rPr>
              <w:t xml:space="preserve">The segment trade, transportation, accommodation and restaurants also experienced strong macroeconomic impact (contribution </w:t>
            </w:r>
            <w:r w:rsidRPr="00D970F7">
              <w:rPr>
                <w:color w:val="000000" w:themeColor="text1"/>
                <w:lang w:val="en-GB"/>
              </w:rPr>
              <w:t>–</w:t>
            </w:r>
            <w:r w:rsidRPr="00D970F7">
              <w:rPr>
                <w:spacing w:val="-4"/>
                <w:lang w:val="en-GB"/>
              </w:rPr>
              <w:t>2.2 p.p.). The GVA sank by one eighth among other things due to the radical restriction of the international movement of people</w:t>
            </w:r>
            <w:r w:rsidRPr="00D970F7">
              <w:rPr>
                <w:rStyle w:val="Znakapoznpodarou"/>
                <w:spacing w:val="-3"/>
                <w:lang w:val="en-GB"/>
              </w:rPr>
              <w:footnoteReference w:id="4"/>
            </w:r>
            <w:r w:rsidRPr="00D970F7">
              <w:rPr>
                <w:spacing w:val="-4"/>
                <w:lang w:val="en-GB"/>
              </w:rPr>
              <w:t xml:space="preserve"> here – that is the most among the main branches. The influence of other branches of the tertiary sphere was of a lower order. Still, some of them were hit strongly – especially so-called other services</w:t>
            </w:r>
            <w:r w:rsidRPr="00D970F7">
              <w:rPr>
                <w:rStyle w:val="Znakapoznpodarou"/>
                <w:spacing w:val="-3"/>
                <w:lang w:val="en-GB"/>
              </w:rPr>
              <w:footnoteReference w:id="5"/>
            </w:r>
            <w:r w:rsidRPr="00D970F7">
              <w:rPr>
                <w:spacing w:val="-4"/>
                <w:lang w:val="en-GB"/>
              </w:rPr>
              <w:t xml:space="preserve">, where the GVA dropped by one tenth (in that by more than one fifth in Q2). Smaller </w:t>
            </w:r>
            <w:r w:rsidRPr="00D970F7">
              <w:rPr>
                <w:spacing w:val="-4"/>
                <w:lang w:val="en-GB"/>
              </w:rPr>
              <w:lastRenderedPageBreak/>
              <w:t>decrease in the size of 2 to 3% was similarly apparent in professional, scientific and technical activities, further then in financial or real estate activities. On the contrary, the GVA stagnated in public services</w:t>
            </w:r>
            <w:r w:rsidRPr="00D970F7">
              <w:rPr>
                <w:rStyle w:val="Znakapoznpodarou"/>
                <w:spacing w:val="-3"/>
                <w:lang w:val="en-GB"/>
              </w:rPr>
              <w:footnoteReference w:id="6"/>
            </w:r>
            <w:r w:rsidRPr="00D970F7">
              <w:rPr>
                <w:spacing w:val="-4"/>
                <w:lang w:val="en-GB"/>
              </w:rPr>
              <w:t xml:space="preserve"> ensuring the basic operations of society. The role of information and communication also gained in relevance in the pandemic time period. Still the value added increased in this dynamic branch the least in the last eight years (+1.3%).</w:t>
            </w:r>
          </w:p>
        </w:tc>
      </w:tr>
      <w:tr w:rsidR="00C2211E" w:rsidRPr="00D970F7" w14:paraId="01BEDEF5" w14:textId="77777777" w:rsidTr="00C2211E">
        <w:trPr>
          <w:trHeight w:val="145"/>
        </w:trPr>
        <w:tc>
          <w:tcPr>
            <w:tcW w:w="1723" w:type="dxa"/>
            <w:shd w:val="clear" w:color="auto" w:fill="auto"/>
            <w:tcMar>
              <w:left w:w="0" w:type="dxa"/>
            </w:tcMar>
          </w:tcPr>
          <w:p w14:paraId="15A8A93E" w14:textId="77777777" w:rsidR="00C2211E" w:rsidRPr="00D970F7" w:rsidRDefault="00C2211E" w:rsidP="00C2211E">
            <w:pPr>
              <w:pStyle w:val="Marginlie"/>
              <w:rPr>
                <w:lang w:val="en-GB"/>
              </w:rPr>
            </w:pPr>
            <w:r w:rsidRPr="00D970F7">
              <w:rPr>
                <w:lang w:val="en-GB"/>
              </w:rPr>
              <w:lastRenderedPageBreak/>
              <w:t>March and April freeze of activity of key export businesses led to record slump of industrial production.</w:t>
            </w:r>
          </w:p>
          <w:p w14:paraId="02716267" w14:textId="77777777" w:rsidR="00C2211E" w:rsidRPr="00D970F7" w:rsidRDefault="00C2211E" w:rsidP="00C2211E">
            <w:pPr>
              <w:pStyle w:val="Marginlie"/>
              <w:rPr>
                <w:lang w:val="en-GB"/>
              </w:rPr>
            </w:pPr>
          </w:p>
          <w:p w14:paraId="52D8C9B5" w14:textId="77777777" w:rsidR="00C2211E" w:rsidRPr="00D970F7" w:rsidRDefault="00C2211E" w:rsidP="00C2211E">
            <w:pPr>
              <w:pStyle w:val="Marginlie"/>
              <w:rPr>
                <w:lang w:val="en-GB"/>
              </w:rPr>
            </w:pPr>
          </w:p>
          <w:p w14:paraId="61BEF8C0" w14:textId="77777777" w:rsidR="00C2211E" w:rsidRPr="00D970F7" w:rsidRDefault="00C2211E" w:rsidP="00C2211E">
            <w:pPr>
              <w:pStyle w:val="Marginlie"/>
              <w:rPr>
                <w:lang w:val="en-GB"/>
              </w:rPr>
            </w:pPr>
          </w:p>
          <w:p w14:paraId="7659BFFA" w14:textId="77777777" w:rsidR="00C2211E" w:rsidRPr="00D970F7" w:rsidRDefault="00C2211E" w:rsidP="00C2211E">
            <w:pPr>
              <w:pStyle w:val="Marginlie"/>
              <w:rPr>
                <w:lang w:val="en-GB"/>
              </w:rPr>
            </w:pPr>
          </w:p>
          <w:p w14:paraId="6C26DF0A" w14:textId="77777777" w:rsidR="00C2211E" w:rsidRPr="00D970F7" w:rsidRDefault="00C2211E" w:rsidP="00C2211E">
            <w:pPr>
              <w:pStyle w:val="Marginlie"/>
              <w:rPr>
                <w:lang w:val="en-GB"/>
              </w:rPr>
            </w:pPr>
            <w:r w:rsidRPr="00D970F7">
              <w:rPr>
                <w:spacing w:val="-4"/>
                <w:lang w:val="en-GB"/>
              </w:rPr>
              <w:t xml:space="preserve">July production still slightly lagged behind the pre-pandemic period. </w:t>
            </w:r>
          </w:p>
        </w:tc>
        <w:tc>
          <w:tcPr>
            <w:tcW w:w="191" w:type="dxa"/>
            <w:shd w:val="clear" w:color="auto" w:fill="auto"/>
            <w:tcMar>
              <w:left w:w="0" w:type="dxa"/>
            </w:tcMar>
          </w:tcPr>
          <w:p w14:paraId="2A478157" w14:textId="77777777" w:rsidR="00C2211E" w:rsidRPr="00D970F7" w:rsidRDefault="00C2211E" w:rsidP="00C2211E">
            <w:pPr>
              <w:pStyle w:val="Textpoznpodarou"/>
              <w:jc w:val="both"/>
              <w:rPr>
                <w:spacing w:val="-4"/>
                <w:lang w:val="en-GB"/>
              </w:rPr>
            </w:pPr>
          </w:p>
        </w:tc>
        <w:tc>
          <w:tcPr>
            <w:tcW w:w="7730" w:type="dxa"/>
            <w:shd w:val="clear" w:color="auto" w:fill="auto"/>
            <w:tcMar>
              <w:left w:w="0" w:type="dxa"/>
            </w:tcMar>
          </w:tcPr>
          <w:p w14:paraId="1439A014" w14:textId="77777777" w:rsidR="00C2211E" w:rsidRPr="00D970F7" w:rsidRDefault="00C2211E" w:rsidP="00C2211E">
            <w:pPr>
              <w:spacing w:after="220"/>
              <w:rPr>
                <w:lang w:val="en-GB"/>
              </w:rPr>
            </w:pPr>
            <w:r w:rsidRPr="00D970F7">
              <w:rPr>
                <w:lang w:val="en-GB"/>
              </w:rPr>
              <w:t>More detailed data from the business statistics also prove an unparalleled strong and fast impact of counter pandemic measures on the output of domestic industry. If the industrial production</w:t>
            </w:r>
            <w:r w:rsidRPr="00D970F7">
              <w:rPr>
                <w:color w:val="000000" w:themeColor="text1"/>
                <w:vertAlign w:val="superscript"/>
                <w:lang w:val="en-GB"/>
              </w:rPr>
              <w:footnoteReference w:id="7"/>
            </w:r>
            <w:r w:rsidRPr="00D970F7">
              <w:rPr>
                <w:color w:val="000000" w:themeColor="text1"/>
                <w:lang w:val="en-GB"/>
              </w:rPr>
              <w:t xml:space="preserve"> fell quarter-on-quarter „only“ by 3.7% in the first quarter of this year, second quarter saw deepening to yet unseen 18.3%. The record this year´s downturn was fundamentally affected by the development at the turn of both quarters – the production lowered by more than one tenth in March, by nearly one quarter in April. The measures against spreading of the coronavirus gradually led to the disruption or complete breaking of supply chains. Number of businesses started to limit production </w:t>
            </w:r>
            <w:r w:rsidRPr="00D970F7">
              <w:rPr>
                <w:lang w:val="en-GB"/>
              </w:rPr>
              <w:t>during the second half of March, many practically suspended it (it concerned especially the key companies of the motor vehicle industry and their domestic subcontractors). Many suspended branches recovered relatively fast in the subsequent months, regardless of this however this year´s July output in the whole industry still slightly lagged behind the “pre-pandemic” (February) level (by 4%).</w:t>
            </w:r>
          </w:p>
        </w:tc>
      </w:tr>
      <w:tr w:rsidR="00C2211E" w:rsidRPr="00D970F7" w14:paraId="16846743" w14:textId="77777777" w:rsidTr="00C2211E">
        <w:trPr>
          <w:trHeight w:val="170"/>
        </w:trPr>
        <w:tc>
          <w:tcPr>
            <w:tcW w:w="1723" w:type="dxa"/>
            <w:vMerge w:val="restart"/>
            <w:shd w:val="clear" w:color="auto" w:fill="auto"/>
            <w:tcMar>
              <w:left w:w="0" w:type="dxa"/>
            </w:tcMar>
          </w:tcPr>
          <w:p w14:paraId="127C1F9E" w14:textId="77777777" w:rsidR="00C2211E" w:rsidRPr="00D970F7" w:rsidRDefault="00C2211E" w:rsidP="00C2211E">
            <w:pPr>
              <w:pStyle w:val="Marginlie"/>
              <w:rPr>
                <w:lang w:val="en-GB"/>
              </w:rPr>
            </w:pPr>
          </w:p>
        </w:tc>
        <w:tc>
          <w:tcPr>
            <w:tcW w:w="191" w:type="dxa"/>
            <w:vMerge w:val="restart"/>
            <w:shd w:val="clear" w:color="auto" w:fill="auto"/>
            <w:tcMar>
              <w:left w:w="0" w:type="dxa"/>
            </w:tcMar>
          </w:tcPr>
          <w:p w14:paraId="3ED5B63C" w14:textId="77777777" w:rsidR="00C2211E" w:rsidRPr="00D970F7" w:rsidRDefault="00C2211E" w:rsidP="00C2211E">
            <w:pPr>
              <w:pStyle w:val="Textpoznpodarou"/>
              <w:jc w:val="both"/>
              <w:rPr>
                <w:spacing w:val="-4"/>
                <w:lang w:val="en-GB"/>
              </w:rPr>
            </w:pPr>
          </w:p>
        </w:tc>
        <w:tc>
          <w:tcPr>
            <w:tcW w:w="7730" w:type="dxa"/>
            <w:shd w:val="clear" w:color="auto" w:fill="auto"/>
            <w:tcMar>
              <w:left w:w="0" w:type="dxa"/>
            </w:tcMar>
          </w:tcPr>
          <w:p w14:paraId="27BCF15E" w14:textId="77777777" w:rsidR="00C2211E" w:rsidRPr="00D970F7" w:rsidRDefault="00C2211E" w:rsidP="00C2211E">
            <w:pPr>
              <w:spacing w:after="0"/>
              <w:rPr>
                <w:b/>
                <w:lang w:val="en-GB"/>
              </w:rPr>
            </w:pPr>
            <w:r w:rsidRPr="00D970F7">
              <w:rPr>
                <w:rFonts w:cs="Arial"/>
                <w:b/>
                <w:bCs/>
                <w:color w:val="000000"/>
                <w:szCs w:val="20"/>
                <w:lang w:val="en-GB"/>
              </w:rPr>
              <w:t xml:space="preserve">Chart 4  </w:t>
            </w:r>
            <w:r w:rsidRPr="00D970F7">
              <w:rPr>
                <w:b/>
                <w:spacing w:val="-2"/>
                <w:lang w:val="en-GB"/>
              </w:rPr>
              <w:t xml:space="preserve">Contributions of sub-branches to the year-on-year change of the industrial production </w:t>
            </w:r>
            <w:r w:rsidRPr="00D970F7">
              <w:rPr>
                <w:spacing w:val="-2"/>
                <w:lang w:val="en-GB"/>
              </w:rPr>
              <w:t xml:space="preserve">(in percentage points, adjusted for calendar effects), </w:t>
            </w:r>
            <w:r w:rsidRPr="00D970F7">
              <w:rPr>
                <w:b/>
                <w:lang w:val="en-GB"/>
              </w:rPr>
              <w:t xml:space="preserve">balance of confidence indicator in industry* </w:t>
            </w:r>
            <w:r w:rsidRPr="00D970F7">
              <w:rPr>
                <w:lang w:val="en-GB"/>
              </w:rPr>
              <w:t>(in p.p., right axis)</w:t>
            </w:r>
          </w:p>
        </w:tc>
      </w:tr>
      <w:tr w:rsidR="00C2211E" w:rsidRPr="00D970F7" w14:paraId="24B70B1D" w14:textId="77777777" w:rsidTr="00C2211E">
        <w:tblPrEx>
          <w:tblCellMar>
            <w:left w:w="70" w:type="dxa"/>
            <w:right w:w="70" w:type="dxa"/>
          </w:tblCellMar>
        </w:tblPrEx>
        <w:trPr>
          <w:trHeight w:val="170"/>
        </w:trPr>
        <w:tc>
          <w:tcPr>
            <w:tcW w:w="1723" w:type="dxa"/>
            <w:vMerge/>
            <w:shd w:val="clear" w:color="auto" w:fill="auto"/>
          </w:tcPr>
          <w:p w14:paraId="707A2D15" w14:textId="77777777" w:rsidR="00C2211E" w:rsidRPr="00D970F7" w:rsidRDefault="00C2211E" w:rsidP="00C2211E">
            <w:pPr>
              <w:pStyle w:val="Marginlie"/>
              <w:rPr>
                <w:lang w:val="en-GB"/>
              </w:rPr>
            </w:pPr>
          </w:p>
        </w:tc>
        <w:tc>
          <w:tcPr>
            <w:tcW w:w="191" w:type="dxa"/>
            <w:vMerge/>
            <w:shd w:val="clear" w:color="auto" w:fill="auto"/>
          </w:tcPr>
          <w:p w14:paraId="1A20843B" w14:textId="77777777" w:rsidR="00C2211E" w:rsidRPr="00D970F7" w:rsidRDefault="00C2211E" w:rsidP="00C2211E">
            <w:pPr>
              <w:pStyle w:val="Textpoznpodarou"/>
              <w:jc w:val="both"/>
              <w:rPr>
                <w:spacing w:val="-4"/>
                <w:lang w:val="en-GB"/>
              </w:rPr>
            </w:pPr>
          </w:p>
        </w:tc>
        <w:tc>
          <w:tcPr>
            <w:tcW w:w="7730" w:type="dxa"/>
            <w:shd w:val="clear" w:color="auto" w:fill="auto"/>
          </w:tcPr>
          <w:p w14:paraId="6C7D79D0" w14:textId="77777777" w:rsidR="00C2211E" w:rsidRPr="00D970F7" w:rsidRDefault="00C2211E" w:rsidP="00C2211E">
            <w:pPr>
              <w:spacing w:after="0"/>
              <w:rPr>
                <w:color w:val="000000" w:themeColor="text1"/>
                <w:lang w:val="en-GB"/>
              </w:rPr>
            </w:pPr>
            <w:r>
              <w:rPr>
                <w:noProof/>
              </w:rPr>
              <w:drawing>
                <wp:inline distT="0" distB="0" distL="0" distR="0" wp14:anchorId="64E29289" wp14:editId="04FBDF0E">
                  <wp:extent cx="4817745" cy="3364992"/>
                  <wp:effectExtent l="0" t="0" r="1905" b="6985"/>
                  <wp:docPr id="25" name="Graf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r w:rsidR="00C2211E" w:rsidRPr="00AF7349" w14:paraId="31FD613C" w14:textId="77777777" w:rsidTr="00C2211E">
        <w:trPr>
          <w:trHeight w:val="170"/>
        </w:trPr>
        <w:tc>
          <w:tcPr>
            <w:tcW w:w="1723" w:type="dxa"/>
            <w:vMerge/>
            <w:shd w:val="clear" w:color="auto" w:fill="auto"/>
            <w:tcMar>
              <w:left w:w="0" w:type="dxa"/>
            </w:tcMar>
          </w:tcPr>
          <w:p w14:paraId="1D321667" w14:textId="77777777" w:rsidR="00C2211E" w:rsidRPr="00D970F7" w:rsidRDefault="00C2211E" w:rsidP="00C2211E">
            <w:pPr>
              <w:pStyle w:val="Marginlie"/>
              <w:rPr>
                <w:lang w:val="en-GB"/>
              </w:rPr>
            </w:pPr>
          </w:p>
        </w:tc>
        <w:tc>
          <w:tcPr>
            <w:tcW w:w="191" w:type="dxa"/>
            <w:vMerge/>
            <w:shd w:val="clear" w:color="auto" w:fill="auto"/>
            <w:tcMar>
              <w:left w:w="0" w:type="dxa"/>
            </w:tcMar>
          </w:tcPr>
          <w:p w14:paraId="2592301B" w14:textId="77777777" w:rsidR="00C2211E" w:rsidRPr="00D970F7" w:rsidRDefault="00C2211E" w:rsidP="00C2211E">
            <w:pPr>
              <w:pStyle w:val="Textpoznpodarou"/>
              <w:jc w:val="both"/>
              <w:rPr>
                <w:spacing w:val="-4"/>
                <w:lang w:val="en-GB"/>
              </w:rPr>
            </w:pPr>
          </w:p>
        </w:tc>
        <w:tc>
          <w:tcPr>
            <w:tcW w:w="7730" w:type="dxa"/>
            <w:shd w:val="clear" w:color="auto" w:fill="auto"/>
            <w:tcMar>
              <w:left w:w="0" w:type="dxa"/>
            </w:tcMar>
          </w:tcPr>
          <w:p w14:paraId="744C489B" w14:textId="77777777" w:rsidR="00C2211E" w:rsidRPr="00D970F7" w:rsidRDefault="00C2211E" w:rsidP="00C2211E">
            <w:pPr>
              <w:spacing w:after="0"/>
              <w:rPr>
                <w:rFonts w:cs="Arial"/>
                <w:sz w:val="14"/>
                <w:szCs w:val="14"/>
                <w:lang w:val="en-GB"/>
              </w:rPr>
            </w:pPr>
            <w:r w:rsidRPr="00D970F7">
              <w:rPr>
                <w:rFonts w:cs="Arial"/>
                <w:sz w:val="14"/>
                <w:szCs w:val="14"/>
                <w:lang w:val="en-GB"/>
              </w:rPr>
              <w:t xml:space="preserve">*Balance of confidence is seasonally adjusted and expresses the situation in the first month of the given quarter. </w:t>
            </w:r>
          </w:p>
          <w:p w14:paraId="2D8A697B" w14:textId="77777777" w:rsidR="00C2211E" w:rsidRPr="00AF7349" w:rsidRDefault="00C2211E" w:rsidP="00C2211E">
            <w:pPr>
              <w:spacing w:after="120"/>
              <w:rPr>
                <w:rFonts w:cs="Arial"/>
                <w:sz w:val="14"/>
                <w:szCs w:val="14"/>
                <w:lang w:val="en-GB"/>
              </w:rPr>
            </w:pPr>
            <w:r w:rsidRPr="00D970F7">
              <w:rPr>
                <w:rFonts w:cs="Arial"/>
                <w:sz w:val="14"/>
                <w:szCs w:val="14"/>
                <w:lang w:val="en-GB"/>
              </w:rPr>
              <w:t>Source: CZSO</w:t>
            </w:r>
          </w:p>
        </w:tc>
      </w:tr>
      <w:tr w:rsidR="00C2211E" w:rsidRPr="00D970F7" w14:paraId="2C01AA95" w14:textId="77777777" w:rsidTr="00C2211E">
        <w:trPr>
          <w:trHeight w:val="145"/>
        </w:trPr>
        <w:tc>
          <w:tcPr>
            <w:tcW w:w="1723" w:type="dxa"/>
            <w:shd w:val="clear" w:color="auto" w:fill="auto"/>
            <w:tcMar>
              <w:left w:w="0" w:type="dxa"/>
            </w:tcMar>
          </w:tcPr>
          <w:p w14:paraId="6088148F" w14:textId="77777777" w:rsidR="00C2211E" w:rsidRPr="00D970F7" w:rsidRDefault="00C2211E" w:rsidP="00C2211E">
            <w:pPr>
              <w:pStyle w:val="Marginlie"/>
              <w:rPr>
                <w:lang w:val="en-GB"/>
              </w:rPr>
            </w:pPr>
            <w:r w:rsidRPr="00D970F7">
              <w:rPr>
                <w:lang w:val="en-GB"/>
              </w:rPr>
              <w:t xml:space="preserve">More than one half of year-on-year industry fall was attributed to manufacturing of motor vehicles and their </w:t>
            </w:r>
            <w:r w:rsidRPr="00D970F7">
              <w:rPr>
                <w:lang w:val="en-GB"/>
              </w:rPr>
              <w:lastRenderedPageBreak/>
              <w:t xml:space="preserve">closest subcontractors in H1. </w:t>
            </w:r>
          </w:p>
        </w:tc>
        <w:tc>
          <w:tcPr>
            <w:tcW w:w="191" w:type="dxa"/>
            <w:shd w:val="clear" w:color="auto" w:fill="auto"/>
            <w:tcMar>
              <w:left w:w="0" w:type="dxa"/>
            </w:tcMar>
          </w:tcPr>
          <w:p w14:paraId="5F89A304" w14:textId="77777777" w:rsidR="00C2211E" w:rsidRPr="00D970F7" w:rsidRDefault="00C2211E" w:rsidP="00C2211E">
            <w:pPr>
              <w:pStyle w:val="Textpoznpodarou"/>
              <w:jc w:val="both"/>
              <w:rPr>
                <w:spacing w:val="-4"/>
                <w:lang w:val="en-GB"/>
              </w:rPr>
            </w:pPr>
          </w:p>
        </w:tc>
        <w:tc>
          <w:tcPr>
            <w:tcW w:w="7730" w:type="dxa"/>
            <w:shd w:val="clear" w:color="auto" w:fill="auto"/>
            <w:tcMar>
              <w:left w:w="0" w:type="dxa"/>
            </w:tcMar>
          </w:tcPr>
          <w:p w14:paraId="3E3FADF7" w14:textId="77777777" w:rsidR="00C2211E" w:rsidRPr="00D970F7" w:rsidRDefault="00C2211E" w:rsidP="00C2211E">
            <w:pPr>
              <w:spacing w:after="200"/>
              <w:rPr>
                <w:color w:val="0D0D0D" w:themeColor="text1" w:themeTint="F2"/>
                <w:spacing w:val="-4"/>
                <w:lang w:val="en-GB"/>
              </w:rPr>
            </w:pPr>
            <w:r w:rsidRPr="00D970F7">
              <w:rPr>
                <w:lang w:val="en-GB"/>
              </w:rPr>
              <w:t>Industrial production slumped by 23.6% year-on-year in Q2 2020. Apart from the pandemic supply shock the effect of the previous cyclical industry slowdown also accumulated (interconnected with the former decrease in the euro area</w:t>
            </w:r>
            <w:r w:rsidRPr="00D970F7">
              <w:rPr>
                <w:rFonts w:cstheme="minorHAnsi"/>
                <w:lang w:val="en-GB"/>
              </w:rPr>
              <w:t>)</w:t>
            </w:r>
            <w:r w:rsidRPr="00D970F7">
              <w:rPr>
                <w:lang w:val="en-GB"/>
              </w:rPr>
              <w:t>, already apparent for the most part of the last year</w:t>
            </w:r>
            <w:r w:rsidRPr="00D970F7">
              <w:rPr>
                <w:color w:val="000000" w:themeColor="text1"/>
                <w:vertAlign w:val="superscript"/>
                <w:lang w:val="en-GB"/>
              </w:rPr>
              <w:footnoteReference w:id="8"/>
            </w:r>
            <w:r w:rsidRPr="00D970F7">
              <w:rPr>
                <w:lang w:val="en-GB"/>
              </w:rPr>
              <w:t xml:space="preserve">. The downturn amounted to 14.4% for the </w:t>
            </w:r>
            <w:r w:rsidRPr="00D970F7">
              <w:rPr>
                <w:lang w:val="en-GB"/>
              </w:rPr>
              <w:lastRenderedPageBreak/>
              <w:t xml:space="preserve">whole H1. Manufacture of motor vehicles participated in it by more than one third, together with the immediate associated branches (electrical equipment, manufacture of rubber and plastic products) then by more than one half. Consequently, both machinery and metalworking industry contributed similarly by approximately one tenth. </w:t>
            </w:r>
          </w:p>
        </w:tc>
      </w:tr>
      <w:tr w:rsidR="00C2211E" w:rsidRPr="00D970F7" w14:paraId="73ECD96E" w14:textId="77777777" w:rsidTr="00C2211E">
        <w:trPr>
          <w:trHeight w:val="145"/>
        </w:trPr>
        <w:tc>
          <w:tcPr>
            <w:tcW w:w="1723" w:type="dxa"/>
            <w:shd w:val="clear" w:color="auto" w:fill="auto"/>
            <w:tcMar>
              <w:left w:w="0" w:type="dxa"/>
            </w:tcMar>
          </w:tcPr>
          <w:p w14:paraId="56F9E567" w14:textId="6C59C28C" w:rsidR="00C2211E" w:rsidRPr="00D970F7" w:rsidRDefault="00C2211E" w:rsidP="00C2211E">
            <w:pPr>
              <w:pStyle w:val="Marginlie"/>
              <w:rPr>
                <w:lang w:val="en-GB"/>
              </w:rPr>
            </w:pPr>
            <w:r w:rsidRPr="00D970F7">
              <w:rPr>
                <w:lang w:val="en-GB"/>
              </w:rPr>
              <w:lastRenderedPageBreak/>
              <w:t xml:space="preserve">Industrial production fell by more than one fifth in the motor vehicle, mining as well as leather manufacturing in H1. Slump of machinery was </w:t>
            </w:r>
            <w:r w:rsidR="00936388">
              <w:rPr>
                <w:lang w:val="en-GB"/>
              </w:rPr>
              <w:t xml:space="preserve">also </w:t>
            </w:r>
            <w:r w:rsidRPr="00D970F7">
              <w:rPr>
                <w:lang w:val="en-GB"/>
              </w:rPr>
              <w:t xml:space="preserve">significant. </w:t>
            </w:r>
          </w:p>
          <w:p w14:paraId="4BE28100" w14:textId="77777777" w:rsidR="00C2211E" w:rsidRPr="00D970F7" w:rsidRDefault="00C2211E" w:rsidP="00C2211E">
            <w:pPr>
              <w:pStyle w:val="Marginlie"/>
              <w:rPr>
                <w:lang w:val="en-GB"/>
              </w:rPr>
            </w:pPr>
          </w:p>
          <w:p w14:paraId="4B7BBC02" w14:textId="77777777" w:rsidR="00C2211E" w:rsidRPr="00D970F7" w:rsidRDefault="00C2211E" w:rsidP="00C2211E">
            <w:pPr>
              <w:pStyle w:val="Marginlie"/>
              <w:rPr>
                <w:lang w:val="en-GB"/>
              </w:rPr>
            </w:pPr>
          </w:p>
          <w:p w14:paraId="64E87EDA" w14:textId="77777777" w:rsidR="00C2211E" w:rsidRPr="00D970F7" w:rsidRDefault="00C2211E" w:rsidP="00C2211E">
            <w:pPr>
              <w:pStyle w:val="Marginlie"/>
              <w:rPr>
                <w:lang w:val="en-GB"/>
              </w:rPr>
            </w:pPr>
          </w:p>
          <w:p w14:paraId="46576123" w14:textId="77777777" w:rsidR="00C2211E" w:rsidRPr="00D970F7" w:rsidRDefault="00C2211E" w:rsidP="00C2211E">
            <w:pPr>
              <w:pStyle w:val="Marginlie"/>
              <w:rPr>
                <w:lang w:val="en-GB"/>
              </w:rPr>
            </w:pPr>
          </w:p>
          <w:p w14:paraId="213663CB" w14:textId="77777777" w:rsidR="00C2211E" w:rsidRPr="00D970F7" w:rsidRDefault="00C2211E" w:rsidP="00C2211E">
            <w:pPr>
              <w:pStyle w:val="Marginlie"/>
              <w:rPr>
                <w:lang w:val="en-GB"/>
              </w:rPr>
            </w:pPr>
          </w:p>
          <w:p w14:paraId="3E9F21B0" w14:textId="77777777" w:rsidR="00C2211E" w:rsidRPr="00D970F7" w:rsidRDefault="00C2211E" w:rsidP="00C2211E">
            <w:pPr>
              <w:pStyle w:val="Marginlie"/>
              <w:rPr>
                <w:lang w:val="en-GB"/>
              </w:rPr>
            </w:pPr>
            <w:r w:rsidRPr="00D970F7">
              <w:rPr>
                <w:color w:val="000000" w:themeColor="text1"/>
                <w:spacing w:val="-3"/>
                <w:lang w:val="en-GB"/>
              </w:rPr>
              <w:t xml:space="preserve">The specific structure of demand on the contrary aided some especially smaller fields during the coronavirus crisis. </w:t>
            </w:r>
          </w:p>
          <w:p w14:paraId="79DC2697" w14:textId="77777777" w:rsidR="00C2211E" w:rsidRPr="00D970F7" w:rsidRDefault="00C2211E" w:rsidP="00C2211E">
            <w:pPr>
              <w:pStyle w:val="Marginlie"/>
              <w:rPr>
                <w:lang w:val="en-GB"/>
              </w:rPr>
            </w:pPr>
          </w:p>
        </w:tc>
        <w:tc>
          <w:tcPr>
            <w:tcW w:w="191" w:type="dxa"/>
            <w:shd w:val="clear" w:color="auto" w:fill="auto"/>
            <w:tcMar>
              <w:left w:w="0" w:type="dxa"/>
            </w:tcMar>
          </w:tcPr>
          <w:p w14:paraId="0DC15DE7" w14:textId="77777777" w:rsidR="00C2211E" w:rsidRPr="00D970F7" w:rsidRDefault="00C2211E" w:rsidP="00C2211E">
            <w:pPr>
              <w:pStyle w:val="Textpoznpodarou"/>
              <w:jc w:val="both"/>
              <w:rPr>
                <w:spacing w:val="-4"/>
                <w:lang w:val="en-GB"/>
              </w:rPr>
            </w:pPr>
          </w:p>
        </w:tc>
        <w:tc>
          <w:tcPr>
            <w:tcW w:w="7730" w:type="dxa"/>
            <w:shd w:val="clear" w:color="auto" w:fill="auto"/>
            <w:tcMar>
              <w:left w:w="0" w:type="dxa"/>
            </w:tcMar>
          </w:tcPr>
          <w:p w14:paraId="4E3C21E3" w14:textId="79D40DDF" w:rsidR="00C2211E" w:rsidRPr="00D970F7" w:rsidRDefault="00C2211E" w:rsidP="00C2211E">
            <w:pPr>
              <w:spacing w:after="200"/>
              <w:rPr>
                <w:color w:val="0D0D0D" w:themeColor="text1" w:themeTint="F2"/>
                <w:spacing w:val="-4"/>
                <w:lang w:val="en-GB"/>
              </w:rPr>
            </w:pPr>
            <w:r w:rsidRPr="00831E88">
              <w:rPr>
                <w:color w:val="0D0D0D" w:themeColor="text1" w:themeTint="F2"/>
                <w:lang w:val="en-GB"/>
              </w:rPr>
              <w:t>Not surprisingly, the deepest downturn affected manufacturing of motor vehicles in H1 (</w:t>
            </w:r>
            <w:r w:rsidRPr="00831E88">
              <w:rPr>
                <w:color w:val="000000" w:themeColor="text1"/>
                <w:lang w:val="en-GB"/>
              </w:rPr>
              <w:t>–</w:t>
            </w:r>
            <w:r w:rsidR="00831E88" w:rsidRPr="00831E88">
              <w:rPr>
                <w:color w:val="0D0D0D" w:themeColor="text1" w:themeTint="F2"/>
                <w:lang w:val="en-GB"/>
              </w:rPr>
              <w:t>27.8</w:t>
            </w:r>
            <w:r w:rsidR="00831E88" w:rsidRPr="00831E88">
              <w:t> </w:t>
            </w:r>
            <w:r w:rsidRPr="00831E88">
              <w:rPr>
                <w:color w:val="0D0D0D" w:themeColor="text1" w:themeTint="F2"/>
                <w:lang w:val="en-GB"/>
              </w:rPr>
              <w:t>% year-on-year),</w:t>
            </w:r>
            <w:r w:rsidRPr="00D970F7">
              <w:rPr>
                <w:color w:val="0D0D0D" w:themeColor="text1" w:themeTint="F2"/>
                <w:spacing w:val="-4"/>
                <w:lang w:val="en-GB"/>
              </w:rPr>
              <w:t xml:space="preserve"> since the utilisation of production capacities was only 50% at the beginning of Q2. The output in coal mining and leather manufacturing also dived approximately by one quarter, it however depicted a long-term trend. The fall of the machinery output by more than 17% was much more substantial, which mirrored the significant decrease of private investment in the whole economy.</w:t>
            </w:r>
            <w:r w:rsidRPr="00D970F7">
              <w:rPr>
                <w:rStyle w:val="Znakapoznpodarou"/>
                <w:spacing w:val="-4"/>
                <w:lang w:val="en-GB"/>
              </w:rPr>
              <w:footnoteReference w:id="9"/>
            </w:r>
            <w:r w:rsidRPr="00D970F7">
              <w:rPr>
                <w:color w:val="0D0D0D" w:themeColor="text1" w:themeTint="F2"/>
                <w:spacing w:val="-4"/>
                <w:lang w:val="en-GB"/>
              </w:rPr>
              <w:t xml:space="preserve"> The weight significant manufacture of metal products, metallurgy, but also for example manufacturing of beverages decreased their output by one seventh. In contrast, the food industry achieved only mild decrease (</w:t>
            </w:r>
            <w:r w:rsidRPr="00D970F7">
              <w:rPr>
                <w:color w:val="000000" w:themeColor="text1"/>
                <w:spacing w:val="-4"/>
                <w:lang w:val="en-GB"/>
              </w:rPr>
              <w:t>–2.4%), since the volume of household expenditure on items of short-term consumption was by the restrictive measures affected only marginally in H1 (–0.5%). The relatively diversified branch other manufacturing was in a similar situation supported by growing demand for medical supplies. This was partially also linked to the higher output of the pharmaceutical industry (+4.9%), where the growth of output is however a longer-term phenomenon. Wood and paper industry were also mildly growing branches this year, here it is likely the consequence of the increasing natural wood logging in the recent years. The three growing branches above however assisted the growth of the total industrial production only by 0.2 p.p. in H1.</w:t>
            </w:r>
          </w:p>
        </w:tc>
      </w:tr>
      <w:tr w:rsidR="00C2211E" w:rsidRPr="00D970F7" w14:paraId="68B4D8B0" w14:textId="77777777" w:rsidTr="00C2211E">
        <w:trPr>
          <w:trHeight w:val="145"/>
        </w:trPr>
        <w:tc>
          <w:tcPr>
            <w:tcW w:w="1723" w:type="dxa"/>
            <w:shd w:val="clear" w:color="auto" w:fill="auto"/>
            <w:tcMar>
              <w:left w:w="0" w:type="dxa"/>
            </w:tcMar>
          </w:tcPr>
          <w:p w14:paraId="605E343D" w14:textId="77777777" w:rsidR="00C2211E" w:rsidRPr="00D970F7" w:rsidRDefault="00C2211E" w:rsidP="00C2211E">
            <w:pPr>
              <w:pStyle w:val="Marginlie"/>
              <w:rPr>
                <w:lang w:val="en-GB"/>
              </w:rPr>
            </w:pPr>
            <w:r w:rsidRPr="00D970F7">
              <w:rPr>
                <w:lang w:val="en-GB"/>
              </w:rPr>
              <w:t xml:space="preserve">Sales from industrial activities strengthened year-on-year only in energetics, pharmaceutical and food industries. </w:t>
            </w:r>
          </w:p>
          <w:p w14:paraId="1906FBED" w14:textId="77777777" w:rsidR="00C2211E" w:rsidRPr="00D970F7" w:rsidRDefault="00C2211E" w:rsidP="00C2211E">
            <w:pPr>
              <w:pStyle w:val="Marginlie"/>
              <w:rPr>
                <w:lang w:val="en-GB"/>
              </w:rPr>
            </w:pPr>
          </w:p>
          <w:p w14:paraId="3BFB7EED" w14:textId="77777777" w:rsidR="00C2211E" w:rsidRPr="00D970F7" w:rsidRDefault="00C2211E" w:rsidP="00C2211E">
            <w:pPr>
              <w:pStyle w:val="Marginlie"/>
              <w:rPr>
                <w:lang w:val="en-GB"/>
              </w:rPr>
            </w:pPr>
          </w:p>
          <w:p w14:paraId="3A411D0B" w14:textId="77777777" w:rsidR="00C2211E" w:rsidRPr="00D970F7" w:rsidRDefault="00C2211E" w:rsidP="00C2211E">
            <w:pPr>
              <w:pStyle w:val="Marginlie"/>
              <w:rPr>
                <w:lang w:val="en-GB"/>
              </w:rPr>
            </w:pPr>
          </w:p>
          <w:p w14:paraId="6F040BC1" w14:textId="77777777" w:rsidR="00C2211E" w:rsidRPr="00D970F7" w:rsidRDefault="00C2211E" w:rsidP="00C2211E">
            <w:pPr>
              <w:pStyle w:val="Marginlie"/>
              <w:rPr>
                <w:lang w:val="en-GB"/>
              </w:rPr>
            </w:pPr>
          </w:p>
          <w:p w14:paraId="0943E660" w14:textId="77777777" w:rsidR="00C2211E" w:rsidRPr="00D970F7" w:rsidRDefault="00C2211E" w:rsidP="00C2211E">
            <w:pPr>
              <w:pStyle w:val="Marginlie"/>
              <w:rPr>
                <w:lang w:val="en-GB"/>
              </w:rPr>
            </w:pPr>
            <w:r w:rsidRPr="00D970F7">
              <w:rPr>
                <w:lang w:val="en-GB"/>
              </w:rPr>
              <w:t xml:space="preserve">Domestic sales still kept showing higher pace than sales from direct export. </w:t>
            </w:r>
          </w:p>
        </w:tc>
        <w:tc>
          <w:tcPr>
            <w:tcW w:w="191" w:type="dxa"/>
            <w:shd w:val="clear" w:color="auto" w:fill="auto"/>
            <w:tcMar>
              <w:left w:w="0" w:type="dxa"/>
            </w:tcMar>
          </w:tcPr>
          <w:p w14:paraId="0CE99CB6" w14:textId="77777777" w:rsidR="00C2211E" w:rsidRPr="00D970F7" w:rsidRDefault="00C2211E" w:rsidP="00C2211E">
            <w:pPr>
              <w:pStyle w:val="Textpoznpodarou"/>
              <w:jc w:val="both"/>
              <w:rPr>
                <w:spacing w:val="-4"/>
                <w:lang w:val="en-GB"/>
              </w:rPr>
            </w:pPr>
          </w:p>
        </w:tc>
        <w:tc>
          <w:tcPr>
            <w:tcW w:w="7730" w:type="dxa"/>
            <w:shd w:val="clear" w:color="auto" w:fill="auto"/>
            <w:tcMar>
              <w:left w:w="0" w:type="dxa"/>
            </w:tcMar>
          </w:tcPr>
          <w:p w14:paraId="792DAF8E" w14:textId="77777777" w:rsidR="00C2211E" w:rsidRPr="00D970F7" w:rsidRDefault="00C2211E" w:rsidP="00C2211E">
            <w:pPr>
              <w:spacing w:after="200"/>
              <w:rPr>
                <w:color w:val="000000" w:themeColor="text1"/>
                <w:spacing w:val="-4"/>
                <w:lang w:val="en-GB"/>
              </w:rPr>
            </w:pPr>
            <w:r w:rsidRPr="00D970F7">
              <w:rPr>
                <w:spacing w:val="-4"/>
                <w:lang w:val="en-GB"/>
              </w:rPr>
              <w:t>Nominal sales of businesses from industrial activity recorded similar development as the industrial production this year. Following mild year-on-year decrease in Q1 (</w:t>
            </w:r>
            <w:r w:rsidRPr="00D970F7">
              <w:rPr>
                <w:color w:val="000000" w:themeColor="text1"/>
                <w:spacing w:val="-4"/>
                <w:lang w:val="en-GB"/>
              </w:rPr>
              <w:t>–</w:t>
            </w:r>
            <w:r w:rsidRPr="00D970F7">
              <w:rPr>
                <w:spacing w:val="-4"/>
                <w:lang w:val="en-GB"/>
              </w:rPr>
              <w:t>3.1%) they plunged in the subsequent quarter (</w:t>
            </w:r>
            <w:r w:rsidRPr="00D970F7">
              <w:rPr>
                <w:color w:val="000000" w:themeColor="text1"/>
                <w:spacing w:val="-4"/>
                <w:lang w:val="en-GB"/>
              </w:rPr>
              <w:t>–</w:t>
            </w:r>
            <w:r w:rsidRPr="00D970F7">
              <w:rPr>
                <w:spacing w:val="-4"/>
                <w:lang w:val="en-GB"/>
              </w:rPr>
              <w:t>2</w:t>
            </w:r>
            <w:r w:rsidRPr="00D970F7">
              <w:rPr>
                <w:color w:val="000000" w:themeColor="text1"/>
                <w:spacing w:val="-4"/>
                <w:lang w:val="en-GB"/>
              </w:rPr>
              <w:t>3.</w:t>
            </w:r>
            <w:r w:rsidRPr="00D970F7">
              <w:rPr>
                <w:spacing w:val="-4"/>
                <w:lang w:val="en-GB"/>
              </w:rPr>
              <w:t xml:space="preserve">8%). Only companies in energetics (+6%), pharmaceutical industry (+6%) and food industry (+2%) earned more for the whole H1. Price growth partially aided in offsetting the decrease of real production to manufacturers of wearing apparel and leathers, in contrast the mild growth of output was not a guarantee of sales strengthening in wood and paper industry. Larger plunge of prices in the chemical industry or metallurgy adversely affected the sales of businesses </w:t>
            </w:r>
            <w:r w:rsidRPr="00D970F7">
              <w:rPr>
                <w:rFonts w:cstheme="minorHAnsi"/>
                <w:spacing w:val="-3"/>
                <w:lang w:val="en-GB"/>
              </w:rPr>
              <w:t>and further amplified the adverse development of output in these branches. Total sales of industrial businesses from direct export declined by 15% compared to H1 of the last year, domestic sales only by 10%. Faster pace of domestic sales compared to foreign in essence endured also in the period 2017 to 2019.</w:t>
            </w:r>
          </w:p>
        </w:tc>
      </w:tr>
      <w:tr w:rsidR="00C2211E" w:rsidRPr="00D970F7" w14:paraId="129FBEDF" w14:textId="77777777" w:rsidTr="00C2211E">
        <w:trPr>
          <w:trHeight w:val="145"/>
        </w:trPr>
        <w:tc>
          <w:tcPr>
            <w:tcW w:w="1723" w:type="dxa"/>
            <w:shd w:val="clear" w:color="auto" w:fill="auto"/>
            <w:tcMar>
              <w:left w:w="0" w:type="dxa"/>
            </w:tcMar>
          </w:tcPr>
          <w:p w14:paraId="7CE9CCBF" w14:textId="77777777" w:rsidR="00C2211E" w:rsidRPr="00D970F7" w:rsidRDefault="00C2211E" w:rsidP="00C2211E">
            <w:pPr>
              <w:pStyle w:val="Marginlie"/>
              <w:rPr>
                <w:lang w:val="en-GB"/>
              </w:rPr>
            </w:pPr>
            <w:r w:rsidRPr="00D970F7">
              <w:rPr>
                <w:lang w:val="en-GB"/>
              </w:rPr>
              <w:t xml:space="preserve">Decrease of new orders moderated in the summer period. Utilisation of production capacities still did not reach the pre pandemics level. </w:t>
            </w:r>
          </w:p>
          <w:p w14:paraId="3060C269" w14:textId="77777777" w:rsidR="00C2211E" w:rsidRPr="00D970F7" w:rsidRDefault="00C2211E" w:rsidP="00C2211E">
            <w:pPr>
              <w:pStyle w:val="Marginlie"/>
              <w:rPr>
                <w:lang w:val="en-GB"/>
              </w:rPr>
            </w:pPr>
          </w:p>
          <w:p w14:paraId="0B0EF5E9" w14:textId="77777777" w:rsidR="00C2211E" w:rsidRPr="00D970F7" w:rsidRDefault="00C2211E" w:rsidP="00C2211E">
            <w:pPr>
              <w:pStyle w:val="Marginlie"/>
              <w:rPr>
                <w:lang w:val="en-GB"/>
              </w:rPr>
            </w:pPr>
          </w:p>
          <w:p w14:paraId="57FCB539" w14:textId="77777777" w:rsidR="00C2211E" w:rsidRPr="00D970F7" w:rsidRDefault="00C2211E" w:rsidP="00C2211E">
            <w:pPr>
              <w:pStyle w:val="Marginlie"/>
              <w:rPr>
                <w:lang w:val="en-GB"/>
              </w:rPr>
            </w:pPr>
          </w:p>
          <w:p w14:paraId="14C133C9" w14:textId="77777777" w:rsidR="00C2211E" w:rsidRPr="00D970F7" w:rsidRDefault="00C2211E" w:rsidP="00C2211E">
            <w:pPr>
              <w:pStyle w:val="Marginlie"/>
              <w:rPr>
                <w:lang w:val="en-GB"/>
              </w:rPr>
            </w:pPr>
          </w:p>
          <w:p w14:paraId="52EC64F5" w14:textId="77777777" w:rsidR="00C2211E" w:rsidRPr="00D970F7" w:rsidRDefault="00C2211E" w:rsidP="00C2211E">
            <w:pPr>
              <w:pStyle w:val="Marginlie"/>
              <w:rPr>
                <w:lang w:val="en-GB"/>
              </w:rPr>
            </w:pPr>
          </w:p>
          <w:p w14:paraId="51E9FB05" w14:textId="77777777" w:rsidR="00C2211E" w:rsidRPr="00D970F7" w:rsidRDefault="00C2211E" w:rsidP="00C2211E">
            <w:pPr>
              <w:pStyle w:val="Marginlie"/>
              <w:rPr>
                <w:lang w:val="en-GB"/>
              </w:rPr>
            </w:pPr>
            <w:r w:rsidRPr="00D970F7">
              <w:rPr>
                <w:lang w:val="en-GB"/>
              </w:rPr>
              <w:t xml:space="preserve">Inadequate demand troubled nearly two thirds of industrial businesses. </w:t>
            </w:r>
          </w:p>
          <w:p w14:paraId="184FDDDD" w14:textId="77777777" w:rsidR="00C2211E" w:rsidRPr="00D970F7" w:rsidRDefault="00C2211E" w:rsidP="00C2211E">
            <w:pPr>
              <w:pStyle w:val="Marginlie"/>
              <w:rPr>
                <w:lang w:val="en-GB"/>
              </w:rPr>
            </w:pPr>
          </w:p>
          <w:p w14:paraId="1000CD48" w14:textId="15F7EAF1" w:rsidR="00C2211E" w:rsidRPr="00D970F7" w:rsidRDefault="00C2211E" w:rsidP="00C2211E">
            <w:pPr>
              <w:pStyle w:val="Marginlie"/>
              <w:rPr>
                <w:lang w:val="en-GB"/>
              </w:rPr>
            </w:pPr>
            <w:r w:rsidRPr="00D970F7">
              <w:rPr>
                <w:lang w:val="en-GB"/>
              </w:rPr>
              <w:lastRenderedPageBreak/>
              <w:t xml:space="preserve">Markedly negative balance of confidence persisted in machinery. </w:t>
            </w:r>
          </w:p>
          <w:p w14:paraId="09D00F10" w14:textId="77777777" w:rsidR="00C2211E" w:rsidRPr="00D970F7" w:rsidRDefault="00C2211E" w:rsidP="00C2211E">
            <w:pPr>
              <w:pStyle w:val="Marginlie"/>
              <w:rPr>
                <w:lang w:val="en-GB"/>
              </w:rPr>
            </w:pPr>
          </w:p>
        </w:tc>
        <w:tc>
          <w:tcPr>
            <w:tcW w:w="191" w:type="dxa"/>
            <w:shd w:val="clear" w:color="auto" w:fill="auto"/>
            <w:tcMar>
              <w:left w:w="0" w:type="dxa"/>
            </w:tcMar>
          </w:tcPr>
          <w:p w14:paraId="0DDE8C5E" w14:textId="77777777" w:rsidR="00C2211E" w:rsidRPr="00D970F7" w:rsidRDefault="00C2211E" w:rsidP="00C2211E">
            <w:pPr>
              <w:pStyle w:val="Textpoznpodarou"/>
              <w:jc w:val="both"/>
              <w:rPr>
                <w:spacing w:val="-4"/>
                <w:lang w:val="en-GB"/>
              </w:rPr>
            </w:pPr>
          </w:p>
        </w:tc>
        <w:tc>
          <w:tcPr>
            <w:tcW w:w="7730" w:type="dxa"/>
            <w:shd w:val="clear" w:color="auto" w:fill="auto"/>
            <w:tcMar>
              <w:left w:w="0" w:type="dxa"/>
            </w:tcMar>
          </w:tcPr>
          <w:p w14:paraId="2DBBA46D" w14:textId="77777777" w:rsidR="00C2211E" w:rsidRPr="00D970F7" w:rsidRDefault="00C2211E" w:rsidP="00C2211E">
            <w:pPr>
              <w:spacing w:after="200"/>
              <w:rPr>
                <w:color w:val="000000" w:themeColor="text1"/>
                <w:spacing w:val="-3"/>
                <w:lang w:val="en-GB"/>
              </w:rPr>
            </w:pPr>
            <w:r w:rsidRPr="00D970F7">
              <w:rPr>
                <w:color w:val="000000" w:themeColor="text1"/>
                <w:spacing w:val="-3"/>
                <w:lang w:val="en-GB"/>
              </w:rPr>
              <w:t>Short term industry outlook still remained unfavourable in the summer period. The value of industrial orders</w:t>
            </w:r>
            <w:r w:rsidRPr="00D970F7">
              <w:rPr>
                <w:rStyle w:val="Znakapoznpodarou"/>
                <w:spacing w:val="-4"/>
                <w:lang w:val="en-GB"/>
              </w:rPr>
              <w:footnoteReference w:id="10"/>
            </w:r>
            <w:r w:rsidRPr="00D970F7">
              <w:rPr>
                <w:color w:val="0D0D0D" w:themeColor="text1" w:themeTint="F2"/>
                <w:spacing w:val="-4"/>
                <w:lang w:val="en-GB"/>
              </w:rPr>
              <w:t xml:space="preserve"> was by more than one quarter lower in Q2 2020 (without substantial differences in rates of growth between domestic and foreign demand). Only small branches signalled low growth – pharmacy and also the manufacturing of other (mainly rail) transport equipment, where the development is traditionally strongly volatile. Orders in the manufacture of motor vehicles were lower by </w:t>
            </w:r>
            <w:r w:rsidRPr="00D970F7">
              <w:rPr>
                <w:color w:val="000000" w:themeColor="text1"/>
                <w:spacing w:val="-3"/>
                <w:lang w:val="en-GB"/>
              </w:rPr>
              <w:t>44%, which can be understood as a sequel of the April suspension of production. July data brought more favourable indications, when the orders grew by one tenth (in the manufacture of motor vehicles), resp. moderated the fall to 4% (in the whole industry). Still below average utilisation of production capacities (both in the whole industry and motor vehicle segment) proved, that the situation in industry was still far from stabilized after the spring shock. The large share of businesses considering the inadequate demand as a growth barrier was also unfavourable</w:t>
            </w:r>
            <w:r w:rsidRPr="00D970F7">
              <w:rPr>
                <w:rStyle w:val="Znakapoznpodarou"/>
                <w:spacing w:val="-4"/>
                <w:lang w:val="en-GB"/>
              </w:rPr>
              <w:footnoteReference w:id="11"/>
            </w:r>
            <w:r w:rsidRPr="00D970F7">
              <w:rPr>
                <w:color w:val="000000" w:themeColor="text1"/>
                <w:spacing w:val="-3"/>
                <w:lang w:val="en-GB"/>
              </w:rPr>
              <w:t xml:space="preserve"> (63% at the beginning of Q3, the most in the last seven years). Only 15% weight of the lack of workers signals considerable cooling of the labour market (the least since the end of year 2015). At the </w:t>
            </w:r>
            <w:r w:rsidRPr="00D970F7">
              <w:rPr>
                <w:color w:val="000000" w:themeColor="text1"/>
                <w:spacing w:val="-3"/>
                <w:lang w:val="en-GB"/>
              </w:rPr>
              <w:lastRenderedPageBreak/>
              <w:t xml:space="preserve">same time the expectations of businesses in the area of employment remained negative (at the level of recession – 2012). Balance of </w:t>
            </w:r>
            <w:r w:rsidRPr="00D970F7">
              <w:rPr>
                <w:rFonts w:cs="Arial"/>
                <w:color w:val="0D0D0D" w:themeColor="text1" w:themeTint="F2"/>
                <w:spacing w:val="-4"/>
                <w:lang w:val="en-GB"/>
              </w:rPr>
              <w:t xml:space="preserve">entrepreneur confidence indicator in industry improved during the summer, it ended on </w:t>
            </w:r>
            <w:r w:rsidRPr="00D970F7">
              <w:rPr>
                <w:color w:val="000000" w:themeColor="text1"/>
                <w:spacing w:val="-4"/>
                <w:lang w:val="en-GB"/>
              </w:rPr>
              <w:t>–</w:t>
            </w:r>
            <w:r w:rsidRPr="00D970F7">
              <w:rPr>
                <w:rFonts w:cs="Arial"/>
                <w:color w:val="0D0D0D" w:themeColor="text1" w:themeTint="F2"/>
                <w:spacing w:val="-4"/>
                <w:lang w:val="en-GB"/>
              </w:rPr>
              <w:t>6 points in August and thus reached the level from the beginning of this year. Among the individual branches, the largest pessimism persisted in machinery (</w:t>
            </w:r>
            <w:r w:rsidRPr="00D970F7">
              <w:rPr>
                <w:color w:val="000000" w:themeColor="text1"/>
                <w:spacing w:val="-4"/>
                <w:lang w:val="en-GB"/>
              </w:rPr>
              <w:t>–</w:t>
            </w:r>
            <w:r w:rsidRPr="00D970F7">
              <w:rPr>
                <w:rFonts w:cs="Arial"/>
                <w:color w:val="0D0D0D" w:themeColor="text1" w:themeTint="F2"/>
                <w:spacing w:val="-4"/>
                <w:lang w:val="en-GB"/>
              </w:rPr>
              <w:t>31 points), manufacture of furniture (</w:t>
            </w:r>
            <w:r w:rsidRPr="00D970F7">
              <w:rPr>
                <w:color w:val="000000" w:themeColor="text1"/>
                <w:spacing w:val="-4"/>
                <w:lang w:val="en-GB"/>
              </w:rPr>
              <w:t>–</w:t>
            </w:r>
            <w:r w:rsidRPr="00D970F7">
              <w:rPr>
                <w:rFonts w:cs="Arial"/>
                <w:color w:val="0D0D0D" w:themeColor="text1" w:themeTint="F2"/>
                <w:spacing w:val="-4"/>
                <w:lang w:val="en-GB"/>
              </w:rPr>
              <w:t>27) and manufacture of wearing apparel (</w:t>
            </w:r>
            <w:r w:rsidRPr="00D970F7">
              <w:rPr>
                <w:color w:val="000000" w:themeColor="text1"/>
                <w:spacing w:val="-4"/>
                <w:lang w:val="en-GB"/>
              </w:rPr>
              <w:t>–</w:t>
            </w:r>
            <w:r w:rsidRPr="00D970F7">
              <w:rPr>
                <w:rFonts w:cs="Arial"/>
                <w:color w:val="0D0D0D" w:themeColor="text1" w:themeTint="F2"/>
                <w:spacing w:val="-4"/>
                <w:lang w:val="en-GB"/>
              </w:rPr>
              <w:t>26). The sentiment was more favourable in the manufacture of motor vehicles and achieved the same value as at the end of last year (</w:t>
            </w:r>
            <w:r w:rsidRPr="00D970F7">
              <w:rPr>
                <w:color w:val="000000" w:themeColor="text1"/>
                <w:spacing w:val="-4"/>
                <w:lang w:val="en-GB"/>
              </w:rPr>
              <w:t>–</w:t>
            </w:r>
            <w:r w:rsidRPr="00D970F7">
              <w:rPr>
                <w:rFonts w:cs="Arial"/>
                <w:color w:val="0D0D0D" w:themeColor="text1" w:themeTint="F2"/>
                <w:spacing w:val="-4"/>
                <w:lang w:val="en-GB"/>
              </w:rPr>
              <w:t>2 points).</w:t>
            </w:r>
          </w:p>
        </w:tc>
      </w:tr>
      <w:tr w:rsidR="00C2211E" w:rsidRPr="00D970F7" w14:paraId="2E119BA1" w14:textId="77777777" w:rsidTr="00C2211E">
        <w:trPr>
          <w:trHeight w:val="145"/>
        </w:trPr>
        <w:tc>
          <w:tcPr>
            <w:tcW w:w="1723" w:type="dxa"/>
            <w:shd w:val="clear" w:color="auto" w:fill="auto"/>
            <w:tcMar>
              <w:left w:w="0" w:type="dxa"/>
            </w:tcMar>
          </w:tcPr>
          <w:p w14:paraId="156A1940" w14:textId="77777777" w:rsidR="00C2211E" w:rsidRPr="00D970F7" w:rsidRDefault="00C2211E" w:rsidP="00C2211E">
            <w:pPr>
              <w:pStyle w:val="Marginlie"/>
              <w:rPr>
                <w:lang w:val="en-GB"/>
              </w:rPr>
            </w:pPr>
            <w:r w:rsidRPr="00D970F7">
              <w:rPr>
                <w:lang w:val="en-GB"/>
              </w:rPr>
              <w:lastRenderedPageBreak/>
              <w:t>Year-on-year slump of industrial production in the CR was the eighth largest among the EU states in H1.</w:t>
            </w:r>
          </w:p>
        </w:tc>
        <w:tc>
          <w:tcPr>
            <w:tcW w:w="191" w:type="dxa"/>
            <w:shd w:val="clear" w:color="auto" w:fill="auto"/>
            <w:tcMar>
              <w:left w:w="0" w:type="dxa"/>
            </w:tcMar>
          </w:tcPr>
          <w:p w14:paraId="2257747C" w14:textId="77777777" w:rsidR="00C2211E" w:rsidRPr="00D970F7" w:rsidRDefault="00C2211E" w:rsidP="00C2211E">
            <w:pPr>
              <w:pStyle w:val="Textpoznpodarou"/>
              <w:jc w:val="both"/>
              <w:rPr>
                <w:spacing w:val="-4"/>
                <w:lang w:val="en-GB"/>
              </w:rPr>
            </w:pPr>
          </w:p>
        </w:tc>
        <w:tc>
          <w:tcPr>
            <w:tcW w:w="7730" w:type="dxa"/>
            <w:shd w:val="clear" w:color="auto" w:fill="auto"/>
            <w:tcMar>
              <w:left w:w="0" w:type="dxa"/>
            </w:tcMar>
          </w:tcPr>
          <w:p w14:paraId="101C706C" w14:textId="77777777" w:rsidR="00C2211E" w:rsidRPr="00D970F7" w:rsidRDefault="00C2211E" w:rsidP="00C2211E">
            <w:pPr>
              <w:spacing w:after="200"/>
              <w:rPr>
                <w:spacing w:val="-4"/>
                <w:lang w:val="en-GB"/>
              </w:rPr>
            </w:pPr>
            <w:r w:rsidRPr="00D970F7">
              <w:rPr>
                <w:spacing w:val="-4"/>
                <w:lang w:val="en-GB"/>
              </w:rPr>
              <w:t>While the industrial output in the EU went down by similar pace as in the CR in H1 year-on-year (</w:t>
            </w:r>
            <w:r w:rsidRPr="00D970F7">
              <w:rPr>
                <w:color w:val="000000" w:themeColor="text1"/>
                <w:spacing w:val="-4"/>
                <w:lang w:val="en-GB"/>
              </w:rPr>
              <w:t>–</w:t>
            </w:r>
            <w:r w:rsidRPr="00D970F7">
              <w:rPr>
                <w:spacing w:val="-4"/>
                <w:lang w:val="en-GB"/>
              </w:rPr>
              <w:t>5.3%), the Union decrease was milder in Q2 (</w:t>
            </w:r>
            <w:r w:rsidRPr="00D970F7">
              <w:rPr>
                <w:color w:val="000000" w:themeColor="text1"/>
                <w:spacing w:val="-4"/>
                <w:lang w:val="en-GB"/>
              </w:rPr>
              <w:t>–</w:t>
            </w:r>
            <w:r w:rsidRPr="00D970F7">
              <w:rPr>
                <w:spacing w:val="-4"/>
                <w:lang w:val="en-GB"/>
              </w:rPr>
              <w:t xml:space="preserve">19.2%). Luxembourg and Italy registered the biggest downturn in the whole H1 (similarly </w:t>
            </w:r>
            <w:r w:rsidRPr="00D970F7">
              <w:rPr>
                <w:color w:val="000000" w:themeColor="text1"/>
                <w:spacing w:val="-4"/>
                <w:lang w:val="en-GB"/>
              </w:rPr>
              <w:t>–</w:t>
            </w:r>
            <w:r w:rsidRPr="00D970F7">
              <w:rPr>
                <w:spacing w:val="-4"/>
                <w:lang w:val="en-GB"/>
              </w:rPr>
              <w:t>18%) in the whole H1, followed by strongly industrial economies of Slovakia (–18%) and Romania (</w:t>
            </w:r>
            <w:r w:rsidRPr="00D970F7">
              <w:rPr>
                <w:color w:val="000000" w:themeColor="text1"/>
                <w:spacing w:val="-4"/>
                <w:lang w:val="en-GB"/>
              </w:rPr>
              <w:t>–</w:t>
            </w:r>
            <w:r w:rsidRPr="00D970F7">
              <w:rPr>
                <w:spacing w:val="-4"/>
                <w:lang w:val="en-GB"/>
              </w:rPr>
              <w:t>17%).  Decrease in the CR was the eight highest within the Union (</w:t>
            </w:r>
            <w:r w:rsidRPr="00D970F7">
              <w:rPr>
                <w:color w:val="000000" w:themeColor="text1"/>
                <w:spacing w:val="-4"/>
                <w:lang w:val="en-GB"/>
              </w:rPr>
              <w:t>–</w:t>
            </w:r>
            <w:r w:rsidRPr="00D970F7">
              <w:rPr>
                <w:spacing w:val="-4"/>
                <w:lang w:val="en-GB"/>
              </w:rPr>
              <w:t xml:space="preserve">14%), Hungary or Germany also recorded a similar pace. Poland, where the distinct structure of industry also had an effect (for example higher proportion of branches linked to agriculture), fared better </w:t>
            </w:r>
            <w:r w:rsidRPr="00D970F7">
              <w:rPr>
                <w:color w:val="0D0D0D" w:themeColor="text1" w:themeTint="F2"/>
                <w:spacing w:val="-4"/>
                <w:lang w:val="en-GB"/>
              </w:rPr>
              <w:t>(</w:t>
            </w:r>
            <w:r w:rsidRPr="00D970F7">
              <w:rPr>
                <w:color w:val="000000" w:themeColor="text1"/>
                <w:spacing w:val="-4"/>
                <w:lang w:val="en-GB"/>
              </w:rPr>
              <w:t>–</w:t>
            </w:r>
            <w:r w:rsidRPr="00D970F7">
              <w:rPr>
                <w:color w:val="0D0D0D" w:themeColor="text1" w:themeTint="F2"/>
                <w:spacing w:val="-4"/>
                <w:lang w:val="en-GB"/>
              </w:rPr>
              <w:t xml:space="preserve">7%). Output of industry increased only in Ireland </w:t>
            </w:r>
            <w:r w:rsidRPr="00D970F7">
              <w:rPr>
                <w:color w:val="0D0D0D" w:themeColor="text1" w:themeTint="F2"/>
                <w:spacing w:val="-2"/>
                <w:lang w:val="en-GB"/>
              </w:rPr>
              <w:t>(+3%) – due to higher share of high</w:t>
            </w:r>
            <w:r w:rsidRPr="00D970F7">
              <w:rPr>
                <w:color w:val="0D0D0D" w:themeColor="text1" w:themeTint="F2"/>
                <w:spacing w:val="-2"/>
                <w:lang w:val="en-GB"/>
              </w:rPr>
              <w:noBreakHyphen/>
              <w:t xml:space="preserve">tech branches – and also in Malta (+2%). In the CR (–20.0%) similarly to the whole EU </w:t>
            </w:r>
            <w:r w:rsidRPr="00D970F7">
              <w:rPr>
                <w:color w:val="0D0D0D" w:themeColor="text1" w:themeTint="F2"/>
                <w:spacing w:val="-4"/>
                <w:lang w:val="en-GB"/>
              </w:rPr>
              <w:t>(–18.5%), the production shrank the most in branches manufacturing products of investment nature (e.g. machines, transport equipment).</w:t>
            </w:r>
          </w:p>
        </w:tc>
      </w:tr>
      <w:tr w:rsidR="00C2211E" w:rsidRPr="00D970F7" w14:paraId="009B8984" w14:textId="77777777" w:rsidTr="00C2211E">
        <w:trPr>
          <w:trHeight w:val="170"/>
        </w:trPr>
        <w:tc>
          <w:tcPr>
            <w:tcW w:w="1723" w:type="dxa"/>
            <w:vMerge w:val="restart"/>
            <w:shd w:val="clear" w:color="auto" w:fill="auto"/>
            <w:tcMar>
              <w:left w:w="0" w:type="dxa"/>
            </w:tcMar>
          </w:tcPr>
          <w:p w14:paraId="748C3265" w14:textId="77777777" w:rsidR="00C2211E" w:rsidRPr="00D970F7" w:rsidRDefault="00C2211E" w:rsidP="00C2211E">
            <w:pPr>
              <w:pStyle w:val="Marginlie"/>
              <w:rPr>
                <w:lang w:val="en-GB"/>
              </w:rPr>
            </w:pPr>
          </w:p>
        </w:tc>
        <w:tc>
          <w:tcPr>
            <w:tcW w:w="191" w:type="dxa"/>
            <w:vMerge w:val="restart"/>
            <w:shd w:val="clear" w:color="auto" w:fill="auto"/>
            <w:tcMar>
              <w:left w:w="0" w:type="dxa"/>
            </w:tcMar>
          </w:tcPr>
          <w:p w14:paraId="417654C3" w14:textId="77777777" w:rsidR="00C2211E" w:rsidRPr="00D970F7" w:rsidRDefault="00C2211E" w:rsidP="00C2211E">
            <w:pPr>
              <w:pStyle w:val="Textpoznpodarou"/>
              <w:jc w:val="both"/>
              <w:rPr>
                <w:spacing w:val="-4"/>
                <w:lang w:val="en-GB"/>
              </w:rPr>
            </w:pPr>
          </w:p>
        </w:tc>
        <w:tc>
          <w:tcPr>
            <w:tcW w:w="7730" w:type="dxa"/>
            <w:shd w:val="clear" w:color="auto" w:fill="auto"/>
            <w:tcMar>
              <w:left w:w="0" w:type="dxa"/>
            </w:tcMar>
          </w:tcPr>
          <w:p w14:paraId="739E9148" w14:textId="77777777" w:rsidR="00C2211E" w:rsidRPr="00973964" w:rsidRDefault="00C2211E" w:rsidP="00C2211E">
            <w:pPr>
              <w:pStyle w:val="Textpoznpodarou"/>
              <w:spacing w:line="276" w:lineRule="auto"/>
              <w:jc w:val="both"/>
              <w:rPr>
                <w:b/>
                <w:spacing w:val="-3"/>
                <w:lang w:val="en-GB"/>
              </w:rPr>
            </w:pPr>
            <w:r w:rsidRPr="00973964">
              <w:rPr>
                <w:b/>
                <w:spacing w:val="-3"/>
                <w:lang w:val="en-GB"/>
              </w:rPr>
              <w:t>Chart 5  New orders in manufacture of motor vehicles, in industry in total </w:t>
            </w:r>
          </w:p>
          <w:p w14:paraId="25386C32" w14:textId="793B739C" w:rsidR="00C2211E" w:rsidRPr="00D970F7" w:rsidRDefault="00C2211E" w:rsidP="00C2211E">
            <w:pPr>
              <w:pStyle w:val="Textpoznpodarou"/>
              <w:spacing w:line="276" w:lineRule="auto"/>
              <w:rPr>
                <w:b/>
                <w:lang w:val="en-GB"/>
              </w:rPr>
            </w:pPr>
            <w:r w:rsidRPr="00973964">
              <w:rPr>
                <w:bCs/>
                <w:spacing w:val="-3"/>
                <w:lang w:val="en-GB"/>
              </w:rPr>
              <w:t>(in current prices, year-on-year change in %)</w:t>
            </w:r>
            <w:r w:rsidRPr="00973964">
              <w:rPr>
                <w:spacing w:val="-3"/>
                <w:lang w:val="en-GB"/>
              </w:rPr>
              <w:t xml:space="preserve"> </w:t>
            </w:r>
            <w:r w:rsidRPr="00973964">
              <w:rPr>
                <w:b/>
                <w:spacing w:val="-3"/>
                <w:lang w:val="en-GB"/>
              </w:rPr>
              <w:t>and utilisation of production capacities in industry*</w:t>
            </w:r>
            <w:r w:rsidRPr="00973964">
              <w:rPr>
                <w:spacing w:val="-3"/>
                <w:lang w:val="en-GB"/>
              </w:rPr>
              <w:t xml:space="preserve"> (in %, right axis)</w:t>
            </w:r>
            <w:r w:rsidR="00973964" w:rsidRPr="00973964">
              <w:rPr>
                <w:spacing w:val="-3"/>
                <w:lang w:val="en-GB"/>
              </w:rPr>
              <w:t xml:space="preserve"> </w:t>
            </w:r>
            <w:r w:rsidR="00973964" w:rsidRPr="00973964">
              <w:rPr>
                <w:b/>
                <w:spacing w:val="-3"/>
                <w:lang w:val="en-GB"/>
              </w:rPr>
              <w:t>and selected barriers to growth</w:t>
            </w:r>
            <w:r w:rsidR="00973964" w:rsidRPr="00973964">
              <w:rPr>
                <w:spacing w:val="-3"/>
                <w:lang w:val="en-GB"/>
              </w:rPr>
              <w:t>* (in %, right axis)</w:t>
            </w:r>
          </w:p>
        </w:tc>
      </w:tr>
      <w:tr w:rsidR="00C2211E" w:rsidRPr="00D970F7" w14:paraId="32468F12" w14:textId="77777777" w:rsidTr="00C2211E">
        <w:tblPrEx>
          <w:tblCellMar>
            <w:left w:w="70" w:type="dxa"/>
            <w:right w:w="70" w:type="dxa"/>
          </w:tblCellMar>
        </w:tblPrEx>
        <w:trPr>
          <w:trHeight w:val="170"/>
        </w:trPr>
        <w:tc>
          <w:tcPr>
            <w:tcW w:w="1723" w:type="dxa"/>
            <w:vMerge/>
            <w:shd w:val="clear" w:color="auto" w:fill="auto"/>
          </w:tcPr>
          <w:p w14:paraId="69F74E23" w14:textId="77777777" w:rsidR="00C2211E" w:rsidRPr="00D970F7" w:rsidRDefault="00C2211E" w:rsidP="00C2211E">
            <w:pPr>
              <w:pStyle w:val="Marginlie"/>
              <w:rPr>
                <w:lang w:val="en-GB"/>
              </w:rPr>
            </w:pPr>
          </w:p>
        </w:tc>
        <w:tc>
          <w:tcPr>
            <w:tcW w:w="191" w:type="dxa"/>
            <w:vMerge/>
            <w:shd w:val="clear" w:color="auto" w:fill="auto"/>
          </w:tcPr>
          <w:p w14:paraId="4F7D95F7" w14:textId="77777777" w:rsidR="00C2211E" w:rsidRPr="00D970F7" w:rsidRDefault="00C2211E" w:rsidP="00C2211E">
            <w:pPr>
              <w:pStyle w:val="Textpoznpodarou"/>
              <w:jc w:val="both"/>
              <w:rPr>
                <w:spacing w:val="-4"/>
                <w:lang w:val="en-GB"/>
              </w:rPr>
            </w:pPr>
          </w:p>
        </w:tc>
        <w:tc>
          <w:tcPr>
            <w:tcW w:w="7730" w:type="dxa"/>
            <w:shd w:val="clear" w:color="auto" w:fill="auto"/>
          </w:tcPr>
          <w:p w14:paraId="1FEF16B3" w14:textId="77777777" w:rsidR="00C2211E" w:rsidRPr="00D970F7" w:rsidRDefault="00C2211E" w:rsidP="00C2211E">
            <w:pPr>
              <w:spacing w:after="0" w:line="240" w:lineRule="auto"/>
              <w:rPr>
                <w:szCs w:val="20"/>
                <w:lang w:val="en-GB"/>
              </w:rPr>
            </w:pPr>
            <w:r>
              <w:rPr>
                <w:noProof/>
              </w:rPr>
              <w:drawing>
                <wp:inline distT="0" distB="0" distL="0" distR="0" wp14:anchorId="585B432C" wp14:editId="402CE153">
                  <wp:extent cx="4726305" cy="3686861"/>
                  <wp:effectExtent l="0" t="0" r="0" b="8890"/>
                  <wp:docPr id="27" name="Graf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r>
      <w:tr w:rsidR="00C2211E" w:rsidRPr="00AF7349" w14:paraId="62F7162F" w14:textId="77777777" w:rsidTr="00C2211E">
        <w:trPr>
          <w:trHeight w:val="170"/>
        </w:trPr>
        <w:tc>
          <w:tcPr>
            <w:tcW w:w="1723" w:type="dxa"/>
            <w:vMerge/>
            <w:shd w:val="clear" w:color="auto" w:fill="auto"/>
            <w:tcMar>
              <w:left w:w="0" w:type="dxa"/>
            </w:tcMar>
          </w:tcPr>
          <w:p w14:paraId="57EB684D" w14:textId="77777777" w:rsidR="00C2211E" w:rsidRPr="00D970F7" w:rsidRDefault="00C2211E" w:rsidP="00C2211E">
            <w:pPr>
              <w:pStyle w:val="Marginlie"/>
              <w:rPr>
                <w:lang w:val="en-GB"/>
              </w:rPr>
            </w:pPr>
          </w:p>
        </w:tc>
        <w:tc>
          <w:tcPr>
            <w:tcW w:w="191" w:type="dxa"/>
            <w:vMerge/>
            <w:shd w:val="clear" w:color="auto" w:fill="auto"/>
            <w:tcMar>
              <w:left w:w="0" w:type="dxa"/>
            </w:tcMar>
          </w:tcPr>
          <w:p w14:paraId="7D0D25BD" w14:textId="77777777" w:rsidR="00C2211E" w:rsidRPr="00D970F7" w:rsidRDefault="00C2211E" w:rsidP="00C2211E">
            <w:pPr>
              <w:pStyle w:val="Textpoznpodarou"/>
              <w:jc w:val="both"/>
              <w:rPr>
                <w:spacing w:val="-4"/>
                <w:lang w:val="en-GB"/>
              </w:rPr>
            </w:pPr>
          </w:p>
        </w:tc>
        <w:tc>
          <w:tcPr>
            <w:tcW w:w="7730" w:type="dxa"/>
            <w:shd w:val="clear" w:color="auto" w:fill="auto"/>
            <w:tcMar>
              <w:left w:w="0" w:type="dxa"/>
            </w:tcMar>
          </w:tcPr>
          <w:p w14:paraId="7C6DC6B5" w14:textId="77777777" w:rsidR="00C2211E" w:rsidRPr="00B6308A" w:rsidRDefault="00C2211E" w:rsidP="00C2211E">
            <w:pPr>
              <w:spacing w:after="0"/>
              <w:rPr>
                <w:rFonts w:cs="Arial"/>
                <w:sz w:val="14"/>
                <w:szCs w:val="14"/>
                <w:lang w:val="en-GB"/>
              </w:rPr>
            </w:pPr>
            <w:r>
              <w:rPr>
                <w:rFonts w:cs="Arial"/>
                <w:sz w:val="14"/>
                <w:szCs w:val="14"/>
              </w:rPr>
              <w:t>*</w:t>
            </w:r>
            <w:bookmarkStart w:id="5" w:name="_Hlk53044517"/>
            <w:r w:rsidRPr="00B6308A">
              <w:rPr>
                <w:rFonts w:cs="Arial"/>
                <w:sz w:val="14"/>
                <w:szCs w:val="14"/>
                <w:lang w:val="en-GB"/>
              </w:rPr>
              <w:t xml:space="preserve">Both utilisation of production capacities and growth barriers are seasonally adjusted and express the level in the first month of the given quarter. </w:t>
            </w:r>
            <w:bookmarkEnd w:id="5"/>
          </w:p>
          <w:p w14:paraId="1A6D021F" w14:textId="77777777" w:rsidR="00C2211E" w:rsidRPr="00AF7349" w:rsidRDefault="00C2211E" w:rsidP="00C2211E">
            <w:pPr>
              <w:spacing w:after="200"/>
              <w:rPr>
                <w:rFonts w:cs="Arial"/>
                <w:sz w:val="14"/>
                <w:szCs w:val="14"/>
                <w:lang w:val="en-GB"/>
              </w:rPr>
            </w:pPr>
            <w:r w:rsidRPr="00D970F7">
              <w:rPr>
                <w:rFonts w:cs="Arial"/>
                <w:sz w:val="14"/>
                <w:szCs w:val="14"/>
                <w:lang w:val="en-GB"/>
              </w:rPr>
              <w:t>Source: CZSO</w:t>
            </w:r>
          </w:p>
        </w:tc>
      </w:tr>
      <w:tr w:rsidR="00C2211E" w:rsidRPr="00D970F7" w14:paraId="739B591F" w14:textId="77777777" w:rsidTr="00C2211E">
        <w:trPr>
          <w:trHeight w:val="145"/>
        </w:trPr>
        <w:tc>
          <w:tcPr>
            <w:tcW w:w="1723" w:type="dxa"/>
            <w:shd w:val="clear" w:color="auto" w:fill="auto"/>
            <w:tcMar>
              <w:left w:w="0" w:type="dxa"/>
            </w:tcMar>
          </w:tcPr>
          <w:p w14:paraId="3C1AE862" w14:textId="77777777" w:rsidR="00C2211E" w:rsidRPr="00D970F7" w:rsidRDefault="00C2211E" w:rsidP="00C2211E">
            <w:pPr>
              <w:pStyle w:val="Marginlie"/>
              <w:rPr>
                <w:lang w:val="en-GB"/>
              </w:rPr>
            </w:pPr>
            <w:r w:rsidRPr="00D970F7">
              <w:rPr>
                <w:lang w:val="en-GB"/>
              </w:rPr>
              <w:t xml:space="preserve">Following the favourable development at the beginning of the year, construction experienced downturn in </w:t>
            </w:r>
            <w:r w:rsidRPr="00D970F7">
              <w:rPr>
                <w:lang w:val="en-GB"/>
              </w:rPr>
              <w:lastRenderedPageBreak/>
              <w:t>Q2. The downturn was evident primarily in the building construction and affected rather small and medium businesses.</w:t>
            </w:r>
          </w:p>
        </w:tc>
        <w:tc>
          <w:tcPr>
            <w:tcW w:w="191" w:type="dxa"/>
            <w:shd w:val="clear" w:color="auto" w:fill="auto"/>
            <w:tcMar>
              <w:left w:w="0" w:type="dxa"/>
            </w:tcMar>
          </w:tcPr>
          <w:p w14:paraId="6F51D33C" w14:textId="77777777" w:rsidR="00C2211E" w:rsidRPr="00D970F7" w:rsidRDefault="00C2211E" w:rsidP="00C2211E">
            <w:pPr>
              <w:pStyle w:val="Textpoznpodarou"/>
              <w:jc w:val="both"/>
              <w:rPr>
                <w:spacing w:val="-3"/>
                <w:lang w:val="en-GB"/>
              </w:rPr>
            </w:pPr>
          </w:p>
        </w:tc>
        <w:tc>
          <w:tcPr>
            <w:tcW w:w="7730" w:type="dxa"/>
            <w:shd w:val="clear" w:color="auto" w:fill="auto"/>
            <w:tcMar>
              <w:left w:w="0" w:type="dxa"/>
            </w:tcMar>
          </w:tcPr>
          <w:p w14:paraId="3121AA9F" w14:textId="0B8F68C8" w:rsidR="00C2211E" w:rsidRPr="00D970F7" w:rsidRDefault="00C2211E" w:rsidP="00C2211E">
            <w:pPr>
              <w:pStyle w:val="Textpoznpodarou"/>
              <w:spacing w:after="200" w:line="276" w:lineRule="auto"/>
              <w:jc w:val="both"/>
              <w:rPr>
                <w:color w:val="0D0D0D" w:themeColor="text1" w:themeTint="F2"/>
                <w:lang w:val="en-GB"/>
              </w:rPr>
            </w:pPr>
            <w:r w:rsidRPr="00D970F7">
              <w:rPr>
                <w:color w:val="0D0D0D" w:themeColor="text1" w:themeTint="F2"/>
                <w:lang w:val="en-GB"/>
              </w:rPr>
              <w:t>Construction entered the year 2020 resolutely. Large stock of public, but also private orders together with very favourable weather were reflected in the continuing growth of the construction output</w:t>
            </w:r>
            <w:r w:rsidRPr="00D970F7">
              <w:rPr>
                <w:rStyle w:val="Znakapoznpodarou"/>
                <w:spacing w:val="-2"/>
                <w:lang w:val="en-GB"/>
              </w:rPr>
              <w:footnoteReference w:id="12"/>
            </w:r>
            <w:r w:rsidRPr="00D970F7">
              <w:rPr>
                <w:color w:val="0D0D0D" w:themeColor="text1" w:themeTint="F2"/>
                <w:lang w:val="en-GB"/>
              </w:rPr>
              <w:t xml:space="preserve">. It increased by </w:t>
            </w:r>
            <w:r w:rsidRPr="00D970F7">
              <w:rPr>
                <w:spacing w:val="-2"/>
                <w:lang w:val="en-GB"/>
              </w:rPr>
              <w:t xml:space="preserve">1.1% quarter-on-quarter in Q1. This branch however started to gradually face difficulties in the subsequent period. The introduced </w:t>
            </w:r>
            <w:r w:rsidRPr="00D970F7">
              <w:rPr>
                <w:spacing w:val="-2"/>
                <w:lang w:val="en-GB"/>
              </w:rPr>
              <w:lastRenderedPageBreak/>
              <w:t xml:space="preserve">government restriction measures hindered the administrative process of construction preparation, various competitive tenders were interrupted, which disrupted the continuity of construction. It also further deepened the already pressing difficulty with the availability of labour force in construction. Construction output thus slumped by 7.0% quarter-on-quarter, which represented a stronger shock than a short-term fallout of public infrastructure investment at the beginning of year 2016 (due to the transition to the new EU programme period). The construction output decreased </w:t>
            </w:r>
            <w:r w:rsidR="00530BF8">
              <w:rPr>
                <w:spacing w:val="-2"/>
                <w:lang w:val="en-GB"/>
              </w:rPr>
              <w:t xml:space="preserve">year-on-year </w:t>
            </w:r>
            <w:r w:rsidRPr="00D970F7">
              <w:rPr>
                <w:spacing w:val="-2"/>
                <w:lang w:val="en-GB"/>
              </w:rPr>
              <w:t>by nearly 9% in Q2. More than three years lasting growth period thus ceased. In contrast to year 2016, when the whole branch was dragged down by the civil engineering construction, the building construction had a negative impact this year. Mostly small and medium businesses were struck by the fallout here, it can be assumed that these companies had at their disposal less sufficient reservoir of orders from the recent expansion period. In contrast the output of civil engineering construction grew also thanks to the accelerating stage of drawing on the EU funds in both this year´s quarters (+15.5 resp. +1.7%).</w:t>
            </w:r>
          </w:p>
        </w:tc>
      </w:tr>
      <w:tr w:rsidR="00C2211E" w:rsidRPr="00D970F7" w14:paraId="5471D282" w14:textId="77777777" w:rsidTr="00C2211E">
        <w:trPr>
          <w:trHeight w:val="145"/>
        </w:trPr>
        <w:tc>
          <w:tcPr>
            <w:tcW w:w="1723" w:type="dxa"/>
            <w:shd w:val="clear" w:color="auto" w:fill="auto"/>
            <w:tcMar>
              <w:left w:w="0" w:type="dxa"/>
            </w:tcMar>
          </w:tcPr>
          <w:p w14:paraId="29B6DF6B" w14:textId="77777777" w:rsidR="00C2211E" w:rsidRPr="00D970F7" w:rsidRDefault="00C2211E" w:rsidP="00C2211E">
            <w:pPr>
              <w:pStyle w:val="Marginlie"/>
              <w:rPr>
                <w:lang w:val="en-GB"/>
              </w:rPr>
            </w:pPr>
            <w:r w:rsidRPr="00D970F7">
              <w:rPr>
                <w:lang w:val="en-GB"/>
              </w:rPr>
              <w:lastRenderedPageBreak/>
              <w:t>Several years lasting growth of commenced as well as completed flats halted this year.</w:t>
            </w:r>
          </w:p>
        </w:tc>
        <w:tc>
          <w:tcPr>
            <w:tcW w:w="191" w:type="dxa"/>
            <w:shd w:val="clear" w:color="auto" w:fill="auto"/>
            <w:tcMar>
              <w:left w:w="0" w:type="dxa"/>
            </w:tcMar>
          </w:tcPr>
          <w:p w14:paraId="67A5C7BD" w14:textId="77777777" w:rsidR="00C2211E" w:rsidRPr="00D970F7" w:rsidRDefault="00C2211E" w:rsidP="00C2211E">
            <w:pPr>
              <w:pStyle w:val="Textpoznpodarou"/>
              <w:jc w:val="both"/>
              <w:rPr>
                <w:spacing w:val="-3"/>
                <w:lang w:val="en-GB"/>
              </w:rPr>
            </w:pPr>
          </w:p>
        </w:tc>
        <w:tc>
          <w:tcPr>
            <w:tcW w:w="7730" w:type="dxa"/>
            <w:shd w:val="clear" w:color="auto" w:fill="auto"/>
            <w:tcMar>
              <w:left w:w="0" w:type="dxa"/>
            </w:tcMar>
          </w:tcPr>
          <w:p w14:paraId="5DEC7C85" w14:textId="77777777" w:rsidR="00C2211E" w:rsidRPr="00D970F7" w:rsidRDefault="00C2211E" w:rsidP="00C2211E">
            <w:pPr>
              <w:pStyle w:val="Textpoznpodarou"/>
              <w:spacing w:after="200" w:line="276" w:lineRule="auto"/>
              <w:jc w:val="both"/>
              <w:rPr>
                <w:color w:val="0D0D0D" w:themeColor="text1" w:themeTint="F2"/>
                <w:spacing w:val="-3"/>
                <w:lang w:val="en-GB"/>
              </w:rPr>
            </w:pPr>
            <w:r w:rsidRPr="00D970F7">
              <w:rPr>
                <w:color w:val="0D0D0D" w:themeColor="text1" w:themeTint="F2"/>
                <w:spacing w:val="-3"/>
                <w:lang w:val="en-GB"/>
              </w:rPr>
              <w:t>Volume of residential construction mildly shrank in H1 2020. Completed flats recorded faster decrease, their number (15.3 thousand) decreased by 7% year-on-year. Less flats were built in new residential buildings (</w:t>
            </w:r>
            <w:r w:rsidRPr="00D970F7">
              <w:rPr>
                <w:color w:val="000000" w:themeColor="text1"/>
                <w:spacing w:val="-3"/>
                <w:lang w:val="en-GB"/>
              </w:rPr>
              <w:t>–</w:t>
            </w:r>
            <w:r w:rsidRPr="00D970F7">
              <w:rPr>
                <w:color w:val="0D0D0D" w:themeColor="text1" w:themeTint="F2"/>
                <w:spacing w:val="-3"/>
                <w:lang w:val="en-GB"/>
              </w:rPr>
              <w:t>1.1 thousand), number of flats in non-residential buildings or family houses went on the contrary slightly up. Number of all commenced flats lowered only negligibly (by 2.4%), again mostly due to lower construction of residential buildings. By contrast the number of flats in family houses has been expanding for already the sixth year, when it exceeded 10 thousand and its size was already approaching the highest half yearly totals from the expansion period 2006 to 2008.</w:t>
            </w:r>
          </w:p>
        </w:tc>
      </w:tr>
      <w:tr w:rsidR="00C2211E" w:rsidRPr="00D970F7" w14:paraId="44F0FE18" w14:textId="77777777" w:rsidTr="00C2211E">
        <w:trPr>
          <w:trHeight w:val="145"/>
        </w:trPr>
        <w:tc>
          <w:tcPr>
            <w:tcW w:w="1723" w:type="dxa"/>
            <w:shd w:val="clear" w:color="auto" w:fill="auto"/>
            <w:tcMar>
              <w:left w:w="0" w:type="dxa"/>
            </w:tcMar>
          </w:tcPr>
          <w:p w14:paraId="2DA5970D" w14:textId="77777777" w:rsidR="00C2211E" w:rsidRPr="00D970F7" w:rsidRDefault="00C2211E" w:rsidP="00C2211E">
            <w:pPr>
              <w:pStyle w:val="Marginlie"/>
              <w:rPr>
                <w:rFonts w:cstheme="minorHAnsi"/>
                <w:spacing w:val="-4"/>
                <w:lang w:val="en-GB"/>
              </w:rPr>
            </w:pPr>
            <w:r w:rsidRPr="00D970F7">
              <w:rPr>
                <w:rFonts w:cstheme="minorHAnsi"/>
                <w:spacing w:val="-4"/>
                <w:lang w:val="en-GB"/>
              </w:rPr>
              <w:t xml:space="preserve">Approximate value per one building permit stagnated, new orders slightly increased in Q2. </w:t>
            </w:r>
          </w:p>
          <w:p w14:paraId="44A08EAF" w14:textId="77777777" w:rsidR="00C2211E" w:rsidRPr="00D970F7" w:rsidRDefault="00C2211E" w:rsidP="00C2211E">
            <w:pPr>
              <w:pStyle w:val="Marginlie"/>
              <w:rPr>
                <w:lang w:val="en-GB"/>
              </w:rPr>
            </w:pPr>
          </w:p>
        </w:tc>
        <w:tc>
          <w:tcPr>
            <w:tcW w:w="191" w:type="dxa"/>
            <w:shd w:val="clear" w:color="auto" w:fill="auto"/>
            <w:tcMar>
              <w:left w:w="0" w:type="dxa"/>
            </w:tcMar>
          </w:tcPr>
          <w:p w14:paraId="5E8EBBEB" w14:textId="77777777" w:rsidR="00C2211E" w:rsidRPr="00D970F7" w:rsidRDefault="00C2211E" w:rsidP="00C2211E">
            <w:pPr>
              <w:pStyle w:val="Textpoznpodarou"/>
              <w:jc w:val="both"/>
              <w:rPr>
                <w:spacing w:val="-3"/>
                <w:lang w:val="en-GB"/>
              </w:rPr>
            </w:pPr>
          </w:p>
        </w:tc>
        <w:tc>
          <w:tcPr>
            <w:tcW w:w="7730" w:type="dxa"/>
            <w:shd w:val="clear" w:color="auto" w:fill="auto"/>
            <w:tcMar>
              <w:left w:w="0" w:type="dxa"/>
            </w:tcMar>
          </w:tcPr>
          <w:p w14:paraId="24CC193D" w14:textId="77777777" w:rsidR="00C2211E" w:rsidRPr="00D970F7" w:rsidRDefault="00C2211E" w:rsidP="00C2211E">
            <w:pPr>
              <w:pStyle w:val="Textpoznpodarou"/>
              <w:spacing w:after="200" w:line="276" w:lineRule="auto"/>
              <w:jc w:val="both"/>
              <w:rPr>
                <w:color w:val="0D0D0D" w:themeColor="text1" w:themeTint="F2"/>
                <w:spacing w:val="-4"/>
                <w:lang w:val="en-GB"/>
              </w:rPr>
            </w:pPr>
            <w:r w:rsidRPr="00D970F7">
              <w:rPr>
                <w:rFonts w:cstheme="minorHAnsi"/>
                <w:spacing w:val="-4"/>
                <w:lang w:val="en-GB"/>
              </w:rPr>
              <w:t>The approximate value per one building permit remained nearly the same (</w:t>
            </w:r>
            <w:r w:rsidRPr="00D970F7">
              <w:rPr>
                <w:color w:val="000000" w:themeColor="text1"/>
                <w:spacing w:val="-4"/>
                <w:lang w:val="en-GB"/>
              </w:rPr>
              <w:t>–</w:t>
            </w:r>
            <w:r w:rsidRPr="00D970F7">
              <w:rPr>
                <w:rFonts w:cstheme="minorHAnsi"/>
                <w:spacing w:val="-4"/>
                <w:lang w:val="en-GB"/>
              </w:rPr>
              <w:t>0.6%) for the first seven months of year 2020 in comparison to the last year´s value. Low growth of both residential (+4.6%) and non-residential buildings (+3.9%) was compensated by deeper decrease for civil engineering structures (</w:t>
            </w:r>
            <w:r w:rsidRPr="00D970F7">
              <w:rPr>
                <w:color w:val="000000" w:themeColor="text1"/>
                <w:spacing w:val="-4"/>
                <w:lang w:val="en-GB"/>
              </w:rPr>
              <w:t>–</w:t>
            </w:r>
            <w:r w:rsidRPr="00D970F7">
              <w:rPr>
                <w:rFonts w:cstheme="minorHAnsi"/>
                <w:spacing w:val="-4"/>
                <w:lang w:val="en-GB"/>
              </w:rPr>
              <w:t>9.1%, partially due to high last year´s basis). The approximate average value per one building permit amounted to 4.6 CZK mil in the same period and stagnated year-on-year. Favourable fact was, that the value of newly concluded domestic orders (in firms with 50 and more employees) slightly increased in Q2 (by 6.9% year-on-year), thanks to both building and civil engineering construction. The total stock of work in the form of not yet realised construction orders was also strengthening. It was by one tenth higher year-on-year at the end of Q</w:t>
            </w:r>
            <w:r w:rsidRPr="00D970F7">
              <w:rPr>
                <w:rFonts w:cstheme="minorHAnsi"/>
                <w:lang w:val="en-GB"/>
              </w:rPr>
              <w:t>2, due to both public and private orders</w:t>
            </w:r>
            <w:r w:rsidRPr="00D970F7">
              <w:rPr>
                <w:rStyle w:val="Znakapoznpodarou"/>
                <w:spacing w:val="-4"/>
                <w:lang w:val="en-GB"/>
              </w:rPr>
              <w:footnoteReference w:id="13"/>
            </w:r>
            <w:r w:rsidRPr="00D970F7">
              <w:rPr>
                <w:rFonts w:cstheme="minorHAnsi"/>
                <w:lang w:val="en-GB"/>
              </w:rPr>
              <w:t xml:space="preserve">. The peripheral segment of foreign orders also strengthened after more than five years. More than three fifths of stock of work still belonged to domestic public orders. </w:t>
            </w:r>
          </w:p>
        </w:tc>
      </w:tr>
      <w:tr w:rsidR="00C2211E" w:rsidRPr="00712577" w14:paraId="0E84D991" w14:textId="77777777" w:rsidTr="00C2211E">
        <w:trPr>
          <w:trHeight w:val="145"/>
        </w:trPr>
        <w:tc>
          <w:tcPr>
            <w:tcW w:w="1723" w:type="dxa"/>
            <w:shd w:val="clear" w:color="auto" w:fill="auto"/>
            <w:tcMar>
              <w:left w:w="0" w:type="dxa"/>
            </w:tcMar>
          </w:tcPr>
          <w:p w14:paraId="6C50BCC0" w14:textId="77777777" w:rsidR="00C2211E" w:rsidRPr="00D970F7" w:rsidRDefault="00C2211E" w:rsidP="00C2211E">
            <w:pPr>
              <w:pStyle w:val="Marginlie"/>
              <w:rPr>
                <w:rFonts w:cstheme="minorHAnsi"/>
                <w:spacing w:val="-4"/>
                <w:lang w:val="en-GB"/>
              </w:rPr>
            </w:pPr>
            <w:r w:rsidRPr="00D970F7">
              <w:rPr>
                <w:rFonts w:cstheme="minorHAnsi"/>
                <w:spacing w:val="-4"/>
                <w:lang w:val="en-GB"/>
              </w:rPr>
              <w:t>Entrepreneur confidence descended to 2.5 years minimum in construction. The main growth barrier of the branch slowly shifts from lack of human resources to lack of work contracts.</w:t>
            </w:r>
          </w:p>
        </w:tc>
        <w:tc>
          <w:tcPr>
            <w:tcW w:w="191" w:type="dxa"/>
            <w:shd w:val="clear" w:color="auto" w:fill="auto"/>
            <w:tcMar>
              <w:left w:w="0" w:type="dxa"/>
            </w:tcMar>
          </w:tcPr>
          <w:p w14:paraId="70661060" w14:textId="77777777" w:rsidR="00C2211E" w:rsidRPr="00D970F7" w:rsidRDefault="00C2211E" w:rsidP="00C2211E">
            <w:pPr>
              <w:pStyle w:val="Textpoznpodarou"/>
              <w:jc w:val="both"/>
              <w:rPr>
                <w:spacing w:val="-3"/>
                <w:lang w:val="en-GB"/>
              </w:rPr>
            </w:pPr>
          </w:p>
        </w:tc>
        <w:tc>
          <w:tcPr>
            <w:tcW w:w="7730" w:type="dxa"/>
            <w:shd w:val="clear" w:color="auto" w:fill="auto"/>
            <w:tcMar>
              <w:left w:w="0" w:type="dxa"/>
            </w:tcMar>
          </w:tcPr>
          <w:p w14:paraId="168F322E" w14:textId="77777777" w:rsidR="00C2211E" w:rsidRPr="00712577" w:rsidRDefault="00C2211E" w:rsidP="00C2211E">
            <w:pPr>
              <w:pStyle w:val="Textpoznpodarou"/>
              <w:spacing w:after="200" w:line="276" w:lineRule="auto"/>
              <w:jc w:val="both"/>
              <w:rPr>
                <w:rFonts w:cstheme="minorHAnsi"/>
                <w:lang w:val="en-GB"/>
              </w:rPr>
            </w:pPr>
            <w:r w:rsidRPr="00712577">
              <w:rPr>
                <w:rFonts w:cstheme="minorHAnsi"/>
                <w:lang w:val="en-GB"/>
              </w:rPr>
              <w:t xml:space="preserve">Balance of entrepreneur confidence indicator in construction worsened since the beginning of this year </w:t>
            </w:r>
            <w:r w:rsidRPr="00712577">
              <w:rPr>
                <w:rFonts w:cs="Arial"/>
                <w:color w:val="0D0D0D" w:themeColor="text1" w:themeTint="F2"/>
                <w:lang w:val="en-GB"/>
              </w:rPr>
              <w:t>and dropped to 2.5 years minimum (</w:t>
            </w:r>
            <w:r w:rsidRPr="00712577">
              <w:rPr>
                <w:color w:val="000000" w:themeColor="text1"/>
                <w:lang w:val="en-GB"/>
              </w:rPr>
              <w:t>–</w:t>
            </w:r>
            <w:r w:rsidRPr="00712577">
              <w:rPr>
                <w:rFonts w:cs="Arial"/>
                <w:color w:val="0D0D0D" w:themeColor="text1" w:themeTint="F2"/>
                <w:lang w:val="en-GB"/>
              </w:rPr>
              <w:t>16 points) at the beginning of summer. 38% of construction firms considered the inadequate demand a significant barrier to growth, the same proportion then also the lack of employees in August 2020. The two-year period, when construction was primarily limited by labour force likely ended. The trend of growing inadequate demand is apparent since the beginning of this year.</w:t>
            </w:r>
          </w:p>
        </w:tc>
      </w:tr>
      <w:tr w:rsidR="00C2211E" w:rsidRPr="00D970F7" w14:paraId="56DEA303" w14:textId="77777777" w:rsidTr="00C2211E">
        <w:trPr>
          <w:trHeight w:val="145"/>
        </w:trPr>
        <w:tc>
          <w:tcPr>
            <w:tcW w:w="1723" w:type="dxa"/>
            <w:shd w:val="clear" w:color="auto" w:fill="auto"/>
            <w:tcMar>
              <w:left w:w="0" w:type="dxa"/>
            </w:tcMar>
          </w:tcPr>
          <w:p w14:paraId="199B54C3" w14:textId="77777777" w:rsidR="00C2211E" w:rsidRPr="00D970F7" w:rsidRDefault="00C2211E" w:rsidP="00C2211E">
            <w:pPr>
              <w:pStyle w:val="Marginlie"/>
              <w:rPr>
                <w:rFonts w:cstheme="minorHAnsi"/>
                <w:spacing w:val="-4"/>
                <w:lang w:val="en-GB"/>
              </w:rPr>
            </w:pPr>
            <w:r w:rsidRPr="00D970F7">
              <w:rPr>
                <w:lang w:val="en-GB"/>
              </w:rPr>
              <w:t xml:space="preserve">Construction output fell in the CR less than in the EU, especially thanks to the improved output of civil engineering construction. </w:t>
            </w:r>
          </w:p>
        </w:tc>
        <w:tc>
          <w:tcPr>
            <w:tcW w:w="191" w:type="dxa"/>
            <w:shd w:val="clear" w:color="auto" w:fill="auto"/>
            <w:tcMar>
              <w:left w:w="0" w:type="dxa"/>
            </w:tcMar>
          </w:tcPr>
          <w:p w14:paraId="770F8272" w14:textId="77777777" w:rsidR="00C2211E" w:rsidRPr="00D970F7" w:rsidRDefault="00C2211E" w:rsidP="00C2211E">
            <w:pPr>
              <w:pStyle w:val="Textpoznpodarou"/>
              <w:jc w:val="both"/>
              <w:rPr>
                <w:spacing w:val="-3"/>
                <w:lang w:val="en-GB"/>
              </w:rPr>
            </w:pPr>
          </w:p>
        </w:tc>
        <w:tc>
          <w:tcPr>
            <w:tcW w:w="7730" w:type="dxa"/>
            <w:shd w:val="clear" w:color="auto" w:fill="auto"/>
            <w:tcMar>
              <w:left w:w="0" w:type="dxa"/>
            </w:tcMar>
          </w:tcPr>
          <w:p w14:paraId="290C45CD" w14:textId="77777777" w:rsidR="00C2211E" w:rsidRPr="00D970F7" w:rsidRDefault="00C2211E" w:rsidP="00C2211E">
            <w:pPr>
              <w:pStyle w:val="Textpoznpodarou"/>
              <w:spacing w:after="200" w:line="276" w:lineRule="auto"/>
              <w:jc w:val="both"/>
              <w:rPr>
                <w:rFonts w:cstheme="minorHAnsi"/>
                <w:lang w:val="en-GB"/>
              </w:rPr>
            </w:pPr>
            <w:r w:rsidRPr="005A58F7">
              <w:rPr>
                <w:color w:val="0D0D0D" w:themeColor="text1" w:themeTint="F2"/>
                <w:spacing w:val="2"/>
                <w:lang w:val="en-GB"/>
              </w:rPr>
              <w:t xml:space="preserve">Construction output decreased by 7.8% in the EU in H1 </w:t>
            </w:r>
            <w:r w:rsidRPr="005A58F7">
              <w:rPr>
                <w:color w:val="000000" w:themeColor="text1"/>
                <w:spacing w:val="2"/>
                <w:lang w:val="en-GB"/>
              </w:rPr>
              <w:t>–</w:t>
            </w:r>
            <w:r w:rsidRPr="005A58F7">
              <w:rPr>
                <w:color w:val="0D0D0D" w:themeColor="text1" w:themeTint="F2"/>
                <w:spacing w:val="2"/>
                <w:lang w:val="en-GB"/>
              </w:rPr>
              <w:t xml:space="preserve"> that is by nearly doubled pace compared to the CR. The largest fall from the monitored countries</w:t>
            </w:r>
            <w:r w:rsidRPr="005A58F7">
              <w:rPr>
                <w:color w:val="0D0D0D" w:themeColor="text1" w:themeTint="F2"/>
                <w:spacing w:val="2"/>
                <w:vertAlign w:val="superscript"/>
                <w:lang w:val="en-GB"/>
              </w:rPr>
              <w:footnoteReference w:id="14"/>
            </w:r>
            <w:r w:rsidRPr="005A58F7">
              <w:rPr>
                <w:color w:val="0D0D0D" w:themeColor="text1" w:themeTint="F2"/>
                <w:spacing w:val="2"/>
                <w:lang w:val="en-GB"/>
              </w:rPr>
              <w:t xml:space="preserve"> affected France (</w:t>
            </w:r>
            <w:r w:rsidRPr="005A58F7">
              <w:rPr>
                <w:color w:val="000000" w:themeColor="text1"/>
                <w:spacing w:val="2"/>
                <w:lang w:val="en-GB"/>
              </w:rPr>
              <w:t>–</w:t>
            </w:r>
            <w:r w:rsidRPr="005A58F7">
              <w:rPr>
                <w:color w:val="0D0D0D" w:themeColor="text1" w:themeTint="F2"/>
                <w:spacing w:val="2"/>
                <w:lang w:val="en-GB"/>
              </w:rPr>
              <w:t>23.5%) and Spain (</w:t>
            </w:r>
            <w:r w:rsidRPr="005A58F7">
              <w:rPr>
                <w:color w:val="000000" w:themeColor="text1"/>
                <w:spacing w:val="2"/>
                <w:lang w:val="en-GB"/>
              </w:rPr>
              <w:t>–16.0%).</w:t>
            </w:r>
            <w:r w:rsidRPr="00712577">
              <w:rPr>
                <w:color w:val="000000" w:themeColor="text1"/>
                <w:lang w:val="en-GB"/>
              </w:rPr>
              <w:t xml:space="preserve"> This contrasted with nearly 20% growth in Romania. Increase occurred in further eight countries, among others in Germany (+3.6%) and in Poland (+0.1%). All newer member states from central and eastern </w:t>
            </w:r>
            <w:r w:rsidRPr="00712577">
              <w:rPr>
                <w:color w:val="000000" w:themeColor="text1"/>
                <w:lang w:val="en-GB"/>
              </w:rPr>
              <w:lastRenderedPageBreak/>
              <w:t>Europe attained better result than the EU, in many places also contributed by the swift growth of the civil engineering construction</w:t>
            </w:r>
            <w:r w:rsidRPr="00D970F7">
              <w:rPr>
                <w:color w:val="000000" w:themeColor="text1"/>
                <w:spacing w:val="-4"/>
                <w:lang w:val="en-GB"/>
              </w:rPr>
              <w:t xml:space="preserve">. </w:t>
            </w:r>
          </w:p>
        </w:tc>
      </w:tr>
      <w:tr w:rsidR="00C2211E" w:rsidRPr="00D970F7" w14:paraId="1749758A" w14:textId="77777777" w:rsidTr="00C2211E">
        <w:trPr>
          <w:trHeight w:val="170"/>
        </w:trPr>
        <w:tc>
          <w:tcPr>
            <w:tcW w:w="1723" w:type="dxa"/>
            <w:vMerge w:val="restart"/>
            <w:shd w:val="clear" w:color="auto" w:fill="auto"/>
            <w:tcMar>
              <w:left w:w="0" w:type="dxa"/>
            </w:tcMar>
          </w:tcPr>
          <w:p w14:paraId="36208641" w14:textId="77777777" w:rsidR="00C2211E" w:rsidRPr="00D970F7" w:rsidRDefault="00C2211E" w:rsidP="00C2211E">
            <w:pPr>
              <w:pStyle w:val="Marginlie"/>
              <w:rPr>
                <w:lang w:val="en-GB"/>
              </w:rPr>
            </w:pPr>
          </w:p>
        </w:tc>
        <w:tc>
          <w:tcPr>
            <w:tcW w:w="191" w:type="dxa"/>
            <w:vMerge w:val="restart"/>
            <w:shd w:val="clear" w:color="auto" w:fill="auto"/>
            <w:tcMar>
              <w:left w:w="0" w:type="dxa"/>
            </w:tcMar>
          </w:tcPr>
          <w:p w14:paraId="18CB2F20" w14:textId="77777777" w:rsidR="00C2211E" w:rsidRPr="00D970F7" w:rsidRDefault="00C2211E" w:rsidP="00C2211E">
            <w:pPr>
              <w:pStyle w:val="Textpoznpodarou"/>
              <w:jc w:val="both"/>
              <w:rPr>
                <w:spacing w:val="-4"/>
                <w:lang w:val="en-GB"/>
              </w:rPr>
            </w:pPr>
          </w:p>
        </w:tc>
        <w:tc>
          <w:tcPr>
            <w:tcW w:w="7730" w:type="dxa"/>
            <w:shd w:val="clear" w:color="auto" w:fill="auto"/>
            <w:tcMar>
              <w:left w:w="0" w:type="dxa"/>
            </w:tcMar>
          </w:tcPr>
          <w:p w14:paraId="45DBAB5A" w14:textId="77777777" w:rsidR="00C2211E" w:rsidRPr="00D970F7" w:rsidRDefault="00C2211E" w:rsidP="00C2211E">
            <w:pPr>
              <w:spacing w:after="0"/>
              <w:jc w:val="left"/>
              <w:rPr>
                <w:b/>
                <w:lang w:val="en-GB"/>
              </w:rPr>
            </w:pPr>
            <w:r w:rsidRPr="00D970F7">
              <w:rPr>
                <w:b/>
                <w:lang w:val="en-GB"/>
              </w:rPr>
              <w:t xml:space="preserve">Chart 6  Contributions of branches to year-on-year change of construction output </w:t>
            </w:r>
            <w:r w:rsidRPr="00D970F7">
              <w:rPr>
                <w:lang w:val="en-GB"/>
              </w:rPr>
              <w:t>(in p.p.)</w:t>
            </w:r>
            <w:r w:rsidRPr="00D970F7">
              <w:rPr>
                <w:b/>
                <w:bCs/>
                <w:lang w:val="en-GB"/>
              </w:rPr>
              <w:t>, new construction orders</w:t>
            </w:r>
            <w:r w:rsidRPr="00D970F7">
              <w:rPr>
                <w:b/>
                <w:lang w:val="en-GB"/>
              </w:rPr>
              <w:t xml:space="preserve"> </w:t>
            </w:r>
            <w:r w:rsidRPr="00D970F7">
              <w:rPr>
                <w:bCs/>
                <w:lang w:val="en-GB"/>
              </w:rPr>
              <w:t>(year-on-year in %</w:t>
            </w:r>
            <w:r w:rsidRPr="00D970F7">
              <w:rPr>
                <w:lang w:val="en-GB"/>
              </w:rPr>
              <w:t>, right axis</w:t>
            </w:r>
            <w:r w:rsidRPr="00D970F7">
              <w:rPr>
                <w:bCs/>
                <w:lang w:val="en-GB"/>
              </w:rPr>
              <w:t>)</w:t>
            </w:r>
            <w:r w:rsidRPr="00D970F7">
              <w:rPr>
                <w:b/>
                <w:lang w:val="en-GB"/>
              </w:rPr>
              <w:t>, balance of confidence indicator in construction*</w:t>
            </w:r>
            <w:r w:rsidRPr="00D970F7">
              <w:rPr>
                <w:lang w:val="en-GB"/>
              </w:rPr>
              <w:t xml:space="preserve"> (in p.p., right axis) </w:t>
            </w:r>
            <w:r w:rsidRPr="00D970F7">
              <w:rPr>
                <w:b/>
                <w:lang w:val="en-GB"/>
              </w:rPr>
              <w:t>and selected barriers to growth</w:t>
            </w:r>
            <w:r w:rsidRPr="00D970F7">
              <w:rPr>
                <w:lang w:val="en-GB"/>
              </w:rPr>
              <w:t>* (in %, right axis)</w:t>
            </w:r>
          </w:p>
        </w:tc>
      </w:tr>
      <w:tr w:rsidR="00C2211E" w:rsidRPr="00D970F7" w14:paraId="7F3A426A" w14:textId="77777777" w:rsidTr="00C2211E">
        <w:tblPrEx>
          <w:tblCellMar>
            <w:left w:w="70" w:type="dxa"/>
            <w:right w:w="70" w:type="dxa"/>
          </w:tblCellMar>
        </w:tblPrEx>
        <w:trPr>
          <w:trHeight w:val="170"/>
        </w:trPr>
        <w:tc>
          <w:tcPr>
            <w:tcW w:w="1723" w:type="dxa"/>
            <w:vMerge/>
            <w:shd w:val="clear" w:color="auto" w:fill="auto"/>
          </w:tcPr>
          <w:p w14:paraId="782EDA70" w14:textId="77777777" w:rsidR="00C2211E" w:rsidRPr="00D970F7" w:rsidRDefault="00C2211E" w:rsidP="00C2211E">
            <w:pPr>
              <w:pStyle w:val="Marginlie"/>
              <w:rPr>
                <w:lang w:val="en-GB"/>
              </w:rPr>
            </w:pPr>
          </w:p>
        </w:tc>
        <w:tc>
          <w:tcPr>
            <w:tcW w:w="191" w:type="dxa"/>
            <w:vMerge/>
            <w:shd w:val="clear" w:color="auto" w:fill="auto"/>
          </w:tcPr>
          <w:p w14:paraId="387EFA71" w14:textId="77777777" w:rsidR="00C2211E" w:rsidRPr="00D970F7" w:rsidRDefault="00C2211E" w:rsidP="00C2211E">
            <w:pPr>
              <w:pStyle w:val="Textpoznpodarou"/>
              <w:jc w:val="both"/>
              <w:rPr>
                <w:spacing w:val="-4"/>
                <w:lang w:val="en-GB"/>
              </w:rPr>
            </w:pPr>
          </w:p>
        </w:tc>
        <w:tc>
          <w:tcPr>
            <w:tcW w:w="7730" w:type="dxa"/>
            <w:shd w:val="clear" w:color="auto" w:fill="auto"/>
          </w:tcPr>
          <w:p w14:paraId="7A5A8F59" w14:textId="77777777" w:rsidR="00C2211E" w:rsidRPr="00D970F7" w:rsidRDefault="00C2211E" w:rsidP="00C2211E">
            <w:pPr>
              <w:spacing w:after="0"/>
              <w:rPr>
                <w:lang w:val="en-GB"/>
              </w:rPr>
            </w:pPr>
            <w:r>
              <w:rPr>
                <w:noProof/>
              </w:rPr>
              <w:drawing>
                <wp:inline distT="0" distB="0" distL="0" distR="0" wp14:anchorId="14CD0E0A" wp14:editId="19A043CB">
                  <wp:extent cx="4740519" cy="3925075"/>
                  <wp:effectExtent l="0" t="0" r="3175" b="0"/>
                  <wp:docPr id="29" name="Graf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r w:rsidR="00C2211E" w:rsidRPr="00D970F7" w14:paraId="31AA5F86" w14:textId="77777777" w:rsidTr="00C2211E">
        <w:trPr>
          <w:trHeight w:val="170"/>
        </w:trPr>
        <w:tc>
          <w:tcPr>
            <w:tcW w:w="1723" w:type="dxa"/>
            <w:vMerge/>
            <w:shd w:val="clear" w:color="auto" w:fill="auto"/>
            <w:tcMar>
              <w:left w:w="0" w:type="dxa"/>
            </w:tcMar>
          </w:tcPr>
          <w:p w14:paraId="7912CAB9" w14:textId="77777777" w:rsidR="00C2211E" w:rsidRPr="00D970F7" w:rsidRDefault="00C2211E" w:rsidP="00C2211E">
            <w:pPr>
              <w:pStyle w:val="Marginlie"/>
              <w:rPr>
                <w:lang w:val="en-GB"/>
              </w:rPr>
            </w:pPr>
          </w:p>
        </w:tc>
        <w:tc>
          <w:tcPr>
            <w:tcW w:w="191" w:type="dxa"/>
            <w:vMerge/>
            <w:shd w:val="clear" w:color="auto" w:fill="auto"/>
            <w:tcMar>
              <w:left w:w="0" w:type="dxa"/>
            </w:tcMar>
          </w:tcPr>
          <w:p w14:paraId="60F822E7" w14:textId="77777777" w:rsidR="00C2211E" w:rsidRPr="00D970F7" w:rsidRDefault="00C2211E" w:rsidP="00C2211E">
            <w:pPr>
              <w:pStyle w:val="Textpoznpodarou"/>
              <w:jc w:val="both"/>
              <w:rPr>
                <w:spacing w:val="-4"/>
                <w:lang w:val="en-GB"/>
              </w:rPr>
            </w:pPr>
          </w:p>
        </w:tc>
        <w:tc>
          <w:tcPr>
            <w:tcW w:w="7730" w:type="dxa"/>
            <w:shd w:val="clear" w:color="auto" w:fill="auto"/>
            <w:tcMar>
              <w:left w:w="0" w:type="dxa"/>
            </w:tcMar>
          </w:tcPr>
          <w:p w14:paraId="2A5FCFF6" w14:textId="77777777" w:rsidR="00C2211E" w:rsidRPr="00D970F7" w:rsidRDefault="00C2211E" w:rsidP="00C2211E">
            <w:pPr>
              <w:spacing w:after="0"/>
              <w:rPr>
                <w:rFonts w:cs="Arial"/>
                <w:sz w:val="14"/>
                <w:szCs w:val="14"/>
                <w:lang w:val="en-GB"/>
              </w:rPr>
            </w:pPr>
            <w:r w:rsidRPr="00D970F7">
              <w:rPr>
                <w:rFonts w:cs="Arial"/>
                <w:sz w:val="14"/>
                <w:szCs w:val="14"/>
                <w:lang w:val="en-GB"/>
              </w:rPr>
              <w:t xml:space="preserve">Data Related to construction output are adjusted for calendar effects. </w:t>
            </w:r>
          </w:p>
          <w:p w14:paraId="38B9D441" w14:textId="77777777" w:rsidR="00C2211E" w:rsidRPr="00101F3A" w:rsidRDefault="00C2211E" w:rsidP="00C2211E">
            <w:pPr>
              <w:spacing w:after="0"/>
              <w:rPr>
                <w:rFonts w:cs="Arial"/>
                <w:spacing w:val="-2"/>
                <w:sz w:val="14"/>
                <w:szCs w:val="14"/>
                <w:lang w:val="en-GB"/>
              </w:rPr>
            </w:pPr>
            <w:r w:rsidRPr="00101F3A">
              <w:rPr>
                <w:rFonts w:cs="Arial"/>
                <w:spacing w:val="-2"/>
                <w:sz w:val="14"/>
                <w:szCs w:val="14"/>
                <w:lang w:val="en-GB"/>
              </w:rPr>
              <w:t xml:space="preserve">*Balance of confidence and growth barriers are seasonally adjusted and express the situation in the first month of the given quarter. </w:t>
            </w:r>
          </w:p>
          <w:p w14:paraId="4C108AD1" w14:textId="77777777" w:rsidR="00C2211E" w:rsidRPr="00D970F7" w:rsidRDefault="00C2211E" w:rsidP="00C2211E">
            <w:pPr>
              <w:spacing w:after="200"/>
              <w:rPr>
                <w:rFonts w:cs="Arial"/>
                <w:sz w:val="14"/>
                <w:szCs w:val="14"/>
                <w:lang w:val="en-GB"/>
              </w:rPr>
            </w:pPr>
            <w:r w:rsidRPr="00D970F7">
              <w:rPr>
                <w:rFonts w:cs="Arial"/>
                <w:sz w:val="14"/>
                <w:szCs w:val="14"/>
                <w:lang w:val="en-GB"/>
              </w:rPr>
              <w:t>Source: CZSO</w:t>
            </w:r>
          </w:p>
        </w:tc>
      </w:tr>
      <w:tr w:rsidR="00C2211E" w:rsidRPr="00D970F7" w14:paraId="4F14C9E8" w14:textId="77777777" w:rsidTr="00C2211E">
        <w:trPr>
          <w:trHeight w:val="145"/>
        </w:trPr>
        <w:tc>
          <w:tcPr>
            <w:tcW w:w="1723" w:type="dxa"/>
            <w:shd w:val="clear" w:color="auto" w:fill="auto"/>
            <w:tcMar>
              <w:left w:w="0" w:type="dxa"/>
            </w:tcMar>
          </w:tcPr>
          <w:p w14:paraId="701F6B39" w14:textId="77777777" w:rsidR="00C2211E" w:rsidRPr="00D970F7" w:rsidRDefault="00C2211E" w:rsidP="00C2211E">
            <w:pPr>
              <w:pStyle w:val="Marginlie"/>
              <w:rPr>
                <w:lang w:val="en-GB"/>
              </w:rPr>
            </w:pPr>
            <w:r w:rsidRPr="00D970F7">
              <w:rPr>
                <w:lang w:val="en-GB"/>
              </w:rPr>
              <w:t xml:space="preserve">Sales in services dived approximately by one tenth month-on-month in March as well as April. </w:t>
            </w:r>
          </w:p>
        </w:tc>
        <w:tc>
          <w:tcPr>
            <w:tcW w:w="191" w:type="dxa"/>
            <w:shd w:val="clear" w:color="auto" w:fill="auto"/>
            <w:tcMar>
              <w:left w:w="0" w:type="dxa"/>
            </w:tcMar>
          </w:tcPr>
          <w:p w14:paraId="006157DB" w14:textId="77777777" w:rsidR="00C2211E" w:rsidRPr="00D970F7" w:rsidRDefault="00C2211E" w:rsidP="00C2211E">
            <w:pPr>
              <w:pStyle w:val="Textpoznpodarou"/>
              <w:jc w:val="both"/>
              <w:rPr>
                <w:spacing w:val="-4"/>
                <w:lang w:val="en-GB"/>
              </w:rPr>
            </w:pPr>
          </w:p>
        </w:tc>
        <w:tc>
          <w:tcPr>
            <w:tcW w:w="7730" w:type="dxa"/>
            <w:shd w:val="clear" w:color="auto" w:fill="auto"/>
            <w:tcMar>
              <w:left w:w="0" w:type="dxa"/>
            </w:tcMar>
          </w:tcPr>
          <w:p w14:paraId="317420A3" w14:textId="77777777" w:rsidR="00C2211E" w:rsidRPr="00D970F7" w:rsidRDefault="00C2211E" w:rsidP="00C2211E">
            <w:pPr>
              <w:spacing w:after="200"/>
              <w:rPr>
                <w:spacing w:val="-2"/>
                <w:lang w:val="en-GB"/>
              </w:rPr>
            </w:pPr>
            <w:r w:rsidRPr="00D970F7">
              <w:rPr>
                <w:spacing w:val="-2"/>
                <w:lang w:val="en-GB"/>
              </w:rPr>
              <w:t>Sales in selected services</w:t>
            </w:r>
            <w:r w:rsidRPr="00D970F7">
              <w:rPr>
                <w:color w:val="0D0D0D" w:themeColor="text1" w:themeTint="F2"/>
                <w:spacing w:val="-2"/>
                <w:vertAlign w:val="superscript"/>
                <w:lang w:val="en-GB"/>
              </w:rPr>
              <w:footnoteReference w:id="15"/>
            </w:r>
            <w:r w:rsidRPr="00D970F7">
              <w:rPr>
                <w:color w:val="0D0D0D" w:themeColor="text1" w:themeTint="F2"/>
                <w:spacing w:val="-2"/>
                <w:lang w:val="en-GB"/>
              </w:rPr>
              <w:t xml:space="preserve"> were considerably hit by the restrictive measures of the government. They fell by 8.9% month-on-month already in March 2020. They nearly halved in the sub</w:t>
            </w:r>
            <w:r>
              <w:rPr>
                <w:color w:val="0D0D0D" w:themeColor="text1" w:themeTint="F2"/>
                <w:spacing w:val="-2"/>
                <w:lang w:val="en-GB"/>
              </w:rPr>
              <w:t>-</w:t>
            </w:r>
            <w:r w:rsidRPr="00D970F7">
              <w:rPr>
                <w:color w:val="0D0D0D" w:themeColor="text1" w:themeTint="F2"/>
                <w:spacing w:val="-2"/>
                <w:lang w:val="en-GB"/>
              </w:rPr>
              <w:t>branches associated with tourism, since these businesses were practically able to operate only in the first half of the month. The decrease of total sales mildly deepened in April (</w:t>
            </w:r>
            <w:r w:rsidRPr="00D970F7">
              <w:rPr>
                <w:color w:val="000000" w:themeColor="text1"/>
                <w:spacing w:val="-4"/>
                <w:lang w:val="en-GB"/>
              </w:rPr>
              <w:t>–</w:t>
            </w:r>
            <w:r w:rsidRPr="00D970F7">
              <w:rPr>
                <w:color w:val="0D0D0D" w:themeColor="text1" w:themeTint="F2"/>
                <w:spacing w:val="-2"/>
                <w:lang w:val="en-GB"/>
              </w:rPr>
              <w:t>10.4%). Gradual revival in the subsequent months in reaction to loosened restrictions took place very slowly. Quarter-on-quarter decrease thus reached deep 14.4% in Q2, which was double the so far record downturn from the beginning of year 2009.</w:t>
            </w:r>
          </w:p>
        </w:tc>
      </w:tr>
      <w:tr w:rsidR="00C2211E" w:rsidRPr="00D970F7" w14:paraId="0856467F" w14:textId="77777777" w:rsidTr="00C2211E">
        <w:trPr>
          <w:trHeight w:val="145"/>
        </w:trPr>
        <w:tc>
          <w:tcPr>
            <w:tcW w:w="1723" w:type="dxa"/>
            <w:shd w:val="clear" w:color="auto" w:fill="auto"/>
            <w:tcMar>
              <w:left w:w="0" w:type="dxa"/>
            </w:tcMar>
          </w:tcPr>
          <w:p w14:paraId="6B92B673" w14:textId="77777777" w:rsidR="00C2211E" w:rsidRPr="00D970F7" w:rsidRDefault="00C2211E" w:rsidP="00C2211E">
            <w:pPr>
              <w:pStyle w:val="Marginlie"/>
              <w:rPr>
                <w:lang w:val="en-GB"/>
              </w:rPr>
            </w:pPr>
            <w:r w:rsidRPr="00D970F7">
              <w:rPr>
                <w:lang w:val="en-GB"/>
              </w:rPr>
              <w:t xml:space="preserve">Mainly weaker output in transporting and storage, and also downturn in accommodation, food service and restaurants stood behind the decline of sales in services. </w:t>
            </w:r>
          </w:p>
          <w:p w14:paraId="766E4C91" w14:textId="77777777" w:rsidR="00C2211E" w:rsidRDefault="00C2211E" w:rsidP="00C2211E">
            <w:pPr>
              <w:pStyle w:val="Marginlie"/>
              <w:rPr>
                <w:lang w:val="en-GB"/>
              </w:rPr>
            </w:pPr>
          </w:p>
          <w:p w14:paraId="007C3B02" w14:textId="77777777" w:rsidR="00C2211E" w:rsidRPr="00D970F7" w:rsidRDefault="00C2211E" w:rsidP="00C2211E">
            <w:pPr>
              <w:pStyle w:val="Marginlie"/>
              <w:rPr>
                <w:lang w:val="en-GB"/>
              </w:rPr>
            </w:pPr>
          </w:p>
          <w:p w14:paraId="38F07798" w14:textId="77777777" w:rsidR="00C2211E" w:rsidRPr="00D970F7" w:rsidRDefault="00C2211E" w:rsidP="00C2211E">
            <w:pPr>
              <w:pStyle w:val="Marginlie"/>
              <w:rPr>
                <w:lang w:val="en-GB"/>
              </w:rPr>
            </w:pPr>
          </w:p>
          <w:p w14:paraId="10A56887" w14:textId="77777777" w:rsidR="00BA4633" w:rsidRDefault="00C2211E" w:rsidP="00C2211E">
            <w:pPr>
              <w:pStyle w:val="Marginlie"/>
              <w:rPr>
                <w:lang w:val="en-GB"/>
              </w:rPr>
            </w:pPr>
            <w:r w:rsidRPr="00D970F7">
              <w:rPr>
                <w:lang w:val="en-GB"/>
              </w:rPr>
              <w:lastRenderedPageBreak/>
              <w:t xml:space="preserve">Only telecommunications, ICT areas and postal and courier services continued to grow. </w:t>
            </w:r>
          </w:p>
          <w:p w14:paraId="6275793B" w14:textId="77777777" w:rsidR="00BA4633" w:rsidRDefault="00BA4633" w:rsidP="00C2211E">
            <w:pPr>
              <w:pStyle w:val="Marginlie"/>
              <w:rPr>
                <w:lang w:val="en-GB"/>
              </w:rPr>
            </w:pPr>
          </w:p>
          <w:p w14:paraId="20B1A07A" w14:textId="77777777" w:rsidR="00BA4633" w:rsidRDefault="00BA4633" w:rsidP="00C2211E">
            <w:pPr>
              <w:pStyle w:val="Marginlie"/>
              <w:rPr>
                <w:lang w:val="en-GB"/>
              </w:rPr>
            </w:pPr>
          </w:p>
          <w:p w14:paraId="65E16996" w14:textId="77777777" w:rsidR="00BA4633" w:rsidRDefault="00BA4633" w:rsidP="00C2211E">
            <w:pPr>
              <w:pStyle w:val="Marginlie"/>
              <w:rPr>
                <w:lang w:val="en-GB"/>
              </w:rPr>
            </w:pPr>
          </w:p>
          <w:p w14:paraId="7A39053E" w14:textId="77777777" w:rsidR="00BA4633" w:rsidRDefault="00BA4633" w:rsidP="00C2211E">
            <w:pPr>
              <w:pStyle w:val="Marginlie"/>
              <w:rPr>
                <w:lang w:val="en-GB"/>
              </w:rPr>
            </w:pPr>
          </w:p>
          <w:p w14:paraId="7C574D88" w14:textId="77777777" w:rsidR="00BA4633" w:rsidRDefault="00BA4633" w:rsidP="00C2211E">
            <w:pPr>
              <w:pStyle w:val="Marginlie"/>
              <w:rPr>
                <w:lang w:val="en-GB"/>
              </w:rPr>
            </w:pPr>
          </w:p>
          <w:p w14:paraId="2BA360CB" w14:textId="77777777" w:rsidR="00BA4633" w:rsidRDefault="00BA4633" w:rsidP="00C2211E">
            <w:pPr>
              <w:pStyle w:val="Marginlie"/>
              <w:rPr>
                <w:lang w:val="en-GB"/>
              </w:rPr>
            </w:pPr>
          </w:p>
          <w:p w14:paraId="7C28E113" w14:textId="4A61F93C" w:rsidR="00C2211E" w:rsidRPr="00D970F7" w:rsidRDefault="00C2211E" w:rsidP="00C2211E">
            <w:pPr>
              <w:pStyle w:val="Marginlie"/>
              <w:rPr>
                <w:lang w:val="en-GB"/>
              </w:rPr>
            </w:pPr>
            <w:r w:rsidRPr="00D970F7">
              <w:rPr>
                <w:lang w:val="en-GB"/>
              </w:rPr>
              <w:t xml:space="preserve">Four years lasting rise of sales for market research and public opinion polling halted. </w:t>
            </w:r>
          </w:p>
        </w:tc>
        <w:tc>
          <w:tcPr>
            <w:tcW w:w="191" w:type="dxa"/>
            <w:shd w:val="clear" w:color="auto" w:fill="auto"/>
            <w:tcMar>
              <w:left w:w="0" w:type="dxa"/>
            </w:tcMar>
          </w:tcPr>
          <w:p w14:paraId="474F9FEC" w14:textId="77777777" w:rsidR="00C2211E" w:rsidRPr="00D970F7" w:rsidRDefault="00C2211E" w:rsidP="00C2211E">
            <w:pPr>
              <w:pStyle w:val="Textpoznpodarou"/>
              <w:jc w:val="both"/>
              <w:rPr>
                <w:spacing w:val="-4"/>
                <w:lang w:val="en-GB"/>
              </w:rPr>
            </w:pPr>
          </w:p>
        </w:tc>
        <w:tc>
          <w:tcPr>
            <w:tcW w:w="7730" w:type="dxa"/>
            <w:shd w:val="clear" w:color="auto" w:fill="auto"/>
            <w:tcMar>
              <w:left w:w="0" w:type="dxa"/>
            </w:tcMar>
          </w:tcPr>
          <w:p w14:paraId="54B6EAB0" w14:textId="77777777" w:rsidR="00C2211E" w:rsidRPr="00D970F7" w:rsidRDefault="00C2211E" w:rsidP="00C2211E">
            <w:pPr>
              <w:spacing w:after="200"/>
              <w:rPr>
                <w:spacing w:val="-2"/>
                <w:lang w:val="en-GB"/>
              </w:rPr>
            </w:pPr>
            <w:r w:rsidRPr="00D970F7">
              <w:rPr>
                <w:spacing w:val="-4"/>
                <w:lang w:val="en-GB"/>
              </w:rPr>
              <w:t xml:space="preserve">Sales in services decreased by 12.0% year-on-year in H1 2020. It was mainly result of development in transporting and storage (contribution </w:t>
            </w:r>
            <w:r w:rsidRPr="00D970F7">
              <w:rPr>
                <w:color w:val="000000" w:themeColor="text1"/>
                <w:spacing w:val="-4"/>
                <w:lang w:val="en-GB"/>
              </w:rPr>
              <w:t xml:space="preserve">– </w:t>
            </w:r>
            <w:r w:rsidRPr="00D970F7">
              <w:rPr>
                <w:spacing w:val="-4"/>
                <w:lang w:val="en-GB"/>
              </w:rPr>
              <w:t>4.5 p.p.) and branch accommodation, food service and restaurants (</w:t>
            </w:r>
            <w:r w:rsidRPr="00D970F7">
              <w:rPr>
                <w:color w:val="000000" w:themeColor="text1"/>
                <w:spacing w:val="-4"/>
                <w:lang w:val="en-GB"/>
              </w:rPr>
              <w:t>–</w:t>
            </w:r>
            <w:r w:rsidRPr="00D970F7">
              <w:rPr>
                <w:spacing w:val="-4"/>
                <w:lang w:val="en-GB"/>
              </w:rPr>
              <w:t xml:space="preserve">3.0 p.p.). Other branch sections were however hit as well – information and communication then the least (contribution +0.3 p.p., branch growth 1.7%). While some divisions of this branch benefited from the heightened demand during the corona crisis (telecommunication activities, ICT areas), others were affected to a varying degree (publishing activities, programme production and broadcasting activities and especially so called motion picture and musical industry, where the sales </w:t>
            </w:r>
            <w:r w:rsidRPr="00D970F7">
              <w:rPr>
                <w:spacing w:val="-4"/>
                <w:lang w:val="en-GB"/>
              </w:rPr>
              <w:lastRenderedPageBreak/>
              <w:t>dropped by more than one third</w:t>
            </w:r>
            <w:r w:rsidRPr="00D970F7">
              <w:rPr>
                <w:rStyle w:val="Znakapoznpodarou"/>
                <w:spacing w:val="-4"/>
                <w:lang w:val="en-GB"/>
              </w:rPr>
              <w:footnoteReference w:id="16"/>
            </w:r>
            <w:r w:rsidRPr="00D970F7">
              <w:rPr>
                <w:color w:val="0D0D0D" w:themeColor="text1" w:themeTint="F2"/>
                <w:spacing w:val="-4"/>
                <w:lang w:val="en-GB"/>
              </w:rPr>
              <w:t>). The branch transporting and storage also featured diverse development. Deep drop of the air transport (</w:t>
            </w:r>
            <w:r w:rsidRPr="00D970F7">
              <w:rPr>
                <w:color w:val="000000" w:themeColor="text1"/>
                <w:spacing w:val="-4"/>
                <w:lang w:val="en-GB"/>
              </w:rPr>
              <w:t>–</w:t>
            </w:r>
            <w:r w:rsidRPr="00D970F7">
              <w:rPr>
                <w:color w:val="0D0D0D" w:themeColor="text1" w:themeTint="F2"/>
                <w:spacing w:val="-4"/>
                <w:lang w:val="en-GB"/>
              </w:rPr>
              <w:t>63.9%) as well as significant decline in key division of land and pipe transport (</w:t>
            </w:r>
            <w:r w:rsidRPr="00D970F7">
              <w:rPr>
                <w:color w:val="000000" w:themeColor="text1"/>
                <w:spacing w:val="-4"/>
                <w:lang w:val="en-GB"/>
              </w:rPr>
              <w:t>–</w:t>
            </w:r>
            <w:r w:rsidRPr="00D970F7">
              <w:rPr>
                <w:color w:val="0D0D0D" w:themeColor="text1" w:themeTint="F2"/>
                <w:spacing w:val="-4"/>
                <w:lang w:val="en-GB"/>
              </w:rPr>
              <w:t xml:space="preserve">15.0%) contrasted with the growing demand for postal and courier services (+8.8%). The sales fell by nearly two fifths in accommodation, food service and restaurants. In accommodation itself, the slump reached </w:t>
            </w:r>
            <w:r w:rsidRPr="00D970F7">
              <w:rPr>
                <w:spacing w:val="-4"/>
                <w:lang w:val="en-GB"/>
              </w:rPr>
              <w:t>53.4%</w:t>
            </w:r>
            <w:r w:rsidRPr="00D970F7">
              <w:rPr>
                <w:color w:val="0D0D0D" w:themeColor="text1" w:themeTint="F2"/>
                <w:spacing w:val="-4"/>
                <w:vertAlign w:val="superscript"/>
                <w:lang w:val="en-GB"/>
              </w:rPr>
              <w:footnoteReference w:id="17"/>
            </w:r>
            <w:r w:rsidRPr="00D970F7">
              <w:rPr>
                <w:spacing w:val="-4"/>
                <w:lang w:val="en-GB"/>
              </w:rPr>
              <w:t>. Branch administrative and support service activities recorded nearly one quarter plunge of sales. Expected deep decrease of performance of travel agencies emerged (</w:t>
            </w:r>
            <w:r w:rsidRPr="00D970F7">
              <w:rPr>
                <w:color w:val="000000" w:themeColor="text1"/>
                <w:spacing w:val="-4"/>
                <w:lang w:val="en-GB"/>
              </w:rPr>
              <w:t>–</w:t>
            </w:r>
            <w:r w:rsidRPr="00D970F7">
              <w:rPr>
                <w:spacing w:val="-4"/>
                <w:lang w:val="en-GB"/>
              </w:rPr>
              <w:t>63.9%), sales of job agencies also lowered by nearly one quarter. Drop of nearly one tenth also affected the branch professional, scientific and technical activities. Mainly l</w:t>
            </w:r>
            <w:r w:rsidRPr="00D970F7">
              <w:rPr>
                <w:spacing w:val="-2"/>
                <w:lang w:val="en-GB"/>
              </w:rPr>
              <w:t>ower output of other processional and scientific activities had an adverse effect (</w:t>
            </w:r>
            <w:r w:rsidRPr="00D970F7">
              <w:rPr>
                <w:color w:val="000000" w:themeColor="text1"/>
                <w:spacing w:val="-2"/>
                <w:lang w:val="en-GB"/>
              </w:rPr>
              <w:t>–</w:t>
            </w:r>
            <w:r w:rsidRPr="00D970F7">
              <w:rPr>
                <w:spacing w:val="-2"/>
                <w:lang w:val="en-GB"/>
              </w:rPr>
              <w:t>13.0%) and also both architectural and engineering activities (</w:t>
            </w:r>
            <w:r w:rsidRPr="00D970F7">
              <w:rPr>
                <w:color w:val="000000" w:themeColor="text1"/>
                <w:spacing w:val="-2"/>
                <w:lang w:val="en-GB"/>
              </w:rPr>
              <w:t>–</w:t>
            </w:r>
            <w:r w:rsidRPr="00D970F7">
              <w:rPr>
                <w:spacing w:val="-2"/>
                <w:lang w:val="en-GB"/>
              </w:rPr>
              <w:t>8.1%), demand was however falling in all sub</w:t>
            </w:r>
            <w:r>
              <w:rPr>
                <w:spacing w:val="-2"/>
                <w:lang w:val="en-GB"/>
              </w:rPr>
              <w:t>-</w:t>
            </w:r>
            <w:r w:rsidRPr="00D970F7">
              <w:rPr>
                <w:spacing w:val="-2"/>
                <w:lang w:val="en-GB"/>
              </w:rPr>
              <w:t>branches, including long-term growing market research and public opinion polling. Legal and accounting activities remained affected the least. Moderate decline was also registered in the real estate activities (</w:t>
            </w:r>
            <w:r w:rsidRPr="00D970F7">
              <w:rPr>
                <w:color w:val="000000" w:themeColor="text1"/>
                <w:spacing w:val="-2"/>
                <w:lang w:val="en-GB"/>
              </w:rPr>
              <w:t>–</w:t>
            </w:r>
            <w:r w:rsidRPr="00D970F7">
              <w:rPr>
                <w:spacing w:val="-2"/>
                <w:lang w:val="en-GB"/>
              </w:rPr>
              <w:t>1.3%).</w:t>
            </w:r>
          </w:p>
        </w:tc>
      </w:tr>
      <w:tr w:rsidR="00C2211E" w:rsidRPr="00D970F7" w14:paraId="59007AEE" w14:textId="77777777" w:rsidTr="00C2211E">
        <w:trPr>
          <w:trHeight w:val="170"/>
        </w:trPr>
        <w:tc>
          <w:tcPr>
            <w:tcW w:w="1723" w:type="dxa"/>
            <w:vMerge w:val="restart"/>
            <w:shd w:val="clear" w:color="auto" w:fill="auto"/>
            <w:tcMar>
              <w:left w:w="0" w:type="dxa"/>
            </w:tcMar>
          </w:tcPr>
          <w:p w14:paraId="70DB2078" w14:textId="77777777" w:rsidR="00C2211E" w:rsidRPr="00D970F7" w:rsidRDefault="00C2211E" w:rsidP="00C2211E">
            <w:pPr>
              <w:pStyle w:val="Marginlie"/>
              <w:rPr>
                <w:lang w:val="en-GB"/>
              </w:rPr>
            </w:pPr>
          </w:p>
        </w:tc>
        <w:tc>
          <w:tcPr>
            <w:tcW w:w="191" w:type="dxa"/>
            <w:vMerge w:val="restart"/>
            <w:shd w:val="clear" w:color="auto" w:fill="auto"/>
            <w:tcMar>
              <w:left w:w="0" w:type="dxa"/>
            </w:tcMar>
          </w:tcPr>
          <w:p w14:paraId="21798D7D" w14:textId="77777777" w:rsidR="00C2211E" w:rsidRPr="00D970F7" w:rsidRDefault="00C2211E" w:rsidP="00C2211E">
            <w:pPr>
              <w:pStyle w:val="Textpoznpodarou"/>
              <w:jc w:val="both"/>
              <w:rPr>
                <w:spacing w:val="-4"/>
                <w:lang w:val="en-GB"/>
              </w:rPr>
            </w:pPr>
          </w:p>
        </w:tc>
        <w:tc>
          <w:tcPr>
            <w:tcW w:w="7730" w:type="dxa"/>
            <w:shd w:val="clear" w:color="auto" w:fill="auto"/>
            <w:tcMar>
              <w:left w:w="0" w:type="dxa"/>
            </w:tcMar>
          </w:tcPr>
          <w:p w14:paraId="4F35AB7B" w14:textId="77777777" w:rsidR="00C2211E" w:rsidRPr="00D970F7" w:rsidRDefault="00C2211E" w:rsidP="00C2211E">
            <w:pPr>
              <w:pStyle w:val="Textpoznpodarou"/>
              <w:spacing w:line="276" w:lineRule="auto"/>
              <w:rPr>
                <w:b/>
                <w:lang w:val="en-GB"/>
              </w:rPr>
            </w:pPr>
            <w:r w:rsidRPr="00D970F7">
              <w:rPr>
                <w:b/>
                <w:lang w:val="en-GB"/>
              </w:rPr>
              <w:t xml:space="preserve">Chart 7  Contributions of branches to year-on-year change of sales in services* </w:t>
            </w:r>
            <w:r w:rsidRPr="00D970F7">
              <w:rPr>
                <w:lang w:val="en-GB"/>
              </w:rPr>
              <w:t xml:space="preserve">(in p.p., adjusted for calendar effects), </w:t>
            </w:r>
            <w:r w:rsidRPr="00D970F7">
              <w:rPr>
                <w:b/>
                <w:lang w:val="en-GB"/>
              </w:rPr>
              <w:t xml:space="preserve">balance of confidence indicator in services** </w:t>
            </w:r>
            <w:r w:rsidRPr="00D970F7">
              <w:rPr>
                <w:lang w:val="en-GB"/>
              </w:rPr>
              <w:t>(in p.p., right axis)</w:t>
            </w:r>
            <w:r w:rsidRPr="00D970F7">
              <w:rPr>
                <w:b/>
                <w:lang w:val="en-GB"/>
              </w:rPr>
              <w:t xml:space="preserve"> and selected growth barriers*</w:t>
            </w:r>
            <w:r w:rsidRPr="00D970F7">
              <w:rPr>
                <w:lang w:val="en-GB"/>
              </w:rPr>
              <w:t>* (in %, right axis)</w:t>
            </w:r>
          </w:p>
        </w:tc>
      </w:tr>
      <w:tr w:rsidR="00C2211E" w:rsidRPr="00D970F7" w14:paraId="6BC9B8AB" w14:textId="77777777" w:rsidTr="00C2211E">
        <w:tblPrEx>
          <w:tblCellMar>
            <w:left w:w="70" w:type="dxa"/>
            <w:right w:w="70" w:type="dxa"/>
          </w:tblCellMar>
        </w:tblPrEx>
        <w:trPr>
          <w:trHeight w:val="170"/>
        </w:trPr>
        <w:tc>
          <w:tcPr>
            <w:tcW w:w="1723" w:type="dxa"/>
            <w:vMerge/>
            <w:shd w:val="clear" w:color="auto" w:fill="auto"/>
          </w:tcPr>
          <w:p w14:paraId="0278CFDC" w14:textId="77777777" w:rsidR="00C2211E" w:rsidRPr="00D970F7" w:rsidRDefault="00C2211E" w:rsidP="00C2211E">
            <w:pPr>
              <w:pStyle w:val="Marginlie"/>
              <w:rPr>
                <w:lang w:val="en-GB"/>
              </w:rPr>
            </w:pPr>
          </w:p>
        </w:tc>
        <w:tc>
          <w:tcPr>
            <w:tcW w:w="191" w:type="dxa"/>
            <w:vMerge/>
            <w:shd w:val="clear" w:color="auto" w:fill="auto"/>
          </w:tcPr>
          <w:p w14:paraId="6FCAE4C4" w14:textId="77777777" w:rsidR="00C2211E" w:rsidRPr="00D970F7" w:rsidRDefault="00C2211E" w:rsidP="00C2211E">
            <w:pPr>
              <w:pStyle w:val="Textpoznpodarou"/>
              <w:jc w:val="both"/>
              <w:rPr>
                <w:spacing w:val="-4"/>
                <w:lang w:val="en-GB"/>
              </w:rPr>
            </w:pPr>
          </w:p>
        </w:tc>
        <w:tc>
          <w:tcPr>
            <w:tcW w:w="7730" w:type="dxa"/>
            <w:shd w:val="clear" w:color="auto" w:fill="auto"/>
          </w:tcPr>
          <w:p w14:paraId="55B715BC" w14:textId="77777777" w:rsidR="00C2211E" w:rsidRPr="00D970F7" w:rsidRDefault="00C2211E" w:rsidP="00C2211E">
            <w:pPr>
              <w:spacing w:after="0"/>
              <w:rPr>
                <w:rFonts w:cs="Arial"/>
                <w:sz w:val="14"/>
                <w:szCs w:val="14"/>
                <w:lang w:val="en-GB"/>
              </w:rPr>
            </w:pPr>
            <w:r>
              <w:rPr>
                <w:noProof/>
              </w:rPr>
              <w:drawing>
                <wp:inline distT="0" distB="0" distL="0" distR="0" wp14:anchorId="34557207" wp14:editId="4D04419F">
                  <wp:extent cx="4770559" cy="3590193"/>
                  <wp:effectExtent l="0" t="0" r="0" b="0"/>
                  <wp:docPr id="12" name="Graf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r w:rsidR="00C2211E" w:rsidRPr="00D970F7" w14:paraId="44776ECE" w14:textId="77777777" w:rsidTr="00C2211E">
        <w:trPr>
          <w:trHeight w:val="170"/>
        </w:trPr>
        <w:tc>
          <w:tcPr>
            <w:tcW w:w="1723" w:type="dxa"/>
            <w:vMerge/>
            <w:shd w:val="clear" w:color="auto" w:fill="auto"/>
            <w:tcMar>
              <w:left w:w="0" w:type="dxa"/>
            </w:tcMar>
          </w:tcPr>
          <w:p w14:paraId="34BE5D20" w14:textId="77777777" w:rsidR="00C2211E" w:rsidRPr="00D970F7" w:rsidRDefault="00C2211E" w:rsidP="00C2211E">
            <w:pPr>
              <w:pStyle w:val="Marginlie"/>
              <w:rPr>
                <w:lang w:val="en-GB"/>
              </w:rPr>
            </w:pPr>
          </w:p>
        </w:tc>
        <w:tc>
          <w:tcPr>
            <w:tcW w:w="191" w:type="dxa"/>
            <w:vMerge/>
            <w:shd w:val="clear" w:color="auto" w:fill="auto"/>
            <w:tcMar>
              <w:left w:w="0" w:type="dxa"/>
            </w:tcMar>
          </w:tcPr>
          <w:p w14:paraId="060768C6" w14:textId="77777777" w:rsidR="00C2211E" w:rsidRPr="00D970F7" w:rsidRDefault="00C2211E" w:rsidP="00C2211E">
            <w:pPr>
              <w:pStyle w:val="Textpoznpodarou"/>
              <w:jc w:val="both"/>
              <w:rPr>
                <w:spacing w:val="-4"/>
                <w:lang w:val="en-GB"/>
              </w:rPr>
            </w:pPr>
          </w:p>
        </w:tc>
        <w:tc>
          <w:tcPr>
            <w:tcW w:w="7730" w:type="dxa"/>
            <w:shd w:val="clear" w:color="auto" w:fill="auto"/>
            <w:tcMar>
              <w:left w:w="0" w:type="dxa"/>
            </w:tcMar>
          </w:tcPr>
          <w:p w14:paraId="654B26BB" w14:textId="77777777" w:rsidR="00C2211E" w:rsidRPr="00D970F7" w:rsidRDefault="00C2211E" w:rsidP="00C2211E">
            <w:pPr>
              <w:spacing w:after="0"/>
              <w:rPr>
                <w:rFonts w:cs="Arial"/>
                <w:sz w:val="14"/>
                <w:szCs w:val="14"/>
                <w:lang w:val="en-GB"/>
              </w:rPr>
            </w:pPr>
            <w:r w:rsidRPr="00D970F7">
              <w:rPr>
                <w:rFonts w:cs="Arial"/>
                <w:sz w:val="14"/>
                <w:szCs w:val="14"/>
                <w:lang w:val="en-GB"/>
              </w:rPr>
              <w:t>*</w:t>
            </w:r>
            <w:r w:rsidRPr="00D970F7">
              <w:rPr>
                <w:color w:val="0D0D0D" w:themeColor="text1" w:themeTint="F2"/>
                <w:sz w:val="14"/>
                <w:szCs w:val="14"/>
                <w:lang w:val="en-GB"/>
              </w:rPr>
              <w:t xml:space="preserve"> Without branches trade, financial activities, insurance activities, science, research and public services. </w:t>
            </w:r>
          </w:p>
          <w:p w14:paraId="0F19B39F" w14:textId="77777777" w:rsidR="00C2211E" w:rsidRPr="00D970F7" w:rsidRDefault="00C2211E" w:rsidP="00C2211E">
            <w:pPr>
              <w:spacing w:after="0"/>
              <w:rPr>
                <w:rFonts w:cs="Arial"/>
                <w:sz w:val="14"/>
                <w:szCs w:val="14"/>
                <w:lang w:val="en-GB"/>
              </w:rPr>
            </w:pPr>
            <w:r w:rsidRPr="00D970F7">
              <w:rPr>
                <w:rFonts w:cs="Arial"/>
                <w:sz w:val="14"/>
                <w:szCs w:val="14"/>
                <w:lang w:val="en-GB"/>
              </w:rPr>
              <w:t xml:space="preserve">**Includes also the financial sector. Balance of confidence and growth barriers are seasonally adjusted and express the situation in the first month of the given quarter. </w:t>
            </w:r>
          </w:p>
          <w:p w14:paraId="680C8C83" w14:textId="77777777" w:rsidR="00C2211E" w:rsidRPr="00D970F7" w:rsidRDefault="00C2211E" w:rsidP="00C2211E">
            <w:pPr>
              <w:spacing w:after="180"/>
              <w:rPr>
                <w:rFonts w:cs="Arial"/>
                <w:sz w:val="14"/>
                <w:szCs w:val="14"/>
                <w:lang w:val="en-GB"/>
              </w:rPr>
            </w:pPr>
            <w:r w:rsidRPr="00D970F7">
              <w:rPr>
                <w:rFonts w:cs="Arial"/>
                <w:sz w:val="14"/>
                <w:szCs w:val="14"/>
                <w:lang w:val="en-GB"/>
              </w:rPr>
              <w:t>Source: CZSO</w:t>
            </w:r>
          </w:p>
        </w:tc>
      </w:tr>
      <w:tr w:rsidR="00C2211E" w:rsidRPr="00D970F7" w14:paraId="12B66CA2" w14:textId="77777777" w:rsidTr="00C2211E">
        <w:trPr>
          <w:trHeight w:val="80"/>
        </w:trPr>
        <w:tc>
          <w:tcPr>
            <w:tcW w:w="1723" w:type="dxa"/>
            <w:shd w:val="clear" w:color="auto" w:fill="auto"/>
            <w:tcMar>
              <w:left w:w="0" w:type="dxa"/>
            </w:tcMar>
          </w:tcPr>
          <w:p w14:paraId="34E2C049" w14:textId="77777777" w:rsidR="00C2211E" w:rsidRPr="00D970F7" w:rsidRDefault="00C2211E" w:rsidP="00C2211E">
            <w:pPr>
              <w:pStyle w:val="Marginlie"/>
              <w:rPr>
                <w:color w:val="0D0D0D" w:themeColor="text1" w:themeTint="F2"/>
                <w:spacing w:val="-4"/>
                <w:lang w:val="en-GB"/>
              </w:rPr>
            </w:pPr>
            <w:r w:rsidRPr="00D970F7">
              <w:rPr>
                <w:color w:val="0D0D0D" w:themeColor="text1" w:themeTint="F2"/>
                <w:spacing w:val="-4"/>
                <w:lang w:val="en-GB"/>
              </w:rPr>
              <w:t xml:space="preserve">Retail sales growth stopped due to the impact of both restrictions </w:t>
            </w:r>
            <w:r w:rsidRPr="00D970F7">
              <w:rPr>
                <w:color w:val="0D0D0D" w:themeColor="text1" w:themeTint="F2"/>
                <w:spacing w:val="-4"/>
                <w:lang w:val="en-GB"/>
              </w:rPr>
              <w:lastRenderedPageBreak/>
              <w:t xml:space="preserve">and deteriorated consumer confidence. End of Q2 however saw a mild boost. </w:t>
            </w:r>
          </w:p>
        </w:tc>
        <w:tc>
          <w:tcPr>
            <w:tcW w:w="191" w:type="dxa"/>
            <w:shd w:val="clear" w:color="auto" w:fill="auto"/>
            <w:tcMar>
              <w:left w:w="0" w:type="dxa"/>
            </w:tcMar>
          </w:tcPr>
          <w:p w14:paraId="79F77620" w14:textId="77777777" w:rsidR="00C2211E" w:rsidRPr="00D970F7" w:rsidRDefault="00C2211E" w:rsidP="00C2211E">
            <w:pPr>
              <w:pStyle w:val="Textpoznpodarou"/>
              <w:jc w:val="both"/>
              <w:rPr>
                <w:spacing w:val="-4"/>
                <w:lang w:val="en-GB"/>
              </w:rPr>
            </w:pPr>
          </w:p>
        </w:tc>
        <w:tc>
          <w:tcPr>
            <w:tcW w:w="7730" w:type="dxa"/>
            <w:shd w:val="clear" w:color="auto" w:fill="auto"/>
            <w:tcMar>
              <w:left w:w="0" w:type="dxa"/>
            </w:tcMar>
          </w:tcPr>
          <w:p w14:paraId="257BA003" w14:textId="77777777" w:rsidR="00C2211E" w:rsidRPr="00D970F7" w:rsidRDefault="00C2211E" w:rsidP="00C2211E">
            <w:pPr>
              <w:spacing w:after="220"/>
              <w:rPr>
                <w:rFonts w:cs="Arial"/>
                <w:szCs w:val="20"/>
                <w:lang w:val="en-GB"/>
              </w:rPr>
            </w:pPr>
            <w:r w:rsidRPr="00D970F7">
              <w:rPr>
                <w:rFonts w:cs="Arial"/>
                <w:szCs w:val="20"/>
                <w:lang w:val="en-GB"/>
              </w:rPr>
              <w:t>Retail sales</w:t>
            </w:r>
            <w:r w:rsidRPr="00D970F7">
              <w:rPr>
                <w:rStyle w:val="Znakapoznpodarou"/>
                <w:lang w:val="en-GB"/>
              </w:rPr>
              <w:footnoteReference w:id="18"/>
            </w:r>
            <w:r w:rsidRPr="00D970F7">
              <w:rPr>
                <w:rFonts w:cs="Arial"/>
                <w:szCs w:val="20"/>
                <w:lang w:val="en-GB"/>
              </w:rPr>
              <w:t xml:space="preserve"> fell by 2.3% during Q1 2020 (it was the first quarter-on-quarter decrease since the end of year 2013). Similar rate of growth was also repeated in the subsequent </w:t>
            </w:r>
            <w:r w:rsidRPr="00D970F7">
              <w:rPr>
                <w:rFonts w:cs="Arial"/>
                <w:szCs w:val="20"/>
                <w:lang w:val="en-GB"/>
              </w:rPr>
              <w:lastRenderedPageBreak/>
              <w:t>period. These results were fundamentally affected by the pandemic measures, which limited the purchasing ability of the population, especially in March and April</w:t>
            </w:r>
            <w:r w:rsidRPr="00D970F7">
              <w:rPr>
                <w:rStyle w:val="Znakapoznpodarou"/>
                <w:lang w:val="en-GB"/>
              </w:rPr>
              <w:footnoteReference w:id="19"/>
            </w:r>
            <w:r w:rsidRPr="00D970F7">
              <w:rPr>
                <w:rFonts w:cs="Arial"/>
                <w:szCs w:val="20"/>
                <w:lang w:val="en-GB"/>
              </w:rPr>
              <w:t xml:space="preserve">. The whole  industry faced still weakened demand on the part of non-residents even later and purchasing appetite of domestic households was inhibited by the worsening consumer confidence, sharp lowering of nominal average wages as well as growing concerns of households regarding potentially rising both prices and unemployment. Despite this development, a still delicate growth of sales year-on-year renewed in both May (+0.7%) and July (+1.9%).  </w:t>
            </w:r>
          </w:p>
        </w:tc>
      </w:tr>
      <w:tr w:rsidR="00C2211E" w:rsidRPr="00D970F7" w14:paraId="5F84949D" w14:textId="77777777" w:rsidTr="00C2211E">
        <w:trPr>
          <w:trHeight w:val="80"/>
        </w:trPr>
        <w:tc>
          <w:tcPr>
            <w:tcW w:w="1723" w:type="dxa"/>
            <w:shd w:val="clear" w:color="auto" w:fill="auto"/>
            <w:tcMar>
              <w:left w:w="0" w:type="dxa"/>
            </w:tcMar>
          </w:tcPr>
          <w:p w14:paraId="7B7238A6" w14:textId="77777777" w:rsidR="00C2211E" w:rsidRPr="00D970F7" w:rsidRDefault="00C2211E" w:rsidP="00C2211E">
            <w:pPr>
              <w:pStyle w:val="Marginlie"/>
              <w:rPr>
                <w:color w:val="0D0D0D" w:themeColor="text1" w:themeTint="F2"/>
                <w:spacing w:val="-4"/>
                <w:lang w:val="en-GB"/>
              </w:rPr>
            </w:pPr>
            <w:r w:rsidRPr="00D970F7">
              <w:rPr>
                <w:color w:val="0D0D0D" w:themeColor="text1" w:themeTint="F2"/>
                <w:spacing w:val="-4"/>
                <w:lang w:val="en-GB"/>
              </w:rPr>
              <w:lastRenderedPageBreak/>
              <w:t xml:space="preserve">Retail decline was driven especially by significant reduction of sales for fuels in H1. </w:t>
            </w:r>
          </w:p>
          <w:p w14:paraId="67F4222D" w14:textId="77777777" w:rsidR="00C2211E" w:rsidRPr="00D970F7" w:rsidRDefault="00C2211E" w:rsidP="00C2211E">
            <w:pPr>
              <w:pStyle w:val="Marginlie"/>
              <w:rPr>
                <w:color w:val="0D0D0D" w:themeColor="text1" w:themeTint="F2"/>
                <w:spacing w:val="-4"/>
                <w:lang w:val="en-GB"/>
              </w:rPr>
            </w:pPr>
          </w:p>
          <w:p w14:paraId="1BD00B84" w14:textId="77777777" w:rsidR="00C2211E" w:rsidRPr="00D970F7" w:rsidRDefault="00C2211E" w:rsidP="00C2211E">
            <w:pPr>
              <w:pStyle w:val="Marginlie"/>
              <w:rPr>
                <w:color w:val="0D0D0D" w:themeColor="text1" w:themeTint="F2"/>
                <w:spacing w:val="-4"/>
                <w:lang w:val="en-GB"/>
              </w:rPr>
            </w:pPr>
          </w:p>
          <w:p w14:paraId="17568166" w14:textId="77777777" w:rsidR="00C2211E" w:rsidRPr="00D970F7" w:rsidRDefault="00C2211E" w:rsidP="00C2211E">
            <w:pPr>
              <w:pStyle w:val="Marginlie"/>
              <w:rPr>
                <w:color w:val="0D0D0D" w:themeColor="text1" w:themeTint="F2"/>
                <w:spacing w:val="-4"/>
                <w:lang w:val="en-GB"/>
              </w:rPr>
            </w:pPr>
          </w:p>
          <w:p w14:paraId="6CAEF39A" w14:textId="77777777" w:rsidR="00C2211E" w:rsidRPr="00D970F7" w:rsidRDefault="00C2211E" w:rsidP="00C2211E">
            <w:pPr>
              <w:pStyle w:val="Marginlie"/>
              <w:rPr>
                <w:color w:val="0D0D0D" w:themeColor="text1" w:themeTint="F2"/>
                <w:spacing w:val="-4"/>
                <w:lang w:val="en-GB"/>
              </w:rPr>
            </w:pPr>
          </w:p>
          <w:p w14:paraId="0EC45B13" w14:textId="77777777" w:rsidR="00C2211E" w:rsidRPr="00D970F7" w:rsidRDefault="00C2211E" w:rsidP="00C2211E">
            <w:pPr>
              <w:pStyle w:val="Marginlie"/>
              <w:rPr>
                <w:color w:val="0D0D0D" w:themeColor="text1" w:themeTint="F2"/>
                <w:spacing w:val="-4"/>
                <w:lang w:val="en-GB"/>
              </w:rPr>
            </w:pPr>
          </w:p>
          <w:p w14:paraId="1DE6B2C2" w14:textId="77777777" w:rsidR="00C2211E" w:rsidRPr="00D970F7" w:rsidRDefault="00C2211E" w:rsidP="00C2211E">
            <w:pPr>
              <w:pStyle w:val="Marginlie"/>
              <w:rPr>
                <w:color w:val="0D0D0D" w:themeColor="text1" w:themeTint="F2"/>
                <w:spacing w:val="-4"/>
                <w:lang w:val="en-GB"/>
              </w:rPr>
            </w:pPr>
          </w:p>
          <w:p w14:paraId="36648190" w14:textId="77777777" w:rsidR="00C2211E" w:rsidRPr="00D970F7" w:rsidRDefault="00C2211E" w:rsidP="00C2211E">
            <w:pPr>
              <w:pStyle w:val="Marginlie"/>
              <w:rPr>
                <w:color w:val="0D0D0D" w:themeColor="text1" w:themeTint="F2"/>
                <w:spacing w:val="-4"/>
                <w:lang w:val="en-GB"/>
              </w:rPr>
            </w:pPr>
          </w:p>
          <w:p w14:paraId="48CB36EC" w14:textId="77777777" w:rsidR="00C2211E" w:rsidRPr="00D970F7" w:rsidRDefault="00C2211E" w:rsidP="00C2211E">
            <w:pPr>
              <w:pStyle w:val="Marginlie"/>
              <w:rPr>
                <w:color w:val="0D0D0D" w:themeColor="text1" w:themeTint="F2"/>
                <w:spacing w:val="-4"/>
                <w:lang w:val="en-GB"/>
              </w:rPr>
            </w:pPr>
            <w:r w:rsidRPr="00D970F7">
              <w:rPr>
                <w:color w:val="0D0D0D" w:themeColor="text1" w:themeTint="F2"/>
                <w:spacing w:val="-4"/>
                <w:lang w:val="en-GB"/>
              </w:rPr>
              <w:t xml:space="preserve">Growth dynamics of sales via internet was further gaining strength. </w:t>
            </w:r>
          </w:p>
        </w:tc>
        <w:tc>
          <w:tcPr>
            <w:tcW w:w="191" w:type="dxa"/>
            <w:shd w:val="clear" w:color="auto" w:fill="auto"/>
            <w:tcMar>
              <w:left w:w="0" w:type="dxa"/>
            </w:tcMar>
          </w:tcPr>
          <w:p w14:paraId="3706CBC2" w14:textId="77777777" w:rsidR="00C2211E" w:rsidRPr="00D970F7" w:rsidRDefault="00C2211E" w:rsidP="00C2211E">
            <w:pPr>
              <w:pStyle w:val="Textpoznpodarou"/>
              <w:jc w:val="both"/>
              <w:rPr>
                <w:spacing w:val="-4"/>
                <w:lang w:val="en-GB"/>
              </w:rPr>
            </w:pPr>
          </w:p>
        </w:tc>
        <w:tc>
          <w:tcPr>
            <w:tcW w:w="7730" w:type="dxa"/>
            <w:shd w:val="clear" w:color="auto" w:fill="auto"/>
            <w:tcMar>
              <w:left w:w="0" w:type="dxa"/>
            </w:tcMar>
          </w:tcPr>
          <w:p w14:paraId="1AC3AB05" w14:textId="77777777" w:rsidR="00C2211E" w:rsidRPr="00D970F7" w:rsidRDefault="00C2211E" w:rsidP="00C2211E">
            <w:pPr>
              <w:spacing w:after="220"/>
              <w:rPr>
                <w:rFonts w:cs="Arial"/>
                <w:szCs w:val="20"/>
                <w:lang w:val="en-GB"/>
              </w:rPr>
            </w:pPr>
            <w:r w:rsidRPr="00D970F7">
              <w:rPr>
                <w:rFonts w:cs="Arial"/>
                <w:szCs w:val="20"/>
                <w:lang w:val="en-GB"/>
              </w:rPr>
              <w:t>Retail sales declined by 1.7% year-on-year for H1 2020. Sales for fuels contributed the most to this decline. These decreased by nearly one eight and recorded first drop in the half-yearly accumulation since the end of year 2013. Even though a considerable lowering of fuels consumer prices occurred in Q2, marked dive of the freight transport as well as weaker regular commuting to work (as a consequence of spreading work from home) proved to be a more important factor. Sales of non-food products fell only slightly (by 0.3%). Development in individual specialised shops however differed. While the sales of wearing apparel, footwear and leather goods or cultural and recreation goods registered double digit fall, demand for computer as well as communication equipment, pharmaceutical, health and cosmetic products or household goods slightly grew. Strengthening growth of sales via internet or mail order was however pivotal (+28.4%, in that by +37.8% in Q2). Sales for food dropped by 0.3% in H1. The mild decrease was particularly affected by weaker sales in specialised shops (</w:t>
            </w:r>
            <w:r w:rsidRPr="00D970F7">
              <w:rPr>
                <w:color w:val="000000" w:themeColor="text1"/>
                <w:spacing w:val="-2"/>
                <w:lang w:val="en-GB"/>
              </w:rPr>
              <w:t>–</w:t>
            </w:r>
            <w:r w:rsidRPr="00D970F7">
              <w:rPr>
                <w:rFonts w:cs="Arial"/>
                <w:szCs w:val="20"/>
                <w:lang w:val="en-GB"/>
              </w:rPr>
              <w:t>13.6%). Dramatic downturn, its depth exceeding the slump from yea</w:t>
            </w:r>
            <w:r>
              <w:rPr>
                <w:rFonts w:cs="Arial"/>
                <w:szCs w:val="20"/>
                <w:lang w:val="en-GB"/>
              </w:rPr>
              <w:t>r 2009, afflicted the motoring</w:t>
            </w:r>
            <w:r w:rsidRPr="00D970F7">
              <w:rPr>
                <w:rFonts w:cs="Arial"/>
                <w:szCs w:val="20"/>
                <w:lang w:val="en-GB"/>
              </w:rPr>
              <w:t xml:space="preserve"> segment sales this year (</w:t>
            </w:r>
            <w:r w:rsidRPr="00D970F7">
              <w:rPr>
                <w:color w:val="000000" w:themeColor="text1"/>
                <w:spacing w:val="-2"/>
                <w:lang w:val="en-GB"/>
              </w:rPr>
              <w:t>–</w:t>
            </w:r>
            <w:r w:rsidRPr="00D970F7">
              <w:rPr>
                <w:rFonts w:cs="Arial"/>
                <w:szCs w:val="20"/>
                <w:lang w:val="en-GB"/>
              </w:rPr>
              <w:t>22.6%).</w:t>
            </w:r>
          </w:p>
        </w:tc>
      </w:tr>
      <w:tr w:rsidR="00C2211E" w:rsidRPr="00D970F7" w14:paraId="36C5FF5E" w14:textId="77777777" w:rsidTr="00C2211E">
        <w:trPr>
          <w:trHeight w:val="80"/>
        </w:trPr>
        <w:tc>
          <w:tcPr>
            <w:tcW w:w="1723" w:type="dxa"/>
            <w:shd w:val="clear" w:color="auto" w:fill="auto"/>
            <w:tcMar>
              <w:left w:w="0" w:type="dxa"/>
            </w:tcMar>
          </w:tcPr>
          <w:p w14:paraId="7C4634E8" w14:textId="77777777" w:rsidR="00C2211E" w:rsidRPr="00D970F7" w:rsidRDefault="00C2211E" w:rsidP="00C2211E">
            <w:pPr>
              <w:pStyle w:val="Marginlie"/>
              <w:rPr>
                <w:color w:val="0D0D0D" w:themeColor="text1" w:themeTint="F2"/>
                <w:lang w:val="en-GB"/>
              </w:rPr>
            </w:pPr>
            <w:r w:rsidRPr="00D970F7">
              <w:rPr>
                <w:color w:val="0D0D0D" w:themeColor="text1" w:themeTint="F2"/>
                <w:lang w:val="en-GB"/>
              </w:rPr>
              <w:t>Retail sales fell by doubled pace in the EU compared to the CR in H1.</w:t>
            </w:r>
          </w:p>
        </w:tc>
        <w:tc>
          <w:tcPr>
            <w:tcW w:w="191" w:type="dxa"/>
            <w:shd w:val="clear" w:color="auto" w:fill="auto"/>
            <w:tcMar>
              <w:left w:w="0" w:type="dxa"/>
            </w:tcMar>
          </w:tcPr>
          <w:p w14:paraId="2C689B5F" w14:textId="77777777" w:rsidR="00C2211E" w:rsidRPr="00D970F7" w:rsidRDefault="00C2211E" w:rsidP="00C2211E">
            <w:pPr>
              <w:pStyle w:val="Textpoznpodarou"/>
              <w:jc w:val="both"/>
              <w:rPr>
                <w:spacing w:val="-4"/>
                <w:lang w:val="en-GB"/>
              </w:rPr>
            </w:pPr>
          </w:p>
        </w:tc>
        <w:tc>
          <w:tcPr>
            <w:tcW w:w="7730" w:type="dxa"/>
            <w:shd w:val="clear" w:color="auto" w:fill="auto"/>
            <w:tcMar>
              <w:left w:w="0" w:type="dxa"/>
            </w:tcMar>
          </w:tcPr>
          <w:p w14:paraId="441D655A" w14:textId="77777777" w:rsidR="00C2211E" w:rsidRPr="00D970F7" w:rsidRDefault="00C2211E" w:rsidP="00C2211E">
            <w:pPr>
              <w:spacing w:after="220"/>
              <w:rPr>
                <w:rFonts w:cs="Arial"/>
                <w:szCs w:val="20"/>
                <w:lang w:val="en-GB"/>
              </w:rPr>
            </w:pPr>
            <w:r w:rsidRPr="00D970F7">
              <w:rPr>
                <w:rFonts w:cs="Arial"/>
                <w:szCs w:val="20"/>
                <w:lang w:val="en-GB"/>
              </w:rPr>
              <w:t xml:space="preserve">Retail sales fell by 3.5% year-on-year in the EU in H1, that is by more than double the pace in the CR. Sales dived by more than one tenth in Italy, Spain and Bulgaria, they fell strongly also for instance in Slovenia (by 9.5%). On the contrary growth was observed in ten states, the highest in Finland (+3.7%), further in Germany (+1.9%) and the Netherlands (+1.7%). Weak growth was recorded also for example in Poland or Hungary. </w:t>
            </w:r>
          </w:p>
        </w:tc>
      </w:tr>
    </w:tbl>
    <w:p w14:paraId="1C649B4E" w14:textId="77777777" w:rsidR="00AA4790" w:rsidRPr="00D970F7" w:rsidRDefault="00AA4790" w:rsidP="00AA4790">
      <w:pPr>
        <w:pStyle w:val="Nadpis11"/>
        <w:rPr>
          <w:sz w:val="2"/>
          <w:szCs w:val="2"/>
          <w:highlight w:val="yellow"/>
          <w:lang w:val="en-GB"/>
        </w:rPr>
      </w:pPr>
    </w:p>
    <w:p w14:paraId="77401C57" w14:textId="77777777" w:rsidR="00EF23B5" w:rsidRPr="00D970F7" w:rsidRDefault="00EF23B5" w:rsidP="00EF23B5">
      <w:pPr>
        <w:pStyle w:val="Nadpis11"/>
        <w:rPr>
          <w:sz w:val="2"/>
          <w:szCs w:val="2"/>
          <w:lang w:val="en-GB"/>
        </w:rPr>
      </w:pPr>
      <w:bookmarkStart w:id="6" w:name="_Toc532558284"/>
      <w:bookmarkStart w:id="7" w:name="_Toc26539341"/>
      <w:bookmarkStart w:id="8" w:name="_Toc11237634"/>
      <w:bookmarkStart w:id="9" w:name="_GoBack"/>
      <w:bookmarkEnd w:id="9"/>
    </w:p>
    <w:p w14:paraId="2AF04AC6" w14:textId="77777777" w:rsidR="008F509F" w:rsidRPr="00D970F7" w:rsidRDefault="008F509F" w:rsidP="008F509F">
      <w:pPr>
        <w:pStyle w:val="Nadpis11"/>
        <w:rPr>
          <w:sz w:val="2"/>
          <w:szCs w:val="2"/>
          <w:lang w:val="en-GB"/>
        </w:rPr>
      </w:pPr>
    </w:p>
    <w:bookmarkEnd w:id="6"/>
    <w:bookmarkEnd w:id="7"/>
    <w:bookmarkEnd w:id="8"/>
    <w:p w14:paraId="5BCF3DC5" w14:textId="004356BF" w:rsidR="00E42054" w:rsidRPr="00D970F7" w:rsidRDefault="00E42054" w:rsidP="00E42054">
      <w:pPr>
        <w:pStyle w:val="Nadpis11"/>
        <w:spacing w:after="0"/>
        <w:rPr>
          <w:b w:val="0"/>
          <w:sz w:val="2"/>
          <w:szCs w:val="2"/>
          <w:lang w:val="en-GB"/>
        </w:rPr>
      </w:pPr>
    </w:p>
    <w:sectPr w:rsidR="00E42054" w:rsidRPr="00D970F7" w:rsidSect="00C46859">
      <w:headerReference w:type="even" r:id="rId13"/>
      <w:headerReference w:type="default" r:id="rId14"/>
      <w:footerReference w:type="even" r:id="rId15"/>
      <w:footerReference w:type="default" r:id="rId16"/>
      <w:pgSz w:w="11906" w:h="16838" w:code="9"/>
      <w:pgMar w:top="1134" w:right="1134" w:bottom="1418" w:left="1134" w:header="680" w:footer="737" w:gutter="0"/>
      <w:pgNumType w:start="1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575CA5" w14:textId="77777777" w:rsidR="00B30EA2" w:rsidRDefault="00B30EA2" w:rsidP="00E71A58">
      <w:r>
        <w:separator/>
      </w:r>
    </w:p>
  </w:endnote>
  <w:endnote w:type="continuationSeparator" w:id="0">
    <w:p w14:paraId="1D8DE8AD" w14:textId="77777777" w:rsidR="00B30EA2" w:rsidRDefault="00B30EA2" w:rsidP="00E7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D51A0D" w14:textId="33035955" w:rsidR="00C2211E" w:rsidRPr="00932443" w:rsidRDefault="00C2211E" w:rsidP="00A418BC">
    <w:pPr>
      <w:pStyle w:val="Zpat"/>
      <w:rPr>
        <w:szCs w:val="16"/>
      </w:rPr>
    </w:pPr>
    <w:r>
      <w:rPr>
        <w:szCs w:val="16"/>
        <w:lang w:eastAsia="cs-CZ"/>
      </w:rPr>
      <w:drawing>
        <wp:anchor distT="0" distB="0" distL="114300" distR="114300" simplePos="0" relativeHeight="251667968" behindDoc="0" locked="0" layoutInCell="1" allowOverlap="1" wp14:anchorId="71F0B6E3" wp14:editId="3AA519D4">
          <wp:simplePos x="0" y="0"/>
          <wp:positionH relativeFrom="column">
            <wp:align>right</wp:align>
          </wp:positionH>
          <wp:positionV relativeFrom="paragraph">
            <wp:posOffset>-64770</wp:posOffset>
          </wp:positionV>
          <wp:extent cx="428625" cy="201295"/>
          <wp:effectExtent l="0" t="0" r="3175" b="1905"/>
          <wp:wrapNone/>
          <wp:docPr id="22" name="Picture 15" descr="CSU RGB CZ 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SU RGB CZ logo-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 cy="201295"/>
                  </a:xfrm>
                  <a:prstGeom prst="rect">
                    <a:avLst/>
                  </a:prstGeom>
                  <a:noFill/>
                  <a:ln>
                    <a:noFill/>
                  </a:ln>
                </pic:spPr>
              </pic:pic>
            </a:graphicData>
          </a:graphic>
        </wp:anchor>
      </w:drawing>
    </w:r>
    <w:r w:rsidRPr="00932443">
      <w:rPr>
        <w:szCs w:val="16"/>
      </w:rPr>
      <w:fldChar w:fldCharType="begin"/>
    </w:r>
    <w:r w:rsidRPr="00932443">
      <w:rPr>
        <w:szCs w:val="16"/>
      </w:rPr>
      <w:instrText>PAGE   \* MERGEFORMAT</w:instrText>
    </w:r>
    <w:r w:rsidRPr="00932443">
      <w:rPr>
        <w:szCs w:val="16"/>
      </w:rPr>
      <w:fldChar w:fldCharType="separate"/>
    </w:r>
    <w:r w:rsidR="00C46859">
      <w:rPr>
        <w:szCs w:val="16"/>
      </w:rPr>
      <w:t>16</w:t>
    </w:r>
    <w:r w:rsidRPr="00932443">
      <w:rPr>
        <w:szCs w:val="16"/>
      </w:rPr>
      <w:fldChar w:fldCharType="end"/>
    </w:r>
    <w:r w:rsidRPr="00932443">
      <w:rPr>
        <w:szCs w:val="16"/>
      </w:rPr>
      <w:tab/>
    </w:r>
    <w:r>
      <w:rPr>
        <w:szCs w:val="16"/>
      </w:rPr>
      <w:t>First half of 2020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817E4B" w14:textId="29844C41" w:rsidR="00C2211E" w:rsidRPr="00932443" w:rsidRDefault="00C2211E" w:rsidP="00FA6CB6">
    <w:pPr>
      <w:pStyle w:val="Zpat"/>
      <w:rPr>
        <w:szCs w:val="16"/>
      </w:rPr>
    </w:pPr>
    <w:r w:rsidRPr="00FA6CB6">
      <w:rPr>
        <w:szCs w:val="16"/>
      </w:rPr>
      <w:tab/>
    </w:r>
    <w:r>
      <w:rPr>
        <w:szCs w:val="16"/>
        <w:lang w:eastAsia="cs-CZ"/>
      </w:rPr>
      <w:drawing>
        <wp:anchor distT="0" distB="0" distL="114300" distR="114300" simplePos="0" relativeHeight="251658752" behindDoc="0" locked="0" layoutInCell="1" allowOverlap="1" wp14:anchorId="6ADC9B20" wp14:editId="2C3814E9">
          <wp:simplePos x="0" y="0"/>
          <wp:positionH relativeFrom="column">
            <wp:align>left</wp:align>
          </wp:positionH>
          <wp:positionV relativeFrom="paragraph">
            <wp:posOffset>-122555</wp:posOffset>
          </wp:positionV>
          <wp:extent cx="510540" cy="272415"/>
          <wp:effectExtent l="0" t="0" r="0" b="6985"/>
          <wp:wrapNone/>
          <wp:docPr id="24" name="Picture 16" descr="CSU RGB CZ log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SU RGB CZ logo-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272415"/>
                  </a:xfrm>
                  <a:prstGeom prst="rect">
                    <a:avLst/>
                  </a:prstGeom>
                  <a:noFill/>
                  <a:ln>
                    <a:noFill/>
                  </a:ln>
                </pic:spPr>
              </pic:pic>
            </a:graphicData>
          </a:graphic>
        </wp:anchor>
      </w:drawing>
    </w:r>
    <w:r>
      <w:rPr>
        <w:szCs w:val="16"/>
      </w:rPr>
      <w:t>First half of 2020</w:t>
    </w:r>
    <w:r w:rsidRPr="00932443">
      <w:rPr>
        <w:szCs w:val="16"/>
      </w:rPr>
      <w:tab/>
    </w:r>
    <w:r w:rsidRPr="00932443">
      <w:rPr>
        <w:rStyle w:val="ZpatChar"/>
        <w:szCs w:val="16"/>
      </w:rPr>
      <w:fldChar w:fldCharType="begin"/>
    </w:r>
    <w:r w:rsidRPr="00932443">
      <w:rPr>
        <w:rStyle w:val="ZpatChar"/>
        <w:szCs w:val="16"/>
      </w:rPr>
      <w:instrText>PAGE   \* MERGEFORMAT</w:instrText>
    </w:r>
    <w:r w:rsidRPr="00932443">
      <w:rPr>
        <w:rStyle w:val="ZpatChar"/>
        <w:szCs w:val="16"/>
      </w:rPr>
      <w:fldChar w:fldCharType="separate"/>
    </w:r>
    <w:r w:rsidR="00C46859">
      <w:rPr>
        <w:rStyle w:val="ZpatChar"/>
        <w:szCs w:val="16"/>
      </w:rPr>
      <w:t>17</w:t>
    </w:r>
    <w:r w:rsidRPr="00932443">
      <w:rPr>
        <w:rStyle w:val="ZpatChar"/>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24C298" w14:textId="77777777" w:rsidR="00B30EA2" w:rsidRDefault="00B30EA2" w:rsidP="00A21B4D">
      <w:pPr>
        <w:spacing w:after="0"/>
      </w:pPr>
      <w:r>
        <w:separator/>
      </w:r>
    </w:p>
  </w:footnote>
  <w:footnote w:type="continuationSeparator" w:id="0">
    <w:p w14:paraId="6D18DCEE" w14:textId="77777777" w:rsidR="00B30EA2" w:rsidRDefault="00B30EA2" w:rsidP="00E71A58">
      <w:r>
        <w:continuationSeparator/>
      </w:r>
    </w:p>
  </w:footnote>
  <w:footnote w:id="1">
    <w:p w14:paraId="37564AC0" w14:textId="77777777" w:rsidR="00C2211E" w:rsidRPr="00851B1C" w:rsidRDefault="00C2211E" w:rsidP="00C2211E">
      <w:pPr>
        <w:pStyle w:val="Textpoznpodarou"/>
        <w:jc w:val="both"/>
        <w:rPr>
          <w:rFonts w:cs="Arial"/>
          <w:color w:val="0D0D0D" w:themeColor="text1" w:themeTint="F2"/>
          <w:spacing w:val="-2"/>
          <w:sz w:val="16"/>
          <w:szCs w:val="16"/>
          <w:lang w:val="en-GB"/>
        </w:rPr>
      </w:pPr>
      <w:r w:rsidRPr="00FB58F4">
        <w:rPr>
          <w:rStyle w:val="Znakapoznpodarou"/>
          <w:rFonts w:cs="Arial"/>
          <w:color w:val="0D0D0D" w:themeColor="text1" w:themeTint="F2"/>
          <w:spacing w:val="-2"/>
          <w:sz w:val="16"/>
          <w:szCs w:val="16"/>
        </w:rPr>
        <w:footnoteRef/>
      </w:r>
      <w:r w:rsidRPr="00FB58F4">
        <w:rPr>
          <w:rFonts w:cs="Arial"/>
          <w:color w:val="0D0D0D" w:themeColor="text1" w:themeTint="F2"/>
          <w:spacing w:val="-2"/>
          <w:sz w:val="16"/>
          <w:szCs w:val="16"/>
        </w:rPr>
        <w:t xml:space="preserve"> </w:t>
      </w:r>
      <w:r w:rsidRPr="00851B1C">
        <w:rPr>
          <w:rFonts w:cs="Arial"/>
          <w:color w:val="0D0D0D" w:themeColor="text1" w:themeTint="F2"/>
          <w:spacing w:val="-2"/>
          <w:sz w:val="16"/>
          <w:szCs w:val="16"/>
          <w:lang w:val="en-GB"/>
        </w:rPr>
        <w:t xml:space="preserve">Data regarding the GVA are expressed in constant prices and adjusted for seasonal and calendar effects. </w:t>
      </w:r>
    </w:p>
  </w:footnote>
  <w:footnote w:id="2">
    <w:p w14:paraId="047E875D" w14:textId="446F0E7F" w:rsidR="00C2211E" w:rsidRPr="00851B1C" w:rsidRDefault="00C2211E" w:rsidP="00C2211E">
      <w:pPr>
        <w:pStyle w:val="Textpoznpodarou"/>
        <w:jc w:val="both"/>
        <w:rPr>
          <w:rFonts w:cs="Arial"/>
          <w:color w:val="0D0D0D" w:themeColor="text1" w:themeTint="F2"/>
          <w:spacing w:val="-2"/>
          <w:sz w:val="16"/>
          <w:szCs w:val="16"/>
          <w:lang w:val="en-GB"/>
        </w:rPr>
      </w:pPr>
      <w:r w:rsidRPr="00851B1C">
        <w:rPr>
          <w:rStyle w:val="Znakapoznpodarou"/>
          <w:rFonts w:cs="Arial"/>
          <w:color w:val="0D0D0D" w:themeColor="text1" w:themeTint="F2"/>
          <w:spacing w:val="-2"/>
          <w:sz w:val="16"/>
          <w:szCs w:val="16"/>
          <w:lang w:val="en-GB"/>
        </w:rPr>
        <w:footnoteRef/>
      </w:r>
      <w:r w:rsidRPr="00851B1C">
        <w:rPr>
          <w:rFonts w:cs="Arial"/>
          <w:color w:val="0D0D0D" w:themeColor="text1" w:themeTint="F2"/>
          <w:spacing w:val="-2"/>
          <w:sz w:val="16"/>
          <w:szCs w:val="16"/>
          <w:lang w:val="en-GB"/>
        </w:rPr>
        <w:t xml:space="preserve"> </w:t>
      </w:r>
      <w:r>
        <w:rPr>
          <w:rFonts w:cs="Arial"/>
          <w:color w:val="0D0D0D" w:themeColor="text1" w:themeTint="F2"/>
          <w:spacing w:val="-2"/>
          <w:sz w:val="16"/>
          <w:szCs w:val="16"/>
          <w:lang w:val="en-GB"/>
        </w:rPr>
        <w:t>Fresh data regardi</w:t>
      </w:r>
      <w:r w:rsidR="002238F3">
        <w:rPr>
          <w:rFonts w:cs="Arial"/>
          <w:color w:val="0D0D0D" w:themeColor="text1" w:themeTint="F2"/>
          <w:spacing w:val="-2"/>
          <w:sz w:val="16"/>
          <w:szCs w:val="16"/>
          <w:lang w:val="en-GB"/>
        </w:rPr>
        <w:t>ng the GVA for H1</w:t>
      </w:r>
      <w:r>
        <w:rPr>
          <w:rFonts w:cs="Arial"/>
          <w:color w:val="0D0D0D" w:themeColor="text1" w:themeTint="F2"/>
          <w:spacing w:val="-2"/>
          <w:sz w:val="16"/>
          <w:szCs w:val="16"/>
          <w:lang w:val="en-GB"/>
        </w:rPr>
        <w:t xml:space="preserve"> were not available for Ireland, Luxembourg, Croatia and Romania. </w:t>
      </w:r>
    </w:p>
  </w:footnote>
  <w:footnote w:id="3">
    <w:p w14:paraId="051BA593" w14:textId="77777777" w:rsidR="00C2211E" w:rsidRPr="00851B1C" w:rsidRDefault="00C2211E" w:rsidP="00C2211E">
      <w:pPr>
        <w:pStyle w:val="Textpoznpodarou"/>
        <w:jc w:val="both"/>
        <w:rPr>
          <w:rFonts w:cs="Arial"/>
          <w:color w:val="0D0D0D" w:themeColor="text1" w:themeTint="F2"/>
          <w:spacing w:val="-2"/>
          <w:sz w:val="16"/>
          <w:szCs w:val="16"/>
          <w:lang w:val="en-GB"/>
        </w:rPr>
      </w:pPr>
      <w:r w:rsidRPr="00851B1C">
        <w:rPr>
          <w:rStyle w:val="Znakapoznpodarou"/>
          <w:rFonts w:cs="Arial"/>
          <w:color w:val="0D0D0D" w:themeColor="text1" w:themeTint="F2"/>
          <w:spacing w:val="-2"/>
          <w:sz w:val="16"/>
          <w:szCs w:val="16"/>
          <w:lang w:val="en-GB"/>
        </w:rPr>
        <w:footnoteRef/>
      </w:r>
      <w:r w:rsidRPr="00851B1C">
        <w:rPr>
          <w:rFonts w:cs="Arial"/>
          <w:color w:val="0D0D0D" w:themeColor="text1" w:themeTint="F2"/>
          <w:spacing w:val="-2"/>
          <w:sz w:val="16"/>
          <w:szCs w:val="16"/>
          <w:lang w:val="en-GB"/>
        </w:rPr>
        <w:t xml:space="preserve"> </w:t>
      </w:r>
      <w:r>
        <w:rPr>
          <w:rFonts w:cs="Arial"/>
          <w:color w:val="0D0D0D" w:themeColor="text1" w:themeTint="F2"/>
          <w:spacing w:val="-2"/>
          <w:sz w:val="16"/>
          <w:szCs w:val="16"/>
          <w:lang w:val="en-GB"/>
        </w:rPr>
        <w:t xml:space="preserve">Planned technological shutdowns of production facilities stood behind the decrease of output in energetics (coincidentally also especially during March and April </w:t>
      </w:r>
      <w:r w:rsidRPr="00851B1C">
        <w:rPr>
          <w:rFonts w:cs="Arial"/>
          <w:color w:val="0D0D0D" w:themeColor="text1" w:themeTint="F2"/>
          <w:spacing w:val="-2"/>
          <w:sz w:val="16"/>
          <w:szCs w:val="16"/>
          <w:lang w:val="en-GB"/>
        </w:rPr>
        <w:t>2020)</w:t>
      </w:r>
      <w:r>
        <w:rPr>
          <w:rFonts w:cs="Arial"/>
          <w:color w:val="0D0D0D" w:themeColor="text1" w:themeTint="F2"/>
          <w:spacing w:val="-2"/>
          <w:sz w:val="16"/>
          <w:szCs w:val="16"/>
          <w:lang w:val="en-GB"/>
        </w:rPr>
        <w:t xml:space="preserve">. </w:t>
      </w:r>
    </w:p>
  </w:footnote>
  <w:footnote w:id="4">
    <w:p w14:paraId="10ABA104" w14:textId="77777777" w:rsidR="00C2211E" w:rsidRPr="00851B1C" w:rsidRDefault="00C2211E" w:rsidP="00C2211E">
      <w:pPr>
        <w:pStyle w:val="Textpoznpodarou"/>
        <w:jc w:val="both"/>
        <w:rPr>
          <w:rFonts w:cs="Arial"/>
          <w:color w:val="0D0D0D" w:themeColor="text1" w:themeTint="F2"/>
          <w:spacing w:val="-2"/>
          <w:sz w:val="16"/>
          <w:szCs w:val="16"/>
          <w:lang w:val="en-GB"/>
        </w:rPr>
      </w:pPr>
      <w:r w:rsidRPr="00851B1C">
        <w:rPr>
          <w:rStyle w:val="Znakapoznpodarou"/>
          <w:rFonts w:cs="Arial"/>
          <w:color w:val="0D0D0D" w:themeColor="text1" w:themeTint="F2"/>
          <w:spacing w:val="-2"/>
          <w:sz w:val="16"/>
          <w:szCs w:val="16"/>
          <w:lang w:val="en-GB"/>
        </w:rPr>
        <w:footnoteRef/>
      </w:r>
      <w:r w:rsidRPr="00851B1C">
        <w:rPr>
          <w:rFonts w:cs="Arial"/>
          <w:color w:val="0D0D0D" w:themeColor="text1" w:themeTint="F2"/>
          <w:spacing w:val="-2"/>
          <w:sz w:val="16"/>
          <w:szCs w:val="16"/>
          <w:lang w:val="en-GB"/>
        </w:rPr>
        <w:t xml:space="preserve"> </w:t>
      </w:r>
      <w:r>
        <w:rPr>
          <w:rFonts w:cs="Arial"/>
          <w:color w:val="0D0D0D" w:themeColor="text1" w:themeTint="F2"/>
          <w:spacing w:val="-2"/>
          <w:sz w:val="16"/>
          <w:szCs w:val="16"/>
          <w:lang w:val="en-GB"/>
        </w:rPr>
        <w:t xml:space="preserve">Final consumption expenditures of non-residents in the CR decreased by more than one third year-on-year, in Q2 2020 itself even by unprecedented </w:t>
      </w:r>
      <w:r w:rsidRPr="00851B1C">
        <w:rPr>
          <w:rFonts w:cs="Arial"/>
          <w:color w:val="0D0D0D" w:themeColor="text1" w:themeTint="F2"/>
          <w:spacing w:val="-2"/>
          <w:sz w:val="16"/>
          <w:szCs w:val="16"/>
          <w:lang w:val="en-GB"/>
        </w:rPr>
        <w:t>62%. N</w:t>
      </w:r>
      <w:r>
        <w:rPr>
          <w:rFonts w:cs="Arial"/>
          <w:color w:val="0D0D0D" w:themeColor="text1" w:themeTint="F2"/>
          <w:spacing w:val="-2"/>
          <w:sz w:val="16"/>
          <w:szCs w:val="16"/>
          <w:lang w:val="en-GB"/>
        </w:rPr>
        <w:t xml:space="preserve">on-residents share in the total household final consumption expenditures in the CR in the long-term roughly </w:t>
      </w:r>
      <w:r w:rsidRPr="00851B1C">
        <w:rPr>
          <w:rFonts w:cs="Arial"/>
          <w:color w:val="0D0D0D" w:themeColor="text1" w:themeTint="F2"/>
          <w:spacing w:val="-2"/>
          <w:sz w:val="16"/>
          <w:szCs w:val="16"/>
          <w:lang w:val="en-GB"/>
        </w:rPr>
        <w:t>6%.</w:t>
      </w:r>
    </w:p>
  </w:footnote>
  <w:footnote w:id="5">
    <w:p w14:paraId="234CDB2A" w14:textId="77777777" w:rsidR="00C2211E" w:rsidRPr="00851B1C" w:rsidRDefault="00C2211E" w:rsidP="00C2211E">
      <w:pPr>
        <w:pStyle w:val="Textpoznpodarou"/>
        <w:jc w:val="both"/>
        <w:rPr>
          <w:rFonts w:cs="Arial"/>
          <w:color w:val="0D0D0D" w:themeColor="text1" w:themeTint="F2"/>
          <w:spacing w:val="-2"/>
          <w:sz w:val="16"/>
          <w:szCs w:val="16"/>
          <w:lang w:val="en-GB"/>
        </w:rPr>
      </w:pPr>
      <w:r w:rsidRPr="00851B1C">
        <w:rPr>
          <w:rStyle w:val="Znakapoznpodarou"/>
          <w:rFonts w:cs="Arial"/>
          <w:color w:val="0D0D0D" w:themeColor="text1" w:themeTint="F2"/>
          <w:spacing w:val="-2"/>
          <w:sz w:val="16"/>
          <w:szCs w:val="16"/>
          <w:lang w:val="en-GB"/>
        </w:rPr>
        <w:footnoteRef/>
      </w:r>
      <w:r w:rsidRPr="00851B1C">
        <w:rPr>
          <w:rFonts w:cs="Arial"/>
          <w:color w:val="0D0D0D" w:themeColor="text1" w:themeTint="F2"/>
          <w:spacing w:val="-2"/>
          <w:sz w:val="16"/>
          <w:szCs w:val="16"/>
          <w:lang w:val="en-GB"/>
        </w:rPr>
        <w:t xml:space="preserve"> </w:t>
      </w:r>
      <w:r>
        <w:rPr>
          <w:rFonts w:cs="Arial"/>
          <w:color w:val="0D0D0D" w:themeColor="text1" w:themeTint="F2"/>
          <w:spacing w:val="-2"/>
          <w:sz w:val="16"/>
          <w:szCs w:val="16"/>
          <w:lang w:val="en-GB"/>
        </w:rPr>
        <w:t xml:space="preserve">Include cultural, amusement and recreation activities or personal services for household </w:t>
      </w:r>
      <w:r w:rsidRPr="00851B1C">
        <w:rPr>
          <w:rFonts w:cs="Arial"/>
          <w:color w:val="0D0D0D" w:themeColor="text1" w:themeTint="F2"/>
          <w:spacing w:val="-2"/>
          <w:sz w:val="16"/>
          <w:szCs w:val="16"/>
          <w:lang w:val="en-GB"/>
        </w:rPr>
        <w:t>(</w:t>
      </w:r>
      <w:r>
        <w:rPr>
          <w:rFonts w:cs="Arial"/>
          <w:color w:val="0D0D0D" w:themeColor="text1" w:themeTint="F2"/>
          <w:spacing w:val="-2"/>
          <w:sz w:val="16"/>
          <w:szCs w:val="16"/>
          <w:lang w:val="en-GB"/>
        </w:rPr>
        <w:t>among other hairdressing, cleaning services or repairs of products and equipment</w:t>
      </w:r>
      <w:r w:rsidRPr="00851B1C">
        <w:rPr>
          <w:rFonts w:cs="Arial"/>
          <w:color w:val="0D0D0D" w:themeColor="text1" w:themeTint="F2"/>
          <w:spacing w:val="-2"/>
          <w:sz w:val="16"/>
          <w:szCs w:val="16"/>
          <w:lang w:val="en-GB"/>
        </w:rPr>
        <w:t>).</w:t>
      </w:r>
    </w:p>
  </w:footnote>
  <w:footnote w:id="6">
    <w:p w14:paraId="5680A363" w14:textId="77777777" w:rsidR="00C2211E" w:rsidRPr="00851B1C" w:rsidRDefault="00C2211E" w:rsidP="00C2211E">
      <w:pPr>
        <w:pStyle w:val="Textpoznpodarou"/>
        <w:jc w:val="both"/>
        <w:rPr>
          <w:rFonts w:cs="Arial"/>
          <w:color w:val="0D0D0D" w:themeColor="text1" w:themeTint="F2"/>
          <w:spacing w:val="-2"/>
          <w:sz w:val="16"/>
          <w:szCs w:val="16"/>
          <w:lang w:val="en-GB"/>
        </w:rPr>
      </w:pPr>
      <w:r w:rsidRPr="00851B1C">
        <w:rPr>
          <w:rStyle w:val="Znakapoznpodarou"/>
          <w:rFonts w:cs="Arial"/>
          <w:color w:val="0D0D0D" w:themeColor="text1" w:themeTint="F2"/>
          <w:spacing w:val="-2"/>
          <w:sz w:val="16"/>
          <w:szCs w:val="16"/>
          <w:lang w:val="en-GB"/>
        </w:rPr>
        <w:footnoteRef/>
      </w:r>
      <w:r w:rsidRPr="00851B1C">
        <w:rPr>
          <w:rFonts w:cs="Arial"/>
          <w:color w:val="0D0D0D" w:themeColor="text1" w:themeTint="F2"/>
          <w:spacing w:val="-2"/>
          <w:sz w:val="16"/>
          <w:szCs w:val="16"/>
          <w:lang w:val="en-GB"/>
        </w:rPr>
        <w:t xml:space="preserve"> </w:t>
      </w:r>
      <w:r>
        <w:rPr>
          <w:rFonts w:cs="Arial"/>
          <w:color w:val="0D0D0D" w:themeColor="text1" w:themeTint="F2"/>
          <w:spacing w:val="-2"/>
          <w:sz w:val="16"/>
          <w:szCs w:val="16"/>
          <w:lang w:val="en-GB"/>
        </w:rPr>
        <w:t>Contain p</w:t>
      </w:r>
      <w:r w:rsidRPr="00DF4E3C">
        <w:rPr>
          <w:sz w:val="16"/>
          <w:szCs w:val="16"/>
          <w:lang w:val="en-GB"/>
        </w:rPr>
        <w:t xml:space="preserve">ublic administration, education, health and social work. </w:t>
      </w:r>
    </w:p>
  </w:footnote>
  <w:footnote w:id="7">
    <w:p w14:paraId="2008F199" w14:textId="77777777" w:rsidR="00C2211E" w:rsidRPr="00851B1C" w:rsidRDefault="00C2211E" w:rsidP="00C2211E">
      <w:pPr>
        <w:pStyle w:val="Textpoznpodarou"/>
        <w:jc w:val="both"/>
        <w:rPr>
          <w:rFonts w:cs="Arial"/>
          <w:color w:val="0D0D0D" w:themeColor="text1" w:themeTint="F2"/>
          <w:spacing w:val="-2"/>
          <w:sz w:val="16"/>
          <w:szCs w:val="16"/>
          <w:lang w:val="en-GB"/>
        </w:rPr>
      </w:pPr>
      <w:r w:rsidRPr="00851B1C">
        <w:rPr>
          <w:rStyle w:val="Znakapoznpodarou"/>
          <w:rFonts w:cs="Arial"/>
          <w:color w:val="0D0D0D" w:themeColor="text1" w:themeTint="F2"/>
          <w:spacing w:val="-2"/>
          <w:sz w:val="16"/>
          <w:szCs w:val="16"/>
          <w:lang w:val="en-GB"/>
        </w:rPr>
        <w:footnoteRef/>
      </w:r>
      <w:r>
        <w:rPr>
          <w:rFonts w:cs="Arial"/>
          <w:color w:val="0D0D0D" w:themeColor="text1" w:themeTint="F2"/>
          <w:spacing w:val="-2"/>
          <w:sz w:val="16"/>
          <w:szCs w:val="16"/>
          <w:lang w:val="en-GB"/>
        </w:rPr>
        <w:t xml:space="preserve"> </w:t>
      </w:r>
      <w:r w:rsidRPr="00973752">
        <w:rPr>
          <w:rFonts w:cs="Arial"/>
          <w:color w:val="0D0D0D" w:themeColor="text1" w:themeTint="F2"/>
          <w:spacing w:val="-2"/>
          <w:sz w:val="16"/>
          <w:szCs w:val="16"/>
          <w:lang w:val="en-GB"/>
        </w:rPr>
        <w:t>Includes branches of mining and quarrying, manufacturing and also energetics (here as activities of production and distribution of electricity, gas, heat and air conditioning supply). All yea</w:t>
      </w:r>
      <w:r>
        <w:rPr>
          <w:rFonts w:cs="Arial"/>
          <w:color w:val="0D0D0D" w:themeColor="text1" w:themeTint="F2"/>
          <w:spacing w:val="-2"/>
          <w:sz w:val="16"/>
          <w:szCs w:val="16"/>
          <w:lang w:val="en-GB"/>
        </w:rPr>
        <w:t>r-</w:t>
      </w:r>
      <w:r w:rsidRPr="00973752">
        <w:rPr>
          <w:rFonts w:cs="Arial"/>
          <w:color w:val="0D0D0D" w:themeColor="text1" w:themeTint="F2"/>
          <w:spacing w:val="-2"/>
          <w:sz w:val="16"/>
          <w:szCs w:val="16"/>
          <w:lang w:val="en-GB"/>
        </w:rPr>
        <w:t>on-year rates of growth of</w:t>
      </w:r>
      <w:r>
        <w:rPr>
          <w:rFonts w:cs="Arial"/>
          <w:color w:val="0D0D0D" w:themeColor="text1" w:themeTint="F2"/>
          <w:spacing w:val="-2"/>
          <w:sz w:val="16"/>
          <w:szCs w:val="16"/>
          <w:lang w:val="en-GB"/>
        </w:rPr>
        <w:t xml:space="preserve"> </w:t>
      </w:r>
      <w:r w:rsidRPr="00973752">
        <w:rPr>
          <w:rFonts w:cs="Arial"/>
          <w:color w:val="0D0D0D" w:themeColor="text1" w:themeTint="F2"/>
          <w:spacing w:val="-2"/>
          <w:sz w:val="16"/>
          <w:szCs w:val="16"/>
          <w:lang w:val="en-GB"/>
        </w:rPr>
        <w:t>output (at the level of branch sections as well as divi</w:t>
      </w:r>
      <w:r>
        <w:rPr>
          <w:rFonts w:cs="Arial"/>
          <w:color w:val="0D0D0D" w:themeColor="text1" w:themeTint="F2"/>
          <w:spacing w:val="-2"/>
          <w:sz w:val="16"/>
          <w:szCs w:val="16"/>
          <w:lang w:val="en-GB"/>
        </w:rPr>
        <w:t>s</w:t>
      </w:r>
      <w:r w:rsidRPr="00973752">
        <w:rPr>
          <w:rFonts w:cs="Arial"/>
          <w:color w:val="0D0D0D" w:themeColor="text1" w:themeTint="F2"/>
          <w:spacing w:val="-2"/>
          <w:sz w:val="16"/>
          <w:szCs w:val="16"/>
          <w:lang w:val="en-GB"/>
        </w:rPr>
        <w:t xml:space="preserve">ions) are adjusted for calendar effects, </w:t>
      </w:r>
      <w:r>
        <w:rPr>
          <w:rFonts w:cs="Arial"/>
          <w:color w:val="0D0D0D" w:themeColor="text1" w:themeTint="F2"/>
          <w:spacing w:val="-2"/>
          <w:sz w:val="16"/>
          <w:szCs w:val="16"/>
          <w:lang w:val="en-GB"/>
        </w:rPr>
        <w:t xml:space="preserve">both </w:t>
      </w:r>
      <w:r w:rsidRPr="00973752">
        <w:rPr>
          <w:rFonts w:cs="Arial"/>
          <w:color w:val="0D0D0D" w:themeColor="text1" w:themeTint="F2"/>
          <w:spacing w:val="-2"/>
          <w:sz w:val="16"/>
          <w:szCs w:val="16"/>
          <w:lang w:val="en-GB"/>
        </w:rPr>
        <w:t>quarter-on-q</w:t>
      </w:r>
      <w:r>
        <w:rPr>
          <w:rFonts w:cs="Arial"/>
          <w:color w:val="0D0D0D" w:themeColor="text1" w:themeTint="F2"/>
          <w:spacing w:val="-2"/>
          <w:sz w:val="16"/>
          <w:szCs w:val="16"/>
          <w:lang w:val="en-GB"/>
        </w:rPr>
        <w:t>uarter and month-on-month</w:t>
      </w:r>
      <w:r w:rsidRPr="00973752">
        <w:rPr>
          <w:rFonts w:cs="Arial"/>
          <w:color w:val="0D0D0D" w:themeColor="text1" w:themeTint="F2"/>
          <w:spacing w:val="-2"/>
          <w:sz w:val="16"/>
          <w:szCs w:val="16"/>
          <w:lang w:val="en-GB"/>
        </w:rPr>
        <w:t xml:space="preserve"> rates then also for seasonal effects.</w:t>
      </w:r>
    </w:p>
  </w:footnote>
  <w:footnote w:id="8">
    <w:p w14:paraId="12292BE3" w14:textId="7887ECE3" w:rsidR="00C2211E" w:rsidRPr="00851B1C" w:rsidRDefault="00C2211E" w:rsidP="00C2211E">
      <w:pPr>
        <w:pStyle w:val="Textpoznpodarou"/>
        <w:jc w:val="both"/>
        <w:rPr>
          <w:rFonts w:cs="Arial"/>
          <w:color w:val="0D0D0D" w:themeColor="text1" w:themeTint="F2"/>
          <w:spacing w:val="-2"/>
          <w:sz w:val="16"/>
          <w:szCs w:val="16"/>
          <w:lang w:val="en-GB"/>
        </w:rPr>
      </w:pPr>
      <w:r w:rsidRPr="00851B1C">
        <w:rPr>
          <w:rStyle w:val="Znakapoznpodarou"/>
          <w:rFonts w:cs="Arial"/>
          <w:color w:val="0D0D0D" w:themeColor="text1" w:themeTint="F2"/>
          <w:spacing w:val="-2"/>
          <w:sz w:val="16"/>
          <w:szCs w:val="16"/>
          <w:lang w:val="en-GB"/>
        </w:rPr>
        <w:footnoteRef/>
      </w:r>
      <w:r w:rsidRPr="00851B1C">
        <w:rPr>
          <w:rFonts w:cs="Arial"/>
          <w:color w:val="0D0D0D" w:themeColor="text1" w:themeTint="F2"/>
          <w:spacing w:val="-2"/>
          <w:sz w:val="16"/>
          <w:szCs w:val="16"/>
          <w:lang w:val="en-GB"/>
        </w:rPr>
        <w:t xml:space="preserve"> </w:t>
      </w:r>
      <w:r>
        <w:rPr>
          <w:rFonts w:cs="Arial"/>
          <w:color w:val="0D0D0D" w:themeColor="text1" w:themeTint="F2"/>
          <w:spacing w:val="-2"/>
          <w:sz w:val="16"/>
          <w:szCs w:val="16"/>
          <w:lang w:val="en-GB"/>
        </w:rPr>
        <w:t>Shallow quarter-on-quarter decrease of industrial production in the CR occurred already in Q</w:t>
      </w:r>
      <w:r w:rsidRPr="00851B1C">
        <w:rPr>
          <w:rFonts w:cs="Arial"/>
          <w:color w:val="0D0D0D" w:themeColor="text1" w:themeTint="F2"/>
          <w:spacing w:val="-2"/>
          <w:sz w:val="16"/>
          <w:szCs w:val="16"/>
          <w:lang w:val="en-GB"/>
        </w:rPr>
        <w:t>3</w:t>
      </w:r>
      <w:r>
        <w:rPr>
          <w:rFonts w:cs="Arial"/>
          <w:color w:val="0D0D0D" w:themeColor="text1" w:themeTint="F2"/>
          <w:spacing w:val="-2"/>
          <w:sz w:val="16"/>
          <w:szCs w:val="16"/>
          <w:lang w:val="en-GB"/>
        </w:rPr>
        <w:t xml:space="preserve"> and </w:t>
      </w:r>
      <w:r w:rsidR="00F3394D">
        <w:rPr>
          <w:rFonts w:cs="Arial"/>
          <w:color w:val="0D0D0D" w:themeColor="text1" w:themeTint="F2"/>
          <w:spacing w:val="-2"/>
          <w:sz w:val="16"/>
          <w:szCs w:val="16"/>
          <w:lang w:val="en-GB"/>
        </w:rPr>
        <w:t>Q</w:t>
      </w:r>
      <w:r w:rsidRPr="00851B1C">
        <w:rPr>
          <w:rFonts w:cs="Arial"/>
          <w:color w:val="0D0D0D" w:themeColor="text1" w:themeTint="F2"/>
          <w:spacing w:val="-2"/>
          <w:sz w:val="16"/>
          <w:szCs w:val="16"/>
          <w:lang w:val="en-GB"/>
        </w:rPr>
        <w:t>4</w:t>
      </w:r>
      <w:r>
        <w:rPr>
          <w:rFonts w:cs="Arial"/>
          <w:color w:val="0D0D0D" w:themeColor="text1" w:themeTint="F2"/>
          <w:spacing w:val="-2"/>
          <w:sz w:val="16"/>
          <w:szCs w:val="16"/>
          <w:lang w:val="en-GB"/>
        </w:rPr>
        <w:t xml:space="preserve"> </w:t>
      </w:r>
      <w:r w:rsidRPr="00851B1C">
        <w:rPr>
          <w:rFonts w:cs="Arial"/>
          <w:color w:val="0D0D0D" w:themeColor="text1" w:themeTint="F2"/>
          <w:spacing w:val="-2"/>
          <w:sz w:val="16"/>
          <w:szCs w:val="16"/>
          <w:lang w:val="en-GB"/>
        </w:rPr>
        <w:t>2019 (</w:t>
      </w:r>
      <w:r w:rsidRPr="00851B1C">
        <w:rPr>
          <w:rFonts w:cs="Arial"/>
          <w:color w:val="0D0D0D" w:themeColor="text1" w:themeTint="F2"/>
          <w:spacing w:val="-3"/>
          <w:sz w:val="16"/>
          <w:szCs w:val="16"/>
          <w:lang w:val="en-GB"/>
        </w:rPr>
        <w:t>–</w:t>
      </w:r>
      <w:r w:rsidRPr="00851B1C">
        <w:rPr>
          <w:rFonts w:cs="Arial"/>
          <w:color w:val="0D0D0D" w:themeColor="text1" w:themeTint="F2"/>
          <w:spacing w:val="-2"/>
          <w:sz w:val="16"/>
          <w:szCs w:val="16"/>
          <w:lang w:val="en-GB"/>
        </w:rPr>
        <w:t>1</w:t>
      </w:r>
      <w:r>
        <w:rPr>
          <w:rFonts w:cs="Arial"/>
          <w:color w:val="0D0D0D" w:themeColor="text1" w:themeTint="F2"/>
          <w:spacing w:val="-2"/>
          <w:sz w:val="16"/>
          <w:szCs w:val="16"/>
          <w:lang w:val="en-GB"/>
        </w:rPr>
        <w:t>.</w:t>
      </w:r>
      <w:r w:rsidRPr="00851B1C">
        <w:rPr>
          <w:rFonts w:cs="Arial"/>
          <w:color w:val="0D0D0D" w:themeColor="text1" w:themeTint="F2"/>
          <w:spacing w:val="-2"/>
          <w:sz w:val="16"/>
          <w:szCs w:val="16"/>
          <w:lang w:val="en-GB"/>
        </w:rPr>
        <w:t>6% a</w:t>
      </w:r>
      <w:r>
        <w:rPr>
          <w:rFonts w:cs="Arial"/>
          <w:color w:val="0D0D0D" w:themeColor="text1" w:themeTint="F2"/>
          <w:spacing w:val="-2"/>
          <w:sz w:val="16"/>
          <w:szCs w:val="16"/>
          <w:lang w:val="en-GB"/>
        </w:rPr>
        <w:t>nd</w:t>
      </w:r>
      <w:r w:rsidRPr="00851B1C">
        <w:rPr>
          <w:rFonts w:cs="Arial"/>
          <w:color w:val="0D0D0D" w:themeColor="text1" w:themeTint="F2"/>
          <w:spacing w:val="-2"/>
          <w:sz w:val="16"/>
          <w:szCs w:val="16"/>
          <w:lang w:val="en-GB"/>
        </w:rPr>
        <w:t> </w:t>
      </w:r>
      <w:r w:rsidRPr="00851B1C">
        <w:rPr>
          <w:rFonts w:cs="Arial"/>
          <w:color w:val="0D0D0D" w:themeColor="text1" w:themeTint="F2"/>
          <w:spacing w:val="-3"/>
          <w:sz w:val="16"/>
          <w:szCs w:val="16"/>
          <w:lang w:val="en-GB"/>
        </w:rPr>
        <w:t>–</w:t>
      </w:r>
      <w:r w:rsidRPr="00851B1C">
        <w:rPr>
          <w:rFonts w:cs="Arial"/>
          <w:color w:val="0D0D0D" w:themeColor="text1" w:themeTint="F2"/>
          <w:spacing w:val="-2"/>
          <w:sz w:val="16"/>
          <w:szCs w:val="16"/>
          <w:lang w:val="en-GB"/>
        </w:rPr>
        <w:t>0</w:t>
      </w:r>
      <w:r>
        <w:rPr>
          <w:rFonts w:cs="Arial"/>
          <w:color w:val="0D0D0D" w:themeColor="text1" w:themeTint="F2"/>
          <w:spacing w:val="-2"/>
          <w:sz w:val="16"/>
          <w:szCs w:val="16"/>
          <w:lang w:val="en-GB"/>
        </w:rPr>
        <w:t>.</w:t>
      </w:r>
      <w:r w:rsidRPr="00851B1C">
        <w:rPr>
          <w:rFonts w:cs="Arial"/>
          <w:color w:val="0D0D0D" w:themeColor="text1" w:themeTint="F2"/>
          <w:spacing w:val="-2"/>
          <w:sz w:val="16"/>
          <w:szCs w:val="16"/>
          <w:lang w:val="en-GB"/>
        </w:rPr>
        <w:t xml:space="preserve">6%). </w:t>
      </w:r>
      <w:r>
        <w:rPr>
          <w:rFonts w:cs="Arial"/>
          <w:color w:val="0D0D0D" w:themeColor="text1" w:themeTint="F2"/>
          <w:spacing w:val="-2"/>
          <w:sz w:val="16"/>
          <w:szCs w:val="16"/>
          <w:lang w:val="en-GB"/>
        </w:rPr>
        <w:t xml:space="preserve">Since it was accompanied by the reduction of employment, the domestic industry fell into technical recession at the end of last year. </w:t>
      </w:r>
    </w:p>
  </w:footnote>
  <w:footnote w:id="9">
    <w:p w14:paraId="50856ADF" w14:textId="77777777" w:rsidR="00C2211E" w:rsidRPr="00575EF7" w:rsidRDefault="00C2211E" w:rsidP="00C2211E">
      <w:pPr>
        <w:pStyle w:val="Textpoznpodarou"/>
        <w:jc w:val="both"/>
        <w:rPr>
          <w:sz w:val="16"/>
          <w:szCs w:val="16"/>
          <w:lang w:val="en-GB"/>
        </w:rPr>
      </w:pPr>
      <w:r w:rsidRPr="005813A9">
        <w:rPr>
          <w:rStyle w:val="Znakapoznpodarou"/>
          <w:rFonts w:cs="Arial"/>
          <w:color w:val="0D0D0D" w:themeColor="text1" w:themeTint="F2"/>
          <w:sz w:val="16"/>
          <w:szCs w:val="16"/>
        </w:rPr>
        <w:footnoteRef/>
      </w:r>
      <w:r w:rsidRPr="005813A9">
        <w:rPr>
          <w:rFonts w:cs="Arial"/>
          <w:color w:val="0D0D0D" w:themeColor="text1" w:themeTint="F2"/>
          <w:sz w:val="16"/>
          <w:szCs w:val="16"/>
        </w:rPr>
        <w:t xml:space="preserve"> </w:t>
      </w:r>
      <w:r w:rsidRPr="00575EF7">
        <w:rPr>
          <w:rFonts w:cs="Arial"/>
          <w:color w:val="0D0D0D" w:themeColor="text1" w:themeTint="F2"/>
          <w:sz w:val="16"/>
          <w:szCs w:val="16"/>
          <w:lang w:val="en-GB"/>
        </w:rPr>
        <w:t>In 2009 even more significant downturn occurred, when the volume of fixed investment fell by 9.2% year-on-year and machinery output slumped by 28%.</w:t>
      </w:r>
    </w:p>
  </w:footnote>
  <w:footnote w:id="10">
    <w:p w14:paraId="2961CAD3" w14:textId="77777777" w:rsidR="00C2211E" w:rsidRPr="00531BC0" w:rsidRDefault="00C2211E" w:rsidP="00C2211E">
      <w:pPr>
        <w:pStyle w:val="Textpoznpodarou"/>
        <w:jc w:val="both"/>
        <w:rPr>
          <w:rFonts w:cs="Arial"/>
          <w:color w:val="0D0D0D" w:themeColor="text1" w:themeTint="F2"/>
          <w:spacing w:val="-2"/>
          <w:sz w:val="16"/>
          <w:szCs w:val="16"/>
          <w:lang w:val="en-GB"/>
        </w:rPr>
      </w:pPr>
      <w:r w:rsidRPr="007A20EB">
        <w:rPr>
          <w:rStyle w:val="Znakapoznpodarou"/>
          <w:rFonts w:cs="Arial"/>
          <w:color w:val="0D0D0D" w:themeColor="text1" w:themeTint="F2"/>
          <w:spacing w:val="-2"/>
          <w:sz w:val="16"/>
          <w:szCs w:val="16"/>
        </w:rPr>
        <w:footnoteRef/>
      </w:r>
      <w:r w:rsidRPr="007A20EB">
        <w:rPr>
          <w:rFonts w:cs="Arial"/>
          <w:color w:val="0D0D0D" w:themeColor="text1" w:themeTint="F2"/>
          <w:spacing w:val="-2"/>
          <w:sz w:val="16"/>
          <w:szCs w:val="16"/>
        </w:rPr>
        <w:t xml:space="preserve"> </w:t>
      </w:r>
      <w:r w:rsidRPr="00AE4E7F">
        <w:rPr>
          <w:rFonts w:cs="Arial"/>
          <w:color w:val="0D0D0D" w:themeColor="text1" w:themeTint="F2"/>
          <w:spacing w:val="-2"/>
          <w:sz w:val="16"/>
          <w:szCs w:val="16"/>
          <w:lang w:val="en-GB"/>
        </w:rPr>
        <w:t xml:space="preserve">Surveying of orders is ongoing only in selected CZ-NACE sections </w:t>
      </w:r>
      <w:r w:rsidRPr="00AE4E7F">
        <w:rPr>
          <w:rFonts w:cs="Arial"/>
          <w:color w:val="0D0D0D" w:themeColor="text1" w:themeTint="F2"/>
          <w:sz w:val="16"/>
          <w:szCs w:val="16"/>
          <w:lang w:val="en-GB"/>
        </w:rPr>
        <w:t>(13, 14, 17, 20, 21, 24, 25, 26, 27, 28, 29, 30), which manufacture</w:t>
      </w:r>
      <w:r>
        <w:rPr>
          <w:rFonts w:cs="Arial"/>
          <w:color w:val="0D0D0D" w:themeColor="text1" w:themeTint="F2"/>
          <w:sz w:val="16"/>
          <w:szCs w:val="16"/>
          <w:lang w:val="en-GB"/>
        </w:rPr>
        <w:t xml:space="preserve"> mostly custom-made products, with longer production cycle and larger stocks of orders. </w:t>
      </w:r>
      <w:r w:rsidRPr="00AE4E7F">
        <w:rPr>
          <w:rFonts w:cs="Arial"/>
          <w:color w:val="0D0D0D" w:themeColor="text1" w:themeTint="F2"/>
          <w:sz w:val="16"/>
          <w:szCs w:val="16"/>
          <w:lang w:val="en-GB"/>
        </w:rPr>
        <w:t xml:space="preserve"> </w:t>
      </w:r>
    </w:p>
  </w:footnote>
  <w:footnote w:id="11">
    <w:p w14:paraId="27AEC404" w14:textId="77777777" w:rsidR="00C2211E" w:rsidRPr="00531BC0" w:rsidRDefault="00C2211E" w:rsidP="00C2211E">
      <w:pPr>
        <w:pStyle w:val="Textpoznpodarou"/>
        <w:jc w:val="both"/>
        <w:rPr>
          <w:rFonts w:cs="Arial"/>
          <w:color w:val="0D0D0D" w:themeColor="text1" w:themeTint="F2"/>
          <w:spacing w:val="-2"/>
          <w:sz w:val="16"/>
          <w:szCs w:val="16"/>
          <w:lang w:val="en-GB"/>
        </w:rPr>
      </w:pPr>
      <w:r w:rsidRPr="00531BC0">
        <w:rPr>
          <w:rStyle w:val="Znakapoznpodarou"/>
          <w:rFonts w:cs="Arial"/>
          <w:color w:val="0D0D0D" w:themeColor="text1" w:themeTint="F2"/>
          <w:spacing w:val="-2"/>
          <w:sz w:val="16"/>
          <w:szCs w:val="16"/>
          <w:lang w:val="en-GB"/>
        </w:rPr>
        <w:footnoteRef/>
      </w:r>
      <w:r w:rsidRPr="00531BC0">
        <w:rPr>
          <w:rFonts w:cs="Arial"/>
          <w:color w:val="0D0D0D" w:themeColor="text1" w:themeTint="F2"/>
          <w:spacing w:val="-2"/>
          <w:sz w:val="16"/>
          <w:szCs w:val="16"/>
          <w:lang w:val="en-GB"/>
        </w:rPr>
        <w:t xml:space="preserve"> Businesses could have stated more main barriers simultaneously. All data from business cycle surveys are seasonally adjusted. </w:t>
      </w:r>
    </w:p>
  </w:footnote>
  <w:footnote w:id="12">
    <w:p w14:paraId="76A28C3D" w14:textId="77777777" w:rsidR="00C2211E" w:rsidRPr="00763C9F" w:rsidRDefault="00C2211E" w:rsidP="00C2211E">
      <w:pPr>
        <w:pStyle w:val="Textpoznpodarou"/>
        <w:jc w:val="both"/>
        <w:rPr>
          <w:spacing w:val="-4"/>
          <w:sz w:val="16"/>
          <w:szCs w:val="16"/>
          <w:lang w:val="en-GB"/>
        </w:rPr>
      </w:pPr>
      <w:r w:rsidRPr="005813A9">
        <w:rPr>
          <w:rStyle w:val="Znakapoznpodarou"/>
          <w:rFonts w:cs="Arial"/>
          <w:color w:val="0D0D0D" w:themeColor="text1" w:themeTint="F2"/>
          <w:spacing w:val="-2"/>
          <w:sz w:val="16"/>
          <w:szCs w:val="16"/>
        </w:rPr>
        <w:footnoteRef/>
      </w:r>
      <w:r>
        <w:rPr>
          <w:rFonts w:cs="Arial"/>
          <w:color w:val="0D0D0D" w:themeColor="text1" w:themeTint="F2"/>
          <w:spacing w:val="-2"/>
          <w:sz w:val="16"/>
          <w:szCs w:val="16"/>
        </w:rPr>
        <w:t xml:space="preserve"> </w:t>
      </w:r>
      <w:r w:rsidRPr="00763C9F">
        <w:rPr>
          <w:rFonts w:cs="Arial"/>
          <w:color w:val="0D0D0D" w:themeColor="text1" w:themeTint="F2"/>
          <w:spacing w:val="-2"/>
          <w:sz w:val="16"/>
          <w:szCs w:val="16"/>
          <w:lang w:val="en-GB"/>
        </w:rPr>
        <w:t xml:space="preserve">All year-on-year data regarding the construction output are adjusted for calendar effects, quarter-on-quarter as well as month-on-month rates of growth then also for seasonality effect. </w:t>
      </w:r>
    </w:p>
  </w:footnote>
  <w:footnote w:id="13">
    <w:p w14:paraId="54EB089B" w14:textId="77777777" w:rsidR="00C2211E" w:rsidRPr="00DE3CA3" w:rsidRDefault="00C2211E" w:rsidP="00C2211E">
      <w:pPr>
        <w:pStyle w:val="Textpoznpodarou"/>
        <w:jc w:val="both"/>
        <w:rPr>
          <w:spacing w:val="-4"/>
          <w:sz w:val="16"/>
          <w:szCs w:val="16"/>
          <w:lang w:val="en-GB"/>
        </w:rPr>
      </w:pPr>
      <w:r w:rsidRPr="005813A9">
        <w:rPr>
          <w:rStyle w:val="Znakapoznpodarou"/>
          <w:rFonts w:cs="Arial"/>
          <w:color w:val="0D0D0D" w:themeColor="text1" w:themeTint="F2"/>
          <w:spacing w:val="-2"/>
          <w:sz w:val="16"/>
          <w:szCs w:val="16"/>
        </w:rPr>
        <w:footnoteRef/>
      </w:r>
      <w:r>
        <w:rPr>
          <w:rFonts w:cs="Arial"/>
          <w:color w:val="0D0D0D" w:themeColor="text1" w:themeTint="F2"/>
          <w:spacing w:val="-2"/>
          <w:sz w:val="16"/>
          <w:szCs w:val="16"/>
        </w:rPr>
        <w:t xml:space="preserve"> </w:t>
      </w:r>
      <w:r w:rsidRPr="00DE3CA3">
        <w:rPr>
          <w:rFonts w:cs="Arial"/>
          <w:color w:val="0D0D0D" w:themeColor="text1" w:themeTint="F2"/>
          <w:spacing w:val="-2"/>
          <w:sz w:val="16"/>
          <w:szCs w:val="16"/>
          <w:lang w:val="en-GB"/>
        </w:rPr>
        <w:t>Construction firms that have work ensured on average for the ten months</w:t>
      </w:r>
      <w:r>
        <w:rPr>
          <w:rFonts w:cs="Arial"/>
          <w:color w:val="0D0D0D" w:themeColor="text1" w:themeTint="F2"/>
          <w:spacing w:val="-2"/>
          <w:sz w:val="16"/>
          <w:szCs w:val="16"/>
          <w:lang w:val="en-GB"/>
        </w:rPr>
        <w:t xml:space="preserve"> ahead</w:t>
      </w:r>
      <w:r w:rsidRPr="00DE3CA3">
        <w:rPr>
          <w:rFonts w:cs="Arial"/>
          <w:color w:val="0D0D0D" w:themeColor="text1" w:themeTint="F2"/>
          <w:spacing w:val="-2"/>
          <w:sz w:val="16"/>
          <w:szCs w:val="16"/>
          <w:lang w:val="en-GB"/>
        </w:rPr>
        <w:t xml:space="preserve">. </w:t>
      </w:r>
    </w:p>
  </w:footnote>
  <w:footnote w:id="14">
    <w:p w14:paraId="57B5F34E" w14:textId="77777777" w:rsidR="00C2211E" w:rsidRPr="00301F37" w:rsidRDefault="00C2211E" w:rsidP="00C2211E">
      <w:pPr>
        <w:spacing w:after="0" w:line="240" w:lineRule="auto"/>
        <w:rPr>
          <w:lang w:val="en-GB"/>
        </w:rPr>
      </w:pPr>
      <w:r w:rsidRPr="004A26AF">
        <w:rPr>
          <w:rStyle w:val="Znakapoznpodarou"/>
          <w:color w:val="0D0D0D" w:themeColor="text1" w:themeTint="F2"/>
          <w:sz w:val="16"/>
          <w:szCs w:val="16"/>
        </w:rPr>
        <w:footnoteRef/>
      </w:r>
      <w:r>
        <w:rPr>
          <w:color w:val="0D0D0D" w:themeColor="text1" w:themeTint="F2"/>
          <w:sz w:val="16"/>
          <w:szCs w:val="16"/>
        </w:rPr>
        <w:t xml:space="preserve"> </w:t>
      </w:r>
      <w:r w:rsidRPr="00301F37">
        <w:rPr>
          <w:color w:val="0D0D0D" w:themeColor="text1" w:themeTint="F2"/>
          <w:sz w:val="16"/>
          <w:szCs w:val="16"/>
          <w:lang w:val="en-GB"/>
        </w:rPr>
        <w:t xml:space="preserve">Greece, Italy and Cyprus were not assessed for the reason of absence of current figures. </w:t>
      </w:r>
    </w:p>
  </w:footnote>
  <w:footnote w:id="15">
    <w:p w14:paraId="7A43DEBC" w14:textId="77777777" w:rsidR="00C2211E" w:rsidRPr="00301F37" w:rsidRDefault="00C2211E" w:rsidP="00C2211E">
      <w:pPr>
        <w:spacing w:after="0" w:line="240" w:lineRule="auto"/>
        <w:rPr>
          <w:lang w:val="en-GB"/>
        </w:rPr>
      </w:pPr>
      <w:r w:rsidRPr="00301F37">
        <w:rPr>
          <w:rStyle w:val="Znakapoznpodarou"/>
          <w:color w:val="0D0D0D" w:themeColor="text1" w:themeTint="F2"/>
          <w:sz w:val="16"/>
          <w:szCs w:val="16"/>
          <w:lang w:val="en-GB"/>
        </w:rPr>
        <w:footnoteRef/>
      </w:r>
      <w:r w:rsidRPr="00301F37">
        <w:rPr>
          <w:color w:val="0D0D0D" w:themeColor="text1" w:themeTint="F2"/>
          <w:sz w:val="16"/>
          <w:szCs w:val="16"/>
          <w:lang w:val="en-GB"/>
        </w:rPr>
        <w:t xml:space="preserve"> Without branches trade, financial activities, insurance activities, science, research and public services</w:t>
      </w:r>
      <w:r>
        <w:rPr>
          <w:color w:val="0D0D0D" w:themeColor="text1" w:themeTint="F2"/>
          <w:sz w:val="16"/>
          <w:szCs w:val="16"/>
          <w:lang w:val="en-GB"/>
        </w:rPr>
        <w:t xml:space="preserve">. All data for services are in constant prices, year-on-year data are adjusted for calendar effects, quarter-on-quarter and month-on-month data are adjusted for seasonal effects (including the number of working days). </w:t>
      </w:r>
    </w:p>
  </w:footnote>
  <w:footnote w:id="16">
    <w:p w14:paraId="18C4C59D" w14:textId="77777777" w:rsidR="00C2211E" w:rsidRPr="00EF0B27" w:rsidRDefault="00C2211E" w:rsidP="00C2211E">
      <w:pPr>
        <w:pStyle w:val="Textpoznpodarou"/>
        <w:jc w:val="both"/>
        <w:rPr>
          <w:color w:val="0D0D0D" w:themeColor="text1" w:themeTint="F2"/>
          <w:spacing w:val="-2"/>
          <w:sz w:val="16"/>
          <w:szCs w:val="16"/>
          <w:lang w:val="en-GB"/>
        </w:rPr>
      </w:pPr>
      <w:r w:rsidRPr="000F615E">
        <w:rPr>
          <w:rStyle w:val="Znakapoznpodarou"/>
          <w:rFonts w:cs="Arial"/>
          <w:color w:val="0D0D0D" w:themeColor="text1" w:themeTint="F2"/>
          <w:spacing w:val="-2"/>
          <w:sz w:val="16"/>
          <w:szCs w:val="16"/>
        </w:rPr>
        <w:footnoteRef/>
      </w:r>
      <w:r>
        <w:rPr>
          <w:sz w:val="16"/>
          <w:szCs w:val="16"/>
          <w:lang w:val="en-GB"/>
        </w:rPr>
        <w:t xml:space="preserve"> </w:t>
      </w:r>
      <w:r w:rsidRPr="00EF0B27">
        <w:rPr>
          <w:sz w:val="16"/>
          <w:szCs w:val="16"/>
          <w:lang w:val="en-GB"/>
        </w:rPr>
        <w:t xml:space="preserve">According to the Union of motion picture distributors, the sales from entrance fees in the cinemas in the CR decreased by 56% year-on-year in H1 2020. It was consequence of several weeks’ interruption of the cinemas operations and later also the limited offer of motion pictures. The number of visitors was lower nearly by one half - to 709 thousand year-on-year even in July </w:t>
      </w:r>
      <w:r w:rsidRPr="00EF0B27">
        <w:rPr>
          <w:color w:val="0D0D0D" w:themeColor="text1" w:themeTint="F2"/>
          <w:spacing w:val="-2"/>
          <w:sz w:val="16"/>
          <w:szCs w:val="16"/>
          <w:lang w:val="en-GB"/>
        </w:rPr>
        <w:t>(lower July figure was last recorded in 2000).</w:t>
      </w:r>
    </w:p>
  </w:footnote>
  <w:footnote w:id="17">
    <w:p w14:paraId="4FDDE07D" w14:textId="77777777" w:rsidR="00C2211E" w:rsidRPr="008D37BF" w:rsidRDefault="00C2211E" w:rsidP="00C2211E">
      <w:pPr>
        <w:spacing w:after="0" w:line="240" w:lineRule="auto"/>
        <w:rPr>
          <w:color w:val="0D0D0D" w:themeColor="text1" w:themeTint="F2"/>
          <w:sz w:val="16"/>
          <w:szCs w:val="16"/>
          <w:lang w:val="en-GB"/>
        </w:rPr>
      </w:pPr>
      <w:r w:rsidRPr="004A26AF">
        <w:rPr>
          <w:rStyle w:val="Znakapoznpodarou"/>
          <w:color w:val="0D0D0D" w:themeColor="text1" w:themeTint="F2"/>
          <w:sz w:val="16"/>
          <w:szCs w:val="16"/>
        </w:rPr>
        <w:footnoteRef/>
      </w:r>
      <w:r>
        <w:rPr>
          <w:color w:val="0D0D0D" w:themeColor="text1" w:themeTint="F2"/>
          <w:sz w:val="16"/>
          <w:szCs w:val="16"/>
        </w:rPr>
        <w:t xml:space="preserve"> </w:t>
      </w:r>
      <w:r w:rsidRPr="008D37BF">
        <w:rPr>
          <w:color w:val="0D0D0D" w:themeColor="text1" w:themeTint="F2"/>
          <w:spacing w:val="-3"/>
          <w:sz w:val="16"/>
          <w:szCs w:val="16"/>
          <w:lang w:val="en-GB"/>
        </w:rPr>
        <w:t>The number of overnight stays of non-residents in mass accommodation facilities decreased by 54% in the CR this year compared to H1 2019</w:t>
      </w:r>
      <w:r w:rsidRPr="008D37BF">
        <w:rPr>
          <w:rFonts w:eastAsia="Calibri"/>
          <w:sz w:val="16"/>
          <w:szCs w:val="16"/>
          <w:lang w:val="en-GB"/>
        </w:rPr>
        <w:t xml:space="preserve">, for non-resident tourists even by 64%. The fallout was for the most part blanket, both from the view of the type of facility and the region of accommodation. Even after easing most of the barriers connected to the across the border movement of persons, the arrival tourism in the CR remained to a large extent paralyzed. The year-on-year decrease of all overnight stays was </w:t>
      </w:r>
      <w:r w:rsidRPr="008D37BF">
        <w:rPr>
          <w:color w:val="0D0D0D" w:themeColor="text1" w:themeTint="F2"/>
          <w:sz w:val="16"/>
          <w:szCs w:val="16"/>
          <w:lang w:val="en-GB"/>
        </w:rPr>
        <w:t>60% in June, in that 90% for foreign visitors.</w:t>
      </w:r>
    </w:p>
  </w:footnote>
  <w:footnote w:id="18">
    <w:p w14:paraId="0DFA0E0E" w14:textId="77777777" w:rsidR="00C2211E" w:rsidRPr="008D37BF" w:rsidRDefault="00C2211E" w:rsidP="00C2211E">
      <w:pPr>
        <w:spacing w:after="0" w:line="240" w:lineRule="auto"/>
        <w:rPr>
          <w:lang w:val="en-GB"/>
        </w:rPr>
      </w:pPr>
      <w:r w:rsidRPr="008D37BF">
        <w:rPr>
          <w:rStyle w:val="Znakapoznpodarou"/>
          <w:color w:val="0D0D0D" w:themeColor="text1" w:themeTint="F2"/>
          <w:sz w:val="16"/>
          <w:szCs w:val="16"/>
          <w:lang w:val="en-GB"/>
        </w:rPr>
        <w:footnoteRef/>
      </w:r>
      <w:r w:rsidRPr="008D37BF">
        <w:rPr>
          <w:color w:val="0D0D0D" w:themeColor="text1" w:themeTint="F2"/>
          <w:sz w:val="16"/>
          <w:szCs w:val="16"/>
          <w:lang w:val="en-GB"/>
        </w:rPr>
        <w:t xml:space="preserve"> </w:t>
      </w:r>
      <w:r>
        <w:rPr>
          <w:color w:val="0D0D0D" w:themeColor="text1" w:themeTint="F2"/>
          <w:sz w:val="16"/>
          <w:szCs w:val="16"/>
          <w:lang w:val="en-GB"/>
        </w:rPr>
        <w:t>All year-on-year rates of growth of retail sales are stated in constant prices and adjusted for calendar effects (including the number of working days</w:t>
      </w:r>
      <w:r w:rsidRPr="008D37BF">
        <w:rPr>
          <w:color w:val="0D0D0D" w:themeColor="text1" w:themeTint="F2"/>
          <w:sz w:val="16"/>
          <w:szCs w:val="16"/>
          <w:lang w:val="en-GB"/>
        </w:rPr>
        <w:t>).</w:t>
      </w:r>
      <w:r>
        <w:rPr>
          <w:color w:val="0D0D0D" w:themeColor="text1" w:themeTint="F2"/>
          <w:sz w:val="16"/>
          <w:szCs w:val="16"/>
          <w:lang w:val="en-GB"/>
        </w:rPr>
        <w:t xml:space="preserve"> Retail includes branches </w:t>
      </w:r>
      <w:r w:rsidRPr="008D37BF">
        <w:rPr>
          <w:color w:val="0D0D0D" w:themeColor="text1" w:themeTint="F2"/>
          <w:sz w:val="16"/>
          <w:szCs w:val="16"/>
          <w:lang w:val="en-GB"/>
        </w:rPr>
        <w:t>CZ</w:t>
      </w:r>
      <w:r w:rsidRPr="008D37BF">
        <w:rPr>
          <w:color w:val="0D0D0D" w:themeColor="text1" w:themeTint="F2"/>
          <w:sz w:val="16"/>
          <w:szCs w:val="16"/>
          <w:lang w:val="en-GB"/>
        </w:rPr>
        <w:noBreakHyphen/>
        <w:t>NACE 47.</w:t>
      </w:r>
    </w:p>
  </w:footnote>
  <w:footnote w:id="19">
    <w:p w14:paraId="4CF9DF1D" w14:textId="77777777" w:rsidR="00C2211E" w:rsidRPr="008D37BF" w:rsidRDefault="00C2211E" w:rsidP="00C2211E">
      <w:pPr>
        <w:spacing w:after="0" w:line="240" w:lineRule="auto"/>
        <w:rPr>
          <w:lang w:val="en-GB"/>
        </w:rPr>
      </w:pPr>
      <w:r w:rsidRPr="008D37BF">
        <w:rPr>
          <w:rStyle w:val="Znakapoznpodarou"/>
          <w:color w:val="0D0D0D" w:themeColor="text1" w:themeTint="F2"/>
          <w:sz w:val="16"/>
          <w:szCs w:val="16"/>
          <w:lang w:val="en-GB"/>
        </w:rPr>
        <w:footnoteRef/>
      </w:r>
      <w:r w:rsidRPr="008D37BF">
        <w:rPr>
          <w:color w:val="0D0D0D" w:themeColor="text1" w:themeTint="F2"/>
          <w:sz w:val="16"/>
          <w:szCs w:val="16"/>
          <w:lang w:val="en-GB"/>
        </w:rPr>
        <w:t xml:space="preserve"> </w:t>
      </w:r>
      <w:r>
        <w:rPr>
          <w:color w:val="0D0D0D" w:themeColor="text1" w:themeTint="F2"/>
          <w:sz w:val="16"/>
          <w:szCs w:val="16"/>
          <w:lang w:val="en-GB"/>
        </w:rPr>
        <w:t xml:space="preserve">Retail sales slumped by </w:t>
      </w:r>
      <w:r w:rsidRPr="008D37BF">
        <w:rPr>
          <w:color w:val="0D0D0D" w:themeColor="text1" w:themeTint="F2"/>
          <w:sz w:val="16"/>
          <w:szCs w:val="16"/>
          <w:lang w:val="en-GB"/>
        </w:rPr>
        <w:t>10</w:t>
      </w:r>
      <w:r>
        <w:rPr>
          <w:color w:val="0D0D0D" w:themeColor="text1" w:themeTint="F2"/>
          <w:sz w:val="16"/>
          <w:szCs w:val="16"/>
          <w:lang w:val="en-GB"/>
        </w:rPr>
        <w:t>.</w:t>
      </w:r>
      <w:r w:rsidRPr="008D37BF">
        <w:rPr>
          <w:color w:val="0D0D0D" w:themeColor="text1" w:themeTint="F2"/>
          <w:sz w:val="16"/>
          <w:szCs w:val="16"/>
          <w:lang w:val="en-GB"/>
        </w:rPr>
        <w:t>5%</w:t>
      </w:r>
      <w:r>
        <w:rPr>
          <w:color w:val="0D0D0D" w:themeColor="text1" w:themeTint="F2"/>
          <w:sz w:val="16"/>
          <w:szCs w:val="16"/>
          <w:lang w:val="en-GB"/>
        </w:rPr>
        <w:t xml:space="preserve"> month-on-month in March</w:t>
      </w:r>
      <w:r w:rsidRPr="008D37BF">
        <w:rPr>
          <w:color w:val="0D0D0D" w:themeColor="text1" w:themeTint="F2"/>
          <w:sz w:val="16"/>
          <w:szCs w:val="16"/>
          <w:lang w:val="en-GB"/>
        </w:rPr>
        <w:t>,</w:t>
      </w:r>
      <w:r>
        <w:rPr>
          <w:color w:val="0D0D0D" w:themeColor="text1" w:themeTint="F2"/>
          <w:sz w:val="16"/>
          <w:szCs w:val="16"/>
          <w:lang w:val="en-GB"/>
        </w:rPr>
        <w:t xml:space="preserve"> by further </w:t>
      </w:r>
      <w:r w:rsidRPr="008D37BF">
        <w:rPr>
          <w:color w:val="0D0D0D" w:themeColor="text1" w:themeTint="F2"/>
          <w:sz w:val="16"/>
          <w:szCs w:val="16"/>
          <w:lang w:val="en-GB"/>
        </w:rPr>
        <w:t>1</w:t>
      </w:r>
      <w:r>
        <w:rPr>
          <w:color w:val="0D0D0D" w:themeColor="text1" w:themeTint="F2"/>
          <w:sz w:val="16"/>
          <w:szCs w:val="16"/>
          <w:lang w:val="en-GB"/>
        </w:rPr>
        <w:t>.</w:t>
      </w:r>
      <w:r w:rsidRPr="008D37BF">
        <w:rPr>
          <w:color w:val="0D0D0D" w:themeColor="text1" w:themeTint="F2"/>
          <w:sz w:val="16"/>
          <w:szCs w:val="16"/>
          <w:lang w:val="en-GB"/>
        </w:rPr>
        <w:t>8%</w:t>
      </w:r>
      <w:r>
        <w:rPr>
          <w:color w:val="0D0D0D" w:themeColor="text1" w:themeTint="F2"/>
          <w:sz w:val="16"/>
          <w:szCs w:val="16"/>
          <w:lang w:val="en-GB"/>
        </w:rPr>
        <w:t xml:space="preserve"> in April</w:t>
      </w:r>
      <w:r w:rsidRPr="008D37BF">
        <w:rPr>
          <w:color w:val="0D0D0D" w:themeColor="text1" w:themeTint="F2"/>
          <w:sz w:val="16"/>
          <w:szCs w:val="16"/>
          <w:lang w:val="en-GB"/>
        </w:rPr>
        <w:t>.</w:t>
      </w:r>
      <w:r>
        <w:rPr>
          <w:color w:val="0D0D0D" w:themeColor="text1" w:themeTint="F2"/>
          <w:sz w:val="16"/>
          <w:szCs w:val="16"/>
          <w:lang w:val="en-GB"/>
        </w:rPr>
        <w:t xml:space="preserve"> Sales already grew in the subsequent three months and they returned to the pre-pandemic level in July.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0985C8" w14:textId="2868C48F" w:rsidR="00C2211E" w:rsidRPr="00BB50E6" w:rsidRDefault="00C2211E" w:rsidP="00937AE2">
    <w:pPr>
      <w:pStyle w:val="Zhlav"/>
      <w:rPr>
        <w:lang w:val="en-GB"/>
      </w:rPr>
    </w:pPr>
    <w:r w:rsidRPr="00BB50E6">
      <w:rPr>
        <w:lang w:val="en-GB"/>
      </w:rPr>
      <w:t>The Czech Economy Development</w:t>
    </w:r>
  </w:p>
  <w:p w14:paraId="675E4C41" w14:textId="77777777" w:rsidR="00C2211E" w:rsidRPr="006F5416" w:rsidRDefault="00C2211E" w:rsidP="00937AE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5812FB" w14:textId="15FBD22A" w:rsidR="00C2211E" w:rsidRPr="00BB50E6" w:rsidRDefault="00C2211E" w:rsidP="00937AE2">
    <w:pPr>
      <w:pStyle w:val="Zhlav"/>
      <w:rPr>
        <w:lang w:val="en-GB"/>
      </w:rPr>
    </w:pPr>
    <w:r w:rsidRPr="00BB50E6">
      <w:rPr>
        <w:lang w:val="en-GB"/>
      </w:rPr>
      <w:t>The Czech Economy Development</w:t>
    </w:r>
  </w:p>
  <w:p w14:paraId="0CDCFD48" w14:textId="77777777" w:rsidR="00C2211E" w:rsidRPr="006F5416" w:rsidRDefault="00C2211E" w:rsidP="00937A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FAAF"/>
      </v:shape>
    </w:pict>
  </w:numPicBullet>
  <w:abstractNum w:abstractNumId="0" w15:restartNumberingAfterBreak="0">
    <w:nsid w:val="FFFFFF7C"/>
    <w:multiLevelType w:val="singleLevel"/>
    <w:tmpl w:val="49CEEC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C69A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7A1C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623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C8EE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AC5946"/>
    <w:multiLevelType w:val="hybridMultilevel"/>
    <w:tmpl w:val="4C1C2D78"/>
    <w:lvl w:ilvl="0" w:tplc="B01A56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361065"/>
    <w:multiLevelType w:val="hybridMultilevel"/>
    <w:tmpl w:val="991072C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18B35353"/>
    <w:multiLevelType w:val="multilevel"/>
    <w:tmpl w:val="1C0E9EAE"/>
    <w:name w:val="Analyza"/>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i w:val="0"/>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pStyle w:val="Nadpis5"/>
      <w:suff w:val="space"/>
      <w:lvlText w:val="%1.%2.%3.%4.%5"/>
      <w:lvlJc w:val="left"/>
      <w:pPr>
        <w:ind w:left="1008" w:hanging="1008"/>
      </w:pPr>
      <w:rPr>
        <w:rFonts w:hint="default"/>
      </w:rPr>
    </w:lvl>
    <w:lvl w:ilvl="5">
      <w:start w:val="1"/>
      <w:numFmt w:val="decimal"/>
      <w:pStyle w:val="Nadpis6"/>
      <w:suff w:val="space"/>
      <w:lvlText w:val="%1.%2.%3.%4.%5.%6"/>
      <w:lvlJc w:val="left"/>
      <w:pPr>
        <w:ind w:left="1152" w:hanging="1152"/>
      </w:pPr>
      <w:rPr>
        <w:rFonts w:hint="default"/>
      </w:rPr>
    </w:lvl>
    <w:lvl w:ilvl="6">
      <w:start w:val="1"/>
      <w:numFmt w:val="decimal"/>
      <w:pStyle w:val="Nadpis7"/>
      <w:suff w:val="space"/>
      <w:lvlText w:val="%1.%2.%3.%4.%5.%6.%7"/>
      <w:lvlJc w:val="left"/>
      <w:pPr>
        <w:ind w:left="1296" w:hanging="1296"/>
      </w:pPr>
      <w:rPr>
        <w:rFonts w:hint="default"/>
      </w:rPr>
    </w:lvl>
    <w:lvl w:ilvl="7">
      <w:start w:val="1"/>
      <w:numFmt w:val="decimal"/>
      <w:pStyle w:val="Nadpis8"/>
      <w:suff w:val="space"/>
      <w:lvlText w:val="%1.%2.%3.%4.%5.%6.%7.%8"/>
      <w:lvlJc w:val="left"/>
      <w:pPr>
        <w:ind w:left="1440" w:hanging="1440"/>
      </w:pPr>
      <w:rPr>
        <w:rFonts w:hint="default"/>
      </w:rPr>
    </w:lvl>
    <w:lvl w:ilvl="8">
      <w:start w:val="1"/>
      <w:numFmt w:val="decimal"/>
      <w:pStyle w:val="Nadpis9"/>
      <w:suff w:val="space"/>
      <w:lvlText w:val="%1.%2.%3.%4.%5.%6.%7.%8.%9"/>
      <w:lvlJc w:val="left"/>
      <w:pPr>
        <w:ind w:left="1584" w:hanging="1584"/>
      </w:pPr>
      <w:rPr>
        <w:rFonts w:hint="default"/>
      </w:rPr>
    </w:lvl>
  </w:abstractNum>
  <w:abstractNum w:abstractNumId="13" w15:restartNumberingAfterBreak="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8352333"/>
    <w:multiLevelType w:val="multilevel"/>
    <w:tmpl w:val="D0ACFA4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2A5A7A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C2420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D106EA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11355C0"/>
    <w:multiLevelType w:val="multilevel"/>
    <w:tmpl w:val="697E8BE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39914012"/>
    <w:multiLevelType w:val="multilevel"/>
    <w:tmpl w:val="F380FB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C7C1667"/>
    <w:multiLevelType w:val="hybridMultilevel"/>
    <w:tmpl w:val="735E7570"/>
    <w:lvl w:ilvl="0" w:tplc="5588AF8E">
      <w:start w:val="1"/>
      <w:numFmt w:val="decimal"/>
      <w:lvlText w:val="%1."/>
      <w:lvlJc w:val="left"/>
      <w:pPr>
        <w:ind w:left="4800" w:hanging="360"/>
      </w:pPr>
      <w:rPr>
        <w:rFonts w:hint="default"/>
      </w:rPr>
    </w:lvl>
    <w:lvl w:ilvl="1" w:tplc="04050019" w:tentative="1">
      <w:start w:val="1"/>
      <w:numFmt w:val="lowerLetter"/>
      <w:lvlText w:val="%2."/>
      <w:lvlJc w:val="left"/>
      <w:pPr>
        <w:ind w:left="5520" w:hanging="360"/>
      </w:pPr>
    </w:lvl>
    <w:lvl w:ilvl="2" w:tplc="0405001B" w:tentative="1">
      <w:start w:val="1"/>
      <w:numFmt w:val="lowerRoman"/>
      <w:lvlText w:val="%3."/>
      <w:lvlJc w:val="right"/>
      <w:pPr>
        <w:ind w:left="6240" w:hanging="180"/>
      </w:pPr>
    </w:lvl>
    <w:lvl w:ilvl="3" w:tplc="0405000F" w:tentative="1">
      <w:start w:val="1"/>
      <w:numFmt w:val="decimal"/>
      <w:lvlText w:val="%4."/>
      <w:lvlJc w:val="left"/>
      <w:pPr>
        <w:ind w:left="6960" w:hanging="360"/>
      </w:pPr>
    </w:lvl>
    <w:lvl w:ilvl="4" w:tplc="04050019" w:tentative="1">
      <w:start w:val="1"/>
      <w:numFmt w:val="lowerLetter"/>
      <w:lvlText w:val="%5."/>
      <w:lvlJc w:val="left"/>
      <w:pPr>
        <w:ind w:left="7680" w:hanging="360"/>
      </w:pPr>
    </w:lvl>
    <w:lvl w:ilvl="5" w:tplc="0405001B" w:tentative="1">
      <w:start w:val="1"/>
      <w:numFmt w:val="lowerRoman"/>
      <w:lvlText w:val="%6."/>
      <w:lvlJc w:val="right"/>
      <w:pPr>
        <w:ind w:left="8400" w:hanging="180"/>
      </w:pPr>
    </w:lvl>
    <w:lvl w:ilvl="6" w:tplc="0405000F" w:tentative="1">
      <w:start w:val="1"/>
      <w:numFmt w:val="decimal"/>
      <w:lvlText w:val="%7."/>
      <w:lvlJc w:val="left"/>
      <w:pPr>
        <w:ind w:left="9120" w:hanging="360"/>
      </w:pPr>
    </w:lvl>
    <w:lvl w:ilvl="7" w:tplc="04050019" w:tentative="1">
      <w:start w:val="1"/>
      <w:numFmt w:val="lowerLetter"/>
      <w:lvlText w:val="%8."/>
      <w:lvlJc w:val="left"/>
      <w:pPr>
        <w:ind w:left="9840" w:hanging="360"/>
      </w:pPr>
    </w:lvl>
    <w:lvl w:ilvl="8" w:tplc="0405001B" w:tentative="1">
      <w:start w:val="1"/>
      <w:numFmt w:val="lowerRoman"/>
      <w:lvlText w:val="%9."/>
      <w:lvlJc w:val="right"/>
      <w:pPr>
        <w:ind w:left="10560" w:hanging="180"/>
      </w:pPr>
    </w:lvl>
  </w:abstractNum>
  <w:abstractNum w:abstractNumId="21" w15:restartNumberingAfterBreak="0">
    <w:nsid w:val="3D4D0562"/>
    <w:multiLevelType w:val="hybridMultilevel"/>
    <w:tmpl w:val="E8A8F28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ADA4287"/>
    <w:multiLevelType w:val="multilevel"/>
    <w:tmpl w:val="1C0E9EAE"/>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i w:val="0"/>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24" w15:restartNumberingAfterBreak="0">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E490F3B"/>
    <w:multiLevelType w:val="hybridMultilevel"/>
    <w:tmpl w:val="D64CB604"/>
    <w:lvl w:ilvl="0" w:tplc="67AC8A1C">
      <w:start w:val="1"/>
      <w:numFmt w:val="bullet"/>
      <w:lvlText w:val=""/>
      <w:lvlJc w:val="left"/>
      <w:pPr>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CB210F"/>
    <w:multiLevelType w:val="multilevel"/>
    <w:tmpl w:val="D64CB604"/>
    <w:lvl w:ilvl="0">
      <w:start w:val="1"/>
      <w:numFmt w:val="bullet"/>
      <w:lvlText w:val=""/>
      <w:lvlJc w:val="left"/>
      <w:pPr>
        <w:ind w:left="357" w:hanging="35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B651B2D"/>
    <w:multiLevelType w:val="hybridMultilevel"/>
    <w:tmpl w:val="4C1C2D78"/>
    <w:lvl w:ilvl="0" w:tplc="B01A5632">
      <w:start w:val="1"/>
      <w:numFmt w:val="bullet"/>
      <w:pStyle w:val="Normalodrka"/>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24"/>
  </w:num>
  <w:num w:numId="14">
    <w:abstractNumId w:val="12"/>
  </w:num>
  <w:num w:numId="15">
    <w:abstractNumId w:val="18"/>
  </w:num>
  <w:num w:numId="16">
    <w:abstractNumId w:val="14"/>
  </w:num>
  <w:num w:numId="17">
    <w:abstractNumId w:val="25"/>
  </w:num>
  <w:num w:numId="18">
    <w:abstractNumId w:val="19"/>
  </w:num>
  <w:num w:numId="19">
    <w:abstractNumId w:val="26"/>
  </w:num>
  <w:num w:numId="20">
    <w:abstractNumId w:val="27"/>
  </w:num>
  <w:num w:numId="21">
    <w:abstractNumId w:val="23"/>
  </w:num>
  <w:num w:numId="22">
    <w:abstractNumId w:val="17"/>
  </w:num>
  <w:num w:numId="23">
    <w:abstractNumId w:val="15"/>
  </w:num>
  <w:num w:numId="24">
    <w:abstractNumId w:val="16"/>
  </w:num>
  <w:num w:numId="25">
    <w:abstractNumId w:val="11"/>
  </w:num>
  <w:num w:numId="26">
    <w:abstractNumId w:val="21"/>
  </w:num>
  <w:num w:numId="27">
    <w:abstractNumId w:val="20"/>
  </w:num>
  <w:num w:numId="28">
    <w:abstractNumId w:val="10"/>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evenAndOddHeaders/>
  <w:drawingGridHorizontalSpacing w:val="100"/>
  <w:displayHorizontalDrawingGridEvery w:val="2"/>
  <w:characterSpacingControl w:val="doNotCompress"/>
  <w:hdrShapeDefaults>
    <o:shapedefaults v:ext="edit" spidmax="2049">
      <o:colormru v:ext="edit" colors="#ecf4dd,#eaecee,#fcec0a,#fcecdb,#f1daf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828"/>
    <w:rsid w:val="000005AF"/>
    <w:rsid w:val="00000B55"/>
    <w:rsid w:val="00000DC2"/>
    <w:rsid w:val="0000130A"/>
    <w:rsid w:val="00001B6E"/>
    <w:rsid w:val="0000209D"/>
    <w:rsid w:val="00002566"/>
    <w:rsid w:val="00002664"/>
    <w:rsid w:val="000029B2"/>
    <w:rsid w:val="00002B7E"/>
    <w:rsid w:val="00003849"/>
    <w:rsid w:val="00003F5C"/>
    <w:rsid w:val="000047D1"/>
    <w:rsid w:val="00004D5A"/>
    <w:rsid w:val="000056D5"/>
    <w:rsid w:val="00005D9E"/>
    <w:rsid w:val="000063D5"/>
    <w:rsid w:val="00006625"/>
    <w:rsid w:val="00006ABD"/>
    <w:rsid w:val="00006B67"/>
    <w:rsid w:val="00006C0B"/>
    <w:rsid w:val="000070EA"/>
    <w:rsid w:val="000073A0"/>
    <w:rsid w:val="0000767A"/>
    <w:rsid w:val="00007ABE"/>
    <w:rsid w:val="00010256"/>
    <w:rsid w:val="00010702"/>
    <w:rsid w:val="0001128E"/>
    <w:rsid w:val="00011912"/>
    <w:rsid w:val="00011B7F"/>
    <w:rsid w:val="0001250C"/>
    <w:rsid w:val="000129C2"/>
    <w:rsid w:val="00012DD5"/>
    <w:rsid w:val="0001387D"/>
    <w:rsid w:val="000144A2"/>
    <w:rsid w:val="00014ED0"/>
    <w:rsid w:val="00016269"/>
    <w:rsid w:val="00016420"/>
    <w:rsid w:val="00017B01"/>
    <w:rsid w:val="00017CD1"/>
    <w:rsid w:val="000205D1"/>
    <w:rsid w:val="00020F22"/>
    <w:rsid w:val="0002195D"/>
    <w:rsid w:val="000228AE"/>
    <w:rsid w:val="000233D1"/>
    <w:rsid w:val="000234D6"/>
    <w:rsid w:val="00023D29"/>
    <w:rsid w:val="00024348"/>
    <w:rsid w:val="00024394"/>
    <w:rsid w:val="00026389"/>
    <w:rsid w:val="0002669F"/>
    <w:rsid w:val="00027644"/>
    <w:rsid w:val="000279E5"/>
    <w:rsid w:val="000304B6"/>
    <w:rsid w:val="00030EB6"/>
    <w:rsid w:val="00031AE0"/>
    <w:rsid w:val="00031BB2"/>
    <w:rsid w:val="000322EF"/>
    <w:rsid w:val="00033FCD"/>
    <w:rsid w:val="00034DF7"/>
    <w:rsid w:val="00034E68"/>
    <w:rsid w:val="000350C8"/>
    <w:rsid w:val="00036195"/>
    <w:rsid w:val="000374B2"/>
    <w:rsid w:val="000376C0"/>
    <w:rsid w:val="000403A7"/>
    <w:rsid w:val="00040632"/>
    <w:rsid w:val="0004166D"/>
    <w:rsid w:val="00041AFC"/>
    <w:rsid w:val="00041CEC"/>
    <w:rsid w:val="000421A8"/>
    <w:rsid w:val="00042596"/>
    <w:rsid w:val="00044183"/>
    <w:rsid w:val="0004431D"/>
    <w:rsid w:val="0004694F"/>
    <w:rsid w:val="00046F2F"/>
    <w:rsid w:val="00047AD4"/>
    <w:rsid w:val="00047D54"/>
    <w:rsid w:val="0005054A"/>
    <w:rsid w:val="00050708"/>
    <w:rsid w:val="00051506"/>
    <w:rsid w:val="000522E4"/>
    <w:rsid w:val="00053713"/>
    <w:rsid w:val="0005434E"/>
    <w:rsid w:val="00054F86"/>
    <w:rsid w:val="00055CB6"/>
    <w:rsid w:val="000572DD"/>
    <w:rsid w:val="00057B1E"/>
    <w:rsid w:val="00057DC9"/>
    <w:rsid w:val="00060ED3"/>
    <w:rsid w:val="000610E1"/>
    <w:rsid w:val="000616AD"/>
    <w:rsid w:val="000622A6"/>
    <w:rsid w:val="00062EC5"/>
    <w:rsid w:val="00062F22"/>
    <w:rsid w:val="00063975"/>
    <w:rsid w:val="00063CEA"/>
    <w:rsid w:val="0006444D"/>
    <w:rsid w:val="000645FC"/>
    <w:rsid w:val="0006533F"/>
    <w:rsid w:val="00065348"/>
    <w:rsid w:val="00065A75"/>
    <w:rsid w:val="00066558"/>
    <w:rsid w:val="000665D7"/>
    <w:rsid w:val="00066A8F"/>
    <w:rsid w:val="00070A87"/>
    <w:rsid w:val="000712B3"/>
    <w:rsid w:val="00071A7C"/>
    <w:rsid w:val="0007200B"/>
    <w:rsid w:val="000727C7"/>
    <w:rsid w:val="00072FF5"/>
    <w:rsid w:val="00073BA3"/>
    <w:rsid w:val="0007462F"/>
    <w:rsid w:val="0007474E"/>
    <w:rsid w:val="00074988"/>
    <w:rsid w:val="0007512B"/>
    <w:rsid w:val="00075551"/>
    <w:rsid w:val="000767F5"/>
    <w:rsid w:val="0007683E"/>
    <w:rsid w:val="00076D90"/>
    <w:rsid w:val="00077DEE"/>
    <w:rsid w:val="00077FF0"/>
    <w:rsid w:val="000812D3"/>
    <w:rsid w:val="00081A55"/>
    <w:rsid w:val="0008263E"/>
    <w:rsid w:val="00082C19"/>
    <w:rsid w:val="00082F89"/>
    <w:rsid w:val="000837CD"/>
    <w:rsid w:val="000848CA"/>
    <w:rsid w:val="00084BFF"/>
    <w:rsid w:val="00085395"/>
    <w:rsid w:val="00086896"/>
    <w:rsid w:val="00086AC1"/>
    <w:rsid w:val="00086C6F"/>
    <w:rsid w:val="00086D19"/>
    <w:rsid w:val="00087634"/>
    <w:rsid w:val="00087F2B"/>
    <w:rsid w:val="00090694"/>
    <w:rsid w:val="00090EE2"/>
    <w:rsid w:val="00090FC6"/>
    <w:rsid w:val="0009100B"/>
    <w:rsid w:val="000913B1"/>
    <w:rsid w:val="000924B7"/>
    <w:rsid w:val="00092513"/>
    <w:rsid w:val="00092D77"/>
    <w:rsid w:val="00093241"/>
    <w:rsid w:val="00093868"/>
    <w:rsid w:val="00094A84"/>
    <w:rsid w:val="00095025"/>
    <w:rsid w:val="00095135"/>
    <w:rsid w:val="0009626E"/>
    <w:rsid w:val="00097191"/>
    <w:rsid w:val="000972D4"/>
    <w:rsid w:val="000974D1"/>
    <w:rsid w:val="00097784"/>
    <w:rsid w:val="0009799E"/>
    <w:rsid w:val="000A07CB"/>
    <w:rsid w:val="000A0BC0"/>
    <w:rsid w:val="000A1183"/>
    <w:rsid w:val="000A12ED"/>
    <w:rsid w:val="000A1B03"/>
    <w:rsid w:val="000A212B"/>
    <w:rsid w:val="000A242D"/>
    <w:rsid w:val="000A256D"/>
    <w:rsid w:val="000A2D86"/>
    <w:rsid w:val="000A37EF"/>
    <w:rsid w:val="000A3A2C"/>
    <w:rsid w:val="000A3D9E"/>
    <w:rsid w:val="000A4A54"/>
    <w:rsid w:val="000A4ED9"/>
    <w:rsid w:val="000A517B"/>
    <w:rsid w:val="000A54B8"/>
    <w:rsid w:val="000A5DB7"/>
    <w:rsid w:val="000A6D94"/>
    <w:rsid w:val="000A7355"/>
    <w:rsid w:val="000A7377"/>
    <w:rsid w:val="000A7FF4"/>
    <w:rsid w:val="000B03CC"/>
    <w:rsid w:val="000B4212"/>
    <w:rsid w:val="000B4733"/>
    <w:rsid w:val="000B4994"/>
    <w:rsid w:val="000B4EBA"/>
    <w:rsid w:val="000B683E"/>
    <w:rsid w:val="000C0EA8"/>
    <w:rsid w:val="000C12A7"/>
    <w:rsid w:val="000C13A2"/>
    <w:rsid w:val="000C21E7"/>
    <w:rsid w:val="000C23EC"/>
    <w:rsid w:val="000C30C3"/>
    <w:rsid w:val="000C3408"/>
    <w:rsid w:val="000C35AB"/>
    <w:rsid w:val="000C3F7B"/>
    <w:rsid w:val="000C41D9"/>
    <w:rsid w:val="000C4769"/>
    <w:rsid w:val="000C48C0"/>
    <w:rsid w:val="000C4D56"/>
    <w:rsid w:val="000C5DFA"/>
    <w:rsid w:val="000C6AFD"/>
    <w:rsid w:val="000C6C90"/>
    <w:rsid w:val="000D0A26"/>
    <w:rsid w:val="000D3058"/>
    <w:rsid w:val="000D310A"/>
    <w:rsid w:val="000D3EF4"/>
    <w:rsid w:val="000D4DC0"/>
    <w:rsid w:val="000D5637"/>
    <w:rsid w:val="000D6F4E"/>
    <w:rsid w:val="000D73BB"/>
    <w:rsid w:val="000E01D9"/>
    <w:rsid w:val="000E0E32"/>
    <w:rsid w:val="000E0E96"/>
    <w:rsid w:val="000E22FC"/>
    <w:rsid w:val="000E298B"/>
    <w:rsid w:val="000E2C7D"/>
    <w:rsid w:val="000E3CB5"/>
    <w:rsid w:val="000E3E28"/>
    <w:rsid w:val="000E440D"/>
    <w:rsid w:val="000E4AC5"/>
    <w:rsid w:val="000E535F"/>
    <w:rsid w:val="000E6253"/>
    <w:rsid w:val="000E6322"/>
    <w:rsid w:val="000E6E4D"/>
    <w:rsid w:val="000E6FBD"/>
    <w:rsid w:val="000E6FCB"/>
    <w:rsid w:val="000E70F3"/>
    <w:rsid w:val="000F090B"/>
    <w:rsid w:val="000F1041"/>
    <w:rsid w:val="000F3F3B"/>
    <w:rsid w:val="000F4098"/>
    <w:rsid w:val="000F4251"/>
    <w:rsid w:val="000F47E8"/>
    <w:rsid w:val="000F6B24"/>
    <w:rsid w:val="000F70E4"/>
    <w:rsid w:val="000F76EA"/>
    <w:rsid w:val="000F78C3"/>
    <w:rsid w:val="000F7B70"/>
    <w:rsid w:val="00100F5C"/>
    <w:rsid w:val="00101BBE"/>
    <w:rsid w:val="00101CDA"/>
    <w:rsid w:val="00102037"/>
    <w:rsid w:val="00103DCB"/>
    <w:rsid w:val="00104C4C"/>
    <w:rsid w:val="00105015"/>
    <w:rsid w:val="001055D2"/>
    <w:rsid w:val="001057C2"/>
    <w:rsid w:val="00107C96"/>
    <w:rsid w:val="0011038E"/>
    <w:rsid w:val="00110C18"/>
    <w:rsid w:val="001125EF"/>
    <w:rsid w:val="001127EE"/>
    <w:rsid w:val="00112CAB"/>
    <w:rsid w:val="00116A49"/>
    <w:rsid w:val="00116D3F"/>
    <w:rsid w:val="00117474"/>
    <w:rsid w:val="00117623"/>
    <w:rsid w:val="00117FEA"/>
    <w:rsid w:val="001200CF"/>
    <w:rsid w:val="001208E3"/>
    <w:rsid w:val="0012192F"/>
    <w:rsid w:val="00122504"/>
    <w:rsid w:val="00122994"/>
    <w:rsid w:val="00124B46"/>
    <w:rsid w:val="0012530D"/>
    <w:rsid w:val="001257E0"/>
    <w:rsid w:val="00125D69"/>
    <w:rsid w:val="0012799C"/>
    <w:rsid w:val="00127BC2"/>
    <w:rsid w:val="00127E15"/>
    <w:rsid w:val="00130ADC"/>
    <w:rsid w:val="00130D9F"/>
    <w:rsid w:val="00131138"/>
    <w:rsid w:val="00132C4D"/>
    <w:rsid w:val="00133FC1"/>
    <w:rsid w:val="001345B6"/>
    <w:rsid w:val="00134659"/>
    <w:rsid w:val="00136696"/>
    <w:rsid w:val="001405FA"/>
    <w:rsid w:val="00140D1A"/>
    <w:rsid w:val="00141184"/>
    <w:rsid w:val="00141258"/>
    <w:rsid w:val="00141315"/>
    <w:rsid w:val="00141AA0"/>
    <w:rsid w:val="00141ACD"/>
    <w:rsid w:val="001425C3"/>
    <w:rsid w:val="0014262D"/>
    <w:rsid w:val="00143BB2"/>
    <w:rsid w:val="00144588"/>
    <w:rsid w:val="001447DD"/>
    <w:rsid w:val="001459BC"/>
    <w:rsid w:val="001510A2"/>
    <w:rsid w:val="001523D1"/>
    <w:rsid w:val="00152F4F"/>
    <w:rsid w:val="00153E4A"/>
    <w:rsid w:val="001544A1"/>
    <w:rsid w:val="0015495D"/>
    <w:rsid w:val="00155158"/>
    <w:rsid w:val="001553B8"/>
    <w:rsid w:val="001554C2"/>
    <w:rsid w:val="0015573B"/>
    <w:rsid w:val="001571C0"/>
    <w:rsid w:val="0015753D"/>
    <w:rsid w:val="00157CC9"/>
    <w:rsid w:val="00160C21"/>
    <w:rsid w:val="001612F4"/>
    <w:rsid w:val="00161553"/>
    <w:rsid w:val="00161A82"/>
    <w:rsid w:val="0016256B"/>
    <w:rsid w:val="00162F81"/>
    <w:rsid w:val="00163793"/>
    <w:rsid w:val="001639E9"/>
    <w:rsid w:val="00165313"/>
    <w:rsid w:val="00166239"/>
    <w:rsid w:val="00167485"/>
    <w:rsid w:val="001679F5"/>
    <w:rsid w:val="00167B92"/>
    <w:rsid w:val="00167CB9"/>
    <w:rsid w:val="00167DD8"/>
    <w:rsid w:val="001705AD"/>
    <w:rsid w:val="001706D6"/>
    <w:rsid w:val="0017129C"/>
    <w:rsid w:val="001714DD"/>
    <w:rsid w:val="001714F2"/>
    <w:rsid w:val="00171FEA"/>
    <w:rsid w:val="00175B9F"/>
    <w:rsid w:val="001762F4"/>
    <w:rsid w:val="001764E2"/>
    <w:rsid w:val="00176DDF"/>
    <w:rsid w:val="00177536"/>
    <w:rsid w:val="00181BBC"/>
    <w:rsid w:val="001832B5"/>
    <w:rsid w:val="0018385F"/>
    <w:rsid w:val="00184017"/>
    <w:rsid w:val="001847BB"/>
    <w:rsid w:val="00184B08"/>
    <w:rsid w:val="00184EC1"/>
    <w:rsid w:val="00185010"/>
    <w:rsid w:val="00185C22"/>
    <w:rsid w:val="00186BA9"/>
    <w:rsid w:val="00190FCE"/>
    <w:rsid w:val="00191468"/>
    <w:rsid w:val="0019196C"/>
    <w:rsid w:val="00192F05"/>
    <w:rsid w:val="00194729"/>
    <w:rsid w:val="00194850"/>
    <w:rsid w:val="00195234"/>
    <w:rsid w:val="00195475"/>
    <w:rsid w:val="00195FA3"/>
    <w:rsid w:val="00196016"/>
    <w:rsid w:val="00196117"/>
    <w:rsid w:val="00196A04"/>
    <w:rsid w:val="001975DD"/>
    <w:rsid w:val="00197A70"/>
    <w:rsid w:val="00197C0F"/>
    <w:rsid w:val="001A0487"/>
    <w:rsid w:val="001A1F68"/>
    <w:rsid w:val="001A21FA"/>
    <w:rsid w:val="001A4CCD"/>
    <w:rsid w:val="001A4EF0"/>
    <w:rsid w:val="001A552F"/>
    <w:rsid w:val="001A70B1"/>
    <w:rsid w:val="001B0606"/>
    <w:rsid w:val="001B0738"/>
    <w:rsid w:val="001B185C"/>
    <w:rsid w:val="001B2822"/>
    <w:rsid w:val="001B2CA9"/>
    <w:rsid w:val="001B3110"/>
    <w:rsid w:val="001B3E38"/>
    <w:rsid w:val="001B40F5"/>
    <w:rsid w:val="001B4729"/>
    <w:rsid w:val="001B4F0E"/>
    <w:rsid w:val="001B626C"/>
    <w:rsid w:val="001B6310"/>
    <w:rsid w:val="001B6C09"/>
    <w:rsid w:val="001B6E12"/>
    <w:rsid w:val="001C05CD"/>
    <w:rsid w:val="001C0F17"/>
    <w:rsid w:val="001C0FB1"/>
    <w:rsid w:val="001C1B24"/>
    <w:rsid w:val="001C1B66"/>
    <w:rsid w:val="001C1BA4"/>
    <w:rsid w:val="001C31A2"/>
    <w:rsid w:val="001C351D"/>
    <w:rsid w:val="001C4BB8"/>
    <w:rsid w:val="001C4FD0"/>
    <w:rsid w:val="001C583D"/>
    <w:rsid w:val="001C5E46"/>
    <w:rsid w:val="001C6AB9"/>
    <w:rsid w:val="001C6B3B"/>
    <w:rsid w:val="001C7E3F"/>
    <w:rsid w:val="001D0EF1"/>
    <w:rsid w:val="001D1240"/>
    <w:rsid w:val="001D22C2"/>
    <w:rsid w:val="001D2C99"/>
    <w:rsid w:val="001D452E"/>
    <w:rsid w:val="001D54C1"/>
    <w:rsid w:val="001D556E"/>
    <w:rsid w:val="001D5DF2"/>
    <w:rsid w:val="001D6464"/>
    <w:rsid w:val="001D68B2"/>
    <w:rsid w:val="001D6F25"/>
    <w:rsid w:val="001D704B"/>
    <w:rsid w:val="001D7EFD"/>
    <w:rsid w:val="001D7F60"/>
    <w:rsid w:val="001E08A7"/>
    <w:rsid w:val="001E1F50"/>
    <w:rsid w:val="001E3306"/>
    <w:rsid w:val="001E504C"/>
    <w:rsid w:val="001E5A17"/>
    <w:rsid w:val="001E74C5"/>
    <w:rsid w:val="001F0AE4"/>
    <w:rsid w:val="001F1236"/>
    <w:rsid w:val="001F2F90"/>
    <w:rsid w:val="001F4597"/>
    <w:rsid w:val="001F4826"/>
    <w:rsid w:val="001F486B"/>
    <w:rsid w:val="001F6CD3"/>
    <w:rsid w:val="001F7CE0"/>
    <w:rsid w:val="00200085"/>
    <w:rsid w:val="002032BE"/>
    <w:rsid w:val="00203332"/>
    <w:rsid w:val="00203CD5"/>
    <w:rsid w:val="00203D8F"/>
    <w:rsid w:val="00203DA4"/>
    <w:rsid w:val="00204EA6"/>
    <w:rsid w:val="00205186"/>
    <w:rsid w:val="00206516"/>
    <w:rsid w:val="002071D5"/>
    <w:rsid w:val="002111E5"/>
    <w:rsid w:val="002118B9"/>
    <w:rsid w:val="002142C0"/>
    <w:rsid w:val="002150B8"/>
    <w:rsid w:val="00217C5B"/>
    <w:rsid w:val="002208AD"/>
    <w:rsid w:val="00220A43"/>
    <w:rsid w:val="0022139E"/>
    <w:rsid w:val="00222729"/>
    <w:rsid w:val="00223185"/>
    <w:rsid w:val="00223214"/>
    <w:rsid w:val="002233D6"/>
    <w:rsid w:val="002238F3"/>
    <w:rsid w:val="0022441D"/>
    <w:rsid w:val="0022448C"/>
    <w:rsid w:val="00224574"/>
    <w:rsid w:val="00224E3F"/>
    <w:rsid w:val="002252E0"/>
    <w:rsid w:val="002255F6"/>
    <w:rsid w:val="00226032"/>
    <w:rsid w:val="00226B29"/>
    <w:rsid w:val="0022738D"/>
    <w:rsid w:val="00227605"/>
    <w:rsid w:val="00227850"/>
    <w:rsid w:val="00227A53"/>
    <w:rsid w:val="00227AB3"/>
    <w:rsid w:val="00227C96"/>
    <w:rsid w:val="00227E2E"/>
    <w:rsid w:val="00227F53"/>
    <w:rsid w:val="00230C6E"/>
    <w:rsid w:val="00230E21"/>
    <w:rsid w:val="00230F48"/>
    <w:rsid w:val="00231066"/>
    <w:rsid w:val="002316A8"/>
    <w:rsid w:val="002320C9"/>
    <w:rsid w:val="0023288F"/>
    <w:rsid w:val="0023359B"/>
    <w:rsid w:val="00233603"/>
    <w:rsid w:val="002340EF"/>
    <w:rsid w:val="00234B82"/>
    <w:rsid w:val="00234C09"/>
    <w:rsid w:val="00236443"/>
    <w:rsid w:val="00236700"/>
    <w:rsid w:val="00236829"/>
    <w:rsid w:val="00240391"/>
    <w:rsid w:val="00240AF3"/>
    <w:rsid w:val="002418D5"/>
    <w:rsid w:val="00241B06"/>
    <w:rsid w:val="002429C8"/>
    <w:rsid w:val="002436BA"/>
    <w:rsid w:val="00244652"/>
    <w:rsid w:val="00244A15"/>
    <w:rsid w:val="002452D9"/>
    <w:rsid w:val="00247319"/>
    <w:rsid w:val="00247905"/>
    <w:rsid w:val="0024799E"/>
    <w:rsid w:val="00247A3D"/>
    <w:rsid w:val="00247A6A"/>
    <w:rsid w:val="00247E60"/>
    <w:rsid w:val="00251B08"/>
    <w:rsid w:val="00251C53"/>
    <w:rsid w:val="00252177"/>
    <w:rsid w:val="002525CC"/>
    <w:rsid w:val="00252AB9"/>
    <w:rsid w:val="00252BFC"/>
    <w:rsid w:val="00253A94"/>
    <w:rsid w:val="00253C0F"/>
    <w:rsid w:val="002558C1"/>
    <w:rsid w:val="00256207"/>
    <w:rsid w:val="002575F3"/>
    <w:rsid w:val="002603E1"/>
    <w:rsid w:val="0026120E"/>
    <w:rsid w:val="002623F0"/>
    <w:rsid w:val="00262582"/>
    <w:rsid w:val="0026291D"/>
    <w:rsid w:val="00262CF3"/>
    <w:rsid w:val="00264309"/>
    <w:rsid w:val="00264752"/>
    <w:rsid w:val="0026564B"/>
    <w:rsid w:val="00265C83"/>
    <w:rsid w:val="00265E85"/>
    <w:rsid w:val="0026736A"/>
    <w:rsid w:val="00267B49"/>
    <w:rsid w:val="002700D9"/>
    <w:rsid w:val="0027025F"/>
    <w:rsid w:val="002709CC"/>
    <w:rsid w:val="00270D25"/>
    <w:rsid w:val="00271022"/>
    <w:rsid w:val="00271465"/>
    <w:rsid w:val="00271C19"/>
    <w:rsid w:val="00271E47"/>
    <w:rsid w:val="002721F5"/>
    <w:rsid w:val="00272DF4"/>
    <w:rsid w:val="00275031"/>
    <w:rsid w:val="002751B5"/>
    <w:rsid w:val="0027583D"/>
    <w:rsid w:val="00275DEF"/>
    <w:rsid w:val="002763A2"/>
    <w:rsid w:val="002765C1"/>
    <w:rsid w:val="00276B33"/>
    <w:rsid w:val="002812E3"/>
    <w:rsid w:val="002828EE"/>
    <w:rsid w:val="0028341F"/>
    <w:rsid w:val="002837AE"/>
    <w:rsid w:val="00283C13"/>
    <w:rsid w:val="00283F7B"/>
    <w:rsid w:val="00283FEB"/>
    <w:rsid w:val="0028431A"/>
    <w:rsid w:val="002853FA"/>
    <w:rsid w:val="00285412"/>
    <w:rsid w:val="00286220"/>
    <w:rsid w:val="00291640"/>
    <w:rsid w:val="00291CFA"/>
    <w:rsid w:val="0029237E"/>
    <w:rsid w:val="00292997"/>
    <w:rsid w:val="00293274"/>
    <w:rsid w:val="00293D24"/>
    <w:rsid w:val="002942D3"/>
    <w:rsid w:val="00294C29"/>
    <w:rsid w:val="0029509B"/>
    <w:rsid w:val="002950EA"/>
    <w:rsid w:val="0029588F"/>
    <w:rsid w:val="00295E96"/>
    <w:rsid w:val="00297256"/>
    <w:rsid w:val="00297A5C"/>
    <w:rsid w:val="00297D51"/>
    <w:rsid w:val="002A0122"/>
    <w:rsid w:val="002A016B"/>
    <w:rsid w:val="002A16D4"/>
    <w:rsid w:val="002A1E4F"/>
    <w:rsid w:val="002A230C"/>
    <w:rsid w:val="002A2AF7"/>
    <w:rsid w:val="002A2D46"/>
    <w:rsid w:val="002A3209"/>
    <w:rsid w:val="002A3EA2"/>
    <w:rsid w:val="002A507C"/>
    <w:rsid w:val="002A51AC"/>
    <w:rsid w:val="002A532A"/>
    <w:rsid w:val="002A5846"/>
    <w:rsid w:val="002A5D97"/>
    <w:rsid w:val="002A603E"/>
    <w:rsid w:val="002A622B"/>
    <w:rsid w:val="002A63B9"/>
    <w:rsid w:val="002A6D77"/>
    <w:rsid w:val="002A7089"/>
    <w:rsid w:val="002B13EE"/>
    <w:rsid w:val="002B1619"/>
    <w:rsid w:val="002B2B8A"/>
    <w:rsid w:val="002B3EF4"/>
    <w:rsid w:val="002B43B3"/>
    <w:rsid w:val="002B4845"/>
    <w:rsid w:val="002B53C9"/>
    <w:rsid w:val="002B5567"/>
    <w:rsid w:val="002B5812"/>
    <w:rsid w:val="002B72AA"/>
    <w:rsid w:val="002B7366"/>
    <w:rsid w:val="002B7678"/>
    <w:rsid w:val="002B7AFA"/>
    <w:rsid w:val="002C1110"/>
    <w:rsid w:val="002C1BC2"/>
    <w:rsid w:val="002C1F09"/>
    <w:rsid w:val="002C22A4"/>
    <w:rsid w:val="002C260B"/>
    <w:rsid w:val="002C27A6"/>
    <w:rsid w:val="002C398D"/>
    <w:rsid w:val="002C40D2"/>
    <w:rsid w:val="002C40DC"/>
    <w:rsid w:val="002C43BD"/>
    <w:rsid w:val="002C51EF"/>
    <w:rsid w:val="002C5245"/>
    <w:rsid w:val="002C59D8"/>
    <w:rsid w:val="002D05CB"/>
    <w:rsid w:val="002D0E59"/>
    <w:rsid w:val="002D2C4F"/>
    <w:rsid w:val="002D3EBB"/>
    <w:rsid w:val="002D455C"/>
    <w:rsid w:val="002D488A"/>
    <w:rsid w:val="002D596E"/>
    <w:rsid w:val="002D6066"/>
    <w:rsid w:val="002D60F6"/>
    <w:rsid w:val="002D6137"/>
    <w:rsid w:val="002E02A1"/>
    <w:rsid w:val="002E196A"/>
    <w:rsid w:val="002E20C7"/>
    <w:rsid w:val="002E20CD"/>
    <w:rsid w:val="002E222E"/>
    <w:rsid w:val="002E28D8"/>
    <w:rsid w:val="002E37D1"/>
    <w:rsid w:val="002E3834"/>
    <w:rsid w:val="002E3BEE"/>
    <w:rsid w:val="002E4E4C"/>
    <w:rsid w:val="002E4EA7"/>
    <w:rsid w:val="002E5846"/>
    <w:rsid w:val="002E792B"/>
    <w:rsid w:val="002F0DA5"/>
    <w:rsid w:val="002F1B09"/>
    <w:rsid w:val="002F1D56"/>
    <w:rsid w:val="002F1DCB"/>
    <w:rsid w:val="002F1DE4"/>
    <w:rsid w:val="002F333D"/>
    <w:rsid w:val="002F351A"/>
    <w:rsid w:val="002F468F"/>
    <w:rsid w:val="002F46D6"/>
    <w:rsid w:val="002F498A"/>
    <w:rsid w:val="002F4AD8"/>
    <w:rsid w:val="002F5285"/>
    <w:rsid w:val="002F5820"/>
    <w:rsid w:val="002F5880"/>
    <w:rsid w:val="002F64BB"/>
    <w:rsid w:val="002F6EEB"/>
    <w:rsid w:val="00300C31"/>
    <w:rsid w:val="003017EC"/>
    <w:rsid w:val="00301F37"/>
    <w:rsid w:val="00302165"/>
    <w:rsid w:val="00304771"/>
    <w:rsid w:val="003050FD"/>
    <w:rsid w:val="003052D4"/>
    <w:rsid w:val="003060E9"/>
    <w:rsid w:val="00306C5B"/>
    <w:rsid w:val="00307529"/>
    <w:rsid w:val="00307DB3"/>
    <w:rsid w:val="00307ED2"/>
    <w:rsid w:val="0031076D"/>
    <w:rsid w:val="00311AA6"/>
    <w:rsid w:val="00311C4D"/>
    <w:rsid w:val="003121AB"/>
    <w:rsid w:val="00312A9B"/>
    <w:rsid w:val="00315169"/>
    <w:rsid w:val="003153C8"/>
    <w:rsid w:val="00315524"/>
    <w:rsid w:val="0032018B"/>
    <w:rsid w:val="0032058C"/>
    <w:rsid w:val="003208D0"/>
    <w:rsid w:val="003209D6"/>
    <w:rsid w:val="003217B9"/>
    <w:rsid w:val="00321924"/>
    <w:rsid w:val="00321EB6"/>
    <w:rsid w:val="003220A5"/>
    <w:rsid w:val="00323A1C"/>
    <w:rsid w:val="00324B59"/>
    <w:rsid w:val="003261F3"/>
    <w:rsid w:val="0032656E"/>
    <w:rsid w:val="003268A0"/>
    <w:rsid w:val="0032788F"/>
    <w:rsid w:val="003306B5"/>
    <w:rsid w:val="00331E46"/>
    <w:rsid w:val="00332190"/>
    <w:rsid w:val="00332A98"/>
    <w:rsid w:val="00333973"/>
    <w:rsid w:val="00333CD0"/>
    <w:rsid w:val="0033448D"/>
    <w:rsid w:val="00334821"/>
    <w:rsid w:val="00334AD2"/>
    <w:rsid w:val="00334CB6"/>
    <w:rsid w:val="0033709C"/>
    <w:rsid w:val="003370C5"/>
    <w:rsid w:val="003373C6"/>
    <w:rsid w:val="00340BF3"/>
    <w:rsid w:val="00341D26"/>
    <w:rsid w:val="00341F05"/>
    <w:rsid w:val="0034335E"/>
    <w:rsid w:val="00344668"/>
    <w:rsid w:val="00344940"/>
    <w:rsid w:val="003458DF"/>
    <w:rsid w:val="00345943"/>
    <w:rsid w:val="00346234"/>
    <w:rsid w:val="003462D9"/>
    <w:rsid w:val="0034723F"/>
    <w:rsid w:val="00347247"/>
    <w:rsid w:val="003473C9"/>
    <w:rsid w:val="003474B6"/>
    <w:rsid w:val="00347DD4"/>
    <w:rsid w:val="00351006"/>
    <w:rsid w:val="00352560"/>
    <w:rsid w:val="00352854"/>
    <w:rsid w:val="00352B43"/>
    <w:rsid w:val="00352C28"/>
    <w:rsid w:val="0035716C"/>
    <w:rsid w:val="0036077F"/>
    <w:rsid w:val="00360C86"/>
    <w:rsid w:val="00360F7A"/>
    <w:rsid w:val="00360FBC"/>
    <w:rsid w:val="00361537"/>
    <w:rsid w:val="0036242A"/>
    <w:rsid w:val="00362C23"/>
    <w:rsid w:val="00362E90"/>
    <w:rsid w:val="003632F0"/>
    <w:rsid w:val="00364FA0"/>
    <w:rsid w:val="003657F3"/>
    <w:rsid w:val="00365844"/>
    <w:rsid w:val="00366692"/>
    <w:rsid w:val="003668CF"/>
    <w:rsid w:val="00367638"/>
    <w:rsid w:val="00367F84"/>
    <w:rsid w:val="003712BC"/>
    <w:rsid w:val="003715FE"/>
    <w:rsid w:val="00372164"/>
    <w:rsid w:val="00372A4C"/>
    <w:rsid w:val="0037323C"/>
    <w:rsid w:val="003738BD"/>
    <w:rsid w:val="00374263"/>
    <w:rsid w:val="00374428"/>
    <w:rsid w:val="003746F0"/>
    <w:rsid w:val="00374A20"/>
    <w:rsid w:val="00374E21"/>
    <w:rsid w:val="00377A50"/>
    <w:rsid w:val="00377B2E"/>
    <w:rsid w:val="0038103D"/>
    <w:rsid w:val="003810F0"/>
    <w:rsid w:val="003818DC"/>
    <w:rsid w:val="00382513"/>
    <w:rsid w:val="00382F3A"/>
    <w:rsid w:val="00383388"/>
    <w:rsid w:val="003834F8"/>
    <w:rsid w:val="003838D0"/>
    <w:rsid w:val="003840C2"/>
    <w:rsid w:val="00384327"/>
    <w:rsid w:val="00384861"/>
    <w:rsid w:val="00384A89"/>
    <w:rsid w:val="00385086"/>
    <w:rsid w:val="00385D98"/>
    <w:rsid w:val="00390306"/>
    <w:rsid w:val="003908A6"/>
    <w:rsid w:val="00390951"/>
    <w:rsid w:val="0039109D"/>
    <w:rsid w:val="00391175"/>
    <w:rsid w:val="00391989"/>
    <w:rsid w:val="00391A6C"/>
    <w:rsid w:val="00392696"/>
    <w:rsid w:val="003927F6"/>
    <w:rsid w:val="0039602D"/>
    <w:rsid w:val="00396739"/>
    <w:rsid w:val="003A04F6"/>
    <w:rsid w:val="003A0837"/>
    <w:rsid w:val="003A2B49"/>
    <w:rsid w:val="003A2B4D"/>
    <w:rsid w:val="003A2D12"/>
    <w:rsid w:val="003A2D68"/>
    <w:rsid w:val="003A2EBA"/>
    <w:rsid w:val="003A4080"/>
    <w:rsid w:val="003A45E3"/>
    <w:rsid w:val="003A478C"/>
    <w:rsid w:val="003A4A38"/>
    <w:rsid w:val="003A5525"/>
    <w:rsid w:val="003A5889"/>
    <w:rsid w:val="003A5949"/>
    <w:rsid w:val="003A6B38"/>
    <w:rsid w:val="003A6B83"/>
    <w:rsid w:val="003A6C97"/>
    <w:rsid w:val="003A722F"/>
    <w:rsid w:val="003A7373"/>
    <w:rsid w:val="003A7D09"/>
    <w:rsid w:val="003B0197"/>
    <w:rsid w:val="003B039F"/>
    <w:rsid w:val="003B05B9"/>
    <w:rsid w:val="003B09BC"/>
    <w:rsid w:val="003B0DF4"/>
    <w:rsid w:val="003B1F9D"/>
    <w:rsid w:val="003B2A8D"/>
    <w:rsid w:val="003B2AD1"/>
    <w:rsid w:val="003B2D2E"/>
    <w:rsid w:val="003B461F"/>
    <w:rsid w:val="003B483F"/>
    <w:rsid w:val="003B4998"/>
    <w:rsid w:val="003B5A32"/>
    <w:rsid w:val="003B6B91"/>
    <w:rsid w:val="003B7B50"/>
    <w:rsid w:val="003C0810"/>
    <w:rsid w:val="003C0B07"/>
    <w:rsid w:val="003C27A5"/>
    <w:rsid w:val="003C2CE7"/>
    <w:rsid w:val="003C3490"/>
    <w:rsid w:val="003C3608"/>
    <w:rsid w:val="003C38C4"/>
    <w:rsid w:val="003C3AE8"/>
    <w:rsid w:val="003C3D2C"/>
    <w:rsid w:val="003C4E13"/>
    <w:rsid w:val="003C6221"/>
    <w:rsid w:val="003C63D7"/>
    <w:rsid w:val="003C68CC"/>
    <w:rsid w:val="003C6D24"/>
    <w:rsid w:val="003C7E62"/>
    <w:rsid w:val="003D12B9"/>
    <w:rsid w:val="003D1E7A"/>
    <w:rsid w:val="003D242B"/>
    <w:rsid w:val="003D2492"/>
    <w:rsid w:val="003D29AA"/>
    <w:rsid w:val="003D2A99"/>
    <w:rsid w:val="003D6920"/>
    <w:rsid w:val="003E0249"/>
    <w:rsid w:val="003E182F"/>
    <w:rsid w:val="003E1EF8"/>
    <w:rsid w:val="003E2089"/>
    <w:rsid w:val="003E2DFB"/>
    <w:rsid w:val="003E3A1D"/>
    <w:rsid w:val="003E4C91"/>
    <w:rsid w:val="003E52D8"/>
    <w:rsid w:val="003E62F1"/>
    <w:rsid w:val="003E6CA1"/>
    <w:rsid w:val="003F04B0"/>
    <w:rsid w:val="003F313C"/>
    <w:rsid w:val="003F3320"/>
    <w:rsid w:val="003F37FC"/>
    <w:rsid w:val="003F416F"/>
    <w:rsid w:val="003F4318"/>
    <w:rsid w:val="003F4B2C"/>
    <w:rsid w:val="003F551C"/>
    <w:rsid w:val="003F6093"/>
    <w:rsid w:val="003F626D"/>
    <w:rsid w:val="003F72ED"/>
    <w:rsid w:val="003F7D23"/>
    <w:rsid w:val="00400050"/>
    <w:rsid w:val="004002C8"/>
    <w:rsid w:val="00400468"/>
    <w:rsid w:val="0040099D"/>
    <w:rsid w:val="004016CB"/>
    <w:rsid w:val="00401B23"/>
    <w:rsid w:val="00402357"/>
    <w:rsid w:val="00402ADB"/>
    <w:rsid w:val="0040368D"/>
    <w:rsid w:val="00403D1D"/>
    <w:rsid w:val="00403F57"/>
    <w:rsid w:val="00405318"/>
    <w:rsid w:val="004053B2"/>
    <w:rsid w:val="004059D2"/>
    <w:rsid w:val="004066D0"/>
    <w:rsid w:val="004068D9"/>
    <w:rsid w:val="00406C2E"/>
    <w:rsid w:val="00406CDA"/>
    <w:rsid w:val="00406EB0"/>
    <w:rsid w:val="00407093"/>
    <w:rsid w:val="00407711"/>
    <w:rsid w:val="00407C13"/>
    <w:rsid w:val="004103F6"/>
    <w:rsid w:val="00410638"/>
    <w:rsid w:val="00411999"/>
    <w:rsid w:val="00412511"/>
    <w:rsid w:val="004125C2"/>
    <w:rsid w:val="00412DFA"/>
    <w:rsid w:val="00413465"/>
    <w:rsid w:val="00413876"/>
    <w:rsid w:val="004149AC"/>
    <w:rsid w:val="0041501E"/>
    <w:rsid w:val="00415452"/>
    <w:rsid w:val="00415489"/>
    <w:rsid w:val="004159C3"/>
    <w:rsid w:val="00415A57"/>
    <w:rsid w:val="00416DAC"/>
    <w:rsid w:val="00417F7D"/>
    <w:rsid w:val="00420880"/>
    <w:rsid w:val="00421179"/>
    <w:rsid w:val="004224C7"/>
    <w:rsid w:val="00423EAD"/>
    <w:rsid w:val="004255B1"/>
    <w:rsid w:val="00430810"/>
    <w:rsid w:val="00430C96"/>
    <w:rsid w:val="00431859"/>
    <w:rsid w:val="00431BFF"/>
    <w:rsid w:val="00432043"/>
    <w:rsid w:val="00432199"/>
    <w:rsid w:val="00432A58"/>
    <w:rsid w:val="004331C3"/>
    <w:rsid w:val="00433C17"/>
    <w:rsid w:val="00434459"/>
    <w:rsid w:val="00434617"/>
    <w:rsid w:val="00435051"/>
    <w:rsid w:val="00435C69"/>
    <w:rsid w:val="004360FB"/>
    <w:rsid w:val="00437CED"/>
    <w:rsid w:val="004407BF"/>
    <w:rsid w:val="00440900"/>
    <w:rsid w:val="0044121D"/>
    <w:rsid w:val="00441A7F"/>
    <w:rsid w:val="00441BF6"/>
    <w:rsid w:val="00441D2B"/>
    <w:rsid w:val="00441F8B"/>
    <w:rsid w:val="0044201B"/>
    <w:rsid w:val="00442085"/>
    <w:rsid w:val="0044279E"/>
    <w:rsid w:val="004441A0"/>
    <w:rsid w:val="0044465B"/>
    <w:rsid w:val="00445861"/>
    <w:rsid w:val="00445A8E"/>
    <w:rsid w:val="00445FBE"/>
    <w:rsid w:val="00446D44"/>
    <w:rsid w:val="0045078A"/>
    <w:rsid w:val="0045086D"/>
    <w:rsid w:val="00450DAB"/>
    <w:rsid w:val="004511F3"/>
    <w:rsid w:val="0045125B"/>
    <w:rsid w:val="00451EF1"/>
    <w:rsid w:val="00452E60"/>
    <w:rsid w:val="0045321B"/>
    <w:rsid w:val="00454515"/>
    <w:rsid w:val="004563A7"/>
    <w:rsid w:val="00456FE5"/>
    <w:rsid w:val="00457490"/>
    <w:rsid w:val="00457953"/>
    <w:rsid w:val="004604D8"/>
    <w:rsid w:val="00460656"/>
    <w:rsid w:val="00460FB3"/>
    <w:rsid w:val="00461549"/>
    <w:rsid w:val="004626A4"/>
    <w:rsid w:val="00463D3C"/>
    <w:rsid w:val="00464851"/>
    <w:rsid w:val="0046746A"/>
    <w:rsid w:val="0046782D"/>
    <w:rsid w:val="00467B14"/>
    <w:rsid w:val="004707FE"/>
    <w:rsid w:val="00470EDC"/>
    <w:rsid w:val="004719DF"/>
    <w:rsid w:val="00471B1B"/>
    <w:rsid w:val="0047276D"/>
    <w:rsid w:val="00472AF6"/>
    <w:rsid w:val="00473482"/>
    <w:rsid w:val="00474A04"/>
    <w:rsid w:val="00475A43"/>
    <w:rsid w:val="00476240"/>
    <w:rsid w:val="00476439"/>
    <w:rsid w:val="00476450"/>
    <w:rsid w:val="004769E1"/>
    <w:rsid w:val="0047735C"/>
    <w:rsid w:val="004776BC"/>
    <w:rsid w:val="00477820"/>
    <w:rsid w:val="00477B96"/>
    <w:rsid w:val="004806E2"/>
    <w:rsid w:val="00480BAE"/>
    <w:rsid w:val="00480D16"/>
    <w:rsid w:val="0048139F"/>
    <w:rsid w:val="00481E40"/>
    <w:rsid w:val="00482405"/>
    <w:rsid w:val="004826A7"/>
    <w:rsid w:val="0048368C"/>
    <w:rsid w:val="0048372F"/>
    <w:rsid w:val="00484ECE"/>
    <w:rsid w:val="00485BF2"/>
    <w:rsid w:val="00485E82"/>
    <w:rsid w:val="00486132"/>
    <w:rsid w:val="0048686D"/>
    <w:rsid w:val="00486A4D"/>
    <w:rsid w:val="00486CF6"/>
    <w:rsid w:val="00491466"/>
    <w:rsid w:val="004915CB"/>
    <w:rsid w:val="004924DC"/>
    <w:rsid w:val="00492879"/>
    <w:rsid w:val="00493D59"/>
    <w:rsid w:val="00493E85"/>
    <w:rsid w:val="00494A49"/>
    <w:rsid w:val="00495145"/>
    <w:rsid w:val="0049620B"/>
    <w:rsid w:val="004973CD"/>
    <w:rsid w:val="004979A5"/>
    <w:rsid w:val="004A0144"/>
    <w:rsid w:val="004A036E"/>
    <w:rsid w:val="004A0498"/>
    <w:rsid w:val="004A0D0E"/>
    <w:rsid w:val="004A14E4"/>
    <w:rsid w:val="004A204E"/>
    <w:rsid w:val="004A26A5"/>
    <w:rsid w:val="004A2794"/>
    <w:rsid w:val="004A27F0"/>
    <w:rsid w:val="004A3212"/>
    <w:rsid w:val="004A37CD"/>
    <w:rsid w:val="004A40D9"/>
    <w:rsid w:val="004A49A5"/>
    <w:rsid w:val="004A4F8A"/>
    <w:rsid w:val="004A5494"/>
    <w:rsid w:val="004A5991"/>
    <w:rsid w:val="004A5D4E"/>
    <w:rsid w:val="004A61C5"/>
    <w:rsid w:val="004A62A0"/>
    <w:rsid w:val="004A6558"/>
    <w:rsid w:val="004A7447"/>
    <w:rsid w:val="004A77DF"/>
    <w:rsid w:val="004B12DD"/>
    <w:rsid w:val="004B1417"/>
    <w:rsid w:val="004B15BA"/>
    <w:rsid w:val="004B17C0"/>
    <w:rsid w:val="004B2BB0"/>
    <w:rsid w:val="004B305C"/>
    <w:rsid w:val="004B31B8"/>
    <w:rsid w:val="004B339A"/>
    <w:rsid w:val="004B473B"/>
    <w:rsid w:val="004B49CB"/>
    <w:rsid w:val="004B4C83"/>
    <w:rsid w:val="004B4DE3"/>
    <w:rsid w:val="004B5570"/>
    <w:rsid w:val="004B55B7"/>
    <w:rsid w:val="004B5BFA"/>
    <w:rsid w:val="004B6468"/>
    <w:rsid w:val="004B6EF8"/>
    <w:rsid w:val="004B7121"/>
    <w:rsid w:val="004B7125"/>
    <w:rsid w:val="004B756A"/>
    <w:rsid w:val="004B7D6D"/>
    <w:rsid w:val="004B7FB1"/>
    <w:rsid w:val="004C0B3F"/>
    <w:rsid w:val="004C2189"/>
    <w:rsid w:val="004C2794"/>
    <w:rsid w:val="004C2BB6"/>
    <w:rsid w:val="004C2C2D"/>
    <w:rsid w:val="004C3027"/>
    <w:rsid w:val="004C384C"/>
    <w:rsid w:val="004C3867"/>
    <w:rsid w:val="004C3DB0"/>
    <w:rsid w:val="004C439A"/>
    <w:rsid w:val="004C4720"/>
    <w:rsid w:val="004C4CD0"/>
    <w:rsid w:val="004C5060"/>
    <w:rsid w:val="004C5165"/>
    <w:rsid w:val="004C589C"/>
    <w:rsid w:val="004C5AE8"/>
    <w:rsid w:val="004C6E0E"/>
    <w:rsid w:val="004C70DC"/>
    <w:rsid w:val="004D0211"/>
    <w:rsid w:val="004D0769"/>
    <w:rsid w:val="004D0794"/>
    <w:rsid w:val="004D2E03"/>
    <w:rsid w:val="004D3296"/>
    <w:rsid w:val="004D4056"/>
    <w:rsid w:val="004D4CB0"/>
    <w:rsid w:val="004D5B0F"/>
    <w:rsid w:val="004D7626"/>
    <w:rsid w:val="004E00D2"/>
    <w:rsid w:val="004E186A"/>
    <w:rsid w:val="004E1A40"/>
    <w:rsid w:val="004E200A"/>
    <w:rsid w:val="004E23FC"/>
    <w:rsid w:val="004E2409"/>
    <w:rsid w:val="004E261D"/>
    <w:rsid w:val="004E5763"/>
    <w:rsid w:val="004E57BF"/>
    <w:rsid w:val="004E5F41"/>
    <w:rsid w:val="004E6DE6"/>
    <w:rsid w:val="004E6E07"/>
    <w:rsid w:val="004E73AE"/>
    <w:rsid w:val="004E765E"/>
    <w:rsid w:val="004E7815"/>
    <w:rsid w:val="004F06F5"/>
    <w:rsid w:val="004F12A4"/>
    <w:rsid w:val="004F253F"/>
    <w:rsid w:val="004F33A0"/>
    <w:rsid w:val="004F3BD2"/>
    <w:rsid w:val="004F46ED"/>
    <w:rsid w:val="004F4C99"/>
    <w:rsid w:val="004F5358"/>
    <w:rsid w:val="004F6484"/>
    <w:rsid w:val="004F6539"/>
    <w:rsid w:val="00503784"/>
    <w:rsid w:val="00503D54"/>
    <w:rsid w:val="005048E2"/>
    <w:rsid w:val="00505FC8"/>
    <w:rsid w:val="00506603"/>
    <w:rsid w:val="0050689D"/>
    <w:rsid w:val="005077F5"/>
    <w:rsid w:val="005108C0"/>
    <w:rsid w:val="0051094F"/>
    <w:rsid w:val="005109BD"/>
    <w:rsid w:val="00511217"/>
    <w:rsid w:val="00511873"/>
    <w:rsid w:val="00511DFB"/>
    <w:rsid w:val="00512461"/>
    <w:rsid w:val="00512585"/>
    <w:rsid w:val="00512A2F"/>
    <w:rsid w:val="00513B7C"/>
    <w:rsid w:val="00513B7E"/>
    <w:rsid w:val="00513E9D"/>
    <w:rsid w:val="0051475D"/>
    <w:rsid w:val="00514B11"/>
    <w:rsid w:val="00515485"/>
    <w:rsid w:val="00515BE9"/>
    <w:rsid w:val="00515C74"/>
    <w:rsid w:val="0051630F"/>
    <w:rsid w:val="00517113"/>
    <w:rsid w:val="0052007E"/>
    <w:rsid w:val="005215A9"/>
    <w:rsid w:val="00521CAD"/>
    <w:rsid w:val="0052200D"/>
    <w:rsid w:val="00522E01"/>
    <w:rsid w:val="0052337A"/>
    <w:rsid w:val="00524385"/>
    <w:rsid w:val="005246BE"/>
    <w:rsid w:val="00525137"/>
    <w:rsid w:val="005251DD"/>
    <w:rsid w:val="005251E7"/>
    <w:rsid w:val="00526691"/>
    <w:rsid w:val="0053012B"/>
    <w:rsid w:val="005301A6"/>
    <w:rsid w:val="005308A4"/>
    <w:rsid w:val="00530A68"/>
    <w:rsid w:val="00530AD4"/>
    <w:rsid w:val="00530BF8"/>
    <w:rsid w:val="00531859"/>
    <w:rsid w:val="00531BC0"/>
    <w:rsid w:val="00531C5A"/>
    <w:rsid w:val="005320DD"/>
    <w:rsid w:val="00532CE7"/>
    <w:rsid w:val="00532D8B"/>
    <w:rsid w:val="0053324C"/>
    <w:rsid w:val="00533A8D"/>
    <w:rsid w:val="00534A28"/>
    <w:rsid w:val="00534FC7"/>
    <w:rsid w:val="00535018"/>
    <w:rsid w:val="0053595E"/>
    <w:rsid w:val="00536D6F"/>
    <w:rsid w:val="00537571"/>
    <w:rsid w:val="00540056"/>
    <w:rsid w:val="005410E2"/>
    <w:rsid w:val="00541508"/>
    <w:rsid w:val="00541AE3"/>
    <w:rsid w:val="0054347E"/>
    <w:rsid w:val="00543498"/>
    <w:rsid w:val="00543771"/>
    <w:rsid w:val="00544011"/>
    <w:rsid w:val="00544889"/>
    <w:rsid w:val="00544BE5"/>
    <w:rsid w:val="005455F6"/>
    <w:rsid w:val="0054582F"/>
    <w:rsid w:val="00546B17"/>
    <w:rsid w:val="005500F9"/>
    <w:rsid w:val="00550160"/>
    <w:rsid w:val="005514EA"/>
    <w:rsid w:val="00552306"/>
    <w:rsid w:val="005523A8"/>
    <w:rsid w:val="00552F2C"/>
    <w:rsid w:val="0055305F"/>
    <w:rsid w:val="00553A25"/>
    <w:rsid w:val="005547EB"/>
    <w:rsid w:val="005552D3"/>
    <w:rsid w:val="005555E0"/>
    <w:rsid w:val="0055599F"/>
    <w:rsid w:val="00556D68"/>
    <w:rsid w:val="005570D6"/>
    <w:rsid w:val="00557954"/>
    <w:rsid w:val="00557E0E"/>
    <w:rsid w:val="00557E45"/>
    <w:rsid w:val="00560C41"/>
    <w:rsid w:val="00561F44"/>
    <w:rsid w:val="00562699"/>
    <w:rsid w:val="00562B4D"/>
    <w:rsid w:val="00563EB8"/>
    <w:rsid w:val="00564178"/>
    <w:rsid w:val="005647BF"/>
    <w:rsid w:val="00564AF1"/>
    <w:rsid w:val="005655DB"/>
    <w:rsid w:val="00565E88"/>
    <w:rsid w:val="00566CE9"/>
    <w:rsid w:val="00566EFA"/>
    <w:rsid w:val="005678EE"/>
    <w:rsid w:val="00570270"/>
    <w:rsid w:val="00570464"/>
    <w:rsid w:val="00570BC3"/>
    <w:rsid w:val="0057182A"/>
    <w:rsid w:val="00571E59"/>
    <w:rsid w:val="00572079"/>
    <w:rsid w:val="00572900"/>
    <w:rsid w:val="00573602"/>
    <w:rsid w:val="0057364B"/>
    <w:rsid w:val="00573878"/>
    <w:rsid w:val="00574773"/>
    <w:rsid w:val="00575EF7"/>
    <w:rsid w:val="005761EC"/>
    <w:rsid w:val="00576542"/>
    <w:rsid w:val="00577C07"/>
    <w:rsid w:val="00577DB1"/>
    <w:rsid w:val="00580AD3"/>
    <w:rsid w:val="00580DE7"/>
    <w:rsid w:val="005810E1"/>
    <w:rsid w:val="005839C8"/>
    <w:rsid w:val="00583E52"/>
    <w:rsid w:val="00583FFD"/>
    <w:rsid w:val="00584252"/>
    <w:rsid w:val="00584269"/>
    <w:rsid w:val="0058519A"/>
    <w:rsid w:val="005856BD"/>
    <w:rsid w:val="00586BCA"/>
    <w:rsid w:val="00587038"/>
    <w:rsid w:val="00590B28"/>
    <w:rsid w:val="005911BE"/>
    <w:rsid w:val="00591273"/>
    <w:rsid w:val="00591E9E"/>
    <w:rsid w:val="005927A4"/>
    <w:rsid w:val="00593152"/>
    <w:rsid w:val="00593357"/>
    <w:rsid w:val="005956A3"/>
    <w:rsid w:val="00595958"/>
    <w:rsid w:val="00595CAB"/>
    <w:rsid w:val="0059622E"/>
    <w:rsid w:val="00597671"/>
    <w:rsid w:val="00597BBF"/>
    <w:rsid w:val="005A0948"/>
    <w:rsid w:val="005A0A03"/>
    <w:rsid w:val="005A10F2"/>
    <w:rsid w:val="005A14E1"/>
    <w:rsid w:val="005A21E0"/>
    <w:rsid w:val="005A28FF"/>
    <w:rsid w:val="005A2C09"/>
    <w:rsid w:val="005A357B"/>
    <w:rsid w:val="005A3778"/>
    <w:rsid w:val="005A3DF8"/>
    <w:rsid w:val="005A5549"/>
    <w:rsid w:val="005A55E8"/>
    <w:rsid w:val="005A58F7"/>
    <w:rsid w:val="005A7CF8"/>
    <w:rsid w:val="005A7F67"/>
    <w:rsid w:val="005B0EDA"/>
    <w:rsid w:val="005B121D"/>
    <w:rsid w:val="005B26B0"/>
    <w:rsid w:val="005B41C9"/>
    <w:rsid w:val="005B44E6"/>
    <w:rsid w:val="005B4853"/>
    <w:rsid w:val="005B5054"/>
    <w:rsid w:val="005B5F82"/>
    <w:rsid w:val="005B6CA1"/>
    <w:rsid w:val="005B770C"/>
    <w:rsid w:val="005C06ED"/>
    <w:rsid w:val="005C11B8"/>
    <w:rsid w:val="005C216C"/>
    <w:rsid w:val="005C2319"/>
    <w:rsid w:val="005C2609"/>
    <w:rsid w:val="005C263A"/>
    <w:rsid w:val="005C2B30"/>
    <w:rsid w:val="005C401C"/>
    <w:rsid w:val="005C412B"/>
    <w:rsid w:val="005C43EC"/>
    <w:rsid w:val="005C45DD"/>
    <w:rsid w:val="005C4CB1"/>
    <w:rsid w:val="005D3F06"/>
    <w:rsid w:val="005D4AC7"/>
    <w:rsid w:val="005D4B73"/>
    <w:rsid w:val="005D5645"/>
    <w:rsid w:val="005D5802"/>
    <w:rsid w:val="005D5AA9"/>
    <w:rsid w:val="005D66E6"/>
    <w:rsid w:val="005D7119"/>
    <w:rsid w:val="005D76C8"/>
    <w:rsid w:val="005D7890"/>
    <w:rsid w:val="005E0204"/>
    <w:rsid w:val="005E0790"/>
    <w:rsid w:val="005E19C1"/>
    <w:rsid w:val="005E2194"/>
    <w:rsid w:val="005E24F0"/>
    <w:rsid w:val="005E36FE"/>
    <w:rsid w:val="005E391F"/>
    <w:rsid w:val="005E3F66"/>
    <w:rsid w:val="005E490F"/>
    <w:rsid w:val="005E4BC9"/>
    <w:rsid w:val="005E5314"/>
    <w:rsid w:val="005E60E1"/>
    <w:rsid w:val="005E7C78"/>
    <w:rsid w:val="005F04A7"/>
    <w:rsid w:val="005F08F0"/>
    <w:rsid w:val="005F114F"/>
    <w:rsid w:val="005F18C5"/>
    <w:rsid w:val="005F2A08"/>
    <w:rsid w:val="005F2D91"/>
    <w:rsid w:val="005F36CC"/>
    <w:rsid w:val="005F3EB1"/>
    <w:rsid w:val="005F413E"/>
    <w:rsid w:val="005F466B"/>
    <w:rsid w:val="005F46D8"/>
    <w:rsid w:val="005F480F"/>
    <w:rsid w:val="005F4FC3"/>
    <w:rsid w:val="005F5469"/>
    <w:rsid w:val="005F63F3"/>
    <w:rsid w:val="005F66F0"/>
    <w:rsid w:val="005F6D7F"/>
    <w:rsid w:val="005F7174"/>
    <w:rsid w:val="005F7E79"/>
    <w:rsid w:val="00601AA5"/>
    <w:rsid w:val="00601ADE"/>
    <w:rsid w:val="00601EA4"/>
    <w:rsid w:val="00601EEF"/>
    <w:rsid w:val="0060255A"/>
    <w:rsid w:val="00602EB3"/>
    <w:rsid w:val="00603F18"/>
    <w:rsid w:val="00604307"/>
    <w:rsid w:val="0060487F"/>
    <w:rsid w:val="00604EAD"/>
    <w:rsid w:val="0060513F"/>
    <w:rsid w:val="0060694B"/>
    <w:rsid w:val="006104FB"/>
    <w:rsid w:val="00610E7F"/>
    <w:rsid w:val="00611113"/>
    <w:rsid w:val="0061176D"/>
    <w:rsid w:val="0061200F"/>
    <w:rsid w:val="00612756"/>
    <w:rsid w:val="00612A2F"/>
    <w:rsid w:val="00612AAE"/>
    <w:rsid w:val="00612BB0"/>
    <w:rsid w:val="00612FD9"/>
    <w:rsid w:val="006139E0"/>
    <w:rsid w:val="00614D35"/>
    <w:rsid w:val="00614FD6"/>
    <w:rsid w:val="0061541C"/>
    <w:rsid w:val="006156B4"/>
    <w:rsid w:val="00615DAF"/>
    <w:rsid w:val="00616E05"/>
    <w:rsid w:val="00616F73"/>
    <w:rsid w:val="00617985"/>
    <w:rsid w:val="00620B77"/>
    <w:rsid w:val="0062131B"/>
    <w:rsid w:val="00621E26"/>
    <w:rsid w:val="0062263A"/>
    <w:rsid w:val="006227DF"/>
    <w:rsid w:val="006236C8"/>
    <w:rsid w:val="00624093"/>
    <w:rsid w:val="006254AE"/>
    <w:rsid w:val="00625A84"/>
    <w:rsid w:val="00626079"/>
    <w:rsid w:val="00630346"/>
    <w:rsid w:val="00631698"/>
    <w:rsid w:val="00631989"/>
    <w:rsid w:val="00631E44"/>
    <w:rsid w:val="00634C57"/>
    <w:rsid w:val="00634CE7"/>
    <w:rsid w:val="006350D5"/>
    <w:rsid w:val="0063642C"/>
    <w:rsid w:val="00637858"/>
    <w:rsid w:val="006404A7"/>
    <w:rsid w:val="00640A38"/>
    <w:rsid w:val="00640E6B"/>
    <w:rsid w:val="00641787"/>
    <w:rsid w:val="0064179B"/>
    <w:rsid w:val="006417C0"/>
    <w:rsid w:val="00642489"/>
    <w:rsid w:val="00644055"/>
    <w:rsid w:val="00644137"/>
    <w:rsid w:val="0064478C"/>
    <w:rsid w:val="00645160"/>
    <w:rsid w:val="006451E4"/>
    <w:rsid w:val="00645B33"/>
    <w:rsid w:val="006479A4"/>
    <w:rsid w:val="00647BC3"/>
    <w:rsid w:val="006516CB"/>
    <w:rsid w:val="006539DD"/>
    <w:rsid w:val="00653BD0"/>
    <w:rsid w:val="00654110"/>
    <w:rsid w:val="006542AF"/>
    <w:rsid w:val="00656C5D"/>
    <w:rsid w:val="00656CFB"/>
    <w:rsid w:val="00657E87"/>
    <w:rsid w:val="00660B4C"/>
    <w:rsid w:val="00660D2D"/>
    <w:rsid w:val="00661C41"/>
    <w:rsid w:val="00661EC9"/>
    <w:rsid w:val="00662198"/>
    <w:rsid w:val="00662469"/>
    <w:rsid w:val="00662BBA"/>
    <w:rsid w:val="006632F5"/>
    <w:rsid w:val="0066411C"/>
    <w:rsid w:val="00664205"/>
    <w:rsid w:val="00664647"/>
    <w:rsid w:val="00664803"/>
    <w:rsid w:val="006653CC"/>
    <w:rsid w:val="00665678"/>
    <w:rsid w:val="00665982"/>
    <w:rsid w:val="00665BA4"/>
    <w:rsid w:val="00666BF3"/>
    <w:rsid w:val="00667856"/>
    <w:rsid w:val="00667AF2"/>
    <w:rsid w:val="00670489"/>
    <w:rsid w:val="006710C9"/>
    <w:rsid w:val="00672586"/>
    <w:rsid w:val="0067262A"/>
    <w:rsid w:val="006741CD"/>
    <w:rsid w:val="0067483A"/>
    <w:rsid w:val="00674D89"/>
    <w:rsid w:val="00674E3E"/>
    <w:rsid w:val="0067514E"/>
    <w:rsid w:val="00675B3D"/>
    <w:rsid w:val="00675E37"/>
    <w:rsid w:val="00676736"/>
    <w:rsid w:val="006769A4"/>
    <w:rsid w:val="006769C6"/>
    <w:rsid w:val="00676D76"/>
    <w:rsid w:val="00676F9F"/>
    <w:rsid w:val="00677591"/>
    <w:rsid w:val="00677594"/>
    <w:rsid w:val="0068032F"/>
    <w:rsid w:val="00680D37"/>
    <w:rsid w:val="0068135D"/>
    <w:rsid w:val="0068174E"/>
    <w:rsid w:val="00681DCE"/>
    <w:rsid w:val="00682519"/>
    <w:rsid w:val="0068260E"/>
    <w:rsid w:val="006831EE"/>
    <w:rsid w:val="006846B3"/>
    <w:rsid w:val="00684D59"/>
    <w:rsid w:val="00684E25"/>
    <w:rsid w:val="006850E9"/>
    <w:rsid w:val="006858A4"/>
    <w:rsid w:val="00686718"/>
    <w:rsid w:val="00686BFA"/>
    <w:rsid w:val="00686DED"/>
    <w:rsid w:val="006875A0"/>
    <w:rsid w:val="006878C6"/>
    <w:rsid w:val="00687D27"/>
    <w:rsid w:val="00691943"/>
    <w:rsid w:val="00693550"/>
    <w:rsid w:val="0069430A"/>
    <w:rsid w:val="00695065"/>
    <w:rsid w:val="00695BEF"/>
    <w:rsid w:val="00696251"/>
    <w:rsid w:val="006963A7"/>
    <w:rsid w:val="006966C7"/>
    <w:rsid w:val="006968C1"/>
    <w:rsid w:val="006977F6"/>
    <w:rsid w:val="00697A13"/>
    <w:rsid w:val="00697A57"/>
    <w:rsid w:val="006A0A71"/>
    <w:rsid w:val="006A0DD4"/>
    <w:rsid w:val="006A109C"/>
    <w:rsid w:val="006A3C12"/>
    <w:rsid w:val="006A3C29"/>
    <w:rsid w:val="006A48E8"/>
    <w:rsid w:val="006A5F4B"/>
    <w:rsid w:val="006A6565"/>
    <w:rsid w:val="006A7691"/>
    <w:rsid w:val="006A7EE2"/>
    <w:rsid w:val="006B0514"/>
    <w:rsid w:val="006B0F92"/>
    <w:rsid w:val="006B2785"/>
    <w:rsid w:val="006B27C7"/>
    <w:rsid w:val="006B344A"/>
    <w:rsid w:val="006B4197"/>
    <w:rsid w:val="006B4F43"/>
    <w:rsid w:val="006B58C9"/>
    <w:rsid w:val="006B60ED"/>
    <w:rsid w:val="006B6CC5"/>
    <w:rsid w:val="006B74AC"/>
    <w:rsid w:val="006B78D8"/>
    <w:rsid w:val="006B79EA"/>
    <w:rsid w:val="006C0221"/>
    <w:rsid w:val="006C0C5D"/>
    <w:rsid w:val="006C113F"/>
    <w:rsid w:val="006C123E"/>
    <w:rsid w:val="006C12B6"/>
    <w:rsid w:val="006C15A1"/>
    <w:rsid w:val="006C1752"/>
    <w:rsid w:val="006C1DDC"/>
    <w:rsid w:val="006C24F9"/>
    <w:rsid w:val="006C28CA"/>
    <w:rsid w:val="006C2BBF"/>
    <w:rsid w:val="006C2FBD"/>
    <w:rsid w:val="006C358B"/>
    <w:rsid w:val="006C4355"/>
    <w:rsid w:val="006C469D"/>
    <w:rsid w:val="006C46B5"/>
    <w:rsid w:val="006C46F7"/>
    <w:rsid w:val="006C484F"/>
    <w:rsid w:val="006C52EC"/>
    <w:rsid w:val="006C56D4"/>
    <w:rsid w:val="006C6681"/>
    <w:rsid w:val="006C67EC"/>
    <w:rsid w:val="006C683C"/>
    <w:rsid w:val="006C6924"/>
    <w:rsid w:val="006C69D4"/>
    <w:rsid w:val="006C6C1E"/>
    <w:rsid w:val="006C7076"/>
    <w:rsid w:val="006C73D7"/>
    <w:rsid w:val="006C7AEC"/>
    <w:rsid w:val="006C7CA6"/>
    <w:rsid w:val="006D15FC"/>
    <w:rsid w:val="006D18B3"/>
    <w:rsid w:val="006D190F"/>
    <w:rsid w:val="006D1E89"/>
    <w:rsid w:val="006D1F0B"/>
    <w:rsid w:val="006D317E"/>
    <w:rsid w:val="006D3D6B"/>
    <w:rsid w:val="006D3E8A"/>
    <w:rsid w:val="006D5925"/>
    <w:rsid w:val="006D61F6"/>
    <w:rsid w:val="006D6ED0"/>
    <w:rsid w:val="006D7837"/>
    <w:rsid w:val="006E1332"/>
    <w:rsid w:val="006E279A"/>
    <w:rsid w:val="006E313B"/>
    <w:rsid w:val="006E34B2"/>
    <w:rsid w:val="006E3A45"/>
    <w:rsid w:val="006E4078"/>
    <w:rsid w:val="006E53AD"/>
    <w:rsid w:val="006E58CB"/>
    <w:rsid w:val="006E6195"/>
    <w:rsid w:val="006E7227"/>
    <w:rsid w:val="006E761A"/>
    <w:rsid w:val="006F0741"/>
    <w:rsid w:val="006F1C27"/>
    <w:rsid w:val="006F2882"/>
    <w:rsid w:val="006F2A65"/>
    <w:rsid w:val="006F3DD6"/>
    <w:rsid w:val="006F40DF"/>
    <w:rsid w:val="006F42BB"/>
    <w:rsid w:val="006F438E"/>
    <w:rsid w:val="006F440B"/>
    <w:rsid w:val="006F48A3"/>
    <w:rsid w:val="006F5416"/>
    <w:rsid w:val="006F624B"/>
    <w:rsid w:val="006F6D87"/>
    <w:rsid w:val="006F77B7"/>
    <w:rsid w:val="007004F2"/>
    <w:rsid w:val="0070398A"/>
    <w:rsid w:val="00705242"/>
    <w:rsid w:val="007055E0"/>
    <w:rsid w:val="007056ED"/>
    <w:rsid w:val="00705F4E"/>
    <w:rsid w:val="007065C5"/>
    <w:rsid w:val="007068E1"/>
    <w:rsid w:val="00706AA0"/>
    <w:rsid w:val="00706AD4"/>
    <w:rsid w:val="00707150"/>
    <w:rsid w:val="00710AF0"/>
    <w:rsid w:val="007119CB"/>
    <w:rsid w:val="007124D7"/>
    <w:rsid w:val="00712C20"/>
    <w:rsid w:val="00713549"/>
    <w:rsid w:val="007140BE"/>
    <w:rsid w:val="007147AB"/>
    <w:rsid w:val="00715502"/>
    <w:rsid w:val="00715B9E"/>
    <w:rsid w:val="00715E4D"/>
    <w:rsid w:val="0071677A"/>
    <w:rsid w:val="00716F48"/>
    <w:rsid w:val="00717096"/>
    <w:rsid w:val="00717114"/>
    <w:rsid w:val="0071779F"/>
    <w:rsid w:val="00720CB6"/>
    <w:rsid w:val="007211F5"/>
    <w:rsid w:val="00721601"/>
    <w:rsid w:val="00722777"/>
    <w:rsid w:val="007230C9"/>
    <w:rsid w:val="00723435"/>
    <w:rsid w:val="00723436"/>
    <w:rsid w:val="007235C9"/>
    <w:rsid w:val="007240E2"/>
    <w:rsid w:val="0072454C"/>
    <w:rsid w:val="0072531B"/>
    <w:rsid w:val="0072583E"/>
    <w:rsid w:val="00725BB5"/>
    <w:rsid w:val="00727C02"/>
    <w:rsid w:val="0073008E"/>
    <w:rsid w:val="00730AE8"/>
    <w:rsid w:val="00730F1B"/>
    <w:rsid w:val="00731616"/>
    <w:rsid w:val="0073186D"/>
    <w:rsid w:val="00731C73"/>
    <w:rsid w:val="007325BA"/>
    <w:rsid w:val="0073333D"/>
    <w:rsid w:val="007343D9"/>
    <w:rsid w:val="00734451"/>
    <w:rsid w:val="00734E87"/>
    <w:rsid w:val="00734F71"/>
    <w:rsid w:val="00735448"/>
    <w:rsid w:val="00736F07"/>
    <w:rsid w:val="007377BD"/>
    <w:rsid w:val="0073789B"/>
    <w:rsid w:val="00737DEC"/>
    <w:rsid w:val="0074004D"/>
    <w:rsid w:val="00741493"/>
    <w:rsid w:val="0074297B"/>
    <w:rsid w:val="007434E5"/>
    <w:rsid w:val="0074499B"/>
    <w:rsid w:val="007450BF"/>
    <w:rsid w:val="00745E3F"/>
    <w:rsid w:val="007471A1"/>
    <w:rsid w:val="007471EF"/>
    <w:rsid w:val="007477BD"/>
    <w:rsid w:val="00747EE9"/>
    <w:rsid w:val="00752126"/>
    <w:rsid w:val="00752180"/>
    <w:rsid w:val="00752323"/>
    <w:rsid w:val="007532B7"/>
    <w:rsid w:val="00753CAB"/>
    <w:rsid w:val="00754A70"/>
    <w:rsid w:val="00754BC9"/>
    <w:rsid w:val="00755202"/>
    <w:rsid w:val="007558AE"/>
    <w:rsid w:val="00755D3A"/>
    <w:rsid w:val="00757241"/>
    <w:rsid w:val="0075751D"/>
    <w:rsid w:val="0075763E"/>
    <w:rsid w:val="007578D3"/>
    <w:rsid w:val="00757C31"/>
    <w:rsid w:val="00757F49"/>
    <w:rsid w:val="007602CF"/>
    <w:rsid w:val="00760391"/>
    <w:rsid w:val="007609C6"/>
    <w:rsid w:val="007615F3"/>
    <w:rsid w:val="0076175D"/>
    <w:rsid w:val="00761CB5"/>
    <w:rsid w:val="007629D5"/>
    <w:rsid w:val="007635F8"/>
    <w:rsid w:val="00763B85"/>
    <w:rsid w:val="00763C9F"/>
    <w:rsid w:val="0076421A"/>
    <w:rsid w:val="00764974"/>
    <w:rsid w:val="00764D18"/>
    <w:rsid w:val="0076521E"/>
    <w:rsid w:val="00765BCC"/>
    <w:rsid w:val="0076600D"/>
    <w:rsid w:val="007661E9"/>
    <w:rsid w:val="00766460"/>
    <w:rsid w:val="00767062"/>
    <w:rsid w:val="00767777"/>
    <w:rsid w:val="00770CFC"/>
    <w:rsid w:val="00771274"/>
    <w:rsid w:val="0077130E"/>
    <w:rsid w:val="007715EE"/>
    <w:rsid w:val="00771972"/>
    <w:rsid w:val="00772279"/>
    <w:rsid w:val="00772DAB"/>
    <w:rsid w:val="00772FF9"/>
    <w:rsid w:val="00774CEF"/>
    <w:rsid w:val="00774D2C"/>
    <w:rsid w:val="00775204"/>
    <w:rsid w:val="007754B9"/>
    <w:rsid w:val="0077605B"/>
    <w:rsid w:val="00776169"/>
    <w:rsid w:val="00776527"/>
    <w:rsid w:val="00776DD8"/>
    <w:rsid w:val="00777040"/>
    <w:rsid w:val="00777CE6"/>
    <w:rsid w:val="00777D2D"/>
    <w:rsid w:val="00780EF1"/>
    <w:rsid w:val="00781A91"/>
    <w:rsid w:val="00781F36"/>
    <w:rsid w:val="0078236A"/>
    <w:rsid w:val="00785778"/>
    <w:rsid w:val="00785BE1"/>
    <w:rsid w:val="00786C87"/>
    <w:rsid w:val="0078755E"/>
    <w:rsid w:val="007877C9"/>
    <w:rsid w:val="00790764"/>
    <w:rsid w:val="0079085F"/>
    <w:rsid w:val="00790E96"/>
    <w:rsid w:val="00791005"/>
    <w:rsid w:val="0079117A"/>
    <w:rsid w:val="00792E9C"/>
    <w:rsid w:val="00793D78"/>
    <w:rsid w:val="0079420B"/>
    <w:rsid w:val="0079453C"/>
    <w:rsid w:val="00794677"/>
    <w:rsid w:val="00795759"/>
    <w:rsid w:val="00797A76"/>
    <w:rsid w:val="007A170B"/>
    <w:rsid w:val="007A20EB"/>
    <w:rsid w:val="007A282C"/>
    <w:rsid w:val="007A293C"/>
    <w:rsid w:val="007A2A3A"/>
    <w:rsid w:val="007A33E2"/>
    <w:rsid w:val="007A3CAF"/>
    <w:rsid w:val="007A4782"/>
    <w:rsid w:val="007A4CE6"/>
    <w:rsid w:val="007A516D"/>
    <w:rsid w:val="007A5E65"/>
    <w:rsid w:val="007A65E1"/>
    <w:rsid w:val="007A6AAA"/>
    <w:rsid w:val="007A6AC6"/>
    <w:rsid w:val="007A7033"/>
    <w:rsid w:val="007A775D"/>
    <w:rsid w:val="007B0834"/>
    <w:rsid w:val="007B0E83"/>
    <w:rsid w:val="007B11FA"/>
    <w:rsid w:val="007B1396"/>
    <w:rsid w:val="007B16D6"/>
    <w:rsid w:val="007B2011"/>
    <w:rsid w:val="007B2CFE"/>
    <w:rsid w:val="007B309B"/>
    <w:rsid w:val="007B3172"/>
    <w:rsid w:val="007B3D5E"/>
    <w:rsid w:val="007B3DCB"/>
    <w:rsid w:val="007B5725"/>
    <w:rsid w:val="007B5C1F"/>
    <w:rsid w:val="007B5E46"/>
    <w:rsid w:val="007B6689"/>
    <w:rsid w:val="007B6747"/>
    <w:rsid w:val="007B6F72"/>
    <w:rsid w:val="007C05A5"/>
    <w:rsid w:val="007C10BD"/>
    <w:rsid w:val="007C1F0C"/>
    <w:rsid w:val="007C1FFB"/>
    <w:rsid w:val="007C2D94"/>
    <w:rsid w:val="007C3423"/>
    <w:rsid w:val="007C3CFE"/>
    <w:rsid w:val="007C3FBC"/>
    <w:rsid w:val="007C54F1"/>
    <w:rsid w:val="007C5F92"/>
    <w:rsid w:val="007C6227"/>
    <w:rsid w:val="007C6BBD"/>
    <w:rsid w:val="007C6D89"/>
    <w:rsid w:val="007C6F5E"/>
    <w:rsid w:val="007D0382"/>
    <w:rsid w:val="007D0E63"/>
    <w:rsid w:val="007D14FE"/>
    <w:rsid w:val="007D1A1F"/>
    <w:rsid w:val="007D2869"/>
    <w:rsid w:val="007D2E18"/>
    <w:rsid w:val="007D34AE"/>
    <w:rsid w:val="007D40DF"/>
    <w:rsid w:val="007D42E5"/>
    <w:rsid w:val="007D4458"/>
    <w:rsid w:val="007D6AF9"/>
    <w:rsid w:val="007D77FB"/>
    <w:rsid w:val="007E0535"/>
    <w:rsid w:val="007E0D4A"/>
    <w:rsid w:val="007E0F75"/>
    <w:rsid w:val="007E1590"/>
    <w:rsid w:val="007E1788"/>
    <w:rsid w:val="007E1EC5"/>
    <w:rsid w:val="007E1EE3"/>
    <w:rsid w:val="007E29B4"/>
    <w:rsid w:val="007E2F12"/>
    <w:rsid w:val="007E3D86"/>
    <w:rsid w:val="007E435A"/>
    <w:rsid w:val="007E445C"/>
    <w:rsid w:val="007E49F7"/>
    <w:rsid w:val="007E4C70"/>
    <w:rsid w:val="007E580F"/>
    <w:rsid w:val="007E5B5F"/>
    <w:rsid w:val="007E5BA1"/>
    <w:rsid w:val="007E7242"/>
    <w:rsid w:val="007E78B6"/>
    <w:rsid w:val="007E7E61"/>
    <w:rsid w:val="007F0845"/>
    <w:rsid w:val="007F0873"/>
    <w:rsid w:val="007F17D4"/>
    <w:rsid w:val="007F208B"/>
    <w:rsid w:val="007F20F3"/>
    <w:rsid w:val="007F2353"/>
    <w:rsid w:val="007F2390"/>
    <w:rsid w:val="007F2CAC"/>
    <w:rsid w:val="007F4740"/>
    <w:rsid w:val="007F595A"/>
    <w:rsid w:val="007F5C38"/>
    <w:rsid w:val="007F708D"/>
    <w:rsid w:val="008006B3"/>
    <w:rsid w:val="00800B63"/>
    <w:rsid w:val="0080158A"/>
    <w:rsid w:val="00801E13"/>
    <w:rsid w:val="00803008"/>
    <w:rsid w:val="00803069"/>
    <w:rsid w:val="0080346B"/>
    <w:rsid w:val="00804155"/>
    <w:rsid w:val="0080559E"/>
    <w:rsid w:val="00805AF3"/>
    <w:rsid w:val="00807104"/>
    <w:rsid w:val="0080734C"/>
    <w:rsid w:val="00807C82"/>
    <w:rsid w:val="00810E62"/>
    <w:rsid w:val="008117CC"/>
    <w:rsid w:val="00811CEC"/>
    <w:rsid w:val="008128B2"/>
    <w:rsid w:val="00813B27"/>
    <w:rsid w:val="00813D58"/>
    <w:rsid w:val="00813DCA"/>
    <w:rsid w:val="008146F7"/>
    <w:rsid w:val="008161A6"/>
    <w:rsid w:val="008165B8"/>
    <w:rsid w:val="00816905"/>
    <w:rsid w:val="00816BCA"/>
    <w:rsid w:val="00816D98"/>
    <w:rsid w:val="00816E42"/>
    <w:rsid w:val="00817040"/>
    <w:rsid w:val="00817A17"/>
    <w:rsid w:val="00817DF8"/>
    <w:rsid w:val="00817EC1"/>
    <w:rsid w:val="0082112D"/>
    <w:rsid w:val="00821FF6"/>
    <w:rsid w:val="00822574"/>
    <w:rsid w:val="00822980"/>
    <w:rsid w:val="00822E58"/>
    <w:rsid w:val="00822F08"/>
    <w:rsid w:val="00825623"/>
    <w:rsid w:val="00825C4D"/>
    <w:rsid w:val="00826A08"/>
    <w:rsid w:val="00826AC0"/>
    <w:rsid w:val="00827186"/>
    <w:rsid w:val="00827C8E"/>
    <w:rsid w:val="00830569"/>
    <w:rsid w:val="00830AEA"/>
    <w:rsid w:val="00830E86"/>
    <w:rsid w:val="0083143E"/>
    <w:rsid w:val="008315B8"/>
    <w:rsid w:val="008315D5"/>
    <w:rsid w:val="00831793"/>
    <w:rsid w:val="00831CDE"/>
    <w:rsid w:val="00831E88"/>
    <w:rsid w:val="00831F2B"/>
    <w:rsid w:val="00831F7B"/>
    <w:rsid w:val="00832F77"/>
    <w:rsid w:val="00834304"/>
    <w:rsid w:val="00834FAA"/>
    <w:rsid w:val="008354FB"/>
    <w:rsid w:val="00835FF1"/>
    <w:rsid w:val="00836086"/>
    <w:rsid w:val="0083630F"/>
    <w:rsid w:val="00836A06"/>
    <w:rsid w:val="008374BC"/>
    <w:rsid w:val="008379D6"/>
    <w:rsid w:val="00837E48"/>
    <w:rsid w:val="00840293"/>
    <w:rsid w:val="008402AD"/>
    <w:rsid w:val="008408D4"/>
    <w:rsid w:val="008417B5"/>
    <w:rsid w:val="00841901"/>
    <w:rsid w:val="00842D20"/>
    <w:rsid w:val="008430FD"/>
    <w:rsid w:val="008458BD"/>
    <w:rsid w:val="00846121"/>
    <w:rsid w:val="008461C2"/>
    <w:rsid w:val="008462F1"/>
    <w:rsid w:val="008466C6"/>
    <w:rsid w:val="0084708F"/>
    <w:rsid w:val="008477C8"/>
    <w:rsid w:val="008478A6"/>
    <w:rsid w:val="008502F6"/>
    <w:rsid w:val="0085114D"/>
    <w:rsid w:val="00851A1F"/>
    <w:rsid w:val="00851B1C"/>
    <w:rsid w:val="008520A8"/>
    <w:rsid w:val="00852217"/>
    <w:rsid w:val="00853282"/>
    <w:rsid w:val="0085334C"/>
    <w:rsid w:val="00853FD1"/>
    <w:rsid w:val="008543DC"/>
    <w:rsid w:val="0085533F"/>
    <w:rsid w:val="00855408"/>
    <w:rsid w:val="00855D03"/>
    <w:rsid w:val="00856D65"/>
    <w:rsid w:val="008575AC"/>
    <w:rsid w:val="00860903"/>
    <w:rsid w:val="008611E0"/>
    <w:rsid w:val="00861B41"/>
    <w:rsid w:val="00861B9F"/>
    <w:rsid w:val="00861BE3"/>
    <w:rsid w:val="008625D3"/>
    <w:rsid w:val="00863434"/>
    <w:rsid w:val="0086344F"/>
    <w:rsid w:val="008641AC"/>
    <w:rsid w:val="00864E1F"/>
    <w:rsid w:val="00865E4C"/>
    <w:rsid w:val="00866413"/>
    <w:rsid w:val="00866494"/>
    <w:rsid w:val="00867546"/>
    <w:rsid w:val="0086796D"/>
    <w:rsid w:val="00867DAB"/>
    <w:rsid w:val="0087000B"/>
    <w:rsid w:val="008701E4"/>
    <w:rsid w:val="008704E9"/>
    <w:rsid w:val="00870ECD"/>
    <w:rsid w:val="0087347C"/>
    <w:rsid w:val="008734E7"/>
    <w:rsid w:val="0087368D"/>
    <w:rsid w:val="008740CC"/>
    <w:rsid w:val="00874FE8"/>
    <w:rsid w:val="00875A32"/>
    <w:rsid w:val="00876086"/>
    <w:rsid w:val="00876E83"/>
    <w:rsid w:val="008772BC"/>
    <w:rsid w:val="00880A0E"/>
    <w:rsid w:val="008817FE"/>
    <w:rsid w:val="00881CD7"/>
    <w:rsid w:val="00882911"/>
    <w:rsid w:val="00882F6E"/>
    <w:rsid w:val="00883859"/>
    <w:rsid w:val="00884E02"/>
    <w:rsid w:val="00885451"/>
    <w:rsid w:val="00885D40"/>
    <w:rsid w:val="00886293"/>
    <w:rsid w:val="00886D47"/>
    <w:rsid w:val="00887337"/>
    <w:rsid w:val="008873D4"/>
    <w:rsid w:val="00887780"/>
    <w:rsid w:val="00887E06"/>
    <w:rsid w:val="00891EDF"/>
    <w:rsid w:val="00892872"/>
    <w:rsid w:val="0089296D"/>
    <w:rsid w:val="00892D9E"/>
    <w:rsid w:val="00893E85"/>
    <w:rsid w:val="00893EBE"/>
    <w:rsid w:val="00894031"/>
    <w:rsid w:val="00894C5D"/>
    <w:rsid w:val="00895508"/>
    <w:rsid w:val="008967E9"/>
    <w:rsid w:val="00896A5C"/>
    <w:rsid w:val="008972D2"/>
    <w:rsid w:val="0089754C"/>
    <w:rsid w:val="008A0995"/>
    <w:rsid w:val="008A0ADD"/>
    <w:rsid w:val="008A0D27"/>
    <w:rsid w:val="008A1C59"/>
    <w:rsid w:val="008A37E2"/>
    <w:rsid w:val="008A388E"/>
    <w:rsid w:val="008A394E"/>
    <w:rsid w:val="008A3CBA"/>
    <w:rsid w:val="008A412A"/>
    <w:rsid w:val="008A4B59"/>
    <w:rsid w:val="008A63E1"/>
    <w:rsid w:val="008A66B7"/>
    <w:rsid w:val="008A68BB"/>
    <w:rsid w:val="008A6AA5"/>
    <w:rsid w:val="008A7127"/>
    <w:rsid w:val="008A71DF"/>
    <w:rsid w:val="008B042B"/>
    <w:rsid w:val="008B3537"/>
    <w:rsid w:val="008B3690"/>
    <w:rsid w:val="008B3701"/>
    <w:rsid w:val="008B3A80"/>
    <w:rsid w:val="008B3AEC"/>
    <w:rsid w:val="008B3C07"/>
    <w:rsid w:val="008B3F7B"/>
    <w:rsid w:val="008B5324"/>
    <w:rsid w:val="008B5F78"/>
    <w:rsid w:val="008B6106"/>
    <w:rsid w:val="008B64CC"/>
    <w:rsid w:val="008B7C02"/>
    <w:rsid w:val="008B7D2B"/>
    <w:rsid w:val="008B7EF9"/>
    <w:rsid w:val="008C0049"/>
    <w:rsid w:val="008C0314"/>
    <w:rsid w:val="008C0E88"/>
    <w:rsid w:val="008C1717"/>
    <w:rsid w:val="008C3F3D"/>
    <w:rsid w:val="008C4B50"/>
    <w:rsid w:val="008C5A37"/>
    <w:rsid w:val="008C7569"/>
    <w:rsid w:val="008C79C3"/>
    <w:rsid w:val="008D018F"/>
    <w:rsid w:val="008D033D"/>
    <w:rsid w:val="008D0DBD"/>
    <w:rsid w:val="008D117E"/>
    <w:rsid w:val="008D127E"/>
    <w:rsid w:val="008D18EF"/>
    <w:rsid w:val="008D1CA8"/>
    <w:rsid w:val="008D1E0A"/>
    <w:rsid w:val="008D1E6A"/>
    <w:rsid w:val="008D2A16"/>
    <w:rsid w:val="008D30AF"/>
    <w:rsid w:val="008D33F5"/>
    <w:rsid w:val="008D35E4"/>
    <w:rsid w:val="008D37BF"/>
    <w:rsid w:val="008D6C3A"/>
    <w:rsid w:val="008D6C5F"/>
    <w:rsid w:val="008E0001"/>
    <w:rsid w:val="008E292B"/>
    <w:rsid w:val="008E2C57"/>
    <w:rsid w:val="008E31FF"/>
    <w:rsid w:val="008E3287"/>
    <w:rsid w:val="008E6DCB"/>
    <w:rsid w:val="008E6F06"/>
    <w:rsid w:val="008E7B8E"/>
    <w:rsid w:val="008E7FC9"/>
    <w:rsid w:val="008F0107"/>
    <w:rsid w:val="008F029B"/>
    <w:rsid w:val="008F0589"/>
    <w:rsid w:val="008F26DB"/>
    <w:rsid w:val="008F2A5D"/>
    <w:rsid w:val="008F3636"/>
    <w:rsid w:val="008F3FC9"/>
    <w:rsid w:val="008F509F"/>
    <w:rsid w:val="008F5383"/>
    <w:rsid w:val="008F585B"/>
    <w:rsid w:val="008F7FB0"/>
    <w:rsid w:val="009003A8"/>
    <w:rsid w:val="009005E4"/>
    <w:rsid w:val="00900977"/>
    <w:rsid w:val="009021DA"/>
    <w:rsid w:val="00902500"/>
    <w:rsid w:val="009027F4"/>
    <w:rsid w:val="00902E73"/>
    <w:rsid w:val="00902EFF"/>
    <w:rsid w:val="00903A8E"/>
    <w:rsid w:val="00904010"/>
    <w:rsid w:val="0090432C"/>
    <w:rsid w:val="0090465F"/>
    <w:rsid w:val="00904F96"/>
    <w:rsid w:val="009052A3"/>
    <w:rsid w:val="00905314"/>
    <w:rsid w:val="009053B0"/>
    <w:rsid w:val="009056D7"/>
    <w:rsid w:val="00905B4D"/>
    <w:rsid w:val="00905B8D"/>
    <w:rsid w:val="00906401"/>
    <w:rsid w:val="009065CB"/>
    <w:rsid w:val="009067EA"/>
    <w:rsid w:val="00906B79"/>
    <w:rsid w:val="0090786F"/>
    <w:rsid w:val="0091001E"/>
    <w:rsid w:val="00910C18"/>
    <w:rsid w:val="009110F7"/>
    <w:rsid w:val="0091155E"/>
    <w:rsid w:val="0091239D"/>
    <w:rsid w:val="00912437"/>
    <w:rsid w:val="00912A92"/>
    <w:rsid w:val="00915D07"/>
    <w:rsid w:val="009162AE"/>
    <w:rsid w:val="00917251"/>
    <w:rsid w:val="0091728D"/>
    <w:rsid w:val="009203CC"/>
    <w:rsid w:val="00920EC4"/>
    <w:rsid w:val="0092180B"/>
    <w:rsid w:val="00921F14"/>
    <w:rsid w:val="0092292F"/>
    <w:rsid w:val="00922FF3"/>
    <w:rsid w:val="00923CB0"/>
    <w:rsid w:val="00923D8C"/>
    <w:rsid w:val="00924871"/>
    <w:rsid w:val="00924AC8"/>
    <w:rsid w:val="00925429"/>
    <w:rsid w:val="00925615"/>
    <w:rsid w:val="0092597A"/>
    <w:rsid w:val="00926520"/>
    <w:rsid w:val="00926CF0"/>
    <w:rsid w:val="009273A9"/>
    <w:rsid w:val="00930251"/>
    <w:rsid w:val="0093033E"/>
    <w:rsid w:val="009305FC"/>
    <w:rsid w:val="00930FB1"/>
    <w:rsid w:val="0093139F"/>
    <w:rsid w:val="00931F9B"/>
    <w:rsid w:val="00932443"/>
    <w:rsid w:val="00932B32"/>
    <w:rsid w:val="00933F4A"/>
    <w:rsid w:val="009341F1"/>
    <w:rsid w:val="00934B30"/>
    <w:rsid w:val="00934FF2"/>
    <w:rsid w:val="009358D7"/>
    <w:rsid w:val="00935BD4"/>
    <w:rsid w:val="00935DFE"/>
    <w:rsid w:val="00935F70"/>
    <w:rsid w:val="00936388"/>
    <w:rsid w:val="009373B2"/>
    <w:rsid w:val="00937AE2"/>
    <w:rsid w:val="00937FCA"/>
    <w:rsid w:val="0094061F"/>
    <w:rsid w:val="009407C6"/>
    <w:rsid w:val="00940F0F"/>
    <w:rsid w:val="009428F2"/>
    <w:rsid w:val="00943D5D"/>
    <w:rsid w:val="0094416B"/>
    <w:rsid w:val="0094427A"/>
    <w:rsid w:val="00944C7C"/>
    <w:rsid w:val="00945245"/>
    <w:rsid w:val="00945523"/>
    <w:rsid w:val="009461B1"/>
    <w:rsid w:val="00946431"/>
    <w:rsid w:val="00946CBE"/>
    <w:rsid w:val="009470C6"/>
    <w:rsid w:val="00950921"/>
    <w:rsid w:val="00951D68"/>
    <w:rsid w:val="00951E5B"/>
    <w:rsid w:val="00952B7B"/>
    <w:rsid w:val="00953171"/>
    <w:rsid w:val="00954F39"/>
    <w:rsid w:val="0095510D"/>
    <w:rsid w:val="009555FD"/>
    <w:rsid w:val="0095664B"/>
    <w:rsid w:val="009568DC"/>
    <w:rsid w:val="00957445"/>
    <w:rsid w:val="00957525"/>
    <w:rsid w:val="0095759C"/>
    <w:rsid w:val="009618EE"/>
    <w:rsid w:val="00961DDD"/>
    <w:rsid w:val="009624D2"/>
    <w:rsid w:val="009625B5"/>
    <w:rsid w:val="009628D9"/>
    <w:rsid w:val="009637AE"/>
    <w:rsid w:val="00963A06"/>
    <w:rsid w:val="00964068"/>
    <w:rsid w:val="009640F6"/>
    <w:rsid w:val="0096433C"/>
    <w:rsid w:val="0096469D"/>
    <w:rsid w:val="00964776"/>
    <w:rsid w:val="00964A4E"/>
    <w:rsid w:val="00964B35"/>
    <w:rsid w:val="009651C7"/>
    <w:rsid w:val="00965797"/>
    <w:rsid w:val="00965A10"/>
    <w:rsid w:val="00965E30"/>
    <w:rsid w:val="009670A3"/>
    <w:rsid w:val="009674BE"/>
    <w:rsid w:val="00970026"/>
    <w:rsid w:val="00970FB5"/>
    <w:rsid w:val="00971710"/>
    <w:rsid w:val="00971B87"/>
    <w:rsid w:val="00971C77"/>
    <w:rsid w:val="00972FCD"/>
    <w:rsid w:val="00973324"/>
    <w:rsid w:val="009736DF"/>
    <w:rsid w:val="00973964"/>
    <w:rsid w:val="009741AE"/>
    <w:rsid w:val="009741FC"/>
    <w:rsid w:val="00974782"/>
    <w:rsid w:val="00974923"/>
    <w:rsid w:val="00975909"/>
    <w:rsid w:val="00975E98"/>
    <w:rsid w:val="00977C3D"/>
    <w:rsid w:val="009802F7"/>
    <w:rsid w:val="00980D3D"/>
    <w:rsid w:val="0098103E"/>
    <w:rsid w:val="0098157D"/>
    <w:rsid w:val="00983101"/>
    <w:rsid w:val="00983E41"/>
    <w:rsid w:val="009845E1"/>
    <w:rsid w:val="00984D1B"/>
    <w:rsid w:val="00986246"/>
    <w:rsid w:val="00987A30"/>
    <w:rsid w:val="00990312"/>
    <w:rsid w:val="0099182E"/>
    <w:rsid w:val="00992CF3"/>
    <w:rsid w:val="00993194"/>
    <w:rsid w:val="0099321E"/>
    <w:rsid w:val="00993910"/>
    <w:rsid w:val="00994868"/>
    <w:rsid w:val="00994D28"/>
    <w:rsid w:val="00994F2C"/>
    <w:rsid w:val="009957CC"/>
    <w:rsid w:val="009968D6"/>
    <w:rsid w:val="00997953"/>
    <w:rsid w:val="009A0229"/>
    <w:rsid w:val="009A04D0"/>
    <w:rsid w:val="009A0BFF"/>
    <w:rsid w:val="009A10A0"/>
    <w:rsid w:val="009A1CAB"/>
    <w:rsid w:val="009A2359"/>
    <w:rsid w:val="009A24F1"/>
    <w:rsid w:val="009A27E0"/>
    <w:rsid w:val="009A3851"/>
    <w:rsid w:val="009A405F"/>
    <w:rsid w:val="009A4D57"/>
    <w:rsid w:val="009A51A5"/>
    <w:rsid w:val="009A60D1"/>
    <w:rsid w:val="009A6225"/>
    <w:rsid w:val="009A6395"/>
    <w:rsid w:val="009A64F5"/>
    <w:rsid w:val="009A78D3"/>
    <w:rsid w:val="009B00D2"/>
    <w:rsid w:val="009B05B3"/>
    <w:rsid w:val="009B172F"/>
    <w:rsid w:val="009B196A"/>
    <w:rsid w:val="009B284F"/>
    <w:rsid w:val="009B3764"/>
    <w:rsid w:val="009B47AC"/>
    <w:rsid w:val="009B52AC"/>
    <w:rsid w:val="009B59EA"/>
    <w:rsid w:val="009B66CE"/>
    <w:rsid w:val="009B6FD3"/>
    <w:rsid w:val="009B72BE"/>
    <w:rsid w:val="009B78A4"/>
    <w:rsid w:val="009B7DB2"/>
    <w:rsid w:val="009C01E8"/>
    <w:rsid w:val="009C03DB"/>
    <w:rsid w:val="009C0987"/>
    <w:rsid w:val="009C1750"/>
    <w:rsid w:val="009C175C"/>
    <w:rsid w:val="009C1ACD"/>
    <w:rsid w:val="009C2E29"/>
    <w:rsid w:val="009C3E8F"/>
    <w:rsid w:val="009C554B"/>
    <w:rsid w:val="009C5E83"/>
    <w:rsid w:val="009C7126"/>
    <w:rsid w:val="009C719E"/>
    <w:rsid w:val="009C7799"/>
    <w:rsid w:val="009D07A9"/>
    <w:rsid w:val="009D0AE2"/>
    <w:rsid w:val="009D0D9F"/>
    <w:rsid w:val="009D0EBB"/>
    <w:rsid w:val="009D1108"/>
    <w:rsid w:val="009D15D8"/>
    <w:rsid w:val="009D2C46"/>
    <w:rsid w:val="009D3ACD"/>
    <w:rsid w:val="009D4254"/>
    <w:rsid w:val="009D4738"/>
    <w:rsid w:val="009D4F21"/>
    <w:rsid w:val="009D587D"/>
    <w:rsid w:val="009D7731"/>
    <w:rsid w:val="009E1120"/>
    <w:rsid w:val="009E1393"/>
    <w:rsid w:val="009E1922"/>
    <w:rsid w:val="009E1A3D"/>
    <w:rsid w:val="009E4715"/>
    <w:rsid w:val="009E4A58"/>
    <w:rsid w:val="009E5273"/>
    <w:rsid w:val="009E52F5"/>
    <w:rsid w:val="009E57A8"/>
    <w:rsid w:val="009E5B85"/>
    <w:rsid w:val="009E5DDB"/>
    <w:rsid w:val="009E66E1"/>
    <w:rsid w:val="009E78AC"/>
    <w:rsid w:val="009F2921"/>
    <w:rsid w:val="009F4982"/>
    <w:rsid w:val="009F4CA7"/>
    <w:rsid w:val="009F4F6A"/>
    <w:rsid w:val="009F55BA"/>
    <w:rsid w:val="009F7D36"/>
    <w:rsid w:val="009F7D61"/>
    <w:rsid w:val="00A00686"/>
    <w:rsid w:val="00A00E71"/>
    <w:rsid w:val="00A0306F"/>
    <w:rsid w:val="00A03244"/>
    <w:rsid w:val="00A03545"/>
    <w:rsid w:val="00A03B10"/>
    <w:rsid w:val="00A03E2E"/>
    <w:rsid w:val="00A04616"/>
    <w:rsid w:val="00A04717"/>
    <w:rsid w:val="00A05D8F"/>
    <w:rsid w:val="00A05EE4"/>
    <w:rsid w:val="00A06212"/>
    <w:rsid w:val="00A06F99"/>
    <w:rsid w:val="00A073CB"/>
    <w:rsid w:val="00A07EB8"/>
    <w:rsid w:val="00A1053B"/>
    <w:rsid w:val="00A1092E"/>
    <w:rsid w:val="00A10D66"/>
    <w:rsid w:val="00A113A4"/>
    <w:rsid w:val="00A11891"/>
    <w:rsid w:val="00A11DD4"/>
    <w:rsid w:val="00A11E3F"/>
    <w:rsid w:val="00A14114"/>
    <w:rsid w:val="00A16413"/>
    <w:rsid w:val="00A16545"/>
    <w:rsid w:val="00A16AED"/>
    <w:rsid w:val="00A16C37"/>
    <w:rsid w:val="00A16CA8"/>
    <w:rsid w:val="00A16E1D"/>
    <w:rsid w:val="00A171D5"/>
    <w:rsid w:val="00A17A15"/>
    <w:rsid w:val="00A17D5B"/>
    <w:rsid w:val="00A20127"/>
    <w:rsid w:val="00A201E1"/>
    <w:rsid w:val="00A20AE3"/>
    <w:rsid w:val="00A20FE1"/>
    <w:rsid w:val="00A21B4D"/>
    <w:rsid w:val="00A22073"/>
    <w:rsid w:val="00A223E0"/>
    <w:rsid w:val="00A22B49"/>
    <w:rsid w:val="00A23158"/>
    <w:rsid w:val="00A23E43"/>
    <w:rsid w:val="00A24726"/>
    <w:rsid w:val="00A24DEB"/>
    <w:rsid w:val="00A24ED9"/>
    <w:rsid w:val="00A25216"/>
    <w:rsid w:val="00A2597D"/>
    <w:rsid w:val="00A2628E"/>
    <w:rsid w:val="00A266BF"/>
    <w:rsid w:val="00A26ADF"/>
    <w:rsid w:val="00A26F45"/>
    <w:rsid w:val="00A2731E"/>
    <w:rsid w:val="00A27DA0"/>
    <w:rsid w:val="00A309AC"/>
    <w:rsid w:val="00A30F65"/>
    <w:rsid w:val="00A312F6"/>
    <w:rsid w:val="00A3279E"/>
    <w:rsid w:val="00A3403F"/>
    <w:rsid w:val="00A34818"/>
    <w:rsid w:val="00A35900"/>
    <w:rsid w:val="00A40EAC"/>
    <w:rsid w:val="00A418BC"/>
    <w:rsid w:val="00A41AA8"/>
    <w:rsid w:val="00A41CF6"/>
    <w:rsid w:val="00A41FCF"/>
    <w:rsid w:val="00A42936"/>
    <w:rsid w:val="00A42C38"/>
    <w:rsid w:val="00A43494"/>
    <w:rsid w:val="00A434EB"/>
    <w:rsid w:val="00A438C7"/>
    <w:rsid w:val="00A43CF8"/>
    <w:rsid w:val="00A43DF2"/>
    <w:rsid w:val="00A445A8"/>
    <w:rsid w:val="00A44B0D"/>
    <w:rsid w:val="00A44D21"/>
    <w:rsid w:val="00A45087"/>
    <w:rsid w:val="00A45489"/>
    <w:rsid w:val="00A45CED"/>
    <w:rsid w:val="00A465E9"/>
    <w:rsid w:val="00A468E7"/>
    <w:rsid w:val="00A46DE0"/>
    <w:rsid w:val="00A478BA"/>
    <w:rsid w:val="00A50D73"/>
    <w:rsid w:val="00A518BB"/>
    <w:rsid w:val="00A52A88"/>
    <w:rsid w:val="00A52CAD"/>
    <w:rsid w:val="00A53FC7"/>
    <w:rsid w:val="00A55569"/>
    <w:rsid w:val="00A56580"/>
    <w:rsid w:val="00A566A0"/>
    <w:rsid w:val="00A601E7"/>
    <w:rsid w:val="00A60AC1"/>
    <w:rsid w:val="00A60ED1"/>
    <w:rsid w:val="00A61163"/>
    <w:rsid w:val="00A61806"/>
    <w:rsid w:val="00A618EC"/>
    <w:rsid w:val="00A626FF"/>
    <w:rsid w:val="00A62CE1"/>
    <w:rsid w:val="00A6334E"/>
    <w:rsid w:val="00A651FD"/>
    <w:rsid w:val="00A65469"/>
    <w:rsid w:val="00A65528"/>
    <w:rsid w:val="00A655D3"/>
    <w:rsid w:val="00A65A80"/>
    <w:rsid w:val="00A662D9"/>
    <w:rsid w:val="00A6741E"/>
    <w:rsid w:val="00A67E29"/>
    <w:rsid w:val="00A7016A"/>
    <w:rsid w:val="00A7018D"/>
    <w:rsid w:val="00A71462"/>
    <w:rsid w:val="00A7191D"/>
    <w:rsid w:val="00A71EEF"/>
    <w:rsid w:val="00A722F9"/>
    <w:rsid w:val="00A72D42"/>
    <w:rsid w:val="00A746C9"/>
    <w:rsid w:val="00A74C2A"/>
    <w:rsid w:val="00A75E40"/>
    <w:rsid w:val="00A76818"/>
    <w:rsid w:val="00A77D1D"/>
    <w:rsid w:val="00A80466"/>
    <w:rsid w:val="00A81652"/>
    <w:rsid w:val="00A82C91"/>
    <w:rsid w:val="00A83150"/>
    <w:rsid w:val="00A83398"/>
    <w:rsid w:val="00A83D6E"/>
    <w:rsid w:val="00A83FD5"/>
    <w:rsid w:val="00A8521A"/>
    <w:rsid w:val="00A857C0"/>
    <w:rsid w:val="00A8583B"/>
    <w:rsid w:val="00A85ACB"/>
    <w:rsid w:val="00A87253"/>
    <w:rsid w:val="00A874B0"/>
    <w:rsid w:val="00A90F2C"/>
    <w:rsid w:val="00A90FED"/>
    <w:rsid w:val="00A91482"/>
    <w:rsid w:val="00A91500"/>
    <w:rsid w:val="00A9189D"/>
    <w:rsid w:val="00A91B74"/>
    <w:rsid w:val="00A91E71"/>
    <w:rsid w:val="00A925B1"/>
    <w:rsid w:val="00A92921"/>
    <w:rsid w:val="00A92A3E"/>
    <w:rsid w:val="00A934F9"/>
    <w:rsid w:val="00A940E3"/>
    <w:rsid w:val="00A94983"/>
    <w:rsid w:val="00A94A2D"/>
    <w:rsid w:val="00A95F1A"/>
    <w:rsid w:val="00A96116"/>
    <w:rsid w:val="00A9614E"/>
    <w:rsid w:val="00A96422"/>
    <w:rsid w:val="00A96C0F"/>
    <w:rsid w:val="00A974A6"/>
    <w:rsid w:val="00A97B50"/>
    <w:rsid w:val="00AA0E80"/>
    <w:rsid w:val="00AA17CD"/>
    <w:rsid w:val="00AA1D85"/>
    <w:rsid w:val="00AA212F"/>
    <w:rsid w:val="00AA26A9"/>
    <w:rsid w:val="00AA2996"/>
    <w:rsid w:val="00AA2AF4"/>
    <w:rsid w:val="00AA4282"/>
    <w:rsid w:val="00AA4790"/>
    <w:rsid w:val="00AA51F5"/>
    <w:rsid w:val="00AA52BF"/>
    <w:rsid w:val="00AA559A"/>
    <w:rsid w:val="00AA5D84"/>
    <w:rsid w:val="00AA6C31"/>
    <w:rsid w:val="00AA7046"/>
    <w:rsid w:val="00AA7752"/>
    <w:rsid w:val="00AA7CE8"/>
    <w:rsid w:val="00AB1457"/>
    <w:rsid w:val="00AB2AF1"/>
    <w:rsid w:val="00AB32AF"/>
    <w:rsid w:val="00AB3B20"/>
    <w:rsid w:val="00AB3EC7"/>
    <w:rsid w:val="00AB5A64"/>
    <w:rsid w:val="00AB5CA1"/>
    <w:rsid w:val="00AB5DBC"/>
    <w:rsid w:val="00AB6456"/>
    <w:rsid w:val="00AB75C5"/>
    <w:rsid w:val="00AB7D4B"/>
    <w:rsid w:val="00AC044E"/>
    <w:rsid w:val="00AC0913"/>
    <w:rsid w:val="00AC0B28"/>
    <w:rsid w:val="00AC2118"/>
    <w:rsid w:val="00AC2395"/>
    <w:rsid w:val="00AC2960"/>
    <w:rsid w:val="00AC2AC4"/>
    <w:rsid w:val="00AC4284"/>
    <w:rsid w:val="00AC445B"/>
    <w:rsid w:val="00AC4499"/>
    <w:rsid w:val="00AC45BD"/>
    <w:rsid w:val="00AC50BB"/>
    <w:rsid w:val="00AC5663"/>
    <w:rsid w:val="00AC6FFE"/>
    <w:rsid w:val="00AD0B22"/>
    <w:rsid w:val="00AD0EE7"/>
    <w:rsid w:val="00AD168E"/>
    <w:rsid w:val="00AD1900"/>
    <w:rsid w:val="00AD306C"/>
    <w:rsid w:val="00AD44CD"/>
    <w:rsid w:val="00AD5AD2"/>
    <w:rsid w:val="00AD6462"/>
    <w:rsid w:val="00AD66C5"/>
    <w:rsid w:val="00AD68C4"/>
    <w:rsid w:val="00AD71F9"/>
    <w:rsid w:val="00AE09B3"/>
    <w:rsid w:val="00AE16CB"/>
    <w:rsid w:val="00AE1A83"/>
    <w:rsid w:val="00AE1C48"/>
    <w:rsid w:val="00AE1EA7"/>
    <w:rsid w:val="00AE30BE"/>
    <w:rsid w:val="00AE3E6A"/>
    <w:rsid w:val="00AE3EC2"/>
    <w:rsid w:val="00AE52F6"/>
    <w:rsid w:val="00AE5625"/>
    <w:rsid w:val="00AE6414"/>
    <w:rsid w:val="00AE7269"/>
    <w:rsid w:val="00AE797C"/>
    <w:rsid w:val="00AE7CE7"/>
    <w:rsid w:val="00AE7FAB"/>
    <w:rsid w:val="00AF086A"/>
    <w:rsid w:val="00AF0DE4"/>
    <w:rsid w:val="00AF136B"/>
    <w:rsid w:val="00AF1475"/>
    <w:rsid w:val="00AF1E87"/>
    <w:rsid w:val="00AF2A55"/>
    <w:rsid w:val="00AF436B"/>
    <w:rsid w:val="00AF5179"/>
    <w:rsid w:val="00AF5CC2"/>
    <w:rsid w:val="00AF6776"/>
    <w:rsid w:val="00AF6F98"/>
    <w:rsid w:val="00B00913"/>
    <w:rsid w:val="00B01593"/>
    <w:rsid w:val="00B01FF9"/>
    <w:rsid w:val="00B023F2"/>
    <w:rsid w:val="00B038CA"/>
    <w:rsid w:val="00B0656A"/>
    <w:rsid w:val="00B06DB4"/>
    <w:rsid w:val="00B0750D"/>
    <w:rsid w:val="00B0799C"/>
    <w:rsid w:val="00B07EF7"/>
    <w:rsid w:val="00B102CE"/>
    <w:rsid w:val="00B10A4D"/>
    <w:rsid w:val="00B10C90"/>
    <w:rsid w:val="00B11002"/>
    <w:rsid w:val="00B1114F"/>
    <w:rsid w:val="00B121B2"/>
    <w:rsid w:val="00B141B6"/>
    <w:rsid w:val="00B14BC1"/>
    <w:rsid w:val="00B15104"/>
    <w:rsid w:val="00B1576B"/>
    <w:rsid w:val="00B16DD1"/>
    <w:rsid w:val="00B16EB8"/>
    <w:rsid w:val="00B17E71"/>
    <w:rsid w:val="00B17FDE"/>
    <w:rsid w:val="00B20632"/>
    <w:rsid w:val="00B2379C"/>
    <w:rsid w:val="00B23D5D"/>
    <w:rsid w:val="00B250B5"/>
    <w:rsid w:val="00B2687D"/>
    <w:rsid w:val="00B27789"/>
    <w:rsid w:val="00B27BF6"/>
    <w:rsid w:val="00B3045A"/>
    <w:rsid w:val="00B30EA2"/>
    <w:rsid w:val="00B3108D"/>
    <w:rsid w:val="00B32DDB"/>
    <w:rsid w:val="00B32F57"/>
    <w:rsid w:val="00B3345C"/>
    <w:rsid w:val="00B34528"/>
    <w:rsid w:val="00B34CC9"/>
    <w:rsid w:val="00B3563B"/>
    <w:rsid w:val="00B36295"/>
    <w:rsid w:val="00B36BDC"/>
    <w:rsid w:val="00B37D3A"/>
    <w:rsid w:val="00B37D96"/>
    <w:rsid w:val="00B402FC"/>
    <w:rsid w:val="00B41ACD"/>
    <w:rsid w:val="00B422E2"/>
    <w:rsid w:val="00B42BA9"/>
    <w:rsid w:val="00B42D5F"/>
    <w:rsid w:val="00B43216"/>
    <w:rsid w:val="00B439DA"/>
    <w:rsid w:val="00B4411A"/>
    <w:rsid w:val="00B449BE"/>
    <w:rsid w:val="00B454C0"/>
    <w:rsid w:val="00B45FE8"/>
    <w:rsid w:val="00B46604"/>
    <w:rsid w:val="00B47089"/>
    <w:rsid w:val="00B471A7"/>
    <w:rsid w:val="00B47587"/>
    <w:rsid w:val="00B47EE4"/>
    <w:rsid w:val="00B51BF7"/>
    <w:rsid w:val="00B51E3B"/>
    <w:rsid w:val="00B52151"/>
    <w:rsid w:val="00B521D9"/>
    <w:rsid w:val="00B530CD"/>
    <w:rsid w:val="00B53C7D"/>
    <w:rsid w:val="00B53E56"/>
    <w:rsid w:val="00B55489"/>
    <w:rsid w:val="00B55A97"/>
    <w:rsid w:val="00B55F5E"/>
    <w:rsid w:val="00B5642C"/>
    <w:rsid w:val="00B5658D"/>
    <w:rsid w:val="00B56634"/>
    <w:rsid w:val="00B56B6F"/>
    <w:rsid w:val="00B5752E"/>
    <w:rsid w:val="00B60AC1"/>
    <w:rsid w:val="00B61C7A"/>
    <w:rsid w:val="00B61FF6"/>
    <w:rsid w:val="00B62316"/>
    <w:rsid w:val="00B63A11"/>
    <w:rsid w:val="00B64425"/>
    <w:rsid w:val="00B64C24"/>
    <w:rsid w:val="00B65CEF"/>
    <w:rsid w:val="00B6608F"/>
    <w:rsid w:val="00B67749"/>
    <w:rsid w:val="00B679FB"/>
    <w:rsid w:val="00B707CD"/>
    <w:rsid w:val="00B70BC0"/>
    <w:rsid w:val="00B71FBF"/>
    <w:rsid w:val="00B734A0"/>
    <w:rsid w:val="00B73A14"/>
    <w:rsid w:val="00B748BD"/>
    <w:rsid w:val="00B75D32"/>
    <w:rsid w:val="00B75E68"/>
    <w:rsid w:val="00B7680F"/>
    <w:rsid w:val="00B76B48"/>
    <w:rsid w:val="00B76D1E"/>
    <w:rsid w:val="00B77543"/>
    <w:rsid w:val="00B77584"/>
    <w:rsid w:val="00B77EE9"/>
    <w:rsid w:val="00B80EC6"/>
    <w:rsid w:val="00B81288"/>
    <w:rsid w:val="00B81D70"/>
    <w:rsid w:val="00B833B9"/>
    <w:rsid w:val="00B83E07"/>
    <w:rsid w:val="00B84CF6"/>
    <w:rsid w:val="00B85016"/>
    <w:rsid w:val="00B8561A"/>
    <w:rsid w:val="00B86643"/>
    <w:rsid w:val="00B868F7"/>
    <w:rsid w:val="00B87CD4"/>
    <w:rsid w:val="00B90131"/>
    <w:rsid w:val="00B92951"/>
    <w:rsid w:val="00B92D1D"/>
    <w:rsid w:val="00B92D7E"/>
    <w:rsid w:val="00B930CE"/>
    <w:rsid w:val="00B936FD"/>
    <w:rsid w:val="00B938C5"/>
    <w:rsid w:val="00B940A8"/>
    <w:rsid w:val="00B9554A"/>
    <w:rsid w:val="00B95940"/>
    <w:rsid w:val="00B95ACA"/>
    <w:rsid w:val="00B96C06"/>
    <w:rsid w:val="00B97281"/>
    <w:rsid w:val="00B97ACC"/>
    <w:rsid w:val="00B97FE2"/>
    <w:rsid w:val="00BA0E0B"/>
    <w:rsid w:val="00BA201A"/>
    <w:rsid w:val="00BA3787"/>
    <w:rsid w:val="00BA4633"/>
    <w:rsid w:val="00BA46E8"/>
    <w:rsid w:val="00BA4E19"/>
    <w:rsid w:val="00BA6436"/>
    <w:rsid w:val="00BA64F2"/>
    <w:rsid w:val="00BA684E"/>
    <w:rsid w:val="00BA6C2B"/>
    <w:rsid w:val="00BA7B64"/>
    <w:rsid w:val="00BB02A3"/>
    <w:rsid w:val="00BB0351"/>
    <w:rsid w:val="00BB15C3"/>
    <w:rsid w:val="00BB1AF4"/>
    <w:rsid w:val="00BB2202"/>
    <w:rsid w:val="00BB366D"/>
    <w:rsid w:val="00BB3C6B"/>
    <w:rsid w:val="00BB3FD6"/>
    <w:rsid w:val="00BB453F"/>
    <w:rsid w:val="00BB46F3"/>
    <w:rsid w:val="00BB4A71"/>
    <w:rsid w:val="00BB4CB1"/>
    <w:rsid w:val="00BB4F98"/>
    <w:rsid w:val="00BB50E6"/>
    <w:rsid w:val="00BB5AB2"/>
    <w:rsid w:val="00BB5ABF"/>
    <w:rsid w:val="00BB6EA2"/>
    <w:rsid w:val="00BB7B5B"/>
    <w:rsid w:val="00BB7C58"/>
    <w:rsid w:val="00BB7EB1"/>
    <w:rsid w:val="00BC003F"/>
    <w:rsid w:val="00BC01C6"/>
    <w:rsid w:val="00BC0930"/>
    <w:rsid w:val="00BC327F"/>
    <w:rsid w:val="00BC3512"/>
    <w:rsid w:val="00BC50BE"/>
    <w:rsid w:val="00BC5332"/>
    <w:rsid w:val="00BC5715"/>
    <w:rsid w:val="00BC5C12"/>
    <w:rsid w:val="00BC66E7"/>
    <w:rsid w:val="00BC7154"/>
    <w:rsid w:val="00BC731E"/>
    <w:rsid w:val="00BC7614"/>
    <w:rsid w:val="00BC7675"/>
    <w:rsid w:val="00BD25BB"/>
    <w:rsid w:val="00BD2AF8"/>
    <w:rsid w:val="00BD366B"/>
    <w:rsid w:val="00BD3C09"/>
    <w:rsid w:val="00BD3F9C"/>
    <w:rsid w:val="00BD410B"/>
    <w:rsid w:val="00BD4A73"/>
    <w:rsid w:val="00BD690C"/>
    <w:rsid w:val="00BD6C75"/>
    <w:rsid w:val="00BD6D50"/>
    <w:rsid w:val="00BD6EF4"/>
    <w:rsid w:val="00BD73D2"/>
    <w:rsid w:val="00BD7D42"/>
    <w:rsid w:val="00BE0AD1"/>
    <w:rsid w:val="00BE0EF9"/>
    <w:rsid w:val="00BE10A1"/>
    <w:rsid w:val="00BE18B9"/>
    <w:rsid w:val="00BE190A"/>
    <w:rsid w:val="00BE1E6C"/>
    <w:rsid w:val="00BE2495"/>
    <w:rsid w:val="00BE24DD"/>
    <w:rsid w:val="00BE386D"/>
    <w:rsid w:val="00BE49D8"/>
    <w:rsid w:val="00BE557B"/>
    <w:rsid w:val="00BE7305"/>
    <w:rsid w:val="00BE74D1"/>
    <w:rsid w:val="00BE7F5F"/>
    <w:rsid w:val="00BF02C8"/>
    <w:rsid w:val="00BF1578"/>
    <w:rsid w:val="00BF15CA"/>
    <w:rsid w:val="00BF1D12"/>
    <w:rsid w:val="00BF1D3A"/>
    <w:rsid w:val="00BF26AA"/>
    <w:rsid w:val="00BF2B5B"/>
    <w:rsid w:val="00BF2D41"/>
    <w:rsid w:val="00BF3274"/>
    <w:rsid w:val="00BF32DC"/>
    <w:rsid w:val="00BF4329"/>
    <w:rsid w:val="00BF4870"/>
    <w:rsid w:val="00BF4E43"/>
    <w:rsid w:val="00BF5C4C"/>
    <w:rsid w:val="00BF72AC"/>
    <w:rsid w:val="00BF77FC"/>
    <w:rsid w:val="00C0015C"/>
    <w:rsid w:val="00C006D6"/>
    <w:rsid w:val="00C00BD7"/>
    <w:rsid w:val="00C00C4D"/>
    <w:rsid w:val="00C01410"/>
    <w:rsid w:val="00C0171C"/>
    <w:rsid w:val="00C037B3"/>
    <w:rsid w:val="00C0475A"/>
    <w:rsid w:val="00C04B78"/>
    <w:rsid w:val="00C052AA"/>
    <w:rsid w:val="00C06EE3"/>
    <w:rsid w:val="00C07749"/>
    <w:rsid w:val="00C111AE"/>
    <w:rsid w:val="00C11244"/>
    <w:rsid w:val="00C11D48"/>
    <w:rsid w:val="00C1229A"/>
    <w:rsid w:val="00C1493E"/>
    <w:rsid w:val="00C158AD"/>
    <w:rsid w:val="00C15DBD"/>
    <w:rsid w:val="00C17F7D"/>
    <w:rsid w:val="00C2010D"/>
    <w:rsid w:val="00C20CB5"/>
    <w:rsid w:val="00C21430"/>
    <w:rsid w:val="00C216DF"/>
    <w:rsid w:val="00C21E61"/>
    <w:rsid w:val="00C21F94"/>
    <w:rsid w:val="00C2211E"/>
    <w:rsid w:val="00C22389"/>
    <w:rsid w:val="00C227D7"/>
    <w:rsid w:val="00C234DB"/>
    <w:rsid w:val="00C24348"/>
    <w:rsid w:val="00C2479A"/>
    <w:rsid w:val="00C24903"/>
    <w:rsid w:val="00C2590D"/>
    <w:rsid w:val="00C25C47"/>
    <w:rsid w:val="00C25D9C"/>
    <w:rsid w:val="00C27913"/>
    <w:rsid w:val="00C300E2"/>
    <w:rsid w:val="00C31F21"/>
    <w:rsid w:val="00C32631"/>
    <w:rsid w:val="00C33301"/>
    <w:rsid w:val="00C33311"/>
    <w:rsid w:val="00C33B68"/>
    <w:rsid w:val="00C33E38"/>
    <w:rsid w:val="00C33F11"/>
    <w:rsid w:val="00C3526D"/>
    <w:rsid w:val="00C35570"/>
    <w:rsid w:val="00C35A2A"/>
    <w:rsid w:val="00C36A79"/>
    <w:rsid w:val="00C401A9"/>
    <w:rsid w:val="00C401D2"/>
    <w:rsid w:val="00C4031A"/>
    <w:rsid w:val="00C405D4"/>
    <w:rsid w:val="00C41285"/>
    <w:rsid w:val="00C41843"/>
    <w:rsid w:val="00C419D5"/>
    <w:rsid w:val="00C41D54"/>
    <w:rsid w:val="00C42EBB"/>
    <w:rsid w:val="00C4513B"/>
    <w:rsid w:val="00C459C6"/>
    <w:rsid w:val="00C46859"/>
    <w:rsid w:val="00C46B65"/>
    <w:rsid w:val="00C4738E"/>
    <w:rsid w:val="00C475E8"/>
    <w:rsid w:val="00C50E79"/>
    <w:rsid w:val="00C5197D"/>
    <w:rsid w:val="00C525FB"/>
    <w:rsid w:val="00C52A14"/>
    <w:rsid w:val="00C52F21"/>
    <w:rsid w:val="00C5390B"/>
    <w:rsid w:val="00C54257"/>
    <w:rsid w:val="00C54697"/>
    <w:rsid w:val="00C550CE"/>
    <w:rsid w:val="00C553A5"/>
    <w:rsid w:val="00C55402"/>
    <w:rsid w:val="00C55FC5"/>
    <w:rsid w:val="00C5603B"/>
    <w:rsid w:val="00C600F0"/>
    <w:rsid w:val="00C61D09"/>
    <w:rsid w:val="00C61F47"/>
    <w:rsid w:val="00C62423"/>
    <w:rsid w:val="00C62828"/>
    <w:rsid w:val="00C642DC"/>
    <w:rsid w:val="00C670E5"/>
    <w:rsid w:val="00C715CC"/>
    <w:rsid w:val="00C719A3"/>
    <w:rsid w:val="00C71D2F"/>
    <w:rsid w:val="00C72984"/>
    <w:rsid w:val="00C72FA6"/>
    <w:rsid w:val="00C73885"/>
    <w:rsid w:val="00C73C93"/>
    <w:rsid w:val="00C73CA9"/>
    <w:rsid w:val="00C7435A"/>
    <w:rsid w:val="00C747B1"/>
    <w:rsid w:val="00C74A57"/>
    <w:rsid w:val="00C75510"/>
    <w:rsid w:val="00C755F9"/>
    <w:rsid w:val="00C75752"/>
    <w:rsid w:val="00C770C9"/>
    <w:rsid w:val="00C77B27"/>
    <w:rsid w:val="00C81070"/>
    <w:rsid w:val="00C8174E"/>
    <w:rsid w:val="00C82191"/>
    <w:rsid w:val="00C82E69"/>
    <w:rsid w:val="00C83134"/>
    <w:rsid w:val="00C831E7"/>
    <w:rsid w:val="00C832F3"/>
    <w:rsid w:val="00C845A4"/>
    <w:rsid w:val="00C85545"/>
    <w:rsid w:val="00C855B5"/>
    <w:rsid w:val="00C85F0E"/>
    <w:rsid w:val="00C8753B"/>
    <w:rsid w:val="00C90570"/>
    <w:rsid w:val="00C90CF4"/>
    <w:rsid w:val="00C91C20"/>
    <w:rsid w:val="00C922DE"/>
    <w:rsid w:val="00C92843"/>
    <w:rsid w:val="00C92EB6"/>
    <w:rsid w:val="00C93389"/>
    <w:rsid w:val="00C948E6"/>
    <w:rsid w:val="00C94CDD"/>
    <w:rsid w:val="00C96268"/>
    <w:rsid w:val="00C97588"/>
    <w:rsid w:val="00CA0346"/>
    <w:rsid w:val="00CA1BD6"/>
    <w:rsid w:val="00CA240C"/>
    <w:rsid w:val="00CA2A97"/>
    <w:rsid w:val="00CA37FF"/>
    <w:rsid w:val="00CA4008"/>
    <w:rsid w:val="00CA423A"/>
    <w:rsid w:val="00CA47BC"/>
    <w:rsid w:val="00CA561A"/>
    <w:rsid w:val="00CA5EAD"/>
    <w:rsid w:val="00CA6AB4"/>
    <w:rsid w:val="00CA7255"/>
    <w:rsid w:val="00CB1BEE"/>
    <w:rsid w:val="00CB2351"/>
    <w:rsid w:val="00CB4930"/>
    <w:rsid w:val="00CB4BA9"/>
    <w:rsid w:val="00CB4C63"/>
    <w:rsid w:val="00CB5A48"/>
    <w:rsid w:val="00CB5E10"/>
    <w:rsid w:val="00CB613B"/>
    <w:rsid w:val="00CB6152"/>
    <w:rsid w:val="00CB64E1"/>
    <w:rsid w:val="00CB6E4D"/>
    <w:rsid w:val="00CC057E"/>
    <w:rsid w:val="00CC0834"/>
    <w:rsid w:val="00CC0F4E"/>
    <w:rsid w:val="00CC20FE"/>
    <w:rsid w:val="00CC2E7D"/>
    <w:rsid w:val="00CC4FD0"/>
    <w:rsid w:val="00CC612B"/>
    <w:rsid w:val="00CC655F"/>
    <w:rsid w:val="00CC66F9"/>
    <w:rsid w:val="00CC6C2A"/>
    <w:rsid w:val="00CC6F0F"/>
    <w:rsid w:val="00CC6FE5"/>
    <w:rsid w:val="00CC7458"/>
    <w:rsid w:val="00CC76BD"/>
    <w:rsid w:val="00CC7A87"/>
    <w:rsid w:val="00CD074C"/>
    <w:rsid w:val="00CD10A5"/>
    <w:rsid w:val="00CD1129"/>
    <w:rsid w:val="00CD1A80"/>
    <w:rsid w:val="00CD1CB5"/>
    <w:rsid w:val="00CD2076"/>
    <w:rsid w:val="00CD24CE"/>
    <w:rsid w:val="00CD29B5"/>
    <w:rsid w:val="00CD2B78"/>
    <w:rsid w:val="00CD3FAB"/>
    <w:rsid w:val="00CD5456"/>
    <w:rsid w:val="00CD5C3E"/>
    <w:rsid w:val="00CD6331"/>
    <w:rsid w:val="00CE06B5"/>
    <w:rsid w:val="00CE14BE"/>
    <w:rsid w:val="00CE17A4"/>
    <w:rsid w:val="00CE1BA9"/>
    <w:rsid w:val="00CE2D8F"/>
    <w:rsid w:val="00CE3E48"/>
    <w:rsid w:val="00CE470E"/>
    <w:rsid w:val="00CE47B8"/>
    <w:rsid w:val="00CE54C3"/>
    <w:rsid w:val="00CE62FA"/>
    <w:rsid w:val="00CE670B"/>
    <w:rsid w:val="00CE6833"/>
    <w:rsid w:val="00CE6AAA"/>
    <w:rsid w:val="00CE739F"/>
    <w:rsid w:val="00CF020B"/>
    <w:rsid w:val="00CF16CF"/>
    <w:rsid w:val="00CF2E4D"/>
    <w:rsid w:val="00CF4205"/>
    <w:rsid w:val="00CF4908"/>
    <w:rsid w:val="00CF51EC"/>
    <w:rsid w:val="00CF545D"/>
    <w:rsid w:val="00CF5873"/>
    <w:rsid w:val="00CF6F9C"/>
    <w:rsid w:val="00CF73AE"/>
    <w:rsid w:val="00CF7777"/>
    <w:rsid w:val="00D00052"/>
    <w:rsid w:val="00D0085A"/>
    <w:rsid w:val="00D0197F"/>
    <w:rsid w:val="00D01B31"/>
    <w:rsid w:val="00D0242D"/>
    <w:rsid w:val="00D02716"/>
    <w:rsid w:val="00D03A72"/>
    <w:rsid w:val="00D040DD"/>
    <w:rsid w:val="00D04134"/>
    <w:rsid w:val="00D05C65"/>
    <w:rsid w:val="00D0639F"/>
    <w:rsid w:val="00D063BE"/>
    <w:rsid w:val="00D06B56"/>
    <w:rsid w:val="00D06D68"/>
    <w:rsid w:val="00D075BE"/>
    <w:rsid w:val="00D07AFF"/>
    <w:rsid w:val="00D10A75"/>
    <w:rsid w:val="00D10C15"/>
    <w:rsid w:val="00D10F2A"/>
    <w:rsid w:val="00D11476"/>
    <w:rsid w:val="00D12949"/>
    <w:rsid w:val="00D12C25"/>
    <w:rsid w:val="00D133B4"/>
    <w:rsid w:val="00D13986"/>
    <w:rsid w:val="00D14C12"/>
    <w:rsid w:val="00D14C5B"/>
    <w:rsid w:val="00D15B29"/>
    <w:rsid w:val="00D15FED"/>
    <w:rsid w:val="00D16712"/>
    <w:rsid w:val="00D20078"/>
    <w:rsid w:val="00D20A3B"/>
    <w:rsid w:val="00D214EF"/>
    <w:rsid w:val="00D215B0"/>
    <w:rsid w:val="00D21D6D"/>
    <w:rsid w:val="00D21D83"/>
    <w:rsid w:val="00D2223F"/>
    <w:rsid w:val="00D235B7"/>
    <w:rsid w:val="00D23B76"/>
    <w:rsid w:val="00D23FAE"/>
    <w:rsid w:val="00D25F28"/>
    <w:rsid w:val="00D26071"/>
    <w:rsid w:val="00D269B9"/>
    <w:rsid w:val="00D27973"/>
    <w:rsid w:val="00D27F3A"/>
    <w:rsid w:val="00D31537"/>
    <w:rsid w:val="00D31E1E"/>
    <w:rsid w:val="00D322A0"/>
    <w:rsid w:val="00D32377"/>
    <w:rsid w:val="00D32824"/>
    <w:rsid w:val="00D33478"/>
    <w:rsid w:val="00D334E2"/>
    <w:rsid w:val="00D350B1"/>
    <w:rsid w:val="00D35AD6"/>
    <w:rsid w:val="00D35BBB"/>
    <w:rsid w:val="00D35E1A"/>
    <w:rsid w:val="00D36308"/>
    <w:rsid w:val="00D368ED"/>
    <w:rsid w:val="00D36B0A"/>
    <w:rsid w:val="00D36DFB"/>
    <w:rsid w:val="00D36E1C"/>
    <w:rsid w:val="00D37149"/>
    <w:rsid w:val="00D373AF"/>
    <w:rsid w:val="00D40556"/>
    <w:rsid w:val="00D41F74"/>
    <w:rsid w:val="00D428C8"/>
    <w:rsid w:val="00D43034"/>
    <w:rsid w:val="00D43ED2"/>
    <w:rsid w:val="00D50F46"/>
    <w:rsid w:val="00D51518"/>
    <w:rsid w:val="00D5384E"/>
    <w:rsid w:val="00D53DCB"/>
    <w:rsid w:val="00D544E7"/>
    <w:rsid w:val="00D5499F"/>
    <w:rsid w:val="00D5560A"/>
    <w:rsid w:val="00D569AA"/>
    <w:rsid w:val="00D56FBF"/>
    <w:rsid w:val="00D57677"/>
    <w:rsid w:val="00D5781F"/>
    <w:rsid w:val="00D57CF3"/>
    <w:rsid w:val="00D60415"/>
    <w:rsid w:val="00D60DDA"/>
    <w:rsid w:val="00D60E3C"/>
    <w:rsid w:val="00D60E76"/>
    <w:rsid w:val="00D61FAB"/>
    <w:rsid w:val="00D63BE5"/>
    <w:rsid w:val="00D6475F"/>
    <w:rsid w:val="00D661F3"/>
    <w:rsid w:val="00D66223"/>
    <w:rsid w:val="00D667B8"/>
    <w:rsid w:val="00D70289"/>
    <w:rsid w:val="00D70822"/>
    <w:rsid w:val="00D709DF"/>
    <w:rsid w:val="00D72076"/>
    <w:rsid w:val="00D726A9"/>
    <w:rsid w:val="00D72DBA"/>
    <w:rsid w:val="00D73307"/>
    <w:rsid w:val="00D743E0"/>
    <w:rsid w:val="00D74560"/>
    <w:rsid w:val="00D7490C"/>
    <w:rsid w:val="00D75AC1"/>
    <w:rsid w:val="00D76F0E"/>
    <w:rsid w:val="00D77252"/>
    <w:rsid w:val="00D8084C"/>
    <w:rsid w:val="00D81809"/>
    <w:rsid w:val="00D82D14"/>
    <w:rsid w:val="00D82EF1"/>
    <w:rsid w:val="00D84F43"/>
    <w:rsid w:val="00D85114"/>
    <w:rsid w:val="00D85196"/>
    <w:rsid w:val="00D85821"/>
    <w:rsid w:val="00D8598C"/>
    <w:rsid w:val="00D87C06"/>
    <w:rsid w:val="00D9149C"/>
    <w:rsid w:val="00D915EA"/>
    <w:rsid w:val="00D919ED"/>
    <w:rsid w:val="00D922A1"/>
    <w:rsid w:val="00D923EA"/>
    <w:rsid w:val="00D927D2"/>
    <w:rsid w:val="00D928BE"/>
    <w:rsid w:val="00D93D3C"/>
    <w:rsid w:val="00D94CA2"/>
    <w:rsid w:val="00D95302"/>
    <w:rsid w:val="00D953A3"/>
    <w:rsid w:val="00D95C5D"/>
    <w:rsid w:val="00D970F7"/>
    <w:rsid w:val="00D97D00"/>
    <w:rsid w:val="00DA0385"/>
    <w:rsid w:val="00DA096C"/>
    <w:rsid w:val="00DA1AB6"/>
    <w:rsid w:val="00DA232D"/>
    <w:rsid w:val="00DA2E65"/>
    <w:rsid w:val="00DA3ADF"/>
    <w:rsid w:val="00DA4174"/>
    <w:rsid w:val="00DA544C"/>
    <w:rsid w:val="00DA5F8E"/>
    <w:rsid w:val="00DA6364"/>
    <w:rsid w:val="00DA7114"/>
    <w:rsid w:val="00DA74F0"/>
    <w:rsid w:val="00DA7C0C"/>
    <w:rsid w:val="00DB03DD"/>
    <w:rsid w:val="00DB08A9"/>
    <w:rsid w:val="00DB0B87"/>
    <w:rsid w:val="00DB20A1"/>
    <w:rsid w:val="00DB2DFA"/>
    <w:rsid w:val="00DB2EC8"/>
    <w:rsid w:val="00DB321D"/>
    <w:rsid w:val="00DB459B"/>
    <w:rsid w:val="00DB47FD"/>
    <w:rsid w:val="00DB5E3A"/>
    <w:rsid w:val="00DB5E9A"/>
    <w:rsid w:val="00DB613B"/>
    <w:rsid w:val="00DB657E"/>
    <w:rsid w:val="00DB7342"/>
    <w:rsid w:val="00DB7489"/>
    <w:rsid w:val="00DC17D0"/>
    <w:rsid w:val="00DC1E31"/>
    <w:rsid w:val="00DC2B41"/>
    <w:rsid w:val="00DC3128"/>
    <w:rsid w:val="00DC435B"/>
    <w:rsid w:val="00DC4BE9"/>
    <w:rsid w:val="00DC53D8"/>
    <w:rsid w:val="00DC56FE"/>
    <w:rsid w:val="00DC5B3B"/>
    <w:rsid w:val="00DC690D"/>
    <w:rsid w:val="00DC6C2D"/>
    <w:rsid w:val="00DC7B1A"/>
    <w:rsid w:val="00DD02F3"/>
    <w:rsid w:val="00DD04B0"/>
    <w:rsid w:val="00DD129F"/>
    <w:rsid w:val="00DD12E4"/>
    <w:rsid w:val="00DD13FC"/>
    <w:rsid w:val="00DD1A3F"/>
    <w:rsid w:val="00DD1CA2"/>
    <w:rsid w:val="00DD2984"/>
    <w:rsid w:val="00DD29B5"/>
    <w:rsid w:val="00DD2BC9"/>
    <w:rsid w:val="00DD32DD"/>
    <w:rsid w:val="00DD33E8"/>
    <w:rsid w:val="00DD48CB"/>
    <w:rsid w:val="00DD5287"/>
    <w:rsid w:val="00DD5B36"/>
    <w:rsid w:val="00DD6621"/>
    <w:rsid w:val="00DD7849"/>
    <w:rsid w:val="00DE0D8B"/>
    <w:rsid w:val="00DE1237"/>
    <w:rsid w:val="00DE140F"/>
    <w:rsid w:val="00DE2491"/>
    <w:rsid w:val="00DE3CA3"/>
    <w:rsid w:val="00DE4DEE"/>
    <w:rsid w:val="00DE5CA6"/>
    <w:rsid w:val="00DE7AC8"/>
    <w:rsid w:val="00DF2C5D"/>
    <w:rsid w:val="00DF3643"/>
    <w:rsid w:val="00DF3770"/>
    <w:rsid w:val="00DF3845"/>
    <w:rsid w:val="00DF42FF"/>
    <w:rsid w:val="00DF4369"/>
    <w:rsid w:val="00DF4423"/>
    <w:rsid w:val="00DF448E"/>
    <w:rsid w:val="00DF4ADF"/>
    <w:rsid w:val="00DF566E"/>
    <w:rsid w:val="00DF5D1E"/>
    <w:rsid w:val="00DF724C"/>
    <w:rsid w:val="00DF77E4"/>
    <w:rsid w:val="00DF7F88"/>
    <w:rsid w:val="00E01965"/>
    <w:rsid w:val="00E01C0E"/>
    <w:rsid w:val="00E02E1F"/>
    <w:rsid w:val="00E0368F"/>
    <w:rsid w:val="00E037E9"/>
    <w:rsid w:val="00E03D73"/>
    <w:rsid w:val="00E03F9A"/>
    <w:rsid w:val="00E040DA"/>
    <w:rsid w:val="00E04694"/>
    <w:rsid w:val="00E1168B"/>
    <w:rsid w:val="00E12191"/>
    <w:rsid w:val="00E129E7"/>
    <w:rsid w:val="00E12ABE"/>
    <w:rsid w:val="00E12B1E"/>
    <w:rsid w:val="00E1444C"/>
    <w:rsid w:val="00E15DEE"/>
    <w:rsid w:val="00E17262"/>
    <w:rsid w:val="00E20016"/>
    <w:rsid w:val="00E2009B"/>
    <w:rsid w:val="00E20BB9"/>
    <w:rsid w:val="00E20BCC"/>
    <w:rsid w:val="00E2251C"/>
    <w:rsid w:val="00E2363D"/>
    <w:rsid w:val="00E23C6A"/>
    <w:rsid w:val="00E24694"/>
    <w:rsid w:val="00E2484B"/>
    <w:rsid w:val="00E25124"/>
    <w:rsid w:val="00E253A2"/>
    <w:rsid w:val="00E260F6"/>
    <w:rsid w:val="00E27127"/>
    <w:rsid w:val="00E27233"/>
    <w:rsid w:val="00E30F15"/>
    <w:rsid w:val="00E31771"/>
    <w:rsid w:val="00E3186D"/>
    <w:rsid w:val="00E31A3E"/>
    <w:rsid w:val="00E32080"/>
    <w:rsid w:val="00E3309D"/>
    <w:rsid w:val="00E350B1"/>
    <w:rsid w:val="00E35576"/>
    <w:rsid w:val="00E35A53"/>
    <w:rsid w:val="00E35EFD"/>
    <w:rsid w:val="00E3656B"/>
    <w:rsid w:val="00E3724A"/>
    <w:rsid w:val="00E37460"/>
    <w:rsid w:val="00E378B1"/>
    <w:rsid w:val="00E41066"/>
    <w:rsid w:val="00E417BE"/>
    <w:rsid w:val="00E41CD5"/>
    <w:rsid w:val="00E42054"/>
    <w:rsid w:val="00E4372D"/>
    <w:rsid w:val="00E43A9E"/>
    <w:rsid w:val="00E44243"/>
    <w:rsid w:val="00E4483B"/>
    <w:rsid w:val="00E44BA7"/>
    <w:rsid w:val="00E453F9"/>
    <w:rsid w:val="00E45D7D"/>
    <w:rsid w:val="00E4623F"/>
    <w:rsid w:val="00E4665D"/>
    <w:rsid w:val="00E47854"/>
    <w:rsid w:val="00E47EBA"/>
    <w:rsid w:val="00E50156"/>
    <w:rsid w:val="00E504EB"/>
    <w:rsid w:val="00E5076C"/>
    <w:rsid w:val="00E50D2E"/>
    <w:rsid w:val="00E50D7D"/>
    <w:rsid w:val="00E533F2"/>
    <w:rsid w:val="00E53470"/>
    <w:rsid w:val="00E539F6"/>
    <w:rsid w:val="00E545E3"/>
    <w:rsid w:val="00E54698"/>
    <w:rsid w:val="00E54FB4"/>
    <w:rsid w:val="00E5539A"/>
    <w:rsid w:val="00E55791"/>
    <w:rsid w:val="00E55E1A"/>
    <w:rsid w:val="00E574D2"/>
    <w:rsid w:val="00E575F9"/>
    <w:rsid w:val="00E578A2"/>
    <w:rsid w:val="00E60043"/>
    <w:rsid w:val="00E60BB1"/>
    <w:rsid w:val="00E6130F"/>
    <w:rsid w:val="00E61740"/>
    <w:rsid w:val="00E61EB5"/>
    <w:rsid w:val="00E6324D"/>
    <w:rsid w:val="00E65084"/>
    <w:rsid w:val="00E6519D"/>
    <w:rsid w:val="00E66062"/>
    <w:rsid w:val="00E6660E"/>
    <w:rsid w:val="00E66768"/>
    <w:rsid w:val="00E67305"/>
    <w:rsid w:val="00E67696"/>
    <w:rsid w:val="00E67EDD"/>
    <w:rsid w:val="00E70C5F"/>
    <w:rsid w:val="00E71A58"/>
    <w:rsid w:val="00E72A26"/>
    <w:rsid w:val="00E72A7A"/>
    <w:rsid w:val="00E7335A"/>
    <w:rsid w:val="00E7467D"/>
    <w:rsid w:val="00E747DC"/>
    <w:rsid w:val="00E74A2D"/>
    <w:rsid w:val="00E74ACE"/>
    <w:rsid w:val="00E74C39"/>
    <w:rsid w:val="00E75C94"/>
    <w:rsid w:val="00E75EC8"/>
    <w:rsid w:val="00E76A08"/>
    <w:rsid w:val="00E76B9B"/>
    <w:rsid w:val="00E76E61"/>
    <w:rsid w:val="00E77CC0"/>
    <w:rsid w:val="00E8086E"/>
    <w:rsid w:val="00E80B3D"/>
    <w:rsid w:val="00E80CA3"/>
    <w:rsid w:val="00E82618"/>
    <w:rsid w:val="00E84DD0"/>
    <w:rsid w:val="00E84E09"/>
    <w:rsid w:val="00E90CA8"/>
    <w:rsid w:val="00E930A1"/>
    <w:rsid w:val="00E93820"/>
    <w:rsid w:val="00E94A86"/>
    <w:rsid w:val="00E953F6"/>
    <w:rsid w:val="00E96143"/>
    <w:rsid w:val="00E96833"/>
    <w:rsid w:val="00E97506"/>
    <w:rsid w:val="00E97BB5"/>
    <w:rsid w:val="00EA0C68"/>
    <w:rsid w:val="00EA1D0E"/>
    <w:rsid w:val="00EA2072"/>
    <w:rsid w:val="00EA2841"/>
    <w:rsid w:val="00EA312A"/>
    <w:rsid w:val="00EA32BC"/>
    <w:rsid w:val="00EA33F0"/>
    <w:rsid w:val="00EA35A7"/>
    <w:rsid w:val="00EA3B32"/>
    <w:rsid w:val="00EA3D05"/>
    <w:rsid w:val="00EA4402"/>
    <w:rsid w:val="00EA4B8D"/>
    <w:rsid w:val="00EA513E"/>
    <w:rsid w:val="00EA53D8"/>
    <w:rsid w:val="00EA7419"/>
    <w:rsid w:val="00EA77F1"/>
    <w:rsid w:val="00EB0E32"/>
    <w:rsid w:val="00EB1F3E"/>
    <w:rsid w:val="00EB2F3C"/>
    <w:rsid w:val="00EB2F55"/>
    <w:rsid w:val="00EB3B7B"/>
    <w:rsid w:val="00EB3E60"/>
    <w:rsid w:val="00EB4511"/>
    <w:rsid w:val="00EB48D7"/>
    <w:rsid w:val="00EB4A8E"/>
    <w:rsid w:val="00EB4BC5"/>
    <w:rsid w:val="00EB5BF7"/>
    <w:rsid w:val="00EB5E79"/>
    <w:rsid w:val="00EB6FAC"/>
    <w:rsid w:val="00EB7BAC"/>
    <w:rsid w:val="00EC03D7"/>
    <w:rsid w:val="00EC13A7"/>
    <w:rsid w:val="00EC2B75"/>
    <w:rsid w:val="00EC2EB6"/>
    <w:rsid w:val="00EC3C95"/>
    <w:rsid w:val="00EC5028"/>
    <w:rsid w:val="00EC6232"/>
    <w:rsid w:val="00ED0AB7"/>
    <w:rsid w:val="00ED0EF0"/>
    <w:rsid w:val="00ED12B9"/>
    <w:rsid w:val="00ED142F"/>
    <w:rsid w:val="00ED16B8"/>
    <w:rsid w:val="00ED1DF0"/>
    <w:rsid w:val="00ED2386"/>
    <w:rsid w:val="00ED2EA1"/>
    <w:rsid w:val="00ED3851"/>
    <w:rsid w:val="00ED3F10"/>
    <w:rsid w:val="00ED462A"/>
    <w:rsid w:val="00ED4D04"/>
    <w:rsid w:val="00ED566D"/>
    <w:rsid w:val="00ED5907"/>
    <w:rsid w:val="00ED5F5B"/>
    <w:rsid w:val="00ED62C6"/>
    <w:rsid w:val="00ED64C1"/>
    <w:rsid w:val="00ED6967"/>
    <w:rsid w:val="00ED7705"/>
    <w:rsid w:val="00ED781F"/>
    <w:rsid w:val="00EE2EB4"/>
    <w:rsid w:val="00EE3446"/>
    <w:rsid w:val="00EE3E78"/>
    <w:rsid w:val="00EE41FD"/>
    <w:rsid w:val="00EE460E"/>
    <w:rsid w:val="00EE4B1B"/>
    <w:rsid w:val="00EE5FBA"/>
    <w:rsid w:val="00EE6E06"/>
    <w:rsid w:val="00EE7179"/>
    <w:rsid w:val="00EE7A0B"/>
    <w:rsid w:val="00EF0B27"/>
    <w:rsid w:val="00EF0D90"/>
    <w:rsid w:val="00EF150D"/>
    <w:rsid w:val="00EF1F5A"/>
    <w:rsid w:val="00EF23B5"/>
    <w:rsid w:val="00EF25AD"/>
    <w:rsid w:val="00EF35EC"/>
    <w:rsid w:val="00EF3FCF"/>
    <w:rsid w:val="00EF406A"/>
    <w:rsid w:val="00EF47BF"/>
    <w:rsid w:val="00EF59B1"/>
    <w:rsid w:val="00EF5A13"/>
    <w:rsid w:val="00EF5FF9"/>
    <w:rsid w:val="00EF77D4"/>
    <w:rsid w:val="00EF7CC7"/>
    <w:rsid w:val="00F00853"/>
    <w:rsid w:val="00F00866"/>
    <w:rsid w:val="00F00EC8"/>
    <w:rsid w:val="00F013F0"/>
    <w:rsid w:val="00F0160B"/>
    <w:rsid w:val="00F0193E"/>
    <w:rsid w:val="00F03904"/>
    <w:rsid w:val="00F03E2F"/>
    <w:rsid w:val="00F03F8D"/>
    <w:rsid w:val="00F04181"/>
    <w:rsid w:val="00F04811"/>
    <w:rsid w:val="00F0488C"/>
    <w:rsid w:val="00F055B0"/>
    <w:rsid w:val="00F073ED"/>
    <w:rsid w:val="00F07C4C"/>
    <w:rsid w:val="00F10F11"/>
    <w:rsid w:val="00F11159"/>
    <w:rsid w:val="00F11574"/>
    <w:rsid w:val="00F115E4"/>
    <w:rsid w:val="00F12CFB"/>
    <w:rsid w:val="00F13E60"/>
    <w:rsid w:val="00F13FDB"/>
    <w:rsid w:val="00F15AAA"/>
    <w:rsid w:val="00F15BEF"/>
    <w:rsid w:val="00F17898"/>
    <w:rsid w:val="00F207C2"/>
    <w:rsid w:val="00F21337"/>
    <w:rsid w:val="00F219A1"/>
    <w:rsid w:val="00F23E20"/>
    <w:rsid w:val="00F24407"/>
    <w:rsid w:val="00F246B8"/>
    <w:rsid w:val="00F24FAA"/>
    <w:rsid w:val="00F25040"/>
    <w:rsid w:val="00F27071"/>
    <w:rsid w:val="00F27331"/>
    <w:rsid w:val="00F27EE5"/>
    <w:rsid w:val="00F27FB1"/>
    <w:rsid w:val="00F27FD6"/>
    <w:rsid w:val="00F307CB"/>
    <w:rsid w:val="00F30C65"/>
    <w:rsid w:val="00F31A7E"/>
    <w:rsid w:val="00F321D2"/>
    <w:rsid w:val="00F32649"/>
    <w:rsid w:val="00F32BC4"/>
    <w:rsid w:val="00F33523"/>
    <w:rsid w:val="00F3364D"/>
    <w:rsid w:val="00F33914"/>
    <w:rsid w:val="00F3394D"/>
    <w:rsid w:val="00F349BF"/>
    <w:rsid w:val="00F34DDC"/>
    <w:rsid w:val="00F35DD3"/>
    <w:rsid w:val="00F36191"/>
    <w:rsid w:val="00F3629F"/>
    <w:rsid w:val="00F36DF3"/>
    <w:rsid w:val="00F3729C"/>
    <w:rsid w:val="00F37C85"/>
    <w:rsid w:val="00F37EDC"/>
    <w:rsid w:val="00F405FD"/>
    <w:rsid w:val="00F437CC"/>
    <w:rsid w:val="00F44537"/>
    <w:rsid w:val="00F46185"/>
    <w:rsid w:val="00F46423"/>
    <w:rsid w:val="00F4696A"/>
    <w:rsid w:val="00F47067"/>
    <w:rsid w:val="00F47234"/>
    <w:rsid w:val="00F525AB"/>
    <w:rsid w:val="00F525EB"/>
    <w:rsid w:val="00F52CB5"/>
    <w:rsid w:val="00F53378"/>
    <w:rsid w:val="00F53A68"/>
    <w:rsid w:val="00F53ADD"/>
    <w:rsid w:val="00F54934"/>
    <w:rsid w:val="00F55A92"/>
    <w:rsid w:val="00F55E8F"/>
    <w:rsid w:val="00F609E0"/>
    <w:rsid w:val="00F6200A"/>
    <w:rsid w:val="00F623D6"/>
    <w:rsid w:val="00F62BFF"/>
    <w:rsid w:val="00F63AAE"/>
    <w:rsid w:val="00F63DDE"/>
    <w:rsid w:val="00F63FB7"/>
    <w:rsid w:val="00F6421B"/>
    <w:rsid w:val="00F647F1"/>
    <w:rsid w:val="00F649D2"/>
    <w:rsid w:val="00F64E62"/>
    <w:rsid w:val="00F6503C"/>
    <w:rsid w:val="00F6602B"/>
    <w:rsid w:val="00F7150B"/>
    <w:rsid w:val="00F717E4"/>
    <w:rsid w:val="00F71DE6"/>
    <w:rsid w:val="00F727F1"/>
    <w:rsid w:val="00F72D71"/>
    <w:rsid w:val="00F7381C"/>
    <w:rsid w:val="00F73A0C"/>
    <w:rsid w:val="00F7549F"/>
    <w:rsid w:val="00F756DB"/>
    <w:rsid w:val="00F75922"/>
    <w:rsid w:val="00F75CFE"/>
    <w:rsid w:val="00F767A8"/>
    <w:rsid w:val="00F82D14"/>
    <w:rsid w:val="00F83681"/>
    <w:rsid w:val="00F84E7D"/>
    <w:rsid w:val="00F85066"/>
    <w:rsid w:val="00F8508F"/>
    <w:rsid w:val="00F8628A"/>
    <w:rsid w:val="00F87A4D"/>
    <w:rsid w:val="00F93688"/>
    <w:rsid w:val="00F939F3"/>
    <w:rsid w:val="00F93C6E"/>
    <w:rsid w:val="00F93F2C"/>
    <w:rsid w:val="00F94F43"/>
    <w:rsid w:val="00F9644E"/>
    <w:rsid w:val="00F96FBA"/>
    <w:rsid w:val="00FA0105"/>
    <w:rsid w:val="00FA028A"/>
    <w:rsid w:val="00FA05A0"/>
    <w:rsid w:val="00FA08CD"/>
    <w:rsid w:val="00FA0AEF"/>
    <w:rsid w:val="00FA17CC"/>
    <w:rsid w:val="00FA1F01"/>
    <w:rsid w:val="00FA26DF"/>
    <w:rsid w:val="00FA2F80"/>
    <w:rsid w:val="00FA32BC"/>
    <w:rsid w:val="00FA4533"/>
    <w:rsid w:val="00FA48A4"/>
    <w:rsid w:val="00FA4CB7"/>
    <w:rsid w:val="00FA5112"/>
    <w:rsid w:val="00FA5526"/>
    <w:rsid w:val="00FA5D4D"/>
    <w:rsid w:val="00FA5F40"/>
    <w:rsid w:val="00FA6C9B"/>
    <w:rsid w:val="00FA6CB6"/>
    <w:rsid w:val="00FA70D3"/>
    <w:rsid w:val="00FA7AEC"/>
    <w:rsid w:val="00FB0AEA"/>
    <w:rsid w:val="00FB0EE2"/>
    <w:rsid w:val="00FB1A79"/>
    <w:rsid w:val="00FB1E86"/>
    <w:rsid w:val="00FB208B"/>
    <w:rsid w:val="00FB2B2D"/>
    <w:rsid w:val="00FB45E3"/>
    <w:rsid w:val="00FB4F7E"/>
    <w:rsid w:val="00FB542E"/>
    <w:rsid w:val="00FB564F"/>
    <w:rsid w:val="00FB5686"/>
    <w:rsid w:val="00FB7DBB"/>
    <w:rsid w:val="00FC05F8"/>
    <w:rsid w:val="00FC0E5F"/>
    <w:rsid w:val="00FC1266"/>
    <w:rsid w:val="00FC1A95"/>
    <w:rsid w:val="00FC1ED4"/>
    <w:rsid w:val="00FC2B38"/>
    <w:rsid w:val="00FC3BEC"/>
    <w:rsid w:val="00FC3E69"/>
    <w:rsid w:val="00FC4213"/>
    <w:rsid w:val="00FC440B"/>
    <w:rsid w:val="00FC56DE"/>
    <w:rsid w:val="00FC63D9"/>
    <w:rsid w:val="00FC64DE"/>
    <w:rsid w:val="00FC684B"/>
    <w:rsid w:val="00FC7D98"/>
    <w:rsid w:val="00FD1013"/>
    <w:rsid w:val="00FD1135"/>
    <w:rsid w:val="00FD1173"/>
    <w:rsid w:val="00FD3265"/>
    <w:rsid w:val="00FD3CF7"/>
    <w:rsid w:val="00FD4916"/>
    <w:rsid w:val="00FD4D12"/>
    <w:rsid w:val="00FD4F73"/>
    <w:rsid w:val="00FD595E"/>
    <w:rsid w:val="00FD6B56"/>
    <w:rsid w:val="00FD7802"/>
    <w:rsid w:val="00FE0A8A"/>
    <w:rsid w:val="00FE1F4B"/>
    <w:rsid w:val="00FE2537"/>
    <w:rsid w:val="00FE27C7"/>
    <w:rsid w:val="00FE2C7E"/>
    <w:rsid w:val="00FE2F78"/>
    <w:rsid w:val="00FE3137"/>
    <w:rsid w:val="00FE346B"/>
    <w:rsid w:val="00FE346F"/>
    <w:rsid w:val="00FE48E4"/>
    <w:rsid w:val="00FE5EC0"/>
    <w:rsid w:val="00FE634C"/>
    <w:rsid w:val="00FE6E69"/>
    <w:rsid w:val="00FE6F59"/>
    <w:rsid w:val="00FE7473"/>
    <w:rsid w:val="00FF01B6"/>
    <w:rsid w:val="00FF1136"/>
    <w:rsid w:val="00FF1532"/>
    <w:rsid w:val="00FF23BA"/>
    <w:rsid w:val="00FF29D8"/>
    <w:rsid w:val="00FF2C2C"/>
    <w:rsid w:val="00FF326A"/>
    <w:rsid w:val="00FF36E2"/>
    <w:rsid w:val="00FF3D76"/>
    <w:rsid w:val="00FF464B"/>
    <w:rsid w:val="00FF51B0"/>
    <w:rsid w:val="00FF5B8C"/>
    <w:rsid w:val="00FF63E6"/>
    <w:rsid w:val="00FF7632"/>
    <w:rsid w:val="00FF7B96"/>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ecf4dd,#eaecee,#fcec0a,#fcecdb,#f1daf5"/>
    </o:shapedefaults>
    <o:shapelayout v:ext="edit">
      <o:idmap v:ext="edit" data="1"/>
    </o:shapelayout>
  </w:shapeDefaults>
  <w:decimalSymbol w:val=","/>
  <w:listSeparator w:val=";"/>
  <w14:docId w14:val="74EEB6EC"/>
  <w15:docId w15:val="{2A67D8E9-8FBF-4C12-89B2-1C890D695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64FA0"/>
    <w:pPr>
      <w:spacing w:after="240" w:line="276" w:lineRule="auto"/>
      <w:jc w:val="both"/>
    </w:pPr>
    <w:rPr>
      <w:rFonts w:ascii="Arial" w:eastAsia="Times New Roman" w:hAnsi="Arial"/>
      <w:szCs w:val="24"/>
      <w:lang w:eastAsia="cs-CZ"/>
    </w:rPr>
  </w:style>
  <w:style w:type="paragraph" w:styleId="Nadpis1">
    <w:name w:val="heading 1"/>
    <w:next w:val="Normln"/>
    <w:link w:val="Nadpis1Char"/>
    <w:uiPriority w:val="9"/>
    <w:qFormat/>
    <w:rsid w:val="00A25216"/>
    <w:pPr>
      <w:keepNext/>
      <w:keepLines/>
      <w:spacing w:after="100" w:line="276" w:lineRule="auto"/>
      <w:contextualSpacing/>
      <w:outlineLvl w:val="0"/>
    </w:pPr>
    <w:rPr>
      <w:rFonts w:ascii="Arial" w:eastAsia="MS Gothic" w:hAnsi="Arial"/>
      <w:b/>
      <w:bCs/>
      <w:color w:val="71818C"/>
      <w:sz w:val="32"/>
      <w:szCs w:val="28"/>
      <w:lang w:eastAsia="cs-CZ"/>
    </w:rPr>
  </w:style>
  <w:style w:type="paragraph" w:styleId="Nadpis2">
    <w:name w:val="heading 2"/>
    <w:next w:val="Normln"/>
    <w:link w:val="Nadpis2Char"/>
    <w:uiPriority w:val="9"/>
    <w:qFormat/>
    <w:rsid w:val="00A25216"/>
    <w:pPr>
      <w:keepNext/>
      <w:keepLines/>
      <w:spacing w:line="276" w:lineRule="auto"/>
      <w:outlineLvl w:val="1"/>
    </w:pPr>
    <w:rPr>
      <w:rFonts w:ascii="Arial" w:eastAsia="MS Gothic" w:hAnsi="Arial"/>
      <w:b/>
      <w:bCs/>
      <w:color w:val="71818C"/>
      <w:sz w:val="28"/>
      <w:szCs w:val="26"/>
      <w:lang w:eastAsia="cs-CZ"/>
    </w:rPr>
  </w:style>
  <w:style w:type="paragraph" w:styleId="Nadpis3">
    <w:name w:val="heading 3"/>
    <w:next w:val="Normln"/>
    <w:link w:val="Nadpis3Char"/>
    <w:uiPriority w:val="9"/>
    <w:qFormat/>
    <w:rsid w:val="00A25216"/>
    <w:pPr>
      <w:keepNext/>
      <w:keepLines/>
      <w:spacing w:line="276" w:lineRule="auto"/>
      <w:outlineLvl w:val="2"/>
    </w:pPr>
    <w:rPr>
      <w:rFonts w:ascii="Arial" w:eastAsia="MS Gothic" w:hAnsi="Arial"/>
      <w:b/>
      <w:bCs/>
      <w:color w:val="71818C"/>
      <w:sz w:val="24"/>
      <w:szCs w:val="24"/>
      <w:lang w:eastAsia="cs-CZ"/>
    </w:rPr>
  </w:style>
  <w:style w:type="paragraph" w:styleId="Nadpis4">
    <w:name w:val="heading 4"/>
    <w:next w:val="Normln"/>
    <w:link w:val="Nadpis4Char"/>
    <w:uiPriority w:val="9"/>
    <w:qFormat/>
    <w:rsid w:val="00A25216"/>
    <w:pPr>
      <w:keepNext/>
      <w:keepLines/>
      <w:spacing w:line="276" w:lineRule="auto"/>
      <w:outlineLvl w:val="3"/>
    </w:pPr>
    <w:rPr>
      <w:rFonts w:ascii="Arial" w:eastAsia="MS Gothic" w:hAnsi="Arial"/>
      <w:b/>
      <w:bCs/>
      <w:iCs/>
      <w:color w:val="71818C"/>
      <w:szCs w:val="24"/>
      <w:lang w:eastAsia="cs-CZ"/>
    </w:rPr>
  </w:style>
  <w:style w:type="paragraph" w:styleId="Nadpis5">
    <w:name w:val="heading 5"/>
    <w:basedOn w:val="Normln"/>
    <w:next w:val="Normln"/>
    <w:link w:val="Nadpis5Char"/>
    <w:uiPriority w:val="9"/>
    <w:semiHidden/>
    <w:unhideWhenUsed/>
    <w:rsid w:val="007A516D"/>
    <w:pPr>
      <w:keepNext/>
      <w:keepLines/>
      <w:numPr>
        <w:ilvl w:val="4"/>
        <w:numId w:val="14"/>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7A516D"/>
    <w:pPr>
      <w:keepNext/>
      <w:keepLines/>
      <w:numPr>
        <w:ilvl w:val="5"/>
        <w:numId w:val="14"/>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7A516D"/>
    <w:pPr>
      <w:keepNext/>
      <w:keepLines/>
      <w:numPr>
        <w:ilvl w:val="6"/>
        <w:numId w:val="14"/>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7A516D"/>
    <w:pPr>
      <w:keepNext/>
      <w:keepLines/>
      <w:numPr>
        <w:ilvl w:val="7"/>
        <w:numId w:val="14"/>
      </w:numPr>
      <w:spacing w:before="200" w:after="0"/>
      <w:outlineLvl w:val="7"/>
    </w:pPr>
    <w:rPr>
      <w:rFonts w:asciiTheme="majorHAnsi" w:eastAsiaTheme="majorEastAsia" w:hAnsiTheme="majorHAnsi" w:cstheme="majorBidi"/>
      <w:color w:val="404040" w:themeColor="text1" w:themeTint="BF"/>
      <w:szCs w:val="20"/>
    </w:rPr>
  </w:style>
  <w:style w:type="paragraph" w:styleId="Nadpis9">
    <w:name w:val="heading 9"/>
    <w:basedOn w:val="Normln"/>
    <w:next w:val="Normln"/>
    <w:link w:val="Nadpis9Char"/>
    <w:uiPriority w:val="9"/>
    <w:semiHidden/>
    <w:unhideWhenUsed/>
    <w:qFormat/>
    <w:rsid w:val="007A516D"/>
    <w:pPr>
      <w:numPr>
        <w:ilvl w:val="8"/>
        <w:numId w:val="14"/>
      </w:num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qFormat/>
    <w:rsid w:val="00364FA0"/>
    <w:rPr>
      <w:rFonts w:ascii="Arial" w:eastAsia="MS Gothic" w:hAnsi="Arial"/>
      <w:b/>
      <w:bCs/>
      <w:color w:val="71818C"/>
      <w:sz w:val="32"/>
      <w:szCs w:val="28"/>
      <w:lang w:eastAsia="cs-CZ"/>
    </w:rPr>
  </w:style>
  <w:style w:type="character" w:customStyle="1" w:styleId="Nadpis2Char">
    <w:name w:val="Nadpis 2 Char"/>
    <w:link w:val="Nadpis2"/>
    <w:uiPriority w:val="9"/>
    <w:rsid w:val="00364FA0"/>
    <w:rPr>
      <w:rFonts w:ascii="Arial" w:eastAsia="MS Gothic" w:hAnsi="Arial"/>
      <w:b/>
      <w:bCs/>
      <w:color w:val="71818C"/>
      <w:sz w:val="28"/>
      <w:szCs w:val="26"/>
      <w:lang w:eastAsia="cs-CZ"/>
    </w:rPr>
  </w:style>
  <w:style w:type="character" w:customStyle="1" w:styleId="Nadpis3Char">
    <w:name w:val="Nadpis 3 Char"/>
    <w:link w:val="Nadpis3"/>
    <w:uiPriority w:val="9"/>
    <w:rsid w:val="00364FA0"/>
    <w:rPr>
      <w:rFonts w:ascii="Arial" w:eastAsia="MS Gothic" w:hAnsi="Arial"/>
      <w:b/>
      <w:bCs/>
      <w:color w:val="71818C"/>
      <w:sz w:val="24"/>
      <w:szCs w:val="24"/>
      <w:lang w:eastAsia="cs-CZ"/>
    </w:rPr>
  </w:style>
  <w:style w:type="character" w:customStyle="1" w:styleId="Nadpis4Char">
    <w:name w:val="Nadpis 4 Char"/>
    <w:link w:val="Nadpis4"/>
    <w:uiPriority w:val="9"/>
    <w:rsid w:val="00364FA0"/>
    <w:rPr>
      <w:rFonts w:ascii="Arial" w:eastAsia="MS Gothic" w:hAnsi="Arial"/>
      <w:b/>
      <w:bCs/>
      <w:iCs/>
      <w:color w:val="71818C"/>
      <w:szCs w:val="24"/>
      <w:lang w:eastAsia="cs-CZ"/>
    </w:rPr>
  </w:style>
  <w:style w:type="character" w:customStyle="1" w:styleId="Nadpis9Char">
    <w:name w:val="Nadpis 9 Char"/>
    <w:link w:val="Nadpis9"/>
    <w:uiPriority w:val="9"/>
    <w:semiHidden/>
    <w:rsid w:val="007A516D"/>
    <w:rPr>
      <w:rFonts w:ascii="Cambria" w:eastAsia="Times New Roman" w:hAnsi="Cambria"/>
      <w:sz w:val="22"/>
      <w:szCs w:val="22"/>
      <w:lang w:eastAsia="cs-CZ"/>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846121"/>
    <w:pPr>
      <w:spacing w:after="80" w:line="288" w:lineRule="auto"/>
    </w:pPr>
    <w:rPr>
      <w:rFonts w:ascii="Arial" w:eastAsia="Times New Roman" w:hAnsi="Arial"/>
      <w:b/>
      <w:color w:val="71818C"/>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A-Box1">
    <w:name w:val="A-Box 1"/>
    <w:next w:val="Normln"/>
    <w:qFormat/>
    <w:rsid w:val="00F84E7D"/>
    <w:pPr>
      <w:shd w:val="clear" w:color="auto" w:fill="EAECEE"/>
      <w:spacing w:before="240" w:after="240" w:line="276" w:lineRule="auto"/>
      <w:contextualSpacing/>
      <w:jc w:val="both"/>
    </w:pPr>
    <w:rPr>
      <w:rFonts w:ascii="Arial" w:hAnsi="Arial" w:cs="Arial"/>
      <w:lang w:eastAsia="cs-CZ"/>
    </w:rPr>
  </w:style>
  <w:style w:type="paragraph" w:customStyle="1" w:styleId="A-Box2">
    <w:name w:val="A-Box 2"/>
    <w:next w:val="Normln"/>
    <w:qFormat/>
    <w:rsid w:val="00D075BE"/>
    <w:pPr>
      <w:spacing w:before="240" w:after="240" w:line="276" w:lineRule="auto"/>
      <w:contextualSpacing/>
      <w:jc w:val="both"/>
    </w:pPr>
    <w:rPr>
      <w:rFonts w:ascii="Arial" w:hAnsi="Arial" w:cs="Arial"/>
      <w:color w:val="71818C"/>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104C4C"/>
    <w:pPr>
      <w:spacing w:after="40"/>
      <w:contextualSpacing/>
    </w:pPr>
    <w:rPr>
      <w:b/>
      <w:caps/>
      <w:color w:val="BD1B21"/>
      <w:sz w:val="24"/>
    </w:rPr>
  </w:style>
  <w:style w:type="paragraph" w:customStyle="1" w:styleId="TLKontakty">
    <w:name w:val="TL Kontakty"/>
    <w:qFormat/>
    <w:rsid w:val="008E6F06"/>
    <w:pPr>
      <w:spacing w:after="160" w:line="259" w:lineRule="auto"/>
      <w:contextualSpacing/>
    </w:pPr>
    <w:rPr>
      <w:rFonts w:ascii="Arial" w:eastAsia="Times New Roman" w:hAnsi="Arial"/>
      <w:b/>
      <w:color w:val="0071BC"/>
      <w:lang w:eastAsia="cs-CZ"/>
    </w:rPr>
  </w:style>
  <w:style w:type="paragraph" w:styleId="Nzev">
    <w:name w:val="Title"/>
    <w:link w:val="NzevChar"/>
    <w:uiPriority w:val="10"/>
    <w:qFormat/>
    <w:rsid w:val="00846121"/>
    <w:pPr>
      <w:spacing w:line="288" w:lineRule="auto"/>
    </w:pPr>
    <w:rPr>
      <w:rFonts w:ascii="Arial" w:eastAsia="Times New Roman" w:hAnsi="Arial"/>
      <w:b/>
      <w:bCs/>
      <w:caps/>
      <w:color w:val="71818C"/>
      <w:kern w:val="28"/>
      <w:sz w:val="56"/>
      <w:szCs w:val="32"/>
      <w:lang w:eastAsia="cs-CZ"/>
    </w:rPr>
  </w:style>
  <w:style w:type="character" w:customStyle="1" w:styleId="NzevChar">
    <w:name w:val="Název Char"/>
    <w:link w:val="Nzev"/>
    <w:uiPriority w:val="10"/>
    <w:rsid w:val="00846121"/>
    <w:rPr>
      <w:rFonts w:ascii="Arial" w:eastAsia="Times New Roman" w:hAnsi="Arial"/>
      <w:b/>
      <w:bCs/>
      <w:caps/>
      <w:color w:val="71818C"/>
      <w:kern w:val="28"/>
      <w:sz w:val="56"/>
      <w:szCs w:val="32"/>
    </w:rPr>
  </w:style>
  <w:style w:type="paragraph" w:styleId="Podnadpis">
    <w:name w:val="Subtitle"/>
    <w:link w:val="PodnadpisChar"/>
    <w:uiPriority w:val="11"/>
    <w:qFormat/>
    <w:rsid w:val="00846121"/>
    <w:pPr>
      <w:spacing w:line="288" w:lineRule="auto"/>
    </w:pPr>
    <w:rPr>
      <w:rFonts w:ascii="Arial" w:eastAsia="Times New Roman" w:hAnsi="Arial" w:cs="Arial"/>
      <w:b/>
      <w:color w:val="71818C"/>
      <w:sz w:val="28"/>
      <w:szCs w:val="24"/>
      <w:lang w:eastAsia="cs-CZ"/>
    </w:rPr>
  </w:style>
  <w:style w:type="character" w:customStyle="1" w:styleId="PodnadpisChar">
    <w:name w:val="Podnadpis Char"/>
    <w:link w:val="Podnadpis"/>
    <w:uiPriority w:val="11"/>
    <w:rsid w:val="00846121"/>
    <w:rPr>
      <w:rFonts w:ascii="Arial" w:eastAsia="Times New Roman" w:hAnsi="Arial" w:cs="Arial"/>
      <w:b/>
      <w:color w:val="71818C"/>
      <w:sz w:val="28"/>
      <w:szCs w:val="24"/>
    </w:rPr>
  </w:style>
  <w:style w:type="paragraph" w:styleId="Obsah2">
    <w:name w:val="toc 2"/>
    <w:basedOn w:val="Obsahpoloky"/>
    <w:next w:val="Obsahpoloky"/>
    <w:autoRedefine/>
    <w:uiPriority w:val="39"/>
    <w:unhideWhenUsed/>
    <w:rsid w:val="00FC1A95"/>
    <w:pPr>
      <w:ind w:left="200"/>
    </w:pPr>
  </w:style>
  <w:style w:type="paragraph" w:styleId="Obsah3">
    <w:name w:val="toc 3"/>
    <w:basedOn w:val="Obsahpoloky"/>
    <w:next w:val="Obsahpoloky"/>
    <w:autoRedefine/>
    <w:uiPriority w:val="39"/>
    <w:unhideWhenUsed/>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customStyle="1" w:styleId="Nadpis5Char">
    <w:name w:val="Nadpis 5 Char"/>
    <w:basedOn w:val="Standardnpsmoodstavce"/>
    <w:link w:val="Nadpis5"/>
    <w:uiPriority w:val="9"/>
    <w:semiHidden/>
    <w:rsid w:val="007A516D"/>
    <w:rPr>
      <w:rFonts w:asciiTheme="majorHAnsi" w:eastAsiaTheme="majorEastAsia" w:hAnsiTheme="majorHAnsi" w:cstheme="majorBidi"/>
      <w:color w:val="243F60" w:themeColor="accent1" w:themeShade="7F"/>
      <w:szCs w:val="24"/>
      <w:lang w:eastAsia="cs-CZ"/>
    </w:rPr>
  </w:style>
  <w:style w:type="character" w:customStyle="1" w:styleId="Nadpis6Char">
    <w:name w:val="Nadpis 6 Char"/>
    <w:basedOn w:val="Standardnpsmoodstavce"/>
    <w:link w:val="Nadpis6"/>
    <w:uiPriority w:val="9"/>
    <w:semiHidden/>
    <w:rsid w:val="007A516D"/>
    <w:rPr>
      <w:rFonts w:asciiTheme="majorHAnsi" w:eastAsiaTheme="majorEastAsia" w:hAnsiTheme="majorHAnsi" w:cstheme="majorBidi"/>
      <w:i/>
      <w:iCs/>
      <w:color w:val="243F60" w:themeColor="accent1" w:themeShade="7F"/>
      <w:szCs w:val="24"/>
      <w:lang w:eastAsia="cs-CZ"/>
    </w:rPr>
  </w:style>
  <w:style w:type="character" w:customStyle="1" w:styleId="Nadpis7Char">
    <w:name w:val="Nadpis 7 Char"/>
    <w:basedOn w:val="Standardnpsmoodstavce"/>
    <w:link w:val="Nadpis7"/>
    <w:uiPriority w:val="9"/>
    <w:semiHidden/>
    <w:rsid w:val="007A516D"/>
    <w:rPr>
      <w:rFonts w:asciiTheme="majorHAnsi" w:eastAsiaTheme="majorEastAsia" w:hAnsiTheme="majorHAnsi" w:cstheme="majorBidi"/>
      <w:i/>
      <w:iCs/>
      <w:color w:val="404040" w:themeColor="text1" w:themeTint="BF"/>
      <w:szCs w:val="24"/>
      <w:lang w:eastAsia="cs-CZ"/>
    </w:rPr>
  </w:style>
  <w:style w:type="character" w:customStyle="1" w:styleId="Nadpis8Char">
    <w:name w:val="Nadpis 8 Char"/>
    <w:basedOn w:val="Standardnpsmoodstavce"/>
    <w:link w:val="Nadpis8"/>
    <w:uiPriority w:val="9"/>
    <w:semiHidden/>
    <w:rsid w:val="007A516D"/>
    <w:rPr>
      <w:rFonts w:asciiTheme="majorHAnsi" w:eastAsiaTheme="majorEastAsia" w:hAnsiTheme="majorHAnsi" w:cstheme="majorBidi"/>
      <w:color w:val="404040" w:themeColor="text1" w:themeTint="BF"/>
      <w:lang w:eastAsia="cs-CZ"/>
    </w:rPr>
  </w:style>
  <w:style w:type="paragraph" w:styleId="Textpoznpodarou">
    <w:name w:val="footnote text"/>
    <w:aliases w:val="Text pozn. pod čarou_martin_ang"/>
    <w:basedOn w:val="Normln"/>
    <w:link w:val="TextpoznpodarouChar"/>
    <w:qFormat/>
    <w:rsid w:val="008E7FC9"/>
    <w:pPr>
      <w:spacing w:after="0" w:line="240" w:lineRule="auto"/>
      <w:jc w:val="left"/>
    </w:pPr>
    <w:rPr>
      <w:rFonts w:eastAsia="Calibri"/>
      <w:szCs w:val="20"/>
    </w:rPr>
  </w:style>
  <w:style w:type="character" w:customStyle="1" w:styleId="TextpoznpodarouChar">
    <w:name w:val="Text pozn. pod čarou Char"/>
    <w:aliases w:val="Text pozn. pod čarou_martin_ang Char"/>
    <w:basedOn w:val="Standardnpsmoodstavce"/>
    <w:link w:val="Textpoznpodarou"/>
    <w:qFormat/>
    <w:rsid w:val="008E7FC9"/>
    <w:rPr>
      <w:rFonts w:ascii="Arial" w:hAnsi="Arial"/>
      <w:lang w:eastAsia="cs-CZ"/>
    </w:rPr>
  </w:style>
  <w:style w:type="paragraph" w:styleId="Bezmezer">
    <w:name w:val="No Spacing"/>
    <w:uiPriority w:val="1"/>
    <w:qFormat/>
    <w:rsid w:val="00AD68C4"/>
    <w:pPr>
      <w:jc w:val="both"/>
    </w:pPr>
    <w:rPr>
      <w:rFonts w:ascii="Arial" w:eastAsia="Times New Roman" w:hAnsi="Arial"/>
      <w:szCs w:val="24"/>
      <w:lang w:eastAsia="cs-CZ"/>
    </w:rPr>
  </w:style>
  <w:style w:type="paragraph" w:customStyle="1" w:styleId="Marginlie">
    <w:name w:val="Marginálie"/>
    <w:basedOn w:val="Normln"/>
    <w:qFormat/>
    <w:rsid w:val="0089296D"/>
    <w:pPr>
      <w:spacing w:after="0"/>
      <w:jc w:val="left"/>
    </w:pPr>
    <w:rPr>
      <w:spacing w:val="-2"/>
      <w:sz w:val="16"/>
      <w:szCs w:val="16"/>
    </w:rPr>
  </w:style>
  <w:style w:type="paragraph" w:styleId="Odstavecseseznamem">
    <w:name w:val="List Paragraph"/>
    <w:basedOn w:val="Normln"/>
    <w:uiPriority w:val="34"/>
    <w:rsid w:val="006B0F92"/>
    <w:pPr>
      <w:ind w:left="720"/>
      <w:contextualSpacing/>
    </w:pPr>
  </w:style>
  <w:style w:type="paragraph" w:customStyle="1" w:styleId="Normalodrka">
    <w:name w:val="Normal odrážka"/>
    <w:qFormat/>
    <w:rsid w:val="006B0F92"/>
    <w:pPr>
      <w:numPr>
        <w:numId w:val="20"/>
      </w:numPr>
      <w:spacing w:after="240" w:line="276" w:lineRule="auto"/>
      <w:ind w:left="357" w:hanging="357"/>
      <w:jc w:val="both"/>
    </w:pPr>
    <w:rPr>
      <w:rFonts w:ascii="Arial" w:eastAsia="Times New Roman" w:hAnsi="Arial"/>
      <w:szCs w:val="24"/>
      <w:lang w:eastAsia="cs-CZ"/>
    </w:rPr>
  </w:style>
  <w:style w:type="paragraph" w:customStyle="1" w:styleId="Box1">
    <w:name w:val="Box 1"/>
    <w:next w:val="Normln"/>
    <w:qFormat/>
    <w:rsid w:val="00A17D5B"/>
    <w:pPr>
      <w:shd w:val="clear" w:color="auto" w:fill="EBEBEB"/>
      <w:spacing w:before="240" w:after="240" w:line="276" w:lineRule="auto"/>
      <w:ind w:left="709"/>
      <w:contextualSpacing/>
    </w:pPr>
    <w:rPr>
      <w:rFonts w:ascii="Arial" w:hAnsi="Arial" w:cs="Arial"/>
      <w:lang w:eastAsia="cs-CZ"/>
    </w:rPr>
  </w:style>
  <w:style w:type="paragraph" w:customStyle="1" w:styleId="Box2">
    <w:name w:val="Box 2"/>
    <w:next w:val="Normln"/>
    <w:qFormat/>
    <w:rsid w:val="00A17D5B"/>
    <w:pPr>
      <w:spacing w:before="240" w:after="240" w:line="276" w:lineRule="auto"/>
      <w:ind w:left="709"/>
      <w:contextualSpacing/>
    </w:pPr>
    <w:rPr>
      <w:rFonts w:ascii="Arial" w:hAnsi="Arial" w:cs="Arial"/>
      <w:b/>
      <w:color w:val="71818C"/>
      <w:lang w:eastAsia="cs-CZ"/>
    </w:rPr>
  </w:style>
  <w:style w:type="character" w:styleId="Odkaznakoment">
    <w:name w:val="annotation reference"/>
    <w:basedOn w:val="Standardnpsmoodstavce"/>
    <w:uiPriority w:val="99"/>
    <w:semiHidden/>
    <w:unhideWhenUsed/>
    <w:rsid w:val="00E76E61"/>
    <w:rPr>
      <w:sz w:val="16"/>
      <w:szCs w:val="16"/>
    </w:rPr>
  </w:style>
  <w:style w:type="paragraph" w:styleId="Textkomente">
    <w:name w:val="annotation text"/>
    <w:basedOn w:val="Normln"/>
    <w:link w:val="TextkomenteChar"/>
    <w:uiPriority w:val="99"/>
    <w:semiHidden/>
    <w:unhideWhenUsed/>
    <w:rsid w:val="00E76E61"/>
    <w:pPr>
      <w:spacing w:line="240" w:lineRule="auto"/>
    </w:pPr>
    <w:rPr>
      <w:szCs w:val="20"/>
    </w:rPr>
  </w:style>
  <w:style w:type="character" w:customStyle="1" w:styleId="TextkomenteChar">
    <w:name w:val="Text komentáře Char"/>
    <w:basedOn w:val="Standardnpsmoodstavce"/>
    <w:link w:val="Textkomente"/>
    <w:uiPriority w:val="99"/>
    <w:semiHidden/>
    <w:rsid w:val="00E76E61"/>
    <w:rPr>
      <w:rFonts w:ascii="Arial" w:eastAsia="Times New Roman" w:hAnsi="Arial"/>
      <w:lang w:eastAsia="cs-CZ"/>
    </w:rPr>
  </w:style>
  <w:style w:type="paragraph" w:styleId="Pedmtkomente">
    <w:name w:val="annotation subject"/>
    <w:basedOn w:val="Textkomente"/>
    <w:next w:val="Textkomente"/>
    <w:link w:val="PedmtkomenteChar"/>
    <w:uiPriority w:val="99"/>
    <w:semiHidden/>
    <w:unhideWhenUsed/>
    <w:rsid w:val="00E76E61"/>
    <w:rPr>
      <w:b/>
      <w:bCs/>
    </w:rPr>
  </w:style>
  <w:style w:type="character" w:customStyle="1" w:styleId="PedmtkomenteChar">
    <w:name w:val="Předmět komentáře Char"/>
    <w:basedOn w:val="TextkomenteChar"/>
    <w:link w:val="Pedmtkomente"/>
    <w:uiPriority w:val="99"/>
    <w:semiHidden/>
    <w:rsid w:val="00E76E61"/>
    <w:rPr>
      <w:rFonts w:ascii="Arial" w:eastAsia="Times New Roman" w:hAnsi="Arial"/>
      <w:b/>
      <w:bCs/>
      <w:lang w:eastAsia="cs-CZ"/>
    </w:rPr>
  </w:style>
  <w:style w:type="paragraph" w:customStyle="1" w:styleId="Nadpis11">
    <w:name w:val="Nadpis 11"/>
    <w:basedOn w:val="Normln"/>
    <w:uiPriority w:val="9"/>
    <w:qFormat/>
    <w:rsid w:val="00C62828"/>
    <w:pPr>
      <w:keepNext/>
      <w:keepLines/>
      <w:spacing w:after="100"/>
      <w:contextualSpacing/>
      <w:jc w:val="left"/>
      <w:outlineLvl w:val="0"/>
    </w:pPr>
    <w:rPr>
      <w:rFonts w:eastAsia="MS Gothic"/>
      <w:b/>
      <w:bCs/>
      <w:color w:val="71818C"/>
      <w:sz w:val="32"/>
      <w:szCs w:val="28"/>
    </w:rPr>
  </w:style>
  <w:style w:type="character" w:styleId="Znakapoznpodarou">
    <w:name w:val="footnote reference"/>
    <w:basedOn w:val="Standardnpsmoodstavce"/>
    <w:rsid w:val="00C62828"/>
    <w:rPr>
      <w:rFonts w:cs="Times New Roman"/>
      <w:vertAlign w:val="superscript"/>
    </w:rPr>
  </w:style>
  <w:style w:type="paragraph" w:styleId="Nadpisobsahu">
    <w:name w:val="TOC Heading"/>
    <w:basedOn w:val="Nadpis1"/>
    <w:next w:val="Normln"/>
    <w:uiPriority w:val="39"/>
    <w:semiHidden/>
    <w:unhideWhenUsed/>
    <w:qFormat/>
    <w:rsid w:val="001554C2"/>
    <w:pPr>
      <w:spacing w:before="480" w:after="0"/>
      <w:contextualSpacing w:val="0"/>
      <w:outlineLvl w:val="9"/>
    </w:pPr>
    <w:rPr>
      <w:rFonts w:asciiTheme="majorHAnsi" w:eastAsiaTheme="majorEastAsia" w:hAnsiTheme="majorHAnsi" w:cstheme="majorBidi"/>
      <w:color w:val="365F91" w:themeColor="accent1" w:themeShade="BF"/>
      <w:sz w:val="28"/>
      <w:lang w:eastAsia="en-US"/>
    </w:rPr>
  </w:style>
  <w:style w:type="character" w:styleId="Zdraznn">
    <w:name w:val="Emphasis"/>
    <w:basedOn w:val="Standardnpsmoodstavce"/>
    <w:uiPriority w:val="20"/>
    <w:qFormat/>
    <w:rsid w:val="00965797"/>
    <w:rPr>
      <w:i/>
      <w:iCs/>
    </w:rPr>
  </w:style>
  <w:style w:type="paragraph" w:styleId="Rozloendokumentu">
    <w:name w:val="Document Map"/>
    <w:basedOn w:val="Normln"/>
    <w:link w:val="RozloendokumentuChar"/>
    <w:uiPriority w:val="99"/>
    <w:semiHidden/>
    <w:rsid w:val="00AD5AD2"/>
    <w:pPr>
      <w:spacing w:after="0" w:line="288" w:lineRule="auto"/>
      <w:jc w:val="left"/>
    </w:pPr>
    <w:rPr>
      <w:rFonts w:ascii="Tahoma" w:eastAsia="Calibri" w:hAnsi="Tahoma" w:cs="Tahoma"/>
      <w:sz w:val="16"/>
      <w:szCs w:val="16"/>
    </w:rPr>
  </w:style>
  <w:style w:type="character" w:customStyle="1" w:styleId="RozloendokumentuChar">
    <w:name w:val="Rozložení dokumentu Char"/>
    <w:basedOn w:val="Standardnpsmoodstavce"/>
    <w:link w:val="Rozloendokumentu"/>
    <w:uiPriority w:val="99"/>
    <w:semiHidden/>
    <w:rsid w:val="00AD5AD2"/>
    <w:rPr>
      <w:rFonts w:ascii="Tahoma" w:hAnsi="Tahoma" w:cs="Tahoma"/>
      <w:sz w:val="16"/>
      <w:szCs w:val="16"/>
      <w:lang w:eastAsia="cs-CZ"/>
    </w:rPr>
  </w:style>
  <w:style w:type="paragraph" w:customStyle="1" w:styleId="Nadpis12">
    <w:name w:val="Nadpis 12"/>
    <w:basedOn w:val="Normln"/>
    <w:uiPriority w:val="9"/>
    <w:qFormat/>
    <w:rsid w:val="00E747DC"/>
    <w:pPr>
      <w:keepNext/>
      <w:keepLines/>
      <w:spacing w:after="100"/>
      <w:contextualSpacing/>
      <w:jc w:val="left"/>
      <w:outlineLvl w:val="0"/>
    </w:pPr>
    <w:rPr>
      <w:rFonts w:eastAsia="MS Gothic"/>
      <w:b/>
      <w:bCs/>
      <w:color w:val="71818C"/>
      <w:sz w:val="32"/>
      <w:szCs w:val="28"/>
    </w:rPr>
  </w:style>
  <w:style w:type="paragraph" w:customStyle="1" w:styleId="Textpoznpodarou1">
    <w:name w:val="Text pozn. pod čarou1"/>
    <w:basedOn w:val="Normln"/>
    <w:qFormat/>
    <w:rsid w:val="002F4AD8"/>
    <w:pPr>
      <w:spacing w:after="0" w:line="240" w:lineRule="auto"/>
      <w:jc w:val="left"/>
    </w:pPr>
    <w:rPr>
      <w:rFonts w:eastAsia="Calibri"/>
      <w:szCs w:val="20"/>
    </w:rPr>
  </w:style>
  <w:style w:type="character" w:customStyle="1" w:styleId="spelle">
    <w:name w:val="spelle"/>
    <w:basedOn w:val="Standardnpsmoodstavce"/>
    <w:rsid w:val="00830AEA"/>
  </w:style>
  <w:style w:type="paragraph" w:styleId="Revize">
    <w:name w:val="Revision"/>
    <w:hidden/>
    <w:uiPriority w:val="99"/>
    <w:semiHidden/>
    <w:rsid w:val="005D66E6"/>
    <w:rPr>
      <w:rFonts w:ascii="Arial" w:eastAsia="Times New Roman" w:hAnsi="Arial"/>
      <w:szCs w:val="24"/>
      <w:lang w:eastAsia="cs-CZ"/>
    </w:rPr>
  </w:style>
  <w:style w:type="character" w:customStyle="1" w:styleId="odkaz-style-wrapper">
    <w:name w:val="odkaz-style-wrapper"/>
    <w:basedOn w:val="Standardnpsmoodstavce"/>
    <w:rsid w:val="00524385"/>
  </w:style>
  <w:style w:type="character" w:customStyle="1" w:styleId="tabulka">
    <w:name w:val="tabulka"/>
    <w:basedOn w:val="Standardnpsmoodstavce"/>
    <w:rsid w:val="007449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331496633">
      <w:bodyDiv w:val="1"/>
      <w:marLeft w:val="40"/>
      <w:marRight w:val="40"/>
      <w:marTop w:val="40"/>
      <w:marBottom w:val="10"/>
      <w:divBdr>
        <w:top w:val="none" w:sz="0" w:space="0" w:color="auto"/>
        <w:left w:val="none" w:sz="0" w:space="0" w:color="auto"/>
        <w:bottom w:val="none" w:sz="0" w:space="0" w:color="auto"/>
        <w:right w:val="none" w:sz="0" w:space="0" w:color="auto"/>
      </w:divBdr>
      <w:divsChild>
        <w:div w:id="497160460">
          <w:marLeft w:val="0"/>
          <w:marRight w:val="0"/>
          <w:marTop w:val="0"/>
          <w:marBottom w:val="0"/>
          <w:divBdr>
            <w:top w:val="none" w:sz="0" w:space="0" w:color="auto"/>
            <w:left w:val="none" w:sz="0" w:space="0" w:color="auto"/>
            <w:bottom w:val="none" w:sz="0" w:space="0" w:color="auto"/>
            <w:right w:val="none" w:sz="0" w:space="0" w:color="auto"/>
          </w:divBdr>
        </w:div>
      </w:divsChild>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764961210">
      <w:bodyDiv w:val="1"/>
      <w:marLeft w:val="0"/>
      <w:marRight w:val="0"/>
      <w:marTop w:val="0"/>
      <w:marBottom w:val="0"/>
      <w:divBdr>
        <w:top w:val="none" w:sz="0" w:space="0" w:color="auto"/>
        <w:left w:val="none" w:sz="0" w:space="0" w:color="auto"/>
        <w:bottom w:val="none" w:sz="0" w:space="0" w:color="auto"/>
        <w:right w:val="none" w:sz="0" w:space="0" w:color="auto"/>
      </w:divBdr>
    </w:div>
    <w:div w:id="932319695">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613050718">
      <w:bodyDiv w:val="1"/>
      <w:marLeft w:val="0"/>
      <w:marRight w:val="0"/>
      <w:marTop w:val="0"/>
      <w:marBottom w:val="0"/>
      <w:divBdr>
        <w:top w:val="none" w:sz="0" w:space="0" w:color="auto"/>
        <w:left w:val="none" w:sz="0" w:space="0" w:color="auto"/>
        <w:bottom w:val="none" w:sz="0" w:space="0" w:color="auto"/>
        <w:right w:val="none" w:sz="0" w:space="0" w:color="auto"/>
      </w:divBdr>
    </w:div>
    <w:div w:id="184026964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1933080669">
      <w:bodyDiv w:val="1"/>
      <w:marLeft w:val="40"/>
      <w:marRight w:val="40"/>
      <w:marTop w:val="40"/>
      <w:marBottom w:val="10"/>
      <w:divBdr>
        <w:top w:val="none" w:sz="0" w:space="0" w:color="auto"/>
        <w:left w:val="none" w:sz="0" w:space="0" w:color="auto"/>
        <w:bottom w:val="none" w:sz="0" w:space="0" w:color="auto"/>
        <w:right w:val="none" w:sz="0" w:space="0" w:color="auto"/>
      </w:divBdr>
      <w:divsChild>
        <w:div w:id="1067263202">
          <w:marLeft w:val="0"/>
          <w:marRight w:val="0"/>
          <w:marTop w:val="0"/>
          <w:marBottom w:val="0"/>
          <w:divBdr>
            <w:top w:val="none" w:sz="0" w:space="0" w:color="auto"/>
            <w:left w:val="none" w:sz="0" w:space="0" w:color="auto"/>
            <w:bottom w:val="none" w:sz="0" w:space="0" w:color="auto"/>
            <w:right w:val="none" w:sz="0" w:space="0" w:color="auto"/>
          </w:divBdr>
        </w:div>
      </w:divsChild>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chart" Target="charts/chart2.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kumenty\Anal&#253;za\Q\2018Q1\Publikace\Q_analyza_Q12018.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D:\JKAM%20CSU\PUBLIKACE\PUBLIKACE\2020\Q-makro\ENGL-1.pololet&#237;\ENGL-Odv&#283;tv&#237;%20grafy-rok-2q202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JKAM%20CSU\PUBLIKACE\PUBLIKACE\2020\Q-makro\ENGL-1.pololet&#237;\ENGL-Odv&#283;tv&#237;%20grafy-rok-2q2020.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JKAM%20CSU\PUBLIKACE\PUBLIKACE\2020\Q-makro\ENGL-1.pololet&#237;\ENGL-Odv&#283;tv&#237;%20grafy-rok-2q2020.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JKAM%20CSU\PUBLIKACE\PUBLIKACE\2020\Q-makro\ENGL-1.pololet&#237;\ENGL-Odv&#283;tv&#237;%20grafy-rok-2q20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8391949014465353E-2"/>
          <c:y val="1.6203558522131581E-2"/>
          <c:w val="0.86585205378005858"/>
          <c:h val="0.72271963362571756"/>
        </c:manualLayout>
      </c:layout>
      <c:barChart>
        <c:barDir val="col"/>
        <c:grouping val="stacked"/>
        <c:varyColors val="0"/>
        <c:ser>
          <c:idx val="0"/>
          <c:order val="0"/>
          <c:tx>
            <c:strRef>
              <c:f>'GRAF příspěvky IPP'!$A$27</c:f>
              <c:strCache>
                <c:ptCount val="1"/>
                <c:pt idx="0">
                  <c:v>Manufact. of transport equipment (29+30)</c:v>
                </c:pt>
              </c:strCache>
            </c:strRef>
          </c:tx>
          <c:spPr>
            <a:solidFill>
              <a:srgbClr val="E8AFB2"/>
            </a:solidFill>
          </c:spPr>
          <c:invertIfNegative val="0"/>
          <c:cat>
            <c:multiLvlStrRef>
              <c:f>'GRAF příspěvky IPP'!$B$25:$AN$26</c:f>
              <c:multiLvlStrCache>
                <c:ptCount val="39"/>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pt idx="38">
                    <c:v>3</c:v>
                  </c:pt>
                </c:lvl>
                <c:lvl>
                  <c:pt idx="0">
                    <c:v>2011</c:v>
                  </c:pt>
                  <c:pt idx="4">
                    <c:v>2012</c:v>
                  </c:pt>
                  <c:pt idx="8">
                    <c:v>2013</c:v>
                  </c:pt>
                  <c:pt idx="12">
                    <c:v>2014</c:v>
                  </c:pt>
                  <c:pt idx="16">
                    <c:v>2015</c:v>
                  </c:pt>
                  <c:pt idx="20">
                    <c:v>2016</c:v>
                  </c:pt>
                  <c:pt idx="24">
                    <c:v>2017</c:v>
                  </c:pt>
                  <c:pt idx="28">
                    <c:v>2018</c:v>
                  </c:pt>
                  <c:pt idx="32">
                    <c:v>2019</c:v>
                  </c:pt>
                  <c:pt idx="36">
                    <c:v>2020</c:v>
                  </c:pt>
                </c:lvl>
              </c:multiLvlStrCache>
            </c:multiLvlStrRef>
          </c:cat>
          <c:val>
            <c:numRef>
              <c:f>'GRAF příspěvky IPP'!$B$27:$AN$27</c:f>
              <c:numCache>
                <c:formatCode>0.0</c:formatCode>
                <c:ptCount val="39"/>
                <c:pt idx="0">
                  <c:v>5.2078736853779173</c:v>
                </c:pt>
                <c:pt idx="1">
                  <c:v>4.1223648273779991</c:v>
                </c:pt>
                <c:pt idx="2">
                  <c:v>3.63477216157156</c:v>
                </c:pt>
                <c:pt idx="3">
                  <c:v>3.2216361743132538</c:v>
                </c:pt>
                <c:pt idx="4">
                  <c:v>2.2277089061298581</c:v>
                </c:pt>
                <c:pt idx="5">
                  <c:v>1.0445407965040034</c:v>
                </c:pt>
                <c:pt idx="6">
                  <c:v>-0.44415991740409522</c:v>
                </c:pt>
                <c:pt idx="7">
                  <c:v>-1.7046426167277111</c:v>
                </c:pt>
                <c:pt idx="8">
                  <c:v>-2.8402152771046563</c:v>
                </c:pt>
                <c:pt idx="9">
                  <c:v>-1.1163342815363446</c:v>
                </c:pt>
                <c:pt idx="10">
                  <c:v>0.6644282664004616</c:v>
                </c:pt>
                <c:pt idx="11">
                  <c:v>1.8881189084849743</c:v>
                </c:pt>
                <c:pt idx="12">
                  <c:v>3.5567942882522487</c:v>
                </c:pt>
                <c:pt idx="13">
                  <c:v>2.2505867525367846</c:v>
                </c:pt>
                <c:pt idx="14">
                  <c:v>1.7903943475924651</c:v>
                </c:pt>
                <c:pt idx="15">
                  <c:v>1.535644409665273</c:v>
                </c:pt>
                <c:pt idx="16">
                  <c:v>1.5449159659659168</c:v>
                </c:pt>
                <c:pt idx="17">
                  <c:v>2.1749281656592205</c:v>
                </c:pt>
                <c:pt idx="18">
                  <c:v>2.3300582377623109</c:v>
                </c:pt>
                <c:pt idx="19">
                  <c:v>2.8883547821003916</c:v>
                </c:pt>
                <c:pt idx="20">
                  <c:v>3.2974613335821723</c:v>
                </c:pt>
                <c:pt idx="21">
                  <c:v>2.7788016600022574</c:v>
                </c:pt>
                <c:pt idx="22">
                  <c:v>1.4641693240331413</c:v>
                </c:pt>
                <c:pt idx="23">
                  <c:v>1.0301621596218218</c:v>
                </c:pt>
                <c:pt idx="24">
                  <c:v>1.8188073708028707</c:v>
                </c:pt>
                <c:pt idx="25">
                  <c:v>2.0559452389437172</c:v>
                </c:pt>
                <c:pt idx="26">
                  <c:v>1.5681820744985684</c:v>
                </c:pt>
                <c:pt idx="27">
                  <c:v>1.6876490608562387</c:v>
                </c:pt>
                <c:pt idx="28">
                  <c:v>0.71498061102748001</c:v>
                </c:pt>
                <c:pt idx="29">
                  <c:v>0.55787229008071415</c:v>
                </c:pt>
                <c:pt idx="30">
                  <c:v>0.24148179021483879</c:v>
                </c:pt>
                <c:pt idx="31">
                  <c:v>0.98792003638593584</c:v>
                </c:pt>
                <c:pt idx="32">
                  <c:v>-0.23163009858912853</c:v>
                </c:pt>
                <c:pt idx="33">
                  <c:v>0.48241016929709246</c:v>
                </c:pt>
                <c:pt idx="34">
                  <c:v>0.86708468495670088</c:v>
                </c:pt>
                <c:pt idx="35">
                  <c:v>-1.1073234743952267</c:v>
                </c:pt>
                <c:pt idx="36">
                  <c:v>-1.6293997985981499</c:v>
                </c:pt>
                <c:pt idx="37">
                  <c:v>-9.4500607448497416</c:v>
                </c:pt>
              </c:numCache>
            </c:numRef>
          </c:val>
          <c:extLst>
            <c:ext xmlns:c16="http://schemas.microsoft.com/office/drawing/2014/chart" uri="{C3380CC4-5D6E-409C-BE32-E72D297353CC}">
              <c16:uniqueId val="{00000000-F8B4-47F1-B227-E162DF5D547E}"/>
            </c:ext>
          </c:extLst>
        </c:ser>
        <c:ser>
          <c:idx val="1"/>
          <c:order val="1"/>
          <c:tx>
            <c:strRef>
              <c:f>'GRAF příspěvky IPP'!$A$28</c:f>
              <c:strCache>
                <c:ptCount val="1"/>
                <c:pt idx="0">
                  <c:v>Rubber, electro technical ind. (22+27)</c:v>
                </c:pt>
              </c:strCache>
            </c:strRef>
          </c:tx>
          <c:spPr>
            <a:solidFill>
              <a:srgbClr val="BD1B21"/>
            </a:solidFill>
          </c:spPr>
          <c:invertIfNegative val="0"/>
          <c:cat>
            <c:multiLvlStrRef>
              <c:f>'GRAF příspěvky IPP'!$B$25:$AN$26</c:f>
              <c:multiLvlStrCache>
                <c:ptCount val="39"/>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pt idx="38">
                    <c:v>3</c:v>
                  </c:pt>
                </c:lvl>
                <c:lvl>
                  <c:pt idx="0">
                    <c:v>2011</c:v>
                  </c:pt>
                  <c:pt idx="4">
                    <c:v>2012</c:v>
                  </c:pt>
                  <c:pt idx="8">
                    <c:v>2013</c:v>
                  </c:pt>
                  <c:pt idx="12">
                    <c:v>2014</c:v>
                  </c:pt>
                  <c:pt idx="16">
                    <c:v>2015</c:v>
                  </c:pt>
                  <c:pt idx="20">
                    <c:v>2016</c:v>
                  </c:pt>
                  <c:pt idx="24">
                    <c:v>2017</c:v>
                  </c:pt>
                  <c:pt idx="28">
                    <c:v>2018</c:v>
                  </c:pt>
                  <c:pt idx="32">
                    <c:v>2019</c:v>
                  </c:pt>
                  <c:pt idx="36">
                    <c:v>2020</c:v>
                  </c:pt>
                </c:lvl>
              </c:multiLvlStrCache>
            </c:multiLvlStrRef>
          </c:cat>
          <c:val>
            <c:numRef>
              <c:f>'GRAF příspěvky IPP'!$B$28:$AN$28</c:f>
              <c:numCache>
                <c:formatCode>0.0</c:formatCode>
                <c:ptCount val="39"/>
                <c:pt idx="0">
                  <c:v>1.8195799141685121</c:v>
                </c:pt>
                <c:pt idx="1">
                  <c:v>1.4264054755235898</c:v>
                </c:pt>
                <c:pt idx="2">
                  <c:v>0.48607353269968806</c:v>
                </c:pt>
                <c:pt idx="3">
                  <c:v>0.58156552967788966</c:v>
                </c:pt>
                <c:pt idx="4">
                  <c:v>0.85798481430169571</c:v>
                </c:pt>
                <c:pt idx="5">
                  <c:v>0.68171577064529831</c:v>
                </c:pt>
                <c:pt idx="6">
                  <c:v>1.072037862747427</c:v>
                </c:pt>
                <c:pt idx="7">
                  <c:v>-0.46173310094024295</c:v>
                </c:pt>
                <c:pt idx="8">
                  <c:v>-0.34213672064681983</c:v>
                </c:pt>
                <c:pt idx="9">
                  <c:v>-0.29940942958869421</c:v>
                </c:pt>
                <c:pt idx="10">
                  <c:v>0.37461822657534871</c:v>
                </c:pt>
                <c:pt idx="11">
                  <c:v>0.67650313777163307</c:v>
                </c:pt>
                <c:pt idx="12">
                  <c:v>1.189030233896462</c:v>
                </c:pt>
                <c:pt idx="13">
                  <c:v>1.3176011911030265</c:v>
                </c:pt>
                <c:pt idx="14">
                  <c:v>0.16521296223436649</c:v>
                </c:pt>
                <c:pt idx="15">
                  <c:v>0.7937264559340933</c:v>
                </c:pt>
                <c:pt idx="16">
                  <c:v>1.0321564707423598</c:v>
                </c:pt>
                <c:pt idx="17">
                  <c:v>1.2396893147517036</c:v>
                </c:pt>
                <c:pt idx="18">
                  <c:v>1.4257126645761891</c:v>
                </c:pt>
                <c:pt idx="19">
                  <c:v>0.62646054654871031</c:v>
                </c:pt>
                <c:pt idx="20">
                  <c:v>0.70239864046330858</c:v>
                </c:pt>
                <c:pt idx="21">
                  <c:v>0.14957031030982187</c:v>
                </c:pt>
                <c:pt idx="22">
                  <c:v>0.27646532302098098</c:v>
                </c:pt>
                <c:pt idx="23">
                  <c:v>0.42916912474109054</c:v>
                </c:pt>
                <c:pt idx="24">
                  <c:v>0.91361476755678694</c:v>
                </c:pt>
                <c:pt idx="25">
                  <c:v>1.458720321695594</c:v>
                </c:pt>
                <c:pt idx="26">
                  <c:v>0.87170226971120912</c:v>
                </c:pt>
                <c:pt idx="27">
                  <c:v>1.646875240438054</c:v>
                </c:pt>
                <c:pt idx="28">
                  <c:v>0.99783080896461818</c:v>
                </c:pt>
                <c:pt idx="29">
                  <c:v>0.32761654080678082</c:v>
                </c:pt>
                <c:pt idx="30">
                  <c:v>0.42786481660655967</c:v>
                </c:pt>
                <c:pt idx="31">
                  <c:v>-5.3703633303731985E-2</c:v>
                </c:pt>
                <c:pt idx="32">
                  <c:v>0.49489561375904689</c:v>
                </c:pt>
                <c:pt idx="33">
                  <c:v>0.42003944775979141</c:v>
                </c:pt>
                <c:pt idx="34">
                  <c:v>0.20199509108281688</c:v>
                </c:pt>
                <c:pt idx="35">
                  <c:v>0.40892655322579557</c:v>
                </c:pt>
                <c:pt idx="36">
                  <c:v>-0.53423122372633514</c:v>
                </c:pt>
                <c:pt idx="37">
                  <c:v>-4.1268662042132576</c:v>
                </c:pt>
              </c:numCache>
            </c:numRef>
          </c:val>
          <c:extLst>
            <c:ext xmlns:c16="http://schemas.microsoft.com/office/drawing/2014/chart" uri="{C3380CC4-5D6E-409C-BE32-E72D297353CC}">
              <c16:uniqueId val="{00000001-F8B4-47F1-B227-E162DF5D547E}"/>
            </c:ext>
          </c:extLst>
        </c:ser>
        <c:ser>
          <c:idx val="2"/>
          <c:order val="2"/>
          <c:tx>
            <c:strRef>
              <c:f>'GRAF příspěvky IPP'!$A$29</c:f>
              <c:strCache>
                <c:ptCount val="1"/>
                <c:pt idx="0">
                  <c:v>Machinery (28)</c:v>
                </c:pt>
              </c:strCache>
            </c:strRef>
          </c:tx>
          <c:spPr>
            <a:solidFill>
              <a:srgbClr val="BFE3F7"/>
            </a:solidFill>
          </c:spPr>
          <c:invertIfNegative val="0"/>
          <c:cat>
            <c:multiLvlStrRef>
              <c:f>'GRAF příspěvky IPP'!$B$25:$AN$26</c:f>
              <c:multiLvlStrCache>
                <c:ptCount val="39"/>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pt idx="38">
                    <c:v>3</c:v>
                  </c:pt>
                </c:lvl>
                <c:lvl>
                  <c:pt idx="0">
                    <c:v>2011</c:v>
                  </c:pt>
                  <c:pt idx="4">
                    <c:v>2012</c:v>
                  </c:pt>
                  <c:pt idx="8">
                    <c:v>2013</c:v>
                  </c:pt>
                  <c:pt idx="12">
                    <c:v>2014</c:v>
                  </c:pt>
                  <c:pt idx="16">
                    <c:v>2015</c:v>
                  </c:pt>
                  <c:pt idx="20">
                    <c:v>2016</c:v>
                  </c:pt>
                  <c:pt idx="24">
                    <c:v>2017</c:v>
                  </c:pt>
                  <c:pt idx="28">
                    <c:v>2018</c:v>
                  </c:pt>
                  <c:pt idx="32">
                    <c:v>2019</c:v>
                  </c:pt>
                  <c:pt idx="36">
                    <c:v>2020</c:v>
                  </c:pt>
                </c:lvl>
              </c:multiLvlStrCache>
            </c:multiLvlStrRef>
          </c:cat>
          <c:val>
            <c:numRef>
              <c:f>'GRAF příspěvky IPP'!$B$29:$AN$29</c:f>
              <c:numCache>
                <c:formatCode>0.0</c:formatCode>
                <c:ptCount val="39"/>
                <c:pt idx="0">
                  <c:v>1.2645058188207068</c:v>
                </c:pt>
                <c:pt idx="1">
                  <c:v>1.2866524900119543</c:v>
                </c:pt>
                <c:pt idx="2">
                  <c:v>0.321758166889757</c:v>
                </c:pt>
                <c:pt idx="3">
                  <c:v>0.69985382932741536</c:v>
                </c:pt>
                <c:pt idx="4">
                  <c:v>0.51520520797066272</c:v>
                </c:pt>
                <c:pt idx="5">
                  <c:v>0.26610955621310539</c:v>
                </c:pt>
                <c:pt idx="6">
                  <c:v>0.23285855695515315</c:v>
                </c:pt>
                <c:pt idx="7">
                  <c:v>-0.14103398862933006</c:v>
                </c:pt>
                <c:pt idx="8">
                  <c:v>8.1772139521772438E-2</c:v>
                </c:pt>
                <c:pt idx="9">
                  <c:v>0.2046260235658918</c:v>
                </c:pt>
                <c:pt idx="10">
                  <c:v>-2.2418720279356572E-2</c:v>
                </c:pt>
                <c:pt idx="11">
                  <c:v>0.65142852885825009</c:v>
                </c:pt>
                <c:pt idx="12">
                  <c:v>0.21304347589519865</c:v>
                </c:pt>
                <c:pt idx="13">
                  <c:v>0.40549290927749476</c:v>
                </c:pt>
                <c:pt idx="14">
                  <c:v>0.20916730701816877</c:v>
                </c:pt>
                <c:pt idx="15">
                  <c:v>0.32933361982312465</c:v>
                </c:pt>
                <c:pt idx="16">
                  <c:v>0.27334106694035171</c:v>
                </c:pt>
                <c:pt idx="17">
                  <c:v>0.29428298533741609</c:v>
                </c:pt>
                <c:pt idx="18">
                  <c:v>0.38533015320769515</c:v>
                </c:pt>
                <c:pt idx="19">
                  <c:v>1.9183488529804775E-2</c:v>
                </c:pt>
                <c:pt idx="20">
                  <c:v>0.36307045023871931</c:v>
                </c:pt>
                <c:pt idx="21">
                  <c:v>-6.7572945378872373E-2</c:v>
                </c:pt>
                <c:pt idx="22">
                  <c:v>0.19574075945275773</c:v>
                </c:pt>
                <c:pt idx="23">
                  <c:v>0.31979046599858157</c:v>
                </c:pt>
                <c:pt idx="24">
                  <c:v>0.3600654733750322</c:v>
                </c:pt>
                <c:pt idx="25">
                  <c:v>1.0705741294559918</c:v>
                </c:pt>
                <c:pt idx="26">
                  <c:v>0.84942343358716554</c:v>
                </c:pt>
                <c:pt idx="27">
                  <c:v>0.80110319510701655</c:v>
                </c:pt>
                <c:pt idx="28">
                  <c:v>0.47293555109852903</c:v>
                </c:pt>
                <c:pt idx="29">
                  <c:v>0.1452079187580578</c:v>
                </c:pt>
                <c:pt idx="30">
                  <c:v>0.18970333111993243</c:v>
                </c:pt>
                <c:pt idx="31">
                  <c:v>-0.19465162699433602</c:v>
                </c:pt>
                <c:pt idx="32">
                  <c:v>0.14644501292152765</c:v>
                </c:pt>
                <c:pt idx="33">
                  <c:v>-1.7290955551125375E-2</c:v>
                </c:pt>
                <c:pt idx="34">
                  <c:v>-0.27153097339988502</c:v>
                </c:pt>
                <c:pt idx="35">
                  <c:v>-0.12691952861474254</c:v>
                </c:pt>
                <c:pt idx="36">
                  <c:v>-0.76418531682893287</c:v>
                </c:pt>
                <c:pt idx="37">
                  <c:v>-2.1211317843565176</c:v>
                </c:pt>
              </c:numCache>
            </c:numRef>
          </c:val>
          <c:extLst>
            <c:ext xmlns:c16="http://schemas.microsoft.com/office/drawing/2014/chart" uri="{C3380CC4-5D6E-409C-BE32-E72D297353CC}">
              <c16:uniqueId val="{00000002-F8B4-47F1-B227-E162DF5D547E}"/>
            </c:ext>
          </c:extLst>
        </c:ser>
        <c:ser>
          <c:idx val="3"/>
          <c:order val="3"/>
          <c:tx>
            <c:strRef>
              <c:f>'GRAF příspěvky IPP'!$A$30</c:f>
              <c:strCache>
                <c:ptCount val="1"/>
                <c:pt idx="0">
                  <c:v>Fabricated metal product industry (25)</c:v>
                </c:pt>
              </c:strCache>
            </c:strRef>
          </c:tx>
          <c:spPr>
            <a:solidFill>
              <a:srgbClr val="48AEE7"/>
            </a:solidFill>
          </c:spPr>
          <c:invertIfNegative val="0"/>
          <c:cat>
            <c:multiLvlStrRef>
              <c:f>'GRAF příspěvky IPP'!$B$25:$AN$26</c:f>
              <c:multiLvlStrCache>
                <c:ptCount val="39"/>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pt idx="38">
                    <c:v>3</c:v>
                  </c:pt>
                </c:lvl>
                <c:lvl>
                  <c:pt idx="0">
                    <c:v>2011</c:v>
                  </c:pt>
                  <c:pt idx="4">
                    <c:v>2012</c:v>
                  </c:pt>
                  <c:pt idx="8">
                    <c:v>2013</c:v>
                  </c:pt>
                  <c:pt idx="12">
                    <c:v>2014</c:v>
                  </c:pt>
                  <c:pt idx="16">
                    <c:v>2015</c:v>
                  </c:pt>
                  <c:pt idx="20">
                    <c:v>2016</c:v>
                  </c:pt>
                  <c:pt idx="24">
                    <c:v>2017</c:v>
                  </c:pt>
                  <c:pt idx="28">
                    <c:v>2018</c:v>
                  </c:pt>
                  <c:pt idx="32">
                    <c:v>2019</c:v>
                  </c:pt>
                  <c:pt idx="36">
                    <c:v>2020</c:v>
                  </c:pt>
                </c:lvl>
              </c:multiLvlStrCache>
            </c:multiLvlStrRef>
          </c:cat>
          <c:val>
            <c:numRef>
              <c:f>'GRAF příspěvky IPP'!$B$30:$AN$30</c:f>
              <c:numCache>
                <c:formatCode>0.0</c:formatCode>
                <c:ptCount val="39"/>
                <c:pt idx="0">
                  <c:v>1.3551101221058057</c:v>
                </c:pt>
                <c:pt idx="1">
                  <c:v>0.61003571461144745</c:v>
                </c:pt>
                <c:pt idx="2">
                  <c:v>6.5190052068116996E-2</c:v>
                </c:pt>
                <c:pt idx="3">
                  <c:v>-5.751285551196901E-2</c:v>
                </c:pt>
                <c:pt idx="4">
                  <c:v>-6.6831949774716279E-2</c:v>
                </c:pt>
                <c:pt idx="5">
                  <c:v>-7.2108739074927916E-2</c:v>
                </c:pt>
                <c:pt idx="6">
                  <c:v>0.10129802746367376</c:v>
                </c:pt>
                <c:pt idx="7">
                  <c:v>-0.16202794402787471</c:v>
                </c:pt>
                <c:pt idx="8">
                  <c:v>-7.7218113950844339E-2</c:v>
                </c:pt>
                <c:pt idx="9">
                  <c:v>9.8842007123154413E-2</c:v>
                </c:pt>
                <c:pt idx="10">
                  <c:v>0.38425831802453603</c:v>
                </c:pt>
                <c:pt idx="11">
                  <c:v>0.56826070473463075</c:v>
                </c:pt>
                <c:pt idx="12">
                  <c:v>0.72466030311448937</c:v>
                </c:pt>
                <c:pt idx="13">
                  <c:v>0.64070763768823902</c:v>
                </c:pt>
                <c:pt idx="14">
                  <c:v>0.13471783746278831</c:v>
                </c:pt>
                <c:pt idx="15">
                  <c:v>0.34715049391068614</c:v>
                </c:pt>
                <c:pt idx="16">
                  <c:v>0.7002997305470311</c:v>
                </c:pt>
                <c:pt idx="17">
                  <c:v>0.78598516282691366</c:v>
                </c:pt>
                <c:pt idx="18">
                  <c:v>0.92607458938072496</c:v>
                </c:pt>
                <c:pt idx="19">
                  <c:v>0.625152359437114</c:v>
                </c:pt>
                <c:pt idx="20">
                  <c:v>0.76444806762191553</c:v>
                </c:pt>
                <c:pt idx="21">
                  <c:v>0.38468982602991308</c:v>
                </c:pt>
                <c:pt idx="22">
                  <c:v>0.20052528439839029</c:v>
                </c:pt>
                <c:pt idx="23">
                  <c:v>0.2505464784956295</c:v>
                </c:pt>
                <c:pt idx="24">
                  <c:v>0.5110945332466369</c:v>
                </c:pt>
                <c:pt idx="25">
                  <c:v>0.91827111587790722</c:v>
                </c:pt>
                <c:pt idx="26">
                  <c:v>0.82344311009183468</c:v>
                </c:pt>
                <c:pt idx="27">
                  <c:v>0.97625242210301566</c:v>
                </c:pt>
                <c:pt idx="28">
                  <c:v>0.6543071266859497</c:v>
                </c:pt>
                <c:pt idx="29">
                  <c:v>0.44399142916192974</c:v>
                </c:pt>
                <c:pt idx="30">
                  <c:v>0.43632885025014273</c:v>
                </c:pt>
                <c:pt idx="31">
                  <c:v>0.16425112174648246</c:v>
                </c:pt>
                <c:pt idx="32">
                  <c:v>0.22813318351264544</c:v>
                </c:pt>
                <c:pt idx="33">
                  <c:v>0</c:v>
                </c:pt>
                <c:pt idx="34">
                  <c:v>-0.22418998862127987</c:v>
                </c:pt>
                <c:pt idx="35">
                  <c:v>-0.36099363648711907</c:v>
                </c:pt>
                <c:pt idx="36">
                  <c:v>-0.6830389638650618</c:v>
                </c:pt>
                <c:pt idx="37">
                  <c:v>-2.2504115636172499</c:v>
                </c:pt>
              </c:numCache>
            </c:numRef>
          </c:val>
          <c:extLst>
            <c:ext xmlns:c16="http://schemas.microsoft.com/office/drawing/2014/chart" uri="{C3380CC4-5D6E-409C-BE32-E72D297353CC}">
              <c16:uniqueId val="{00000003-F8B4-47F1-B227-E162DF5D547E}"/>
            </c:ext>
          </c:extLst>
        </c:ser>
        <c:ser>
          <c:idx val="4"/>
          <c:order val="4"/>
          <c:tx>
            <c:strRef>
              <c:f>'GRAF příspěvky IPP'!$A$31</c:f>
              <c:strCache>
                <c:ptCount val="1"/>
                <c:pt idx="0">
                  <c:v>Manufact. of PC, electron., optic.prod. (26)</c:v>
                </c:pt>
              </c:strCache>
            </c:strRef>
          </c:tx>
          <c:spPr>
            <a:solidFill>
              <a:srgbClr val="FDDEB3"/>
            </a:solidFill>
          </c:spPr>
          <c:invertIfNegative val="0"/>
          <c:cat>
            <c:multiLvlStrRef>
              <c:f>'GRAF příspěvky IPP'!$B$25:$AN$26</c:f>
              <c:multiLvlStrCache>
                <c:ptCount val="39"/>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pt idx="38">
                    <c:v>3</c:v>
                  </c:pt>
                </c:lvl>
                <c:lvl>
                  <c:pt idx="0">
                    <c:v>2011</c:v>
                  </c:pt>
                  <c:pt idx="4">
                    <c:v>2012</c:v>
                  </c:pt>
                  <c:pt idx="8">
                    <c:v>2013</c:v>
                  </c:pt>
                  <c:pt idx="12">
                    <c:v>2014</c:v>
                  </c:pt>
                  <c:pt idx="16">
                    <c:v>2015</c:v>
                  </c:pt>
                  <c:pt idx="20">
                    <c:v>2016</c:v>
                  </c:pt>
                  <c:pt idx="24">
                    <c:v>2017</c:v>
                  </c:pt>
                  <c:pt idx="28">
                    <c:v>2018</c:v>
                  </c:pt>
                  <c:pt idx="32">
                    <c:v>2019</c:v>
                  </c:pt>
                  <c:pt idx="36">
                    <c:v>2020</c:v>
                  </c:pt>
                </c:lvl>
              </c:multiLvlStrCache>
            </c:multiLvlStrRef>
          </c:cat>
          <c:val>
            <c:numRef>
              <c:f>'GRAF příspěvky IPP'!$B$31:$AN$31</c:f>
              <c:numCache>
                <c:formatCode>0.0</c:formatCode>
                <c:ptCount val="39"/>
                <c:pt idx="0">
                  <c:v>0.46663673326552113</c:v>
                </c:pt>
                <c:pt idx="1">
                  <c:v>0.23034504225594873</c:v>
                </c:pt>
                <c:pt idx="2">
                  <c:v>-0.24128462562357822</c:v>
                </c:pt>
                <c:pt idx="3">
                  <c:v>-0.7801555412140766</c:v>
                </c:pt>
                <c:pt idx="4">
                  <c:v>-0.63255602460385418</c:v>
                </c:pt>
                <c:pt idx="5">
                  <c:v>-0.77384972458303802</c:v>
                </c:pt>
                <c:pt idx="6">
                  <c:v>-0.66432699677878693</c:v>
                </c:pt>
                <c:pt idx="7">
                  <c:v>-0.43948160779128104</c:v>
                </c:pt>
                <c:pt idx="8">
                  <c:v>0.1743274886505129</c:v>
                </c:pt>
                <c:pt idx="9">
                  <c:v>0.20848577844563423</c:v>
                </c:pt>
                <c:pt idx="10">
                  <c:v>0.28708284874337209</c:v>
                </c:pt>
                <c:pt idx="11">
                  <c:v>0.3710677945253662</c:v>
                </c:pt>
                <c:pt idx="12">
                  <c:v>0.25462016960863021</c:v>
                </c:pt>
                <c:pt idx="13">
                  <c:v>0.35946957764943493</c:v>
                </c:pt>
                <c:pt idx="14">
                  <c:v>0.24902596442701128</c:v>
                </c:pt>
                <c:pt idx="15">
                  <c:v>0.43266401321765158</c:v>
                </c:pt>
                <c:pt idx="16">
                  <c:v>0.10098933939964477</c:v>
                </c:pt>
                <c:pt idx="17">
                  <c:v>1.4989983457542287E-2</c:v>
                </c:pt>
                <c:pt idx="18">
                  <c:v>4.8131776575975969E-2</c:v>
                </c:pt>
                <c:pt idx="19">
                  <c:v>-7.7003986202186223E-2</c:v>
                </c:pt>
                <c:pt idx="20">
                  <c:v>2.5800791974177746E-4</c:v>
                </c:pt>
                <c:pt idx="21">
                  <c:v>4.8125354447826493E-2</c:v>
                </c:pt>
                <c:pt idx="22">
                  <c:v>5.4761934658599951E-2</c:v>
                </c:pt>
                <c:pt idx="23">
                  <c:v>0.16221619241546678</c:v>
                </c:pt>
                <c:pt idx="24">
                  <c:v>0.1266562574913582</c:v>
                </c:pt>
                <c:pt idx="25">
                  <c:v>0.37648265280216536</c:v>
                </c:pt>
                <c:pt idx="26">
                  <c:v>0.23505971681229232</c:v>
                </c:pt>
                <c:pt idx="27">
                  <c:v>0.23512493906047929</c:v>
                </c:pt>
                <c:pt idx="28">
                  <c:v>0.40852046691006588</c:v>
                </c:pt>
                <c:pt idx="29">
                  <c:v>0.15033665549578873</c:v>
                </c:pt>
                <c:pt idx="30">
                  <c:v>0.63742581900112127</c:v>
                </c:pt>
                <c:pt idx="31">
                  <c:v>0.30596497918419047</c:v>
                </c:pt>
                <c:pt idx="32">
                  <c:v>-0.11284031378710398</c:v>
                </c:pt>
                <c:pt idx="33">
                  <c:v>-3.9673324167303896E-2</c:v>
                </c:pt>
                <c:pt idx="34">
                  <c:v>-0.62307029350559606</c:v>
                </c:pt>
                <c:pt idx="35">
                  <c:v>-0.34200440969372159</c:v>
                </c:pt>
                <c:pt idx="36">
                  <c:v>-0.12945937652719841</c:v>
                </c:pt>
                <c:pt idx="37">
                  <c:v>-0.30159247761277497</c:v>
                </c:pt>
              </c:numCache>
            </c:numRef>
          </c:val>
          <c:extLst>
            <c:ext xmlns:c16="http://schemas.microsoft.com/office/drawing/2014/chart" uri="{C3380CC4-5D6E-409C-BE32-E72D297353CC}">
              <c16:uniqueId val="{00000004-F8B4-47F1-B227-E162DF5D547E}"/>
            </c:ext>
          </c:extLst>
        </c:ser>
        <c:ser>
          <c:idx val="5"/>
          <c:order val="5"/>
          <c:tx>
            <c:strRef>
              <c:f>'GRAF příspěvky IPP'!$A$32</c:f>
              <c:strCache>
                <c:ptCount val="1"/>
                <c:pt idx="0">
                  <c:v>Chemical and pharmaceutical ind. (20+21)</c:v>
                </c:pt>
              </c:strCache>
            </c:strRef>
          </c:tx>
          <c:spPr>
            <a:solidFill>
              <a:srgbClr val="F8A124"/>
            </a:solidFill>
          </c:spPr>
          <c:invertIfNegative val="0"/>
          <c:cat>
            <c:multiLvlStrRef>
              <c:f>'GRAF příspěvky IPP'!$B$25:$AN$26</c:f>
              <c:multiLvlStrCache>
                <c:ptCount val="39"/>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pt idx="38">
                    <c:v>3</c:v>
                  </c:pt>
                </c:lvl>
                <c:lvl>
                  <c:pt idx="0">
                    <c:v>2011</c:v>
                  </c:pt>
                  <c:pt idx="4">
                    <c:v>2012</c:v>
                  </c:pt>
                  <c:pt idx="8">
                    <c:v>2013</c:v>
                  </c:pt>
                  <c:pt idx="12">
                    <c:v>2014</c:v>
                  </c:pt>
                  <c:pt idx="16">
                    <c:v>2015</c:v>
                  </c:pt>
                  <c:pt idx="20">
                    <c:v>2016</c:v>
                  </c:pt>
                  <c:pt idx="24">
                    <c:v>2017</c:v>
                  </c:pt>
                  <c:pt idx="28">
                    <c:v>2018</c:v>
                  </c:pt>
                  <c:pt idx="32">
                    <c:v>2019</c:v>
                  </c:pt>
                  <c:pt idx="36">
                    <c:v>2020</c:v>
                  </c:pt>
                </c:lvl>
              </c:multiLvlStrCache>
            </c:multiLvlStrRef>
          </c:cat>
          <c:val>
            <c:numRef>
              <c:f>'GRAF příspěvky IPP'!$B$32:$AN$32</c:f>
              <c:numCache>
                <c:formatCode>0.0</c:formatCode>
                <c:ptCount val="39"/>
                <c:pt idx="0">
                  <c:v>0.11043784960432593</c:v>
                </c:pt>
                <c:pt idx="1">
                  <c:v>-0.10773555193592807</c:v>
                </c:pt>
                <c:pt idx="2">
                  <c:v>-0.35112289109297956</c:v>
                </c:pt>
                <c:pt idx="3">
                  <c:v>-0.27826739460014194</c:v>
                </c:pt>
                <c:pt idx="4">
                  <c:v>8.4154385689483149E-2</c:v>
                </c:pt>
                <c:pt idx="5">
                  <c:v>-9.8833863523717924E-2</c:v>
                </c:pt>
                <c:pt idx="6">
                  <c:v>0.29519930148431078</c:v>
                </c:pt>
                <c:pt idx="7">
                  <c:v>8.1663941155752748E-2</c:v>
                </c:pt>
                <c:pt idx="8">
                  <c:v>-0.16442793114609983</c:v>
                </c:pt>
                <c:pt idx="9">
                  <c:v>2.7522300233105406E-2</c:v>
                </c:pt>
                <c:pt idx="10">
                  <c:v>-0.19879397802963492</c:v>
                </c:pt>
                <c:pt idx="11">
                  <c:v>0.22116665497939436</c:v>
                </c:pt>
                <c:pt idx="12">
                  <c:v>0.41666566499041086</c:v>
                </c:pt>
                <c:pt idx="13">
                  <c:v>0.29995274809874523</c:v>
                </c:pt>
                <c:pt idx="14">
                  <c:v>0.37241621238378653</c:v>
                </c:pt>
                <c:pt idx="15">
                  <c:v>0.12288921584121683</c:v>
                </c:pt>
                <c:pt idx="16">
                  <c:v>7.7350431314437765E-2</c:v>
                </c:pt>
                <c:pt idx="17">
                  <c:v>0.23593761593130141</c:v>
                </c:pt>
                <c:pt idx="18">
                  <c:v>-0.16669952986343833</c:v>
                </c:pt>
                <c:pt idx="19">
                  <c:v>-0.33320285815360856</c:v>
                </c:pt>
                <c:pt idx="20">
                  <c:v>-0.42004567083081795</c:v>
                </c:pt>
                <c:pt idx="21">
                  <c:v>-0.42026397840181545</c:v>
                </c:pt>
                <c:pt idx="22">
                  <c:v>-0.10965943805062672</c:v>
                </c:pt>
                <c:pt idx="23">
                  <c:v>0.23764174190673226</c:v>
                </c:pt>
                <c:pt idx="24">
                  <c:v>0.52969781101036639</c:v>
                </c:pt>
                <c:pt idx="25">
                  <c:v>0.81629581332897672</c:v>
                </c:pt>
                <c:pt idx="26">
                  <c:v>0.6490077008448305</c:v>
                </c:pt>
                <c:pt idx="27">
                  <c:v>0.50550039995300478</c:v>
                </c:pt>
                <c:pt idx="28">
                  <c:v>0.39836280707384325</c:v>
                </c:pt>
                <c:pt idx="29">
                  <c:v>8.2769801878325527E-2</c:v>
                </c:pt>
                <c:pt idx="30">
                  <c:v>-5.1200962998572921E-2</c:v>
                </c:pt>
                <c:pt idx="31">
                  <c:v>-6.7051149583539513E-2</c:v>
                </c:pt>
                <c:pt idx="32">
                  <c:v>0.10347687791544462</c:v>
                </c:pt>
                <c:pt idx="33">
                  <c:v>5.1169406501742065E-2</c:v>
                </c:pt>
                <c:pt idx="34">
                  <c:v>0.23125923115734595</c:v>
                </c:pt>
                <c:pt idx="35">
                  <c:v>2.9465242599488156E-2</c:v>
                </c:pt>
                <c:pt idx="36">
                  <c:v>-6.3954323515944531E-2</c:v>
                </c:pt>
                <c:pt idx="37">
                  <c:v>-0.59623991586590874</c:v>
                </c:pt>
              </c:numCache>
            </c:numRef>
          </c:val>
          <c:extLst>
            <c:ext xmlns:c16="http://schemas.microsoft.com/office/drawing/2014/chart" uri="{C3380CC4-5D6E-409C-BE32-E72D297353CC}">
              <c16:uniqueId val="{00000005-F8B4-47F1-B227-E162DF5D547E}"/>
            </c:ext>
          </c:extLst>
        </c:ser>
        <c:ser>
          <c:idx val="6"/>
          <c:order val="6"/>
          <c:tx>
            <c:strRef>
              <c:f>'GRAF příspěvky IPP'!$A$33</c:f>
              <c:strCache>
                <c:ptCount val="1"/>
                <c:pt idx="0">
                  <c:v>Remaining manufacturing industries</c:v>
                </c:pt>
              </c:strCache>
            </c:strRef>
          </c:tx>
          <c:spPr>
            <a:solidFill>
              <a:schemeClr val="bg1">
                <a:lumMod val="85000"/>
              </a:schemeClr>
            </a:solidFill>
          </c:spPr>
          <c:invertIfNegative val="0"/>
          <c:cat>
            <c:multiLvlStrRef>
              <c:f>'GRAF příspěvky IPP'!$B$25:$AN$26</c:f>
              <c:multiLvlStrCache>
                <c:ptCount val="39"/>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pt idx="38">
                    <c:v>3</c:v>
                  </c:pt>
                </c:lvl>
                <c:lvl>
                  <c:pt idx="0">
                    <c:v>2011</c:v>
                  </c:pt>
                  <c:pt idx="4">
                    <c:v>2012</c:v>
                  </c:pt>
                  <c:pt idx="8">
                    <c:v>2013</c:v>
                  </c:pt>
                  <c:pt idx="12">
                    <c:v>2014</c:v>
                  </c:pt>
                  <c:pt idx="16">
                    <c:v>2015</c:v>
                  </c:pt>
                  <c:pt idx="20">
                    <c:v>2016</c:v>
                  </c:pt>
                  <c:pt idx="24">
                    <c:v>2017</c:v>
                  </c:pt>
                  <c:pt idx="28">
                    <c:v>2018</c:v>
                  </c:pt>
                  <c:pt idx="32">
                    <c:v>2019</c:v>
                  </c:pt>
                  <c:pt idx="36">
                    <c:v>2020</c:v>
                  </c:pt>
                </c:lvl>
              </c:multiLvlStrCache>
            </c:multiLvlStrRef>
          </c:cat>
          <c:val>
            <c:numRef>
              <c:f>'GRAF příspěvky IPP'!$B$33:$AN$33</c:f>
              <c:numCache>
                <c:formatCode>0.0</c:formatCode>
                <c:ptCount val="39"/>
                <c:pt idx="0">
                  <c:v>0.37508837128330441</c:v>
                </c:pt>
                <c:pt idx="1">
                  <c:v>-0.21037755903979605</c:v>
                </c:pt>
                <c:pt idx="2">
                  <c:v>-1.5665549835303916</c:v>
                </c:pt>
                <c:pt idx="3">
                  <c:v>-0.30113263223401887</c:v>
                </c:pt>
                <c:pt idx="4">
                  <c:v>-1.2532623819644968</c:v>
                </c:pt>
                <c:pt idx="5">
                  <c:v>-0.98265973266456974</c:v>
                </c:pt>
                <c:pt idx="6">
                  <c:v>-0.65808893522855183</c:v>
                </c:pt>
                <c:pt idx="7">
                  <c:v>-1.4388407277993178</c:v>
                </c:pt>
                <c:pt idx="8">
                  <c:v>-0.1559553406211569</c:v>
                </c:pt>
                <c:pt idx="9">
                  <c:v>-0.10101620467744854</c:v>
                </c:pt>
                <c:pt idx="10">
                  <c:v>0.61701582414311784</c:v>
                </c:pt>
                <c:pt idx="11">
                  <c:v>1.4236339159262827</c:v>
                </c:pt>
                <c:pt idx="12">
                  <c:v>1.236545341304258</c:v>
                </c:pt>
                <c:pt idx="13">
                  <c:v>1.2187062503030845</c:v>
                </c:pt>
                <c:pt idx="14">
                  <c:v>0.52934645905596056</c:v>
                </c:pt>
                <c:pt idx="15">
                  <c:v>1.351822855883333</c:v>
                </c:pt>
                <c:pt idx="16">
                  <c:v>0.99830218869293763</c:v>
                </c:pt>
                <c:pt idx="17">
                  <c:v>0.90243657634684393</c:v>
                </c:pt>
                <c:pt idx="18">
                  <c:v>0.97767572263990776</c:v>
                </c:pt>
                <c:pt idx="19">
                  <c:v>-0.22132414773784082</c:v>
                </c:pt>
                <c:pt idx="20">
                  <c:v>3.75697389584283E-2</c:v>
                </c:pt>
                <c:pt idx="21">
                  <c:v>-0.30016704241038428</c:v>
                </c:pt>
                <c:pt idx="22">
                  <c:v>4.1230596798872976E-2</c:v>
                </c:pt>
                <c:pt idx="23">
                  <c:v>0.57694869576717844</c:v>
                </c:pt>
                <c:pt idx="24">
                  <c:v>0.33188448583664354</c:v>
                </c:pt>
                <c:pt idx="25">
                  <c:v>1.4323707076505112</c:v>
                </c:pt>
                <c:pt idx="26">
                  <c:v>0.74281336901524031</c:v>
                </c:pt>
                <c:pt idx="27">
                  <c:v>0.99254851716260917</c:v>
                </c:pt>
                <c:pt idx="28">
                  <c:v>1.1174634788597515</c:v>
                </c:pt>
                <c:pt idx="29">
                  <c:v>0.68739640698572724</c:v>
                </c:pt>
                <c:pt idx="30">
                  <c:v>1.0605384736132097</c:v>
                </c:pt>
                <c:pt idx="31">
                  <c:v>0.51351046269380185</c:v>
                </c:pt>
                <c:pt idx="32">
                  <c:v>-0.14309532338947323</c:v>
                </c:pt>
                <c:pt idx="33">
                  <c:v>-3.4143637355314435E-2</c:v>
                </c:pt>
                <c:pt idx="34">
                  <c:v>-0.51022275275070428</c:v>
                </c:pt>
                <c:pt idx="35">
                  <c:v>-0.27505439724231884</c:v>
                </c:pt>
                <c:pt idx="36">
                  <c:v>-0.22294283563754264</c:v>
                </c:pt>
                <c:pt idx="37">
                  <c:v>-3.0516682768317906</c:v>
                </c:pt>
              </c:numCache>
            </c:numRef>
          </c:val>
          <c:extLst>
            <c:ext xmlns:c16="http://schemas.microsoft.com/office/drawing/2014/chart" uri="{C3380CC4-5D6E-409C-BE32-E72D297353CC}">
              <c16:uniqueId val="{00000006-F8B4-47F1-B227-E162DF5D547E}"/>
            </c:ext>
          </c:extLst>
        </c:ser>
        <c:ser>
          <c:idx val="7"/>
          <c:order val="7"/>
          <c:tx>
            <c:strRef>
              <c:f>'GRAF příspěvky IPP'!$A$34</c:f>
              <c:strCache>
                <c:ptCount val="1"/>
                <c:pt idx="0">
                  <c:v>Mining and energetics (B+D)</c:v>
                </c:pt>
              </c:strCache>
            </c:strRef>
          </c:tx>
          <c:spPr>
            <a:solidFill>
              <a:srgbClr val="808080"/>
            </a:solidFill>
          </c:spPr>
          <c:invertIfNegative val="0"/>
          <c:cat>
            <c:multiLvlStrRef>
              <c:f>'GRAF příspěvky IPP'!$B$25:$AN$26</c:f>
              <c:multiLvlStrCache>
                <c:ptCount val="39"/>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pt idx="38">
                    <c:v>3</c:v>
                  </c:pt>
                </c:lvl>
                <c:lvl>
                  <c:pt idx="0">
                    <c:v>2011</c:v>
                  </c:pt>
                  <c:pt idx="4">
                    <c:v>2012</c:v>
                  </c:pt>
                  <c:pt idx="8">
                    <c:v>2013</c:v>
                  </c:pt>
                  <c:pt idx="12">
                    <c:v>2014</c:v>
                  </c:pt>
                  <c:pt idx="16">
                    <c:v>2015</c:v>
                  </c:pt>
                  <c:pt idx="20">
                    <c:v>2016</c:v>
                  </c:pt>
                  <c:pt idx="24">
                    <c:v>2017</c:v>
                  </c:pt>
                  <c:pt idx="28">
                    <c:v>2018</c:v>
                  </c:pt>
                  <c:pt idx="32">
                    <c:v>2019</c:v>
                  </c:pt>
                  <c:pt idx="36">
                    <c:v>2020</c:v>
                  </c:pt>
                </c:lvl>
              </c:multiLvlStrCache>
            </c:multiLvlStrRef>
          </c:cat>
          <c:val>
            <c:numRef>
              <c:f>'GRAF příspěvky IPP'!$B$34:$AN$34</c:f>
              <c:numCache>
                <c:formatCode>0.0</c:formatCode>
                <c:ptCount val="39"/>
                <c:pt idx="0">
                  <c:v>-0.42452386212609627</c:v>
                </c:pt>
                <c:pt idx="1">
                  <c:v>0.37437263889478795</c:v>
                </c:pt>
                <c:pt idx="2">
                  <c:v>-0.30609467148217906</c:v>
                </c:pt>
                <c:pt idx="3">
                  <c:v>-6.2790064258354317E-2</c:v>
                </c:pt>
                <c:pt idx="4">
                  <c:v>4.5234196251372455E-2</c:v>
                </c:pt>
                <c:pt idx="5">
                  <c:v>0.33849893288383998</c:v>
                </c:pt>
                <c:pt idx="6">
                  <c:v>-0.14594055443913137</c:v>
                </c:pt>
                <c:pt idx="7">
                  <c:v>-1.0820656656400016</c:v>
                </c:pt>
                <c:pt idx="8">
                  <c:v>-0.90111641450271041</c:v>
                </c:pt>
                <c:pt idx="9">
                  <c:v>-1.4080716141653054</c:v>
                </c:pt>
                <c:pt idx="10">
                  <c:v>-0.87454103397784222</c:v>
                </c:pt>
                <c:pt idx="11">
                  <c:v>0.52275262781946252</c:v>
                </c:pt>
                <c:pt idx="12">
                  <c:v>-0.48831445126169903</c:v>
                </c:pt>
                <c:pt idx="13">
                  <c:v>-0.36279609225680959</c:v>
                </c:pt>
                <c:pt idx="14">
                  <c:v>-0.47490528997454834</c:v>
                </c:pt>
                <c:pt idx="15">
                  <c:v>-0.68045051057538275</c:v>
                </c:pt>
                <c:pt idx="16">
                  <c:v>0.14603886659731855</c:v>
                </c:pt>
                <c:pt idx="17">
                  <c:v>-0.34005382041093413</c:v>
                </c:pt>
                <c:pt idx="18">
                  <c:v>-0.37898483167936881</c:v>
                </c:pt>
                <c:pt idx="19">
                  <c:v>-1.1248323803223828</c:v>
                </c:pt>
                <c:pt idx="20">
                  <c:v>-0.66857701045346751</c:v>
                </c:pt>
                <c:pt idx="21">
                  <c:v>0.10137361870125999</c:v>
                </c:pt>
                <c:pt idx="22">
                  <c:v>-0.46808235891211047</c:v>
                </c:pt>
                <c:pt idx="23">
                  <c:v>0.50534236475350525</c:v>
                </c:pt>
                <c:pt idx="24">
                  <c:v>0.66795249028030279</c:v>
                </c:pt>
                <c:pt idx="25">
                  <c:v>-0.18424188685486914</c:v>
                </c:pt>
                <c:pt idx="26">
                  <c:v>0.78008174883886461</c:v>
                </c:pt>
                <c:pt idx="27">
                  <c:v>0.73049787951958134</c:v>
                </c:pt>
                <c:pt idx="28">
                  <c:v>-0.53969025522024028</c:v>
                </c:pt>
                <c:pt idx="29">
                  <c:v>9.9992532326696609E-3</c:v>
                </c:pt>
                <c:pt idx="30">
                  <c:v>0.78144454779276418</c:v>
                </c:pt>
                <c:pt idx="31">
                  <c:v>0.32566803227119129</c:v>
                </c:pt>
                <c:pt idx="32">
                  <c:v>0.21461504765704126</c:v>
                </c:pt>
                <c:pt idx="33">
                  <c:v>3.748889351511786E-2</c:v>
                </c:pt>
                <c:pt idx="34">
                  <c:v>-0.67132499891939867</c:v>
                </c:pt>
                <c:pt idx="35">
                  <c:v>-0.32609634939215498</c:v>
                </c:pt>
                <c:pt idx="36">
                  <c:v>-0.97278816130083445</c:v>
                </c:pt>
                <c:pt idx="37">
                  <c:v>-1.5878023608406293</c:v>
                </c:pt>
              </c:numCache>
            </c:numRef>
          </c:val>
          <c:extLst>
            <c:ext xmlns:c16="http://schemas.microsoft.com/office/drawing/2014/chart" uri="{C3380CC4-5D6E-409C-BE32-E72D297353CC}">
              <c16:uniqueId val="{00000007-F8B4-47F1-B227-E162DF5D547E}"/>
            </c:ext>
          </c:extLst>
        </c:ser>
        <c:dLbls>
          <c:showLegendKey val="0"/>
          <c:showVal val="0"/>
          <c:showCatName val="0"/>
          <c:showSerName val="0"/>
          <c:showPercent val="0"/>
          <c:showBubbleSize val="0"/>
        </c:dLbls>
        <c:gapWidth val="15"/>
        <c:overlap val="100"/>
        <c:axId val="112768128"/>
        <c:axId val="112769664"/>
      </c:barChart>
      <c:lineChart>
        <c:grouping val="standard"/>
        <c:varyColors val="0"/>
        <c:ser>
          <c:idx val="8"/>
          <c:order val="8"/>
          <c:tx>
            <c:strRef>
              <c:f>'GRAF příspěvky IPP'!$A$35</c:f>
              <c:strCache>
                <c:ptCount val="1"/>
                <c:pt idx="0">
                  <c:v>Total industry (NACE B+C+D)</c:v>
                </c:pt>
              </c:strCache>
            </c:strRef>
          </c:tx>
          <c:spPr>
            <a:ln w="19050">
              <a:noFill/>
            </a:ln>
          </c:spPr>
          <c:marker>
            <c:symbol val="circle"/>
            <c:size val="4"/>
            <c:spPr>
              <a:solidFill>
                <a:schemeClr val="bg1"/>
              </a:solidFill>
              <a:ln>
                <a:solidFill>
                  <a:schemeClr val="tx1">
                    <a:lumMod val="95000"/>
                    <a:lumOff val="5000"/>
                  </a:schemeClr>
                </a:solidFill>
              </a:ln>
            </c:spPr>
          </c:marker>
          <c:cat>
            <c:multiLvlStrRef>
              <c:f>'GRAF příspěvky IPP'!$B$25:$AN$26</c:f>
              <c:multiLvlStrCache>
                <c:ptCount val="39"/>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pt idx="38">
                    <c:v>3</c:v>
                  </c:pt>
                </c:lvl>
                <c:lvl>
                  <c:pt idx="0">
                    <c:v>2011</c:v>
                  </c:pt>
                  <c:pt idx="4">
                    <c:v>2012</c:v>
                  </c:pt>
                  <c:pt idx="8">
                    <c:v>2013</c:v>
                  </c:pt>
                  <c:pt idx="12">
                    <c:v>2014</c:v>
                  </c:pt>
                  <c:pt idx="16">
                    <c:v>2015</c:v>
                  </c:pt>
                  <c:pt idx="20">
                    <c:v>2016</c:v>
                  </c:pt>
                  <c:pt idx="24">
                    <c:v>2017</c:v>
                  </c:pt>
                  <c:pt idx="28">
                    <c:v>2018</c:v>
                  </c:pt>
                  <c:pt idx="32">
                    <c:v>2019</c:v>
                  </c:pt>
                  <c:pt idx="36">
                    <c:v>2020</c:v>
                  </c:pt>
                </c:lvl>
              </c:multiLvlStrCache>
            </c:multiLvlStrRef>
          </c:cat>
          <c:val>
            <c:numRef>
              <c:f>'GRAF příspěvky IPP'!$B$35:$AN$35</c:f>
              <c:numCache>
                <c:formatCode>#\ ##0.0</c:formatCode>
                <c:ptCount val="39"/>
                <c:pt idx="0">
                  <c:v>10.1747086325</c:v>
                </c:pt>
                <c:pt idx="1">
                  <c:v>7.7320630777000048</c:v>
                </c:pt>
                <c:pt idx="2">
                  <c:v>2.0427367414999935</c:v>
                </c:pt>
                <c:pt idx="3">
                  <c:v>3.0231970454999981</c:v>
                </c:pt>
                <c:pt idx="4">
                  <c:v>1.7776371540000042</c:v>
                </c:pt>
                <c:pt idx="5">
                  <c:v>0.40341299639999306</c:v>
                </c:pt>
                <c:pt idx="6">
                  <c:v>-0.21112265520000051</c:v>
                </c:pt>
                <c:pt idx="7">
                  <c:v>-5.3481617104000065</c:v>
                </c:pt>
                <c:pt idx="8">
                  <c:v>-4.2249701698000024</c:v>
                </c:pt>
                <c:pt idx="9">
                  <c:v>-2.3853554206000069</c:v>
                </c:pt>
                <c:pt idx="10">
                  <c:v>1.2316497516000027</c:v>
                </c:pt>
                <c:pt idx="11">
                  <c:v>6.3229322730999939</c:v>
                </c:pt>
                <c:pt idx="12">
                  <c:v>7.1030450258000002</c:v>
                </c:pt>
                <c:pt idx="13">
                  <c:v>6.1297209744000014</c:v>
                </c:pt>
                <c:pt idx="14">
                  <c:v>2.9753758001999984</c:v>
                </c:pt>
                <c:pt idx="15">
                  <c:v>4.2327805536999961</c:v>
                </c:pt>
                <c:pt idx="16">
                  <c:v>4.873394060199999</c:v>
                </c:pt>
                <c:pt idx="17">
                  <c:v>5.3081959839000064</c:v>
                </c:pt>
                <c:pt idx="18">
                  <c:v>5.5472987825999951</c:v>
                </c:pt>
                <c:pt idx="19">
                  <c:v>2.4027878042000026</c:v>
                </c:pt>
                <c:pt idx="20">
                  <c:v>4.0765835575000011</c:v>
                </c:pt>
                <c:pt idx="21">
                  <c:v>2.6745568033000069</c:v>
                </c:pt>
                <c:pt idx="22">
                  <c:v>1.6551514254000068</c:v>
                </c:pt>
                <c:pt idx="23">
                  <c:v>3.5118172237000067</c:v>
                </c:pt>
                <c:pt idx="24">
                  <c:v>5.2597731895999971</c:v>
                </c:pt>
                <c:pt idx="25">
                  <c:v>7.9444180928999941</c:v>
                </c:pt>
                <c:pt idx="26">
                  <c:v>6.519713423400006</c:v>
                </c:pt>
                <c:pt idx="27">
                  <c:v>7.5755516541999981</c:v>
                </c:pt>
                <c:pt idx="28">
                  <c:v>4.2247105953999977</c:v>
                </c:pt>
                <c:pt idx="29">
                  <c:v>2.4051902963999936</c:v>
                </c:pt>
                <c:pt idx="30">
                  <c:v>3.7235866655999956</c:v>
                </c:pt>
                <c:pt idx="31">
                  <c:v>1.9819082223999942</c:v>
                </c:pt>
                <c:pt idx="32">
                  <c:v>0.7</c:v>
                </c:pt>
                <c:pt idx="33">
                  <c:v>0.9</c:v>
                </c:pt>
                <c:pt idx="34">
                  <c:v>-1</c:v>
                </c:pt>
                <c:pt idx="35">
                  <c:v>-2.1</c:v>
                </c:pt>
                <c:pt idx="36">
                  <c:v>-5</c:v>
                </c:pt>
                <c:pt idx="37">
                  <c:v>-23.485773328187875</c:v>
                </c:pt>
              </c:numCache>
            </c:numRef>
          </c:val>
          <c:smooth val="0"/>
          <c:extLst>
            <c:ext xmlns:c16="http://schemas.microsoft.com/office/drawing/2014/chart" uri="{C3380CC4-5D6E-409C-BE32-E72D297353CC}">
              <c16:uniqueId val="{00000008-F8B4-47F1-B227-E162DF5D547E}"/>
            </c:ext>
          </c:extLst>
        </c:ser>
        <c:dLbls>
          <c:showLegendKey val="0"/>
          <c:showVal val="0"/>
          <c:showCatName val="0"/>
          <c:showSerName val="0"/>
          <c:showPercent val="0"/>
          <c:showBubbleSize val="0"/>
        </c:dLbls>
        <c:marker val="1"/>
        <c:smooth val="0"/>
        <c:axId val="112768128"/>
        <c:axId val="112769664"/>
      </c:lineChart>
      <c:lineChart>
        <c:grouping val="standard"/>
        <c:varyColors val="0"/>
        <c:ser>
          <c:idx val="9"/>
          <c:order val="9"/>
          <c:tx>
            <c:strRef>
              <c:f>'GRAF příspěvky IPP'!$A$36</c:f>
              <c:strCache>
                <c:ptCount val="1"/>
                <c:pt idx="0">
                  <c:v>Balance of confidence indicator in industry</c:v>
                </c:pt>
              </c:strCache>
            </c:strRef>
          </c:tx>
          <c:spPr>
            <a:ln w="15875">
              <a:solidFill>
                <a:schemeClr val="bg1">
                  <a:lumMod val="65000"/>
                </a:schemeClr>
              </a:solidFill>
              <a:prstDash val="sysDot"/>
            </a:ln>
          </c:spPr>
          <c:marker>
            <c:symbol val="circle"/>
            <c:size val="5"/>
            <c:spPr>
              <a:solidFill>
                <a:srgbClr val="FFFF00"/>
              </a:solidFill>
              <a:ln>
                <a:solidFill>
                  <a:schemeClr val="tx1">
                    <a:lumMod val="50000"/>
                    <a:lumOff val="50000"/>
                  </a:schemeClr>
                </a:solidFill>
              </a:ln>
            </c:spPr>
          </c:marker>
          <c:cat>
            <c:multiLvlStrRef>
              <c:f>'GRAF příspěvky IPP'!$B$25:$AN$26</c:f>
              <c:multiLvlStrCache>
                <c:ptCount val="39"/>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pt idx="38">
                    <c:v>3</c:v>
                  </c:pt>
                </c:lvl>
                <c:lvl>
                  <c:pt idx="0">
                    <c:v>2011</c:v>
                  </c:pt>
                  <c:pt idx="4">
                    <c:v>2012</c:v>
                  </c:pt>
                  <c:pt idx="8">
                    <c:v>2013</c:v>
                  </c:pt>
                  <c:pt idx="12">
                    <c:v>2014</c:v>
                  </c:pt>
                  <c:pt idx="16">
                    <c:v>2015</c:v>
                  </c:pt>
                  <c:pt idx="20">
                    <c:v>2016</c:v>
                  </c:pt>
                  <c:pt idx="24">
                    <c:v>2017</c:v>
                  </c:pt>
                  <c:pt idx="28">
                    <c:v>2018</c:v>
                  </c:pt>
                  <c:pt idx="32">
                    <c:v>2019</c:v>
                  </c:pt>
                  <c:pt idx="36">
                    <c:v>2020</c:v>
                  </c:pt>
                </c:lvl>
              </c:multiLvlStrCache>
            </c:multiLvlStrRef>
          </c:cat>
          <c:val>
            <c:numRef>
              <c:f>'GRAF příspěvky IPP'!$B$36:$AN$36</c:f>
              <c:numCache>
                <c:formatCode>0.0</c:formatCode>
                <c:ptCount val="39"/>
                <c:pt idx="0">
                  <c:v>15</c:v>
                </c:pt>
                <c:pt idx="1">
                  <c:v>7.7</c:v>
                </c:pt>
                <c:pt idx="2">
                  <c:v>4</c:v>
                </c:pt>
                <c:pt idx="3">
                  <c:v>4</c:v>
                </c:pt>
                <c:pt idx="4">
                  <c:v>1.3</c:v>
                </c:pt>
                <c:pt idx="5">
                  <c:v>-0.7</c:v>
                </c:pt>
                <c:pt idx="6">
                  <c:v>-8</c:v>
                </c:pt>
                <c:pt idx="7">
                  <c:v>-8.3000000000000007</c:v>
                </c:pt>
                <c:pt idx="8">
                  <c:v>-10.7</c:v>
                </c:pt>
                <c:pt idx="9">
                  <c:v>-11</c:v>
                </c:pt>
                <c:pt idx="10">
                  <c:v>-7.7</c:v>
                </c:pt>
                <c:pt idx="11">
                  <c:v>-0.3</c:v>
                </c:pt>
                <c:pt idx="12">
                  <c:v>1.3</c:v>
                </c:pt>
                <c:pt idx="13">
                  <c:v>3.3</c:v>
                </c:pt>
                <c:pt idx="14">
                  <c:v>2</c:v>
                </c:pt>
                <c:pt idx="15">
                  <c:v>3</c:v>
                </c:pt>
                <c:pt idx="16">
                  <c:v>2.7</c:v>
                </c:pt>
                <c:pt idx="17">
                  <c:v>3</c:v>
                </c:pt>
                <c:pt idx="18">
                  <c:v>5.3</c:v>
                </c:pt>
                <c:pt idx="19">
                  <c:v>0.3</c:v>
                </c:pt>
                <c:pt idx="20">
                  <c:v>3.7</c:v>
                </c:pt>
                <c:pt idx="21">
                  <c:v>1.7</c:v>
                </c:pt>
                <c:pt idx="22">
                  <c:v>2</c:v>
                </c:pt>
                <c:pt idx="23">
                  <c:v>3.7</c:v>
                </c:pt>
                <c:pt idx="24">
                  <c:v>5.3</c:v>
                </c:pt>
                <c:pt idx="25">
                  <c:v>0.7</c:v>
                </c:pt>
                <c:pt idx="26">
                  <c:v>3.3</c:v>
                </c:pt>
                <c:pt idx="27">
                  <c:v>6.7</c:v>
                </c:pt>
                <c:pt idx="28">
                  <c:v>4</c:v>
                </c:pt>
                <c:pt idx="29">
                  <c:v>4.3</c:v>
                </c:pt>
                <c:pt idx="30">
                  <c:v>1.3</c:v>
                </c:pt>
                <c:pt idx="31">
                  <c:v>3</c:v>
                </c:pt>
                <c:pt idx="32">
                  <c:v>0</c:v>
                </c:pt>
                <c:pt idx="33">
                  <c:v>0.3</c:v>
                </c:pt>
                <c:pt idx="34">
                  <c:v>-3</c:v>
                </c:pt>
                <c:pt idx="35">
                  <c:v>-6</c:v>
                </c:pt>
                <c:pt idx="36">
                  <c:v>-6.7</c:v>
                </c:pt>
                <c:pt idx="37">
                  <c:v>-26.3</c:v>
                </c:pt>
                <c:pt idx="38">
                  <c:v>-8</c:v>
                </c:pt>
              </c:numCache>
            </c:numRef>
          </c:val>
          <c:smooth val="0"/>
          <c:extLst>
            <c:ext xmlns:c16="http://schemas.microsoft.com/office/drawing/2014/chart" uri="{C3380CC4-5D6E-409C-BE32-E72D297353CC}">
              <c16:uniqueId val="{00000009-F8B4-47F1-B227-E162DF5D547E}"/>
            </c:ext>
          </c:extLst>
        </c:ser>
        <c:dLbls>
          <c:showLegendKey val="0"/>
          <c:showVal val="0"/>
          <c:showCatName val="0"/>
          <c:showSerName val="0"/>
          <c:showPercent val="0"/>
          <c:showBubbleSize val="0"/>
        </c:dLbls>
        <c:marker val="1"/>
        <c:smooth val="0"/>
        <c:axId val="1513731104"/>
        <c:axId val="1513729024"/>
      </c:lineChart>
      <c:catAx>
        <c:axId val="112768128"/>
        <c:scaling>
          <c:orientation val="minMax"/>
        </c:scaling>
        <c:delete val="0"/>
        <c:axPos val="b"/>
        <c:numFmt formatCode="General" sourceLinked="1"/>
        <c:majorTickMark val="out"/>
        <c:minorTickMark val="none"/>
        <c:tickLblPos val="low"/>
        <c:txPr>
          <a:bodyPr/>
          <a:lstStyle/>
          <a:p>
            <a:pPr>
              <a:defRPr sz="800">
                <a:latin typeface="Arial" pitchFamily="34" charset="0"/>
                <a:cs typeface="Arial" pitchFamily="34" charset="0"/>
              </a:defRPr>
            </a:pPr>
            <a:endParaRPr lang="cs-CZ"/>
          </a:p>
        </c:txPr>
        <c:crossAx val="112769664"/>
        <c:crosses val="autoZero"/>
        <c:auto val="1"/>
        <c:lblAlgn val="ctr"/>
        <c:lblOffset val="0"/>
        <c:noMultiLvlLbl val="0"/>
      </c:catAx>
      <c:valAx>
        <c:axId val="112769664"/>
        <c:scaling>
          <c:orientation val="minMax"/>
          <c:max val="12"/>
          <c:min val="-27"/>
        </c:scaling>
        <c:delete val="0"/>
        <c:axPos val="l"/>
        <c:majorGridlines>
          <c:spPr>
            <a:ln>
              <a:solidFill>
                <a:srgbClr val="BEBEBE"/>
              </a:solidFill>
            </a:ln>
          </c:spPr>
        </c:majorGridlines>
        <c:title>
          <c:tx>
            <c:rich>
              <a:bodyPr/>
              <a:lstStyle/>
              <a:p>
                <a:pPr marL="0" marR="0" lvl="0" indent="0" algn="ctr" defTabSz="914400" rtl="0" eaLnBrk="1" fontAlgn="auto" latinLnBrk="0" hangingPunct="1">
                  <a:lnSpc>
                    <a:spcPct val="100000"/>
                  </a:lnSpc>
                  <a:spcBef>
                    <a:spcPts val="0"/>
                  </a:spcBef>
                  <a:spcAft>
                    <a:spcPts val="0"/>
                  </a:spcAft>
                  <a:buClrTx/>
                  <a:buSzTx/>
                  <a:buFontTx/>
                  <a:buNone/>
                  <a:tabLst/>
                  <a:defRPr sz="700" b="0" i="1"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GB" sz="700" i="1">
                    <a:effectLst/>
                  </a:rPr>
                  <a:t>Industrial production</a:t>
                </a:r>
                <a:endParaRPr lang="cs-CZ" sz="700">
                  <a:effectLst/>
                </a:endParaRPr>
              </a:p>
            </c:rich>
          </c:tx>
          <c:layout>
            <c:manualLayout>
              <c:xMode val="edge"/>
              <c:yMode val="edge"/>
              <c:x val="0"/>
              <c:y val="0.20244534603198014"/>
            </c:manualLayout>
          </c:layout>
          <c:overlay val="0"/>
        </c:title>
        <c:numFmt formatCode="0" sourceLinked="0"/>
        <c:majorTickMark val="out"/>
        <c:minorTickMark val="none"/>
        <c:tickLblPos val="nextTo"/>
        <c:txPr>
          <a:bodyPr/>
          <a:lstStyle/>
          <a:p>
            <a:pPr>
              <a:defRPr sz="800">
                <a:latin typeface="Arial" pitchFamily="34" charset="0"/>
                <a:cs typeface="Arial" pitchFamily="34" charset="0"/>
              </a:defRPr>
            </a:pPr>
            <a:endParaRPr lang="cs-CZ"/>
          </a:p>
        </c:txPr>
        <c:crossAx val="112768128"/>
        <c:crosses val="autoZero"/>
        <c:crossBetween val="between"/>
        <c:majorUnit val="3"/>
      </c:valAx>
      <c:valAx>
        <c:axId val="1513729024"/>
        <c:scaling>
          <c:orientation val="minMax"/>
          <c:max val="35"/>
        </c:scaling>
        <c:delete val="0"/>
        <c:axPos val="r"/>
        <c:title>
          <c:tx>
            <c:rich>
              <a:bodyPr/>
              <a:lstStyle/>
              <a:p>
                <a:pPr>
                  <a:defRPr sz="700" b="0" i="1">
                    <a:latin typeface="Arial" panose="020B0604020202020204" pitchFamily="34" charset="0"/>
                    <a:cs typeface="Arial" panose="020B0604020202020204" pitchFamily="34" charset="0"/>
                  </a:defRPr>
                </a:pPr>
                <a:r>
                  <a:rPr lang="en-GB" sz="700" i="1">
                    <a:effectLst/>
                  </a:rPr>
                  <a:t>Balance of confidence indicator</a:t>
                </a:r>
                <a:endParaRPr lang="cs-CZ" sz="700">
                  <a:effectLst/>
                </a:endParaRPr>
              </a:p>
            </c:rich>
          </c:tx>
          <c:layout>
            <c:manualLayout>
              <c:xMode val="edge"/>
              <c:yMode val="edge"/>
              <c:x val="0.97058785927359026"/>
              <c:y val="0.14186479410384856"/>
            </c:manualLayout>
          </c:layout>
          <c:overlay val="0"/>
        </c:title>
        <c:numFmt formatCode="0" sourceLinked="0"/>
        <c:majorTickMark val="out"/>
        <c:minorTickMark val="none"/>
        <c:tickLblPos val="nextTo"/>
        <c:txPr>
          <a:bodyPr/>
          <a:lstStyle/>
          <a:p>
            <a:pPr>
              <a:defRPr sz="800">
                <a:latin typeface="Arial" panose="020B0604020202020204" pitchFamily="34" charset="0"/>
                <a:cs typeface="Arial" panose="020B0604020202020204" pitchFamily="34" charset="0"/>
              </a:defRPr>
            </a:pPr>
            <a:endParaRPr lang="cs-CZ"/>
          </a:p>
        </c:txPr>
        <c:crossAx val="1513731104"/>
        <c:crosses val="max"/>
        <c:crossBetween val="between"/>
        <c:majorUnit val="5"/>
      </c:valAx>
      <c:catAx>
        <c:axId val="1513731104"/>
        <c:scaling>
          <c:orientation val="minMax"/>
        </c:scaling>
        <c:delete val="1"/>
        <c:axPos val="b"/>
        <c:numFmt formatCode="General" sourceLinked="1"/>
        <c:majorTickMark val="out"/>
        <c:minorTickMark val="none"/>
        <c:tickLblPos val="nextTo"/>
        <c:crossAx val="1513729024"/>
        <c:crosses val="autoZero"/>
        <c:auto val="1"/>
        <c:lblAlgn val="ctr"/>
        <c:lblOffset val="100"/>
        <c:noMultiLvlLbl val="0"/>
      </c:catAx>
      <c:spPr>
        <a:noFill/>
        <a:ln w="6350">
          <a:solidFill>
            <a:prstClr val="black">
              <a:lumMod val="95000"/>
              <a:lumOff val="5000"/>
            </a:prstClr>
          </a:solidFill>
        </a:ln>
      </c:spPr>
    </c:plotArea>
    <c:legend>
      <c:legendPos val="r"/>
      <c:layout>
        <c:manualLayout>
          <c:xMode val="edge"/>
          <c:yMode val="edge"/>
          <c:x val="0"/>
          <c:y val="0.8245301077934194"/>
          <c:w val="0.99065961293212845"/>
          <c:h val="0.17197591189447189"/>
        </c:manualLayout>
      </c:layout>
      <c:overlay val="0"/>
      <c:spPr>
        <a:ln w="6350">
          <a:solidFill>
            <a:prstClr val="black">
              <a:lumMod val="95000"/>
              <a:lumOff val="5000"/>
            </a:prstClr>
          </a:solidFill>
        </a:ln>
      </c:spPr>
      <c:txPr>
        <a:bodyPr/>
        <a:lstStyle/>
        <a:p>
          <a:pPr>
            <a:defRPr sz="800">
              <a:latin typeface="Arial" pitchFamily="34" charset="0"/>
              <a:cs typeface="Arial" pitchFamily="34" charset="0"/>
            </a:defRPr>
          </a:pPr>
          <a:endParaRPr lang="cs-CZ"/>
        </a:p>
      </c:txPr>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9015582501720615E-2"/>
          <c:y val="1.643251153889452E-2"/>
          <c:w val="0.86254083709606399"/>
          <c:h val="0.68473432398964318"/>
        </c:manualLayout>
      </c:layout>
      <c:barChart>
        <c:barDir val="col"/>
        <c:grouping val="clustered"/>
        <c:varyColors val="0"/>
        <c:ser>
          <c:idx val="0"/>
          <c:order val="0"/>
          <c:tx>
            <c:strRef>
              <c:f>'výkonnost odvětví 2'!$A$31</c:f>
              <c:strCache>
                <c:ptCount val="1"/>
                <c:pt idx="0">
                  <c:v>Total industry orders</c:v>
                </c:pt>
              </c:strCache>
            </c:strRef>
          </c:tx>
          <c:spPr>
            <a:solidFill>
              <a:schemeClr val="bg1">
                <a:lumMod val="65000"/>
              </a:schemeClr>
            </a:solidFill>
            <a:ln w="12700">
              <a:noFill/>
              <a:prstDash val="solid"/>
            </a:ln>
          </c:spPr>
          <c:invertIfNegative val="0"/>
          <c:cat>
            <c:multiLvlStrRef>
              <c:f>'výkonnost odvětví 2'!$B$29:$AN$30</c:f>
              <c:multiLvlStrCache>
                <c:ptCount val="39"/>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pt idx="38">
                    <c:v>3</c:v>
                  </c:pt>
                </c:lvl>
                <c:lvl>
                  <c:pt idx="0">
                    <c:v>2011</c:v>
                  </c:pt>
                  <c:pt idx="4">
                    <c:v>2012</c:v>
                  </c:pt>
                  <c:pt idx="8">
                    <c:v>2013</c:v>
                  </c:pt>
                  <c:pt idx="12">
                    <c:v>2014</c:v>
                  </c:pt>
                  <c:pt idx="16">
                    <c:v>2015</c:v>
                  </c:pt>
                  <c:pt idx="20">
                    <c:v>2016</c:v>
                  </c:pt>
                  <c:pt idx="24">
                    <c:v>2017</c:v>
                  </c:pt>
                  <c:pt idx="28">
                    <c:v>2018</c:v>
                  </c:pt>
                  <c:pt idx="32">
                    <c:v>2019</c:v>
                  </c:pt>
                  <c:pt idx="36">
                    <c:v>2020</c:v>
                  </c:pt>
                </c:lvl>
              </c:multiLvlStrCache>
            </c:multiLvlStrRef>
          </c:cat>
          <c:val>
            <c:numRef>
              <c:f>'výkonnost odvětví 2'!$B$31:$AN$31</c:f>
              <c:numCache>
                <c:formatCode>#\ ##0.0__</c:formatCode>
                <c:ptCount val="39"/>
                <c:pt idx="0">
                  <c:v>12.043107093421796</c:v>
                </c:pt>
                <c:pt idx="1">
                  <c:v>5.329290402096305</c:v>
                </c:pt>
                <c:pt idx="2">
                  <c:v>-1.5038236293274423</c:v>
                </c:pt>
                <c:pt idx="3">
                  <c:v>0.49985199872995167</c:v>
                </c:pt>
                <c:pt idx="4">
                  <c:v>7.8919882289544319</c:v>
                </c:pt>
                <c:pt idx="5">
                  <c:v>0.24363263911027389</c:v>
                </c:pt>
                <c:pt idx="6">
                  <c:v>2.6780600325356119</c:v>
                </c:pt>
                <c:pt idx="7">
                  <c:v>-2.2927798243121345</c:v>
                </c:pt>
                <c:pt idx="8">
                  <c:v>-6.7566875441004868</c:v>
                </c:pt>
                <c:pt idx="9">
                  <c:v>-0.77743908810788298</c:v>
                </c:pt>
                <c:pt idx="10">
                  <c:v>12.110592029586002</c:v>
                </c:pt>
                <c:pt idx="11">
                  <c:v>12.611542535334834</c:v>
                </c:pt>
                <c:pt idx="12">
                  <c:v>18.454576257258609</c:v>
                </c:pt>
                <c:pt idx="13">
                  <c:v>13.812603337719324</c:v>
                </c:pt>
                <c:pt idx="14">
                  <c:v>11.164927309703884</c:v>
                </c:pt>
                <c:pt idx="15">
                  <c:v>7.3250322249586759</c:v>
                </c:pt>
                <c:pt idx="16">
                  <c:v>8.5397251010390391</c:v>
                </c:pt>
                <c:pt idx="17">
                  <c:v>6.4894834031568251</c:v>
                </c:pt>
                <c:pt idx="18">
                  <c:v>4.1045761314248068</c:v>
                </c:pt>
                <c:pt idx="19">
                  <c:v>6.0151063810169205</c:v>
                </c:pt>
                <c:pt idx="20">
                  <c:v>1.3550678522953064</c:v>
                </c:pt>
                <c:pt idx="21">
                  <c:v>10.856046878525433</c:v>
                </c:pt>
                <c:pt idx="22">
                  <c:v>1.6431282237439291</c:v>
                </c:pt>
                <c:pt idx="23">
                  <c:v>6.7220844736941103</c:v>
                </c:pt>
                <c:pt idx="24">
                  <c:v>10.841479121555906</c:v>
                </c:pt>
                <c:pt idx="25">
                  <c:v>4.5315942367003714</c:v>
                </c:pt>
                <c:pt idx="26">
                  <c:v>6.9082617878945598</c:v>
                </c:pt>
                <c:pt idx="27">
                  <c:v>7.5112613571588724</c:v>
                </c:pt>
                <c:pt idx="28">
                  <c:v>1.6339188767607453</c:v>
                </c:pt>
                <c:pt idx="29">
                  <c:v>4.6301209797549205</c:v>
                </c:pt>
                <c:pt idx="30">
                  <c:v>3.6945404784506337</c:v>
                </c:pt>
                <c:pt idx="31">
                  <c:v>4.2467023509658759</c:v>
                </c:pt>
                <c:pt idx="32">
                  <c:v>3.2159327201169816</c:v>
                </c:pt>
                <c:pt idx="33">
                  <c:v>0.65858715061426665</c:v>
                </c:pt>
                <c:pt idx="34">
                  <c:v>2.2747163836690305</c:v>
                </c:pt>
                <c:pt idx="35">
                  <c:v>-4.7832000111320241</c:v>
                </c:pt>
                <c:pt idx="36">
                  <c:v>-5.4552563188195791</c:v>
                </c:pt>
                <c:pt idx="37">
                  <c:v>-27.840083401835727</c:v>
                </c:pt>
              </c:numCache>
            </c:numRef>
          </c:val>
          <c:extLst>
            <c:ext xmlns:c16="http://schemas.microsoft.com/office/drawing/2014/chart" uri="{C3380CC4-5D6E-409C-BE32-E72D297353CC}">
              <c16:uniqueId val="{00000000-40AD-46F3-80FA-240AEE5E4942}"/>
            </c:ext>
          </c:extLst>
        </c:ser>
        <c:dLbls>
          <c:showLegendKey val="0"/>
          <c:showVal val="0"/>
          <c:showCatName val="0"/>
          <c:showSerName val="0"/>
          <c:showPercent val="0"/>
          <c:showBubbleSize val="0"/>
        </c:dLbls>
        <c:gapWidth val="34"/>
        <c:overlap val="28"/>
        <c:axId val="139174272"/>
        <c:axId val="139175808"/>
      </c:barChart>
      <c:lineChart>
        <c:grouping val="standard"/>
        <c:varyColors val="0"/>
        <c:ser>
          <c:idx val="2"/>
          <c:order val="1"/>
          <c:tx>
            <c:strRef>
              <c:f>'výkonnost odvětví 2'!$A$32</c:f>
              <c:strCache>
                <c:ptCount val="1"/>
                <c:pt idx="0">
                  <c:v>Total industry orders (domestic only)</c:v>
                </c:pt>
              </c:strCache>
            </c:strRef>
          </c:tx>
          <c:spPr>
            <a:ln w="15875">
              <a:solidFill>
                <a:srgbClr val="0070C0"/>
              </a:solidFill>
              <a:prstDash val="solid"/>
            </a:ln>
          </c:spPr>
          <c:marker>
            <c:symbol val="none"/>
          </c:marker>
          <c:cat>
            <c:multiLvlStrRef>
              <c:f>'výkonnost odvětví 2'!$B$29:$AN$30</c:f>
              <c:multiLvlStrCache>
                <c:ptCount val="39"/>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pt idx="38">
                    <c:v>3</c:v>
                  </c:pt>
                </c:lvl>
                <c:lvl>
                  <c:pt idx="0">
                    <c:v>2011</c:v>
                  </c:pt>
                  <c:pt idx="4">
                    <c:v>2012</c:v>
                  </c:pt>
                  <c:pt idx="8">
                    <c:v>2013</c:v>
                  </c:pt>
                  <c:pt idx="12">
                    <c:v>2014</c:v>
                  </c:pt>
                  <c:pt idx="16">
                    <c:v>2015</c:v>
                  </c:pt>
                  <c:pt idx="20">
                    <c:v>2016</c:v>
                  </c:pt>
                  <c:pt idx="24">
                    <c:v>2017</c:v>
                  </c:pt>
                  <c:pt idx="28">
                    <c:v>2018</c:v>
                  </c:pt>
                  <c:pt idx="32">
                    <c:v>2019</c:v>
                  </c:pt>
                  <c:pt idx="36">
                    <c:v>2020</c:v>
                  </c:pt>
                </c:lvl>
              </c:multiLvlStrCache>
            </c:multiLvlStrRef>
          </c:cat>
          <c:val>
            <c:numRef>
              <c:f>'výkonnost odvětví 2'!$B$32:$AN$32</c:f>
              <c:numCache>
                <c:formatCode>#\ ##0.0__</c:formatCode>
                <c:ptCount val="39"/>
                <c:pt idx="0">
                  <c:v>2.8145814762462464</c:v>
                </c:pt>
                <c:pt idx="1">
                  <c:v>-0.65160361804250044</c:v>
                </c:pt>
                <c:pt idx="2">
                  <c:v>-11.671782921579478</c:v>
                </c:pt>
                <c:pt idx="3">
                  <c:v>-10.696553890943122</c:v>
                </c:pt>
                <c:pt idx="4">
                  <c:v>2.6214056871317126</c:v>
                </c:pt>
                <c:pt idx="5">
                  <c:v>-9.2467743432498821</c:v>
                </c:pt>
                <c:pt idx="6">
                  <c:v>-2.8571545096936291</c:v>
                </c:pt>
                <c:pt idx="7">
                  <c:v>-4.0487324448534139</c:v>
                </c:pt>
                <c:pt idx="8">
                  <c:v>-7.112663177047466</c:v>
                </c:pt>
                <c:pt idx="9">
                  <c:v>-0.59561460542927591</c:v>
                </c:pt>
                <c:pt idx="10">
                  <c:v>9.3847374388735147</c:v>
                </c:pt>
                <c:pt idx="11">
                  <c:v>7.0782158358476011</c:v>
                </c:pt>
                <c:pt idx="12">
                  <c:v>14.18383964594139</c:v>
                </c:pt>
                <c:pt idx="13">
                  <c:v>7.7929541685002164</c:v>
                </c:pt>
                <c:pt idx="14">
                  <c:v>16.845115352064937</c:v>
                </c:pt>
                <c:pt idx="15">
                  <c:v>9.6787104542652713</c:v>
                </c:pt>
                <c:pt idx="16">
                  <c:v>4.341961301010727</c:v>
                </c:pt>
                <c:pt idx="17">
                  <c:v>10.024449168168019</c:v>
                </c:pt>
                <c:pt idx="18">
                  <c:v>-4.7604240586837108</c:v>
                </c:pt>
                <c:pt idx="19">
                  <c:v>0.56107209694786775</c:v>
                </c:pt>
                <c:pt idx="20">
                  <c:v>0.20304376106223287</c:v>
                </c:pt>
                <c:pt idx="21">
                  <c:v>4.9376200007964286</c:v>
                </c:pt>
                <c:pt idx="22">
                  <c:v>-0.65834656713856532</c:v>
                </c:pt>
                <c:pt idx="23">
                  <c:v>2.873089889380708</c:v>
                </c:pt>
                <c:pt idx="24">
                  <c:v>16.722989365311648</c:v>
                </c:pt>
                <c:pt idx="25">
                  <c:v>11.567742610098009</c:v>
                </c:pt>
                <c:pt idx="26">
                  <c:v>14.702871802754672</c:v>
                </c:pt>
                <c:pt idx="27">
                  <c:v>15.641374658030259</c:v>
                </c:pt>
                <c:pt idx="28">
                  <c:v>-0.54655499165191657</c:v>
                </c:pt>
                <c:pt idx="29">
                  <c:v>3.3862320433243838</c:v>
                </c:pt>
                <c:pt idx="30">
                  <c:v>4.5707977831681177</c:v>
                </c:pt>
                <c:pt idx="31">
                  <c:v>4.8009732818449038</c:v>
                </c:pt>
                <c:pt idx="32">
                  <c:v>8.0074778782798006</c:v>
                </c:pt>
                <c:pt idx="33">
                  <c:v>4.3685672275757952</c:v>
                </c:pt>
                <c:pt idx="34">
                  <c:v>3.2795252635021939</c:v>
                </c:pt>
                <c:pt idx="35">
                  <c:v>-2.4886565019466786</c:v>
                </c:pt>
                <c:pt idx="36">
                  <c:v>-4.1287288035399854</c:v>
                </c:pt>
                <c:pt idx="37">
                  <c:v>-25.915339029383787</c:v>
                </c:pt>
              </c:numCache>
            </c:numRef>
          </c:val>
          <c:smooth val="0"/>
          <c:extLst>
            <c:ext xmlns:c16="http://schemas.microsoft.com/office/drawing/2014/chart" uri="{C3380CC4-5D6E-409C-BE32-E72D297353CC}">
              <c16:uniqueId val="{00000001-40AD-46F3-80FA-240AEE5E4942}"/>
            </c:ext>
          </c:extLst>
        </c:ser>
        <c:ser>
          <c:idx val="5"/>
          <c:order val="2"/>
          <c:tx>
            <c:strRef>
              <c:f>'výkonnost odvětví 2'!$A$33</c:f>
              <c:strCache>
                <c:ptCount val="1"/>
                <c:pt idx="0">
                  <c:v>Total orders (motor vehicles)</c:v>
                </c:pt>
              </c:strCache>
            </c:strRef>
          </c:tx>
          <c:spPr>
            <a:ln w="15875">
              <a:solidFill>
                <a:srgbClr val="BD1B21"/>
              </a:solidFill>
              <a:prstDash val="solid"/>
            </a:ln>
          </c:spPr>
          <c:marker>
            <c:symbol val="none"/>
          </c:marker>
          <c:cat>
            <c:multiLvlStrRef>
              <c:f>'výkonnost odvětví 2'!$B$29:$AN$30</c:f>
              <c:multiLvlStrCache>
                <c:ptCount val="39"/>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pt idx="38">
                    <c:v>3</c:v>
                  </c:pt>
                </c:lvl>
                <c:lvl>
                  <c:pt idx="0">
                    <c:v>2011</c:v>
                  </c:pt>
                  <c:pt idx="4">
                    <c:v>2012</c:v>
                  </c:pt>
                  <c:pt idx="8">
                    <c:v>2013</c:v>
                  </c:pt>
                  <c:pt idx="12">
                    <c:v>2014</c:v>
                  </c:pt>
                  <c:pt idx="16">
                    <c:v>2015</c:v>
                  </c:pt>
                  <c:pt idx="20">
                    <c:v>2016</c:v>
                  </c:pt>
                  <c:pt idx="24">
                    <c:v>2017</c:v>
                  </c:pt>
                  <c:pt idx="28">
                    <c:v>2018</c:v>
                  </c:pt>
                  <c:pt idx="32">
                    <c:v>2019</c:v>
                  </c:pt>
                  <c:pt idx="36">
                    <c:v>2020</c:v>
                  </c:pt>
                </c:lvl>
              </c:multiLvlStrCache>
            </c:multiLvlStrRef>
          </c:cat>
          <c:val>
            <c:numRef>
              <c:f>'výkonnost odvětví 2'!$B$33:$AN$33</c:f>
              <c:numCache>
                <c:formatCode>#\ ##0.0__</c:formatCode>
                <c:ptCount val="39"/>
                <c:pt idx="0">
                  <c:v>11.429400379513879</c:v>
                </c:pt>
                <c:pt idx="1">
                  <c:v>9.2048286805521258</c:v>
                </c:pt>
                <c:pt idx="2">
                  <c:v>4.4139955552265207</c:v>
                </c:pt>
                <c:pt idx="3">
                  <c:v>5.3718735076924133</c:v>
                </c:pt>
                <c:pt idx="4">
                  <c:v>19.54636851917148</c:v>
                </c:pt>
                <c:pt idx="5">
                  <c:v>4.6887564118292033</c:v>
                </c:pt>
                <c:pt idx="6">
                  <c:v>1.3322326875189248</c:v>
                </c:pt>
                <c:pt idx="7">
                  <c:v>-2.0219087809167178</c:v>
                </c:pt>
                <c:pt idx="8">
                  <c:v>-15.423726227988496</c:v>
                </c:pt>
                <c:pt idx="9">
                  <c:v>-3.0233686336023169</c:v>
                </c:pt>
                <c:pt idx="10">
                  <c:v>24.654149056071944</c:v>
                </c:pt>
                <c:pt idx="11">
                  <c:v>18.470996489023392</c:v>
                </c:pt>
                <c:pt idx="12">
                  <c:v>33.791068906341536</c:v>
                </c:pt>
                <c:pt idx="13">
                  <c:v>22.39294364855138</c:v>
                </c:pt>
                <c:pt idx="14">
                  <c:v>16.969041222835131</c:v>
                </c:pt>
                <c:pt idx="15">
                  <c:v>12.211301534151133</c:v>
                </c:pt>
                <c:pt idx="16">
                  <c:v>15.316352438277931</c:v>
                </c:pt>
                <c:pt idx="17">
                  <c:v>5.584343456517459</c:v>
                </c:pt>
                <c:pt idx="18">
                  <c:v>13.898535777390734</c:v>
                </c:pt>
                <c:pt idx="19">
                  <c:v>18.975191723154538</c:v>
                </c:pt>
                <c:pt idx="20">
                  <c:v>11.460497347422447</c:v>
                </c:pt>
                <c:pt idx="21">
                  <c:v>33.085131031292235</c:v>
                </c:pt>
                <c:pt idx="22">
                  <c:v>5.912380139380474</c:v>
                </c:pt>
                <c:pt idx="23">
                  <c:v>12.001000805244416</c:v>
                </c:pt>
                <c:pt idx="24">
                  <c:v>7.9804719471503205</c:v>
                </c:pt>
                <c:pt idx="25">
                  <c:v>-1.7592612473364966</c:v>
                </c:pt>
                <c:pt idx="26">
                  <c:v>3.8626497182263222</c:v>
                </c:pt>
                <c:pt idx="27">
                  <c:v>0.37376710568412364</c:v>
                </c:pt>
                <c:pt idx="28">
                  <c:v>0.60861960894675349</c:v>
                </c:pt>
                <c:pt idx="29">
                  <c:v>3.6675371997157811</c:v>
                </c:pt>
                <c:pt idx="30">
                  <c:v>0.69699979014031044</c:v>
                </c:pt>
                <c:pt idx="31">
                  <c:v>1.0371076901644045</c:v>
                </c:pt>
                <c:pt idx="32">
                  <c:v>2.3844519038519962</c:v>
                </c:pt>
                <c:pt idx="33">
                  <c:v>3.1505861553301884</c:v>
                </c:pt>
                <c:pt idx="34">
                  <c:v>7.8772894879504776</c:v>
                </c:pt>
                <c:pt idx="35">
                  <c:v>-0.27078960340936931</c:v>
                </c:pt>
                <c:pt idx="36">
                  <c:v>-6.8002473186692924</c:v>
                </c:pt>
                <c:pt idx="37">
                  <c:v>-43.589067662393489</c:v>
                </c:pt>
              </c:numCache>
            </c:numRef>
          </c:val>
          <c:smooth val="0"/>
          <c:extLst>
            <c:ext xmlns:c16="http://schemas.microsoft.com/office/drawing/2014/chart" uri="{C3380CC4-5D6E-409C-BE32-E72D297353CC}">
              <c16:uniqueId val="{00000002-40AD-46F3-80FA-240AEE5E4942}"/>
            </c:ext>
          </c:extLst>
        </c:ser>
        <c:dLbls>
          <c:showLegendKey val="0"/>
          <c:showVal val="0"/>
          <c:showCatName val="0"/>
          <c:showSerName val="0"/>
          <c:showPercent val="0"/>
          <c:showBubbleSize val="0"/>
        </c:dLbls>
        <c:marker val="1"/>
        <c:smooth val="0"/>
        <c:axId val="139174272"/>
        <c:axId val="139175808"/>
      </c:lineChart>
      <c:lineChart>
        <c:grouping val="standard"/>
        <c:varyColors val="0"/>
        <c:ser>
          <c:idx val="3"/>
          <c:order val="3"/>
          <c:tx>
            <c:strRef>
              <c:f>'výkonnost odvětví 2'!$A$34</c:f>
              <c:strCache>
                <c:ptCount val="1"/>
                <c:pt idx="0">
                  <c:v>Utilisation of production capacities in industry (right axis)</c:v>
                </c:pt>
              </c:strCache>
            </c:strRef>
          </c:tx>
          <c:spPr>
            <a:ln w="15875">
              <a:solidFill>
                <a:srgbClr val="00B050"/>
              </a:solidFill>
              <a:prstDash val="solid"/>
            </a:ln>
          </c:spPr>
          <c:marker>
            <c:symbol val="none"/>
          </c:marker>
          <c:cat>
            <c:multiLvlStrRef>
              <c:f>'výkonnost odvětví 2'!$B$29:$AN$30</c:f>
              <c:multiLvlStrCache>
                <c:ptCount val="39"/>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pt idx="38">
                    <c:v>3</c:v>
                  </c:pt>
                </c:lvl>
                <c:lvl>
                  <c:pt idx="0">
                    <c:v>2011</c:v>
                  </c:pt>
                  <c:pt idx="4">
                    <c:v>2012</c:v>
                  </c:pt>
                  <c:pt idx="8">
                    <c:v>2013</c:v>
                  </c:pt>
                  <c:pt idx="12">
                    <c:v>2014</c:v>
                  </c:pt>
                  <c:pt idx="16">
                    <c:v>2015</c:v>
                  </c:pt>
                  <c:pt idx="20">
                    <c:v>2016</c:v>
                  </c:pt>
                  <c:pt idx="24">
                    <c:v>2017</c:v>
                  </c:pt>
                  <c:pt idx="28">
                    <c:v>2018</c:v>
                  </c:pt>
                  <c:pt idx="32">
                    <c:v>2019</c:v>
                  </c:pt>
                  <c:pt idx="36">
                    <c:v>2020</c:v>
                  </c:pt>
                </c:lvl>
              </c:multiLvlStrCache>
            </c:multiLvlStrRef>
          </c:cat>
          <c:val>
            <c:numRef>
              <c:f>'výkonnost odvětví 2'!$B$34:$AN$34</c:f>
              <c:numCache>
                <c:formatCode>#\ ##0.0</c:formatCode>
                <c:ptCount val="39"/>
                <c:pt idx="0">
                  <c:v>83.7</c:v>
                </c:pt>
                <c:pt idx="1">
                  <c:v>85.5</c:v>
                </c:pt>
                <c:pt idx="2">
                  <c:v>84.7</c:v>
                </c:pt>
                <c:pt idx="3">
                  <c:v>82.8</c:v>
                </c:pt>
                <c:pt idx="4">
                  <c:v>84.6</c:v>
                </c:pt>
                <c:pt idx="5">
                  <c:v>83.6</c:v>
                </c:pt>
                <c:pt idx="6">
                  <c:v>81.2</c:v>
                </c:pt>
                <c:pt idx="7">
                  <c:v>81.2</c:v>
                </c:pt>
                <c:pt idx="8">
                  <c:v>80.900000000000006</c:v>
                </c:pt>
                <c:pt idx="9">
                  <c:v>82.2</c:v>
                </c:pt>
                <c:pt idx="10">
                  <c:v>80.7</c:v>
                </c:pt>
                <c:pt idx="11">
                  <c:v>82.2</c:v>
                </c:pt>
                <c:pt idx="12">
                  <c:v>81.2</c:v>
                </c:pt>
                <c:pt idx="13">
                  <c:v>83.5</c:v>
                </c:pt>
                <c:pt idx="14">
                  <c:v>82.8</c:v>
                </c:pt>
                <c:pt idx="15">
                  <c:v>84.4</c:v>
                </c:pt>
                <c:pt idx="16">
                  <c:v>86.2</c:v>
                </c:pt>
                <c:pt idx="17">
                  <c:v>85</c:v>
                </c:pt>
                <c:pt idx="18">
                  <c:v>85.6</c:v>
                </c:pt>
                <c:pt idx="19">
                  <c:v>83.9</c:v>
                </c:pt>
                <c:pt idx="20">
                  <c:v>84.5</c:v>
                </c:pt>
                <c:pt idx="21">
                  <c:v>84.7</c:v>
                </c:pt>
                <c:pt idx="22">
                  <c:v>84.7</c:v>
                </c:pt>
                <c:pt idx="23">
                  <c:v>84.1</c:v>
                </c:pt>
                <c:pt idx="24">
                  <c:v>84.9</c:v>
                </c:pt>
                <c:pt idx="25">
                  <c:v>83.1</c:v>
                </c:pt>
                <c:pt idx="26">
                  <c:v>84.4</c:v>
                </c:pt>
                <c:pt idx="27">
                  <c:v>84.3</c:v>
                </c:pt>
                <c:pt idx="28">
                  <c:v>85.8</c:v>
                </c:pt>
                <c:pt idx="29">
                  <c:v>85.4</c:v>
                </c:pt>
                <c:pt idx="30">
                  <c:v>86.2</c:v>
                </c:pt>
                <c:pt idx="31">
                  <c:v>85.8</c:v>
                </c:pt>
                <c:pt idx="32">
                  <c:v>85.8</c:v>
                </c:pt>
                <c:pt idx="33">
                  <c:v>85.9</c:v>
                </c:pt>
                <c:pt idx="34">
                  <c:v>84.8</c:v>
                </c:pt>
                <c:pt idx="35">
                  <c:v>84.1</c:v>
                </c:pt>
                <c:pt idx="36">
                  <c:v>84.2</c:v>
                </c:pt>
                <c:pt idx="37">
                  <c:v>71</c:v>
                </c:pt>
                <c:pt idx="38">
                  <c:v>75.5</c:v>
                </c:pt>
              </c:numCache>
            </c:numRef>
          </c:val>
          <c:smooth val="0"/>
          <c:extLst>
            <c:ext xmlns:c16="http://schemas.microsoft.com/office/drawing/2014/chart" uri="{C3380CC4-5D6E-409C-BE32-E72D297353CC}">
              <c16:uniqueId val="{00000003-40AD-46F3-80FA-240AEE5E4942}"/>
            </c:ext>
          </c:extLst>
        </c:ser>
        <c:ser>
          <c:idx val="1"/>
          <c:order val="4"/>
          <c:tx>
            <c:strRef>
              <c:f>'výkonnost odvětví 2'!$A$35</c:f>
              <c:strCache>
                <c:ptCount val="1"/>
                <c:pt idx="0">
                  <c:v>Utilisation of production capacities in motor vehicles industry (right axis)</c:v>
                </c:pt>
              </c:strCache>
            </c:strRef>
          </c:tx>
          <c:spPr>
            <a:ln w="15875">
              <a:solidFill>
                <a:srgbClr val="00B050"/>
              </a:solidFill>
              <a:prstDash val="sysDash"/>
            </a:ln>
          </c:spPr>
          <c:marker>
            <c:symbol val="none"/>
          </c:marker>
          <c:cat>
            <c:multiLvlStrRef>
              <c:f>'výkonnost odvětví 2'!$B$29:$AN$30</c:f>
              <c:multiLvlStrCache>
                <c:ptCount val="39"/>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pt idx="38">
                    <c:v>3</c:v>
                  </c:pt>
                </c:lvl>
                <c:lvl>
                  <c:pt idx="0">
                    <c:v>2011</c:v>
                  </c:pt>
                  <c:pt idx="4">
                    <c:v>2012</c:v>
                  </c:pt>
                  <c:pt idx="8">
                    <c:v>2013</c:v>
                  </c:pt>
                  <c:pt idx="12">
                    <c:v>2014</c:v>
                  </c:pt>
                  <c:pt idx="16">
                    <c:v>2015</c:v>
                  </c:pt>
                  <c:pt idx="20">
                    <c:v>2016</c:v>
                  </c:pt>
                  <c:pt idx="24">
                    <c:v>2017</c:v>
                  </c:pt>
                  <c:pt idx="28">
                    <c:v>2018</c:v>
                  </c:pt>
                  <c:pt idx="32">
                    <c:v>2019</c:v>
                  </c:pt>
                  <c:pt idx="36">
                    <c:v>2020</c:v>
                  </c:pt>
                </c:lvl>
              </c:multiLvlStrCache>
            </c:multiLvlStrRef>
          </c:cat>
          <c:val>
            <c:numRef>
              <c:f>'výkonnost odvětví 2'!$B$35:$AN$35</c:f>
              <c:numCache>
                <c:formatCode>0.0</c:formatCode>
                <c:ptCount val="39"/>
                <c:pt idx="0">
                  <c:v>92.5</c:v>
                </c:pt>
                <c:pt idx="1">
                  <c:v>92.3</c:v>
                </c:pt>
                <c:pt idx="2">
                  <c:v>92.4</c:v>
                </c:pt>
                <c:pt idx="3">
                  <c:v>91.8</c:v>
                </c:pt>
                <c:pt idx="4">
                  <c:v>92.3</c:v>
                </c:pt>
                <c:pt idx="5">
                  <c:v>89.5</c:v>
                </c:pt>
                <c:pt idx="6">
                  <c:v>85.9</c:v>
                </c:pt>
                <c:pt idx="7">
                  <c:v>86.1</c:v>
                </c:pt>
                <c:pt idx="8">
                  <c:v>86.4</c:v>
                </c:pt>
                <c:pt idx="9">
                  <c:v>89.9</c:v>
                </c:pt>
                <c:pt idx="10">
                  <c:v>80.2</c:v>
                </c:pt>
                <c:pt idx="11">
                  <c:v>84.8</c:v>
                </c:pt>
                <c:pt idx="12">
                  <c:v>78.900000000000006</c:v>
                </c:pt>
                <c:pt idx="13">
                  <c:v>85</c:v>
                </c:pt>
                <c:pt idx="14">
                  <c:v>87.1</c:v>
                </c:pt>
                <c:pt idx="15">
                  <c:v>89.2</c:v>
                </c:pt>
                <c:pt idx="16">
                  <c:v>92.8</c:v>
                </c:pt>
                <c:pt idx="17">
                  <c:v>91.1</c:v>
                </c:pt>
                <c:pt idx="18">
                  <c:v>93.1</c:v>
                </c:pt>
                <c:pt idx="19">
                  <c:v>88.7</c:v>
                </c:pt>
                <c:pt idx="20">
                  <c:v>91.6</c:v>
                </c:pt>
                <c:pt idx="21">
                  <c:v>90.3</c:v>
                </c:pt>
                <c:pt idx="22">
                  <c:v>93.1</c:v>
                </c:pt>
                <c:pt idx="23">
                  <c:v>90.9</c:v>
                </c:pt>
                <c:pt idx="24">
                  <c:v>93.2</c:v>
                </c:pt>
                <c:pt idx="25">
                  <c:v>87.3</c:v>
                </c:pt>
                <c:pt idx="26">
                  <c:v>90.7</c:v>
                </c:pt>
                <c:pt idx="27">
                  <c:v>90.5</c:v>
                </c:pt>
                <c:pt idx="28">
                  <c:v>91.1</c:v>
                </c:pt>
                <c:pt idx="29">
                  <c:v>91.6</c:v>
                </c:pt>
                <c:pt idx="30">
                  <c:v>92.1</c:v>
                </c:pt>
                <c:pt idx="31">
                  <c:v>93</c:v>
                </c:pt>
                <c:pt idx="32">
                  <c:v>92.8</c:v>
                </c:pt>
                <c:pt idx="33">
                  <c:v>93.6</c:v>
                </c:pt>
                <c:pt idx="34">
                  <c:v>92.3</c:v>
                </c:pt>
                <c:pt idx="35">
                  <c:v>93.4</c:v>
                </c:pt>
                <c:pt idx="36">
                  <c:v>90.5</c:v>
                </c:pt>
                <c:pt idx="37">
                  <c:v>50.8</c:v>
                </c:pt>
                <c:pt idx="38" formatCode="General">
                  <c:v>75.3</c:v>
                </c:pt>
              </c:numCache>
            </c:numRef>
          </c:val>
          <c:smooth val="0"/>
          <c:extLst>
            <c:ext xmlns:c16="http://schemas.microsoft.com/office/drawing/2014/chart" uri="{C3380CC4-5D6E-409C-BE32-E72D297353CC}">
              <c16:uniqueId val="{00000004-40AD-46F3-80FA-240AEE5E4942}"/>
            </c:ext>
          </c:extLst>
        </c:ser>
        <c:ser>
          <c:idx val="4"/>
          <c:order val="5"/>
          <c:tx>
            <c:strRef>
              <c:f>'výkonnost odvětví 2'!$A$36</c:f>
              <c:strCache>
                <c:ptCount val="1"/>
                <c:pt idx="0">
                  <c:v>Growth barrier: inadequate demand (right axis)</c:v>
                </c:pt>
              </c:strCache>
            </c:strRef>
          </c:tx>
          <c:spPr>
            <a:ln w="15875">
              <a:solidFill>
                <a:srgbClr val="D2CD00"/>
              </a:solidFill>
              <a:prstDash val="solid"/>
            </a:ln>
          </c:spPr>
          <c:marker>
            <c:symbol val="none"/>
          </c:marker>
          <c:cat>
            <c:multiLvlStrRef>
              <c:f>'výkonnost odvětví 2'!$B$29:$AN$30</c:f>
              <c:multiLvlStrCache>
                <c:ptCount val="39"/>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pt idx="38">
                    <c:v>3</c:v>
                  </c:pt>
                </c:lvl>
                <c:lvl>
                  <c:pt idx="0">
                    <c:v>2011</c:v>
                  </c:pt>
                  <c:pt idx="4">
                    <c:v>2012</c:v>
                  </c:pt>
                  <c:pt idx="8">
                    <c:v>2013</c:v>
                  </c:pt>
                  <c:pt idx="12">
                    <c:v>2014</c:v>
                  </c:pt>
                  <c:pt idx="16">
                    <c:v>2015</c:v>
                  </c:pt>
                  <c:pt idx="20">
                    <c:v>2016</c:v>
                  </c:pt>
                  <c:pt idx="24">
                    <c:v>2017</c:v>
                  </c:pt>
                  <c:pt idx="28">
                    <c:v>2018</c:v>
                  </c:pt>
                  <c:pt idx="32">
                    <c:v>2019</c:v>
                  </c:pt>
                  <c:pt idx="36">
                    <c:v>2020</c:v>
                  </c:pt>
                </c:lvl>
              </c:multiLvlStrCache>
            </c:multiLvlStrRef>
          </c:cat>
          <c:val>
            <c:numRef>
              <c:f>'výkonnost odvětví 2'!$B$36:$AN$36</c:f>
              <c:numCache>
                <c:formatCode>#\ ##0.0</c:formatCode>
                <c:ptCount val="39"/>
                <c:pt idx="0">
                  <c:v>41.1</c:v>
                </c:pt>
                <c:pt idx="1">
                  <c:v>36</c:v>
                </c:pt>
                <c:pt idx="2">
                  <c:v>37.799999999999997</c:v>
                </c:pt>
                <c:pt idx="3">
                  <c:v>47</c:v>
                </c:pt>
                <c:pt idx="4">
                  <c:v>41.1</c:v>
                </c:pt>
                <c:pt idx="5">
                  <c:v>50.7</c:v>
                </c:pt>
                <c:pt idx="6">
                  <c:v>54.6</c:v>
                </c:pt>
                <c:pt idx="7">
                  <c:v>55.7</c:v>
                </c:pt>
                <c:pt idx="8">
                  <c:v>59.7</c:v>
                </c:pt>
                <c:pt idx="9">
                  <c:v>64.3</c:v>
                </c:pt>
                <c:pt idx="10">
                  <c:v>68.400000000000006</c:v>
                </c:pt>
                <c:pt idx="11">
                  <c:v>56.6</c:v>
                </c:pt>
                <c:pt idx="12">
                  <c:v>57.6</c:v>
                </c:pt>
                <c:pt idx="13">
                  <c:v>52.2</c:v>
                </c:pt>
                <c:pt idx="14">
                  <c:v>48.4</c:v>
                </c:pt>
                <c:pt idx="15">
                  <c:v>45.9</c:v>
                </c:pt>
                <c:pt idx="16">
                  <c:v>43.6</c:v>
                </c:pt>
                <c:pt idx="17">
                  <c:v>49.6</c:v>
                </c:pt>
                <c:pt idx="18">
                  <c:v>47.8</c:v>
                </c:pt>
                <c:pt idx="19">
                  <c:v>47.8</c:v>
                </c:pt>
                <c:pt idx="20">
                  <c:v>45.7</c:v>
                </c:pt>
                <c:pt idx="21">
                  <c:v>45.5</c:v>
                </c:pt>
                <c:pt idx="22">
                  <c:v>43</c:v>
                </c:pt>
                <c:pt idx="23">
                  <c:v>43.8</c:v>
                </c:pt>
                <c:pt idx="24">
                  <c:v>42.7</c:v>
                </c:pt>
                <c:pt idx="25">
                  <c:v>41.6</c:v>
                </c:pt>
                <c:pt idx="26">
                  <c:v>40.299999999999997</c:v>
                </c:pt>
                <c:pt idx="27">
                  <c:v>37.299999999999997</c:v>
                </c:pt>
                <c:pt idx="28">
                  <c:v>35.4</c:v>
                </c:pt>
                <c:pt idx="29">
                  <c:v>36</c:v>
                </c:pt>
                <c:pt idx="30">
                  <c:v>31.6</c:v>
                </c:pt>
                <c:pt idx="31">
                  <c:v>33.4</c:v>
                </c:pt>
                <c:pt idx="32">
                  <c:v>33.700000000000003</c:v>
                </c:pt>
                <c:pt idx="33">
                  <c:v>35.299999999999997</c:v>
                </c:pt>
                <c:pt idx="34">
                  <c:v>40.1</c:v>
                </c:pt>
                <c:pt idx="35">
                  <c:v>47.3</c:v>
                </c:pt>
                <c:pt idx="36">
                  <c:v>50.4</c:v>
                </c:pt>
                <c:pt idx="37">
                  <c:v>58.4</c:v>
                </c:pt>
                <c:pt idx="38">
                  <c:v>63.2</c:v>
                </c:pt>
              </c:numCache>
            </c:numRef>
          </c:val>
          <c:smooth val="0"/>
          <c:extLst>
            <c:ext xmlns:c16="http://schemas.microsoft.com/office/drawing/2014/chart" uri="{C3380CC4-5D6E-409C-BE32-E72D297353CC}">
              <c16:uniqueId val="{00000005-40AD-46F3-80FA-240AEE5E4942}"/>
            </c:ext>
          </c:extLst>
        </c:ser>
        <c:ser>
          <c:idx val="6"/>
          <c:order val="6"/>
          <c:tx>
            <c:strRef>
              <c:f>'výkonnost odvětví 2'!$A$37</c:f>
              <c:strCache>
                <c:ptCount val="1"/>
                <c:pt idx="0">
                  <c:v>Growth barrier: lack of labour force (right axis)</c:v>
                </c:pt>
              </c:strCache>
            </c:strRef>
          </c:tx>
          <c:spPr>
            <a:ln w="19050">
              <a:solidFill>
                <a:srgbClr val="D2CD00"/>
              </a:solidFill>
              <a:prstDash val="sysDash"/>
            </a:ln>
          </c:spPr>
          <c:marker>
            <c:symbol val="none"/>
          </c:marker>
          <c:cat>
            <c:multiLvlStrRef>
              <c:f>'výkonnost odvětví 2'!$B$29:$AN$30</c:f>
              <c:multiLvlStrCache>
                <c:ptCount val="39"/>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pt idx="38">
                    <c:v>3</c:v>
                  </c:pt>
                </c:lvl>
                <c:lvl>
                  <c:pt idx="0">
                    <c:v>2011</c:v>
                  </c:pt>
                  <c:pt idx="4">
                    <c:v>2012</c:v>
                  </c:pt>
                  <c:pt idx="8">
                    <c:v>2013</c:v>
                  </c:pt>
                  <c:pt idx="12">
                    <c:v>2014</c:v>
                  </c:pt>
                  <c:pt idx="16">
                    <c:v>2015</c:v>
                  </c:pt>
                  <c:pt idx="20">
                    <c:v>2016</c:v>
                  </c:pt>
                  <c:pt idx="24">
                    <c:v>2017</c:v>
                  </c:pt>
                  <c:pt idx="28">
                    <c:v>2018</c:v>
                  </c:pt>
                  <c:pt idx="32">
                    <c:v>2019</c:v>
                  </c:pt>
                  <c:pt idx="36">
                    <c:v>2020</c:v>
                  </c:pt>
                </c:lvl>
              </c:multiLvlStrCache>
            </c:multiLvlStrRef>
          </c:cat>
          <c:val>
            <c:numRef>
              <c:f>'výkonnost odvětví 2'!$B$37:$AN$37</c:f>
              <c:numCache>
                <c:formatCode>#\ ##0.0</c:formatCode>
                <c:ptCount val="39"/>
                <c:pt idx="0">
                  <c:v>9.4</c:v>
                </c:pt>
                <c:pt idx="1">
                  <c:v>15.4</c:v>
                </c:pt>
                <c:pt idx="2">
                  <c:v>13.9</c:v>
                </c:pt>
                <c:pt idx="3">
                  <c:v>6.7</c:v>
                </c:pt>
                <c:pt idx="4">
                  <c:v>4.8</c:v>
                </c:pt>
                <c:pt idx="5">
                  <c:v>3.8</c:v>
                </c:pt>
                <c:pt idx="6">
                  <c:v>3.1</c:v>
                </c:pt>
                <c:pt idx="7">
                  <c:v>1.5</c:v>
                </c:pt>
                <c:pt idx="8">
                  <c:v>2.7</c:v>
                </c:pt>
                <c:pt idx="9">
                  <c:v>2.1</c:v>
                </c:pt>
                <c:pt idx="10">
                  <c:v>2.1</c:v>
                </c:pt>
                <c:pt idx="11">
                  <c:v>1.8</c:v>
                </c:pt>
                <c:pt idx="12">
                  <c:v>4.4000000000000004</c:v>
                </c:pt>
                <c:pt idx="13">
                  <c:v>3.6</c:v>
                </c:pt>
                <c:pt idx="14">
                  <c:v>5.3</c:v>
                </c:pt>
                <c:pt idx="15">
                  <c:v>5</c:v>
                </c:pt>
                <c:pt idx="16">
                  <c:v>6.7</c:v>
                </c:pt>
                <c:pt idx="17">
                  <c:v>6.9</c:v>
                </c:pt>
                <c:pt idx="18">
                  <c:v>8.1</c:v>
                </c:pt>
                <c:pt idx="19">
                  <c:v>13.9</c:v>
                </c:pt>
                <c:pt idx="20">
                  <c:v>15.4</c:v>
                </c:pt>
                <c:pt idx="21">
                  <c:v>16.899999999999999</c:v>
                </c:pt>
                <c:pt idx="22">
                  <c:v>18.8</c:v>
                </c:pt>
                <c:pt idx="23">
                  <c:v>28.8</c:v>
                </c:pt>
                <c:pt idx="24">
                  <c:v>32.799999999999997</c:v>
                </c:pt>
                <c:pt idx="25">
                  <c:v>34.700000000000003</c:v>
                </c:pt>
                <c:pt idx="26">
                  <c:v>41.3</c:v>
                </c:pt>
                <c:pt idx="27">
                  <c:v>38.299999999999997</c:v>
                </c:pt>
                <c:pt idx="28">
                  <c:v>43.4</c:v>
                </c:pt>
                <c:pt idx="29">
                  <c:v>43.7</c:v>
                </c:pt>
                <c:pt idx="30">
                  <c:v>43.7</c:v>
                </c:pt>
                <c:pt idx="31">
                  <c:v>44.8</c:v>
                </c:pt>
                <c:pt idx="32">
                  <c:v>38.799999999999997</c:v>
                </c:pt>
                <c:pt idx="33">
                  <c:v>36.4</c:v>
                </c:pt>
                <c:pt idx="34">
                  <c:v>39.5</c:v>
                </c:pt>
                <c:pt idx="35">
                  <c:v>37.200000000000003</c:v>
                </c:pt>
                <c:pt idx="36">
                  <c:v>28.2</c:v>
                </c:pt>
                <c:pt idx="37">
                  <c:v>16.600000000000001</c:v>
                </c:pt>
                <c:pt idx="38">
                  <c:v>15.1</c:v>
                </c:pt>
              </c:numCache>
            </c:numRef>
          </c:val>
          <c:smooth val="0"/>
          <c:extLst>
            <c:ext xmlns:c16="http://schemas.microsoft.com/office/drawing/2014/chart" uri="{C3380CC4-5D6E-409C-BE32-E72D297353CC}">
              <c16:uniqueId val="{00000006-40AD-46F3-80FA-240AEE5E4942}"/>
            </c:ext>
          </c:extLst>
        </c:ser>
        <c:dLbls>
          <c:showLegendKey val="0"/>
          <c:showVal val="0"/>
          <c:showCatName val="0"/>
          <c:showSerName val="0"/>
          <c:showPercent val="0"/>
          <c:showBubbleSize val="0"/>
        </c:dLbls>
        <c:marker val="1"/>
        <c:smooth val="0"/>
        <c:axId val="146478208"/>
        <c:axId val="139177344"/>
      </c:lineChart>
      <c:catAx>
        <c:axId val="139174272"/>
        <c:scaling>
          <c:orientation val="minMax"/>
        </c:scaling>
        <c:delete val="0"/>
        <c:axPos val="b"/>
        <c:numFmt formatCode="General" sourceLinked="1"/>
        <c:majorTickMark val="out"/>
        <c:minorTickMark val="none"/>
        <c:tickLblPos val="low"/>
        <c:spPr>
          <a:ln w="9525">
            <a:solidFill>
              <a:schemeClr val="tx1"/>
            </a:solidFill>
            <a:prstDash val="solid"/>
          </a:ln>
        </c:spPr>
        <c:txPr>
          <a:bodyPr rot="0" vert="horz"/>
          <a:lstStyle/>
          <a:p>
            <a:pPr>
              <a:defRPr/>
            </a:pPr>
            <a:endParaRPr lang="cs-CZ"/>
          </a:p>
        </c:txPr>
        <c:crossAx val="139175808"/>
        <c:crossesAt val="0"/>
        <c:auto val="0"/>
        <c:lblAlgn val="ctr"/>
        <c:lblOffset val="0"/>
        <c:tickLblSkip val="1"/>
        <c:tickMarkSkip val="4"/>
        <c:noMultiLvlLbl val="0"/>
      </c:catAx>
      <c:valAx>
        <c:axId val="139175808"/>
        <c:scaling>
          <c:orientation val="minMax"/>
          <c:max val="50"/>
          <c:min val="-50"/>
        </c:scaling>
        <c:delete val="0"/>
        <c:axPos val="l"/>
        <c:majorGridlines>
          <c:spPr>
            <a:ln w="6350">
              <a:solidFill>
                <a:schemeClr val="bg1">
                  <a:lumMod val="75000"/>
                </a:schemeClr>
              </a:solidFill>
            </a:ln>
          </c:spPr>
        </c:majorGridlines>
        <c:title>
          <c:tx>
            <c:rich>
              <a:bodyPr/>
              <a:lstStyle/>
              <a:p>
                <a:pPr>
                  <a:defRPr sz="700" i="1"/>
                </a:pPr>
                <a:r>
                  <a:rPr lang="cs-CZ" sz="700" i="1"/>
                  <a:t>Orders</a:t>
                </a:r>
              </a:p>
            </c:rich>
          </c:tx>
          <c:overlay val="0"/>
        </c:title>
        <c:numFmt formatCode="0" sourceLinked="0"/>
        <c:majorTickMark val="out"/>
        <c:minorTickMark val="none"/>
        <c:tickLblPos val="nextTo"/>
        <c:spPr>
          <a:ln w="9525">
            <a:solidFill>
              <a:schemeClr val="tx1"/>
            </a:solidFill>
            <a:prstDash val="solid"/>
          </a:ln>
        </c:spPr>
        <c:txPr>
          <a:bodyPr rot="0" vert="horz"/>
          <a:lstStyle/>
          <a:p>
            <a:pPr>
              <a:defRPr/>
            </a:pPr>
            <a:endParaRPr lang="cs-CZ"/>
          </a:p>
        </c:txPr>
        <c:crossAx val="139174272"/>
        <c:crosses val="autoZero"/>
        <c:crossBetween val="between"/>
        <c:majorUnit val="10"/>
      </c:valAx>
      <c:valAx>
        <c:axId val="139177344"/>
        <c:scaling>
          <c:orientation val="minMax"/>
          <c:max val="100"/>
          <c:min val="0"/>
        </c:scaling>
        <c:delete val="0"/>
        <c:axPos val="r"/>
        <c:title>
          <c:tx>
            <c:rich>
              <a:bodyPr/>
              <a:lstStyle/>
              <a:p>
                <a:pPr marL="0" marR="0" lvl="0" indent="0" algn="ctr" defTabSz="914400" rtl="0" eaLnBrk="1" fontAlgn="auto" latinLnBrk="0" hangingPunct="1">
                  <a:lnSpc>
                    <a:spcPct val="100000"/>
                  </a:lnSpc>
                  <a:spcBef>
                    <a:spcPts val="0"/>
                  </a:spcBef>
                  <a:spcAft>
                    <a:spcPts val="0"/>
                  </a:spcAft>
                  <a:buClrTx/>
                  <a:buSzTx/>
                  <a:buFontTx/>
                  <a:buNone/>
                  <a:tabLst/>
                  <a:defRPr sz="700" b="0" i="1" u="none" strike="noStrike" kern="1200" baseline="0">
                    <a:solidFill>
                      <a:srgbClr val="000000"/>
                    </a:solidFill>
                    <a:latin typeface="Arial CE"/>
                    <a:ea typeface="Arial CE"/>
                    <a:cs typeface="Arial CE"/>
                  </a:defRPr>
                </a:pPr>
                <a:r>
                  <a:rPr lang="en-GB" sz="700" i="1">
                    <a:effectLst/>
                  </a:rPr>
                  <a:t>Utilisation of production capacities, growth barriers</a:t>
                </a:r>
                <a:endParaRPr lang="cs-CZ" sz="700">
                  <a:effectLst/>
                </a:endParaRPr>
              </a:p>
            </c:rich>
          </c:tx>
          <c:layout>
            <c:manualLayout>
              <c:xMode val="edge"/>
              <c:yMode val="edge"/>
              <c:x val="0.97031017808604048"/>
              <c:y val="0.10001697503729533"/>
            </c:manualLayout>
          </c:layout>
          <c:overlay val="0"/>
        </c:title>
        <c:numFmt formatCode="0" sourceLinked="0"/>
        <c:majorTickMark val="out"/>
        <c:minorTickMark val="none"/>
        <c:tickLblPos val="nextTo"/>
        <c:crossAx val="146478208"/>
        <c:crosses val="max"/>
        <c:crossBetween val="between"/>
      </c:valAx>
      <c:catAx>
        <c:axId val="146478208"/>
        <c:scaling>
          <c:orientation val="minMax"/>
        </c:scaling>
        <c:delete val="1"/>
        <c:axPos val="b"/>
        <c:numFmt formatCode="General" sourceLinked="1"/>
        <c:majorTickMark val="out"/>
        <c:minorTickMark val="none"/>
        <c:tickLblPos val="none"/>
        <c:crossAx val="139177344"/>
        <c:crosses val="autoZero"/>
        <c:auto val="1"/>
        <c:lblAlgn val="ctr"/>
        <c:lblOffset val="100"/>
        <c:noMultiLvlLbl val="0"/>
      </c:catAx>
      <c:spPr>
        <a:solidFill>
          <a:srgbClr val="FFFFFF"/>
        </a:solidFill>
        <a:ln w="9525">
          <a:solidFill>
            <a:schemeClr val="tx1"/>
          </a:solidFill>
        </a:ln>
      </c:spPr>
    </c:plotArea>
    <c:legend>
      <c:legendPos val="b"/>
      <c:layout>
        <c:manualLayout>
          <c:xMode val="edge"/>
          <c:yMode val="edge"/>
          <c:x val="8.1990961748686711E-3"/>
          <c:y val="0.79317910615782938"/>
          <c:w val="0.98379594369130352"/>
          <c:h val="0.19967240797028032"/>
        </c:manualLayout>
      </c:layout>
      <c:overlay val="0"/>
      <c:spPr>
        <a:noFill/>
        <a:ln w="6350">
          <a:solidFill>
            <a:schemeClr val="tx1"/>
          </a:solidFill>
        </a:ln>
      </c:spPr>
    </c:legend>
    <c:plotVisOnly val="1"/>
    <c:dispBlanksAs val="gap"/>
    <c:showDLblsOverMax val="0"/>
  </c:chart>
  <c:spPr>
    <a:solidFill>
      <a:srgbClr val="FFFFFF"/>
    </a:solidFill>
    <a:ln w="3175">
      <a:noFill/>
      <a:prstDash val="solid"/>
    </a:ln>
  </c:spPr>
  <c:txPr>
    <a:bodyPr/>
    <a:lstStyle/>
    <a:p>
      <a:pPr>
        <a:defRPr sz="800" b="0" i="0" u="none" strike="noStrike" baseline="0">
          <a:solidFill>
            <a:srgbClr val="000000"/>
          </a:solidFill>
          <a:latin typeface="Arial CE"/>
          <a:ea typeface="Arial CE"/>
          <a:cs typeface="Arial CE"/>
        </a:defRPr>
      </a:pPr>
      <a:endParaRPr lang="cs-CZ"/>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7565768642631747E-2"/>
          <c:y val="1.6563187842952781E-2"/>
          <c:w val="0.84505789345006321"/>
          <c:h val="0.69179078558082585"/>
        </c:manualLayout>
      </c:layout>
      <c:barChart>
        <c:barDir val="col"/>
        <c:grouping val="stacked"/>
        <c:varyColors val="0"/>
        <c:ser>
          <c:idx val="1"/>
          <c:order val="1"/>
          <c:tx>
            <c:strRef>
              <c:f>'výkonnost odvětví 3'!$Y$10</c:f>
              <c:strCache>
                <c:ptCount val="1"/>
                <c:pt idx="0">
                  <c:v>Building construction (contribution in p.p.)</c:v>
                </c:pt>
              </c:strCache>
            </c:strRef>
          </c:tx>
          <c:spPr>
            <a:solidFill>
              <a:srgbClr val="A6CDE9"/>
            </a:solidFill>
            <a:ln w="19050">
              <a:noFill/>
              <a:prstDash val="solid"/>
            </a:ln>
          </c:spPr>
          <c:invertIfNegative val="0"/>
          <c:cat>
            <c:multiLvlStrRef>
              <c:f>'výkonnost odvětví 3'!$V$15:$W$53</c:f>
              <c:multiLvlStrCache>
                <c:ptCount val="39"/>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pt idx="38">
                    <c:v>3</c:v>
                  </c:pt>
                </c:lvl>
                <c:lvl>
                  <c:pt idx="0">
                    <c:v>2011</c:v>
                  </c:pt>
                  <c:pt idx="4">
                    <c:v>2012</c:v>
                  </c:pt>
                  <c:pt idx="8">
                    <c:v>2013</c:v>
                  </c:pt>
                  <c:pt idx="12">
                    <c:v>2014</c:v>
                  </c:pt>
                  <c:pt idx="16">
                    <c:v>2015</c:v>
                  </c:pt>
                  <c:pt idx="20">
                    <c:v>2016</c:v>
                  </c:pt>
                  <c:pt idx="24">
                    <c:v>2017</c:v>
                  </c:pt>
                  <c:pt idx="28">
                    <c:v>2018</c:v>
                  </c:pt>
                  <c:pt idx="32">
                    <c:v>2019</c:v>
                  </c:pt>
                  <c:pt idx="36">
                    <c:v>2020</c:v>
                  </c:pt>
                </c:lvl>
              </c:multiLvlStrCache>
            </c:multiLvlStrRef>
          </c:cat>
          <c:val>
            <c:numRef>
              <c:f>'výkonnost odvětví 3'!$Y$15:$Y$53</c:f>
              <c:numCache>
                <c:formatCode>0.0</c:formatCode>
                <c:ptCount val="39"/>
                <c:pt idx="0">
                  <c:v>6.2047732527820312</c:v>
                </c:pt>
                <c:pt idx="1">
                  <c:v>-1.142609385309763</c:v>
                </c:pt>
                <c:pt idx="2">
                  <c:v>-4.2496583310797469</c:v>
                </c:pt>
                <c:pt idx="3">
                  <c:v>1.4325486942131775</c:v>
                </c:pt>
                <c:pt idx="4">
                  <c:v>-5.3017304136874612</c:v>
                </c:pt>
                <c:pt idx="5">
                  <c:v>-1.5772154566583525</c:v>
                </c:pt>
                <c:pt idx="6">
                  <c:v>-3.5093635043390679</c:v>
                </c:pt>
                <c:pt idx="7">
                  <c:v>-6.7584810940500368</c:v>
                </c:pt>
                <c:pt idx="8">
                  <c:v>-7.3668578508046387</c:v>
                </c:pt>
                <c:pt idx="9">
                  <c:v>-7.3115997076220323</c:v>
                </c:pt>
                <c:pt idx="10">
                  <c:v>-1.046316947083143</c:v>
                </c:pt>
                <c:pt idx="11">
                  <c:v>-1.9461283088151891</c:v>
                </c:pt>
                <c:pt idx="12">
                  <c:v>12.371583397752481</c:v>
                </c:pt>
                <c:pt idx="13">
                  <c:v>3.6348701582896989</c:v>
                </c:pt>
                <c:pt idx="14">
                  <c:v>-0.4470402552287821</c:v>
                </c:pt>
                <c:pt idx="15">
                  <c:v>-0.35554011674100472</c:v>
                </c:pt>
                <c:pt idx="16">
                  <c:v>6.0406500842435085</c:v>
                </c:pt>
                <c:pt idx="17">
                  <c:v>5.0351990706688206</c:v>
                </c:pt>
                <c:pt idx="18">
                  <c:v>0.8190237902909806</c:v>
                </c:pt>
                <c:pt idx="19">
                  <c:v>-1.7586108979905719</c:v>
                </c:pt>
                <c:pt idx="20">
                  <c:v>-4.9770437869163535</c:v>
                </c:pt>
                <c:pt idx="21">
                  <c:v>-4.9700016274723584</c:v>
                </c:pt>
                <c:pt idx="22">
                  <c:v>0.78239199885766197</c:v>
                </c:pt>
                <c:pt idx="23">
                  <c:v>3.9332788568802517</c:v>
                </c:pt>
                <c:pt idx="24">
                  <c:v>2.3068633791469697</c:v>
                </c:pt>
                <c:pt idx="25">
                  <c:v>9.9255198092832533</c:v>
                </c:pt>
                <c:pt idx="26">
                  <c:v>3.4173683660831449</c:v>
                </c:pt>
                <c:pt idx="27">
                  <c:v>2.6449439222433253</c:v>
                </c:pt>
                <c:pt idx="28">
                  <c:v>13.611853478375235</c:v>
                </c:pt>
                <c:pt idx="29">
                  <c:v>6.2900956792886875</c:v>
                </c:pt>
                <c:pt idx="30">
                  <c:v>7.6969034240443159</c:v>
                </c:pt>
                <c:pt idx="31">
                  <c:v>2.4763373565569382</c:v>
                </c:pt>
                <c:pt idx="32">
                  <c:v>2.9012271914063752</c:v>
                </c:pt>
                <c:pt idx="33">
                  <c:v>2.4324724742263082</c:v>
                </c:pt>
                <c:pt idx="34">
                  <c:v>-0.71205347442938227</c:v>
                </c:pt>
                <c:pt idx="35">
                  <c:v>2.4332088670338217</c:v>
                </c:pt>
                <c:pt idx="36">
                  <c:v>-0.65663999999999767</c:v>
                </c:pt>
                <c:pt idx="37">
                  <c:v>-9.2204187524945613</c:v>
                </c:pt>
              </c:numCache>
            </c:numRef>
          </c:val>
          <c:extLst>
            <c:ext xmlns:c16="http://schemas.microsoft.com/office/drawing/2014/chart" uri="{C3380CC4-5D6E-409C-BE32-E72D297353CC}">
              <c16:uniqueId val="{00000000-5290-4626-8753-2AAE92924284}"/>
            </c:ext>
          </c:extLst>
        </c:ser>
        <c:ser>
          <c:idx val="2"/>
          <c:order val="2"/>
          <c:tx>
            <c:strRef>
              <c:f>'výkonnost odvětví 3'!$Z$10</c:f>
              <c:strCache>
                <c:ptCount val="1"/>
                <c:pt idx="0">
                  <c:v>Civil engineering construction (contribution in p.p.)</c:v>
                </c:pt>
              </c:strCache>
            </c:strRef>
          </c:tx>
          <c:spPr>
            <a:solidFill>
              <a:srgbClr val="E8AFB2"/>
            </a:solidFill>
            <a:ln w="19050">
              <a:noFill/>
              <a:prstDash val="solid"/>
            </a:ln>
          </c:spPr>
          <c:invertIfNegative val="0"/>
          <c:cat>
            <c:multiLvlStrRef>
              <c:f>'výkonnost odvětví 3'!$V$15:$W$53</c:f>
              <c:multiLvlStrCache>
                <c:ptCount val="39"/>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pt idx="38">
                    <c:v>3</c:v>
                  </c:pt>
                </c:lvl>
                <c:lvl>
                  <c:pt idx="0">
                    <c:v>2011</c:v>
                  </c:pt>
                  <c:pt idx="4">
                    <c:v>2012</c:v>
                  </c:pt>
                  <c:pt idx="8">
                    <c:v>2013</c:v>
                  </c:pt>
                  <c:pt idx="12">
                    <c:v>2014</c:v>
                  </c:pt>
                  <c:pt idx="16">
                    <c:v>2015</c:v>
                  </c:pt>
                  <c:pt idx="20">
                    <c:v>2016</c:v>
                  </c:pt>
                  <c:pt idx="24">
                    <c:v>2017</c:v>
                  </c:pt>
                  <c:pt idx="28">
                    <c:v>2018</c:v>
                  </c:pt>
                  <c:pt idx="32">
                    <c:v>2019</c:v>
                  </c:pt>
                  <c:pt idx="36">
                    <c:v>2020</c:v>
                  </c:pt>
                </c:lvl>
              </c:multiLvlStrCache>
            </c:multiLvlStrRef>
          </c:cat>
          <c:val>
            <c:numRef>
              <c:f>'výkonnost odvětví 3'!$Z$15:$Z$53</c:f>
              <c:numCache>
                <c:formatCode>0.0</c:formatCode>
                <c:ptCount val="39"/>
                <c:pt idx="0">
                  <c:v>-0.79042212761240505</c:v>
                </c:pt>
                <c:pt idx="1">
                  <c:v>-4.1501396425306893</c:v>
                </c:pt>
                <c:pt idx="2">
                  <c:v>-4.845304760215198</c:v>
                </c:pt>
                <c:pt idx="3">
                  <c:v>-1.9017157182009561</c:v>
                </c:pt>
                <c:pt idx="4">
                  <c:v>-4.5301506238094307</c:v>
                </c:pt>
                <c:pt idx="5">
                  <c:v>-3.436948273961975</c:v>
                </c:pt>
                <c:pt idx="6">
                  <c:v>-2.1433566998748379</c:v>
                </c:pt>
                <c:pt idx="7">
                  <c:v>-2.7528798984220209</c:v>
                </c:pt>
                <c:pt idx="8">
                  <c:v>-3.2410153986319687</c:v>
                </c:pt>
                <c:pt idx="9">
                  <c:v>-4.3924048251383914</c:v>
                </c:pt>
                <c:pt idx="10">
                  <c:v>-4.1374576667557275</c:v>
                </c:pt>
                <c:pt idx="11">
                  <c:v>-0.65314984057794534</c:v>
                </c:pt>
                <c:pt idx="12">
                  <c:v>0.50263566485864819</c:v>
                </c:pt>
                <c:pt idx="13">
                  <c:v>1.9367914476888961</c:v>
                </c:pt>
                <c:pt idx="14">
                  <c:v>3.0475325886284614</c:v>
                </c:pt>
                <c:pt idx="15">
                  <c:v>1.5687973126903687</c:v>
                </c:pt>
                <c:pt idx="16">
                  <c:v>3.2355496515016471</c:v>
                </c:pt>
                <c:pt idx="17">
                  <c:v>7.2127365572123514</c:v>
                </c:pt>
                <c:pt idx="18">
                  <c:v>7.4049722612595534</c:v>
                </c:pt>
                <c:pt idx="19">
                  <c:v>2.8517321017249642</c:v>
                </c:pt>
                <c:pt idx="20">
                  <c:v>-1.2715496259536494</c:v>
                </c:pt>
                <c:pt idx="21">
                  <c:v>-5.4264140722862431</c:v>
                </c:pt>
                <c:pt idx="22">
                  <c:v>-7.0587854977868805</c:v>
                </c:pt>
                <c:pt idx="23">
                  <c:v>-5.9121381011794369</c:v>
                </c:pt>
                <c:pt idx="24">
                  <c:v>-3.4016080209496309</c:v>
                </c:pt>
                <c:pt idx="25">
                  <c:v>-1.1866728525072219</c:v>
                </c:pt>
                <c:pt idx="26">
                  <c:v>-1.5260463084640261</c:v>
                </c:pt>
                <c:pt idx="27">
                  <c:v>0.24705424395699707</c:v>
                </c:pt>
                <c:pt idx="28">
                  <c:v>1.7580186589547353</c:v>
                </c:pt>
                <c:pt idx="29">
                  <c:v>1.2030375486852778</c:v>
                </c:pt>
                <c:pt idx="30">
                  <c:v>4.716307137200463</c:v>
                </c:pt>
                <c:pt idx="31">
                  <c:v>1.893880018835757</c:v>
                </c:pt>
                <c:pt idx="32">
                  <c:v>0.7361981062889752</c:v>
                </c:pt>
                <c:pt idx="33">
                  <c:v>1.8748631261527227</c:v>
                </c:pt>
                <c:pt idx="34">
                  <c:v>0.74581313444005137</c:v>
                </c:pt>
                <c:pt idx="35">
                  <c:v>0.84928321883930058</c:v>
                </c:pt>
                <c:pt idx="36">
                  <c:v>2.7776000000000005</c:v>
                </c:pt>
                <c:pt idx="37">
                  <c:v>0.45894381009551932</c:v>
                </c:pt>
              </c:numCache>
            </c:numRef>
          </c:val>
          <c:extLst>
            <c:ext xmlns:c16="http://schemas.microsoft.com/office/drawing/2014/chart" uri="{C3380CC4-5D6E-409C-BE32-E72D297353CC}">
              <c16:uniqueId val="{00000001-5290-4626-8753-2AAE92924284}"/>
            </c:ext>
          </c:extLst>
        </c:ser>
        <c:dLbls>
          <c:showLegendKey val="0"/>
          <c:showVal val="0"/>
          <c:showCatName val="0"/>
          <c:showSerName val="0"/>
          <c:showPercent val="0"/>
          <c:showBubbleSize val="0"/>
        </c:dLbls>
        <c:gapWidth val="24"/>
        <c:overlap val="100"/>
        <c:axId val="147432960"/>
        <c:axId val="147434496"/>
      </c:barChart>
      <c:lineChart>
        <c:grouping val="standard"/>
        <c:varyColors val="0"/>
        <c:ser>
          <c:idx val="0"/>
          <c:order val="0"/>
          <c:tx>
            <c:strRef>
              <c:f>'výkonnost odvětví 3'!$X$10</c:f>
              <c:strCache>
                <c:ptCount val="1"/>
                <c:pt idx="0">
                  <c:v>Total construction output</c:v>
                </c:pt>
              </c:strCache>
            </c:strRef>
          </c:tx>
          <c:spPr>
            <a:ln>
              <a:noFill/>
            </a:ln>
          </c:spPr>
          <c:marker>
            <c:symbol val="dash"/>
            <c:size val="7"/>
            <c:spPr>
              <a:solidFill>
                <a:schemeClr val="tx1">
                  <a:lumMod val="95000"/>
                  <a:lumOff val="5000"/>
                </a:schemeClr>
              </a:solidFill>
              <a:ln>
                <a:noFill/>
              </a:ln>
            </c:spPr>
          </c:marker>
          <c:cat>
            <c:multiLvlStrRef>
              <c:f>'výkonnost odvětví 3'!$V$15:$W$53</c:f>
              <c:multiLvlStrCache>
                <c:ptCount val="39"/>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pt idx="38">
                    <c:v>3</c:v>
                  </c:pt>
                </c:lvl>
                <c:lvl>
                  <c:pt idx="0">
                    <c:v>2011</c:v>
                  </c:pt>
                  <c:pt idx="4">
                    <c:v>2012</c:v>
                  </c:pt>
                  <c:pt idx="8">
                    <c:v>2013</c:v>
                  </c:pt>
                  <c:pt idx="12">
                    <c:v>2014</c:v>
                  </c:pt>
                  <c:pt idx="16">
                    <c:v>2015</c:v>
                  </c:pt>
                  <c:pt idx="20">
                    <c:v>2016</c:v>
                  </c:pt>
                  <c:pt idx="24">
                    <c:v>2017</c:v>
                  </c:pt>
                  <c:pt idx="28">
                    <c:v>2018</c:v>
                  </c:pt>
                  <c:pt idx="32">
                    <c:v>2019</c:v>
                  </c:pt>
                  <c:pt idx="36">
                    <c:v>2020</c:v>
                  </c:pt>
                </c:lvl>
              </c:multiLvlStrCache>
            </c:multiLvlStrRef>
          </c:cat>
          <c:val>
            <c:numRef>
              <c:f>'výkonnost odvětví 3'!$X$15:$X$53</c:f>
              <c:numCache>
                <c:formatCode>0.0</c:formatCode>
                <c:ptCount val="39"/>
                <c:pt idx="0">
                  <c:v>5.449552626231366</c:v>
                </c:pt>
                <c:pt idx="1">
                  <c:v>-5.1742495430582807</c:v>
                </c:pt>
                <c:pt idx="2">
                  <c:v>-9.0574948964693647</c:v>
                </c:pt>
                <c:pt idx="3">
                  <c:v>-0.48980413887058205</c:v>
                </c:pt>
                <c:pt idx="4">
                  <c:v>-9.8142381556388472</c:v>
                </c:pt>
                <c:pt idx="5">
                  <c:v>-4.9279824117982827</c:v>
                </c:pt>
                <c:pt idx="6">
                  <c:v>-5.6445213670269254</c:v>
                </c:pt>
                <c:pt idx="7">
                  <c:v>-9.5084133075025932</c:v>
                </c:pt>
                <c:pt idx="8">
                  <c:v>-10.565899650388715</c:v>
                </c:pt>
                <c:pt idx="9">
                  <c:v>-11.626450345727534</c:v>
                </c:pt>
                <c:pt idx="10">
                  <c:v>-4.9557475457158091</c:v>
                </c:pt>
                <c:pt idx="11">
                  <c:v>-2.6129229379002652</c:v>
                </c:pt>
                <c:pt idx="12">
                  <c:v>13.065209405176972</c:v>
                </c:pt>
                <c:pt idx="13">
                  <c:v>5.5558831897877639</c:v>
                </c:pt>
                <c:pt idx="14">
                  <c:v>2.4409719869598234</c:v>
                </c:pt>
                <c:pt idx="15">
                  <c:v>1.1282392268827266</c:v>
                </c:pt>
                <c:pt idx="16">
                  <c:v>9.1934692334480417</c:v>
                </c:pt>
                <c:pt idx="17">
                  <c:v>11.978213260497213</c:v>
                </c:pt>
                <c:pt idx="18">
                  <c:v>7.8643449491626143</c:v>
                </c:pt>
                <c:pt idx="19">
                  <c:v>0.93025171200444845</c:v>
                </c:pt>
                <c:pt idx="20">
                  <c:v>-6.259378834780378</c:v>
                </c:pt>
                <c:pt idx="21">
                  <c:v>-10.250813266432374</c:v>
                </c:pt>
                <c:pt idx="22">
                  <c:v>-5.9054170412823055</c:v>
                </c:pt>
                <c:pt idx="23">
                  <c:v>-1.6501920995212487</c:v>
                </c:pt>
                <c:pt idx="24">
                  <c:v>-0.86803632191472957</c:v>
                </c:pt>
                <c:pt idx="25">
                  <c:v>9.0229519438482555</c:v>
                </c:pt>
                <c:pt idx="26">
                  <c:v>2.0635301151802281</c:v>
                </c:pt>
                <c:pt idx="27">
                  <c:v>2.9356341105847292</c:v>
                </c:pt>
                <c:pt idx="28">
                  <c:v>15.368475923945851</c:v>
                </c:pt>
                <c:pt idx="29">
                  <c:v>7.4934507683530569</c:v>
                </c:pt>
                <c:pt idx="30">
                  <c:v>12.408779797485622</c:v>
                </c:pt>
                <c:pt idx="31">
                  <c:v>4.2961492214048604</c:v>
                </c:pt>
                <c:pt idx="32">
                  <c:v>3.6370622013393756</c:v>
                </c:pt>
                <c:pt idx="33">
                  <c:v>4.3087555395366905</c:v>
                </c:pt>
                <c:pt idx="34">
                  <c:v>3.4829206961674686E-2</c:v>
                </c:pt>
                <c:pt idx="35">
                  <c:v>3.2825247381577611</c:v>
                </c:pt>
                <c:pt idx="36">
                  <c:v>2.0764541407305614</c:v>
                </c:pt>
                <c:pt idx="37">
                  <c:v>-8.7983437882331685</c:v>
                </c:pt>
              </c:numCache>
            </c:numRef>
          </c:val>
          <c:smooth val="0"/>
          <c:extLst>
            <c:ext xmlns:c16="http://schemas.microsoft.com/office/drawing/2014/chart" uri="{C3380CC4-5D6E-409C-BE32-E72D297353CC}">
              <c16:uniqueId val="{00000002-5290-4626-8753-2AAE92924284}"/>
            </c:ext>
          </c:extLst>
        </c:ser>
        <c:dLbls>
          <c:showLegendKey val="0"/>
          <c:showVal val="0"/>
          <c:showCatName val="0"/>
          <c:showSerName val="0"/>
          <c:showPercent val="0"/>
          <c:showBubbleSize val="0"/>
        </c:dLbls>
        <c:marker val="1"/>
        <c:smooth val="0"/>
        <c:axId val="147432960"/>
        <c:axId val="147434496"/>
      </c:lineChart>
      <c:lineChart>
        <c:grouping val="standard"/>
        <c:varyColors val="0"/>
        <c:ser>
          <c:idx val="3"/>
          <c:order val="3"/>
          <c:tx>
            <c:strRef>
              <c:f>'výkonnost odvětví 3'!$AA$10</c:f>
              <c:strCache>
                <c:ptCount val="1"/>
                <c:pt idx="0">
                  <c:v>New construction orders (right axis)</c:v>
                </c:pt>
              </c:strCache>
            </c:strRef>
          </c:tx>
          <c:spPr>
            <a:ln w="15875">
              <a:solidFill>
                <a:srgbClr val="984807"/>
              </a:solidFill>
              <a:prstDash val="solid"/>
            </a:ln>
          </c:spPr>
          <c:marker>
            <c:symbol val="none"/>
          </c:marker>
          <c:cat>
            <c:multiLvlStrRef>
              <c:f>'výkonnost odvětví 3'!$V$15:$W$53</c:f>
              <c:multiLvlStrCache>
                <c:ptCount val="39"/>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pt idx="38">
                    <c:v>3</c:v>
                  </c:pt>
                </c:lvl>
                <c:lvl>
                  <c:pt idx="0">
                    <c:v>2011</c:v>
                  </c:pt>
                  <c:pt idx="4">
                    <c:v>2012</c:v>
                  </c:pt>
                  <c:pt idx="8">
                    <c:v>2013</c:v>
                  </c:pt>
                  <c:pt idx="12">
                    <c:v>2014</c:v>
                  </c:pt>
                  <c:pt idx="16">
                    <c:v>2015</c:v>
                  </c:pt>
                  <c:pt idx="20">
                    <c:v>2016</c:v>
                  </c:pt>
                  <c:pt idx="24">
                    <c:v>2017</c:v>
                  </c:pt>
                  <c:pt idx="28">
                    <c:v>2018</c:v>
                  </c:pt>
                  <c:pt idx="32">
                    <c:v>2019</c:v>
                  </c:pt>
                  <c:pt idx="36">
                    <c:v>2020</c:v>
                  </c:pt>
                </c:lvl>
              </c:multiLvlStrCache>
            </c:multiLvlStrRef>
          </c:cat>
          <c:val>
            <c:numRef>
              <c:f>'výkonnost odvětví 3'!$AA$15:$AA$53</c:f>
              <c:numCache>
                <c:formatCode>0.0</c:formatCode>
                <c:ptCount val="39"/>
                <c:pt idx="0">
                  <c:v>37.795405718063137</c:v>
                </c:pt>
                <c:pt idx="1">
                  <c:v>-23.565672566981206</c:v>
                </c:pt>
                <c:pt idx="2">
                  <c:v>-23.360716461156017</c:v>
                </c:pt>
                <c:pt idx="3">
                  <c:v>-9.1653963414634205</c:v>
                </c:pt>
                <c:pt idx="4">
                  <c:v>-46.3220596465979</c:v>
                </c:pt>
                <c:pt idx="5">
                  <c:v>-13.7148006307727</c:v>
                </c:pt>
                <c:pt idx="6">
                  <c:v>-7.6729748888363787</c:v>
                </c:pt>
                <c:pt idx="7">
                  <c:v>7.5624082232011745</c:v>
                </c:pt>
                <c:pt idx="8">
                  <c:v>-17.695687793252404</c:v>
                </c:pt>
                <c:pt idx="9">
                  <c:v>-1.584773641063137</c:v>
                </c:pt>
                <c:pt idx="10">
                  <c:v>-1.3308205951467045</c:v>
                </c:pt>
                <c:pt idx="11">
                  <c:v>16.153096050706978</c:v>
                </c:pt>
                <c:pt idx="12">
                  <c:v>67.509727626459153</c:v>
                </c:pt>
                <c:pt idx="13">
                  <c:v>18.978644382544104</c:v>
                </c:pt>
                <c:pt idx="14">
                  <c:v>34.050931384107542</c:v>
                </c:pt>
                <c:pt idx="15">
                  <c:v>-1</c:v>
                </c:pt>
                <c:pt idx="16">
                  <c:v>-3.1547956675580053</c:v>
                </c:pt>
                <c:pt idx="17">
                  <c:v>9.7504961091663205</c:v>
                </c:pt>
                <c:pt idx="18">
                  <c:v>-1.097606022761255</c:v>
                </c:pt>
                <c:pt idx="19">
                  <c:v>-2.3987783410040464</c:v>
                </c:pt>
                <c:pt idx="20">
                  <c:v>-6.6406358945753823</c:v>
                </c:pt>
                <c:pt idx="21">
                  <c:v>-0.49977652269311079</c:v>
                </c:pt>
                <c:pt idx="22">
                  <c:v>-7.0322087253454839</c:v>
                </c:pt>
                <c:pt idx="23">
                  <c:v>10.122126124559955</c:v>
                </c:pt>
                <c:pt idx="24">
                  <c:v>16.177217458847437</c:v>
                </c:pt>
                <c:pt idx="25">
                  <c:v>9.5350878984013008</c:v>
                </c:pt>
                <c:pt idx="26">
                  <c:v>-1.2817324431350698</c:v>
                </c:pt>
                <c:pt idx="27">
                  <c:v>15.620806693503823</c:v>
                </c:pt>
                <c:pt idx="28">
                  <c:v>30.10697387368856</c:v>
                </c:pt>
                <c:pt idx="29">
                  <c:v>32.836878110611963</c:v>
                </c:pt>
                <c:pt idx="30">
                  <c:v>5.2768249907951201</c:v>
                </c:pt>
                <c:pt idx="31">
                  <c:v>1.8944565811032277</c:v>
                </c:pt>
                <c:pt idx="32">
                  <c:v>14.157245632065781</c:v>
                </c:pt>
                <c:pt idx="33">
                  <c:v>-9.3849543241233135</c:v>
                </c:pt>
                <c:pt idx="34">
                  <c:v>17.407871000993993</c:v>
                </c:pt>
                <c:pt idx="35">
                  <c:v>5.8323004254463768</c:v>
                </c:pt>
                <c:pt idx="36">
                  <c:v>-13.192451392856526</c:v>
                </c:pt>
                <c:pt idx="37">
                  <c:v>6.9046194347657632</c:v>
                </c:pt>
              </c:numCache>
            </c:numRef>
          </c:val>
          <c:smooth val="0"/>
          <c:extLst>
            <c:ext xmlns:c16="http://schemas.microsoft.com/office/drawing/2014/chart" uri="{C3380CC4-5D6E-409C-BE32-E72D297353CC}">
              <c16:uniqueId val="{00000003-5290-4626-8753-2AAE92924284}"/>
            </c:ext>
          </c:extLst>
        </c:ser>
        <c:ser>
          <c:idx val="4"/>
          <c:order val="4"/>
          <c:tx>
            <c:strRef>
              <c:f>'výkonnost odvětví 3'!$AB$10</c:f>
              <c:strCache>
                <c:ptCount val="1"/>
                <c:pt idx="0">
                  <c:v>Growth barrier: inadequate demand (right axis)</c:v>
                </c:pt>
              </c:strCache>
            </c:strRef>
          </c:tx>
          <c:spPr>
            <a:ln w="15875">
              <a:solidFill>
                <a:srgbClr val="00B050"/>
              </a:solidFill>
            </a:ln>
          </c:spPr>
          <c:marker>
            <c:symbol val="none"/>
          </c:marker>
          <c:cat>
            <c:multiLvlStrRef>
              <c:f>'výkonnost odvětví 3'!$V$15:$W$53</c:f>
              <c:multiLvlStrCache>
                <c:ptCount val="39"/>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pt idx="38">
                    <c:v>3</c:v>
                  </c:pt>
                </c:lvl>
                <c:lvl>
                  <c:pt idx="0">
                    <c:v>2011</c:v>
                  </c:pt>
                  <c:pt idx="4">
                    <c:v>2012</c:v>
                  </c:pt>
                  <c:pt idx="8">
                    <c:v>2013</c:v>
                  </c:pt>
                  <c:pt idx="12">
                    <c:v>2014</c:v>
                  </c:pt>
                  <c:pt idx="16">
                    <c:v>2015</c:v>
                  </c:pt>
                  <c:pt idx="20">
                    <c:v>2016</c:v>
                  </c:pt>
                  <c:pt idx="24">
                    <c:v>2017</c:v>
                  </c:pt>
                  <c:pt idx="28">
                    <c:v>2018</c:v>
                  </c:pt>
                  <c:pt idx="32">
                    <c:v>2019</c:v>
                  </c:pt>
                  <c:pt idx="36">
                    <c:v>2020</c:v>
                  </c:pt>
                </c:lvl>
              </c:multiLvlStrCache>
            </c:multiLvlStrRef>
          </c:cat>
          <c:val>
            <c:numRef>
              <c:f>'výkonnost odvětví 3'!$AB$15:$AB$53</c:f>
              <c:numCache>
                <c:formatCode>#\ ##0.0</c:formatCode>
                <c:ptCount val="39"/>
                <c:pt idx="0">
                  <c:v>54.2</c:v>
                </c:pt>
                <c:pt idx="1">
                  <c:v>60.6</c:v>
                </c:pt>
                <c:pt idx="2">
                  <c:v>67.7</c:v>
                </c:pt>
                <c:pt idx="3">
                  <c:v>69.400000000000006</c:v>
                </c:pt>
                <c:pt idx="4">
                  <c:v>70.400000000000006</c:v>
                </c:pt>
                <c:pt idx="5">
                  <c:v>63.6</c:v>
                </c:pt>
                <c:pt idx="6">
                  <c:v>69.099999999999994</c:v>
                </c:pt>
                <c:pt idx="7">
                  <c:v>71</c:v>
                </c:pt>
                <c:pt idx="8">
                  <c:v>79.400000000000006</c:v>
                </c:pt>
                <c:pt idx="9">
                  <c:v>71.7</c:v>
                </c:pt>
                <c:pt idx="10">
                  <c:v>72.599999999999994</c:v>
                </c:pt>
                <c:pt idx="11">
                  <c:v>78.5</c:v>
                </c:pt>
                <c:pt idx="12">
                  <c:v>80.099999999999994</c:v>
                </c:pt>
                <c:pt idx="13">
                  <c:v>82.1</c:v>
                </c:pt>
                <c:pt idx="14">
                  <c:v>76.099999999999994</c:v>
                </c:pt>
                <c:pt idx="15">
                  <c:v>68.2</c:v>
                </c:pt>
                <c:pt idx="16">
                  <c:v>66.8</c:v>
                </c:pt>
                <c:pt idx="17">
                  <c:v>65.099999999999994</c:v>
                </c:pt>
                <c:pt idx="18">
                  <c:v>59.3</c:v>
                </c:pt>
                <c:pt idx="19">
                  <c:v>56.2</c:v>
                </c:pt>
                <c:pt idx="20">
                  <c:v>53.4</c:v>
                </c:pt>
                <c:pt idx="21">
                  <c:v>60.8</c:v>
                </c:pt>
                <c:pt idx="22">
                  <c:v>59.6</c:v>
                </c:pt>
                <c:pt idx="23">
                  <c:v>60.5</c:v>
                </c:pt>
                <c:pt idx="24">
                  <c:v>53.7</c:v>
                </c:pt>
                <c:pt idx="25">
                  <c:v>55</c:v>
                </c:pt>
                <c:pt idx="26">
                  <c:v>52.7</c:v>
                </c:pt>
                <c:pt idx="27">
                  <c:v>51.3</c:v>
                </c:pt>
                <c:pt idx="28">
                  <c:v>48.4</c:v>
                </c:pt>
                <c:pt idx="29">
                  <c:v>38.5</c:v>
                </c:pt>
                <c:pt idx="30">
                  <c:v>35.200000000000003</c:v>
                </c:pt>
                <c:pt idx="31">
                  <c:v>24.5</c:v>
                </c:pt>
                <c:pt idx="32">
                  <c:v>23.1</c:v>
                </c:pt>
                <c:pt idx="33">
                  <c:v>24.5</c:v>
                </c:pt>
                <c:pt idx="34">
                  <c:v>17.100000000000001</c:v>
                </c:pt>
                <c:pt idx="35">
                  <c:v>22.8</c:v>
                </c:pt>
                <c:pt idx="36">
                  <c:v>28.9</c:v>
                </c:pt>
                <c:pt idx="37">
                  <c:v>27.4</c:v>
                </c:pt>
                <c:pt idx="38">
                  <c:v>29.7</c:v>
                </c:pt>
              </c:numCache>
            </c:numRef>
          </c:val>
          <c:smooth val="0"/>
          <c:extLst>
            <c:ext xmlns:c16="http://schemas.microsoft.com/office/drawing/2014/chart" uri="{C3380CC4-5D6E-409C-BE32-E72D297353CC}">
              <c16:uniqueId val="{00000004-5290-4626-8753-2AAE92924284}"/>
            </c:ext>
          </c:extLst>
        </c:ser>
        <c:ser>
          <c:idx val="5"/>
          <c:order val="5"/>
          <c:tx>
            <c:strRef>
              <c:f>'výkonnost odvětví 3'!$AC$10</c:f>
              <c:strCache>
                <c:ptCount val="1"/>
                <c:pt idx="0">
                  <c:v>Growth barrier: shortage of labour (right axis)</c:v>
                </c:pt>
              </c:strCache>
            </c:strRef>
          </c:tx>
          <c:spPr>
            <a:ln w="15875">
              <a:solidFill>
                <a:srgbClr val="00B050"/>
              </a:solidFill>
              <a:prstDash val="sysDash"/>
            </a:ln>
          </c:spPr>
          <c:marker>
            <c:symbol val="none"/>
          </c:marker>
          <c:cat>
            <c:multiLvlStrRef>
              <c:f>'výkonnost odvětví 3'!$V$15:$W$53</c:f>
              <c:multiLvlStrCache>
                <c:ptCount val="39"/>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pt idx="38">
                    <c:v>3</c:v>
                  </c:pt>
                </c:lvl>
                <c:lvl>
                  <c:pt idx="0">
                    <c:v>2011</c:v>
                  </c:pt>
                  <c:pt idx="4">
                    <c:v>2012</c:v>
                  </c:pt>
                  <c:pt idx="8">
                    <c:v>2013</c:v>
                  </c:pt>
                  <c:pt idx="12">
                    <c:v>2014</c:v>
                  </c:pt>
                  <c:pt idx="16">
                    <c:v>2015</c:v>
                  </c:pt>
                  <c:pt idx="20">
                    <c:v>2016</c:v>
                  </c:pt>
                  <c:pt idx="24">
                    <c:v>2017</c:v>
                  </c:pt>
                  <c:pt idx="28">
                    <c:v>2018</c:v>
                  </c:pt>
                  <c:pt idx="32">
                    <c:v>2019</c:v>
                  </c:pt>
                  <c:pt idx="36">
                    <c:v>2020</c:v>
                  </c:pt>
                </c:lvl>
              </c:multiLvlStrCache>
            </c:multiLvlStrRef>
          </c:cat>
          <c:val>
            <c:numRef>
              <c:f>'výkonnost odvětví 3'!$AC$15:$AC$53</c:f>
              <c:numCache>
                <c:formatCode>#\ ##0.0</c:formatCode>
                <c:ptCount val="39"/>
                <c:pt idx="0">
                  <c:v>1</c:v>
                </c:pt>
                <c:pt idx="1">
                  <c:v>0.8</c:v>
                </c:pt>
                <c:pt idx="2">
                  <c:v>1.3</c:v>
                </c:pt>
                <c:pt idx="3">
                  <c:v>1.3</c:v>
                </c:pt>
                <c:pt idx="4">
                  <c:v>1.6</c:v>
                </c:pt>
                <c:pt idx="5">
                  <c:v>2.1</c:v>
                </c:pt>
                <c:pt idx="6">
                  <c:v>1.5</c:v>
                </c:pt>
                <c:pt idx="7">
                  <c:v>1.1000000000000001</c:v>
                </c:pt>
                <c:pt idx="8">
                  <c:v>1.2</c:v>
                </c:pt>
                <c:pt idx="9">
                  <c:v>1</c:v>
                </c:pt>
                <c:pt idx="10">
                  <c:v>0.8</c:v>
                </c:pt>
                <c:pt idx="11">
                  <c:v>1.1000000000000001</c:v>
                </c:pt>
                <c:pt idx="12">
                  <c:v>1.3</c:v>
                </c:pt>
                <c:pt idx="13">
                  <c:v>2</c:v>
                </c:pt>
                <c:pt idx="14">
                  <c:v>2.2999999999999998</c:v>
                </c:pt>
                <c:pt idx="15">
                  <c:v>2.5</c:v>
                </c:pt>
                <c:pt idx="16">
                  <c:v>6.4</c:v>
                </c:pt>
                <c:pt idx="17">
                  <c:v>7.4</c:v>
                </c:pt>
                <c:pt idx="18">
                  <c:v>7</c:v>
                </c:pt>
                <c:pt idx="19">
                  <c:v>7.1</c:v>
                </c:pt>
                <c:pt idx="20">
                  <c:v>6.5</c:v>
                </c:pt>
                <c:pt idx="21">
                  <c:v>5.9</c:v>
                </c:pt>
                <c:pt idx="22">
                  <c:v>8.1</c:v>
                </c:pt>
                <c:pt idx="23">
                  <c:v>8.4</c:v>
                </c:pt>
                <c:pt idx="24">
                  <c:v>11.4</c:v>
                </c:pt>
                <c:pt idx="25">
                  <c:v>14.1</c:v>
                </c:pt>
                <c:pt idx="26">
                  <c:v>18.399999999999999</c:v>
                </c:pt>
                <c:pt idx="27">
                  <c:v>22.2</c:v>
                </c:pt>
                <c:pt idx="28">
                  <c:v>25.4</c:v>
                </c:pt>
                <c:pt idx="29">
                  <c:v>25.9</c:v>
                </c:pt>
                <c:pt idx="30">
                  <c:v>30.7</c:v>
                </c:pt>
                <c:pt idx="31">
                  <c:v>40.4</c:v>
                </c:pt>
                <c:pt idx="32">
                  <c:v>40.4</c:v>
                </c:pt>
                <c:pt idx="33">
                  <c:v>42</c:v>
                </c:pt>
                <c:pt idx="34">
                  <c:v>53.7</c:v>
                </c:pt>
                <c:pt idx="35">
                  <c:v>50.2</c:v>
                </c:pt>
                <c:pt idx="36">
                  <c:v>48.4</c:v>
                </c:pt>
                <c:pt idx="37">
                  <c:v>50.4</c:v>
                </c:pt>
                <c:pt idx="38">
                  <c:v>43.7</c:v>
                </c:pt>
              </c:numCache>
            </c:numRef>
          </c:val>
          <c:smooth val="0"/>
          <c:extLst>
            <c:ext xmlns:c16="http://schemas.microsoft.com/office/drawing/2014/chart" uri="{C3380CC4-5D6E-409C-BE32-E72D297353CC}">
              <c16:uniqueId val="{00000005-5290-4626-8753-2AAE92924284}"/>
            </c:ext>
          </c:extLst>
        </c:ser>
        <c:ser>
          <c:idx val="6"/>
          <c:order val="6"/>
          <c:tx>
            <c:strRef>
              <c:f>'výkonnost odvětví 3'!$AD$10</c:f>
              <c:strCache>
                <c:ptCount val="1"/>
                <c:pt idx="0">
                  <c:v>Balance of confidence indicator in construction (right axis)</c:v>
                </c:pt>
              </c:strCache>
            </c:strRef>
          </c:tx>
          <c:spPr>
            <a:ln w="6350">
              <a:solidFill>
                <a:schemeClr val="bg1">
                  <a:lumMod val="50000"/>
                </a:schemeClr>
              </a:solidFill>
              <a:prstDash val="sysDash"/>
            </a:ln>
          </c:spPr>
          <c:marker>
            <c:symbol val="diamond"/>
            <c:size val="5"/>
            <c:spPr>
              <a:solidFill>
                <a:srgbClr val="FFFF00"/>
              </a:solidFill>
              <a:ln>
                <a:solidFill>
                  <a:prstClr val="black">
                    <a:lumMod val="95000"/>
                    <a:lumOff val="5000"/>
                  </a:prstClr>
                </a:solidFill>
              </a:ln>
            </c:spPr>
          </c:marker>
          <c:cat>
            <c:multiLvlStrRef>
              <c:f>'výkonnost odvětví 3'!$V$15:$W$53</c:f>
              <c:multiLvlStrCache>
                <c:ptCount val="39"/>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pt idx="38">
                    <c:v>3</c:v>
                  </c:pt>
                </c:lvl>
                <c:lvl>
                  <c:pt idx="0">
                    <c:v>2011</c:v>
                  </c:pt>
                  <c:pt idx="4">
                    <c:v>2012</c:v>
                  </c:pt>
                  <c:pt idx="8">
                    <c:v>2013</c:v>
                  </c:pt>
                  <c:pt idx="12">
                    <c:v>2014</c:v>
                  </c:pt>
                  <c:pt idx="16">
                    <c:v>2015</c:v>
                  </c:pt>
                  <c:pt idx="20">
                    <c:v>2016</c:v>
                  </c:pt>
                  <c:pt idx="24">
                    <c:v>2017</c:v>
                  </c:pt>
                  <c:pt idx="28">
                    <c:v>2018</c:v>
                  </c:pt>
                  <c:pt idx="32">
                    <c:v>2019</c:v>
                  </c:pt>
                  <c:pt idx="36">
                    <c:v>2020</c:v>
                  </c:pt>
                </c:lvl>
              </c:multiLvlStrCache>
            </c:multiLvlStrRef>
          </c:cat>
          <c:val>
            <c:numRef>
              <c:f>'výkonnost odvětví 3'!$AD$15:$AD$53</c:f>
              <c:numCache>
                <c:formatCode>0.0</c:formatCode>
                <c:ptCount val="39"/>
                <c:pt idx="0">
                  <c:v>-38</c:v>
                </c:pt>
                <c:pt idx="1">
                  <c:v>-40</c:v>
                </c:pt>
                <c:pt idx="2">
                  <c:v>-40</c:v>
                </c:pt>
                <c:pt idx="3">
                  <c:v>-36.5</c:v>
                </c:pt>
                <c:pt idx="4">
                  <c:v>-46.5</c:v>
                </c:pt>
                <c:pt idx="5">
                  <c:v>-44</c:v>
                </c:pt>
                <c:pt idx="6">
                  <c:v>-43</c:v>
                </c:pt>
                <c:pt idx="7">
                  <c:v>-41</c:v>
                </c:pt>
                <c:pt idx="8">
                  <c:v>-45.5</c:v>
                </c:pt>
                <c:pt idx="9">
                  <c:v>-53.5</c:v>
                </c:pt>
                <c:pt idx="10">
                  <c:v>-48</c:v>
                </c:pt>
                <c:pt idx="11">
                  <c:v>-48</c:v>
                </c:pt>
                <c:pt idx="12">
                  <c:v>-48</c:v>
                </c:pt>
                <c:pt idx="13">
                  <c:v>-39</c:v>
                </c:pt>
                <c:pt idx="14">
                  <c:v>-36.5</c:v>
                </c:pt>
                <c:pt idx="15">
                  <c:v>-30</c:v>
                </c:pt>
                <c:pt idx="16">
                  <c:v>-20.5</c:v>
                </c:pt>
                <c:pt idx="17">
                  <c:v>-16</c:v>
                </c:pt>
                <c:pt idx="18">
                  <c:v>-20</c:v>
                </c:pt>
                <c:pt idx="19">
                  <c:v>-16</c:v>
                </c:pt>
                <c:pt idx="20">
                  <c:v>-14.5</c:v>
                </c:pt>
                <c:pt idx="21">
                  <c:v>-21.5</c:v>
                </c:pt>
                <c:pt idx="22">
                  <c:v>-26</c:v>
                </c:pt>
                <c:pt idx="23">
                  <c:v>-27.5</c:v>
                </c:pt>
                <c:pt idx="24">
                  <c:v>-27</c:v>
                </c:pt>
                <c:pt idx="25">
                  <c:v>-23</c:v>
                </c:pt>
                <c:pt idx="26">
                  <c:v>-24</c:v>
                </c:pt>
                <c:pt idx="27">
                  <c:v>-17.5</c:v>
                </c:pt>
                <c:pt idx="28">
                  <c:v>-14.5</c:v>
                </c:pt>
                <c:pt idx="29">
                  <c:v>-5.5</c:v>
                </c:pt>
                <c:pt idx="30">
                  <c:v>-5</c:v>
                </c:pt>
                <c:pt idx="31">
                  <c:v>-1.5</c:v>
                </c:pt>
                <c:pt idx="32">
                  <c:v>5.5</c:v>
                </c:pt>
                <c:pt idx="33">
                  <c:v>3</c:v>
                </c:pt>
                <c:pt idx="34">
                  <c:v>2</c:v>
                </c:pt>
                <c:pt idx="35">
                  <c:v>1.5</c:v>
                </c:pt>
                <c:pt idx="36">
                  <c:v>1</c:v>
                </c:pt>
                <c:pt idx="37">
                  <c:v>-12.5</c:v>
                </c:pt>
                <c:pt idx="38">
                  <c:v>-16</c:v>
                </c:pt>
              </c:numCache>
            </c:numRef>
          </c:val>
          <c:smooth val="0"/>
          <c:extLst>
            <c:ext xmlns:c16="http://schemas.microsoft.com/office/drawing/2014/chart" uri="{C3380CC4-5D6E-409C-BE32-E72D297353CC}">
              <c16:uniqueId val="{00000006-5290-4626-8753-2AAE92924284}"/>
            </c:ext>
          </c:extLst>
        </c:ser>
        <c:dLbls>
          <c:showLegendKey val="0"/>
          <c:showVal val="0"/>
          <c:showCatName val="0"/>
          <c:showSerName val="0"/>
          <c:showPercent val="0"/>
          <c:showBubbleSize val="0"/>
        </c:dLbls>
        <c:marker val="1"/>
        <c:smooth val="0"/>
        <c:axId val="147650816"/>
        <c:axId val="147649280"/>
      </c:lineChart>
      <c:catAx>
        <c:axId val="147432960"/>
        <c:scaling>
          <c:orientation val="minMax"/>
        </c:scaling>
        <c:delete val="0"/>
        <c:axPos val="b"/>
        <c:numFmt formatCode="General" sourceLinked="1"/>
        <c:majorTickMark val="out"/>
        <c:minorTickMark val="none"/>
        <c:tickLblPos val="low"/>
        <c:spPr>
          <a:ln w="9525">
            <a:solidFill>
              <a:schemeClr val="tx1"/>
            </a:solidFill>
            <a:prstDash val="solid"/>
          </a:ln>
        </c:spPr>
        <c:txPr>
          <a:bodyPr rot="0" vert="horz"/>
          <a:lstStyle/>
          <a:p>
            <a:pPr>
              <a:defRPr/>
            </a:pPr>
            <a:endParaRPr lang="cs-CZ"/>
          </a:p>
        </c:txPr>
        <c:crossAx val="147434496"/>
        <c:crossesAt val="0"/>
        <c:auto val="0"/>
        <c:lblAlgn val="ctr"/>
        <c:lblOffset val="0"/>
        <c:tickLblSkip val="1"/>
        <c:tickMarkSkip val="4"/>
        <c:noMultiLvlLbl val="0"/>
      </c:catAx>
      <c:valAx>
        <c:axId val="147434496"/>
        <c:scaling>
          <c:orientation val="minMax"/>
          <c:max val="30"/>
          <c:min val="-20"/>
        </c:scaling>
        <c:delete val="0"/>
        <c:axPos val="l"/>
        <c:majorGridlines>
          <c:spPr>
            <a:ln w="6350">
              <a:solidFill>
                <a:schemeClr val="bg1">
                  <a:lumMod val="75000"/>
                </a:schemeClr>
              </a:solidFill>
            </a:ln>
          </c:spPr>
        </c:majorGridlines>
        <c:title>
          <c:tx>
            <c:rich>
              <a:bodyPr/>
              <a:lstStyle/>
              <a:p>
                <a:pPr marL="0" marR="0" lvl="0" indent="0" algn="ctr" defTabSz="914400" rtl="0" eaLnBrk="1" fontAlgn="auto" latinLnBrk="0" hangingPunct="1">
                  <a:lnSpc>
                    <a:spcPct val="100000"/>
                  </a:lnSpc>
                  <a:spcBef>
                    <a:spcPts val="0"/>
                  </a:spcBef>
                  <a:spcAft>
                    <a:spcPts val="0"/>
                  </a:spcAft>
                  <a:buClrTx/>
                  <a:buSzTx/>
                  <a:buFontTx/>
                  <a:buNone/>
                  <a:tabLst/>
                  <a:defRPr sz="700" b="0" i="1" u="none" strike="noStrike" kern="1200" baseline="0">
                    <a:solidFill>
                      <a:srgbClr val="000000"/>
                    </a:solidFill>
                    <a:latin typeface="Arial CE"/>
                    <a:ea typeface="Arial CE"/>
                    <a:cs typeface="Arial CE"/>
                  </a:defRPr>
                </a:pPr>
                <a:r>
                  <a:rPr lang="en-GB" sz="700" i="1">
                    <a:effectLst/>
                  </a:rPr>
                  <a:t>Contribution to the change of construction output</a:t>
                </a:r>
                <a:endParaRPr lang="cs-CZ" sz="700">
                  <a:effectLst/>
                </a:endParaRPr>
              </a:p>
            </c:rich>
          </c:tx>
          <c:layout>
            <c:manualLayout>
              <c:xMode val="edge"/>
              <c:yMode val="edge"/>
              <c:x val="2.6741797680802462E-3"/>
              <c:y val="8.5153532098112758E-2"/>
            </c:manualLayout>
          </c:layout>
          <c:overlay val="0"/>
        </c:title>
        <c:numFmt formatCode="0" sourceLinked="0"/>
        <c:majorTickMark val="out"/>
        <c:minorTickMark val="none"/>
        <c:tickLblPos val="nextTo"/>
        <c:spPr>
          <a:ln w="9525">
            <a:solidFill>
              <a:schemeClr val="tx1"/>
            </a:solidFill>
            <a:prstDash val="solid"/>
          </a:ln>
        </c:spPr>
        <c:txPr>
          <a:bodyPr rot="0" vert="horz"/>
          <a:lstStyle/>
          <a:p>
            <a:pPr>
              <a:defRPr/>
            </a:pPr>
            <a:endParaRPr lang="cs-CZ"/>
          </a:p>
        </c:txPr>
        <c:crossAx val="147432960"/>
        <c:crosses val="autoZero"/>
        <c:crossBetween val="between"/>
        <c:majorUnit val="5"/>
      </c:valAx>
      <c:valAx>
        <c:axId val="147649280"/>
        <c:scaling>
          <c:orientation val="minMax"/>
          <c:max val="90"/>
          <c:min val="-60"/>
        </c:scaling>
        <c:delete val="0"/>
        <c:axPos val="r"/>
        <c:title>
          <c:tx>
            <c:rich>
              <a:bodyPr/>
              <a:lstStyle/>
              <a:p>
                <a:pPr marL="0" marR="0" lvl="0" indent="0" algn="ctr" defTabSz="914400" rtl="0" eaLnBrk="1" fontAlgn="auto" latinLnBrk="0" hangingPunct="1">
                  <a:lnSpc>
                    <a:spcPct val="100000"/>
                  </a:lnSpc>
                  <a:spcBef>
                    <a:spcPts val="0"/>
                  </a:spcBef>
                  <a:spcAft>
                    <a:spcPts val="0"/>
                  </a:spcAft>
                  <a:buClrTx/>
                  <a:buSzTx/>
                  <a:buFontTx/>
                  <a:buNone/>
                  <a:tabLst/>
                  <a:defRPr sz="700" b="0" i="1" u="none" strike="noStrike" kern="1200" baseline="0">
                    <a:solidFill>
                      <a:srgbClr val="000000"/>
                    </a:solidFill>
                    <a:latin typeface="Arial CE"/>
                    <a:ea typeface="Arial CE"/>
                    <a:cs typeface="Arial CE"/>
                  </a:defRPr>
                </a:pPr>
                <a:r>
                  <a:rPr lang="en-GB" sz="700" i="1">
                    <a:effectLst/>
                  </a:rPr>
                  <a:t>Orders, Balance of confidence indicator, Growth barriers</a:t>
                </a:r>
                <a:endParaRPr lang="cs-CZ" sz="700">
                  <a:effectLst/>
                </a:endParaRPr>
              </a:p>
            </c:rich>
          </c:tx>
          <c:overlay val="0"/>
        </c:title>
        <c:numFmt formatCode="0" sourceLinked="0"/>
        <c:majorTickMark val="out"/>
        <c:minorTickMark val="none"/>
        <c:tickLblPos val="nextTo"/>
        <c:crossAx val="147650816"/>
        <c:crosses val="max"/>
        <c:crossBetween val="between"/>
        <c:majorUnit val="15"/>
      </c:valAx>
      <c:catAx>
        <c:axId val="147650816"/>
        <c:scaling>
          <c:orientation val="minMax"/>
        </c:scaling>
        <c:delete val="1"/>
        <c:axPos val="b"/>
        <c:numFmt formatCode="General" sourceLinked="1"/>
        <c:majorTickMark val="out"/>
        <c:minorTickMark val="none"/>
        <c:tickLblPos val="none"/>
        <c:crossAx val="147649280"/>
        <c:crosses val="autoZero"/>
        <c:auto val="0"/>
        <c:lblAlgn val="ctr"/>
        <c:lblOffset val="100"/>
        <c:noMultiLvlLbl val="0"/>
      </c:catAx>
      <c:spPr>
        <a:solidFill>
          <a:srgbClr val="FFFFFF"/>
        </a:solidFill>
        <a:ln w="9525">
          <a:solidFill>
            <a:schemeClr val="tx1"/>
          </a:solidFill>
        </a:ln>
      </c:spPr>
    </c:plotArea>
    <c:legend>
      <c:legendPos val="b"/>
      <c:layout>
        <c:manualLayout>
          <c:xMode val="edge"/>
          <c:yMode val="edge"/>
          <c:x val="8.0289395857067181E-3"/>
          <c:y val="0.79093363620461055"/>
          <c:w val="0.98289481343746343"/>
          <c:h val="0.19956952391576055"/>
        </c:manualLayout>
      </c:layout>
      <c:overlay val="0"/>
      <c:spPr>
        <a:noFill/>
        <a:ln w="6350">
          <a:solidFill>
            <a:schemeClr val="tx1"/>
          </a:solidFill>
        </a:ln>
      </c:spPr>
    </c:legend>
    <c:plotVisOnly val="1"/>
    <c:dispBlanksAs val="gap"/>
    <c:showDLblsOverMax val="0"/>
  </c:chart>
  <c:spPr>
    <a:solidFill>
      <a:srgbClr val="FFFFFF"/>
    </a:solidFill>
    <a:ln w="3175">
      <a:noFill/>
      <a:prstDash val="solid"/>
    </a:ln>
  </c:spPr>
  <c:txPr>
    <a:bodyPr/>
    <a:lstStyle/>
    <a:p>
      <a:pPr>
        <a:defRPr sz="800" b="0" i="0" u="none" strike="noStrike" baseline="0">
          <a:solidFill>
            <a:srgbClr val="000000"/>
          </a:solidFill>
          <a:latin typeface="Arial CE"/>
          <a:ea typeface="Arial CE"/>
          <a:cs typeface="Arial CE"/>
        </a:defRPr>
      </a:pPr>
      <a:endParaRPr lang="cs-CZ"/>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5121841398004213E-2"/>
          <c:y val="1.5803328678987455E-2"/>
          <c:w val="0.86647319020345381"/>
          <c:h val="0.69973786924546955"/>
        </c:manualLayout>
      </c:layout>
      <c:barChart>
        <c:barDir val="col"/>
        <c:grouping val="stacked"/>
        <c:varyColors val="0"/>
        <c:ser>
          <c:idx val="0"/>
          <c:order val="1"/>
          <c:tx>
            <c:strRef>
              <c:f>'Služby-příspěvkyk růstu'!$D$25</c:f>
              <c:strCache>
                <c:ptCount val="1"/>
                <c:pt idx="0">
                  <c:v>Transporting and storage</c:v>
                </c:pt>
              </c:strCache>
            </c:strRef>
          </c:tx>
          <c:spPr>
            <a:ln>
              <a:noFill/>
            </a:ln>
          </c:spPr>
          <c:invertIfNegative val="0"/>
          <c:cat>
            <c:multiLvlStrRef>
              <c:f>'Služby-příspěvkyk růstu'!$A$26:$B$60</c:f>
              <c:multiLvlStrCache>
                <c:ptCount val="35"/>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lvl>
                <c:lvl>
                  <c:pt idx="0">
                    <c:v>2012</c:v>
                  </c:pt>
                  <c:pt idx="4">
                    <c:v>2013</c:v>
                  </c:pt>
                  <c:pt idx="8">
                    <c:v>2014</c:v>
                  </c:pt>
                  <c:pt idx="12">
                    <c:v>2015</c:v>
                  </c:pt>
                  <c:pt idx="16">
                    <c:v>2016</c:v>
                  </c:pt>
                  <c:pt idx="20">
                    <c:v>2017</c:v>
                  </c:pt>
                  <c:pt idx="24">
                    <c:v>2018</c:v>
                  </c:pt>
                  <c:pt idx="28">
                    <c:v>2019</c:v>
                  </c:pt>
                  <c:pt idx="32">
                    <c:v>2020</c:v>
                  </c:pt>
                </c:lvl>
              </c:multiLvlStrCache>
            </c:multiLvlStrRef>
          </c:cat>
          <c:val>
            <c:numRef>
              <c:f>'Služby-příspěvkyk růstu'!$D$26:$D$60</c:f>
              <c:numCache>
                <c:formatCode>0.0</c:formatCode>
                <c:ptCount val="35"/>
                <c:pt idx="0">
                  <c:v>0.43250355480835656</c:v>
                </c:pt>
                <c:pt idx="1">
                  <c:v>0.66710922477796986</c:v>
                </c:pt>
                <c:pt idx="2">
                  <c:v>1.2810740041826509</c:v>
                </c:pt>
                <c:pt idx="3">
                  <c:v>-0.53452520432314288</c:v>
                </c:pt>
                <c:pt idx="4">
                  <c:v>0.90431756716453426</c:v>
                </c:pt>
                <c:pt idx="5">
                  <c:v>0.8070031938602803</c:v>
                </c:pt>
                <c:pt idx="6">
                  <c:v>0.57330492199423877</c:v>
                </c:pt>
                <c:pt idx="7">
                  <c:v>2.8078133034979835</c:v>
                </c:pt>
                <c:pt idx="8">
                  <c:v>0.97825827078215699</c:v>
                </c:pt>
                <c:pt idx="9">
                  <c:v>0.72315708551034086</c:v>
                </c:pt>
                <c:pt idx="10">
                  <c:v>1.2171504933227022</c:v>
                </c:pt>
                <c:pt idx="11">
                  <c:v>-0.13022666291925639</c:v>
                </c:pt>
                <c:pt idx="12">
                  <c:v>0.17664665608652994</c:v>
                </c:pt>
                <c:pt idx="13">
                  <c:v>-4.1191806268856823E-2</c:v>
                </c:pt>
                <c:pt idx="14">
                  <c:v>0.20050592493597819</c:v>
                </c:pt>
                <c:pt idx="15">
                  <c:v>4.2621733225056455E-2</c:v>
                </c:pt>
                <c:pt idx="16">
                  <c:v>0.2847890086816679</c:v>
                </c:pt>
                <c:pt idx="17">
                  <c:v>0.2013437768354992</c:v>
                </c:pt>
                <c:pt idx="18">
                  <c:v>0.13973435240156135</c:v>
                </c:pt>
                <c:pt idx="19">
                  <c:v>0.86054675864751384</c:v>
                </c:pt>
                <c:pt idx="20">
                  <c:v>1.6292630224051583</c:v>
                </c:pt>
                <c:pt idx="21">
                  <c:v>1.0923510311792821</c:v>
                </c:pt>
                <c:pt idx="22">
                  <c:v>1.1372534149644835</c:v>
                </c:pt>
                <c:pt idx="23">
                  <c:v>0.60479588760532188</c:v>
                </c:pt>
                <c:pt idx="24">
                  <c:v>1.7511692205268421</c:v>
                </c:pt>
                <c:pt idx="25">
                  <c:v>1.919432195003689</c:v>
                </c:pt>
                <c:pt idx="26">
                  <c:v>1.468778873734859</c:v>
                </c:pt>
                <c:pt idx="27">
                  <c:v>0.4982794536687275</c:v>
                </c:pt>
                <c:pt idx="28">
                  <c:v>0.78783162617261848</c:v>
                </c:pt>
                <c:pt idx="29">
                  <c:v>-7.9684741233977965E-2</c:v>
                </c:pt>
                <c:pt idx="30">
                  <c:v>-0.67460760242187034</c:v>
                </c:pt>
                <c:pt idx="31">
                  <c:v>-0.53847934288416444</c:v>
                </c:pt>
                <c:pt idx="32">
                  <c:v>-1.8202064381633429</c:v>
                </c:pt>
                <c:pt idx="33">
                  <c:v>-6.9006102563318397</c:v>
                </c:pt>
              </c:numCache>
            </c:numRef>
          </c:val>
          <c:extLst>
            <c:ext xmlns:c16="http://schemas.microsoft.com/office/drawing/2014/chart" uri="{C3380CC4-5D6E-409C-BE32-E72D297353CC}">
              <c16:uniqueId val="{00000000-C085-4166-925C-9BFC07962CEF}"/>
            </c:ext>
          </c:extLst>
        </c:ser>
        <c:ser>
          <c:idx val="1"/>
          <c:order val="2"/>
          <c:tx>
            <c:strRef>
              <c:f>'Služby-příspěvkyk růstu'!$E$25</c:f>
              <c:strCache>
                <c:ptCount val="1"/>
                <c:pt idx="0">
                  <c:v>Accommodation, food service activities</c:v>
                </c:pt>
              </c:strCache>
            </c:strRef>
          </c:tx>
          <c:spPr>
            <a:solidFill>
              <a:srgbClr val="FF2525"/>
            </a:solidFill>
            <a:ln>
              <a:noFill/>
            </a:ln>
          </c:spPr>
          <c:invertIfNegative val="0"/>
          <c:cat>
            <c:multiLvlStrRef>
              <c:f>'Služby-příspěvkyk růstu'!$A$26:$B$60</c:f>
              <c:multiLvlStrCache>
                <c:ptCount val="35"/>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lvl>
                <c:lvl>
                  <c:pt idx="0">
                    <c:v>2012</c:v>
                  </c:pt>
                  <c:pt idx="4">
                    <c:v>2013</c:v>
                  </c:pt>
                  <c:pt idx="8">
                    <c:v>2014</c:v>
                  </c:pt>
                  <c:pt idx="12">
                    <c:v>2015</c:v>
                  </c:pt>
                  <c:pt idx="16">
                    <c:v>2016</c:v>
                  </c:pt>
                  <c:pt idx="20">
                    <c:v>2017</c:v>
                  </c:pt>
                  <c:pt idx="24">
                    <c:v>2018</c:v>
                  </c:pt>
                  <c:pt idx="28">
                    <c:v>2019</c:v>
                  </c:pt>
                  <c:pt idx="32">
                    <c:v>2020</c:v>
                  </c:pt>
                </c:lvl>
              </c:multiLvlStrCache>
            </c:multiLvlStrRef>
          </c:cat>
          <c:val>
            <c:numRef>
              <c:f>'Služby-příspěvkyk růstu'!$E$26:$E$60</c:f>
              <c:numCache>
                <c:formatCode>0.0</c:formatCode>
                <c:ptCount val="35"/>
                <c:pt idx="0">
                  <c:v>-0.18595640865133076</c:v>
                </c:pt>
                <c:pt idx="1">
                  <c:v>-0.23369100363405482</c:v>
                </c:pt>
                <c:pt idx="2">
                  <c:v>-0.16641354323754717</c:v>
                </c:pt>
                <c:pt idx="3">
                  <c:v>-0.30755374216978426</c:v>
                </c:pt>
                <c:pt idx="4">
                  <c:v>4.282103578544303E-2</c:v>
                </c:pt>
                <c:pt idx="5">
                  <c:v>3.8782132313988714E-2</c:v>
                </c:pt>
                <c:pt idx="6">
                  <c:v>0.1379529668215739</c:v>
                </c:pt>
                <c:pt idx="7">
                  <c:v>5.4285433713091295E-2</c:v>
                </c:pt>
                <c:pt idx="8">
                  <c:v>-8.1292792613758116E-2</c:v>
                </c:pt>
                <c:pt idx="9">
                  <c:v>-5.1930094471250646E-2</c:v>
                </c:pt>
                <c:pt idx="10">
                  <c:v>-7.8120503560380292E-2</c:v>
                </c:pt>
                <c:pt idx="11">
                  <c:v>0.62816109127223863</c:v>
                </c:pt>
                <c:pt idx="12">
                  <c:v>0.23129656285271435</c:v>
                </c:pt>
                <c:pt idx="13">
                  <c:v>0.65512527744013138</c:v>
                </c:pt>
                <c:pt idx="14">
                  <c:v>0.65435384244755412</c:v>
                </c:pt>
                <c:pt idx="15">
                  <c:v>0.4022878434054255</c:v>
                </c:pt>
                <c:pt idx="16">
                  <c:v>0.42778529924397274</c:v>
                </c:pt>
                <c:pt idx="17">
                  <c:v>0.19282991881639683</c:v>
                </c:pt>
                <c:pt idx="18">
                  <c:v>0.56722386353934195</c:v>
                </c:pt>
                <c:pt idx="19">
                  <c:v>0.59850713498642405</c:v>
                </c:pt>
                <c:pt idx="20">
                  <c:v>0.95344619394002372</c:v>
                </c:pt>
                <c:pt idx="21">
                  <c:v>1.2083424521444015</c:v>
                </c:pt>
                <c:pt idx="22">
                  <c:v>0.55138916431274998</c:v>
                </c:pt>
                <c:pt idx="23">
                  <c:v>0.45464922880720454</c:v>
                </c:pt>
                <c:pt idx="24">
                  <c:v>0.18144865877241922</c:v>
                </c:pt>
                <c:pt idx="25">
                  <c:v>6.8047966010392827E-2</c:v>
                </c:pt>
                <c:pt idx="26">
                  <c:v>5.8849522681225439E-2</c:v>
                </c:pt>
                <c:pt idx="27">
                  <c:v>-3.63484737997853E-2</c:v>
                </c:pt>
                <c:pt idx="28">
                  <c:v>0.21874428606442176</c:v>
                </c:pt>
                <c:pt idx="29">
                  <c:v>0.16786751321595339</c:v>
                </c:pt>
                <c:pt idx="30">
                  <c:v>-1.62262007320669E-2</c:v>
                </c:pt>
                <c:pt idx="31">
                  <c:v>-1.9909725695237513E-2</c:v>
                </c:pt>
                <c:pt idx="32">
                  <c:v>-1.0877903639291033</c:v>
                </c:pt>
                <c:pt idx="33">
                  <c:v>-4.953438114611</c:v>
                </c:pt>
              </c:numCache>
            </c:numRef>
          </c:val>
          <c:extLst>
            <c:ext xmlns:c16="http://schemas.microsoft.com/office/drawing/2014/chart" uri="{C3380CC4-5D6E-409C-BE32-E72D297353CC}">
              <c16:uniqueId val="{00000001-C085-4166-925C-9BFC07962CEF}"/>
            </c:ext>
          </c:extLst>
        </c:ser>
        <c:ser>
          <c:idx val="2"/>
          <c:order val="3"/>
          <c:tx>
            <c:strRef>
              <c:f>'Služby-příspěvkyk růstu'!$F$25</c:f>
              <c:strCache>
                <c:ptCount val="1"/>
                <c:pt idx="0">
                  <c:v>Information and communication</c:v>
                </c:pt>
              </c:strCache>
            </c:strRef>
          </c:tx>
          <c:spPr>
            <a:solidFill>
              <a:srgbClr val="92D050"/>
            </a:solidFill>
            <a:ln>
              <a:noFill/>
            </a:ln>
          </c:spPr>
          <c:invertIfNegative val="0"/>
          <c:cat>
            <c:multiLvlStrRef>
              <c:f>'Služby-příspěvkyk růstu'!$A$26:$B$60</c:f>
              <c:multiLvlStrCache>
                <c:ptCount val="35"/>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lvl>
                <c:lvl>
                  <c:pt idx="0">
                    <c:v>2012</c:v>
                  </c:pt>
                  <c:pt idx="4">
                    <c:v>2013</c:v>
                  </c:pt>
                  <c:pt idx="8">
                    <c:v>2014</c:v>
                  </c:pt>
                  <c:pt idx="12">
                    <c:v>2015</c:v>
                  </c:pt>
                  <c:pt idx="16">
                    <c:v>2016</c:v>
                  </c:pt>
                  <c:pt idx="20">
                    <c:v>2017</c:v>
                  </c:pt>
                  <c:pt idx="24">
                    <c:v>2018</c:v>
                  </c:pt>
                  <c:pt idx="28">
                    <c:v>2019</c:v>
                  </c:pt>
                  <c:pt idx="32">
                    <c:v>2020</c:v>
                  </c:pt>
                </c:lvl>
              </c:multiLvlStrCache>
            </c:multiLvlStrRef>
          </c:cat>
          <c:val>
            <c:numRef>
              <c:f>'Služby-příspěvkyk růstu'!$F$26:$F$60</c:f>
              <c:numCache>
                <c:formatCode>0.0</c:formatCode>
                <c:ptCount val="35"/>
                <c:pt idx="0">
                  <c:v>0.14688752851300535</c:v>
                </c:pt>
                <c:pt idx="1">
                  <c:v>-1.2165780077942969E-2</c:v>
                </c:pt>
                <c:pt idx="2">
                  <c:v>0.26678466181917887</c:v>
                </c:pt>
                <c:pt idx="3">
                  <c:v>-6.6241709196293921E-2</c:v>
                </c:pt>
                <c:pt idx="4">
                  <c:v>-0.355941591832305</c:v>
                </c:pt>
                <c:pt idx="5">
                  <c:v>5.0506014828826556E-4</c:v>
                </c:pt>
                <c:pt idx="6">
                  <c:v>-0.43952535721592695</c:v>
                </c:pt>
                <c:pt idx="7">
                  <c:v>6.4906590241254072E-2</c:v>
                </c:pt>
                <c:pt idx="8">
                  <c:v>5.5030325289738329E-2</c:v>
                </c:pt>
                <c:pt idx="9">
                  <c:v>0.20771805886687944</c:v>
                </c:pt>
                <c:pt idx="10">
                  <c:v>0.5544641813467347</c:v>
                </c:pt>
                <c:pt idx="11">
                  <c:v>0.39028735795878133</c:v>
                </c:pt>
                <c:pt idx="12">
                  <c:v>1.406135426754914</c:v>
                </c:pt>
                <c:pt idx="13">
                  <c:v>0.82436921704224986</c:v>
                </c:pt>
                <c:pt idx="14">
                  <c:v>0.81882390944147387</c:v>
                </c:pt>
                <c:pt idx="15">
                  <c:v>1.3066587801814382</c:v>
                </c:pt>
                <c:pt idx="16">
                  <c:v>0.37006165311793565</c:v>
                </c:pt>
                <c:pt idx="17">
                  <c:v>0.13188818524752718</c:v>
                </c:pt>
                <c:pt idx="18">
                  <c:v>0.33340534388535614</c:v>
                </c:pt>
                <c:pt idx="19">
                  <c:v>0.17729116925865968</c:v>
                </c:pt>
                <c:pt idx="20">
                  <c:v>0.73514247229341834</c:v>
                </c:pt>
                <c:pt idx="21">
                  <c:v>1.0091673493229187</c:v>
                </c:pt>
                <c:pt idx="22">
                  <c:v>0.7782751393660321</c:v>
                </c:pt>
                <c:pt idx="23">
                  <c:v>0.59050679451815402</c:v>
                </c:pt>
                <c:pt idx="24">
                  <c:v>1.4571786542074963</c:v>
                </c:pt>
                <c:pt idx="25">
                  <c:v>0.76023226586947656</c:v>
                </c:pt>
                <c:pt idx="26">
                  <c:v>1.4180945031018091</c:v>
                </c:pt>
                <c:pt idx="27">
                  <c:v>0.98127037080708135</c:v>
                </c:pt>
                <c:pt idx="28">
                  <c:v>1.2376549564823249</c:v>
                </c:pt>
                <c:pt idx="29">
                  <c:v>1.1682128839304382</c:v>
                </c:pt>
                <c:pt idx="30">
                  <c:v>0.89301215449621985</c:v>
                </c:pt>
                <c:pt idx="31">
                  <c:v>1.1680607244795</c:v>
                </c:pt>
                <c:pt idx="32">
                  <c:v>0.70143991010007567</c:v>
                </c:pt>
                <c:pt idx="33">
                  <c:v>-1.2424728309274571E-2</c:v>
                </c:pt>
              </c:numCache>
            </c:numRef>
          </c:val>
          <c:extLst>
            <c:ext xmlns:c16="http://schemas.microsoft.com/office/drawing/2014/chart" uri="{C3380CC4-5D6E-409C-BE32-E72D297353CC}">
              <c16:uniqueId val="{00000002-C085-4166-925C-9BFC07962CEF}"/>
            </c:ext>
          </c:extLst>
        </c:ser>
        <c:ser>
          <c:idx val="4"/>
          <c:order val="4"/>
          <c:tx>
            <c:strRef>
              <c:f>'Služby-příspěvkyk růstu'!$G$25</c:f>
              <c:strCache>
                <c:ptCount val="1"/>
                <c:pt idx="0">
                  <c:v>Real estate activities</c:v>
                </c:pt>
              </c:strCache>
            </c:strRef>
          </c:tx>
          <c:spPr>
            <a:solidFill>
              <a:srgbClr val="7030A0"/>
            </a:solidFill>
            <a:ln>
              <a:noFill/>
              <a:prstDash val="sysDash"/>
            </a:ln>
          </c:spPr>
          <c:invertIfNegative val="0"/>
          <c:cat>
            <c:multiLvlStrRef>
              <c:f>'Služby-příspěvkyk růstu'!$A$26:$B$60</c:f>
              <c:multiLvlStrCache>
                <c:ptCount val="35"/>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lvl>
                <c:lvl>
                  <c:pt idx="0">
                    <c:v>2012</c:v>
                  </c:pt>
                  <c:pt idx="4">
                    <c:v>2013</c:v>
                  </c:pt>
                  <c:pt idx="8">
                    <c:v>2014</c:v>
                  </c:pt>
                  <c:pt idx="12">
                    <c:v>2015</c:v>
                  </c:pt>
                  <c:pt idx="16">
                    <c:v>2016</c:v>
                  </c:pt>
                  <c:pt idx="20">
                    <c:v>2017</c:v>
                  </c:pt>
                  <c:pt idx="24">
                    <c:v>2018</c:v>
                  </c:pt>
                  <c:pt idx="28">
                    <c:v>2019</c:v>
                  </c:pt>
                  <c:pt idx="32">
                    <c:v>2020</c:v>
                  </c:pt>
                </c:lvl>
              </c:multiLvlStrCache>
            </c:multiLvlStrRef>
          </c:cat>
          <c:val>
            <c:numRef>
              <c:f>'Služby-příspěvkyk růstu'!$G$26:$G$60</c:f>
              <c:numCache>
                <c:formatCode>0.0</c:formatCode>
                <c:ptCount val="35"/>
                <c:pt idx="0">
                  <c:v>-0.34137236158909179</c:v>
                </c:pt>
                <c:pt idx="1">
                  <c:v>-0.32388973194562126</c:v>
                </c:pt>
                <c:pt idx="2">
                  <c:v>-0.37058828980655789</c:v>
                </c:pt>
                <c:pt idx="3">
                  <c:v>-0.30099897115709839</c:v>
                </c:pt>
                <c:pt idx="4">
                  <c:v>-0.12420970825265641</c:v>
                </c:pt>
                <c:pt idx="5">
                  <c:v>-0.28603737777812438</c:v>
                </c:pt>
                <c:pt idx="6">
                  <c:v>0.14203788124466329</c:v>
                </c:pt>
                <c:pt idx="7">
                  <c:v>-0.4964721024754466</c:v>
                </c:pt>
                <c:pt idx="8">
                  <c:v>-0.27243920620683193</c:v>
                </c:pt>
                <c:pt idx="9">
                  <c:v>0.13121599842368425</c:v>
                </c:pt>
                <c:pt idx="10">
                  <c:v>-2.3565265518776128E-2</c:v>
                </c:pt>
                <c:pt idx="11">
                  <c:v>-0.14403624877141019</c:v>
                </c:pt>
                <c:pt idx="12">
                  <c:v>4.5114687229023245E-2</c:v>
                </c:pt>
                <c:pt idx="13">
                  <c:v>-4.6332032044239775E-3</c:v>
                </c:pt>
                <c:pt idx="14">
                  <c:v>8.501573906631088E-2</c:v>
                </c:pt>
                <c:pt idx="15">
                  <c:v>4.2208307670905748E-2</c:v>
                </c:pt>
                <c:pt idx="16">
                  <c:v>0.22367935728325808</c:v>
                </c:pt>
                <c:pt idx="17">
                  <c:v>6.8179121728202077E-2</c:v>
                </c:pt>
                <c:pt idx="18">
                  <c:v>0.11569139996329859</c:v>
                </c:pt>
                <c:pt idx="19">
                  <c:v>-7.0466111464403208E-2</c:v>
                </c:pt>
                <c:pt idx="20">
                  <c:v>0.28170347429286569</c:v>
                </c:pt>
                <c:pt idx="21">
                  <c:v>0.36183937476132333</c:v>
                </c:pt>
                <c:pt idx="22">
                  <c:v>-3.8722622297636566E-2</c:v>
                </c:pt>
                <c:pt idx="23">
                  <c:v>0.13751786345915923</c:v>
                </c:pt>
                <c:pt idx="24">
                  <c:v>-1.6524920273683675E-2</c:v>
                </c:pt>
                <c:pt idx="25">
                  <c:v>-0.22648211104296087</c:v>
                </c:pt>
                <c:pt idx="26">
                  <c:v>-0.12424593628184907</c:v>
                </c:pt>
                <c:pt idx="27">
                  <c:v>-0.20693626254554429</c:v>
                </c:pt>
                <c:pt idx="28">
                  <c:v>0.14696794950550035</c:v>
                </c:pt>
                <c:pt idx="29">
                  <c:v>-2.7570979798889395E-2</c:v>
                </c:pt>
                <c:pt idx="30">
                  <c:v>-0.16565733749784456</c:v>
                </c:pt>
                <c:pt idx="31">
                  <c:v>-0.11837811878645006</c:v>
                </c:pt>
                <c:pt idx="32">
                  <c:v>0.19249038617600897</c:v>
                </c:pt>
                <c:pt idx="33">
                  <c:v>-0.41025731878421701</c:v>
                </c:pt>
              </c:numCache>
            </c:numRef>
          </c:val>
          <c:extLst>
            <c:ext xmlns:c16="http://schemas.microsoft.com/office/drawing/2014/chart" uri="{C3380CC4-5D6E-409C-BE32-E72D297353CC}">
              <c16:uniqueId val="{00000003-C085-4166-925C-9BFC07962CEF}"/>
            </c:ext>
          </c:extLst>
        </c:ser>
        <c:ser>
          <c:idx val="5"/>
          <c:order val="5"/>
          <c:tx>
            <c:strRef>
              <c:f>'Služby-příspěvkyk růstu'!$H$25</c:f>
              <c:strCache>
                <c:ptCount val="1"/>
                <c:pt idx="0">
                  <c:v>Professional, scientific and technic. act.</c:v>
                </c:pt>
              </c:strCache>
            </c:strRef>
          </c:tx>
          <c:spPr>
            <a:ln>
              <a:noFill/>
            </a:ln>
          </c:spPr>
          <c:invertIfNegative val="0"/>
          <c:cat>
            <c:multiLvlStrRef>
              <c:f>'Služby-příspěvkyk růstu'!$A$26:$B$60</c:f>
              <c:multiLvlStrCache>
                <c:ptCount val="35"/>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lvl>
                <c:lvl>
                  <c:pt idx="0">
                    <c:v>2012</c:v>
                  </c:pt>
                  <c:pt idx="4">
                    <c:v>2013</c:v>
                  </c:pt>
                  <c:pt idx="8">
                    <c:v>2014</c:v>
                  </c:pt>
                  <c:pt idx="12">
                    <c:v>2015</c:v>
                  </c:pt>
                  <c:pt idx="16">
                    <c:v>2016</c:v>
                  </c:pt>
                  <c:pt idx="20">
                    <c:v>2017</c:v>
                  </c:pt>
                  <c:pt idx="24">
                    <c:v>2018</c:v>
                  </c:pt>
                  <c:pt idx="28">
                    <c:v>2019</c:v>
                  </c:pt>
                  <c:pt idx="32">
                    <c:v>2020</c:v>
                  </c:pt>
                </c:lvl>
              </c:multiLvlStrCache>
            </c:multiLvlStrRef>
          </c:cat>
          <c:val>
            <c:numRef>
              <c:f>'Služby-příspěvkyk růstu'!$H$26:$H$60</c:f>
              <c:numCache>
                <c:formatCode>0.0</c:formatCode>
                <c:ptCount val="35"/>
                <c:pt idx="0">
                  <c:v>0.26095144122624392</c:v>
                </c:pt>
                <c:pt idx="1">
                  <c:v>-1.2761261764398377</c:v>
                </c:pt>
                <c:pt idx="2">
                  <c:v>-0.34687216013581235</c:v>
                </c:pt>
                <c:pt idx="3">
                  <c:v>5.1433001103990822E-3</c:v>
                </c:pt>
                <c:pt idx="4">
                  <c:v>-1.0934860836771783</c:v>
                </c:pt>
                <c:pt idx="5">
                  <c:v>-1.5487628894732857</c:v>
                </c:pt>
                <c:pt idx="6">
                  <c:v>-1.8262585690782731</c:v>
                </c:pt>
                <c:pt idx="7">
                  <c:v>-1.3231901294817801</c:v>
                </c:pt>
                <c:pt idx="8">
                  <c:v>-1.4955642892436161</c:v>
                </c:pt>
                <c:pt idx="9">
                  <c:v>0.15973936238801459</c:v>
                </c:pt>
                <c:pt idx="10">
                  <c:v>0.74595859727617964</c:v>
                </c:pt>
                <c:pt idx="11">
                  <c:v>-0.99979833905942905</c:v>
                </c:pt>
                <c:pt idx="12">
                  <c:v>1.0479591562413866</c:v>
                </c:pt>
                <c:pt idx="13">
                  <c:v>0.71969962293987355</c:v>
                </c:pt>
                <c:pt idx="14">
                  <c:v>1.1295672614701802</c:v>
                </c:pt>
                <c:pt idx="15">
                  <c:v>-6.0066108957639967E-2</c:v>
                </c:pt>
                <c:pt idx="16">
                  <c:v>-0.35082040507946849</c:v>
                </c:pt>
                <c:pt idx="17">
                  <c:v>-1.3959582370116637</c:v>
                </c:pt>
                <c:pt idx="18">
                  <c:v>2.5986068888917958E-2</c:v>
                </c:pt>
                <c:pt idx="19">
                  <c:v>-0.33300568911978784</c:v>
                </c:pt>
                <c:pt idx="20">
                  <c:v>0.85547754285117605</c:v>
                </c:pt>
                <c:pt idx="21">
                  <c:v>0.67059702934732313</c:v>
                </c:pt>
                <c:pt idx="22">
                  <c:v>0.30942289865299605</c:v>
                </c:pt>
                <c:pt idx="23">
                  <c:v>0.4286605627369825</c:v>
                </c:pt>
                <c:pt idx="24">
                  <c:v>1.1045103780905805</c:v>
                </c:pt>
                <c:pt idx="25">
                  <c:v>0.53164385977728257</c:v>
                </c:pt>
                <c:pt idx="26">
                  <c:v>0.35977038412315243</c:v>
                </c:pt>
                <c:pt idx="27">
                  <c:v>-0.26571599613923336</c:v>
                </c:pt>
                <c:pt idx="28">
                  <c:v>0.75328605452031216</c:v>
                </c:pt>
                <c:pt idx="29">
                  <c:v>0.6104400615647213</c:v>
                </c:pt>
                <c:pt idx="30">
                  <c:v>-0.82295233758345143</c:v>
                </c:pt>
                <c:pt idx="31">
                  <c:v>-0.54798296545929903</c:v>
                </c:pt>
                <c:pt idx="32">
                  <c:v>-0.34767767576626724</c:v>
                </c:pt>
                <c:pt idx="33">
                  <c:v>-3.2743486437706193</c:v>
                </c:pt>
              </c:numCache>
            </c:numRef>
          </c:val>
          <c:extLst>
            <c:ext xmlns:c16="http://schemas.microsoft.com/office/drawing/2014/chart" uri="{C3380CC4-5D6E-409C-BE32-E72D297353CC}">
              <c16:uniqueId val="{00000004-C085-4166-925C-9BFC07962CEF}"/>
            </c:ext>
          </c:extLst>
        </c:ser>
        <c:ser>
          <c:idx val="6"/>
          <c:order val="6"/>
          <c:tx>
            <c:strRef>
              <c:f>'Služby-příspěvkyk růstu'!$I$25</c:f>
              <c:strCache>
                <c:ptCount val="1"/>
                <c:pt idx="0">
                  <c:v>Administrative and support service act.</c:v>
                </c:pt>
              </c:strCache>
            </c:strRef>
          </c:tx>
          <c:spPr>
            <a:solidFill>
              <a:srgbClr val="A8B9D8"/>
            </a:solidFill>
            <a:ln>
              <a:noFill/>
            </a:ln>
          </c:spPr>
          <c:invertIfNegative val="0"/>
          <c:cat>
            <c:multiLvlStrRef>
              <c:f>'Služby-příspěvkyk růstu'!$A$26:$B$60</c:f>
              <c:multiLvlStrCache>
                <c:ptCount val="35"/>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lvl>
                <c:lvl>
                  <c:pt idx="0">
                    <c:v>2012</c:v>
                  </c:pt>
                  <c:pt idx="4">
                    <c:v>2013</c:v>
                  </c:pt>
                  <c:pt idx="8">
                    <c:v>2014</c:v>
                  </c:pt>
                  <c:pt idx="12">
                    <c:v>2015</c:v>
                  </c:pt>
                  <c:pt idx="16">
                    <c:v>2016</c:v>
                  </c:pt>
                  <c:pt idx="20">
                    <c:v>2017</c:v>
                  </c:pt>
                  <c:pt idx="24">
                    <c:v>2018</c:v>
                  </c:pt>
                  <c:pt idx="28">
                    <c:v>2019</c:v>
                  </c:pt>
                  <c:pt idx="32">
                    <c:v>2020</c:v>
                  </c:pt>
                </c:lvl>
              </c:multiLvlStrCache>
            </c:multiLvlStrRef>
          </c:cat>
          <c:val>
            <c:numRef>
              <c:f>'Služby-příspěvkyk růstu'!$I$26:$I$60</c:f>
              <c:numCache>
                <c:formatCode>0.0</c:formatCode>
                <c:ptCount val="35"/>
                <c:pt idx="0">
                  <c:v>0.5093792525943468</c:v>
                </c:pt>
                <c:pt idx="1">
                  <c:v>0.24610790591298709</c:v>
                </c:pt>
                <c:pt idx="2">
                  <c:v>0.43289250594228512</c:v>
                </c:pt>
                <c:pt idx="3">
                  <c:v>-0.19574201571646982</c:v>
                </c:pt>
                <c:pt idx="4">
                  <c:v>-4.5930733129257675E-2</c:v>
                </c:pt>
                <c:pt idx="5">
                  <c:v>0.11161152934719085</c:v>
                </c:pt>
                <c:pt idx="6">
                  <c:v>9.4969838881061877E-2</c:v>
                </c:pt>
                <c:pt idx="7">
                  <c:v>0.39285183218946634</c:v>
                </c:pt>
                <c:pt idx="8">
                  <c:v>-0.17140946223459813</c:v>
                </c:pt>
                <c:pt idx="9">
                  <c:v>0.54518014457247954</c:v>
                </c:pt>
                <c:pt idx="10">
                  <c:v>0.386531836524309</c:v>
                </c:pt>
                <c:pt idx="11">
                  <c:v>0.5290022333733051</c:v>
                </c:pt>
                <c:pt idx="12">
                  <c:v>0.51440215318243465</c:v>
                </c:pt>
                <c:pt idx="13">
                  <c:v>0.62115960470863207</c:v>
                </c:pt>
                <c:pt idx="14">
                  <c:v>0.43401453891286046</c:v>
                </c:pt>
                <c:pt idx="15">
                  <c:v>0.50281220016564265</c:v>
                </c:pt>
                <c:pt idx="16">
                  <c:v>0.52419839920051392</c:v>
                </c:pt>
                <c:pt idx="17">
                  <c:v>0.16599789347818159</c:v>
                </c:pt>
                <c:pt idx="18">
                  <c:v>0.26955520094101676</c:v>
                </c:pt>
                <c:pt idx="19">
                  <c:v>0.51433346571065852</c:v>
                </c:pt>
                <c:pt idx="20">
                  <c:v>1.2357717194790949</c:v>
                </c:pt>
                <c:pt idx="21">
                  <c:v>1.0863857236804175</c:v>
                </c:pt>
                <c:pt idx="22">
                  <c:v>0.64106908989186184</c:v>
                </c:pt>
                <c:pt idx="23">
                  <c:v>0.30440747123981599</c:v>
                </c:pt>
                <c:pt idx="24">
                  <c:v>0.53272062163062639</c:v>
                </c:pt>
                <c:pt idx="25">
                  <c:v>0.37833296302356378</c:v>
                </c:pt>
                <c:pt idx="26">
                  <c:v>0.43545533031232775</c:v>
                </c:pt>
                <c:pt idx="27">
                  <c:v>-1.2584742734802987E-2</c:v>
                </c:pt>
                <c:pt idx="28">
                  <c:v>0.48672782972125456</c:v>
                </c:pt>
                <c:pt idx="29">
                  <c:v>0.12967209975939339</c:v>
                </c:pt>
                <c:pt idx="30">
                  <c:v>-0.12264649424558488</c:v>
                </c:pt>
                <c:pt idx="31">
                  <c:v>-0.21576986456963893</c:v>
                </c:pt>
                <c:pt idx="32">
                  <c:v>-1.17918936432502</c:v>
                </c:pt>
                <c:pt idx="33">
                  <c:v>-4.4490618763164536</c:v>
                </c:pt>
              </c:numCache>
            </c:numRef>
          </c:val>
          <c:extLst>
            <c:ext xmlns:c16="http://schemas.microsoft.com/office/drawing/2014/chart" uri="{C3380CC4-5D6E-409C-BE32-E72D297353CC}">
              <c16:uniqueId val="{00000005-C085-4166-925C-9BFC07962CEF}"/>
            </c:ext>
          </c:extLst>
        </c:ser>
        <c:dLbls>
          <c:showLegendKey val="0"/>
          <c:showVal val="0"/>
          <c:showCatName val="0"/>
          <c:showSerName val="0"/>
          <c:showPercent val="0"/>
          <c:showBubbleSize val="0"/>
        </c:dLbls>
        <c:gapWidth val="32"/>
        <c:overlap val="100"/>
        <c:axId val="156100864"/>
        <c:axId val="156573696"/>
      </c:barChart>
      <c:lineChart>
        <c:grouping val="standard"/>
        <c:varyColors val="0"/>
        <c:ser>
          <c:idx val="3"/>
          <c:order val="0"/>
          <c:tx>
            <c:strRef>
              <c:f>'Služby-příspěvkyk růstu'!$C$25</c:f>
              <c:strCache>
                <c:ptCount val="1"/>
                <c:pt idx="0">
                  <c:v>Total services</c:v>
                </c:pt>
              </c:strCache>
            </c:strRef>
          </c:tx>
          <c:spPr>
            <a:ln>
              <a:noFill/>
            </a:ln>
          </c:spPr>
          <c:marker>
            <c:symbol val="dash"/>
            <c:size val="9"/>
            <c:spPr>
              <a:solidFill>
                <a:schemeClr val="tx1">
                  <a:lumMod val="95000"/>
                  <a:lumOff val="5000"/>
                </a:schemeClr>
              </a:solidFill>
              <a:ln>
                <a:noFill/>
              </a:ln>
            </c:spPr>
          </c:marker>
          <c:cat>
            <c:multiLvlStrRef>
              <c:f>'Služby-příspěvkyk růstu'!$A$26:$B$60</c:f>
              <c:multiLvlStrCache>
                <c:ptCount val="35"/>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lvl>
                <c:lvl>
                  <c:pt idx="0">
                    <c:v>2012</c:v>
                  </c:pt>
                  <c:pt idx="4">
                    <c:v>2013</c:v>
                  </c:pt>
                  <c:pt idx="8">
                    <c:v>2014</c:v>
                  </c:pt>
                  <c:pt idx="12">
                    <c:v>2015</c:v>
                  </c:pt>
                  <c:pt idx="16">
                    <c:v>2016</c:v>
                  </c:pt>
                  <c:pt idx="20">
                    <c:v>2017</c:v>
                  </c:pt>
                  <c:pt idx="24">
                    <c:v>2018</c:v>
                  </c:pt>
                  <c:pt idx="28">
                    <c:v>2019</c:v>
                  </c:pt>
                  <c:pt idx="32">
                    <c:v>2020</c:v>
                  </c:pt>
                </c:lvl>
              </c:multiLvlStrCache>
            </c:multiLvlStrRef>
          </c:cat>
          <c:val>
            <c:numRef>
              <c:f>'Služby-příspěvkyk růstu'!$C$26:$C$60</c:f>
              <c:numCache>
                <c:formatCode>0.0</c:formatCode>
                <c:ptCount val="35"/>
                <c:pt idx="0">
                  <c:v>0.44963721183368932</c:v>
                </c:pt>
                <c:pt idx="1">
                  <c:v>-1.2180166338930718</c:v>
                </c:pt>
                <c:pt idx="2">
                  <c:v>1.1048392019405071</c:v>
                </c:pt>
                <c:pt idx="3">
                  <c:v>-1.3666360726043365</c:v>
                </c:pt>
                <c:pt idx="4">
                  <c:v>-0.23113332649610641</c:v>
                </c:pt>
                <c:pt idx="5">
                  <c:v>-0.88454578849733423</c:v>
                </c:pt>
                <c:pt idx="6">
                  <c:v>-1.3424601583175928</c:v>
                </c:pt>
                <c:pt idx="7">
                  <c:v>1.6230087206376993</c:v>
                </c:pt>
                <c:pt idx="8">
                  <c:v>-0.7830856818772105</c:v>
                </c:pt>
                <c:pt idx="9">
                  <c:v>1.5830850388114186</c:v>
                </c:pt>
                <c:pt idx="10">
                  <c:v>2.5910000544725023</c:v>
                </c:pt>
                <c:pt idx="11">
                  <c:v>0.42786697654824479</c:v>
                </c:pt>
                <c:pt idx="12">
                  <c:v>3.2630436418782125</c:v>
                </c:pt>
                <c:pt idx="13">
                  <c:v>2.7083930316927507</c:v>
                </c:pt>
                <c:pt idx="14">
                  <c:v>3.2834766720431787</c:v>
                </c:pt>
                <c:pt idx="15">
                  <c:v>2.1952204214378668</c:v>
                </c:pt>
                <c:pt idx="16">
                  <c:v>1.4416768598931355</c:v>
                </c:pt>
                <c:pt idx="17">
                  <c:v>-0.87800438726691254</c:v>
                </c:pt>
                <c:pt idx="18">
                  <c:v>1.4338212037315827</c:v>
                </c:pt>
                <c:pt idx="19">
                  <c:v>1.5962966747226091</c:v>
                </c:pt>
                <c:pt idx="20">
                  <c:v>5.5396791241765868</c:v>
                </c:pt>
                <c:pt idx="21">
                  <c:v>5.4410534556716499</c:v>
                </c:pt>
                <c:pt idx="22">
                  <c:v>3.3891437532498117</c:v>
                </c:pt>
                <c:pt idx="23">
                  <c:v>2.5129490213521706</c:v>
                </c:pt>
                <c:pt idx="24">
                  <c:v>5.0690832594039676</c:v>
                </c:pt>
                <c:pt idx="25">
                  <c:v>3.5044634886154569</c:v>
                </c:pt>
                <c:pt idx="26">
                  <c:v>3.6982171521688656</c:v>
                </c:pt>
                <c:pt idx="27">
                  <c:v>1.0797281635264397</c:v>
                </c:pt>
                <c:pt idx="28">
                  <c:v>3.6898776025982443</c:v>
                </c:pt>
                <c:pt idx="29">
                  <c:v>1.9603423994405205</c:v>
                </c:pt>
                <c:pt idx="30">
                  <c:v>-0.82019941806260022</c:v>
                </c:pt>
                <c:pt idx="31">
                  <c:v>-0.14219947543891465</c:v>
                </c:pt>
                <c:pt idx="32">
                  <c:v>-3.5762066775777583</c:v>
                </c:pt>
                <c:pt idx="33">
                  <c:v>-20.010501209194601</c:v>
                </c:pt>
              </c:numCache>
            </c:numRef>
          </c:val>
          <c:smooth val="0"/>
          <c:extLst>
            <c:ext xmlns:c16="http://schemas.microsoft.com/office/drawing/2014/chart" uri="{C3380CC4-5D6E-409C-BE32-E72D297353CC}">
              <c16:uniqueId val="{00000006-C085-4166-925C-9BFC07962CEF}"/>
            </c:ext>
          </c:extLst>
        </c:ser>
        <c:dLbls>
          <c:showLegendKey val="0"/>
          <c:showVal val="0"/>
          <c:showCatName val="0"/>
          <c:showSerName val="0"/>
          <c:showPercent val="0"/>
          <c:showBubbleSize val="0"/>
        </c:dLbls>
        <c:marker val="1"/>
        <c:smooth val="0"/>
        <c:axId val="156100864"/>
        <c:axId val="156573696"/>
      </c:lineChart>
      <c:lineChart>
        <c:grouping val="standard"/>
        <c:varyColors val="0"/>
        <c:ser>
          <c:idx val="7"/>
          <c:order val="7"/>
          <c:tx>
            <c:strRef>
              <c:f>'Služby-příspěvkyk růstu'!$J$25</c:f>
              <c:strCache>
                <c:ptCount val="1"/>
                <c:pt idx="0">
                  <c:v>Balance of confidence in services (r. a.)</c:v>
                </c:pt>
              </c:strCache>
            </c:strRef>
          </c:tx>
          <c:spPr>
            <a:ln w="3175">
              <a:solidFill>
                <a:schemeClr val="bg1">
                  <a:lumMod val="50000"/>
                </a:schemeClr>
              </a:solidFill>
              <a:prstDash val="sysDash"/>
            </a:ln>
          </c:spPr>
          <c:marker>
            <c:symbol val="diamond"/>
            <c:size val="5"/>
            <c:spPr>
              <a:solidFill>
                <a:srgbClr val="FFFF00"/>
              </a:solidFill>
              <a:ln w="6350">
                <a:solidFill>
                  <a:schemeClr val="tx1">
                    <a:lumMod val="95000"/>
                    <a:lumOff val="5000"/>
                  </a:schemeClr>
                </a:solidFill>
              </a:ln>
            </c:spPr>
          </c:marker>
          <c:cat>
            <c:multiLvlStrRef>
              <c:f>'Služby-příspěvkyk růstu'!$A$26:$B$60</c:f>
              <c:multiLvlStrCache>
                <c:ptCount val="35"/>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lvl>
                <c:lvl>
                  <c:pt idx="0">
                    <c:v>2012</c:v>
                  </c:pt>
                  <c:pt idx="4">
                    <c:v>2013</c:v>
                  </c:pt>
                  <c:pt idx="8">
                    <c:v>2014</c:v>
                  </c:pt>
                  <c:pt idx="12">
                    <c:v>2015</c:v>
                  </c:pt>
                  <c:pt idx="16">
                    <c:v>2016</c:v>
                  </c:pt>
                  <c:pt idx="20">
                    <c:v>2017</c:v>
                  </c:pt>
                  <c:pt idx="24">
                    <c:v>2018</c:v>
                  </c:pt>
                  <c:pt idx="28">
                    <c:v>2019</c:v>
                  </c:pt>
                  <c:pt idx="32">
                    <c:v>2020</c:v>
                  </c:pt>
                </c:lvl>
              </c:multiLvlStrCache>
            </c:multiLvlStrRef>
          </c:cat>
          <c:val>
            <c:numRef>
              <c:f>'Služby-příspěvkyk růstu'!$J$26:$J$60</c:f>
              <c:numCache>
                <c:formatCode>0.0</c:formatCode>
                <c:ptCount val="35"/>
                <c:pt idx="0">
                  <c:v>24</c:v>
                </c:pt>
                <c:pt idx="1">
                  <c:v>27</c:v>
                </c:pt>
                <c:pt idx="2">
                  <c:v>22.3</c:v>
                </c:pt>
                <c:pt idx="3">
                  <c:v>23</c:v>
                </c:pt>
                <c:pt idx="4">
                  <c:v>24.6</c:v>
                </c:pt>
                <c:pt idx="5">
                  <c:v>21.7</c:v>
                </c:pt>
                <c:pt idx="6">
                  <c:v>19.7</c:v>
                </c:pt>
                <c:pt idx="7">
                  <c:v>26</c:v>
                </c:pt>
                <c:pt idx="8">
                  <c:v>26.7</c:v>
                </c:pt>
                <c:pt idx="9">
                  <c:v>26</c:v>
                </c:pt>
                <c:pt idx="10">
                  <c:v>27.7</c:v>
                </c:pt>
                <c:pt idx="11">
                  <c:v>29</c:v>
                </c:pt>
                <c:pt idx="12">
                  <c:v>32</c:v>
                </c:pt>
                <c:pt idx="13">
                  <c:v>27</c:v>
                </c:pt>
                <c:pt idx="14">
                  <c:v>29.3</c:v>
                </c:pt>
                <c:pt idx="15">
                  <c:v>31</c:v>
                </c:pt>
                <c:pt idx="16">
                  <c:v>34.700000000000003</c:v>
                </c:pt>
                <c:pt idx="17">
                  <c:v>32</c:v>
                </c:pt>
                <c:pt idx="18">
                  <c:v>33.299999999999997</c:v>
                </c:pt>
                <c:pt idx="19">
                  <c:v>34.700000000000003</c:v>
                </c:pt>
                <c:pt idx="20">
                  <c:v>37.299999999999997</c:v>
                </c:pt>
                <c:pt idx="21">
                  <c:v>37.700000000000003</c:v>
                </c:pt>
                <c:pt idx="22">
                  <c:v>37.299999999999997</c:v>
                </c:pt>
                <c:pt idx="23">
                  <c:v>35.700000000000003</c:v>
                </c:pt>
                <c:pt idx="24">
                  <c:v>37</c:v>
                </c:pt>
                <c:pt idx="25">
                  <c:v>37.700000000000003</c:v>
                </c:pt>
                <c:pt idx="26">
                  <c:v>37.299999999999997</c:v>
                </c:pt>
                <c:pt idx="27">
                  <c:v>38</c:v>
                </c:pt>
                <c:pt idx="28">
                  <c:v>36.700000000000003</c:v>
                </c:pt>
                <c:pt idx="29">
                  <c:v>37.299999999999997</c:v>
                </c:pt>
                <c:pt idx="30">
                  <c:v>32</c:v>
                </c:pt>
                <c:pt idx="31">
                  <c:v>33</c:v>
                </c:pt>
                <c:pt idx="32">
                  <c:v>32.6</c:v>
                </c:pt>
                <c:pt idx="33">
                  <c:v>-6</c:v>
                </c:pt>
                <c:pt idx="34">
                  <c:v>2.7</c:v>
                </c:pt>
              </c:numCache>
            </c:numRef>
          </c:val>
          <c:smooth val="0"/>
          <c:extLst>
            <c:ext xmlns:c16="http://schemas.microsoft.com/office/drawing/2014/chart" uri="{C3380CC4-5D6E-409C-BE32-E72D297353CC}">
              <c16:uniqueId val="{00000007-C085-4166-925C-9BFC07962CEF}"/>
            </c:ext>
          </c:extLst>
        </c:ser>
        <c:ser>
          <c:idx val="8"/>
          <c:order val="8"/>
          <c:tx>
            <c:strRef>
              <c:f>'Služby-příspěvkyk růstu'!$K$25</c:f>
              <c:strCache>
                <c:ptCount val="1"/>
                <c:pt idx="0">
                  <c:v>Barrier: inadequate demand (right axis)</c:v>
                </c:pt>
              </c:strCache>
            </c:strRef>
          </c:tx>
          <c:spPr>
            <a:ln w="19050">
              <a:solidFill>
                <a:srgbClr val="00B050"/>
              </a:solidFill>
            </a:ln>
          </c:spPr>
          <c:marker>
            <c:symbol val="none"/>
          </c:marker>
          <c:cat>
            <c:multiLvlStrRef>
              <c:f>'Služby-příspěvkyk růstu'!$A$26:$B$60</c:f>
              <c:multiLvlStrCache>
                <c:ptCount val="35"/>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lvl>
                <c:lvl>
                  <c:pt idx="0">
                    <c:v>2012</c:v>
                  </c:pt>
                  <c:pt idx="4">
                    <c:v>2013</c:v>
                  </c:pt>
                  <c:pt idx="8">
                    <c:v>2014</c:v>
                  </c:pt>
                  <c:pt idx="12">
                    <c:v>2015</c:v>
                  </c:pt>
                  <c:pt idx="16">
                    <c:v>2016</c:v>
                  </c:pt>
                  <c:pt idx="20">
                    <c:v>2017</c:v>
                  </c:pt>
                  <c:pt idx="24">
                    <c:v>2018</c:v>
                  </c:pt>
                  <c:pt idx="28">
                    <c:v>2019</c:v>
                  </c:pt>
                  <c:pt idx="32">
                    <c:v>2020</c:v>
                  </c:pt>
                </c:lvl>
              </c:multiLvlStrCache>
            </c:multiLvlStrRef>
          </c:cat>
          <c:val>
            <c:numRef>
              <c:f>'Služby-příspěvkyk růstu'!$K$26:$K$60</c:f>
              <c:numCache>
                <c:formatCode>#\ ##0.0</c:formatCode>
                <c:ptCount val="35"/>
                <c:pt idx="0">
                  <c:v>32.200000000000003</c:v>
                </c:pt>
                <c:pt idx="1">
                  <c:v>27.5</c:v>
                </c:pt>
                <c:pt idx="2">
                  <c:v>25.1</c:v>
                </c:pt>
                <c:pt idx="3">
                  <c:v>38.299999999999997</c:v>
                </c:pt>
                <c:pt idx="4">
                  <c:v>37.200000000000003</c:v>
                </c:pt>
                <c:pt idx="5">
                  <c:v>34.5</c:v>
                </c:pt>
                <c:pt idx="6">
                  <c:v>37.4</c:v>
                </c:pt>
                <c:pt idx="7">
                  <c:v>35.5</c:v>
                </c:pt>
                <c:pt idx="8">
                  <c:v>33.9</c:v>
                </c:pt>
                <c:pt idx="9">
                  <c:v>34.200000000000003</c:v>
                </c:pt>
                <c:pt idx="10">
                  <c:v>31.4</c:v>
                </c:pt>
                <c:pt idx="11">
                  <c:v>24.7</c:v>
                </c:pt>
                <c:pt idx="12">
                  <c:v>26.2</c:v>
                </c:pt>
                <c:pt idx="13">
                  <c:v>29</c:v>
                </c:pt>
                <c:pt idx="14">
                  <c:v>26.9</c:v>
                </c:pt>
                <c:pt idx="15">
                  <c:v>23.3</c:v>
                </c:pt>
                <c:pt idx="16">
                  <c:v>24</c:v>
                </c:pt>
                <c:pt idx="17">
                  <c:v>24.5</c:v>
                </c:pt>
                <c:pt idx="18">
                  <c:v>21</c:v>
                </c:pt>
                <c:pt idx="19">
                  <c:v>23.3</c:v>
                </c:pt>
                <c:pt idx="20">
                  <c:v>26.2</c:v>
                </c:pt>
                <c:pt idx="21">
                  <c:v>20.5</c:v>
                </c:pt>
                <c:pt idx="22">
                  <c:v>19.899999999999999</c:v>
                </c:pt>
                <c:pt idx="23">
                  <c:v>20.9</c:v>
                </c:pt>
                <c:pt idx="24">
                  <c:v>17.3</c:v>
                </c:pt>
                <c:pt idx="25">
                  <c:v>18.600000000000001</c:v>
                </c:pt>
                <c:pt idx="26">
                  <c:v>18.899999999999999</c:v>
                </c:pt>
                <c:pt idx="27">
                  <c:v>19.8</c:v>
                </c:pt>
                <c:pt idx="28">
                  <c:v>20.7</c:v>
                </c:pt>
                <c:pt idx="29">
                  <c:v>17.100000000000001</c:v>
                </c:pt>
                <c:pt idx="30">
                  <c:v>21.7</c:v>
                </c:pt>
                <c:pt idx="31">
                  <c:v>14.1</c:v>
                </c:pt>
                <c:pt idx="32">
                  <c:v>20.399999999999999</c:v>
                </c:pt>
                <c:pt idx="33">
                  <c:v>29.1</c:v>
                </c:pt>
                <c:pt idx="34" formatCode="0.0">
                  <c:v>30.9</c:v>
                </c:pt>
              </c:numCache>
            </c:numRef>
          </c:val>
          <c:smooth val="0"/>
          <c:extLst>
            <c:ext xmlns:c16="http://schemas.microsoft.com/office/drawing/2014/chart" uri="{C3380CC4-5D6E-409C-BE32-E72D297353CC}">
              <c16:uniqueId val="{00000008-C085-4166-925C-9BFC07962CEF}"/>
            </c:ext>
          </c:extLst>
        </c:ser>
        <c:ser>
          <c:idx val="9"/>
          <c:order val="9"/>
          <c:tx>
            <c:strRef>
              <c:f>'Služby-příspěvkyk růstu'!$L$25</c:f>
              <c:strCache>
                <c:ptCount val="1"/>
                <c:pt idx="0">
                  <c:v>Barrier: shortage of labour (right axis)</c:v>
                </c:pt>
              </c:strCache>
            </c:strRef>
          </c:tx>
          <c:spPr>
            <a:ln w="19050">
              <a:solidFill>
                <a:srgbClr val="00B050"/>
              </a:solidFill>
              <a:prstDash val="sysDash"/>
            </a:ln>
          </c:spPr>
          <c:marker>
            <c:symbol val="none"/>
          </c:marker>
          <c:cat>
            <c:multiLvlStrRef>
              <c:f>'Služby-příspěvkyk růstu'!$A$26:$B$60</c:f>
              <c:multiLvlStrCache>
                <c:ptCount val="35"/>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lvl>
                <c:lvl>
                  <c:pt idx="0">
                    <c:v>2012</c:v>
                  </c:pt>
                  <c:pt idx="4">
                    <c:v>2013</c:v>
                  </c:pt>
                  <c:pt idx="8">
                    <c:v>2014</c:v>
                  </c:pt>
                  <c:pt idx="12">
                    <c:v>2015</c:v>
                  </c:pt>
                  <c:pt idx="16">
                    <c:v>2016</c:v>
                  </c:pt>
                  <c:pt idx="20">
                    <c:v>2017</c:v>
                  </c:pt>
                  <c:pt idx="24">
                    <c:v>2018</c:v>
                  </c:pt>
                  <c:pt idx="28">
                    <c:v>2019</c:v>
                  </c:pt>
                  <c:pt idx="32">
                    <c:v>2020</c:v>
                  </c:pt>
                </c:lvl>
              </c:multiLvlStrCache>
            </c:multiLvlStrRef>
          </c:cat>
          <c:val>
            <c:numRef>
              <c:f>'Služby-příspěvkyk růstu'!$L$26:$L$60</c:f>
              <c:numCache>
                <c:formatCode>#\ ##0.0</c:formatCode>
                <c:ptCount val="35"/>
                <c:pt idx="0">
                  <c:v>0.8</c:v>
                </c:pt>
                <c:pt idx="1">
                  <c:v>2.6</c:v>
                </c:pt>
                <c:pt idx="2">
                  <c:v>3.7</c:v>
                </c:pt>
                <c:pt idx="3">
                  <c:v>1.5</c:v>
                </c:pt>
                <c:pt idx="4">
                  <c:v>0.8</c:v>
                </c:pt>
                <c:pt idx="5">
                  <c:v>0.3</c:v>
                </c:pt>
                <c:pt idx="6">
                  <c:v>0.1</c:v>
                </c:pt>
                <c:pt idx="7">
                  <c:v>2.1</c:v>
                </c:pt>
                <c:pt idx="8">
                  <c:v>0.8</c:v>
                </c:pt>
                <c:pt idx="9">
                  <c:v>2.6</c:v>
                </c:pt>
                <c:pt idx="10">
                  <c:v>2.5</c:v>
                </c:pt>
                <c:pt idx="11">
                  <c:v>3.8</c:v>
                </c:pt>
                <c:pt idx="12">
                  <c:v>2.8</c:v>
                </c:pt>
                <c:pt idx="13">
                  <c:v>5.7</c:v>
                </c:pt>
                <c:pt idx="14">
                  <c:v>5.9</c:v>
                </c:pt>
                <c:pt idx="15">
                  <c:v>5.8</c:v>
                </c:pt>
                <c:pt idx="16">
                  <c:v>8.6999999999999993</c:v>
                </c:pt>
                <c:pt idx="17">
                  <c:v>4.5999999999999996</c:v>
                </c:pt>
                <c:pt idx="18">
                  <c:v>7.1</c:v>
                </c:pt>
                <c:pt idx="19">
                  <c:v>9.1</c:v>
                </c:pt>
                <c:pt idx="20">
                  <c:v>10.1</c:v>
                </c:pt>
                <c:pt idx="21">
                  <c:v>10</c:v>
                </c:pt>
                <c:pt idx="22">
                  <c:v>9.3000000000000007</c:v>
                </c:pt>
                <c:pt idx="23">
                  <c:v>12.2</c:v>
                </c:pt>
                <c:pt idx="24">
                  <c:v>14.2</c:v>
                </c:pt>
                <c:pt idx="25">
                  <c:v>16.600000000000001</c:v>
                </c:pt>
                <c:pt idx="26">
                  <c:v>17.3</c:v>
                </c:pt>
                <c:pt idx="27">
                  <c:v>18.600000000000001</c:v>
                </c:pt>
                <c:pt idx="28">
                  <c:v>19.600000000000001</c:v>
                </c:pt>
                <c:pt idx="29">
                  <c:v>16.600000000000001</c:v>
                </c:pt>
                <c:pt idx="30">
                  <c:v>21.2</c:v>
                </c:pt>
                <c:pt idx="31">
                  <c:v>19.100000000000001</c:v>
                </c:pt>
                <c:pt idx="32">
                  <c:v>19.7</c:v>
                </c:pt>
                <c:pt idx="33">
                  <c:v>12.1</c:v>
                </c:pt>
                <c:pt idx="34" formatCode="0.0">
                  <c:v>9.8000000000000007</c:v>
                </c:pt>
              </c:numCache>
            </c:numRef>
          </c:val>
          <c:smooth val="0"/>
          <c:extLst>
            <c:ext xmlns:c16="http://schemas.microsoft.com/office/drawing/2014/chart" uri="{C3380CC4-5D6E-409C-BE32-E72D297353CC}">
              <c16:uniqueId val="{00000009-C085-4166-925C-9BFC07962CEF}"/>
            </c:ext>
          </c:extLst>
        </c:ser>
        <c:ser>
          <c:idx val="10"/>
          <c:order val="10"/>
          <c:tx>
            <c:strRef>
              <c:f>'Služby-příspěvkyk růstu'!$M$25</c:f>
              <c:strCache>
                <c:ptCount val="1"/>
                <c:pt idx="0">
                  <c:v>Barrier: none (right axis)</c:v>
                </c:pt>
              </c:strCache>
            </c:strRef>
          </c:tx>
          <c:spPr>
            <a:ln w="19050">
              <a:solidFill>
                <a:srgbClr val="00B050"/>
              </a:solidFill>
              <a:prstDash val="sysDot"/>
            </a:ln>
          </c:spPr>
          <c:marker>
            <c:symbol val="none"/>
          </c:marker>
          <c:cat>
            <c:multiLvlStrRef>
              <c:f>'Služby-příspěvkyk růstu'!$A$26:$B$60</c:f>
              <c:multiLvlStrCache>
                <c:ptCount val="35"/>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lvl>
                <c:lvl>
                  <c:pt idx="0">
                    <c:v>2012</c:v>
                  </c:pt>
                  <c:pt idx="4">
                    <c:v>2013</c:v>
                  </c:pt>
                  <c:pt idx="8">
                    <c:v>2014</c:v>
                  </c:pt>
                  <c:pt idx="12">
                    <c:v>2015</c:v>
                  </c:pt>
                  <c:pt idx="16">
                    <c:v>2016</c:v>
                  </c:pt>
                  <c:pt idx="20">
                    <c:v>2017</c:v>
                  </c:pt>
                  <c:pt idx="24">
                    <c:v>2018</c:v>
                  </c:pt>
                  <c:pt idx="28">
                    <c:v>2019</c:v>
                  </c:pt>
                  <c:pt idx="32">
                    <c:v>2020</c:v>
                  </c:pt>
                </c:lvl>
              </c:multiLvlStrCache>
            </c:multiLvlStrRef>
          </c:cat>
          <c:val>
            <c:numRef>
              <c:f>'Služby-příspěvkyk růstu'!$M$26:$M$60</c:f>
              <c:numCache>
                <c:formatCode>#\ ##0.0</c:formatCode>
                <c:ptCount val="35"/>
                <c:pt idx="0">
                  <c:v>46.6</c:v>
                </c:pt>
                <c:pt idx="1">
                  <c:v>49.7</c:v>
                </c:pt>
                <c:pt idx="2">
                  <c:v>40</c:v>
                </c:pt>
                <c:pt idx="3">
                  <c:v>36.799999999999997</c:v>
                </c:pt>
                <c:pt idx="4">
                  <c:v>41.3</c:v>
                </c:pt>
                <c:pt idx="5">
                  <c:v>45.1</c:v>
                </c:pt>
                <c:pt idx="6">
                  <c:v>41</c:v>
                </c:pt>
                <c:pt idx="7">
                  <c:v>44.9</c:v>
                </c:pt>
                <c:pt idx="8">
                  <c:v>45.6</c:v>
                </c:pt>
                <c:pt idx="9">
                  <c:v>47.4</c:v>
                </c:pt>
                <c:pt idx="10">
                  <c:v>48.5</c:v>
                </c:pt>
                <c:pt idx="11">
                  <c:v>47.7</c:v>
                </c:pt>
                <c:pt idx="12">
                  <c:v>43.8</c:v>
                </c:pt>
                <c:pt idx="13">
                  <c:v>42.8</c:v>
                </c:pt>
                <c:pt idx="14">
                  <c:v>46.2</c:v>
                </c:pt>
                <c:pt idx="15">
                  <c:v>50.3</c:v>
                </c:pt>
                <c:pt idx="16">
                  <c:v>47</c:v>
                </c:pt>
                <c:pt idx="17">
                  <c:v>46.5</c:v>
                </c:pt>
                <c:pt idx="18">
                  <c:v>51.8</c:v>
                </c:pt>
                <c:pt idx="19">
                  <c:v>48.6</c:v>
                </c:pt>
                <c:pt idx="20">
                  <c:v>45.5</c:v>
                </c:pt>
                <c:pt idx="21">
                  <c:v>47.7</c:v>
                </c:pt>
                <c:pt idx="22">
                  <c:v>48.2</c:v>
                </c:pt>
                <c:pt idx="23">
                  <c:v>46.6</c:v>
                </c:pt>
                <c:pt idx="24">
                  <c:v>49.6</c:v>
                </c:pt>
                <c:pt idx="25">
                  <c:v>45.4</c:v>
                </c:pt>
                <c:pt idx="26">
                  <c:v>43.4</c:v>
                </c:pt>
                <c:pt idx="27">
                  <c:v>46.4</c:v>
                </c:pt>
                <c:pt idx="28">
                  <c:v>45</c:v>
                </c:pt>
                <c:pt idx="29">
                  <c:v>46.4</c:v>
                </c:pt>
                <c:pt idx="30">
                  <c:v>45.9</c:v>
                </c:pt>
                <c:pt idx="31">
                  <c:v>47.5</c:v>
                </c:pt>
                <c:pt idx="32">
                  <c:v>44.4</c:v>
                </c:pt>
                <c:pt idx="33">
                  <c:v>32.9</c:v>
                </c:pt>
                <c:pt idx="34" formatCode="0.0">
                  <c:v>27.1</c:v>
                </c:pt>
              </c:numCache>
            </c:numRef>
          </c:val>
          <c:smooth val="0"/>
          <c:extLst>
            <c:ext xmlns:c16="http://schemas.microsoft.com/office/drawing/2014/chart" uri="{C3380CC4-5D6E-409C-BE32-E72D297353CC}">
              <c16:uniqueId val="{0000000A-C085-4166-925C-9BFC07962CEF}"/>
            </c:ext>
          </c:extLst>
        </c:ser>
        <c:dLbls>
          <c:showLegendKey val="0"/>
          <c:showVal val="0"/>
          <c:showCatName val="0"/>
          <c:showSerName val="0"/>
          <c:showPercent val="0"/>
          <c:showBubbleSize val="0"/>
        </c:dLbls>
        <c:marker val="1"/>
        <c:smooth val="0"/>
        <c:axId val="156576768"/>
        <c:axId val="156575232"/>
      </c:lineChart>
      <c:catAx>
        <c:axId val="156100864"/>
        <c:scaling>
          <c:orientation val="minMax"/>
        </c:scaling>
        <c:delete val="0"/>
        <c:axPos val="b"/>
        <c:numFmt formatCode="General" sourceLinked="0"/>
        <c:majorTickMark val="out"/>
        <c:minorTickMark val="none"/>
        <c:tickLblPos val="low"/>
        <c:txPr>
          <a:bodyPr/>
          <a:lstStyle/>
          <a:p>
            <a:pPr>
              <a:defRPr sz="800"/>
            </a:pPr>
            <a:endParaRPr lang="cs-CZ"/>
          </a:p>
        </c:txPr>
        <c:crossAx val="156573696"/>
        <c:crosses val="autoZero"/>
        <c:auto val="1"/>
        <c:lblAlgn val="ctr"/>
        <c:lblOffset val="0"/>
        <c:noMultiLvlLbl val="0"/>
      </c:catAx>
      <c:valAx>
        <c:axId val="156573696"/>
        <c:scaling>
          <c:orientation val="minMax"/>
          <c:max val="6"/>
          <c:min val="-21"/>
        </c:scaling>
        <c:delete val="0"/>
        <c:axPos val="l"/>
        <c:majorGridlines>
          <c:spPr>
            <a:ln w="6350">
              <a:solidFill>
                <a:schemeClr val="bg1">
                  <a:lumMod val="75000"/>
                </a:schemeClr>
              </a:solidFill>
            </a:ln>
          </c:spPr>
        </c:majorGridlines>
        <c:title>
          <c:tx>
            <c:rich>
              <a:bodyPr/>
              <a:lstStyle/>
              <a:p>
                <a:pPr marL="0" marR="0" lvl="0" indent="0" algn="ctr" defTabSz="914400" rtl="0" eaLnBrk="1" fontAlgn="auto" latinLnBrk="0" hangingPunct="1">
                  <a:lnSpc>
                    <a:spcPct val="100000"/>
                  </a:lnSpc>
                  <a:spcBef>
                    <a:spcPts val="0"/>
                  </a:spcBef>
                  <a:spcAft>
                    <a:spcPts val="0"/>
                  </a:spcAft>
                  <a:buClrTx/>
                  <a:buSzTx/>
                  <a:buFontTx/>
                  <a:buNone/>
                  <a:tabLst/>
                  <a:defRPr sz="700" b="0" i="1" u="none" strike="noStrike" kern="1200" baseline="0">
                    <a:solidFill>
                      <a:sysClr val="windowText" lastClr="000000"/>
                    </a:solidFill>
                    <a:latin typeface="Arial" pitchFamily="34" charset="0"/>
                    <a:ea typeface="+mn-ea"/>
                    <a:cs typeface="+mn-cs"/>
                  </a:defRPr>
                </a:pPr>
                <a:r>
                  <a:rPr lang="en-GB" sz="700" i="1">
                    <a:effectLst/>
                  </a:rPr>
                  <a:t>Contribution to the growth of sales</a:t>
                </a:r>
                <a:endParaRPr lang="cs-CZ" sz="700">
                  <a:effectLst/>
                </a:endParaRPr>
              </a:p>
            </c:rich>
          </c:tx>
          <c:layout>
            <c:manualLayout>
              <c:xMode val="edge"/>
              <c:yMode val="edge"/>
              <c:x val="0"/>
              <c:y val="0.21427956658597461"/>
            </c:manualLayout>
          </c:layout>
          <c:overlay val="0"/>
        </c:title>
        <c:numFmt formatCode="0" sourceLinked="0"/>
        <c:majorTickMark val="out"/>
        <c:minorTickMark val="none"/>
        <c:tickLblPos val="nextTo"/>
        <c:txPr>
          <a:bodyPr/>
          <a:lstStyle/>
          <a:p>
            <a:pPr>
              <a:defRPr sz="800"/>
            </a:pPr>
            <a:endParaRPr lang="cs-CZ"/>
          </a:p>
        </c:txPr>
        <c:crossAx val="156100864"/>
        <c:crosses val="autoZero"/>
        <c:crossBetween val="between"/>
        <c:majorUnit val="3"/>
      </c:valAx>
      <c:valAx>
        <c:axId val="156575232"/>
        <c:scaling>
          <c:orientation val="minMax"/>
          <c:max val="80"/>
          <c:min val="-10"/>
        </c:scaling>
        <c:delete val="0"/>
        <c:axPos val="r"/>
        <c:title>
          <c:tx>
            <c:rich>
              <a:bodyPr/>
              <a:lstStyle/>
              <a:p>
                <a:pPr marL="0" marR="0" lvl="0" indent="0" algn="ctr" defTabSz="914400" rtl="0" eaLnBrk="1" fontAlgn="auto" latinLnBrk="0" hangingPunct="1">
                  <a:lnSpc>
                    <a:spcPct val="100000"/>
                  </a:lnSpc>
                  <a:spcBef>
                    <a:spcPts val="0"/>
                  </a:spcBef>
                  <a:spcAft>
                    <a:spcPts val="0"/>
                  </a:spcAft>
                  <a:buClrTx/>
                  <a:buSzTx/>
                  <a:buFontTx/>
                  <a:buNone/>
                  <a:tabLst/>
                  <a:defRPr sz="700" b="0" i="1" u="none" strike="noStrike" kern="1200" baseline="0">
                    <a:solidFill>
                      <a:sysClr val="windowText" lastClr="000000"/>
                    </a:solidFill>
                    <a:latin typeface="Arial" pitchFamily="34" charset="0"/>
                    <a:ea typeface="+mn-ea"/>
                    <a:cs typeface="+mn-cs"/>
                  </a:defRPr>
                </a:pPr>
                <a:r>
                  <a:rPr lang="en-GB" sz="700" i="1">
                    <a:effectLst/>
                  </a:rPr>
                  <a:t>Balance of confidence indicator, Growth barriers</a:t>
                </a:r>
                <a:endParaRPr lang="cs-CZ" sz="700">
                  <a:effectLst/>
                </a:endParaRPr>
              </a:p>
            </c:rich>
          </c:tx>
          <c:overlay val="0"/>
        </c:title>
        <c:numFmt formatCode="0" sourceLinked="0"/>
        <c:majorTickMark val="out"/>
        <c:minorTickMark val="none"/>
        <c:tickLblPos val="nextTo"/>
        <c:txPr>
          <a:bodyPr/>
          <a:lstStyle/>
          <a:p>
            <a:pPr>
              <a:defRPr sz="800"/>
            </a:pPr>
            <a:endParaRPr lang="cs-CZ"/>
          </a:p>
        </c:txPr>
        <c:crossAx val="156576768"/>
        <c:crosses val="max"/>
        <c:crossBetween val="between"/>
        <c:majorUnit val="10"/>
      </c:valAx>
      <c:catAx>
        <c:axId val="156576768"/>
        <c:scaling>
          <c:orientation val="minMax"/>
        </c:scaling>
        <c:delete val="1"/>
        <c:axPos val="b"/>
        <c:numFmt formatCode="General" sourceLinked="1"/>
        <c:majorTickMark val="out"/>
        <c:minorTickMark val="none"/>
        <c:tickLblPos val="none"/>
        <c:crossAx val="156575232"/>
        <c:crosses val="autoZero"/>
        <c:auto val="1"/>
        <c:lblAlgn val="ctr"/>
        <c:lblOffset val="100"/>
        <c:noMultiLvlLbl val="0"/>
      </c:catAx>
      <c:spPr>
        <a:ln>
          <a:solidFill>
            <a:schemeClr val="tx1"/>
          </a:solidFill>
        </a:ln>
      </c:spPr>
    </c:plotArea>
    <c:legend>
      <c:legendPos val="r"/>
      <c:layout>
        <c:manualLayout>
          <c:xMode val="edge"/>
          <c:yMode val="edge"/>
          <c:x val="2.1343815382732945E-2"/>
          <c:y val="0.80760282246664739"/>
          <c:w val="0.96189306281477471"/>
          <c:h val="0.18178493468178453"/>
        </c:manualLayout>
      </c:layout>
      <c:overlay val="0"/>
      <c:spPr>
        <a:ln w="6350">
          <a:solidFill>
            <a:schemeClr val="tx1"/>
          </a:solidFill>
        </a:ln>
      </c:spPr>
      <c:txPr>
        <a:bodyPr/>
        <a:lstStyle/>
        <a:p>
          <a:pPr>
            <a:defRPr sz="800"/>
          </a:pPr>
          <a:endParaRPr lang="cs-CZ"/>
        </a:p>
      </c:txPr>
    </c:legend>
    <c:plotVisOnly val="1"/>
    <c:dispBlanksAs val="gap"/>
    <c:showDLblsOverMax val="0"/>
  </c:chart>
  <c:spPr>
    <a:ln>
      <a:noFill/>
    </a:ln>
  </c:spPr>
  <c:txPr>
    <a:bodyPr/>
    <a:lstStyle/>
    <a:p>
      <a:pPr>
        <a:defRPr sz="1500" baseline="0">
          <a:latin typeface="Arial" pitchFamily="34" charset="0"/>
        </a:defRPr>
      </a:pPr>
      <a:endParaRPr lang="cs-CZ"/>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278F89-42FB-4431-AF09-302FD965750E}">
  <ds:schemaRefs>
    <ds:schemaRef ds:uri="http://schemas.openxmlformats.org/officeDocument/2006/bibliography"/>
  </ds:schemaRefs>
</ds:datastoreItem>
</file>

<file path=customXml/itemProps2.xml><?xml version="1.0" encoding="utf-8"?>
<ds:datastoreItem xmlns:ds="http://schemas.openxmlformats.org/officeDocument/2006/customXml" ds:itemID="{0BF9BF0A-7CA2-4354-88AF-2FB40D9E7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Q_analyza_Q12018.dotx</Template>
  <TotalTime>2</TotalTime>
  <Pages>8</Pages>
  <Words>3726</Words>
  <Characters>21986</Characters>
  <Application>Microsoft Office Word</Application>
  <DocSecurity>0</DocSecurity>
  <Lines>183</Lines>
  <Paragraphs>51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25661</CharactersWithSpaces>
  <SharedDoc>false</SharedDoc>
  <HLinks>
    <vt:vector size="18" baseType="variant">
      <vt:variant>
        <vt:i4>7602181</vt:i4>
      </vt:variant>
      <vt:variant>
        <vt:i4>11092</vt:i4>
      </vt:variant>
      <vt:variant>
        <vt:i4>1025</vt:i4>
      </vt:variant>
      <vt:variant>
        <vt:i4>1</vt:i4>
      </vt:variant>
      <vt:variant>
        <vt:lpwstr>msoFAAF</vt:lpwstr>
      </vt:variant>
      <vt:variant>
        <vt:lpwstr/>
      </vt:variant>
      <vt:variant>
        <vt:i4>7995509</vt:i4>
      </vt:variant>
      <vt:variant>
        <vt:i4>-1</vt:i4>
      </vt:variant>
      <vt:variant>
        <vt:i4>2058</vt:i4>
      </vt:variant>
      <vt:variant>
        <vt:i4>1</vt:i4>
      </vt:variant>
      <vt:variant>
        <vt:lpwstr>CSU RGB CZ logo-02</vt:lpwstr>
      </vt:variant>
      <vt:variant>
        <vt:lpwstr/>
      </vt:variant>
      <vt:variant>
        <vt:i4>7929973</vt:i4>
      </vt:variant>
      <vt:variant>
        <vt:i4>-1</vt:i4>
      </vt:variant>
      <vt:variant>
        <vt:i4>2059</vt:i4>
      </vt:variant>
      <vt:variant>
        <vt:i4>1</vt:i4>
      </vt:variant>
      <vt:variant>
        <vt:lpwstr>CSU RGB CZ logo-01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Karolína Súkupová</dc:creator>
  <cp:keywords/>
  <dc:description/>
  <cp:lastModifiedBy>Mgr. Karolína Zábojníková</cp:lastModifiedBy>
  <cp:revision>3</cp:revision>
  <cp:lastPrinted>2019-04-08T10:52:00Z</cp:lastPrinted>
  <dcterms:created xsi:type="dcterms:W3CDTF">2020-10-13T05:41:00Z</dcterms:created>
  <dcterms:modified xsi:type="dcterms:W3CDTF">2020-10-13T05:49:00Z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aa92781-1fcb-4da3-a1a2-e534c28a25f3_Enabled">
    <vt:lpwstr>true</vt:lpwstr>
  </property>
  <property fmtid="{D5CDD505-2E9C-101B-9397-08002B2CF9AE}" pid="3" name="MSIP_Label_faa92781-1fcb-4da3-a1a2-e534c28a25f3_SetDate">
    <vt:lpwstr>2020-09-18T12:31:27Z</vt:lpwstr>
  </property>
  <property fmtid="{D5CDD505-2E9C-101B-9397-08002B2CF9AE}" pid="4" name="MSIP_Label_faa92781-1fcb-4da3-a1a2-e534c28a25f3_Method">
    <vt:lpwstr>Standard</vt:lpwstr>
  </property>
  <property fmtid="{D5CDD505-2E9C-101B-9397-08002B2CF9AE}" pid="5" name="MSIP_Label_faa92781-1fcb-4da3-a1a2-e534c28a25f3_Name">
    <vt:lpwstr>in UniCredit Group - no visual markings2</vt:lpwstr>
  </property>
  <property fmtid="{D5CDD505-2E9C-101B-9397-08002B2CF9AE}" pid="6" name="MSIP_Label_faa92781-1fcb-4da3-a1a2-e534c28a25f3_SiteId">
    <vt:lpwstr>2cc49ce9-66a1-41ac-a96b-bdc54247696a</vt:lpwstr>
  </property>
  <property fmtid="{D5CDD505-2E9C-101B-9397-08002B2CF9AE}" pid="7" name="MSIP_Label_faa92781-1fcb-4da3-a1a2-e534c28a25f3_ActionId">
    <vt:lpwstr>54eb53c3-c85e-4f75-ab17-f26ab2ee0a14</vt:lpwstr>
  </property>
  <property fmtid="{D5CDD505-2E9C-101B-9397-08002B2CF9AE}" pid="8" name="MSIP_Label_faa92781-1fcb-4da3-a1a2-e534c28a25f3_ContentBits">
    <vt:lpwstr>0</vt:lpwstr>
  </property>
</Properties>
</file>