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76453" w14:textId="4D9225F7" w:rsidR="00CD1629" w:rsidRDefault="004326A9" w:rsidP="6F1F0756">
      <w:pPr>
        <w:pStyle w:val="Nadpis1"/>
      </w:pPr>
      <w:r>
        <w:t xml:space="preserve">Česká ekonomika </w:t>
      </w:r>
      <w:r w:rsidR="00A97D3D">
        <w:t>ve druhém čtvrtletí</w:t>
      </w:r>
      <w:r>
        <w:t xml:space="preserve"> </w:t>
      </w:r>
      <w:r w:rsidR="00257E7E">
        <w:t>rostla</w:t>
      </w:r>
      <w:r w:rsidR="003502FB">
        <w:t xml:space="preserve"> </w:t>
      </w:r>
    </w:p>
    <w:p w14:paraId="553D171E" w14:textId="70744652" w:rsidR="00F21B6A" w:rsidRDefault="00526C8A" w:rsidP="00480A82">
      <w:pPr>
        <w:jc w:val="left"/>
      </w:pPr>
      <w:r>
        <w:t>1</w:t>
      </w:r>
      <w:r w:rsidR="007319E8">
        <w:t>6</w:t>
      </w:r>
      <w:r w:rsidR="000E17F8">
        <w:t>.</w:t>
      </w:r>
      <w:r w:rsidR="000D59EB">
        <w:t xml:space="preserve"> </w:t>
      </w:r>
      <w:r w:rsidR="007319E8">
        <w:t>9</w:t>
      </w:r>
      <w:r w:rsidR="000E17F8">
        <w:t>.</w:t>
      </w:r>
      <w:r w:rsidR="000D59EB">
        <w:t xml:space="preserve"> </w:t>
      </w:r>
      <w:r w:rsidR="000E17F8">
        <w:t>2026</w:t>
      </w:r>
    </w:p>
    <w:p w14:paraId="07234AC6" w14:textId="610DB2F7" w:rsidR="00526C8A" w:rsidRPr="00526C8A" w:rsidRDefault="00D62497" w:rsidP="00526C8A">
      <w:pPr>
        <w:pStyle w:val="Perex"/>
        <w:spacing w:after="160"/>
      </w:pPr>
      <w:r>
        <w:t>Mezičtvrtletní r</w:t>
      </w:r>
      <w:r w:rsidR="00170F10">
        <w:t>ůst č</w:t>
      </w:r>
      <w:r w:rsidR="00526C8A" w:rsidRPr="00526C8A">
        <w:t>esk</w:t>
      </w:r>
      <w:r w:rsidR="00170F10">
        <w:t xml:space="preserve">é ekonomiky </w:t>
      </w:r>
      <w:r w:rsidR="000E34A5">
        <w:t>v</w:t>
      </w:r>
      <w:r w:rsidR="00C63CF5">
        <w:t>e</w:t>
      </w:r>
      <w:r w:rsidR="000E34A5">
        <w:t> </w:t>
      </w:r>
      <w:r w:rsidR="00C63CF5">
        <w:t>2</w:t>
      </w:r>
      <w:r w:rsidR="000E34A5">
        <w:t xml:space="preserve">. čtvrtletí </w:t>
      </w:r>
      <w:r w:rsidR="00C63CF5">
        <w:t xml:space="preserve">mírně zrychlil. Přispěla k tomu </w:t>
      </w:r>
      <w:r w:rsidR="00005162">
        <w:t>zahraniční poptávka. Dál pos</w:t>
      </w:r>
      <w:r w:rsidR="00770521">
        <w:t>ilovala domácí investiční aktivita</w:t>
      </w:r>
      <w:r w:rsidR="00005162">
        <w:t xml:space="preserve"> a mírně rostla i spotřeba domácností</w:t>
      </w:r>
      <w:r w:rsidR="002F2423">
        <w:t xml:space="preserve">. </w:t>
      </w:r>
      <w:r w:rsidR="00C753FF">
        <w:t>Zvýšení cen ropy ovlivnilo vývoj spotřebitelských cen i cen v</w:t>
      </w:r>
      <w:r w:rsidR="00083E90">
        <w:t> </w:t>
      </w:r>
      <w:r w:rsidR="00C753FF">
        <w:t>průmyslu</w:t>
      </w:r>
      <w:r w:rsidR="00083E90">
        <w:t xml:space="preserve"> a zahraničním obchodu</w:t>
      </w:r>
      <w:r w:rsidR="00AB600C">
        <w:t>.</w:t>
      </w:r>
    </w:p>
    <w:p w14:paraId="54A895C2" w14:textId="27BBE0A8" w:rsidR="00D77977" w:rsidRDefault="001A5442" w:rsidP="001A5442">
      <w:pPr>
        <w:spacing w:after="240" w:line="264" w:lineRule="auto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Hrubý domácí produkt </w:t>
      </w:r>
      <w:r w:rsidR="0001391B">
        <w:rPr>
          <w:rFonts w:ascii="Arial" w:eastAsia="Calibri" w:hAnsi="Arial" w:cs="Times New Roman"/>
          <w:kern w:val="0"/>
          <w:szCs w:val="22"/>
          <w14:ligatures w14:val="none"/>
        </w:rPr>
        <w:t>v</w:t>
      </w:r>
      <w:r w:rsidR="00381521">
        <w:rPr>
          <w:rFonts w:ascii="Arial" w:eastAsia="Calibri" w:hAnsi="Arial" w:cs="Times New Roman"/>
          <w:kern w:val="0"/>
          <w:szCs w:val="22"/>
          <w14:ligatures w14:val="none"/>
        </w:rPr>
        <w:t>e</w:t>
      </w:r>
      <w:r w:rsidR="0001391B">
        <w:rPr>
          <w:rFonts w:ascii="Arial" w:eastAsia="Calibri" w:hAnsi="Arial" w:cs="Times New Roman"/>
          <w:kern w:val="0"/>
          <w:szCs w:val="22"/>
          <w14:ligatures w14:val="none"/>
        </w:rPr>
        <w:t> </w:t>
      </w:r>
      <w:r w:rsidR="00381521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01391B">
        <w:rPr>
          <w:rFonts w:ascii="Arial" w:eastAsia="Calibri" w:hAnsi="Arial" w:cs="Times New Roman"/>
          <w:kern w:val="0"/>
          <w:szCs w:val="22"/>
          <w14:ligatures w14:val="none"/>
        </w:rPr>
        <w:t xml:space="preserve">. čtvrtletí 2026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mezičtvrtletně </w:t>
      </w:r>
      <w:r w:rsidR="00067ADF">
        <w:rPr>
          <w:rFonts w:ascii="Arial" w:eastAsia="Calibri" w:hAnsi="Arial" w:cs="Times New Roman"/>
          <w:kern w:val="0"/>
          <w:szCs w:val="22"/>
          <w14:ligatures w14:val="none"/>
        </w:rPr>
        <w:t xml:space="preserve">vzrostl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o 0,</w:t>
      </w:r>
      <w:r w:rsidR="00381521">
        <w:rPr>
          <w:rFonts w:ascii="Arial" w:eastAsia="Calibri" w:hAnsi="Arial" w:cs="Times New Roman"/>
          <w:kern w:val="0"/>
          <w:szCs w:val="22"/>
          <w14:ligatures w14:val="none"/>
        </w:rPr>
        <w:t>4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 % a meziročně o </w:t>
      </w:r>
      <w:r w:rsidR="00381521">
        <w:rPr>
          <w:rFonts w:ascii="Arial" w:eastAsia="Calibri" w:hAnsi="Arial" w:cs="Times New Roman"/>
          <w:kern w:val="0"/>
          <w:szCs w:val="22"/>
          <w14:ligatures w14:val="none"/>
        </w:rPr>
        <w:t>1,9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 %. </w:t>
      </w:r>
      <w:r w:rsidRPr="001A5442">
        <w:rPr>
          <w:rFonts w:ascii="Arial" w:eastAsia="Calibri" w:hAnsi="Arial" w:cs="Times New Roman"/>
          <w:i/>
          <w:kern w:val="0"/>
          <w:szCs w:val="22"/>
          <w14:ligatures w14:val="none"/>
        </w:rPr>
        <w:t>„</w:t>
      </w:r>
      <w:r w:rsidR="005325CE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Zrychlení </w:t>
      </w:r>
      <w:r w:rsidR="004416E8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mezičtvrtletního </w:t>
      </w:r>
      <w:r w:rsidR="006102E9">
        <w:rPr>
          <w:rFonts w:ascii="Arial" w:eastAsia="Calibri" w:hAnsi="Arial" w:cs="Times New Roman"/>
          <w:i/>
          <w:kern w:val="0"/>
          <w:szCs w:val="22"/>
          <w14:ligatures w14:val="none"/>
        </w:rPr>
        <w:t>růstu</w:t>
      </w:r>
      <w:r w:rsidR="004416E8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 české ekonomiky </w:t>
      </w:r>
      <w:r w:rsidR="005325CE">
        <w:rPr>
          <w:rFonts w:ascii="Arial" w:eastAsia="Calibri" w:hAnsi="Arial" w:cs="Times New Roman"/>
          <w:i/>
          <w:kern w:val="0"/>
          <w:szCs w:val="22"/>
          <w14:ligatures w14:val="none"/>
        </w:rPr>
        <w:t>podpořila zejména zahraniční poptávka.</w:t>
      </w:r>
      <w:r w:rsidR="00BB71A9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 Reálný růst vývozu korespondoval s vývojem v průmyslu, který po zpomalení ze začátku roku opět nabral dech. </w:t>
      </w:r>
      <w:r w:rsidR="003F2859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Pokračoval také </w:t>
      </w:r>
      <w:r w:rsidR="00AB59B1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silný </w:t>
      </w:r>
      <w:r w:rsidR="003F2859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růst </w:t>
      </w:r>
      <w:r w:rsidR="00204AE1">
        <w:rPr>
          <w:rFonts w:ascii="Arial" w:eastAsia="Calibri" w:hAnsi="Arial" w:cs="Times New Roman"/>
          <w:i/>
          <w:kern w:val="0"/>
          <w:szCs w:val="22"/>
          <w14:ligatures w14:val="none"/>
        </w:rPr>
        <w:t>investi</w:t>
      </w:r>
      <w:r w:rsidR="007071E0">
        <w:rPr>
          <w:rFonts w:ascii="Arial" w:eastAsia="Calibri" w:hAnsi="Arial" w:cs="Times New Roman"/>
          <w:i/>
          <w:kern w:val="0"/>
          <w:szCs w:val="22"/>
          <w14:ligatures w14:val="none"/>
        </w:rPr>
        <w:t>c</w:t>
      </w:r>
      <w:r w:rsidR="009B4693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, jejichž oživení </w:t>
      </w:r>
      <w:r w:rsidR="00FF30FF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je </w:t>
      </w:r>
      <w:r w:rsidR="009B4693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v posledních dvou letech </w:t>
      </w:r>
      <w:r w:rsidR="00231338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spojeno </w:t>
      </w:r>
      <w:r w:rsidR="00FF30FF">
        <w:rPr>
          <w:rFonts w:ascii="Arial" w:eastAsia="Calibri" w:hAnsi="Arial" w:cs="Times New Roman"/>
          <w:i/>
          <w:kern w:val="0"/>
          <w:szCs w:val="22"/>
          <w14:ligatures w14:val="none"/>
        </w:rPr>
        <w:t>s </w:t>
      </w:r>
      <w:r w:rsidR="00786C28">
        <w:rPr>
          <w:rFonts w:ascii="Arial" w:eastAsia="Calibri" w:hAnsi="Arial" w:cs="Times New Roman"/>
          <w:i/>
          <w:kern w:val="0"/>
          <w:szCs w:val="22"/>
          <w14:ligatures w14:val="none"/>
        </w:rPr>
        <w:t>rozmachem</w:t>
      </w:r>
      <w:r w:rsidR="00FF30FF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 ve </w:t>
      </w:r>
      <w:r w:rsidR="00231338">
        <w:rPr>
          <w:rFonts w:ascii="Arial" w:eastAsia="Calibri" w:hAnsi="Arial" w:cs="Times New Roman"/>
          <w:i/>
          <w:kern w:val="0"/>
          <w:szCs w:val="22"/>
          <w14:ligatures w14:val="none"/>
        </w:rPr>
        <w:t>stavebnictví</w:t>
      </w:r>
      <w:r w:rsidRPr="001A5442">
        <w:rPr>
          <w:rFonts w:ascii="Arial" w:eastAsia="Calibri" w:hAnsi="Arial" w:cs="Times New Roman"/>
          <w:i/>
          <w:kern w:val="0"/>
          <w:szCs w:val="22"/>
          <w14:ligatures w14:val="none"/>
        </w:rPr>
        <w:t xml:space="preserve">,“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řík</w:t>
      </w:r>
      <w:r w:rsidR="009617D9">
        <w:rPr>
          <w:rFonts w:ascii="Arial" w:eastAsia="Calibri" w:hAnsi="Arial" w:cs="Times New Roman"/>
          <w:kern w:val="0"/>
          <w:szCs w:val="22"/>
          <w14:ligatures w14:val="none"/>
        </w:rPr>
        <w:t>á Jaroslav Sixta, místopředseda Českého statistického úřadu.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2861FF6F" w14:textId="07274C50" w:rsidR="001A5442" w:rsidRPr="001A5442" w:rsidRDefault="00B07ADE" w:rsidP="001A5442">
      <w:pPr>
        <w:spacing w:after="240" w:line="264" w:lineRule="auto"/>
        <w:jc w:val="left"/>
        <w:rPr>
          <w:rFonts w:ascii="Arial" w:eastAsia="Calibri" w:hAnsi="Arial" w:cs="Times New Roman"/>
          <w:i/>
          <w:kern w:val="0"/>
          <w:szCs w:val="22"/>
          <w14:ligatures w14:val="none"/>
        </w:rPr>
      </w:pP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Zdražení ropy mělo viditelný dopad na vývoj cen a </w:t>
      </w:r>
      <w:r w:rsidR="005159CA">
        <w:rPr>
          <w:rFonts w:ascii="Arial" w:eastAsia="Calibri" w:hAnsi="Arial" w:cs="Times New Roman"/>
          <w:kern w:val="0"/>
          <w:szCs w:val="22"/>
          <w14:ligatures w14:val="none"/>
        </w:rPr>
        <w:t>ovlivnilo také výsledky v zahraničním obchodě</w:t>
      </w:r>
      <w:r w:rsidR="00BB71A9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D57E7A">
        <w:rPr>
          <w:rFonts w:ascii="Arial" w:eastAsia="Calibri" w:hAnsi="Arial" w:cs="Times New Roman"/>
          <w:kern w:val="0"/>
          <w:szCs w:val="22"/>
          <w14:ligatures w14:val="none"/>
        </w:rPr>
        <w:t>Přebytek b</w:t>
      </w:r>
      <w:r w:rsidR="001A5442"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ilance zahraničního obchodu </w:t>
      </w:r>
      <w:r w:rsidR="00835B8A">
        <w:rPr>
          <w:rFonts w:ascii="Arial" w:eastAsia="Calibri" w:hAnsi="Arial" w:cs="Times New Roman"/>
          <w:kern w:val="0"/>
          <w:szCs w:val="22"/>
          <w14:ligatures w14:val="none"/>
        </w:rPr>
        <w:t xml:space="preserve">se zbožím a službami </w:t>
      </w:r>
      <w:r w:rsidR="00C8102C">
        <w:rPr>
          <w:rFonts w:ascii="Arial" w:eastAsia="Calibri" w:hAnsi="Arial" w:cs="Times New Roman"/>
          <w:kern w:val="0"/>
          <w:szCs w:val="22"/>
          <w14:ligatures w14:val="none"/>
        </w:rPr>
        <w:t>se</w:t>
      </w:r>
      <w:r w:rsidR="00835B8A">
        <w:rPr>
          <w:rFonts w:ascii="Arial" w:eastAsia="Calibri" w:hAnsi="Arial" w:cs="Times New Roman"/>
          <w:kern w:val="0"/>
          <w:szCs w:val="22"/>
          <w14:ligatures w14:val="none"/>
        </w:rPr>
        <w:t xml:space="preserve"> v</w:t>
      </w:r>
      <w:r w:rsidR="00C8102C">
        <w:rPr>
          <w:rFonts w:ascii="Arial" w:eastAsia="Calibri" w:hAnsi="Arial" w:cs="Times New Roman"/>
          <w:kern w:val="0"/>
          <w:szCs w:val="22"/>
          <w14:ligatures w14:val="none"/>
        </w:rPr>
        <w:t>e</w:t>
      </w:r>
      <w:r w:rsidR="00835B8A">
        <w:rPr>
          <w:rFonts w:ascii="Arial" w:eastAsia="Calibri" w:hAnsi="Arial" w:cs="Times New Roman"/>
          <w:kern w:val="0"/>
          <w:szCs w:val="22"/>
          <w14:ligatures w14:val="none"/>
        </w:rPr>
        <w:t> </w:t>
      </w:r>
      <w:r w:rsidR="00C8102C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835B8A">
        <w:rPr>
          <w:rFonts w:ascii="Arial" w:eastAsia="Calibri" w:hAnsi="Arial" w:cs="Times New Roman"/>
          <w:kern w:val="0"/>
          <w:szCs w:val="22"/>
          <w14:ligatures w14:val="none"/>
        </w:rPr>
        <w:t>. čtvrt</w:t>
      </w:r>
      <w:r w:rsidR="00D57E7A">
        <w:rPr>
          <w:rFonts w:ascii="Arial" w:eastAsia="Calibri" w:hAnsi="Arial" w:cs="Times New Roman"/>
          <w:kern w:val="0"/>
          <w:szCs w:val="22"/>
          <w14:ligatures w14:val="none"/>
        </w:rPr>
        <w:t>letí meziročně i mezičtvrtletně snížil</w:t>
      </w:r>
      <w:r w:rsidR="000C2DB3">
        <w:rPr>
          <w:rFonts w:ascii="Arial" w:eastAsia="Calibri" w:hAnsi="Arial" w:cs="Times New Roman"/>
          <w:kern w:val="0"/>
          <w:szCs w:val="22"/>
          <w14:ligatures w14:val="none"/>
        </w:rPr>
        <w:t xml:space="preserve"> a zv</w:t>
      </w:r>
      <w:r w:rsidR="00564D63">
        <w:rPr>
          <w:rFonts w:ascii="Arial" w:eastAsia="Calibri" w:hAnsi="Arial" w:cs="Times New Roman"/>
          <w:kern w:val="0"/>
          <w:szCs w:val="22"/>
          <w14:ligatures w14:val="none"/>
        </w:rPr>
        <w:t xml:space="preserve">ýšení cen přímo ovlivnilo </w:t>
      </w:r>
      <w:r w:rsidR="00B151B5" w:rsidRPr="00B151B5">
        <w:rPr>
          <w:rFonts w:ascii="Arial" w:eastAsia="Calibri" w:hAnsi="Arial" w:cs="Times New Roman"/>
          <w:kern w:val="0"/>
          <w:szCs w:val="22"/>
          <w14:ligatures w14:val="none"/>
        </w:rPr>
        <w:t>meziroční zhoršení bilance obchodu s koksem a rafinovanými ropnými produkty</w:t>
      </w:r>
      <w:r w:rsidR="00972365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r w:rsidR="00B151B5" w:rsidRPr="00B151B5">
        <w:rPr>
          <w:rFonts w:ascii="Arial" w:eastAsia="Calibri" w:hAnsi="Arial" w:cs="Times New Roman"/>
          <w:kern w:val="0"/>
          <w:szCs w:val="22"/>
          <w14:ligatures w14:val="none"/>
        </w:rPr>
        <w:t>ropou a zemním plynem nebo základními kovy. Ve směru meziročního zlepšení bilance působil ve 2. čtvrtletí hlavně obchod s motorovými vozidly</w:t>
      </w:r>
      <w:r w:rsidR="00FF1A0C">
        <w:rPr>
          <w:rFonts w:ascii="Arial" w:eastAsia="Calibri" w:hAnsi="Arial" w:cs="Times New Roman"/>
          <w:kern w:val="0"/>
          <w:szCs w:val="22"/>
          <w14:ligatures w14:val="none"/>
        </w:rPr>
        <w:t xml:space="preserve"> a</w:t>
      </w:r>
      <w:r w:rsidR="00B151B5" w:rsidRPr="00B151B5">
        <w:rPr>
          <w:rFonts w:ascii="Arial" w:eastAsia="Calibri" w:hAnsi="Arial" w:cs="Times New Roman"/>
          <w:kern w:val="0"/>
          <w:szCs w:val="22"/>
          <w14:ligatures w14:val="none"/>
        </w:rPr>
        <w:t xml:space="preserve"> počítači, elektronickými a optickými přístroji a zařízeními</w:t>
      </w:r>
      <w:r w:rsidR="00FF1A0C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 w:rsidR="00E07398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21F87BDE" w14:textId="689149DA" w:rsidR="001A5442" w:rsidRPr="001A5442" w:rsidRDefault="00B85E3C" w:rsidP="001A5442">
      <w:pPr>
        <w:spacing w:after="240" w:line="264" w:lineRule="auto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  <w:r>
        <w:rPr>
          <w:rFonts w:ascii="Arial" w:eastAsia="Calibri" w:hAnsi="Arial" w:cs="Times New Roman"/>
          <w:kern w:val="0"/>
          <w:szCs w:val="22"/>
          <w14:ligatures w14:val="none"/>
        </w:rPr>
        <w:t>S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>potřebitelsk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é ceny 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 xml:space="preserve">ve 2. čtvrtletí 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meziročně vzrostly o 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>2,0 %</w:t>
      </w:r>
      <w:r w:rsidR="00E42DD8">
        <w:rPr>
          <w:rFonts w:ascii="Arial" w:eastAsia="Calibri" w:hAnsi="Arial" w:cs="Times New Roman"/>
          <w:kern w:val="0"/>
          <w:szCs w:val="22"/>
          <w14:ligatures w14:val="none"/>
        </w:rPr>
        <w:t xml:space="preserve"> a mezičtvrtletně o 0,9 %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 xml:space="preserve">. </w:t>
      </w:r>
      <w:r>
        <w:rPr>
          <w:rFonts w:ascii="Arial" w:eastAsia="Calibri" w:hAnsi="Arial" w:cs="Times New Roman"/>
          <w:kern w:val="0"/>
          <w:szCs w:val="22"/>
          <w14:ligatures w14:val="none"/>
        </w:rPr>
        <w:t>Zrychlen</w:t>
      </w:r>
      <w:r w:rsidR="00BC480A">
        <w:rPr>
          <w:rFonts w:ascii="Arial" w:eastAsia="Calibri" w:hAnsi="Arial" w:cs="Times New Roman"/>
          <w:kern w:val="0"/>
          <w:szCs w:val="22"/>
          <w14:ligatures w14:val="none"/>
        </w:rPr>
        <w:t>í</w:t>
      </w:r>
      <w:r>
        <w:rPr>
          <w:rFonts w:ascii="Arial" w:eastAsia="Calibri" w:hAnsi="Arial" w:cs="Times New Roman"/>
          <w:kern w:val="0"/>
          <w:szCs w:val="22"/>
          <w14:ligatures w14:val="none"/>
        </w:rPr>
        <w:t xml:space="preserve"> růstu </w:t>
      </w:r>
      <w:r w:rsidR="00BC480A">
        <w:rPr>
          <w:rFonts w:ascii="Arial" w:eastAsia="Calibri" w:hAnsi="Arial" w:cs="Times New Roman"/>
          <w:kern w:val="0"/>
          <w:szCs w:val="22"/>
          <w14:ligatures w14:val="none"/>
        </w:rPr>
        <w:t xml:space="preserve">lze z 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>výrazné většiny</w:t>
      </w:r>
      <w:r w:rsidR="00BC480A">
        <w:rPr>
          <w:rFonts w:ascii="Arial" w:eastAsia="Calibri" w:hAnsi="Arial" w:cs="Times New Roman"/>
          <w:kern w:val="0"/>
          <w:szCs w:val="22"/>
          <w14:ligatures w14:val="none"/>
        </w:rPr>
        <w:t xml:space="preserve"> přičíst 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>prudk</w:t>
      </w:r>
      <w:r w:rsidR="00BC480A">
        <w:rPr>
          <w:rFonts w:ascii="Arial" w:eastAsia="Calibri" w:hAnsi="Arial" w:cs="Times New Roman"/>
          <w:kern w:val="0"/>
          <w:szCs w:val="22"/>
          <w14:ligatures w14:val="none"/>
        </w:rPr>
        <w:t xml:space="preserve">ému zdražení </w:t>
      </w:r>
      <w:r w:rsidRPr="00B85E3C">
        <w:rPr>
          <w:rFonts w:ascii="Arial" w:eastAsia="Calibri" w:hAnsi="Arial" w:cs="Times New Roman"/>
          <w:kern w:val="0"/>
          <w:szCs w:val="22"/>
          <w14:ligatures w14:val="none"/>
        </w:rPr>
        <w:t xml:space="preserve">cen pohonných hmot. </w:t>
      </w:r>
      <w:r w:rsidR="00871DF8">
        <w:rPr>
          <w:rFonts w:ascii="Arial" w:eastAsia="Calibri" w:hAnsi="Arial" w:cs="Times New Roman"/>
          <w:kern w:val="0"/>
          <w:szCs w:val="22"/>
          <w14:ligatures w14:val="none"/>
        </w:rPr>
        <w:t xml:space="preserve">Pod vlivem cen nájemného a nákladů na vlastnické bydlení </w:t>
      </w:r>
      <w:r w:rsidR="00216B5C">
        <w:rPr>
          <w:rFonts w:ascii="Arial" w:eastAsia="Calibri" w:hAnsi="Arial" w:cs="Times New Roman"/>
          <w:kern w:val="0"/>
          <w:szCs w:val="22"/>
          <w14:ligatures w14:val="none"/>
        </w:rPr>
        <w:t xml:space="preserve">mírně </w:t>
      </w:r>
      <w:r w:rsidR="00A77C85">
        <w:rPr>
          <w:rFonts w:ascii="Arial" w:eastAsia="Calibri" w:hAnsi="Arial" w:cs="Times New Roman"/>
          <w:kern w:val="0"/>
          <w:szCs w:val="22"/>
          <w14:ligatures w14:val="none"/>
        </w:rPr>
        <w:t xml:space="preserve">sílil </w:t>
      </w:r>
      <w:r w:rsidR="00871DF8">
        <w:rPr>
          <w:rFonts w:ascii="Arial" w:eastAsia="Calibri" w:hAnsi="Arial" w:cs="Times New Roman"/>
          <w:kern w:val="0"/>
          <w:szCs w:val="22"/>
          <w14:ligatures w14:val="none"/>
        </w:rPr>
        <w:t xml:space="preserve">i </w:t>
      </w:r>
      <w:r w:rsidR="00A77C85">
        <w:rPr>
          <w:rFonts w:ascii="Arial" w:eastAsia="Calibri" w:hAnsi="Arial" w:cs="Times New Roman"/>
          <w:kern w:val="0"/>
          <w:szCs w:val="22"/>
          <w14:ligatures w14:val="none"/>
        </w:rPr>
        <w:t xml:space="preserve">přírůstek </w:t>
      </w:r>
      <w:r w:rsidR="00871DF8">
        <w:rPr>
          <w:rFonts w:ascii="Arial" w:eastAsia="Calibri" w:hAnsi="Arial" w:cs="Times New Roman"/>
          <w:kern w:val="0"/>
          <w:szCs w:val="22"/>
          <w14:ligatures w14:val="none"/>
        </w:rPr>
        <w:t xml:space="preserve">cen bydlení a energií. </w:t>
      </w:r>
      <w:r w:rsidR="006E5411">
        <w:rPr>
          <w:rFonts w:ascii="Arial" w:eastAsia="Calibri" w:hAnsi="Arial" w:cs="Times New Roman"/>
          <w:kern w:val="0"/>
          <w:szCs w:val="22"/>
          <w14:ligatures w14:val="none"/>
        </w:rPr>
        <w:t xml:space="preserve">Naopak většímu </w:t>
      </w:r>
      <w:r w:rsidR="00A77C85">
        <w:rPr>
          <w:rFonts w:ascii="Arial" w:eastAsia="Calibri" w:hAnsi="Arial" w:cs="Times New Roman"/>
          <w:kern w:val="0"/>
          <w:szCs w:val="22"/>
          <w14:ligatures w14:val="none"/>
        </w:rPr>
        <w:t xml:space="preserve">zvýšení </w:t>
      </w:r>
      <w:r w:rsidR="006E5411">
        <w:rPr>
          <w:rFonts w:ascii="Arial" w:eastAsia="Calibri" w:hAnsi="Arial" w:cs="Times New Roman"/>
          <w:kern w:val="0"/>
          <w:szCs w:val="22"/>
          <w14:ligatures w14:val="none"/>
        </w:rPr>
        <w:t>spotřebitelských</w:t>
      </w:r>
      <w:r w:rsidR="00E42DD8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6E5411">
        <w:rPr>
          <w:rFonts w:ascii="Arial" w:eastAsia="Calibri" w:hAnsi="Arial" w:cs="Times New Roman"/>
          <w:kern w:val="0"/>
          <w:szCs w:val="22"/>
          <w14:ligatures w14:val="none"/>
        </w:rPr>
        <w:t>cen bránily klesající ceny potravin a nealkoholických nápojů.</w:t>
      </w:r>
      <w:r w:rsidR="00EF40CC">
        <w:rPr>
          <w:rFonts w:ascii="Arial" w:eastAsia="Calibri" w:hAnsi="Arial" w:cs="Times New Roman"/>
          <w:kern w:val="0"/>
          <w:szCs w:val="22"/>
          <w14:ligatures w14:val="none"/>
        </w:rPr>
        <w:t xml:space="preserve"> Ceny ropy se promítly i do růstu cen průmyslových výrobců.</w:t>
      </w:r>
      <w:r w:rsidR="00F91B35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6E5411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</w:p>
    <w:p w14:paraId="54B4AE77" w14:textId="6965770E" w:rsidR="001A5442" w:rsidRPr="001A5442" w:rsidRDefault="001A5442" w:rsidP="001A5442">
      <w:pPr>
        <w:spacing w:after="0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Průměrná hrubá měsíční mzda zaměstnanců </w:t>
      </w:r>
      <w:r w:rsidR="00F35E7C">
        <w:rPr>
          <w:rFonts w:ascii="Arial" w:eastAsia="Calibri" w:hAnsi="Arial" w:cs="Times New Roman"/>
          <w:kern w:val="0"/>
          <w:szCs w:val="22"/>
          <w14:ligatures w14:val="none"/>
        </w:rPr>
        <w:t>v</w:t>
      </w:r>
      <w:r w:rsidR="00DA6B82">
        <w:rPr>
          <w:rFonts w:ascii="Arial" w:eastAsia="Calibri" w:hAnsi="Arial" w:cs="Times New Roman"/>
          <w:kern w:val="0"/>
          <w:szCs w:val="22"/>
          <w14:ligatures w14:val="none"/>
        </w:rPr>
        <w:t>e</w:t>
      </w:r>
      <w:r w:rsidR="00F35E7C">
        <w:rPr>
          <w:rFonts w:ascii="Arial" w:eastAsia="Calibri" w:hAnsi="Arial" w:cs="Times New Roman"/>
          <w:kern w:val="0"/>
          <w:szCs w:val="22"/>
          <w14:ligatures w14:val="none"/>
        </w:rPr>
        <w:t> </w:t>
      </w:r>
      <w:r w:rsidR="00DA6B82">
        <w:rPr>
          <w:rFonts w:ascii="Arial" w:eastAsia="Calibri" w:hAnsi="Arial" w:cs="Times New Roman"/>
          <w:kern w:val="0"/>
          <w:szCs w:val="22"/>
          <w14:ligatures w14:val="none"/>
        </w:rPr>
        <w:t>2</w:t>
      </w:r>
      <w:r w:rsidR="00F35E7C">
        <w:rPr>
          <w:rFonts w:ascii="Arial" w:eastAsia="Calibri" w:hAnsi="Arial" w:cs="Times New Roman"/>
          <w:kern w:val="0"/>
          <w:szCs w:val="22"/>
          <w14:ligatures w14:val="none"/>
        </w:rPr>
        <w:t xml:space="preserve">. čtvrtletí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dosáhla </w:t>
      </w:r>
      <w:r w:rsidR="00A52CD1">
        <w:rPr>
          <w:rFonts w:ascii="Arial" w:eastAsia="Calibri" w:hAnsi="Arial" w:cs="Times New Roman"/>
          <w:kern w:val="0"/>
          <w:szCs w:val="22"/>
          <w14:ligatures w14:val="none"/>
        </w:rPr>
        <w:t xml:space="preserve">51 966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korun</w:t>
      </w:r>
      <w:r w:rsidR="00786C28">
        <w:rPr>
          <w:rFonts w:ascii="Arial" w:eastAsia="Calibri" w:hAnsi="Arial" w:cs="Times New Roman"/>
          <w:kern w:val="0"/>
          <w:szCs w:val="22"/>
          <w14:ligatures w14:val="none"/>
        </w:rPr>
        <w:t xml:space="preserve">,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meziročn</w:t>
      </w:r>
      <w:r w:rsidR="00A52CD1">
        <w:rPr>
          <w:rFonts w:ascii="Arial" w:eastAsia="Calibri" w:hAnsi="Arial" w:cs="Times New Roman"/>
          <w:kern w:val="0"/>
          <w:szCs w:val="22"/>
          <w14:ligatures w14:val="none"/>
        </w:rPr>
        <w:t xml:space="preserve">ě se zvýšila o </w:t>
      </w:r>
      <w:r w:rsidR="008440E2">
        <w:rPr>
          <w:rFonts w:ascii="Arial" w:eastAsia="Calibri" w:hAnsi="Arial" w:cs="Times New Roman"/>
          <w:kern w:val="0"/>
          <w:szCs w:val="22"/>
          <w14:ligatures w14:val="none"/>
        </w:rPr>
        <w:t>6,4 %</w:t>
      </w:r>
      <w:r w:rsidR="00786C28">
        <w:rPr>
          <w:rFonts w:ascii="Arial" w:eastAsia="Calibri" w:hAnsi="Arial" w:cs="Times New Roman"/>
          <w:kern w:val="0"/>
          <w:szCs w:val="22"/>
          <w14:ligatures w14:val="none"/>
        </w:rPr>
        <w:t xml:space="preserve"> a mzdový růst tak zůstával stabilní.</w:t>
      </w:r>
      <w:r w:rsidR="008440E2">
        <w:rPr>
          <w:rFonts w:ascii="Arial" w:eastAsia="Calibri" w:hAnsi="Arial" w:cs="Times New Roman"/>
          <w:kern w:val="0"/>
          <w:szCs w:val="22"/>
          <w14:ligatures w14:val="none"/>
        </w:rPr>
        <w:t xml:space="preserve"> Reálně se pak </w:t>
      </w:r>
      <w:r w:rsidR="00AE5ADE">
        <w:rPr>
          <w:rFonts w:ascii="Arial" w:eastAsia="Calibri" w:hAnsi="Arial" w:cs="Times New Roman"/>
          <w:kern w:val="0"/>
          <w:szCs w:val="22"/>
          <w14:ligatures w14:val="none"/>
        </w:rPr>
        <w:t xml:space="preserve">průměrné </w:t>
      </w:r>
      <w:r w:rsidR="008440E2">
        <w:rPr>
          <w:rFonts w:ascii="Arial" w:eastAsia="Calibri" w:hAnsi="Arial" w:cs="Times New Roman"/>
          <w:kern w:val="0"/>
          <w:szCs w:val="22"/>
          <w14:ligatures w14:val="none"/>
        </w:rPr>
        <w:t>výdělky zvýšily o</w:t>
      </w:r>
      <w:r w:rsidR="00AE5ADE">
        <w:rPr>
          <w:rFonts w:ascii="Arial" w:eastAsia="Calibri" w:hAnsi="Arial" w:cs="Times New Roman"/>
          <w:kern w:val="0"/>
          <w:szCs w:val="22"/>
          <w14:ligatures w14:val="none"/>
        </w:rPr>
        <w:t xml:space="preserve"> výrazná </w:t>
      </w:r>
      <w:r w:rsidR="001B55EF">
        <w:rPr>
          <w:rFonts w:ascii="Arial" w:eastAsia="Calibri" w:hAnsi="Arial" w:cs="Times New Roman"/>
          <w:kern w:val="0"/>
          <w:szCs w:val="22"/>
          <w14:ligatures w14:val="none"/>
        </w:rPr>
        <w:t>4,3 %</w:t>
      </w:r>
      <w:r w:rsidR="004C204D">
        <w:rPr>
          <w:rFonts w:ascii="Arial" w:eastAsia="Calibri" w:hAnsi="Arial" w:cs="Times New Roman"/>
          <w:kern w:val="0"/>
          <w:szCs w:val="22"/>
          <w14:ligatures w14:val="none"/>
        </w:rPr>
        <w:t xml:space="preserve"> a zhodnocení se týkalo všech hlavních odvětví</w:t>
      </w:r>
      <w:r w:rsidR="001B55EF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 w:rsidR="00A34D77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Celková zaměstnanost </w:t>
      </w:r>
      <w:r w:rsidR="00831CCA">
        <w:rPr>
          <w:rFonts w:ascii="Arial" w:eastAsia="Calibri" w:hAnsi="Arial" w:cs="Times New Roman"/>
          <w:kern w:val="0"/>
          <w:szCs w:val="22"/>
          <w14:ligatures w14:val="none"/>
        </w:rPr>
        <w:t>byla ve 2</w:t>
      </w:r>
      <w:r w:rsidR="00774CCE">
        <w:rPr>
          <w:rFonts w:ascii="Arial" w:eastAsia="Calibri" w:hAnsi="Arial" w:cs="Times New Roman"/>
          <w:kern w:val="0"/>
          <w:szCs w:val="22"/>
          <w14:ligatures w14:val="none"/>
        </w:rPr>
        <w:t>. čtvrtletí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774CCE">
        <w:rPr>
          <w:rFonts w:ascii="Arial" w:eastAsia="Calibri" w:hAnsi="Arial" w:cs="Times New Roman"/>
          <w:kern w:val="0"/>
          <w:szCs w:val="22"/>
          <w14:ligatures w14:val="none"/>
        </w:rPr>
        <w:t xml:space="preserve">mezičtvrtletně </w:t>
      </w:r>
      <w:r w:rsidR="00831CCA">
        <w:rPr>
          <w:rFonts w:ascii="Arial" w:eastAsia="Calibri" w:hAnsi="Arial" w:cs="Times New Roman"/>
          <w:kern w:val="0"/>
          <w:szCs w:val="22"/>
          <w14:ligatures w14:val="none"/>
        </w:rPr>
        <w:t xml:space="preserve">vyšší o </w:t>
      </w:r>
      <w:r w:rsidR="00A34D77">
        <w:rPr>
          <w:rFonts w:ascii="Arial" w:eastAsia="Calibri" w:hAnsi="Arial" w:cs="Times New Roman"/>
          <w:kern w:val="0"/>
          <w:szCs w:val="22"/>
          <w14:ligatures w14:val="none"/>
        </w:rPr>
        <w:t xml:space="preserve">0,9 % a </w:t>
      </w:r>
      <w:r w:rsidR="00BC14F8">
        <w:rPr>
          <w:rFonts w:ascii="Arial" w:eastAsia="Calibri" w:hAnsi="Arial" w:cs="Times New Roman"/>
          <w:kern w:val="0"/>
          <w:szCs w:val="22"/>
          <w14:ligatures w14:val="none"/>
        </w:rPr>
        <w:t xml:space="preserve">meziročně o </w:t>
      </w:r>
      <w:r w:rsidR="00A34D77">
        <w:rPr>
          <w:rFonts w:ascii="Arial" w:eastAsia="Calibri" w:hAnsi="Arial" w:cs="Times New Roman"/>
          <w:kern w:val="0"/>
          <w:szCs w:val="22"/>
          <w14:ligatures w14:val="none"/>
        </w:rPr>
        <w:t>1,5 %</w:t>
      </w:r>
      <w:r w:rsidR="00BC14F8">
        <w:rPr>
          <w:rFonts w:ascii="Arial" w:eastAsia="Calibri" w:hAnsi="Arial" w:cs="Times New Roman"/>
          <w:kern w:val="0"/>
          <w:szCs w:val="22"/>
          <w14:ligatures w14:val="none"/>
        </w:rPr>
        <w:t>.</w:t>
      </w:r>
      <w:r w:rsidR="00FA1A95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DB54EE">
        <w:rPr>
          <w:rFonts w:ascii="Arial" w:eastAsia="Calibri" w:hAnsi="Arial" w:cs="Times New Roman"/>
          <w:kern w:val="0"/>
          <w:szCs w:val="22"/>
          <w14:ligatures w14:val="none"/>
        </w:rPr>
        <w:t>K</w:t>
      </w:r>
      <w:r w:rsidR="009617D9">
        <w:rPr>
          <w:rFonts w:ascii="Arial" w:eastAsia="Calibri" w:hAnsi="Arial" w:cs="Times New Roman"/>
          <w:kern w:val="0"/>
          <w:szCs w:val="22"/>
          <w14:ligatures w14:val="none"/>
        </w:rPr>
        <w:t xml:space="preserve"> jejímu </w:t>
      </w:r>
      <w:r w:rsidR="00DB54EE">
        <w:rPr>
          <w:rFonts w:ascii="Arial" w:eastAsia="Calibri" w:hAnsi="Arial" w:cs="Times New Roman"/>
          <w:kern w:val="0"/>
          <w:szCs w:val="22"/>
          <w14:ligatures w14:val="none"/>
        </w:rPr>
        <w:t xml:space="preserve">růstu přispívaly </w:t>
      </w:r>
      <w:r w:rsidR="00456DB1">
        <w:rPr>
          <w:rFonts w:ascii="Arial" w:eastAsia="Calibri" w:hAnsi="Arial" w:cs="Times New Roman"/>
          <w:kern w:val="0"/>
          <w:szCs w:val="22"/>
          <w14:ligatures w14:val="none"/>
        </w:rPr>
        <w:t>zejména služby</w:t>
      </w:r>
      <w:r w:rsidR="00C16440">
        <w:rPr>
          <w:rFonts w:ascii="Arial" w:eastAsia="Calibri" w:hAnsi="Arial" w:cs="Times New Roman"/>
          <w:kern w:val="0"/>
          <w:szCs w:val="22"/>
          <w14:ligatures w14:val="none"/>
        </w:rPr>
        <w:t xml:space="preserve"> a také stavebnictví</w:t>
      </w:r>
      <w:r w:rsidR="00D6694F">
        <w:rPr>
          <w:rFonts w:ascii="Arial" w:eastAsia="Calibri" w:hAnsi="Arial" w:cs="Times New Roman"/>
          <w:kern w:val="0"/>
          <w:szCs w:val="22"/>
          <w14:ligatures w14:val="none"/>
        </w:rPr>
        <w:t xml:space="preserve">. </w:t>
      </w:r>
      <w:r w:rsidR="00331F86">
        <w:rPr>
          <w:rFonts w:ascii="Arial" w:eastAsia="Calibri" w:hAnsi="Arial" w:cs="Times New Roman"/>
          <w:kern w:val="0"/>
          <w:szCs w:val="22"/>
          <w14:ligatures w14:val="none"/>
        </w:rPr>
        <w:t>Obecná m</w:t>
      </w:r>
      <w:r w:rsidR="00BC14F8">
        <w:rPr>
          <w:rFonts w:ascii="Arial" w:eastAsia="Calibri" w:hAnsi="Arial" w:cs="Times New Roman"/>
          <w:kern w:val="0"/>
          <w:szCs w:val="22"/>
          <w14:ligatures w14:val="none"/>
        </w:rPr>
        <w:t>íra n</w:t>
      </w: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ezaměstnanost</w:t>
      </w:r>
      <w:r w:rsidR="00BC14F8">
        <w:rPr>
          <w:rFonts w:ascii="Arial" w:eastAsia="Calibri" w:hAnsi="Arial" w:cs="Times New Roman"/>
          <w:kern w:val="0"/>
          <w:szCs w:val="22"/>
          <w14:ligatures w14:val="none"/>
        </w:rPr>
        <w:t>i se</w:t>
      </w:r>
      <w:r w:rsidR="00331F86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083E90">
        <w:rPr>
          <w:rFonts w:ascii="Arial" w:eastAsia="Calibri" w:hAnsi="Arial" w:cs="Times New Roman"/>
          <w:kern w:val="0"/>
          <w:szCs w:val="22"/>
          <w14:ligatures w14:val="none"/>
        </w:rPr>
        <w:t xml:space="preserve">dále </w:t>
      </w:r>
      <w:r w:rsidR="00331F86">
        <w:rPr>
          <w:rFonts w:ascii="Arial" w:eastAsia="Calibri" w:hAnsi="Arial" w:cs="Times New Roman"/>
          <w:kern w:val="0"/>
          <w:szCs w:val="22"/>
          <w14:ligatures w14:val="none"/>
        </w:rPr>
        <w:t>lehce zvyšovala</w:t>
      </w:r>
      <w:r w:rsidR="00083E90">
        <w:rPr>
          <w:rFonts w:ascii="Arial" w:eastAsia="Calibri" w:hAnsi="Arial" w:cs="Times New Roman"/>
          <w:kern w:val="0"/>
          <w:szCs w:val="22"/>
          <w14:ligatures w14:val="none"/>
        </w:rPr>
        <w:t>,</w:t>
      </w:r>
      <w:r w:rsidR="00D6694F">
        <w:rPr>
          <w:rFonts w:ascii="Arial" w:eastAsia="Calibri" w:hAnsi="Arial" w:cs="Times New Roman"/>
          <w:kern w:val="0"/>
          <w:szCs w:val="22"/>
          <w14:ligatures w14:val="none"/>
        </w:rPr>
        <w:t xml:space="preserve"> </w:t>
      </w:r>
      <w:r w:rsidR="00331F86">
        <w:rPr>
          <w:rFonts w:ascii="Arial" w:eastAsia="Calibri" w:hAnsi="Arial" w:cs="Times New Roman"/>
          <w:kern w:val="0"/>
          <w:szCs w:val="22"/>
          <w14:ligatures w14:val="none"/>
        </w:rPr>
        <w:t xml:space="preserve">její úroveň </w:t>
      </w:r>
      <w:r w:rsidR="00083E90">
        <w:rPr>
          <w:rFonts w:ascii="Arial" w:eastAsia="Calibri" w:hAnsi="Arial" w:cs="Times New Roman"/>
          <w:kern w:val="0"/>
          <w:szCs w:val="22"/>
          <w14:ligatures w14:val="none"/>
        </w:rPr>
        <w:t xml:space="preserve">ovšem </w:t>
      </w:r>
      <w:r w:rsidR="00331F86">
        <w:rPr>
          <w:rFonts w:ascii="Arial" w:eastAsia="Calibri" w:hAnsi="Arial" w:cs="Times New Roman"/>
          <w:kern w:val="0"/>
          <w:szCs w:val="22"/>
          <w14:ligatures w14:val="none"/>
        </w:rPr>
        <w:t xml:space="preserve">zůstávala </w:t>
      </w:r>
      <w:r w:rsidR="009617D9">
        <w:rPr>
          <w:rFonts w:ascii="Arial" w:eastAsia="Calibri" w:hAnsi="Arial" w:cs="Times New Roman"/>
          <w:kern w:val="0"/>
          <w:szCs w:val="22"/>
          <w14:ligatures w14:val="none"/>
        </w:rPr>
        <w:br/>
      </w:r>
      <w:r w:rsidR="00083E90">
        <w:rPr>
          <w:rFonts w:ascii="Arial" w:eastAsia="Calibri" w:hAnsi="Arial" w:cs="Times New Roman"/>
          <w:kern w:val="0"/>
          <w:szCs w:val="22"/>
          <w14:ligatures w14:val="none"/>
        </w:rPr>
        <w:t>v historickém i mezinárodním kontextu nízká.</w:t>
      </w:r>
    </w:p>
    <w:p w14:paraId="3295FBA0" w14:textId="77777777" w:rsidR="001A5442" w:rsidRPr="001A5442" w:rsidRDefault="001A5442" w:rsidP="001A5442">
      <w:pPr>
        <w:spacing w:after="0" w:line="264" w:lineRule="auto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</w:p>
    <w:p w14:paraId="3EE2EE49" w14:textId="51523DEF" w:rsidR="001A5442" w:rsidRPr="001A5442" w:rsidRDefault="001A5442" w:rsidP="001A5442">
      <w:pPr>
        <w:spacing w:after="0" w:line="264" w:lineRule="auto"/>
        <w:jc w:val="left"/>
        <w:rPr>
          <w:rFonts w:ascii="Arial" w:eastAsia="Calibri" w:hAnsi="Arial" w:cs="Times New Roman"/>
          <w:kern w:val="0"/>
          <w:szCs w:val="22"/>
          <w14:ligatures w14:val="none"/>
        </w:rPr>
      </w:pPr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 xml:space="preserve">Další detaily přináší aktuální analýza </w:t>
      </w:r>
      <w:hyperlink r:id="rId11" w:history="1">
        <w:r w:rsidR="001F5025" w:rsidRPr="00884410">
          <w:rPr>
            <w:rStyle w:val="Hypertextovodkaz"/>
            <w:rFonts w:ascii="Arial" w:eastAsia="Calibri" w:hAnsi="Arial" w:cs="Times New Roman"/>
            <w:i/>
            <w:kern w:val="0"/>
            <w:szCs w:val="22"/>
            <w14:ligatures w14:val="none"/>
          </w:rPr>
          <w:t>Vývoj ekonomiky ČR </w:t>
        </w:r>
        <w:r w:rsidR="00884410" w:rsidRPr="00884410">
          <w:rPr>
            <w:rStyle w:val="Hypertextovodkaz"/>
            <w:rFonts w:ascii="Arial" w:eastAsia="Calibri" w:hAnsi="Arial" w:cs="Times New Roman"/>
            <w:i/>
            <w:kern w:val="0"/>
            <w:szCs w:val="22"/>
            <w14:ligatures w14:val="none"/>
          </w:rPr>
          <w:t>2</w:t>
        </w:r>
        <w:r w:rsidR="001F5025" w:rsidRPr="00884410">
          <w:rPr>
            <w:rStyle w:val="Hypertextovodkaz"/>
            <w:rFonts w:ascii="Arial" w:eastAsia="Calibri" w:hAnsi="Arial" w:cs="Times New Roman"/>
            <w:i/>
            <w:kern w:val="0"/>
            <w:szCs w:val="22"/>
            <w14:ligatures w14:val="none"/>
          </w:rPr>
          <w:t>.</w:t>
        </w:r>
        <w:r w:rsidR="00884410" w:rsidRPr="00884410">
          <w:rPr>
            <w:rStyle w:val="Hypertextovodkaz"/>
            <w:rFonts w:ascii="Arial" w:eastAsia="Calibri" w:hAnsi="Arial" w:cs="Times New Roman"/>
            <w:i/>
            <w:kern w:val="0"/>
            <w:szCs w:val="22"/>
            <w14:ligatures w14:val="none"/>
          </w:rPr>
          <w:t xml:space="preserve"> čtvrtle</w:t>
        </w:r>
        <w:r w:rsidR="001F5025" w:rsidRPr="00884410">
          <w:rPr>
            <w:rStyle w:val="Hypertextovodkaz"/>
            <w:rFonts w:ascii="Arial" w:eastAsia="Calibri" w:hAnsi="Arial" w:cs="Times New Roman"/>
            <w:i/>
            <w:kern w:val="0"/>
            <w:szCs w:val="22"/>
            <w14:ligatures w14:val="none"/>
          </w:rPr>
          <w:t>tí 2026</w:t>
        </w:r>
      </w:hyperlink>
      <w:r w:rsidRPr="001A5442">
        <w:rPr>
          <w:rFonts w:ascii="Arial" w:eastAsia="Calibri" w:hAnsi="Arial" w:cs="Times New Roman"/>
          <w:kern w:val="0"/>
          <w:szCs w:val="22"/>
          <w14:ligatures w14:val="none"/>
        </w:rPr>
        <w:t>.</w:t>
      </w:r>
    </w:p>
    <w:p w14:paraId="09282648" w14:textId="77777777" w:rsidR="006A57CC" w:rsidRDefault="006A57CC" w:rsidP="006A57CC"/>
    <w:p w14:paraId="001E96EA" w14:textId="77777777" w:rsidR="000D59EB" w:rsidRDefault="000D59EB" w:rsidP="000D59EB">
      <w:pPr>
        <w:spacing w:after="0"/>
        <w:jc w:val="left"/>
        <w:rPr>
          <w:b/>
        </w:rPr>
      </w:pPr>
      <w:r>
        <w:rPr>
          <w:b/>
        </w:rPr>
        <w:t>Kontakt:</w:t>
      </w:r>
    </w:p>
    <w:p w14:paraId="309036CC" w14:textId="77777777" w:rsidR="000D59EB" w:rsidRDefault="000D59EB" w:rsidP="000D59EB">
      <w:pPr>
        <w:spacing w:after="0"/>
        <w:jc w:val="left"/>
      </w:pPr>
      <w:r>
        <w:t>Jan Cieslar</w:t>
      </w:r>
    </w:p>
    <w:p w14:paraId="2792F4E6" w14:textId="77777777" w:rsidR="000D59EB" w:rsidRDefault="000D59EB" w:rsidP="000D59EB">
      <w:pPr>
        <w:spacing w:after="0"/>
        <w:jc w:val="left"/>
      </w:pPr>
      <w:r>
        <w:t>Tiskový mluvčí</w:t>
      </w:r>
    </w:p>
    <w:p w14:paraId="4BC9D3AD" w14:textId="77777777" w:rsidR="000D59EB" w:rsidRDefault="000D59EB" w:rsidP="000D59EB">
      <w:pPr>
        <w:spacing w:after="0"/>
        <w:jc w:val="left"/>
      </w:pPr>
      <w:r>
        <w:t xml:space="preserve">T: +420 274 052 017, </w:t>
      </w:r>
      <w:r w:rsidRPr="00D9775C">
        <w:t xml:space="preserve">M: </w:t>
      </w:r>
      <w:r>
        <w:t xml:space="preserve">+420 </w:t>
      </w:r>
      <w:r w:rsidRPr="00D9775C">
        <w:t>604 149 190</w:t>
      </w:r>
    </w:p>
    <w:p w14:paraId="18CA6F90" w14:textId="77777777" w:rsidR="000D59EB" w:rsidRDefault="000D59EB" w:rsidP="000D59EB">
      <w:pPr>
        <w:spacing w:after="0"/>
        <w:jc w:val="left"/>
      </w:pPr>
      <w:r>
        <w:t xml:space="preserve">E: </w:t>
      </w:r>
      <w:r w:rsidRPr="00D43AC3">
        <w:t>jan.cieslar@csu.gov.cz</w:t>
      </w:r>
      <w:r>
        <w:t>, X:</w:t>
      </w:r>
      <w:r w:rsidRPr="00D9775C">
        <w:t xml:space="preserve"> @czstatistika</w:t>
      </w:r>
    </w:p>
    <w:p w14:paraId="2D4133FB" w14:textId="0F5E207C" w:rsidR="006A57CC" w:rsidRDefault="006A57CC" w:rsidP="000D59EB">
      <w:pPr>
        <w:spacing w:after="0"/>
        <w:rPr>
          <w:rFonts w:cs="Arial"/>
        </w:rPr>
      </w:pPr>
    </w:p>
    <w:sectPr w:rsidR="006A57CC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9105F" w14:textId="77777777" w:rsidR="00BD44AF" w:rsidRDefault="00BD44AF" w:rsidP="004A01A7">
      <w:pPr>
        <w:spacing w:after="0" w:line="240" w:lineRule="auto"/>
      </w:pPr>
      <w:r>
        <w:separator/>
      </w:r>
    </w:p>
  </w:endnote>
  <w:endnote w:type="continuationSeparator" w:id="0">
    <w:p w14:paraId="01453576" w14:textId="77777777" w:rsidR="00BD44AF" w:rsidRDefault="00BD44AF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11721" w14:textId="77777777" w:rsidR="006A57CC" w:rsidRDefault="006A57CC" w:rsidP="00F21B6A">
    <w:pPr>
      <w:pStyle w:val="Zpat"/>
    </w:pPr>
    <w:r w:rsidRPr="006A57CC">
      <w:t>Český statistický úřad</w:t>
    </w:r>
  </w:p>
  <w:p w14:paraId="657155CE" w14:textId="77777777" w:rsidR="00F21B6A" w:rsidRDefault="006A57CC" w:rsidP="00F21B6A">
    <w:pPr>
      <w:pStyle w:val="Zpat"/>
    </w:pPr>
    <w:r w:rsidRPr="006A57CC">
      <w:t>Odbor komunikace</w:t>
    </w:r>
    <w:r w:rsidR="00F21B6A">
      <w:tab/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47F5B3C0" w14:textId="77777777" w:rsidR="00F21B6A" w:rsidRDefault="006A57CC" w:rsidP="00F21B6A">
    <w:pPr>
      <w:pStyle w:val="Zpat"/>
      <w:tabs>
        <w:tab w:val="left" w:pos="4440"/>
      </w:tabs>
    </w:pPr>
    <w:r w:rsidRPr="006A57CC">
      <w:t>Na padesátém 3268/81, 100 82 Praha 10</w:t>
    </w:r>
    <w:r w:rsidR="00F21B6A">
      <w:tab/>
    </w:r>
    <w:r w:rsidR="00F21B6A">
      <w:tab/>
    </w:r>
    <w:r w:rsidR="00F21B6A">
      <w:tab/>
    </w:r>
  </w:p>
  <w:p w14:paraId="37FDA684" w14:textId="77777777" w:rsidR="004A01A7" w:rsidRPr="00F21B6A" w:rsidRDefault="006A57CC" w:rsidP="00F21B6A">
    <w:pPr>
      <w:pStyle w:val="Zpat"/>
    </w:pPr>
    <w:r w:rsidRPr="006A57CC">
      <w:t>T: +420 274 052 834, E: press@csu.gov.cz</w:t>
    </w:r>
    <w:r w:rsidR="00F21B6A">
      <w:tab/>
    </w:r>
    <w:r w:rsidR="00F21B6A">
      <w:tab/>
    </w:r>
    <w:hyperlink r:id="rId1" w:history="1">
      <w:r>
        <w:t>csu.gov.cz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FEEFF" w14:textId="77777777" w:rsidR="00BD44AF" w:rsidRDefault="00BD44AF" w:rsidP="004A01A7">
      <w:pPr>
        <w:spacing w:after="0" w:line="240" w:lineRule="auto"/>
      </w:pPr>
    </w:p>
  </w:footnote>
  <w:footnote w:type="continuationSeparator" w:id="0">
    <w:p w14:paraId="5A16AE03" w14:textId="77777777" w:rsidR="00BD44AF" w:rsidRDefault="00BD44AF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28ABD7E0" w14:textId="77777777" w:rsidTr="00F21B6A">
      <w:trPr>
        <w:jc w:val="right"/>
      </w:trPr>
      <w:tc>
        <w:tcPr>
          <w:tcW w:w="4253" w:type="dxa"/>
        </w:tcPr>
        <w:p w14:paraId="0B326DD2" w14:textId="45EEA88F" w:rsidR="003208E6" w:rsidRDefault="00BC35CA" w:rsidP="00C063DD">
          <w:pPr>
            <w:pStyle w:val="Nadpis3"/>
            <w:spacing w:before="0"/>
            <w:jc w:val="right"/>
          </w:pPr>
          <w:r>
            <w:t>Tisková zpráva</w:t>
          </w:r>
        </w:p>
      </w:tc>
    </w:tr>
  </w:tbl>
  <w:p w14:paraId="638563E5" w14:textId="77777777" w:rsidR="004A01A7" w:rsidRDefault="00811964" w:rsidP="00550B36">
    <w:pPr>
      <w:pStyle w:val="Zhlav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64A68708" wp14:editId="2C8C5463">
          <wp:simplePos x="0" y="0"/>
          <wp:positionH relativeFrom="page">
            <wp:posOffset>485775</wp:posOffset>
          </wp:positionH>
          <wp:positionV relativeFrom="page">
            <wp:posOffset>362218</wp:posOffset>
          </wp:positionV>
          <wp:extent cx="1602000" cy="791464"/>
          <wp:effectExtent l="0" t="0" r="0" b="8890"/>
          <wp:wrapNone/>
          <wp:docPr id="16985685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2000" cy="791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AFB4C20"/>
    <w:multiLevelType w:val="hybridMultilevel"/>
    <w:tmpl w:val="49082F98"/>
    <w:lvl w:ilvl="0" w:tplc="5A5A889A">
      <w:start w:val="1"/>
      <w:numFmt w:val="decimal"/>
      <w:lvlText w:val="%1."/>
      <w:lvlJc w:val="left"/>
      <w:pPr>
        <w:ind w:left="1020" w:hanging="360"/>
      </w:pPr>
    </w:lvl>
    <w:lvl w:ilvl="1" w:tplc="0A548C90">
      <w:start w:val="1"/>
      <w:numFmt w:val="decimal"/>
      <w:lvlText w:val="%2."/>
      <w:lvlJc w:val="left"/>
      <w:pPr>
        <w:ind w:left="1020" w:hanging="360"/>
      </w:pPr>
    </w:lvl>
    <w:lvl w:ilvl="2" w:tplc="E5185CDA">
      <w:start w:val="1"/>
      <w:numFmt w:val="decimal"/>
      <w:lvlText w:val="%3."/>
      <w:lvlJc w:val="left"/>
      <w:pPr>
        <w:ind w:left="1020" w:hanging="360"/>
      </w:pPr>
    </w:lvl>
    <w:lvl w:ilvl="3" w:tplc="AC023E86">
      <w:start w:val="1"/>
      <w:numFmt w:val="decimal"/>
      <w:lvlText w:val="%4."/>
      <w:lvlJc w:val="left"/>
      <w:pPr>
        <w:ind w:left="1020" w:hanging="360"/>
      </w:pPr>
    </w:lvl>
    <w:lvl w:ilvl="4" w:tplc="18CCAC8C">
      <w:start w:val="1"/>
      <w:numFmt w:val="decimal"/>
      <w:lvlText w:val="%5."/>
      <w:lvlJc w:val="left"/>
      <w:pPr>
        <w:ind w:left="1020" w:hanging="360"/>
      </w:pPr>
    </w:lvl>
    <w:lvl w:ilvl="5" w:tplc="0476A560">
      <w:start w:val="1"/>
      <w:numFmt w:val="decimal"/>
      <w:lvlText w:val="%6."/>
      <w:lvlJc w:val="left"/>
      <w:pPr>
        <w:ind w:left="1020" w:hanging="360"/>
      </w:pPr>
    </w:lvl>
    <w:lvl w:ilvl="6" w:tplc="E9980A18">
      <w:start w:val="1"/>
      <w:numFmt w:val="decimal"/>
      <w:lvlText w:val="%7."/>
      <w:lvlJc w:val="left"/>
      <w:pPr>
        <w:ind w:left="1020" w:hanging="360"/>
      </w:pPr>
    </w:lvl>
    <w:lvl w:ilvl="7" w:tplc="7D362514">
      <w:start w:val="1"/>
      <w:numFmt w:val="decimal"/>
      <w:lvlText w:val="%8."/>
      <w:lvlJc w:val="left"/>
      <w:pPr>
        <w:ind w:left="1020" w:hanging="360"/>
      </w:pPr>
    </w:lvl>
    <w:lvl w:ilvl="8" w:tplc="DC30CF9A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1BCC2635"/>
    <w:multiLevelType w:val="multilevel"/>
    <w:tmpl w:val="B87A9D68"/>
    <w:numStyleLink w:val="Stylseznamu-odstavceslovan"/>
  </w:abstractNum>
  <w:abstractNum w:abstractNumId="5" w15:restartNumberingAfterBreak="0">
    <w:nsid w:val="23AA7C6F"/>
    <w:multiLevelType w:val="multilevel"/>
    <w:tmpl w:val="3BE66384"/>
    <w:numStyleLink w:val="Stylseznamu-odrky"/>
  </w:abstractNum>
  <w:abstractNum w:abstractNumId="6" w15:restartNumberingAfterBreak="0">
    <w:nsid w:val="3EAA4253"/>
    <w:multiLevelType w:val="multilevel"/>
    <w:tmpl w:val="3BE66384"/>
    <w:numStyleLink w:val="Stylseznamu-odrky"/>
  </w:abstractNum>
  <w:abstractNum w:abstractNumId="7" w15:restartNumberingAfterBreak="0">
    <w:nsid w:val="507C7313"/>
    <w:multiLevelType w:val="multilevel"/>
    <w:tmpl w:val="B87A9D68"/>
    <w:numStyleLink w:val="Stylseznamu-odstavceslovan"/>
  </w:abstractNum>
  <w:abstractNum w:abstractNumId="8" w15:restartNumberingAfterBreak="0">
    <w:nsid w:val="528219F0"/>
    <w:multiLevelType w:val="multilevel"/>
    <w:tmpl w:val="599C2AC6"/>
    <w:numStyleLink w:val="Stylseznamu-nadpisyslovan"/>
  </w:abstractNum>
  <w:abstractNum w:abstractNumId="9" w15:restartNumberingAfterBreak="0">
    <w:nsid w:val="55427B69"/>
    <w:multiLevelType w:val="multilevel"/>
    <w:tmpl w:val="599C2AC6"/>
    <w:numStyleLink w:val="Stylseznamu-nadpisyslovan"/>
  </w:abstractNum>
  <w:abstractNum w:abstractNumId="10" w15:restartNumberingAfterBreak="0">
    <w:nsid w:val="56960494"/>
    <w:multiLevelType w:val="multilevel"/>
    <w:tmpl w:val="3BE66384"/>
    <w:numStyleLink w:val="Stylseznamu-odrky"/>
  </w:abstractNum>
  <w:abstractNum w:abstractNumId="11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5A0E0C17"/>
    <w:multiLevelType w:val="multilevel"/>
    <w:tmpl w:val="599C2AC6"/>
    <w:numStyleLink w:val="Stylseznamu-nadpisyslovan"/>
  </w:abstractNum>
  <w:abstractNum w:abstractNumId="13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9B93953"/>
    <w:multiLevelType w:val="multilevel"/>
    <w:tmpl w:val="599C2AC6"/>
    <w:numStyleLink w:val="Stylseznamu-nadpisyslovan"/>
  </w:abstractNum>
  <w:abstractNum w:abstractNumId="15" w15:restartNumberingAfterBreak="0">
    <w:nsid w:val="74052CCF"/>
    <w:multiLevelType w:val="multilevel"/>
    <w:tmpl w:val="3BE66384"/>
    <w:numStyleLink w:val="Stylseznamu-odrky"/>
  </w:abstractNum>
  <w:abstractNum w:abstractNumId="16" w15:restartNumberingAfterBreak="0">
    <w:nsid w:val="7B356AC3"/>
    <w:multiLevelType w:val="multilevel"/>
    <w:tmpl w:val="B87A9D68"/>
    <w:numStyleLink w:val="Stylseznamu-odstavceslovan"/>
  </w:abstractNum>
  <w:abstractNum w:abstractNumId="17" w15:restartNumberingAfterBreak="0">
    <w:nsid w:val="7CA64431"/>
    <w:multiLevelType w:val="multilevel"/>
    <w:tmpl w:val="3BE66384"/>
    <w:numStyleLink w:val="Stylseznamu-odrky"/>
  </w:abstractNum>
  <w:abstractNum w:abstractNumId="18" w15:restartNumberingAfterBreak="0">
    <w:nsid w:val="7F397BA4"/>
    <w:multiLevelType w:val="multilevel"/>
    <w:tmpl w:val="599C2AC6"/>
    <w:numStyleLink w:val="Stylseznamu-nadpisyslovan"/>
  </w:abstractNum>
  <w:abstractNum w:abstractNumId="19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9"/>
  </w:num>
  <w:num w:numId="2" w16cid:durableId="304243697">
    <w:abstractNumId w:val="11"/>
  </w:num>
  <w:num w:numId="3" w16cid:durableId="20265888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8"/>
  </w:num>
  <w:num w:numId="5" w16cid:durableId="1339186929">
    <w:abstractNumId w:val="18"/>
  </w:num>
  <w:num w:numId="6" w16cid:durableId="1737124859">
    <w:abstractNumId w:val="12"/>
  </w:num>
  <w:num w:numId="7" w16cid:durableId="200482209">
    <w:abstractNumId w:val="9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4"/>
  </w:num>
  <w:num w:numId="11" w16cid:durableId="627398554">
    <w:abstractNumId w:val="16"/>
  </w:num>
  <w:num w:numId="12" w16cid:durableId="1445079522">
    <w:abstractNumId w:val="13"/>
  </w:num>
  <w:num w:numId="13" w16cid:durableId="879823075">
    <w:abstractNumId w:val="1"/>
  </w:num>
  <w:num w:numId="14" w16cid:durableId="796529861">
    <w:abstractNumId w:val="17"/>
  </w:num>
  <w:num w:numId="15" w16cid:durableId="165413013">
    <w:abstractNumId w:val="15"/>
  </w:num>
  <w:num w:numId="16" w16cid:durableId="608591211">
    <w:abstractNumId w:val="0"/>
  </w:num>
  <w:num w:numId="17" w16cid:durableId="1669139136">
    <w:abstractNumId w:val="5"/>
  </w:num>
  <w:num w:numId="18" w16cid:durableId="2135248819">
    <w:abstractNumId w:val="6"/>
  </w:num>
  <w:num w:numId="19" w16cid:durableId="831679160">
    <w:abstractNumId w:val="10"/>
  </w:num>
  <w:num w:numId="20" w16cid:durableId="374815673">
    <w:abstractNumId w:val="14"/>
  </w:num>
  <w:num w:numId="21" w16cid:durableId="80033043">
    <w:abstractNumId w:val="7"/>
  </w:num>
  <w:num w:numId="22" w16cid:durableId="1814905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16"/>
    <w:rsid w:val="000007B6"/>
    <w:rsid w:val="00005162"/>
    <w:rsid w:val="000106FE"/>
    <w:rsid w:val="000120B4"/>
    <w:rsid w:val="0001391B"/>
    <w:rsid w:val="0002560E"/>
    <w:rsid w:val="0002711A"/>
    <w:rsid w:val="000313A1"/>
    <w:rsid w:val="00032CCE"/>
    <w:rsid w:val="00033062"/>
    <w:rsid w:val="00035F16"/>
    <w:rsid w:val="00040FA9"/>
    <w:rsid w:val="00043335"/>
    <w:rsid w:val="00054392"/>
    <w:rsid w:val="0005510C"/>
    <w:rsid w:val="00062482"/>
    <w:rsid w:val="00062B7B"/>
    <w:rsid w:val="00062DB2"/>
    <w:rsid w:val="00064379"/>
    <w:rsid w:val="00067ADF"/>
    <w:rsid w:val="00071F0F"/>
    <w:rsid w:val="00083A55"/>
    <w:rsid w:val="00083E90"/>
    <w:rsid w:val="000846B3"/>
    <w:rsid w:val="00085436"/>
    <w:rsid w:val="00087879"/>
    <w:rsid w:val="00096469"/>
    <w:rsid w:val="000968A9"/>
    <w:rsid w:val="000A6272"/>
    <w:rsid w:val="000A75FF"/>
    <w:rsid w:val="000B4F0B"/>
    <w:rsid w:val="000C11F2"/>
    <w:rsid w:val="000C2452"/>
    <w:rsid w:val="000C2DB3"/>
    <w:rsid w:val="000C67FA"/>
    <w:rsid w:val="000C68F4"/>
    <w:rsid w:val="000D2954"/>
    <w:rsid w:val="000D59EB"/>
    <w:rsid w:val="000E00C3"/>
    <w:rsid w:val="000E17F8"/>
    <w:rsid w:val="000E3099"/>
    <w:rsid w:val="000E33C8"/>
    <w:rsid w:val="000E34A5"/>
    <w:rsid w:val="000E358A"/>
    <w:rsid w:val="000F141D"/>
    <w:rsid w:val="000F5A54"/>
    <w:rsid w:val="00102994"/>
    <w:rsid w:val="0010390A"/>
    <w:rsid w:val="001110B1"/>
    <w:rsid w:val="00130B75"/>
    <w:rsid w:val="00134059"/>
    <w:rsid w:val="00134D21"/>
    <w:rsid w:val="00134F2B"/>
    <w:rsid w:val="00135EBB"/>
    <w:rsid w:val="001363A5"/>
    <w:rsid w:val="00137B85"/>
    <w:rsid w:val="00140402"/>
    <w:rsid w:val="00141449"/>
    <w:rsid w:val="00144514"/>
    <w:rsid w:val="00146A2A"/>
    <w:rsid w:val="0015074B"/>
    <w:rsid w:val="00160FEB"/>
    <w:rsid w:val="00163D2A"/>
    <w:rsid w:val="00164790"/>
    <w:rsid w:val="00170F10"/>
    <w:rsid w:val="001712FE"/>
    <w:rsid w:val="00171B3E"/>
    <w:rsid w:val="001743C9"/>
    <w:rsid w:val="00175680"/>
    <w:rsid w:val="00176766"/>
    <w:rsid w:val="001779C7"/>
    <w:rsid w:val="001909FA"/>
    <w:rsid w:val="001968CD"/>
    <w:rsid w:val="001A5442"/>
    <w:rsid w:val="001A70A5"/>
    <w:rsid w:val="001B55EF"/>
    <w:rsid w:val="001D328A"/>
    <w:rsid w:val="001D486B"/>
    <w:rsid w:val="001D4DA6"/>
    <w:rsid w:val="001D719A"/>
    <w:rsid w:val="001E1B82"/>
    <w:rsid w:val="001E417F"/>
    <w:rsid w:val="001E513B"/>
    <w:rsid w:val="001E691A"/>
    <w:rsid w:val="001F493F"/>
    <w:rsid w:val="001F5025"/>
    <w:rsid w:val="002000F6"/>
    <w:rsid w:val="002013B0"/>
    <w:rsid w:val="00201AAC"/>
    <w:rsid w:val="00204AE1"/>
    <w:rsid w:val="0020716F"/>
    <w:rsid w:val="00216463"/>
    <w:rsid w:val="00216B5C"/>
    <w:rsid w:val="00220730"/>
    <w:rsid w:val="00222610"/>
    <w:rsid w:val="00222A5E"/>
    <w:rsid w:val="002234D1"/>
    <w:rsid w:val="002234ED"/>
    <w:rsid w:val="00231338"/>
    <w:rsid w:val="00231544"/>
    <w:rsid w:val="002323AF"/>
    <w:rsid w:val="002363CA"/>
    <w:rsid w:val="00236DEF"/>
    <w:rsid w:val="002378A7"/>
    <w:rsid w:val="0024676C"/>
    <w:rsid w:val="0025002B"/>
    <w:rsid w:val="00254977"/>
    <w:rsid w:val="002550FB"/>
    <w:rsid w:val="00257E7E"/>
    <w:rsid w:val="00260DCA"/>
    <w:rsid w:val="002631EE"/>
    <w:rsid w:val="002670AA"/>
    <w:rsid w:val="00267AE7"/>
    <w:rsid w:val="00275B42"/>
    <w:rsid w:val="00280346"/>
    <w:rsid w:val="00280D21"/>
    <w:rsid w:val="0028101B"/>
    <w:rsid w:val="002826B4"/>
    <w:rsid w:val="002878B7"/>
    <w:rsid w:val="00292D4D"/>
    <w:rsid w:val="00293F29"/>
    <w:rsid w:val="00297267"/>
    <w:rsid w:val="00297C33"/>
    <w:rsid w:val="002C34AC"/>
    <w:rsid w:val="002D11B9"/>
    <w:rsid w:val="002D796B"/>
    <w:rsid w:val="002E002C"/>
    <w:rsid w:val="002E2D26"/>
    <w:rsid w:val="002E7123"/>
    <w:rsid w:val="002F2423"/>
    <w:rsid w:val="002F60C0"/>
    <w:rsid w:val="002F7004"/>
    <w:rsid w:val="0030061B"/>
    <w:rsid w:val="00303039"/>
    <w:rsid w:val="00303A0E"/>
    <w:rsid w:val="00315100"/>
    <w:rsid w:val="00315185"/>
    <w:rsid w:val="003206E7"/>
    <w:rsid w:val="003208E6"/>
    <w:rsid w:val="0032285E"/>
    <w:rsid w:val="00331F86"/>
    <w:rsid w:val="003351B8"/>
    <w:rsid w:val="0034341E"/>
    <w:rsid w:val="0034613C"/>
    <w:rsid w:val="003469BD"/>
    <w:rsid w:val="003502FB"/>
    <w:rsid w:val="00350378"/>
    <w:rsid w:val="003540FA"/>
    <w:rsid w:val="00356332"/>
    <w:rsid w:val="00357F10"/>
    <w:rsid w:val="00360F8E"/>
    <w:rsid w:val="00361840"/>
    <w:rsid w:val="00363815"/>
    <w:rsid w:val="003654CD"/>
    <w:rsid w:val="00370110"/>
    <w:rsid w:val="00372598"/>
    <w:rsid w:val="00380B61"/>
    <w:rsid w:val="00381521"/>
    <w:rsid w:val="00384D84"/>
    <w:rsid w:val="00392F53"/>
    <w:rsid w:val="00393D24"/>
    <w:rsid w:val="00393EC0"/>
    <w:rsid w:val="003A2A49"/>
    <w:rsid w:val="003A3966"/>
    <w:rsid w:val="003A7E6A"/>
    <w:rsid w:val="003B02FE"/>
    <w:rsid w:val="003C027F"/>
    <w:rsid w:val="003C3F6A"/>
    <w:rsid w:val="003D639F"/>
    <w:rsid w:val="003E0572"/>
    <w:rsid w:val="003E0DE3"/>
    <w:rsid w:val="003E3910"/>
    <w:rsid w:val="003E477D"/>
    <w:rsid w:val="003E6369"/>
    <w:rsid w:val="003F2859"/>
    <w:rsid w:val="003F36C7"/>
    <w:rsid w:val="003F54C8"/>
    <w:rsid w:val="003F69B1"/>
    <w:rsid w:val="004027D2"/>
    <w:rsid w:val="0040303E"/>
    <w:rsid w:val="00407B47"/>
    <w:rsid w:val="004136C9"/>
    <w:rsid w:val="00420F82"/>
    <w:rsid w:val="00421717"/>
    <w:rsid w:val="00421C6E"/>
    <w:rsid w:val="00426C60"/>
    <w:rsid w:val="00427375"/>
    <w:rsid w:val="00430BB6"/>
    <w:rsid w:val="0043243E"/>
    <w:rsid w:val="004326A9"/>
    <w:rsid w:val="00433E54"/>
    <w:rsid w:val="00436EC2"/>
    <w:rsid w:val="004416E8"/>
    <w:rsid w:val="004457C5"/>
    <w:rsid w:val="00450156"/>
    <w:rsid w:val="004540FD"/>
    <w:rsid w:val="00454DC7"/>
    <w:rsid w:val="00456DB1"/>
    <w:rsid w:val="004573FA"/>
    <w:rsid w:val="004607B2"/>
    <w:rsid w:val="00463047"/>
    <w:rsid w:val="0046727D"/>
    <w:rsid w:val="004723B2"/>
    <w:rsid w:val="00480A82"/>
    <w:rsid w:val="004907EB"/>
    <w:rsid w:val="00493ED9"/>
    <w:rsid w:val="004972AB"/>
    <w:rsid w:val="004977D7"/>
    <w:rsid w:val="004A01A7"/>
    <w:rsid w:val="004A09C5"/>
    <w:rsid w:val="004A38DD"/>
    <w:rsid w:val="004B1FDE"/>
    <w:rsid w:val="004B4A94"/>
    <w:rsid w:val="004C204D"/>
    <w:rsid w:val="004C4BB9"/>
    <w:rsid w:val="004C6F2C"/>
    <w:rsid w:val="004C7DCA"/>
    <w:rsid w:val="004D65F9"/>
    <w:rsid w:val="004E3345"/>
    <w:rsid w:val="004E7C0C"/>
    <w:rsid w:val="004E7E0E"/>
    <w:rsid w:val="004F4BE3"/>
    <w:rsid w:val="00500A63"/>
    <w:rsid w:val="00504089"/>
    <w:rsid w:val="00504557"/>
    <w:rsid w:val="005070A8"/>
    <w:rsid w:val="00514CC7"/>
    <w:rsid w:val="005159CA"/>
    <w:rsid w:val="00521746"/>
    <w:rsid w:val="005225F8"/>
    <w:rsid w:val="00526C8A"/>
    <w:rsid w:val="00531548"/>
    <w:rsid w:val="005325CE"/>
    <w:rsid w:val="00534403"/>
    <w:rsid w:val="00542A56"/>
    <w:rsid w:val="00542CA8"/>
    <w:rsid w:val="00550B36"/>
    <w:rsid w:val="00553ACE"/>
    <w:rsid w:val="005548CD"/>
    <w:rsid w:val="00554C2A"/>
    <w:rsid w:val="00554FC7"/>
    <w:rsid w:val="0055531A"/>
    <w:rsid w:val="00560EC8"/>
    <w:rsid w:val="00563A5F"/>
    <w:rsid w:val="00563FE8"/>
    <w:rsid w:val="0056491C"/>
    <w:rsid w:val="00564D63"/>
    <w:rsid w:val="00564F2B"/>
    <w:rsid w:val="005736D9"/>
    <w:rsid w:val="00577500"/>
    <w:rsid w:val="005801BB"/>
    <w:rsid w:val="005865A4"/>
    <w:rsid w:val="00586756"/>
    <w:rsid w:val="0058729F"/>
    <w:rsid w:val="005970F5"/>
    <w:rsid w:val="005A012C"/>
    <w:rsid w:val="005A4EC9"/>
    <w:rsid w:val="005A5982"/>
    <w:rsid w:val="005A60C3"/>
    <w:rsid w:val="005C14EB"/>
    <w:rsid w:val="005C29C9"/>
    <w:rsid w:val="005D03A9"/>
    <w:rsid w:val="005D299B"/>
    <w:rsid w:val="005D6546"/>
    <w:rsid w:val="005E3AC2"/>
    <w:rsid w:val="005F5C8C"/>
    <w:rsid w:val="0060043C"/>
    <w:rsid w:val="00601C8A"/>
    <w:rsid w:val="00601DFE"/>
    <w:rsid w:val="00601ED8"/>
    <w:rsid w:val="00602540"/>
    <w:rsid w:val="006051FE"/>
    <w:rsid w:val="00606CF5"/>
    <w:rsid w:val="00607675"/>
    <w:rsid w:val="006102E9"/>
    <w:rsid w:val="006120D2"/>
    <w:rsid w:val="006209FE"/>
    <w:rsid w:val="00626A46"/>
    <w:rsid w:val="00626A74"/>
    <w:rsid w:val="0062750B"/>
    <w:rsid w:val="0063196C"/>
    <w:rsid w:val="006322C4"/>
    <w:rsid w:val="006350CD"/>
    <w:rsid w:val="00637C70"/>
    <w:rsid w:val="00637E8B"/>
    <w:rsid w:val="00640E73"/>
    <w:rsid w:val="0064237D"/>
    <w:rsid w:val="00647757"/>
    <w:rsid w:val="00650D3D"/>
    <w:rsid w:val="00665121"/>
    <w:rsid w:val="0066575A"/>
    <w:rsid w:val="0067042F"/>
    <w:rsid w:val="0067725E"/>
    <w:rsid w:val="00677478"/>
    <w:rsid w:val="006857AE"/>
    <w:rsid w:val="00686B53"/>
    <w:rsid w:val="006906FD"/>
    <w:rsid w:val="0069404A"/>
    <w:rsid w:val="0069631F"/>
    <w:rsid w:val="00696A2A"/>
    <w:rsid w:val="006975D9"/>
    <w:rsid w:val="006A106A"/>
    <w:rsid w:val="006A1BF0"/>
    <w:rsid w:val="006A57CC"/>
    <w:rsid w:val="006C0020"/>
    <w:rsid w:val="006C0860"/>
    <w:rsid w:val="006C3F51"/>
    <w:rsid w:val="006D1662"/>
    <w:rsid w:val="006E0360"/>
    <w:rsid w:val="006E3CC9"/>
    <w:rsid w:val="006E5411"/>
    <w:rsid w:val="006E7273"/>
    <w:rsid w:val="006F22C5"/>
    <w:rsid w:val="006F4755"/>
    <w:rsid w:val="006F4C37"/>
    <w:rsid w:val="006F51DB"/>
    <w:rsid w:val="006F60D7"/>
    <w:rsid w:val="00702BED"/>
    <w:rsid w:val="007049E6"/>
    <w:rsid w:val="00704DAF"/>
    <w:rsid w:val="007071E0"/>
    <w:rsid w:val="00713213"/>
    <w:rsid w:val="007141CA"/>
    <w:rsid w:val="0071455E"/>
    <w:rsid w:val="00716F0E"/>
    <w:rsid w:val="00724E67"/>
    <w:rsid w:val="0073040F"/>
    <w:rsid w:val="007319E8"/>
    <w:rsid w:val="007371E0"/>
    <w:rsid w:val="0074627A"/>
    <w:rsid w:val="0074671D"/>
    <w:rsid w:val="00746910"/>
    <w:rsid w:val="00746911"/>
    <w:rsid w:val="00752EF2"/>
    <w:rsid w:val="00755EA4"/>
    <w:rsid w:val="00763A3B"/>
    <w:rsid w:val="00765263"/>
    <w:rsid w:val="00767DF4"/>
    <w:rsid w:val="00770521"/>
    <w:rsid w:val="00771F6B"/>
    <w:rsid w:val="0077357D"/>
    <w:rsid w:val="00774CCE"/>
    <w:rsid w:val="00777490"/>
    <w:rsid w:val="00786C28"/>
    <w:rsid w:val="00787190"/>
    <w:rsid w:val="00787DFA"/>
    <w:rsid w:val="0079417D"/>
    <w:rsid w:val="007B0A62"/>
    <w:rsid w:val="007B7B18"/>
    <w:rsid w:val="007C6CD3"/>
    <w:rsid w:val="007D6A0E"/>
    <w:rsid w:val="007D6F07"/>
    <w:rsid w:val="007E4B2F"/>
    <w:rsid w:val="007F08EF"/>
    <w:rsid w:val="007F172C"/>
    <w:rsid w:val="007F2074"/>
    <w:rsid w:val="007F36FE"/>
    <w:rsid w:val="007F6B00"/>
    <w:rsid w:val="00801CDD"/>
    <w:rsid w:val="00811964"/>
    <w:rsid w:val="008230E8"/>
    <w:rsid w:val="0083026A"/>
    <w:rsid w:val="00831CCA"/>
    <w:rsid w:val="00834A49"/>
    <w:rsid w:val="0083536C"/>
    <w:rsid w:val="00835B8A"/>
    <w:rsid w:val="00837E45"/>
    <w:rsid w:val="0084277E"/>
    <w:rsid w:val="008440E2"/>
    <w:rsid w:val="00851074"/>
    <w:rsid w:val="0085236C"/>
    <w:rsid w:val="00852511"/>
    <w:rsid w:val="008541DA"/>
    <w:rsid w:val="008557C3"/>
    <w:rsid w:val="00855C50"/>
    <w:rsid w:val="00857D02"/>
    <w:rsid w:val="00870D3E"/>
    <w:rsid w:val="00871DF8"/>
    <w:rsid w:val="00877A83"/>
    <w:rsid w:val="00877CF1"/>
    <w:rsid w:val="008837A1"/>
    <w:rsid w:val="00884306"/>
    <w:rsid w:val="00884410"/>
    <w:rsid w:val="00890278"/>
    <w:rsid w:val="008A388D"/>
    <w:rsid w:val="008A4895"/>
    <w:rsid w:val="008B0E87"/>
    <w:rsid w:val="008C4A49"/>
    <w:rsid w:val="008C52DD"/>
    <w:rsid w:val="008D405D"/>
    <w:rsid w:val="008D5575"/>
    <w:rsid w:val="008E191B"/>
    <w:rsid w:val="008E1E4F"/>
    <w:rsid w:val="008F125B"/>
    <w:rsid w:val="008F533C"/>
    <w:rsid w:val="00905743"/>
    <w:rsid w:val="00910E76"/>
    <w:rsid w:val="009136B3"/>
    <w:rsid w:val="009149E6"/>
    <w:rsid w:val="00916E60"/>
    <w:rsid w:val="00917C90"/>
    <w:rsid w:val="00932015"/>
    <w:rsid w:val="0093646A"/>
    <w:rsid w:val="00945FB9"/>
    <w:rsid w:val="009475A7"/>
    <w:rsid w:val="00951930"/>
    <w:rsid w:val="00956B09"/>
    <w:rsid w:val="009610E2"/>
    <w:rsid w:val="009617D9"/>
    <w:rsid w:val="00963BEE"/>
    <w:rsid w:val="0096469E"/>
    <w:rsid w:val="009665AE"/>
    <w:rsid w:val="00972365"/>
    <w:rsid w:val="0097303D"/>
    <w:rsid w:val="0097577E"/>
    <w:rsid w:val="00975D7A"/>
    <w:rsid w:val="00984352"/>
    <w:rsid w:val="00985819"/>
    <w:rsid w:val="0099203E"/>
    <w:rsid w:val="00992C4A"/>
    <w:rsid w:val="009A389D"/>
    <w:rsid w:val="009A434B"/>
    <w:rsid w:val="009A4CC1"/>
    <w:rsid w:val="009A6043"/>
    <w:rsid w:val="009B032C"/>
    <w:rsid w:val="009B0804"/>
    <w:rsid w:val="009B2297"/>
    <w:rsid w:val="009B4693"/>
    <w:rsid w:val="009C081A"/>
    <w:rsid w:val="009C0BC3"/>
    <w:rsid w:val="009C31A6"/>
    <w:rsid w:val="009C3D4A"/>
    <w:rsid w:val="009C44F8"/>
    <w:rsid w:val="009D72AA"/>
    <w:rsid w:val="009D79F7"/>
    <w:rsid w:val="009E255E"/>
    <w:rsid w:val="009E4B81"/>
    <w:rsid w:val="009F3E9D"/>
    <w:rsid w:val="009F6DFE"/>
    <w:rsid w:val="00A05467"/>
    <w:rsid w:val="00A10348"/>
    <w:rsid w:val="00A121A3"/>
    <w:rsid w:val="00A15A28"/>
    <w:rsid w:val="00A16F15"/>
    <w:rsid w:val="00A25FE4"/>
    <w:rsid w:val="00A274A1"/>
    <w:rsid w:val="00A3283F"/>
    <w:rsid w:val="00A34D77"/>
    <w:rsid w:val="00A37815"/>
    <w:rsid w:val="00A46043"/>
    <w:rsid w:val="00A47859"/>
    <w:rsid w:val="00A52CD1"/>
    <w:rsid w:val="00A536A2"/>
    <w:rsid w:val="00A55A71"/>
    <w:rsid w:val="00A575E9"/>
    <w:rsid w:val="00A67652"/>
    <w:rsid w:val="00A77473"/>
    <w:rsid w:val="00A77C85"/>
    <w:rsid w:val="00A833D4"/>
    <w:rsid w:val="00A837C6"/>
    <w:rsid w:val="00A851CE"/>
    <w:rsid w:val="00A87C89"/>
    <w:rsid w:val="00A91166"/>
    <w:rsid w:val="00A91452"/>
    <w:rsid w:val="00A917E6"/>
    <w:rsid w:val="00A91EC9"/>
    <w:rsid w:val="00A945C1"/>
    <w:rsid w:val="00A95D0B"/>
    <w:rsid w:val="00A97D3D"/>
    <w:rsid w:val="00AA0C58"/>
    <w:rsid w:val="00AA50EF"/>
    <w:rsid w:val="00AB1F88"/>
    <w:rsid w:val="00AB3F31"/>
    <w:rsid w:val="00AB4BE7"/>
    <w:rsid w:val="00AB5479"/>
    <w:rsid w:val="00AB59B1"/>
    <w:rsid w:val="00AB600C"/>
    <w:rsid w:val="00AB7649"/>
    <w:rsid w:val="00AC0BF4"/>
    <w:rsid w:val="00AC1CEA"/>
    <w:rsid w:val="00AC33FE"/>
    <w:rsid w:val="00AC699A"/>
    <w:rsid w:val="00AD23B5"/>
    <w:rsid w:val="00AD40DD"/>
    <w:rsid w:val="00AE1317"/>
    <w:rsid w:val="00AE383A"/>
    <w:rsid w:val="00AE5ADE"/>
    <w:rsid w:val="00AE6440"/>
    <w:rsid w:val="00AF06B0"/>
    <w:rsid w:val="00AF2C34"/>
    <w:rsid w:val="00AF3319"/>
    <w:rsid w:val="00AF39AC"/>
    <w:rsid w:val="00AF6575"/>
    <w:rsid w:val="00AF6E9E"/>
    <w:rsid w:val="00B0330A"/>
    <w:rsid w:val="00B07208"/>
    <w:rsid w:val="00B07ADE"/>
    <w:rsid w:val="00B151B5"/>
    <w:rsid w:val="00B2128D"/>
    <w:rsid w:val="00B2195A"/>
    <w:rsid w:val="00B31BB1"/>
    <w:rsid w:val="00B43D9B"/>
    <w:rsid w:val="00B47092"/>
    <w:rsid w:val="00B51C8F"/>
    <w:rsid w:val="00B5469C"/>
    <w:rsid w:val="00B602D0"/>
    <w:rsid w:val="00B62344"/>
    <w:rsid w:val="00B70022"/>
    <w:rsid w:val="00B7165F"/>
    <w:rsid w:val="00B733E5"/>
    <w:rsid w:val="00B759AD"/>
    <w:rsid w:val="00B80628"/>
    <w:rsid w:val="00B85E3C"/>
    <w:rsid w:val="00B8724F"/>
    <w:rsid w:val="00B90BD8"/>
    <w:rsid w:val="00B93EE2"/>
    <w:rsid w:val="00B93F16"/>
    <w:rsid w:val="00B96F18"/>
    <w:rsid w:val="00BA64C3"/>
    <w:rsid w:val="00BA6934"/>
    <w:rsid w:val="00BB0813"/>
    <w:rsid w:val="00BB2466"/>
    <w:rsid w:val="00BB2B9A"/>
    <w:rsid w:val="00BB4612"/>
    <w:rsid w:val="00BB6195"/>
    <w:rsid w:val="00BB6635"/>
    <w:rsid w:val="00BB71A9"/>
    <w:rsid w:val="00BC0EE9"/>
    <w:rsid w:val="00BC14F8"/>
    <w:rsid w:val="00BC23FF"/>
    <w:rsid w:val="00BC26D7"/>
    <w:rsid w:val="00BC35CA"/>
    <w:rsid w:val="00BC3A59"/>
    <w:rsid w:val="00BC480A"/>
    <w:rsid w:val="00BC5C99"/>
    <w:rsid w:val="00BD27B2"/>
    <w:rsid w:val="00BD44AF"/>
    <w:rsid w:val="00BE2E0B"/>
    <w:rsid w:val="00BE3BE4"/>
    <w:rsid w:val="00BE5550"/>
    <w:rsid w:val="00BF58C9"/>
    <w:rsid w:val="00C044C1"/>
    <w:rsid w:val="00C063DD"/>
    <w:rsid w:val="00C12B28"/>
    <w:rsid w:val="00C15C5E"/>
    <w:rsid w:val="00C16440"/>
    <w:rsid w:val="00C206E5"/>
    <w:rsid w:val="00C21594"/>
    <w:rsid w:val="00C240F6"/>
    <w:rsid w:val="00C27B17"/>
    <w:rsid w:val="00C30945"/>
    <w:rsid w:val="00C311A5"/>
    <w:rsid w:val="00C31345"/>
    <w:rsid w:val="00C357F3"/>
    <w:rsid w:val="00C37D35"/>
    <w:rsid w:val="00C4391D"/>
    <w:rsid w:val="00C46D4B"/>
    <w:rsid w:val="00C46DEB"/>
    <w:rsid w:val="00C47D31"/>
    <w:rsid w:val="00C5077B"/>
    <w:rsid w:val="00C51A00"/>
    <w:rsid w:val="00C559EC"/>
    <w:rsid w:val="00C5704B"/>
    <w:rsid w:val="00C5725B"/>
    <w:rsid w:val="00C57407"/>
    <w:rsid w:val="00C61C26"/>
    <w:rsid w:val="00C63A0E"/>
    <w:rsid w:val="00C63CF5"/>
    <w:rsid w:val="00C678BE"/>
    <w:rsid w:val="00C70E0B"/>
    <w:rsid w:val="00C744B6"/>
    <w:rsid w:val="00C74A09"/>
    <w:rsid w:val="00C753FF"/>
    <w:rsid w:val="00C755D5"/>
    <w:rsid w:val="00C8102C"/>
    <w:rsid w:val="00C908FD"/>
    <w:rsid w:val="00C930E3"/>
    <w:rsid w:val="00C955B7"/>
    <w:rsid w:val="00C968F4"/>
    <w:rsid w:val="00CA2C94"/>
    <w:rsid w:val="00CA3ABB"/>
    <w:rsid w:val="00CB1B52"/>
    <w:rsid w:val="00CB1E4F"/>
    <w:rsid w:val="00CB1FA6"/>
    <w:rsid w:val="00CB6B2A"/>
    <w:rsid w:val="00CC0409"/>
    <w:rsid w:val="00CC309B"/>
    <w:rsid w:val="00CC35A2"/>
    <w:rsid w:val="00CC451A"/>
    <w:rsid w:val="00CC7927"/>
    <w:rsid w:val="00CD0856"/>
    <w:rsid w:val="00CD1629"/>
    <w:rsid w:val="00CD784B"/>
    <w:rsid w:val="00CE0BC6"/>
    <w:rsid w:val="00CF4FC6"/>
    <w:rsid w:val="00CF6697"/>
    <w:rsid w:val="00D02FB1"/>
    <w:rsid w:val="00D066AA"/>
    <w:rsid w:val="00D120E3"/>
    <w:rsid w:val="00D15079"/>
    <w:rsid w:val="00D15B3B"/>
    <w:rsid w:val="00D20AC3"/>
    <w:rsid w:val="00D219C2"/>
    <w:rsid w:val="00D25283"/>
    <w:rsid w:val="00D35B12"/>
    <w:rsid w:val="00D40757"/>
    <w:rsid w:val="00D455C6"/>
    <w:rsid w:val="00D50FAD"/>
    <w:rsid w:val="00D52321"/>
    <w:rsid w:val="00D57E7A"/>
    <w:rsid w:val="00D62497"/>
    <w:rsid w:val="00D63056"/>
    <w:rsid w:val="00D6694F"/>
    <w:rsid w:val="00D70040"/>
    <w:rsid w:val="00D7143F"/>
    <w:rsid w:val="00D73D8B"/>
    <w:rsid w:val="00D75B39"/>
    <w:rsid w:val="00D77110"/>
    <w:rsid w:val="00D77977"/>
    <w:rsid w:val="00D81045"/>
    <w:rsid w:val="00DA10DB"/>
    <w:rsid w:val="00DA546D"/>
    <w:rsid w:val="00DA66D9"/>
    <w:rsid w:val="00DA6B82"/>
    <w:rsid w:val="00DB1ABE"/>
    <w:rsid w:val="00DB54EE"/>
    <w:rsid w:val="00DB6E8D"/>
    <w:rsid w:val="00DC23DE"/>
    <w:rsid w:val="00DC7513"/>
    <w:rsid w:val="00DD3D93"/>
    <w:rsid w:val="00DD4E3E"/>
    <w:rsid w:val="00DD6689"/>
    <w:rsid w:val="00DF3F66"/>
    <w:rsid w:val="00DF605F"/>
    <w:rsid w:val="00E02D72"/>
    <w:rsid w:val="00E061D5"/>
    <w:rsid w:val="00E07398"/>
    <w:rsid w:val="00E10833"/>
    <w:rsid w:val="00E12747"/>
    <w:rsid w:val="00E14659"/>
    <w:rsid w:val="00E2112D"/>
    <w:rsid w:val="00E24EF9"/>
    <w:rsid w:val="00E24FEA"/>
    <w:rsid w:val="00E25A5A"/>
    <w:rsid w:val="00E3198A"/>
    <w:rsid w:val="00E34849"/>
    <w:rsid w:val="00E35459"/>
    <w:rsid w:val="00E414DB"/>
    <w:rsid w:val="00E42DD8"/>
    <w:rsid w:val="00E43A83"/>
    <w:rsid w:val="00E456D4"/>
    <w:rsid w:val="00E47767"/>
    <w:rsid w:val="00E621A8"/>
    <w:rsid w:val="00E62893"/>
    <w:rsid w:val="00E62BC1"/>
    <w:rsid w:val="00E67257"/>
    <w:rsid w:val="00E704CC"/>
    <w:rsid w:val="00E716F5"/>
    <w:rsid w:val="00E721D1"/>
    <w:rsid w:val="00E72CDB"/>
    <w:rsid w:val="00E76C1E"/>
    <w:rsid w:val="00E8736C"/>
    <w:rsid w:val="00E9571D"/>
    <w:rsid w:val="00E97FB6"/>
    <w:rsid w:val="00EA4F1D"/>
    <w:rsid w:val="00EA6A69"/>
    <w:rsid w:val="00EA7188"/>
    <w:rsid w:val="00EB3A68"/>
    <w:rsid w:val="00EB5DA8"/>
    <w:rsid w:val="00EC2292"/>
    <w:rsid w:val="00EC33F0"/>
    <w:rsid w:val="00ED0F32"/>
    <w:rsid w:val="00EE5396"/>
    <w:rsid w:val="00EF1981"/>
    <w:rsid w:val="00EF40CC"/>
    <w:rsid w:val="00EF4611"/>
    <w:rsid w:val="00F0418D"/>
    <w:rsid w:val="00F049CC"/>
    <w:rsid w:val="00F152C4"/>
    <w:rsid w:val="00F200A0"/>
    <w:rsid w:val="00F21784"/>
    <w:rsid w:val="00F21B6A"/>
    <w:rsid w:val="00F21FEB"/>
    <w:rsid w:val="00F26AB3"/>
    <w:rsid w:val="00F30E1E"/>
    <w:rsid w:val="00F312FE"/>
    <w:rsid w:val="00F31EEE"/>
    <w:rsid w:val="00F32243"/>
    <w:rsid w:val="00F32D0C"/>
    <w:rsid w:val="00F34410"/>
    <w:rsid w:val="00F35E7C"/>
    <w:rsid w:val="00F42C27"/>
    <w:rsid w:val="00F44A67"/>
    <w:rsid w:val="00F562EF"/>
    <w:rsid w:val="00F57E5B"/>
    <w:rsid w:val="00F60DA5"/>
    <w:rsid w:val="00F668A6"/>
    <w:rsid w:val="00F66972"/>
    <w:rsid w:val="00F67190"/>
    <w:rsid w:val="00F70F49"/>
    <w:rsid w:val="00F837DE"/>
    <w:rsid w:val="00F91B35"/>
    <w:rsid w:val="00F96106"/>
    <w:rsid w:val="00FA0FB3"/>
    <w:rsid w:val="00FA1A95"/>
    <w:rsid w:val="00FA47CE"/>
    <w:rsid w:val="00FA634C"/>
    <w:rsid w:val="00FA640A"/>
    <w:rsid w:val="00FA79CC"/>
    <w:rsid w:val="00FA7B77"/>
    <w:rsid w:val="00FB11FD"/>
    <w:rsid w:val="00FB4F1B"/>
    <w:rsid w:val="00FB57B9"/>
    <w:rsid w:val="00FC186E"/>
    <w:rsid w:val="00FC2146"/>
    <w:rsid w:val="00FC2DF6"/>
    <w:rsid w:val="00FC6952"/>
    <w:rsid w:val="00FD2EBF"/>
    <w:rsid w:val="00FD4648"/>
    <w:rsid w:val="00FD5BC4"/>
    <w:rsid w:val="00FD5BEC"/>
    <w:rsid w:val="00FD5E47"/>
    <w:rsid w:val="00FD7332"/>
    <w:rsid w:val="00FE3B9E"/>
    <w:rsid w:val="00FE7E23"/>
    <w:rsid w:val="00FF1A0C"/>
    <w:rsid w:val="00FF30FF"/>
    <w:rsid w:val="00FF4916"/>
    <w:rsid w:val="01007207"/>
    <w:rsid w:val="02B12086"/>
    <w:rsid w:val="05F0AA34"/>
    <w:rsid w:val="0696F793"/>
    <w:rsid w:val="07F11785"/>
    <w:rsid w:val="0840EB31"/>
    <w:rsid w:val="0ED36BE1"/>
    <w:rsid w:val="0F8A16D4"/>
    <w:rsid w:val="12058325"/>
    <w:rsid w:val="12F990AC"/>
    <w:rsid w:val="1338457C"/>
    <w:rsid w:val="148703F8"/>
    <w:rsid w:val="148FD008"/>
    <w:rsid w:val="16184E19"/>
    <w:rsid w:val="16567C4F"/>
    <w:rsid w:val="16A47F5F"/>
    <w:rsid w:val="16FB78BF"/>
    <w:rsid w:val="17CEF508"/>
    <w:rsid w:val="181F2320"/>
    <w:rsid w:val="1A21E438"/>
    <w:rsid w:val="1A74C04D"/>
    <w:rsid w:val="1AFDDBDE"/>
    <w:rsid w:val="1CC2A273"/>
    <w:rsid w:val="1F543DA5"/>
    <w:rsid w:val="1F5C57B0"/>
    <w:rsid w:val="227EC1E5"/>
    <w:rsid w:val="260BE1D7"/>
    <w:rsid w:val="267CB29A"/>
    <w:rsid w:val="276E56EF"/>
    <w:rsid w:val="286C50AC"/>
    <w:rsid w:val="28785359"/>
    <w:rsid w:val="28F99B53"/>
    <w:rsid w:val="29627391"/>
    <w:rsid w:val="2ACBD78D"/>
    <w:rsid w:val="2B0919ED"/>
    <w:rsid w:val="2B1954D1"/>
    <w:rsid w:val="2C08F786"/>
    <w:rsid w:val="2C1ABFDF"/>
    <w:rsid w:val="2DADE453"/>
    <w:rsid w:val="2E739A2E"/>
    <w:rsid w:val="2F3E279C"/>
    <w:rsid w:val="2F4B65BD"/>
    <w:rsid w:val="318B76C6"/>
    <w:rsid w:val="338293D9"/>
    <w:rsid w:val="349C1828"/>
    <w:rsid w:val="357A0F81"/>
    <w:rsid w:val="35B8470C"/>
    <w:rsid w:val="35D693BB"/>
    <w:rsid w:val="35FC6E12"/>
    <w:rsid w:val="3744AC79"/>
    <w:rsid w:val="3757D1A2"/>
    <w:rsid w:val="3866A103"/>
    <w:rsid w:val="3A38A94F"/>
    <w:rsid w:val="3C9C88D9"/>
    <w:rsid w:val="3DAE8B0A"/>
    <w:rsid w:val="3FC6D772"/>
    <w:rsid w:val="4006DA93"/>
    <w:rsid w:val="407D63AC"/>
    <w:rsid w:val="422F49A5"/>
    <w:rsid w:val="42813D6B"/>
    <w:rsid w:val="428E19B6"/>
    <w:rsid w:val="43865F76"/>
    <w:rsid w:val="44185F37"/>
    <w:rsid w:val="45D0624D"/>
    <w:rsid w:val="470D3F31"/>
    <w:rsid w:val="4796A2FB"/>
    <w:rsid w:val="48E272CB"/>
    <w:rsid w:val="4B75218F"/>
    <w:rsid w:val="4C6077CD"/>
    <w:rsid w:val="4C698E7C"/>
    <w:rsid w:val="4E7FC3DC"/>
    <w:rsid w:val="5016A104"/>
    <w:rsid w:val="5398B11D"/>
    <w:rsid w:val="55F06F17"/>
    <w:rsid w:val="56A63B0E"/>
    <w:rsid w:val="583CD692"/>
    <w:rsid w:val="58FE99BA"/>
    <w:rsid w:val="590A643E"/>
    <w:rsid w:val="5A93545E"/>
    <w:rsid w:val="5AF07853"/>
    <w:rsid w:val="5BFA9A0E"/>
    <w:rsid w:val="5C4336AE"/>
    <w:rsid w:val="5D601E0A"/>
    <w:rsid w:val="5DD909FF"/>
    <w:rsid w:val="5E2C6092"/>
    <w:rsid w:val="5EB274D1"/>
    <w:rsid w:val="6141B51D"/>
    <w:rsid w:val="62245545"/>
    <w:rsid w:val="62ED66DC"/>
    <w:rsid w:val="6889A6B5"/>
    <w:rsid w:val="6E97E1A3"/>
    <w:rsid w:val="6F1F0756"/>
    <w:rsid w:val="70CA4412"/>
    <w:rsid w:val="746AA43D"/>
    <w:rsid w:val="7544BFF3"/>
    <w:rsid w:val="763A0DAC"/>
    <w:rsid w:val="763C0E32"/>
    <w:rsid w:val="773385DE"/>
    <w:rsid w:val="79C8CA82"/>
    <w:rsid w:val="7A6CAA37"/>
    <w:rsid w:val="7CADCC62"/>
    <w:rsid w:val="7CB5A652"/>
    <w:rsid w:val="7D1C7717"/>
    <w:rsid w:val="7DAEE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F399C"/>
  <w15:chartTrackingRefBased/>
  <w15:docId w15:val="{5E16B397-6562-452A-A91F-30E1026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746911"/>
    <w:pPr>
      <w:keepNext/>
      <w:keepLines/>
      <w:suppressAutoHyphens/>
      <w:spacing w:before="280"/>
      <w:jc w:val="left"/>
      <w:outlineLvl w:val="0"/>
    </w:pPr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C744B6"/>
    <w:pPr>
      <w:keepNext/>
      <w:keepLines/>
      <w:suppressAutoHyphens/>
      <w:spacing w:before="28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46911"/>
    <w:rPr>
      <w:rFonts w:asciiTheme="majorHAnsi" w:eastAsiaTheme="majorEastAsia" w:hAnsiTheme="majorHAnsi" w:cstheme="majorBidi"/>
      <w:b/>
      <w:bCs/>
      <w:color w:val="D70C0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C744B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C744B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C744B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C744B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C744B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6A57CC"/>
    <w:pPr>
      <w:spacing w:after="360"/>
      <w:jc w:val="left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0D59EB"/>
    <w:pPr>
      <w:spacing w:after="0" w:line="240" w:lineRule="auto"/>
      <w:jc w:val="left"/>
    </w:pPr>
  </w:style>
  <w:style w:type="character" w:customStyle="1" w:styleId="CommentReference">
    <w:name w:val="Comment Reference"/>
    <w:basedOn w:val="Standardnpsmoodstavce"/>
    <w:uiPriority w:val="99"/>
    <w:semiHidden/>
    <w:unhideWhenUsed/>
    <w:rsid w:val="00AF2C34"/>
    <w:rPr>
      <w:sz w:val="16"/>
      <w:szCs w:val="16"/>
    </w:rPr>
  </w:style>
  <w:style w:type="paragraph" w:customStyle="1" w:styleId="CommentText">
    <w:name w:val="Comment Text"/>
    <w:basedOn w:val="Normln"/>
    <w:link w:val="CommentTextChar"/>
    <w:uiPriority w:val="99"/>
    <w:unhideWhenUsed/>
    <w:rsid w:val="00AF2C34"/>
    <w:pPr>
      <w:spacing w:line="240" w:lineRule="auto"/>
    </w:pPr>
  </w:style>
  <w:style w:type="character" w:customStyle="1" w:styleId="CommentTextChar">
    <w:name w:val="Comment Text Char"/>
    <w:basedOn w:val="Standardnpsmoodstavce"/>
    <w:link w:val="CommentText"/>
    <w:uiPriority w:val="99"/>
    <w:rsid w:val="00AF2C34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0846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6B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AA50E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50EF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AA50E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50E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50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su.gov.cz/produkty/vyvoj-ekonomiky-ceske-republiky-2-ctvrtleti-202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su.g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y2795\Downloads\Form_c469_Tiskova%20zprava_CZ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8A52692684BE7479FDFA9106896097F" ma:contentTypeVersion="4" ma:contentTypeDescription="Vytvoří nový dokument" ma:contentTypeScope="" ma:versionID="a4a62f6649dc28672c6c7591068d2cd0">
  <xsd:schema xmlns:xsd="http://www.w3.org/2001/XMLSchema" xmlns:xs="http://www.w3.org/2001/XMLSchema" xmlns:p="http://schemas.microsoft.com/office/2006/metadata/properties" xmlns:ns2="c4ef78d8-e63f-4b2d-8275-299522eb94d9" targetNamespace="http://schemas.microsoft.com/office/2006/metadata/properties" ma:root="true" ma:fieldsID="0a366532252b6ba0c9de0f67404af2d6" ns2:_="">
    <xsd:import namespace="c4ef78d8-e63f-4b2d-8275-299522eb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f78d8-e63f-4b2d-8275-299522eb94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ED9AC5-6345-4D9D-89FF-B8979E6A10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C11900-7B3F-49D9-89CE-E6E82BCD19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ef78d8-e63f-4b2d-8275-299522eb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54FA42-3A8D-47D9-9647-E987F66D79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Form_c469_Tiskova zprava_CZ.dotx</Template>
  <TotalTime>6</TotalTime>
  <Pages>1</Pages>
  <Words>375</Words>
  <Characters>2216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Česká ekonomika mezi cenovými šoky rostla </vt:lpstr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Holý Dalibor</dc:creator>
  <cp:keywords/>
  <dc:description/>
  <cp:lastModifiedBy>Cieslar Jan</cp:lastModifiedBy>
  <cp:revision>5</cp:revision>
  <dcterms:created xsi:type="dcterms:W3CDTF">2026-09-10T12:40:00Z</dcterms:created>
  <dcterms:modified xsi:type="dcterms:W3CDTF">2026-09-15T10:53:00Z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0x01010038A52692684BE7479FDFA9106896097F</vt:lpwstr>
  </property>
  <property fmtid="{D5CDD505-2E9C-101B-9397-08002B2CF9AE}" pid="3" name="Order">
    <vt:r8>184100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