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91" w:rsidRDefault="004F3D23" w:rsidP="00AF0B91">
      <w:pPr>
        <w:pStyle w:val="Styl1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Zahraniční obchod</w:t>
      </w:r>
    </w:p>
    <w:p w:rsidR="00AF0B91" w:rsidRDefault="006B40D8" w:rsidP="00AF0B91">
      <w:pPr>
        <w:pStyle w:val="Styl1"/>
        <w:jc w:val="center"/>
        <w:rPr>
          <w:rFonts w:cs="Arial"/>
          <w:b/>
          <w:bCs/>
          <w:sz w:val="20"/>
        </w:rPr>
      </w:pPr>
      <w:r w:rsidRPr="006B40D8">
        <w:rPr>
          <w:noProof/>
        </w:rPr>
        <w:pict>
          <v:line id="Přímá spojnice 2" o:spid="_x0000_s1026" style="position:absolute;left:0;text-align:left;z-index:251660288;visibility:visible;mso-position-horizontal:center" from="0,4.55pt" to="481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" strokeweight=".35mm">
            <v:stroke joinstyle="miter"/>
          </v:line>
        </w:pict>
      </w:r>
    </w:p>
    <w:p w:rsidR="00AF0B91" w:rsidRDefault="00AF0B91" w:rsidP="00AF0B91">
      <w:pPr>
        <w:pStyle w:val="Styl1"/>
        <w:jc w:val="center"/>
        <w:rPr>
          <w:rFonts w:cs="Arial"/>
          <w:b/>
          <w:bCs/>
        </w:rPr>
      </w:pPr>
    </w:p>
    <w:tbl>
      <w:tblPr>
        <w:tblW w:w="0" w:type="auto"/>
        <w:tblLayout w:type="fixed"/>
        <w:tblLook w:val="04A0"/>
      </w:tblPr>
      <w:tblGrid>
        <w:gridCol w:w="3127"/>
        <w:gridCol w:w="3084"/>
        <w:gridCol w:w="3077"/>
      </w:tblGrid>
      <w:tr w:rsidR="00AF0B91" w:rsidTr="00641240">
        <w:tc>
          <w:tcPr>
            <w:tcW w:w="3127" w:type="dxa"/>
          </w:tcPr>
          <w:p w:rsidR="00AF0B91" w:rsidRDefault="00AF0B91" w:rsidP="00AF0B91">
            <w:pPr>
              <w:pStyle w:val="Styl1"/>
              <w:rPr>
                <w:rFonts w:cs="Arial"/>
                <w:b/>
                <w:bCs/>
              </w:rPr>
            </w:pPr>
          </w:p>
        </w:tc>
        <w:tc>
          <w:tcPr>
            <w:tcW w:w="3084" w:type="dxa"/>
          </w:tcPr>
          <w:p w:rsidR="00AF0B91" w:rsidRDefault="00AF0B91" w:rsidP="00AF0B91">
            <w:pPr>
              <w:pStyle w:val="Styl1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Ročník 201</w:t>
            </w:r>
            <w:r w:rsidR="00E011C3">
              <w:rPr>
                <w:rFonts w:cs="Arial"/>
                <w:sz w:val="22"/>
              </w:rPr>
              <w:t>4</w:t>
            </w:r>
          </w:p>
          <w:p w:rsidR="00AF0B91" w:rsidRDefault="00AF0B91" w:rsidP="00AF0B91">
            <w:pPr>
              <w:pStyle w:val="Styl1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77" w:type="dxa"/>
          </w:tcPr>
          <w:p w:rsidR="00AF0B91" w:rsidRDefault="00AF0B91" w:rsidP="00AF0B91">
            <w:pPr>
              <w:pStyle w:val="Styl1"/>
              <w:jc w:val="right"/>
              <w:rPr>
                <w:rFonts w:cs="Arial"/>
                <w:b/>
                <w:bCs/>
              </w:rPr>
            </w:pPr>
          </w:p>
        </w:tc>
      </w:tr>
      <w:tr w:rsidR="00AF0B91" w:rsidTr="00641240">
        <w:tc>
          <w:tcPr>
            <w:tcW w:w="3127" w:type="dxa"/>
          </w:tcPr>
          <w:p w:rsidR="00AF0B91" w:rsidRDefault="004F3D23" w:rsidP="000F0FF0">
            <w:pPr>
              <w:pStyle w:val="Styl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Zahraniční obchod dle pohybu zboží</w:t>
            </w:r>
            <w:r w:rsidR="00AF0B91">
              <w:rPr>
                <w:rFonts w:cs="Arial"/>
                <w:sz w:val="22"/>
              </w:rPr>
              <w:tab/>
            </w:r>
          </w:p>
        </w:tc>
        <w:tc>
          <w:tcPr>
            <w:tcW w:w="3084" w:type="dxa"/>
          </w:tcPr>
          <w:p w:rsidR="00AF0B91" w:rsidRDefault="00AF0B91" w:rsidP="00AF0B91">
            <w:pPr>
              <w:pStyle w:val="Styl1"/>
              <w:jc w:val="center"/>
              <w:rPr>
                <w:rFonts w:cs="Arial"/>
                <w:sz w:val="22"/>
              </w:rPr>
            </w:pPr>
          </w:p>
        </w:tc>
        <w:tc>
          <w:tcPr>
            <w:tcW w:w="3077" w:type="dxa"/>
          </w:tcPr>
          <w:p w:rsidR="00AF0B91" w:rsidRDefault="00AF0B91" w:rsidP="001972E4">
            <w:pPr>
              <w:pStyle w:val="Styl1"/>
              <w:jc w:val="righ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V Praze dne </w:t>
            </w:r>
            <w:r w:rsidR="001972E4">
              <w:rPr>
                <w:rFonts w:eastAsia="Calibri" w:cs="Arial"/>
                <w:sz w:val="22"/>
                <w:szCs w:val="22"/>
              </w:rPr>
              <w:t>14</w:t>
            </w:r>
            <w:r>
              <w:rPr>
                <w:rFonts w:eastAsia="Calibri" w:cs="Arial"/>
                <w:sz w:val="22"/>
                <w:szCs w:val="22"/>
              </w:rPr>
              <w:t xml:space="preserve">. </w:t>
            </w:r>
            <w:r w:rsidR="001972E4">
              <w:rPr>
                <w:rFonts w:eastAsia="Calibri" w:cs="Arial"/>
                <w:sz w:val="22"/>
                <w:szCs w:val="22"/>
              </w:rPr>
              <w:t>3</w:t>
            </w:r>
            <w:r>
              <w:rPr>
                <w:rFonts w:eastAsia="Calibri" w:cs="Arial"/>
                <w:sz w:val="22"/>
                <w:szCs w:val="22"/>
              </w:rPr>
              <w:t>. 201</w:t>
            </w:r>
            <w:r w:rsidR="001972E4">
              <w:rPr>
                <w:rFonts w:eastAsia="Calibri" w:cs="Arial"/>
                <w:sz w:val="22"/>
                <w:szCs w:val="22"/>
              </w:rPr>
              <w:t>4</w:t>
            </w:r>
          </w:p>
        </w:tc>
      </w:tr>
      <w:tr w:rsidR="00AF0B91" w:rsidRPr="001972E4" w:rsidTr="00641240">
        <w:tc>
          <w:tcPr>
            <w:tcW w:w="3127" w:type="dxa"/>
          </w:tcPr>
          <w:p w:rsidR="00AF0B91" w:rsidRDefault="00AF0B91" w:rsidP="001972E4">
            <w:pPr>
              <w:pStyle w:val="Styl1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Kód publikace: </w:t>
            </w:r>
            <w:r w:rsidR="001972E4">
              <w:rPr>
                <w:rFonts w:cs="Arial"/>
                <w:sz w:val="22"/>
                <w:szCs w:val="22"/>
              </w:rPr>
              <w:t>241019</w:t>
            </w:r>
            <w:r w:rsidR="00D60C62">
              <w:rPr>
                <w:rFonts w:cs="Arial"/>
                <w:sz w:val="22"/>
                <w:szCs w:val="22"/>
              </w:rPr>
              <w:t>-</w:t>
            </w:r>
            <w:r w:rsidR="001972E4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084" w:type="dxa"/>
          </w:tcPr>
          <w:p w:rsidR="00AF0B91" w:rsidRDefault="00AF0B91" w:rsidP="00AF0B91">
            <w:pPr>
              <w:pStyle w:val="Styl1"/>
              <w:jc w:val="center"/>
              <w:rPr>
                <w:rFonts w:cs="Arial"/>
                <w:sz w:val="22"/>
              </w:rPr>
            </w:pPr>
          </w:p>
        </w:tc>
        <w:tc>
          <w:tcPr>
            <w:tcW w:w="3077" w:type="dxa"/>
          </w:tcPr>
          <w:p w:rsidR="00AF0B91" w:rsidRPr="001972E4" w:rsidRDefault="00AF0B91" w:rsidP="001972E4">
            <w:pPr>
              <w:pStyle w:val="Styl1"/>
              <w:jc w:val="right"/>
              <w:rPr>
                <w:rFonts w:eastAsia="Calibri" w:cs="Arial"/>
                <w:sz w:val="22"/>
                <w:szCs w:val="22"/>
                <w:highlight w:val="yellow"/>
              </w:rPr>
            </w:pPr>
          </w:p>
        </w:tc>
      </w:tr>
      <w:tr w:rsidR="00AF0B91" w:rsidTr="00641240">
        <w:tc>
          <w:tcPr>
            <w:tcW w:w="3127" w:type="dxa"/>
          </w:tcPr>
          <w:p w:rsidR="00AF0B91" w:rsidRDefault="00AF0B91" w:rsidP="00E011C3">
            <w:pPr>
              <w:pStyle w:val="Styl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Pořadové číslo v roce: </w:t>
            </w:r>
            <w:r w:rsidR="00E011C3">
              <w:rPr>
                <w:rFonts w:cs="Arial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3084" w:type="dxa"/>
          </w:tcPr>
          <w:p w:rsidR="00AF0B91" w:rsidRDefault="00AF0B91" w:rsidP="00AF0B91">
            <w:pPr>
              <w:pStyle w:val="Styl1"/>
              <w:jc w:val="center"/>
              <w:rPr>
                <w:rFonts w:cs="Arial"/>
                <w:sz w:val="22"/>
              </w:rPr>
            </w:pPr>
          </w:p>
        </w:tc>
        <w:tc>
          <w:tcPr>
            <w:tcW w:w="3077" w:type="dxa"/>
          </w:tcPr>
          <w:p w:rsidR="00AF0B91" w:rsidRDefault="00AF0B91" w:rsidP="00AF0B91">
            <w:pPr>
              <w:pStyle w:val="Styl1"/>
              <w:jc w:val="right"/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AF0B91" w:rsidRDefault="00AF0B91" w:rsidP="00AF0B91">
      <w:pPr>
        <w:pStyle w:val="Styl1"/>
        <w:jc w:val="center"/>
        <w:rPr>
          <w:rFonts w:cs="Arial"/>
          <w:b/>
          <w:bCs/>
        </w:rPr>
      </w:pPr>
    </w:p>
    <w:p w:rsidR="00AF0B91" w:rsidRDefault="00AF0B91" w:rsidP="00AF0B91">
      <w:pPr>
        <w:pStyle w:val="Styl1"/>
        <w:jc w:val="center"/>
        <w:rPr>
          <w:rFonts w:cs="Arial"/>
          <w:b/>
          <w:bCs/>
        </w:rPr>
      </w:pPr>
    </w:p>
    <w:p w:rsidR="00AF0B91" w:rsidRDefault="00AF0B91" w:rsidP="00AF0B91">
      <w:pPr>
        <w:pStyle w:val="Styl1"/>
        <w:jc w:val="center"/>
        <w:rPr>
          <w:rFonts w:cs="Arial"/>
          <w:b/>
          <w:bCs/>
        </w:rPr>
      </w:pPr>
    </w:p>
    <w:p w:rsidR="00AF0B91" w:rsidRDefault="00AF0B91" w:rsidP="00AF0B91">
      <w:pPr>
        <w:pStyle w:val="Styl1"/>
        <w:jc w:val="center"/>
        <w:rPr>
          <w:rFonts w:cs="Arial"/>
        </w:rPr>
      </w:pPr>
    </w:p>
    <w:p w:rsidR="00AF0B91" w:rsidRDefault="00AF0B91" w:rsidP="00AF0B91">
      <w:pPr>
        <w:pStyle w:val="Styl1"/>
        <w:jc w:val="center"/>
        <w:rPr>
          <w:rFonts w:cs="Arial"/>
        </w:rPr>
      </w:pPr>
    </w:p>
    <w:p w:rsidR="00AF0B91" w:rsidRDefault="00AF0B91" w:rsidP="00AF0B91">
      <w:pPr>
        <w:pStyle w:val="Styl1"/>
        <w:jc w:val="center"/>
        <w:rPr>
          <w:rFonts w:cs="Arial"/>
        </w:rPr>
      </w:pPr>
    </w:p>
    <w:p w:rsidR="00AF0B91" w:rsidRDefault="00AF0B91" w:rsidP="00AF0B91">
      <w:pPr>
        <w:pStyle w:val="Styl1"/>
        <w:jc w:val="center"/>
        <w:rPr>
          <w:rFonts w:cs="Arial"/>
        </w:rPr>
      </w:pPr>
    </w:p>
    <w:p w:rsidR="00AF0B91" w:rsidRDefault="00AF0B91" w:rsidP="00AF0B91">
      <w:pPr>
        <w:pStyle w:val="Styl1"/>
        <w:jc w:val="center"/>
        <w:rPr>
          <w:rFonts w:cs="Arial"/>
        </w:rPr>
      </w:pPr>
    </w:p>
    <w:p w:rsidR="00AF0B91" w:rsidRDefault="00AF0B91" w:rsidP="00AF0B91">
      <w:pPr>
        <w:pStyle w:val="Styl1"/>
        <w:jc w:val="center"/>
        <w:rPr>
          <w:rFonts w:cs="Arial"/>
          <w:b/>
          <w:bCs/>
        </w:rPr>
      </w:pPr>
    </w:p>
    <w:p w:rsidR="00AF0B91" w:rsidRDefault="00AF0B91" w:rsidP="00AF0B91">
      <w:pPr>
        <w:pStyle w:val="Styl1"/>
        <w:jc w:val="center"/>
        <w:rPr>
          <w:rFonts w:cs="Arial"/>
          <w:b/>
          <w:bCs/>
        </w:rPr>
      </w:pPr>
    </w:p>
    <w:p w:rsidR="00AF0B91" w:rsidRDefault="00AF0B91" w:rsidP="00AF0B91">
      <w:pPr>
        <w:pStyle w:val="Styl1"/>
        <w:jc w:val="center"/>
        <w:rPr>
          <w:rFonts w:cs="Arial"/>
          <w:b/>
          <w:bCs/>
        </w:rPr>
      </w:pPr>
    </w:p>
    <w:p w:rsidR="00AF0B91" w:rsidRDefault="00AF0B91" w:rsidP="00AF0B91">
      <w:pPr>
        <w:pStyle w:val="Styl1"/>
        <w:jc w:val="center"/>
        <w:rPr>
          <w:rFonts w:cs="Arial"/>
          <w:b/>
          <w:bCs/>
        </w:rPr>
      </w:pPr>
    </w:p>
    <w:p w:rsidR="006B165D" w:rsidRPr="006B165D" w:rsidRDefault="004F3D23" w:rsidP="006B165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Zajímavosti ze zahraničního obchodu</w:t>
      </w: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p w:rsidR="00AF0B91" w:rsidRDefault="00AF0B91" w:rsidP="00AF0B91">
      <w:pPr>
        <w:pStyle w:val="Styl1"/>
        <w:jc w:val="center"/>
        <w:rPr>
          <w:rFonts w:cs="Arial"/>
          <w:sz w:val="20"/>
        </w:rPr>
      </w:pPr>
    </w:p>
    <w:tbl>
      <w:tblPr>
        <w:tblW w:w="0" w:type="auto"/>
        <w:tblLook w:val="04A0"/>
      </w:tblPr>
      <w:tblGrid>
        <w:gridCol w:w="2412"/>
        <w:gridCol w:w="6876"/>
      </w:tblGrid>
      <w:tr w:rsidR="00AF0B91" w:rsidTr="00AF0B91">
        <w:tc>
          <w:tcPr>
            <w:tcW w:w="2518" w:type="dxa"/>
          </w:tcPr>
          <w:p w:rsidR="00AF0B91" w:rsidRDefault="00AF0B91" w:rsidP="006332FC">
            <w:pPr>
              <w:pStyle w:val="Styl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Zpracoval</w:t>
            </w:r>
            <w:r w:rsidR="006332FC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7260" w:type="dxa"/>
          </w:tcPr>
          <w:p w:rsidR="00AF0B91" w:rsidRDefault="000F0FF0" w:rsidP="006332FC">
            <w:pPr>
              <w:pStyle w:val="Styl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Od</w:t>
            </w:r>
            <w:r w:rsidR="006332FC">
              <w:rPr>
                <w:rFonts w:cs="Arial"/>
                <w:sz w:val="20"/>
              </w:rPr>
              <w:t>dělení</w:t>
            </w:r>
            <w:r w:rsidR="002B6AAE">
              <w:rPr>
                <w:rFonts w:cs="Arial"/>
                <w:sz w:val="20"/>
              </w:rPr>
              <w:t xml:space="preserve"> statistiky zahraničního obchodu</w:t>
            </w:r>
          </w:p>
        </w:tc>
      </w:tr>
      <w:tr w:rsidR="00AF0B91" w:rsidTr="00AF0B91">
        <w:tc>
          <w:tcPr>
            <w:tcW w:w="2518" w:type="dxa"/>
          </w:tcPr>
          <w:p w:rsidR="00AF0B91" w:rsidRPr="006332FC" w:rsidRDefault="006332FC" w:rsidP="006332FC">
            <w:pPr>
              <w:pStyle w:val="Styl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Autor</w:t>
            </w:r>
            <w:r w:rsidR="00AF0B91" w:rsidRPr="006332FC">
              <w:rPr>
                <w:rFonts w:cs="Arial"/>
                <w:sz w:val="20"/>
              </w:rPr>
              <w:t>:</w:t>
            </w:r>
          </w:p>
        </w:tc>
        <w:tc>
          <w:tcPr>
            <w:tcW w:w="7260" w:type="dxa"/>
          </w:tcPr>
          <w:p w:rsidR="00AF0B91" w:rsidRPr="006332FC" w:rsidRDefault="005F75CE" w:rsidP="00AF0B91">
            <w:pPr>
              <w:pStyle w:val="Styl1"/>
              <w:rPr>
                <w:rFonts w:cs="Arial"/>
                <w:sz w:val="20"/>
              </w:rPr>
            </w:pPr>
            <w:r w:rsidRPr="006332FC">
              <w:rPr>
                <w:rFonts w:cs="Arial"/>
                <w:sz w:val="20"/>
              </w:rPr>
              <w:t>Ing. Markéta Heczková</w:t>
            </w:r>
          </w:p>
        </w:tc>
      </w:tr>
      <w:tr w:rsidR="00AF0B91" w:rsidTr="00AF0B91">
        <w:tc>
          <w:tcPr>
            <w:tcW w:w="2518" w:type="dxa"/>
          </w:tcPr>
          <w:p w:rsidR="00AF0B91" w:rsidRPr="006332FC" w:rsidRDefault="00AF0B91" w:rsidP="00AF0B91">
            <w:pPr>
              <w:pStyle w:val="Styl1"/>
              <w:rPr>
                <w:rFonts w:cs="Arial"/>
                <w:sz w:val="20"/>
              </w:rPr>
            </w:pPr>
            <w:r w:rsidRPr="006332FC">
              <w:rPr>
                <w:rFonts w:cs="Arial"/>
                <w:sz w:val="20"/>
              </w:rPr>
              <w:t>Kontaktní osoba:</w:t>
            </w:r>
          </w:p>
        </w:tc>
        <w:tc>
          <w:tcPr>
            <w:tcW w:w="7260" w:type="dxa"/>
          </w:tcPr>
          <w:p w:rsidR="00AF0B91" w:rsidRPr="006332FC" w:rsidRDefault="00AF0B91" w:rsidP="00AF0B91">
            <w:pPr>
              <w:pStyle w:val="Styl1"/>
              <w:rPr>
                <w:rFonts w:cs="Arial"/>
                <w:sz w:val="20"/>
              </w:rPr>
            </w:pPr>
            <w:r w:rsidRPr="006332FC">
              <w:rPr>
                <w:rFonts w:cs="Arial"/>
                <w:sz w:val="20"/>
              </w:rPr>
              <w:t xml:space="preserve">Ing. </w:t>
            </w:r>
            <w:r w:rsidR="002B6AAE" w:rsidRPr="006332FC">
              <w:rPr>
                <w:rFonts w:cs="Arial"/>
                <w:sz w:val="20"/>
              </w:rPr>
              <w:t>Markéta Heczková</w:t>
            </w:r>
          </w:p>
        </w:tc>
      </w:tr>
      <w:tr w:rsidR="00AF0B91" w:rsidTr="00AF0B91">
        <w:tc>
          <w:tcPr>
            <w:tcW w:w="2518" w:type="dxa"/>
          </w:tcPr>
          <w:p w:rsidR="00AF0B91" w:rsidRPr="006332FC" w:rsidRDefault="00AF0B91" w:rsidP="00AF0B91">
            <w:pPr>
              <w:pStyle w:val="Styl1"/>
              <w:rPr>
                <w:rFonts w:cs="Arial"/>
                <w:sz w:val="20"/>
              </w:rPr>
            </w:pPr>
            <w:r w:rsidRPr="006332FC">
              <w:rPr>
                <w:rFonts w:cs="Arial"/>
                <w:sz w:val="20"/>
              </w:rPr>
              <w:t>Telefon:</w:t>
            </w:r>
          </w:p>
        </w:tc>
        <w:tc>
          <w:tcPr>
            <w:tcW w:w="7260" w:type="dxa"/>
          </w:tcPr>
          <w:p w:rsidR="00AF0B91" w:rsidRPr="006332FC" w:rsidRDefault="006332FC" w:rsidP="00AF0B91">
            <w:pPr>
              <w:pStyle w:val="Styl1"/>
              <w:rPr>
                <w:rFonts w:cs="Arial"/>
                <w:sz w:val="20"/>
              </w:rPr>
            </w:pPr>
            <w:r w:rsidRPr="006332FC">
              <w:rPr>
                <w:rFonts w:cs="Arial"/>
                <w:sz w:val="20"/>
              </w:rPr>
              <w:t>274 052 169</w:t>
            </w:r>
          </w:p>
        </w:tc>
      </w:tr>
      <w:tr w:rsidR="00AF0B91" w:rsidTr="006332FC">
        <w:trPr>
          <w:trHeight w:val="350"/>
        </w:trPr>
        <w:tc>
          <w:tcPr>
            <w:tcW w:w="2518" w:type="dxa"/>
          </w:tcPr>
          <w:p w:rsidR="00AF0B91" w:rsidRPr="006332FC" w:rsidRDefault="00AF0B91" w:rsidP="00AF0B91">
            <w:pPr>
              <w:pStyle w:val="Styl1"/>
              <w:rPr>
                <w:rFonts w:cs="Arial"/>
                <w:sz w:val="20"/>
              </w:rPr>
            </w:pPr>
            <w:r w:rsidRPr="006332FC">
              <w:rPr>
                <w:rFonts w:cs="Arial"/>
                <w:sz w:val="20"/>
              </w:rPr>
              <w:t>E-mail:</w:t>
            </w:r>
          </w:p>
        </w:tc>
        <w:tc>
          <w:tcPr>
            <w:tcW w:w="7260" w:type="dxa"/>
          </w:tcPr>
          <w:p w:rsidR="00E011C3" w:rsidRPr="006332FC" w:rsidRDefault="006B40D8" w:rsidP="002B6AAE">
            <w:pPr>
              <w:pStyle w:val="Styl1"/>
              <w:rPr>
                <w:rFonts w:cs="Arial"/>
                <w:sz w:val="20"/>
              </w:rPr>
            </w:pPr>
            <w:hyperlink r:id="rId8" w:history="1">
              <w:r w:rsidR="002B6AAE" w:rsidRPr="006332FC">
                <w:rPr>
                  <w:rStyle w:val="Hypertextovodkaz"/>
                  <w:rFonts w:cs="Arial"/>
                  <w:sz w:val="20"/>
                </w:rPr>
                <w:t>marketa.heczkova@czso.cz</w:t>
              </w:r>
            </w:hyperlink>
          </w:p>
        </w:tc>
      </w:tr>
      <w:tr w:rsidR="00AF0B91" w:rsidTr="006332FC">
        <w:trPr>
          <w:trHeight w:val="80"/>
        </w:trPr>
        <w:tc>
          <w:tcPr>
            <w:tcW w:w="2518" w:type="dxa"/>
            <w:tcBorders>
              <w:bottom w:val="single" w:sz="4" w:space="0" w:color="auto"/>
            </w:tcBorders>
          </w:tcPr>
          <w:p w:rsidR="00AF0B91" w:rsidRDefault="00AF0B91" w:rsidP="00AF0B91">
            <w:pPr>
              <w:pStyle w:val="Styl1"/>
              <w:rPr>
                <w:rFonts w:cs="Arial"/>
                <w:sz w:val="20"/>
              </w:rPr>
            </w:pPr>
          </w:p>
        </w:tc>
        <w:tc>
          <w:tcPr>
            <w:tcW w:w="7260" w:type="dxa"/>
            <w:tcBorders>
              <w:bottom w:val="single" w:sz="4" w:space="0" w:color="auto"/>
            </w:tcBorders>
          </w:tcPr>
          <w:p w:rsidR="00A26DFA" w:rsidRDefault="00A26DFA" w:rsidP="00AF0B91">
            <w:pPr>
              <w:pStyle w:val="Styl1"/>
              <w:rPr>
                <w:rFonts w:cs="Arial"/>
                <w:sz w:val="20"/>
              </w:rPr>
            </w:pPr>
          </w:p>
        </w:tc>
      </w:tr>
    </w:tbl>
    <w:p w:rsidR="006332FC" w:rsidRDefault="006332FC" w:rsidP="00AF0B91">
      <w:pPr>
        <w:pStyle w:val="Styl1"/>
        <w:jc w:val="center"/>
        <w:rPr>
          <w:rFonts w:cs="Arial"/>
          <w:sz w:val="20"/>
          <w:szCs w:val="20"/>
        </w:rPr>
      </w:pPr>
    </w:p>
    <w:p w:rsidR="005F75CE" w:rsidRDefault="00E011C3" w:rsidP="00AF0B91">
      <w:pPr>
        <w:pStyle w:val="Styl1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Český statistický úřad </w:t>
      </w:r>
    </w:p>
    <w:p w:rsidR="00E011C3" w:rsidRDefault="00E011C3" w:rsidP="00AF0B91">
      <w:pPr>
        <w:pStyle w:val="Styl1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Rok 2014</w:t>
      </w: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</w:p>
    <w:p w:rsidR="00A26DFA" w:rsidRDefault="00A26DFA" w:rsidP="00AF0B91">
      <w:pPr>
        <w:rPr>
          <w:rFonts w:cs="Arial"/>
        </w:rPr>
      </w:pPr>
    </w:p>
    <w:p w:rsidR="00AF0B91" w:rsidRDefault="00AF0B91" w:rsidP="00AF0B91">
      <w:pPr>
        <w:rPr>
          <w:rFonts w:cs="Arial"/>
        </w:rPr>
      </w:pPr>
      <w:r>
        <w:rPr>
          <w:rFonts w:cs="Arial"/>
        </w:rPr>
        <w:t>© Český statistický úřad, Praha 201</w:t>
      </w:r>
      <w:r w:rsidR="00E011C3">
        <w:rPr>
          <w:rFonts w:cs="Arial"/>
        </w:rPr>
        <w:t>4</w:t>
      </w:r>
    </w:p>
    <w:p w:rsidR="002370A4" w:rsidRPr="002A4B0F" w:rsidRDefault="006B3A2F" w:rsidP="002A4B0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A4B0F">
        <w:rPr>
          <w:rFonts w:ascii="Arial" w:hAnsi="Arial" w:cs="Arial"/>
          <w:b/>
          <w:sz w:val="28"/>
          <w:szCs w:val="28"/>
        </w:rPr>
        <w:lastRenderedPageBreak/>
        <w:t>Prahy pro vykazování</w:t>
      </w:r>
      <w:r w:rsidR="002370A4" w:rsidRPr="002A4B0F">
        <w:rPr>
          <w:rFonts w:ascii="Arial" w:hAnsi="Arial" w:cs="Arial"/>
          <w:b/>
          <w:sz w:val="28"/>
          <w:szCs w:val="28"/>
        </w:rPr>
        <w:t xml:space="preserve"> ve vnitřním obchodě EU</w:t>
      </w:r>
    </w:p>
    <w:p w:rsidR="005C6B5E" w:rsidRPr="004A1586" w:rsidRDefault="002A7D0D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t>Abychom se mohli zabývat problematikou prahů,</w:t>
      </w:r>
      <w:r w:rsidR="005C6B5E" w:rsidRPr="004A1586">
        <w:rPr>
          <w:rFonts w:ascii="Arial" w:hAnsi="Arial" w:cs="Arial"/>
          <w:sz w:val="20"/>
          <w:szCs w:val="20"/>
        </w:rPr>
        <w:t xml:space="preserve"> je nutné vysvětlit několik základních pojmů, se kterými se ve statistické </w:t>
      </w:r>
      <w:r w:rsidR="002D2B99" w:rsidRPr="004A1586">
        <w:rPr>
          <w:rFonts w:ascii="Arial" w:hAnsi="Arial" w:cs="Arial"/>
          <w:sz w:val="20"/>
          <w:szCs w:val="20"/>
        </w:rPr>
        <w:t>terminologii</w:t>
      </w:r>
      <w:r w:rsidR="005C6B5E" w:rsidRPr="004A1586">
        <w:rPr>
          <w:rFonts w:ascii="Arial" w:hAnsi="Arial" w:cs="Arial"/>
          <w:sz w:val="20"/>
          <w:szCs w:val="20"/>
        </w:rPr>
        <w:t xml:space="preserve"> běžně pracuje. </w:t>
      </w:r>
    </w:p>
    <w:p w:rsidR="00987F4C" w:rsidRPr="004A1586" w:rsidRDefault="005C6B5E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b/>
          <w:sz w:val="20"/>
          <w:szCs w:val="20"/>
        </w:rPr>
        <w:t>Intrastat</w:t>
      </w:r>
      <w:r w:rsidR="00962DCC" w:rsidRPr="004A1586">
        <w:rPr>
          <w:rFonts w:ascii="Arial" w:hAnsi="Arial" w:cs="Arial"/>
          <w:sz w:val="20"/>
          <w:szCs w:val="20"/>
        </w:rPr>
        <w:t xml:space="preserve">. </w:t>
      </w:r>
      <w:r w:rsidR="00987F4C" w:rsidRPr="004A1586">
        <w:rPr>
          <w:rFonts w:ascii="Arial" w:hAnsi="Arial" w:cs="Arial"/>
          <w:sz w:val="20"/>
          <w:szCs w:val="20"/>
        </w:rPr>
        <w:t>Intrastat je systém sběru a zpracování dat pro statistiku obchodu se zbožím mezi člen</w:t>
      </w:r>
      <w:r w:rsidR="00962DCC" w:rsidRPr="004A1586">
        <w:rPr>
          <w:rFonts w:ascii="Arial" w:hAnsi="Arial" w:cs="Arial"/>
          <w:sz w:val="20"/>
          <w:szCs w:val="20"/>
        </w:rPr>
        <w:t xml:space="preserve">skými státy, zahrnující i sběr </w:t>
      </w:r>
      <w:r w:rsidR="00987F4C" w:rsidRPr="004A1586">
        <w:rPr>
          <w:rFonts w:ascii="Arial" w:hAnsi="Arial" w:cs="Arial"/>
          <w:sz w:val="20"/>
          <w:szCs w:val="20"/>
        </w:rPr>
        <w:t>údajů o pohybu zboží, které přímo předmětem obchodu mezi obchodními partnery z různých členských států není.</w:t>
      </w:r>
      <w:r w:rsidR="00962DCC" w:rsidRPr="004A1586">
        <w:rPr>
          <w:rFonts w:ascii="Arial" w:hAnsi="Arial" w:cs="Arial"/>
          <w:sz w:val="20"/>
          <w:szCs w:val="20"/>
        </w:rPr>
        <w:t xml:space="preserve"> </w:t>
      </w:r>
    </w:p>
    <w:p w:rsidR="005C6B5E" w:rsidRPr="004A1586" w:rsidRDefault="00987F4C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t xml:space="preserve">Intrastat  lze také popsat jako </w:t>
      </w:r>
      <w:r w:rsidRPr="004A1586">
        <w:rPr>
          <w:rFonts w:ascii="Arial" w:hAnsi="Arial" w:cs="Arial"/>
          <w:bCs/>
          <w:sz w:val="20"/>
          <w:szCs w:val="20"/>
        </w:rPr>
        <w:t xml:space="preserve">statistický systém sledující </w:t>
      </w:r>
      <w:r w:rsidRPr="004A1586">
        <w:rPr>
          <w:rFonts w:ascii="Arial" w:hAnsi="Arial" w:cs="Arial"/>
          <w:bCs/>
          <w:color w:val="000000"/>
          <w:sz w:val="20"/>
          <w:szCs w:val="20"/>
        </w:rPr>
        <w:t>pohyb zboží mezi členskými státy EU, to je mezi Českou republikou a ostatními členskými státy EU, pokud toto zbo</w:t>
      </w:r>
      <w:r w:rsidR="00962DCC" w:rsidRPr="004A1586">
        <w:rPr>
          <w:rFonts w:ascii="Arial" w:hAnsi="Arial" w:cs="Arial"/>
          <w:bCs/>
          <w:color w:val="000000"/>
          <w:sz w:val="20"/>
          <w:szCs w:val="20"/>
        </w:rPr>
        <w:t xml:space="preserve">ží </w:t>
      </w:r>
      <w:r w:rsidRPr="004A1586">
        <w:rPr>
          <w:rFonts w:ascii="Arial" w:hAnsi="Arial" w:cs="Arial"/>
          <w:bCs/>
          <w:color w:val="000000"/>
          <w:sz w:val="20"/>
          <w:szCs w:val="20"/>
        </w:rPr>
        <w:t>bylo odesláno z ČR do jiného členského státu EU</w:t>
      </w:r>
      <w:r w:rsidR="00962DCC" w:rsidRPr="004A1586">
        <w:rPr>
          <w:rFonts w:ascii="Arial" w:hAnsi="Arial" w:cs="Arial"/>
          <w:bCs/>
          <w:color w:val="000000"/>
          <w:sz w:val="20"/>
          <w:szCs w:val="20"/>
        </w:rPr>
        <w:t>,</w:t>
      </w:r>
      <w:r w:rsidRPr="004A158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A1586">
        <w:rPr>
          <w:rFonts w:ascii="Arial" w:hAnsi="Arial" w:cs="Arial"/>
          <w:bCs/>
          <w:sz w:val="20"/>
          <w:szCs w:val="20"/>
        </w:rPr>
        <w:t>nebo bylo přijato do ČR z jiného členského státu EU, přičemž skutečně přestoupilo státní hranici ČR.</w:t>
      </w:r>
    </w:p>
    <w:p w:rsidR="00987F4C" w:rsidRPr="004A1586" w:rsidRDefault="00212F98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b/>
          <w:sz w:val="20"/>
          <w:szCs w:val="20"/>
        </w:rPr>
        <w:t>Zpravodajská jednotka</w:t>
      </w:r>
      <w:r w:rsidR="00962DCC" w:rsidRPr="004A1586">
        <w:rPr>
          <w:rFonts w:ascii="Arial" w:hAnsi="Arial" w:cs="Arial"/>
          <w:b/>
          <w:sz w:val="20"/>
          <w:szCs w:val="20"/>
        </w:rPr>
        <w:t>.</w:t>
      </w:r>
      <w:r w:rsidRPr="004A1586">
        <w:rPr>
          <w:rFonts w:ascii="Arial" w:hAnsi="Arial" w:cs="Arial"/>
          <w:sz w:val="20"/>
          <w:szCs w:val="20"/>
        </w:rPr>
        <w:t xml:space="preserve"> </w:t>
      </w:r>
      <w:r w:rsidR="00987F4C" w:rsidRPr="004A1586">
        <w:rPr>
          <w:rFonts w:ascii="Arial" w:hAnsi="Arial" w:cs="Arial"/>
          <w:sz w:val="20"/>
          <w:szCs w:val="20"/>
        </w:rPr>
        <w:t xml:space="preserve">Právnická nebo fyzická osoba, zaregistrovaná v ČR k DPH, která odesílá zboží do jiného členského státu nebo z takového státu zboží přijímá a </w:t>
      </w:r>
      <w:r w:rsidR="00FA21EF" w:rsidRPr="004A1586">
        <w:rPr>
          <w:rFonts w:ascii="Arial" w:hAnsi="Arial" w:cs="Arial"/>
          <w:sz w:val="20"/>
          <w:szCs w:val="20"/>
        </w:rPr>
        <w:t>vznikla jí</w:t>
      </w:r>
      <w:r w:rsidR="00987F4C" w:rsidRPr="004A1586">
        <w:rPr>
          <w:rFonts w:ascii="Arial" w:hAnsi="Arial" w:cs="Arial"/>
          <w:sz w:val="20"/>
          <w:szCs w:val="20"/>
        </w:rPr>
        <w:t xml:space="preserve"> povinnost poskytovat do </w:t>
      </w:r>
      <w:r w:rsidR="00987F4C" w:rsidRPr="004A1586">
        <w:rPr>
          <w:rFonts w:ascii="Arial" w:hAnsi="Arial" w:cs="Arial"/>
          <w:caps/>
          <w:sz w:val="20"/>
          <w:szCs w:val="20"/>
        </w:rPr>
        <w:t>Intrastatu</w:t>
      </w:r>
      <w:r w:rsidR="00962DCC" w:rsidRPr="004A1586">
        <w:rPr>
          <w:rFonts w:ascii="Arial" w:hAnsi="Arial" w:cs="Arial"/>
          <w:sz w:val="20"/>
          <w:szCs w:val="20"/>
        </w:rPr>
        <w:t xml:space="preserve"> stanovené údaje o tomto zboží.</w:t>
      </w:r>
    </w:p>
    <w:p w:rsidR="00987F4C" w:rsidRPr="004A1586" w:rsidRDefault="00066F41" w:rsidP="004A158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A1586">
        <w:rPr>
          <w:rFonts w:ascii="Arial" w:hAnsi="Arial" w:cs="Arial"/>
          <w:b/>
          <w:sz w:val="20"/>
          <w:szCs w:val="20"/>
        </w:rPr>
        <w:t xml:space="preserve">Práh pro vykazování (dříve </w:t>
      </w:r>
      <w:r w:rsidR="002D4E72" w:rsidRPr="004A1586">
        <w:rPr>
          <w:rFonts w:ascii="Arial" w:hAnsi="Arial" w:cs="Arial"/>
          <w:b/>
          <w:sz w:val="20"/>
          <w:szCs w:val="20"/>
        </w:rPr>
        <w:t>Osvobozující práh</w:t>
      </w:r>
      <w:r w:rsidRPr="004A1586">
        <w:rPr>
          <w:rFonts w:ascii="Arial" w:hAnsi="Arial" w:cs="Arial"/>
          <w:b/>
          <w:sz w:val="20"/>
          <w:szCs w:val="20"/>
        </w:rPr>
        <w:t>)</w:t>
      </w:r>
      <w:r w:rsidR="00BD209E" w:rsidRPr="004A1586">
        <w:rPr>
          <w:rFonts w:ascii="Arial" w:hAnsi="Arial" w:cs="Arial"/>
          <w:sz w:val="20"/>
          <w:szCs w:val="20"/>
        </w:rPr>
        <w:t xml:space="preserve">. </w:t>
      </w:r>
      <w:r w:rsidR="00987F4C" w:rsidRPr="004A1586">
        <w:rPr>
          <w:rFonts w:ascii="Arial" w:hAnsi="Arial" w:cs="Arial"/>
          <w:sz w:val="20"/>
          <w:szCs w:val="20"/>
        </w:rPr>
        <w:t xml:space="preserve">Práh pro vykazování </w:t>
      </w:r>
      <w:r w:rsidR="00987F4C" w:rsidRPr="004A1586">
        <w:rPr>
          <w:rFonts w:ascii="Arial" w:hAnsi="Arial" w:cs="Arial"/>
          <w:bCs/>
          <w:sz w:val="20"/>
          <w:szCs w:val="20"/>
        </w:rPr>
        <w:t>je l</w:t>
      </w:r>
      <w:r w:rsidR="00987F4C" w:rsidRPr="004A1586">
        <w:rPr>
          <w:rFonts w:ascii="Arial" w:hAnsi="Arial" w:cs="Arial"/>
          <w:bCs/>
          <w:color w:val="000000"/>
          <w:sz w:val="20"/>
          <w:szCs w:val="20"/>
        </w:rPr>
        <w:t>imit hod</w:t>
      </w:r>
      <w:r w:rsidR="00962DCC" w:rsidRPr="004A1586">
        <w:rPr>
          <w:rFonts w:ascii="Arial" w:hAnsi="Arial" w:cs="Arial"/>
          <w:bCs/>
          <w:color w:val="000000"/>
          <w:sz w:val="20"/>
          <w:szCs w:val="20"/>
        </w:rPr>
        <w:t xml:space="preserve">noty odeslaného nebo přijatého </w:t>
      </w:r>
      <w:r w:rsidR="00987F4C" w:rsidRPr="004A1586">
        <w:rPr>
          <w:rFonts w:ascii="Arial" w:hAnsi="Arial" w:cs="Arial"/>
          <w:bCs/>
          <w:color w:val="000000"/>
          <w:sz w:val="20"/>
          <w:szCs w:val="20"/>
        </w:rPr>
        <w:t>zboží, do jehož dosažení zpravodajská jednotka do Výkazů pro Intrastat údaje o zboží odeslaném do jiných členských států nebo přijatém z těchto států nevykazuje.</w:t>
      </w:r>
      <w:r w:rsidR="00987F4C" w:rsidRPr="004A1586">
        <w:rPr>
          <w:rFonts w:ascii="Arial" w:hAnsi="Arial" w:cs="Arial"/>
          <w:color w:val="000000"/>
          <w:sz w:val="20"/>
          <w:szCs w:val="20"/>
        </w:rPr>
        <w:t xml:space="preserve"> Je to limit, který si zpravodajská jednotka musí sama počítat od začátku každého kalendářního roku anebo ode dne přidělení DIČ k DPH, a to zvlášť za odeslané a zvlášť za přijaté zboží. Výše prahů je stanovena na 8 miliónů Kč pro odeslané a na 8 miliónů Kč pro přijaté zboží.</w:t>
      </w:r>
    </w:p>
    <w:p w:rsidR="00212F98" w:rsidRPr="004A1586" w:rsidRDefault="002D4E72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t xml:space="preserve">Prahy byly vytvořeny </w:t>
      </w:r>
      <w:r w:rsidR="001F309B" w:rsidRPr="004A1586">
        <w:rPr>
          <w:rFonts w:ascii="Arial" w:hAnsi="Arial" w:cs="Arial"/>
          <w:sz w:val="20"/>
          <w:szCs w:val="20"/>
        </w:rPr>
        <w:t>především</w:t>
      </w:r>
      <w:r w:rsidR="002D2B99" w:rsidRPr="004A1586">
        <w:rPr>
          <w:rFonts w:ascii="Arial" w:hAnsi="Arial" w:cs="Arial"/>
          <w:sz w:val="20"/>
          <w:szCs w:val="20"/>
        </w:rPr>
        <w:t xml:space="preserve"> </w:t>
      </w:r>
      <w:r w:rsidRPr="004A1586">
        <w:rPr>
          <w:rFonts w:ascii="Arial" w:hAnsi="Arial" w:cs="Arial"/>
          <w:sz w:val="20"/>
          <w:szCs w:val="20"/>
        </w:rPr>
        <w:t>za účelem zmenšení byrokratického zatížení firem</w:t>
      </w:r>
      <w:r w:rsidR="001F309B" w:rsidRPr="004A1586">
        <w:rPr>
          <w:rFonts w:ascii="Arial" w:hAnsi="Arial" w:cs="Arial"/>
          <w:sz w:val="20"/>
          <w:szCs w:val="20"/>
        </w:rPr>
        <w:t>.</w:t>
      </w:r>
      <w:r w:rsidRPr="004A1586">
        <w:rPr>
          <w:rFonts w:ascii="Arial" w:hAnsi="Arial" w:cs="Arial"/>
          <w:sz w:val="20"/>
          <w:szCs w:val="20"/>
        </w:rPr>
        <w:t xml:space="preserve"> Pokud firma</w:t>
      </w:r>
      <w:r w:rsidR="00170E11" w:rsidRPr="004A1586">
        <w:rPr>
          <w:rFonts w:ascii="Arial" w:hAnsi="Arial" w:cs="Arial"/>
          <w:sz w:val="20"/>
          <w:szCs w:val="20"/>
        </w:rPr>
        <w:t xml:space="preserve">, která je registrována či identifikována k DPH v </w:t>
      </w:r>
      <w:r w:rsidR="004B6526" w:rsidRPr="004A1586">
        <w:rPr>
          <w:rFonts w:ascii="Arial" w:hAnsi="Arial" w:cs="Arial"/>
          <w:sz w:val="20"/>
          <w:szCs w:val="20"/>
        </w:rPr>
        <w:t>ČR,</w:t>
      </w:r>
      <w:r w:rsidRPr="004A1586">
        <w:rPr>
          <w:rFonts w:ascii="Arial" w:hAnsi="Arial" w:cs="Arial"/>
          <w:sz w:val="20"/>
          <w:szCs w:val="20"/>
        </w:rPr>
        <w:t xml:space="preserve"> za jeden kalendářní rok </w:t>
      </w:r>
      <w:r w:rsidR="00976377" w:rsidRPr="004A1586">
        <w:rPr>
          <w:rFonts w:ascii="Arial" w:hAnsi="Arial" w:cs="Arial"/>
          <w:sz w:val="20"/>
          <w:szCs w:val="20"/>
        </w:rPr>
        <w:t xml:space="preserve">dosáhne prahu tím, že </w:t>
      </w:r>
      <w:r w:rsidRPr="004A1586">
        <w:rPr>
          <w:rFonts w:ascii="Arial" w:hAnsi="Arial" w:cs="Arial"/>
          <w:sz w:val="20"/>
          <w:szCs w:val="20"/>
        </w:rPr>
        <w:t xml:space="preserve">přijme, respektive odešle zboží </w:t>
      </w:r>
      <w:r w:rsidR="003246BE" w:rsidRPr="004A1586">
        <w:rPr>
          <w:rFonts w:ascii="Arial" w:hAnsi="Arial" w:cs="Arial"/>
          <w:sz w:val="20"/>
          <w:szCs w:val="20"/>
        </w:rPr>
        <w:t>v kumulované hodnotě 8 mil. Kč bez DPH nebo vyšší</w:t>
      </w:r>
      <w:r w:rsidRPr="004A1586">
        <w:rPr>
          <w:rFonts w:ascii="Arial" w:hAnsi="Arial" w:cs="Arial"/>
          <w:sz w:val="20"/>
          <w:szCs w:val="20"/>
        </w:rPr>
        <w:t>, vznik</w:t>
      </w:r>
      <w:r w:rsidR="003246BE" w:rsidRPr="004A1586">
        <w:rPr>
          <w:rFonts w:ascii="Arial" w:hAnsi="Arial" w:cs="Arial"/>
          <w:sz w:val="20"/>
          <w:szCs w:val="20"/>
        </w:rPr>
        <w:t>ne</w:t>
      </w:r>
      <w:r w:rsidRPr="004A1586">
        <w:rPr>
          <w:rFonts w:ascii="Arial" w:hAnsi="Arial" w:cs="Arial"/>
          <w:sz w:val="20"/>
          <w:szCs w:val="20"/>
        </w:rPr>
        <w:t xml:space="preserve"> jí povinnost vykazovat data do Intrastatu</w:t>
      </w:r>
      <w:r w:rsidR="0058263A" w:rsidRPr="004A1586">
        <w:rPr>
          <w:rFonts w:ascii="Arial" w:hAnsi="Arial" w:cs="Arial"/>
          <w:sz w:val="20"/>
          <w:szCs w:val="20"/>
        </w:rPr>
        <w:t xml:space="preserve"> o přijetí nebo odeslání, případně v obou tocích zboží</w:t>
      </w:r>
      <w:r w:rsidR="00FF01C8" w:rsidRPr="004A1586">
        <w:rPr>
          <w:rFonts w:ascii="Arial" w:hAnsi="Arial" w:cs="Arial"/>
          <w:sz w:val="20"/>
          <w:szCs w:val="20"/>
        </w:rPr>
        <w:t>, podle toho, ve kterém směru</w:t>
      </w:r>
      <w:r w:rsidR="00B631D4" w:rsidRPr="004A1586">
        <w:rPr>
          <w:rFonts w:ascii="Arial" w:hAnsi="Arial" w:cs="Arial"/>
          <w:sz w:val="20"/>
          <w:szCs w:val="20"/>
        </w:rPr>
        <w:t xml:space="preserve"> hodnotu prahu dosáhla</w:t>
      </w:r>
      <w:r w:rsidRPr="004A1586">
        <w:rPr>
          <w:rFonts w:ascii="Arial" w:hAnsi="Arial" w:cs="Arial"/>
          <w:sz w:val="20"/>
          <w:szCs w:val="20"/>
        </w:rPr>
        <w:t>. Do výpočtu prahu jsou kromě hodnoty nakup</w:t>
      </w:r>
      <w:r w:rsidR="000002C2" w:rsidRPr="004A1586">
        <w:rPr>
          <w:rFonts w:ascii="Arial" w:hAnsi="Arial" w:cs="Arial"/>
          <w:sz w:val="20"/>
          <w:szCs w:val="20"/>
        </w:rPr>
        <w:t xml:space="preserve">ovaného nebo prodávaného zboží </w:t>
      </w:r>
      <w:r w:rsidRPr="004A1586">
        <w:rPr>
          <w:rFonts w:ascii="Arial" w:hAnsi="Arial" w:cs="Arial"/>
          <w:sz w:val="20"/>
          <w:szCs w:val="20"/>
        </w:rPr>
        <w:t>započítávány například i hodnoty vráceného zboží</w:t>
      </w:r>
      <w:r w:rsidR="000002C2" w:rsidRPr="004A1586">
        <w:rPr>
          <w:rFonts w:ascii="Arial" w:hAnsi="Arial" w:cs="Arial"/>
          <w:sz w:val="20"/>
          <w:szCs w:val="20"/>
        </w:rPr>
        <w:t>,</w:t>
      </w:r>
      <w:r w:rsidRPr="004A1586">
        <w:rPr>
          <w:rFonts w:ascii="Arial" w:hAnsi="Arial" w:cs="Arial"/>
          <w:sz w:val="20"/>
          <w:szCs w:val="20"/>
        </w:rPr>
        <w:t xml:space="preserve"> nebo zboží určeného ke zpracování dle smlouvy.</w:t>
      </w:r>
    </w:p>
    <w:p w:rsidR="00BD209E" w:rsidRPr="004A1586" w:rsidRDefault="00BD209E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b/>
          <w:sz w:val="20"/>
          <w:szCs w:val="20"/>
        </w:rPr>
        <w:t>Přijetí</w:t>
      </w:r>
      <w:r w:rsidR="00962DCC" w:rsidRPr="004A1586">
        <w:rPr>
          <w:rFonts w:ascii="Arial" w:hAnsi="Arial" w:cs="Arial"/>
          <w:b/>
          <w:sz w:val="20"/>
          <w:szCs w:val="20"/>
        </w:rPr>
        <w:t>.</w:t>
      </w:r>
      <w:r w:rsidR="00962DCC" w:rsidRPr="004A1586">
        <w:rPr>
          <w:rFonts w:ascii="Arial" w:hAnsi="Arial" w:cs="Arial"/>
          <w:sz w:val="20"/>
          <w:szCs w:val="20"/>
        </w:rPr>
        <w:t xml:space="preserve"> </w:t>
      </w:r>
      <w:r w:rsidR="00EE798A" w:rsidRPr="004A1586">
        <w:rPr>
          <w:rFonts w:ascii="Arial" w:hAnsi="Arial" w:cs="Arial"/>
          <w:sz w:val="20"/>
          <w:szCs w:val="20"/>
        </w:rPr>
        <w:t>Přijetí zboží vykazovaného v systému Intrastat, které vstupuje na území ČR (včetně vráceného zboží od odběrat</w:t>
      </w:r>
      <w:r w:rsidR="00962DCC" w:rsidRPr="004A1586">
        <w:rPr>
          <w:rFonts w:ascii="Arial" w:hAnsi="Arial" w:cs="Arial"/>
          <w:sz w:val="20"/>
          <w:szCs w:val="20"/>
        </w:rPr>
        <w:t>ele z jiného členského státu EU).</w:t>
      </w:r>
    </w:p>
    <w:p w:rsidR="008B20D2" w:rsidRPr="004A1586" w:rsidRDefault="00BD209E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b/>
          <w:sz w:val="20"/>
          <w:szCs w:val="20"/>
        </w:rPr>
        <w:t>Odeslání</w:t>
      </w:r>
      <w:r w:rsidR="00962DCC" w:rsidRPr="004A1586">
        <w:rPr>
          <w:rFonts w:ascii="Arial" w:hAnsi="Arial" w:cs="Arial"/>
          <w:b/>
          <w:sz w:val="20"/>
          <w:szCs w:val="20"/>
        </w:rPr>
        <w:t xml:space="preserve">. </w:t>
      </w:r>
      <w:r w:rsidR="00962DCC" w:rsidRPr="004A1586">
        <w:rPr>
          <w:rFonts w:ascii="Arial" w:hAnsi="Arial" w:cs="Arial"/>
          <w:sz w:val="20"/>
          <w:szCs w:val="20"/>
        </w:rPr>
        <w:t>Odeslání</w:t>
      </w:r>
      <w:r w:rsidR="008B20D2" w:rsidRPr="004A1586">
        <w:rPr>
          <w:rFonts w:ascii="Arial" w:hAnsi="Arial" w:cs="Arial"/>
          <w:sz w:val="20"/>
          <w:szCs w:val="20"/>
        </w:rPr>
        <w:t xml:space="preserve"> </w:t>
      </w:r>
      <w:r w:rsidR="00EE798A" w:rsidRPr="004A1586">
        <w:rPr>
          <w:rFonts w:ascii="Arial" w:hAnsi="Arial" w:cs="Arial"/>
          <w:sz w:val="20"/>
          <w:szCs w:val="20"/>
        </w:rPr>
        <w:t>zboží vykazovaného v systému Intrastat, které opouští území ČR (včetně zboží vraceného do jiného členského státu EU jeho dodavateli)</w:t>
      </w:r>
      <w:r w:rsidR="008B20D2" w:rsidRPr="004A1586">
        <w:rPr>
          <w:rFonts w:ascii="Arial" w:hAnsi="Arial" w:cs="Arial"/>
          <w:sz w:val="20"/>
          <w:szCs w:val="20"/>
        </w:rPr>
        <w:t xml:space="preserve">. </w:t>
      </w:r>
    </w:p>
    <w:p w:rsidR="00155B87" w:rsidRPr="004A1586" w:rsidRDefault="003F183C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t xml:space="preserve">Povinnost zavedení tzv. </w:t>
      </w:r>
      <w:r w:rsidR="00547945" w:rsidRPr="004A1586">
        <w:rPr>
          <w:rFonts w:ascii="Arial" w:hAnsi="Arial" w:cs="Arial"/>
          <w:sz w:val="20"/>
          <w:szCs w:val="20"/>
        </w:rPr>
        <w:t>prahů pro vykazování</w:t>
      </w:r>
      <w:r w:rsidRPr="004A1586">
        <w:rPr>
          <w:rFonts w:ascii="Arial" w:hAnsi="Arial" w:cs="Arial"/>
          <w:sz w:val="20"/>
          <w:szCs w:val="20"/>
        </w:rPr>
        <w:t xml:space="preserve"> vyplývá pro státy Evropské unie z Nařízení Evropského parlamentu a Rady (ES) č. 638/2004 ze dne 31. 3. 2004 o statistice Společenství obchodu se zbožím mezi členskými státy a o zrušení nařízení Rady (EHS) č. 3330/91 článek 10. </w:t>
      </w:r>
      <w:r w:rsidR="002D7D4D" w:rsidRPr="004A1586">
        <w:rPr>
          <w:rFonts w:ascii="Arial" w:hAnsi="Arial" w:cs="Arial"/>
          <w:sz w:val="20"/>
          <w:szCs w:val="20"/>
        </w:rPr>
        <w:t>Proto jednotlivé členské státy každoročně zkoumají, zda výše prahů, pod nimiž jsou zpravodajské jednotky osvobozeny od povinnosti poskytovat informace v rámci systému Intrastat</w:t>
      </w:r>
      <w:r w:rsidR="00D72133" w:rsidRPr="004A1586">
        <w:rPr>
          <w:rFonts w:ascii="Arial" w:hAnsi="Arial" w:cs="Arial"/>
          <w:sz w:val="20"/>
          <w:szCs w:val="20"/>
        </w:rPr>
        <w:t>, je v souladu s tímto nařízením.</w:t>
      </w:r>
      <w:r w:rsidR="00155B87" w:rsidRPr="004A1586">
        <w:rPr>
          <w:rFonts w:ascii="Arial" w:hAnsi="Arial" w:cs="Arial"/>
          <w:sz w:val="20"/>
          <w:szCs w:val="20"/>
        </w:rPr>
        <w:t xml:space="preserve"> </w:t>
      </w:r>
      <w:r w:rsidR="00C024F8" w:rsidRPr="004A1586">
        <w:rPr>
          <w:rFonts w:ascii="Arial" w:hAnsi="Arial" w:cs="Arial"/>
          <w:sz w:val="20"/>
          <w:szCs w:val="20"/>
        </w:rPr>
        <w:t xml:space="preserve">V nařízení </w:t>
      </w:r>
      <w:r w:rsidR="00C024F8" w:rsidRPr="004A1586">
        <w:rPr>
          <w:rFonts w:ascii="Arial" w:hAnsi="Arial" w:cs="Arial"/>
          <w:sz w:val="20"/>
          <w:szCs w:val="20"/>
        </w:rPr>
        <w:lastRenderedPageBreak/>
        <w:t>Komise č. 1093/2013, kterým se mění nařízení Evropského parlamentu a Rady č. 638/2004</w:t>
      </w:r>
      <w:r w:rsidR="00C154F0" w:rsidRPr="004A1586">
        <w:rPr>
          <w:rFonts w:ascii="Arial" w:hAnsi="Arial" w:cs="Arial"/>
          <w:sz w:val="20"/>
          <w:szCs w:val="20"/>
        </w:rPr>
        <w:t xml:space="preserve"> je v článku 1 stanoveno, že </w:t>
      </w:r>
      <w:r w:rsidR="00155B87" w:rsidRPr="004A1586">
        <w:rPr>
          <w:rFonts w:ascii="Arial" w:hAnsi="Arial" w:cs="Arial"/>
          <w:sz w:val="20"/>
          <w:szCs w:val="20"/>
        </w:rPr>
        <w:t xml:space="preserve">  </w:t>
      </w:r>
      <w:r w:rsidR="007847D1" w:rsidRPr="004A1586">
        <w:rPr>
          <w:rFonts w:ascii="Arial" w:hAnsi="Arial" w:cs="Arial"/>
          <w:sz w:val="20"/>
          <w:szCs w:val="20"/>
        </w:rPr>
        <w:t xml:space="preserve">od roku </w:t>
      </w:r>
      <w:r w:rsidR="00155B87" w:rsidRPr="004A1586">
        <w:rPr>
          <w:rFonts w:ascii="Arial" w:hAnsi="Arial" w:cs="Arial"/>
          <w:sz w:val="20"/>
          <w:szCs w:val="20"/>
        </w:rPr>
        <w:t>2014 musí státy dodržovat osvobozující prahy na takové výši, aby bylo pokryto minimálně 93 % přijetí a 97 % odeslání z daného státu</w:t>
      </w:r>
      <w:r w:rsidR="002D2B99" w:rsidRPr="004A1586">
        <w:rPr>
          <w:rFonts w:ascii="Arial" w:hAnsi="Arial" w:cs="Arial"/>
          <w:sz w:val="20"/>
          <w:szCs w:val="20"/>
        </w:rPr>
        <w:t xml:space="preserve"> EU</w:t>
      </w:r>
      <w:r w:rsidR="00155B87" w:rsidRPr="004A1586">
        <w:rPr>
          <w:rFonts w:ascii="Arial" w:hAnsi="Arial" w:cs="Arial"/>
          <w:sz w:val="20"/>
          <w:szCs w:val="20"/>
        </w:rPr>
        <w:t>. Přičemž pro rok 2013 musely státy splňovat při přijetí hranici pokrytí 95</w:t>
      </w:r>
      <w:r w:rsidR="007847D1" w:rsidRPr="004A1586">
        <w:rPr>
          <w:rFonts w:ascii="Arial" w:hAnsi="Arial" w:cs="Arial"/>
          <w:sz w:val="20"/>
          <w:szCs w:val="20"/>
        </w:rPr>
        <w:t> </w:t>
      </w:r>
      <w:r w:rsidR="00155B87" w:rsidRPr="004A1586">
        <w:rPr>
          <w:rFonts w:ascii="Arial" w:hAnsi="Arial" w:cs="Arial"/>
          <w:sz w:val="20"/>
          <w:szCs w:val="20"/>
        </w:rPr>
        <w:t>%. Tato změna částečně souvisí se snahou o snižování nákladů spojených s vykazováním především pro zpravodajské jednotky, a také s projednávaným zjedno</w:t>
      </w:r>
      <w:r w:rsidR="00664934" w:rsidRPr="004A1586">
        <w:rPr>
          <w:rFonts w:ascii="Arial" w:hAnsi="Arial" w:cs="Arial"/>
          <w:sz w:val="20"/>
          <w:szCs w:val="20"/>
        </w:rPr>
        <w:t>dušením vykazování v Intrastatu. V rámci tohoto záměru</w:t>
      </w:r>
      <w:r w:rsidR="00155B87" w:rsidRPr="004A1586">
        <w:rPr>
          <w:rFonts w:ascii="Arial" w:hAnsi="Arial" w:cs="Arial"/>
          <w:sz w:val="20"/>
          <w:szCs w:val="20"/>
        </w:rPr>
        <w:t xml:space="preserve"> by měly zpravodajské jednotky vykazovat pouze odeslání</w:t>
      </w:r>
      <w:r w:rsidR="00664934" w:rsidRPr="004A1586">
        <w:rPr>
          <w:rFonts w:ascii="Arial" w:hAnsi="Arial" w:cs="Arial"/>
          <w:sz w:val="20"/>
          <w:szCs w:val="20"/>
        </w:rPr>
        <w:t xml:space="preserve"> </w:t>
      </w:r>
      <w:r w:rsidR="00155B87" w:rsidRPr="004A1586">
        <w:rPr>
          <w:rFonts w:ascii="Arial" w:hAnsi="Arial" w:cs="Arial"/>
          <w:sz w:val="20"/>
          <w:szCs w:val="20"/>
        </w:rPr>
        <w:t xml:space="preserve">a </w:t>
      </w:r>
      <w:r w:rsidR="0039489E">
        <w:rPr>
          <w:rFonts w:ascii="Arial" w:hAnsi="Arial" w:cs="Arial"/>
          <w:sz w:val="20"/>
          <w:szCs w:val="20"/>
        </w:rPr>
        <w:t>informace</w:t>
      </w:r>
      <w:r w:rsidR="00202AB9">
        <w:rPr>
          <w:rFonts w:ascii="Arial" w:hAnsi="Arial" w:cs="Arial"/>
          <w:sz w:val="20"/>
          <w:szCs w:val="20"/>
        </w:rPr>
        <w:t xml:space="preserve"> o </w:t>
      </w:r>
      <w:r w:rsidR="00155B87" w:rsidRPr="004A1586">
        <w:rPr>
          <w:rFonts w:ascii="Arial" w:hAnsi="Arial" w:cs="Arial"/>
          <w:sz w:val="20"/>
          <w:szCs w:val="20"/>
        </w:rPr>
        <w:t xml:space="preserve">přijetí by </w:t>
      </w:r>
      <w:r w:rsidR="0039489E">
        <w:rPr>
          <w:rFonts w:ascii="Arial" w:hAnsi="Arial" w:cs="Arial"/>
          <w:sz w:val="20"/>
          <w:szCs w:val="20"/>
        </w:rPr>
        <w:t>byly</w:t>
      </w:r>
      <w:r w:rsidR="0039489E" w:rsidRPr="004A1586">
        <w:rPr>
          <w:rFonts w:ascii="Arial" w:hAnsi="Arial" w:cs="Arial"/>
          <w:sz w:val="20"/>
          <w:szCs w:val="20"/>
        </w:rPr>
        <w:t xml:space="preserve"> získáv</w:t>
      </w:r>
      <w:r w:rsidR="0039489E">
        <w:rPr>
          <w:rFonts w:ascii="Arial" w:hAnsi="Arial" w:cs="Arial"/>
          <w:sz w:val="20"/>
          <w:szCs w:val="20"/>
        </w:rPr>
        <w:t>ány</w:t>
      </w:r>
      <w:r w:rsidR="0039489E" w:rsidRPr="004A1586">
        <w:rPr>
          <w:rFonts w:ascii="Arial" w:hAnsi="Arial" w:cs="Arial"/>
          <w:sz w:val="20"/>
          <w:szCs w:val="20"/>
        </w:rPr>
        <w:t xml:space="preserve"> </w:t>
      </w:r>
      <w:r w:rsidR="00B02E9A" w:rsidRPr="004A1586">
        <w:rPr>
          <w:rFonts w:ascii="Arial" w:hAnsi="Arial" w:cs="Arial"/>
          <w:sz w:val="20"/>
          <w:szCs w:val="20"/>
        </w:rPr>
        <w:t>z</w:t>
      </w:r>
      <w:r w:rsidR="0039489E">
        <w:rPr>
          <w:rFonts w:ascii="Arial" w:hAnsi="Arial" w:cs="Arial"/>
          <w:sz w:val="20"/>
          <w:szCs w:val="20"/>
        </w:rPr>
        <w:t xml:space="preserve"> dat</w:t>
      </w:r>
      <w:r w:rsidR="00155B87" w:rsidRPr="004A1586">
        <w:rPr>
          <w:rFonts w:ascii="Arial" w:hAnsi="Arial" w:cs="Arial"/>
          <w:sz w:val="20"/>
          <w:szCs w:val="20"/>
        </w:rPr>
        <w:t xml:space="preserve"> odeslání </w:t>
      </w:r>
      <w:r w:rsidR="00B02E9A" w:rsidRPr="004A1586">
        <w:rPr>
          <w:rFonts w:ascii="Arial" w:hAnsi="Arial" w:cs="Arial"/>
          <w:sz w:val="20"/>
          <w:szCs w:val="20"/>
        </w:rPr>
        <w:t xml:space="preserve">ostatních členských </w:t>
      </w:r>
      <w:r w:rsidR="00155B87" w:rsidRPr="004A1586">
        <w:rPr>
          <w:rFonts w:ascii="Arial" w:hAnsi="Arial" w:cs="Arial"/>
          <w:sz w:val="20"/>
          <w:szCs w:val="20"/>
        </w:rPr>
        <w:t xml:space="preserve">států. </w:t>
      </w:r>
    </w:p>
    <w:p w:rsidR="00D53CF7" w:rsidRPr="004A1586" w:rsidRDefault="000269AE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t>Z</w:t>
      </w:r>
      <w:r w:rsidR="004A2BF2" w:rsidRPr="004A1586">
        <w:rPr>
          <w:rFonts w:ascii="Arial" w:hAnsi="Arial" w:cs="Arial"/>
          <w:sz w:val="20"/>
          <w:szCs w:val="20"/>
        </w:rPr>
        <w:t> </w:t>
      </w:r>
      <w:r w:rsidRPr="004A1586">
        <w:rPr>
          <w:rFonts w:ascii="Arial" w:hAnsi="Arial" w:cs="Arial"/>
          <w:sz w:val="20"/>
          <w:szCs w:val="20"/>
        </w:rPr>
        <w:t>tabulky</w:t>
      </w:r>
      <w:r w:rsidR="004A2BF2" w:rsidRPr="004A1586">
        <w:rPr>
          <w:rFonts w:ascii="Arial" w:hAnsi="Arial" w:cs="Arial"/>
          <w:sz w:val="20"/>
          <w:szCs w:val="20"/>
        </w:rPr>
        <w:t xml:space="preserve"> níže</w:t>
      </w:r>
      <w:r w:rsidRPr="004A1586">
        <w:rPr>
          <w:rFonts w:ascii="Arial" w:hAnsi="Arial" w:cs="Arial"/>
          <w:sz w:val="20"/>
          <w:szCs w:val="20"/>
        </w:rPr>
        <w:t xml:space="preserve"> je patrné, že většina </w:t>
      </w:r>
      <w:r w:rsidR="00FA561D" w:rsidRPr="004A1586">
        <w:rPr>
          <w:rFonts w:ascii="Arial" w:hAnsi="Arial" w:cs="Arial"/>
          <w:sz w:val="20"/>
          <w:szCs w:val="20"/>
        </w:rPr>
        <w:t xml:space="preserve">sedmnácti </w:t>
      </w:r>
      <w:r w:rsidRPr="004A1586">
        <w:rPr>
          <w:rFonts w:ascii="Arial" w:hAnsi="Arial" w:cs="Arial"/>
          <w:sz w:val="20"/>
          <w:szCs w:val="20"/>
        </w:rPr>
        <w:t>států</w:t>
      </w:r>
      <w:r w:rsidR="00FA561D" w:rsidRPr="004A1586">
        <w:rPr>
          <w:rFonts w:ascii="Arial" w:hAnsi="Arial" w:cs="Arial"/>
          <w:sz w:val="20"/>
          <w:szCs w:val="20"/>
        </w:rPr>
        <w:t xml:space="preserve"> EU včetně České republiky </w:t>
      </w:r>
      <w:r w:rsidRPr="004A1586">
        <w:rPr>
          <w:rFonts w:ascii="Arial" w:hAnsi="Arial" w:cs="Arial"/>
          <w:sz w:val="20"/>
          <w:szCs w:val="20"/>
        </w:rPr>
        <w:t xml:space="preserve">ponechala výši prahů </w:t>
      </w:r>
      <w:r w:rsidR="00A7344C" w:rsidRPr="004A1586">
        <w:rPr>
          <w:rFonts w:ascii="Arial" w:hAnsi="Arial" w:cs="Arial"/>
          <w:sz w:val="20"/>
          <w:szCs w:val="20"/>
        </w:rPr>
        <w:t xml:space="preserve">pro přijetí </w:t>
      </w:r>
      <w:r w:rsidR="00FA561D" w:rsidRPr="004A1586">
        <w:rPr>
          <w:rFonts w:ascii="Arial" w:hAnsi="Arial" w:cs="Arial"/>
          <w:sz w:val="20"/>
          <w:szCs w:val="20"/>
        </w:rPr>
        <w:t xml:space="preserve">na </w:t>
      </w:r>
      <w:r w:rsidR="00F120BC" w:rsidRPr="004A1586">
        <w:rPr>
          <w:rFonts w:ascii="Arial" w:hAnsi="Arial" w:cs="Arial"/>
          <w:sz w:val="20"/>
          <w:szCs w:val="20"/>
        </w:rPr>
        <w:t xml:space="preserve">hodnotové </w:t>
      </w:r>
      <w:r w:rsidR="00FA561D" w:rsidRPr="004A1586">
        <w:rPr>
          <w:rFonts w:ascii="Arial" w:hAnsi="Arial" w:cs="Arial"/>
          <w:sz w:val="20"/>
          <w:szCs w:val="20"/>
        </w:rPr>
        <w:t>úrovni z roku 2013</w:t>
      </w:r>
      <w:r w:rsidRPr="004A1586">
        <w:rPr>
          <w:rFonts w:ascii="Arial" w:hAnsi="Arial" w:cs="Arial"/>
          <w:sz w:val="20"/>
          <w:szCs w:val="20"/>
        </w:rPr>
        <w:t xml:space="preserve">. </w:t>
      </w:r>
      <w:r w:rsidR="00A7344C" w:rsidRPr="004A1586">
        <w:rPr>
          <w:rFonts w:ascii="Arial" w:hAnsi="Arial" w:cs="Arial"/>
          <w:sz w:val="20"/>
          <w:szCs w:val="20"/>
        </w:rPr>
        <w:t>Osm</w:t>
      </w:r>
      <w:r w:rsidR="00E8796A" w:rsidRPr="004A1586">
        <w:rPr>
          <w:rFonts w:ascii="Arial" w:hAnsi="Arial" w:cs="Arial"/>
          <w:sz w:val="20"/>
          <w:szCs w:val="20"/>
        </w:rPr>
        <w:t xml:space="preserve"> států naopak </w:t>
      </w:r>
      <w:r w:rsidR="00A7344C" w:rsidRPr="004A1586">
        <w:rPr>
          <w:rFonts w:ascii="Arial" w:hAnsi="Arial" w:cs="Arial"/>
          <w:sz w:val="20"/>
          <w:szCs w:val="20"/>
        </w:rPr>
        <w:t xml:space="preserve">svou hranici </w:t>
      </w:r>
      <w:r w:rsidR="00FA561D" w:rsidRPr="004A1586">
        <w:rPr>
          <w:rFonts w:ascii="Arial" w:hAnsi="Arial" w:cs="Arial"/>
          <w:sz w:val="20"/>
          <w:szCs w:val="20"/>
        </w:rPr>
        <w:t xml:space="preserve">prahu </w:t>
      </w:r>
      <w:r w:rsidR="00A7344C" w:rsidRPr="004A1586">
        <w:rPr>
          <w:rFonts w:ascii="Arial" w:hAnsi="Arial" w:cs="Arial"/>
          <w:sz w:val="20"/>
          <w:szCs w:val="20"/>
        </w:rPr>
        <w:t>zvýšilo, a pouze Chorvatsko a L</w:t>
      </w:r>
      <w:r w:rsidR="00142C77" w:rsidRPr="004A1586">
        <w:rPr>
          <w:rFonts w:ascii="Arial" w:hAnsi="Arial" w:cs="Arial"/>
          <w:sz w:val="20"/>
          <w:szCs w:val="20"/>
        </w:rPr>
        <w:t>otyšsko</w:t>
      </w:r>
      <w:r w:rsidR="00A7344C" w:rsidRPr="004A1586">
        <w:rPr>
          <w:rFonts w:ascii="Arial" w:hAnsi="Arial" w:cs="Arial"/>
          <w:sz w:val="20"/>
          <w:szCs w:val="20"/>
        </w:rPr>
        <w:t xml:space="preserve"> </w:t>
      </w:r>
      <w:r w:rsidR="00FA561D" w:rsidRPr="004A1586">
        <w:rPr>
          <w:rFonts w:ascii="Arial" w:hAnsi="Arial" w:cs="Arial"/>
          <w:sz w:val="20"/>
          <w:szCs w:val="20"/>
        </w:rPr>
        <w:t xml:space="preserve">ji </w:t>
      </w:r>
      <w:r w:rsidR="00A7344C" w:rsidRPr="004A1586">
        <w:rPr>
          <w:rFonts w:ascii="Arial" w:hAnsi="Arial" w:cs="Arial"/>
          <w:sz w:val="20"/>
          <w:szCs w:val="20"/>
        </w:rPr>
        <w:t xml:space="preserve">snížili, aby zaručili pokrytí obchodu tak, jak je to vyžadováno EU. Na straně </w:t>
      </w:r>
      <w:r w:rsidR="00FA561D" w:rsidRPr="004A1586">
        <w:rPr>
          <w:rFonts w:ascii="Arial" w:hAnsi="Arial" w:cs="Arial"/>
          <w:sz w:val="20"/>
          <w:szCs w:val="20"/>
        </w:rPr>
        <w:t>odeslání</w:t>
      </w:r>
      <w:r w:rsidR="00A7344C" w:rsidRPr="004A1586">
        <w:rPr>
          <w:rFonts w:ascii="Arial" w:hAnsi="Arial" w:cs="Arial"/>
          <w:sz w:val="20"/>
          <w:szCs w:val="20"/>
        </w:rPr>
        <w:t xml:space="preserve"> ponechalo 21 států prahy na úrovni předešlého roku, další 3 </w:t>
      </w:r>
      <w:r w:rsidR="004A2BF2" w:rsidRPr="004A1586">
        <w:rPr>
          <w:rFonts w:ascii="Arial" w:hAnsi="Arial" w:cs="Arial"/>
          <w:sz w:val="20"/>
          <w:szCs w:val="20"/>
        </w:rPr>
        <w:t>státy je zvýšily</w:t>
      </w:r>
      <w:r w:rsidR="00A7344C" w:rsidRPr="004A1586">
        <w:rPr>
          <w:rFonts w:ascii="Arial" w:hAnsi="Arial" w:cs="Arial"/>
          <w:sz w:val="20"/>
          <w:szCs w:val="20"/>
        </w:rPr>
        <w:t xml:space="preserve"> a 3 státy naopak snížily, opět mezi nimi nechyběli ani Chorvatsko a </w:t>
      </w:r>
      <w:r w:rsidR="00142C77" w:rsidRPr="004A1586">
        <w:rPr>
          <w:rFonts w:ascii="Arial" w:hAnsi="Arial" w:cs="Arial"/>
          <w:sz w:val="20"/>
          <w:szCs w:val="20"/>
        </w:rPr>
        <w:t>Lotyšsko</w:t>
      </w:r>
      <w:r w:rsidR="00D62B5E" w:rsidRPr="004A1586">
        <w:rPr>
          <w:rFonts w:ascii="Arial" w:hAnsi="Arial" w:cs="Arial"/>
          <w:sz w:val="20"/>
          <w:szCs w:val="20"/>
        </w:rPr>
        <w:t>. Počínaní Chorvatska a L</w:t>
      </w:r>
      <w:r w:rsidR="00142C77" w:rsidRPr="004A1586">
        <w:rPr>
          <w:rFonts w:ascii="Arial" w:hAnsi="Arial" w:cs="Arial"/>
          <w:sz w:val="20"/>
          <w:szCs w:val="20"/>
        </w:rPr>
        <w:t xml:space="preserve">otyšska </w:t>
      </w:r>
      <w:r w:rsidR="00D62B5E" w:rsidRPr="004A1586">
        <w:rPr>
          <w:rFonts w:ascii="Arial" w:hAnsi="Arial" w:cs="Arial"/>
          <w:sz w:val="20"/>
          <w:szCs w:val="20"/>
        </w:rPr>
        <w:t xml:space="preserve">si lze </w:t>
      </w:r>
      <w:r w:rsidR="00664934" w:rsidRPr="004A1586">
        <w:rPr>
          <w:rFonts w:ascii="Arial" w:hAnsi="Arial" w:cs="Arial"/>
          <w:sz w:val="20"/>
          <w:szCs w:val="20"/>
        </w:rPr>
        <w:t>mimo jiné</w:t>
      </w:r>
      <w:r w:rsidR="00664934" w:rsidRPr="004A1586">
        <w:rPr>
          <w:rFonts w:ascii="Arial" w:hAnsi="Arial" w:cs="Arial"/>
          <w:color w:val="FF0000"/>
          <w:sz w:val="20"/>
          <w:szCs w:val="20"/>
        </w:rPr>
        <w:t xml:space="preserve"> </w:t>
      </w:r>
      <w:r w:rsidR="00D62B5E" w:rsidRPr="004A1586">
        <w:rPr>
          <w:rFonts w:ascii="Arial" w:hAnsi="Arial" w:cs="Arial"/>
          <w:sz w:val="20"/>
          <w:szCs w:val="20"/>
        </w:rPr>
        <w:t>vysvětlit vstupem do EU k 1. červenci 2013</w:t>
      </w:r>
      <w:r w:rsidR="00A7344C" w:rsidRPr="004A1586">
        <w:rPr>
          <w:rFonts w:ascii="Arial" w:hAnsi="Arial" w:cs="Arial"/>
          <w:sz w:val="20"/>
          <w:szCs w:val="20"/>
        </w:rPr>
        <w:t xml:space="preserve"> </w:t>
      </w:r>
      <w:r w:rsidR="00D62B5E" w:rsidRPr="004A1586">
        <w:rPr>
          <w:rFonts w:ascii="Arial" w:hAnsi="Arial" w:cs="Arial"/>
          <w:sz w:val="20"/>
          <w:szCs w:val="20"/>
        </w:rPr>
        <w:t>v případě Chorvatska a vstupem do eurozóny k 1. 1. 2014 v případě L</w:t>
      </w:r>
      <w:r w:rsidR="00142C77" w:rsidRPr="004A1586">
        <w:rPr>
          <w:rFonts w:ascii="Arial" w:hAnsi="Arial" w:cs="Arial"/>
          <w:sz w:val="20"/>
          <w:szCs w:val="20"/>
        </w:rPr>
        <w:t>otyšska</w:t>
      </w:r>
      <w:r w:rsidR="00D62B5E" w:rsidRPr="004A1586">
        <w:rPr>
          <w:rFonts w:ascii="Arial" w:hAnsi="Arial" w:cs="Arial"/>
          <w:sz w:val="20"/>
          <w:szCs w:val="20"/>
        </w:rPr>
        <w:t xml:space="preserve">. </w:t>
      </w:r>
      <w:r w:rsidR="006803FA" w:rsidRPr="004A1586">
        <w:rPr>
          <w:rFonts w:ascii="Arial" w:hAnsi="Arial" w:cs="Arial"/>
          <w:sz w:val="20"/>
          <w:szCs w:val="20"/>
        </w:rPr>
        <w:t xml:space="preserve">Ovšem především </w:t>
      </w:r>
      <w:r w:rsidR="00664934" w:rsidRPr="004A1586">
        <w:rPr>
          <w:rFonts w:ascii="Arial" w:hAnsi="Arial" w:cs="Arial"/>
          <w:sz w:val="20"/>
          <w:szCs w:val="20"/>
        </w:rPr>
        <w:t xml:space="preserve">musí být </w:t>
      </w:r>
      <w:r w:rsidR="006803FA" w:rsidRPr="004A1586">
        <w:rPr>
          <w:rFonts w:ascii="Arial" w:hAnsi="Arial" w:cs="Arial"/>
          <w:sz w:val="20"/>
          <w:szCs w:val="20"/>
        </w:rPr>
        <w:t xml:space="preserve">výše prahů </w:t>
      </w:r>
      <w:r w:rsidR="00664934" w:rsidRPr="004A1586">
        <w:rPr>
          <w:rFonts w:ascii="Arial" w:hAnsi="Arial" w:cs="Arial"/>
          <w:sz w:val="20"/>
          <w:szCs w:val="20"/>
        </w:rPr>
        <w:t xml:space="preserve">přizpůsobena tak, aby byla zachována kvalita dat, což je pro státy </w:t>
      </w:r>
      <w:r w:rsidR="0048519C" w:rsidRPr="004A1586">
        <w:rPr>
          <w:rFonts w:ascii="Arial" w:hAnsi="Arial" w:cs="Arial"/>
          <w:sz w:val="20"/>
          <w:szCs w:val="20"/>
        </w:rPr>
        <w:t>důležité</w:t>
      </w:r>
      <w:r w:rsidR="00664934" w:rsidRPr="004A1586">
        <w:rPr>
          <w:rFonts w:ascii="Arial" w:hAnsi="Arial" w:cs="Arial"/>
          <w:sz w:val="20"/>
          <w:szCs w:val="20"/>
        </w:rPr>
        <w:t>. Výstupy statistiky vnitrounijního obchodu slouží jako podklady pro další rozhodování</w:t>
      </w:r>
      <w:r w:rsidR="005244E0" w:rsidRPr="004A1586">
        <w:rPr>
          <w:rFonts w:ascii="Arial" w:hAnsi="Arial" w:cs="Arial"/>
          <w:sz w:val="20"/>
          <w:szCs w:val="20"/>
        </w:rPr>
        <w:t xml:space="preserve"> například o ratingu, či při stanovování úrokových sazeb, spolehlivost a pravdivost sesbíraných dat hraje tedy velmi důležitou roli</w:t>
      </w:r>
      <w:r w:rsidR="00664934" w:rsidRPr="004A1586">
        <w:rPr>
          <w:rFonts w:ascii="Arial" w:hAnsi="Arial" w:cs="Arial"/>
          <w:sz w:val="20"/>
          <w:szCs w:val="20"/>
        </w:rPr>
        <w:t xml:space="preserve">. </w:t>
      </w:r>
      <w:r w:rsidR="00DF2B16" w:rsidRPr="004A1586">
        <w:rPr>
          <w:rFonts w:ascii="Arial" w:hAnsi="Arial" w:cs="Arial"/>
          <w:sz w:val="20"/>
          <w:szCs w:val="20"/>
        </w:rPr>
        <w:t>Francouzská data v tabulce nejsou k dispozici, proto nemohou být interpretována. V případě Dánska nemohou být aktuální data porovnána s předešlým rokem, jelikož údaje za toto období chybí.</w:t>
      </w:r>
    </w:p>
    <w:p w:rsidR="0018653B" w:rsidRPr="004A1586" w:rsidRDefault="00F23E3D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t>Česká republika své prahy oproti loňskému roku nezměnila, jak již bylo řečeno, u přijetí se však podíl sesbíraných informací</w:t>
      </w:r>
      <w:r w:rsidR="00F120BC" w:rsidRPr="004A1586">
        <w:rPr>
          <w:rFonts w:ascii="Arial" w:hAnsi="Arial" w:cs="Arial"/>
          <w:sz w:val="20"/>
          <w:szCs w:val="20"/>
        </w:rPr>
        <w:t xml:space="preserve"> </w:t>
      </w:r>
      <w:r w:rsidRPr="004A1586">
        <w:rPr>
          <w:rFonts w:ascii="Arial" w:hAnsi="Arial" w:cs="Arial"/>
          <w:sz w:val="20"/>
          <w:szCs w:val="20"/>
        </w:rPr>
        <w:t xml:space="preserve">z Intrastatu mírně zvýšil, o </w:t>
      </w:r>
      <w:r w:rsidR="004A2BF2" w:rsidRPr="004A1586">
        <w:rPr>
          <w:rFonts w:ascii="Arial" w:hAnsi="Arial" w:cs="Arial"/>
          <w:sz w:val="20"/>
          <w:szCs w:val="20"/>
        </w:rPr>
        <w:t>0,3</w:t>
      </w:r>
      <w:r w:rsidRPr="004A1586">
        <w:rPr>
          <w:rFonts w:ascii="Arial" w:hAnsi="Arial" w:cs="Arial"/>
          <w:sz w:val="20"/>
          <w:szCs w:val="20"/>
        </w:rPr>
        <w:t xml:space="preserve"> </w:t>
      </w:r>
      <w:r w:rsidR="004A2BF2" w:rsidRPr="004A1586">
        <w:rPr>
          <w:rFonts w:ascii="Arial" w:hAnsi="Arial" w:cs="Arial"/>
          <w:sz w:val="20"/>
          <w:szCs w:val="20"/>
        </w:rPr>
        <w:t>p. b</w:t>
      </w:r>
      <w:r w:rsidRPr="004A1586">
        <w:rPr>
          <w:rFonts w:ascii="Arial" w:hAnsi="Arial" w:cs="Arial"/>
          <w:sz w:val="20"/>
          <w:szCs w:val="20"/>
        </w:rPr>
        <w:t>.</w:t>
      </w:r>
      <w:r w:rsidR="004A2BF2" w:rsidRPr="004A1586">
        <w:rPr>
          <w:rFonts w:ascii="Arial" w:hAnsi="Arial" w:cs="Arial"/>
          <w:sz w:val="20"/>
          <w:szCs w:val="20"/>
        </w:rPr>
        <w:t xml:space="preserve"> </w:t>
      </w:r>
      <w:r w:rsidRPr="004A1586">
        <w:rPr>
          <w:rFonts w:ascii="Arial" w:hAnsi="Arial" w:cs="Arial"/>
          <w:sz w:val="20"/>
          <w:szCs w:val="20"/>
        </w:rPr>
        <w:t xml:space="preserve">Naopak u odeslání o </w:t>
      </w:r>
      <w:r w:rsidR="004A2BF2" w:rsidRPr="004A1586">
        <w:rPr>
          <w:rFonts w:ascii="Arial" w:hAnsi="Arial" w:cs="Arial"/>
          <w:sz w:val="20"/>
          <w:szCs w:val="20"/>
        </w:rPr>
        <w:t>0,1</w:t>
      </w:r>
      <w:r w:rsidRPr="004A1586">
        <w:rPr>
          <w:rFonts w:ascii="Arial" w:hAnsi="Arial" w:cs="Arial"/>
          <w:sz w:val="20"/>
          <w:szCs w:val="20"/>
        </w:rPr>
        <w:t xml:space="preserve"> </w:t>
      </w:r>
      <w:r w:rsidR="004A2BF2" w:rsidRPr="004A1586">
        <w:rPr>
          <w:rFonts w:ascii="Arial" w:hAnsi="Arial" w:cs="Arial"/>
          <w:sz w:val="20"/>
          <w:szCs w:val="20"/>
        </w:rPr>
        <w:t>p. b.</w:t>
      </w:r>
      <w:r w:rsidRPr="004A158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A2BF2" w:rsidRPr="004A1586">
        <w:rPr>
          <w:rFonts w:ascii="Arial" w:hAnsi="Arial" w:cs="Arial"/>
          <w:sz w:val="20"/>
          <w:szCs w:val="20"/>
        </w:rPr>
        <w:t>podíl</w:t>
      </w:r>
      <w:proofErr w:type="gramEnd"/>
      <w:r w:rsidR="004A2BF2" w:rsidRPr="004A1586">
        <w:rPr>
          <w:rFonts w:ascii="Arial" w:hAnsi="Arial" w:cs="Arial"/>
          <w:sz w:val="20"/>
          <w:szCs w:val="20"/>
        </w:rPr>
        <w:t xml:space="preserve"> sesbíraných výkazů týkající se odeslání </w:t>
      </w:r>
      <w:r w:rsidRPr="004A1586">
        <w:rPr>
          <w:rFonts w:ascii="Arial" w:hAnsi="Arial" w:cs="Arial"/>
          <w:sz w:val="20"/>
          <w:szCs w:val="20"/>
        </w:rPr>
        <w:t>pok</w:t>
      </w:r>
      <w:r w:rsidR="004A51BD" w:rsidRPr="004A1586">
        <w:rPr>
          <w:rFonts w:ascii="Arial" w:hAnsi="Arial" w:cs="Arial"/>
          <w:sz w:val="20"/>
          <w:szCs w:val="20"/>
        </w:rPr>
        <w:t>lesl. U přijetí to tedy znamená, že ačkoli se práh nezměnil, bylo Intrastatem pokryto větší množství transakcí</w:t>
      </w:r>
      <w:r w:rsidR="0031325D" w:rsidRPr="004A1586">
        <w:rPr>
          <w:rFonts w:ascii="Arial" w:hAnsi="Arial" w:cs="Arial"/>
          <w:sz w:val="20"/>
          <w:szCs w:val="20"/>
        </w:rPr>
        <w:t xml:space="preserve"> v tomto směru obchodu</w:t>
      </w:r>
      <w:r w:rsidR="004A51BD" w:rsidRPr="004A1586">
        <w:rPr>
          <w:rFonts w:ascii="Arial" w:hAnsi="Arial" w:cs="Arial"/>
          <w:sz w:val="20"/>
          <w:szCs w:val="20"/>
        </w:rPr>
        <w:t xml:space="preserve">. </w:t>
      </w:r>
      <w:r w:rsidR="004A2BF2" w:rsidRPr="004A1586">
        <w:rPr>
          <w:rFonts w:ascii="Arial" w:hAnsi="Arial" w:cs="Arial"/>
          <w:sz w:val="20"/>
          <w:szCs w:val="20"/>
        </w:rPr>
        <w:t xml:space="preserve">Jedná se ovšem o nepatrné změny a lze tedy konstatovat, že v České republice je situace srovnatelná s předchozím rokem. </w:t>
      </w:r>
      <w:r w:rsidR="004B5C0B" w:rsidRPr="004A1586">
        <w:rPr>
          <w:rFonts w:ascii="Arial" w:hAnsi="Arial" w:cs="Arial"/>
          <w:sz w:val="20"/>
          <w:szCs w:val="20"/>
        </w:rPr>
        <w:t xml:space="preserve">Významnou roli v určování výše prahů v případě České republiky hrají </w:t>
      </w:r>
      <w:r w:rsidR="00CF7976" w:rsidRPr="004A1586">
        <w:rPr>
          <w:rFonts w:ascii="Arial" w:hAnsi="Arial" w:cs="Arial"/>
          <w:sz w:val="20"/>
          <w:szCs w:val="20"/>
        </w:rPr>
        <w:t>uživatelé dat</w:t>
      </w:r>
      <w:r w:rsidR="004B5C0B" w:rsidRPr="004A1586">
        <w:rPr>
          <w:rFonts w:ascii="Arial" w:hAnsi="Arial" w:cs="Arial"/>
          <w:sz w:val="20"/>
          <w:szCs w:val="20"/>
        </w:rPr>
        <w:t>, kteří po</w:t>
      </w:r>
      <w:r w:rsidR="00116712" w:rsidRPr="004A1586">
        <w:rPr>
          <w:rFonts w:ascii="Arial" w:hAnsi="Arial" w:cs="Arial"/>
          <w:sz w:val="20"/>
          <w:szCs w:val="20"/>
        </w:rPr>
        <w:t>třebují prahy poměrně podrobné. Jedná se</w:t>
      </w:r>
      <w:r w:rsidR="004B5C0B" w:rsidRPr="004A1586">
        <w:rPr>
          <w:rFonts w:ascii="Arial" w:hAnsi="Arial" w:cs="Arial"/>
          <w:sz w:val="20"/>
          <w:szCs w:val="20"/>
        </w:rPr>
        <w:t xml:space="preserve"> především </w:t>
      </w:r>
      <w:r w:rsidR="00116712" w:rsidRPr="004A1586">
        <w:rPr>
          <w:rFonts w:ascii="Arial" w:hAnsi="Arial" w:cs="Arial"/>
          <w:sz w:val="20"/>
          <w:szCs w:val="20"/>
        </w:rPr>
        <w:t xml:space="preserve">o </w:t>
      </w:r>
      <w:r w:rsidR="004B5C0B" w:rsidRPr="004A1586">
        <w:rPr>
          <w:rFonts w:ascii="Arial" w:hAnsi="Arial" w:cs="Arial"/>
          <w:sz w:val="20"/>
          <w:szCs w:val="20"/>
        </w:rPr>
        <w:t xml:space="preserve">odvětví zemědělství </w:t>
      </w:r>
      <w:r w:rsidR="001D055A" w:rsidRPr="004A1586">
        <w:rPr>
          <w:rFonts w:ascii="Arial" w:hAnsi="Arial" w:cs="Arial"/>
          <w:sz w:val="20"/>
          <w:szCs w:val="20"/>
        </w:rPr>
        <w:t>(</w:t>
      </w:r>
      <w:r w:rsidR="00BC1155" w:rsidRPr="004A1586">
        <w:rPr>
          <w:rFonts w:ascii="Arial" w:hAnsi="Arial" w:cs="Arial"/>
          <w:sz w:val="20"/>
          <w:szCs w:val="20"/>
        </w:rPr>
        <w:t xml:space="preserve">například </w:t>
      </w:r>
      <w:r w:rsidR="00F34CCE" w:rsidRPr="004A1586">
        <w:rPr>
          <w:rFonts w:ascii="Arial" w:hAnsi="Arial" w:cs="Arial"/>
          <w:sz w:val="20"/>
          <w:szCs w:val="20"/>
        </w:rPr>
        <w:t>živá zvířata, maso, zelenina</w:t>
      </w:r>
      <w:r w:rsidR="00F56C23" w:rsidRPr="004A1586">
        <w:rPr>
          <w:rFonts w:ascii="Arial" w:hAnsi="Arial" w:cs="Arial"/>
          <w:sz w:val="20"/>
          <w:szCs w:val="20"/>
        </w:rPr>
        <w:t>, ovoce a výrobky z</w:t>
      </w:r>
      <w:r w:rsidR="00F34CCE" w:rsidRPr="004A1586">
        <w:rPr>
          <w:rFonts w:ascii="Arial" w:hAnsi="Arial" w:cs="Arial"/>
          <w:sz w:val="20"/>
          <w:szCs w:val="20"/>
        </w:rPr>
        <w:t> ovoce a zeleniny, mléko</w:t>
      </w:r>
      <w:r w:rsidR="001D055A" w:rsidRPr="004A1586">
        <w:rPr>
          <w:rFonts w:ascii="Arial" w:hAnsi="Arial" w:cs="Arial"/>
          <w:sz w:val="20"/>
          <w:szCs w:val="20"/>
        </w:rPr>
        <w:t xml:space="preserve">) </w:t>
      </w:r>
      <w:r w:rsidR="004B5C0B" w:rsidRPr="004A1586">
        <w:rPr>
          <w:rFonts w:ascii="Arial" w:hAnsi="Arial" w:cs="Arial"/>
          <w:sz w:val="20"/>
          <w:szCs w:val="20"/>
        </w:rPr>
        <w:t>a energetiky</w:t>
      </w:r>
      <w:r w:rsidR="001D055A" w:rsidRPr="004A1586">
        <w:rPr>
          <w:rFonts w:ascii="Arial" w:hAnsi="Arial" w:cs="Arial"/>
          <w:sz w:val="20"/>
          <w:szCs w:val="20"/>
        </w:rPr>
        <w:t xml:space="preserve"> (oleje, živice)</w:t>
      </w:r>
      <w:r w:rsidR="00DF68E1" w:rsidRPr="004A1586">
        <w:rPr>
          <w:rFonts w:ascii="Arial" w:hAnsi="Arial" w:cs="Arial"/>
          <w:sz w:val="20"/>
          <w:szCs w:val="20"/>
        </w:rPr>
        <w:t>.</w:t>
      </w:r>
      <w:r w:rsidR="004B5C0B" w:rsidRPr="004A1586">
        <w:rPr>
          <w:rFonts w:ascii="Arial" w:hAnsi="Arial" w:cs="Arial"/>
          <w:sz w:val="20"/>
          <w:szCs w:val="20"/>
        </w:rPr>
        <w:t xml:space="preserve"> </w:t>
      </w:r>
      <w:r w:rsidR="00DF68E1" w:rsidRPr="004A1586">
        <w:rPr>
          <w:rFonts w:ascii="Arial" w:hAnsi="Arial" w:cs="Arial"/>
          <w:sz w:val="20"/>
          <w:szCs w:val="20"/>
        </w:rPr>
        <w:t xml:space="preserve">Mezi </w:t>
      </w:r>
      <w:r w:rsidR="004B5C0B" w:rsidRPr="004A1586">
        <w:rPr>
          <w:rFonts w:ascii="Arial" w:hAnsi="Arial" w:cs="Arial"/>
          <w:sz w:val="20"/>
          <w:szCs w:val="20"/>
        </w:rPr>
        <w:t xml:space="preserve">institucemi </w:t>
      </w:r>
      <w:r w:rsidR="00116712" w:rsidRPr="004A1586">
        <w:rPr>
          <w:rFonts w:ascii="Arial" w:hAnsi="Arial" w:cs="Arial"/>
          <w:sz w:val="20"/>
          <w:szCs w:val="20"/>
        </w:rPr>
        <w:t xml:space="preserve">je významným odběratelem statistických dat </w:t>
      </w:r>
      <w:r w:rsidR="004B5C0B" w:rsidRPr="004A1586">
        <w:rPr>
          <w:rFonts w:ascii="Arial" w:hAnsi="Arial" w:cs="Arial"/>
          <w:sz w:val="20"/>
          <w:szCs w:val="20"/>
        </w:rPr>
        <w:t>Ministerstvo průmyslu a obchodu (MPO)</w:t>
      </w:r>
      <w:r w:rsidR="00F56C23" w:rsidRPr="004A1586">
        <w:rPr>
          <w:rFonts w:ascii="Arial" w:hAnsi="Arial" w:cs="Arial"/>
          <w:sz w:val="20"/>
          <w:szCs w:val="20"/>
        </w:rPr>
        <w:t>, Ministerstvo zemědělství (MZE)</w:t>
      </w:r>
      <w:r w:rsidR="004B5C0B" w:rsidRPr="004A1586">
        <w:rPr>
          <w:rFonts w:ascii="Arial" w:hAnsi="Arial" w:cs="Arial"/>
          <w:sz w:val="20"/>
          <w:szCs w:val="20"/>
        </w:rPr>
        <w:t xml:space="preserve"> a Česká asociace petrolejářsk</w:t>
      </w:r>
      <w:r w:rsidR="00116712" w:rsidRPr="004A1586">
        <w:rPr>
          <w:rFonts w:ascii="Arial" w:hAnsi="Arial" w:cs="Arial"/>
          <w:sz w:val="20"/>
          <w:szCs w:val="20"/>
        </w:rPr>
        <w:t xml:space="preserve">ého průmyslu a obchodu (ČAPPO). Jednotlivá odeslání a přijetí například v zemědělství netvoří mnohdy vysoké hodnoty a je proto potřeba vytvořit práh takový, aby byl sesbírán dostatek dat o obchodování s jednotlivými </w:t>
      </w:r>
      <w:r w:rsidR="00F06235" w:rsidRPr="004A1586">
        <w:rPr>
          <w:rFonts w:ascii="Arial" w:hAnsi="Arial" w:cs="Arial"/>
          <w:sz w:val="20"/>
          <w:szCs w:val="20"/>
        </w:rPr>
        <w:t xml:space="preserve">komoditami. Zpravodajské jednotky </w:t>
      </w:r>
      <w:r w:rsidR="003A17BF" w:rsidRPr="004A1586">
        <w:rPr>
          <w:rFonts w:ascii="Arial" w:hAnsi="Arial" w:cs="Arial"/>
          <w:sz w:val="20"/>
          <w:szCs w:val="20"/>
        </w:rPr>
        <w:t xml:space="preserve">vykazující zboží </w:t>
      </w:r>
      <w:r w:rsidR="00F06235" w:rsidRPr="004A1586">
        <w:rPr>
          <w:rFonts w:ascii="Arial" w:hAnsi="Arial" w:cs="Arial"/>
          <w:sz w:val="20"/>
          <w:szCs w:val="20"/>
        </w:rPr>
        <w:t xml:space="preserve">z oblasti energetiky jsou povinny vykazovat podrobné desetimístné kódy zboží. </w:t>
      </w:r>
      <w:r w:rsidR="00A46BB4" w:rsidRPr="004A1586">
        <w:rPr>
          <w:rFonts w:ascii="Arial" w:hAnsi="Arial" w:cs="Arial"/>
          <w:sz w:val="20"/>
          <w:szCs w:val="20"/>
        </w:rPr>
        <w:t xml:space="preserve">Výše prahů se však stanovuje na základě pokrytí celkového přijetí a odeslání. </w:t>
      </w:r>
      <w:r w:rsidR="009F5790" w:rsidRPr="004A1586">
        <w:rPr>
          <w:rFonts w:ascii="Arial" w:hAnsi="Arial" w:cs="Arial"/>
          <w:sz w:val="20"/>
          <w:szCs w:val="20"/>
        </w:rPr>
        <w:t>Zvýšením prahů by statistika zahraničního obchodu přišla o informace</w:t>
      </w:r>
      <w:r w:rsidR="00444BF1" w:rsidRPr="004A1586">
        <w:rPr>
          <w:rFonts w:ascii="Arial" w:hAnsi="Arial" w:cs="Arial"/>
          <w:sz w:val="20"/>
          <w:szCs w:val="20"/>
        </w:rPr>
        <w:t>, které poskytují zpravodajské jednotky, které se v současnosti pohybují těsně nad prahem</w:t>
      </w:r>
      <w:r w:rsidR="00B719EE" w:rsidRPr="004A1586">
        <w:rPr>
          <w:rFonts w:ascii="Arial" w:hAnsi="Arial" w:cs="Arial"/>
          <w:sz w:val="20"/>
          <w:szCs w:val="20"/>
        </w:rPr>
        <w:t>.</w:t>
      </w:r>
      <w:r w:rsidR="00264CB1" w:rsidRPr="004A1586">
        <w:rPr>
          <w:rFonts w:ascii="Arial" w:hAnsi="Arial" w:cs="Arial"/>
          <w:sz w:val="20"/>
          <w:szCs w:val="20"/>
        </w:rPr>
        <w:t xml:space="preserve"> Razantní zvýšení prahů by vedlo ke </w:t>
      </w:r>
      <w:r w:rsidR="00175176" w:rsidRPr="004A1586">
        <w:rPr>
          <w:rFonts w:ascii="Arial" w:hAnsi="Arial" w:cs="Arial"/>
          <w:sz w:val="20"/>
          <w:szCs w:val="20"/>
        </w:rPr>
        <w:t>zhoršení zbožové struktury zahraničního obchodu</w:t>
      </w:r>
      <w:r w:rsidR="00F34CCE" w:rsidRPr="004A1586">
        <w:rPr>
          <w:rFonts w:ascii="Arial" w:hAnsi="Arial" w:cs="Arial"/>
          <w:sz w:val="20"/>
          <w:szCs w:val="20"/>
        </w:rPr>
        <w:t xml:space="preserve"> a snížila by se vypovídací schopnost celkového objemu dovezených či vyvezených komodit</w:t>
      </w:r>
      <w:r w:rsidR="00175176" w:rsidRPr="004A1586">
        <w:rPr>
          <w:rFonts w:ascii="Arial" w:hAnsi="Arial" w:cs="Arial"/>
          <w:sz w:val="20"/>
          <w:szCs w:val="20"/>
        </w:rPr>
        <w:t>.</w:t>
      </w:r>
      <w:r w:rsidR="00F34CCE" w:rsidRPr="004A1586">
        <w:rPr>
          <w:rFonts w:ascii="Arial" w:hAnsi="Arial" w:cs="Arial"/>
          <w:sz w:val="20"/>
          <w:szCs w:val="20"/>
        </w:rPr>
        <w:t xml:space="preserve"> Hrozil</w:t>
      </w:r>
      <w:r w:rsidR="00BF2A45" w:rsidRPr="004A1586">
        <w:rPr>
          <w:rFonts w:ascii="Arial" w:hAnsi="Arial" w:cs="Arial"/>
          <w:sz w:val="20"/>
          <w:szCs w:val="20"/>
        </w:rPr>
        <w:t>o</w:t>
      </w:r>
      <w:r w:rsidR="00F34CCE" w:rsidRPr="004A1586">
        <w:rPr>
          <w:rFonts w:ascii="Arial" w:hAnsi="Arial" w:cs="Arial"/>
          <w:sz w:val="20"/>
          <w:szCs w:val="20"/>
        </w:rPr>
        <w:t xml:space="preserve"> by tak </w:t>
      </w:r>
      <w:r w:rsidR="00BF2A45" w:rsidRPr="004A1586">
        <w:rPr>
          <w:rFonts w:ascii="Arial" w:hAnsi="Arial" w:cs="Arial"/>
          <w:sz w:val="20"/>
          <w:szCs w:val="20"/>
        </w:rPr>
        <w:t>snížení spolehlivosti</w:t>
      </w:r>
      <w:r w:rsidR="00F34CCE" w:rsidRPr="004A1586">
        <w:rPr>
          <w:rFonts w:ascii="Arial" w:hAnsi="Arial" w:cs="Arial"/>
          <w:sz w:val="20"/>
          <w:szCs w:val="20"/>
        </w:rPr>
        <w:t xml:space="preserve"> statistiky s těmito komoditami a odběratelé dat by </w:t>
      </w:r>
      <w:r w:rsidR="0018653B" w:rsidRPr="004A1586">
        <w:rPr>
          <w:rFonts w:ascii="Arial" w:hAnsi="Arial" w:cs="Arial"/>
          <w:sz w:val="20"/>
          <w:szCs w:val="20"/>
        </w:rPr>
        <w:t>byli nuceni</w:t>
      </w:r>
      <w:r w:rsidR="00F34CCE" w:rsidRPr="004A1586">
        <w:rPr>
          <w:rFonts w:ascii="Arial" w:hAnsi="Arial" w:cs="Arial"/>
          <w:sz w:val="20"/>
          <w:szCs w:val="20"/>
        </w:rPr>
        <w:t xml:space="preserve"> provádět vlastní statistická šetření, protože informace o obchodu s těmito druhy </w:t>
      </w:r>
      <w:r w:rsidR="00F34CCE" w:rsidRPr="004A1586">
        <w:rPr>
          <w:rFonts w:ascii="Arial" w:hAnsi="Arial" w:cs="Arial"/>
          <w:sz w:val="20"/>
          <w:szCs w:val="20"/>
        </w:rPr>
        <w:lastRenderedPageBreak/>
        <w:t>komodit potřebují.</w:t>
      </w:r>
      <w:r w:rsidR="0018653B" w:rsidRPr="004A1586">
        <w:rPr>
          <w:rFonts w:ascii="Arial" w:hAnsi="Arial" w:cs="Arial"/>
          <w:sz w:val="20"/>
          <w:szCs w:val="20"/>
        </w:rPr>
        <w:t xml:space="preserve"> Dále by zvýšení prahů mohlo znamenat, že obchod s některými teritorii nebude zaznamenán</w:t>
      </w:r>
      <w:r w:rsidR="00611A01">
        <w:rPr>
          <w:rFonts w:ascii="Arial" w:hAnsi="Arial" w:cs="Arial"/>
          <w:sz w:val="20"/>
          <w:szCs w:val="20"/>
        </w:rPr>
        <w:t>.</w:t>
      </w:r>
      <w:r w:rsidR="0018653B" w:rsidRPr="004A1586">
        <w:rPr>
          <w:rFonts w:ascii="Arial" w:hAnsi="Arial" w:cs="Arial"/>
          <w:sz w:val="20"/>
          <w:szCs w:val="20"/>
        </w:rPr>
        <w:t xml:space="preserve"> </w:t>
      </w:r>
      <w:r w:rsidR="00611A01">
        <w:rPr>
          <w:rFonts w:ascii="Arial" w:hAnsi="Arial" w:cs="Arial"/>
          <w:sz w:val="20"/>
          <w:szCs w:val="20"/>
        </w:rPr>
        <w:t>V</w:t>
      </w:r>
      <w:r w:rsidR="00611A01" w:rsidRPr="004A1586">
        <w:rPr>
          <w:rFonts w:ascii="Arial" w:hAnsi="Arial" w:cs="Arial"/>
          <w:sz w:val="20"/>
          <w:szCs w:val="20"/>
        </w:rPr>
        <w:t xml:space="preserve">ýše </w:t>
      </w:r>
      <w:r w:rsidR="00A82996" w:rsidRPr="004A1586">
        <w:rPr>
          <w:rFonts w:ascii="Arial" w:hAnsi="Arial" w:cs="Arial"/>
          <w:sz w:val="20"/>
          <w:szCs w:val="20"/>
        </w:rPr>
        <w:t>zmíněné důsledky mohou mít dále</w:t>
      </w:r>
      <w:r w:rsidR="0018653B" w:rsidRPr="004A1586">
        <w:rPr>
          <w:rFonts w:ascii="Arial" w:hAnsi="Arial" w:cs="Arial"/>
          <w:sz w:val="20"/>
          <w:szCs w:val="20"/>
        </w:rPr>
        <w:t xml:space="preserve"> vliv i na surovinovou a energetickou bezpečnost.</w:t>
      </w:r>
    </w:p>
    <w:p w:rsidR="00F23E3D" w:rsidRPr="004A1586" w:rsidRDefault="004B5C0B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t>V případě</w:t>
      </w:r>
      <w:r w:rsidR="004372D5" w:rsidRPr="004A1586">
        <w:rPr>
          <w:rFonts w:ascii="Arial" w:hAnsi="Arial" w:cs="Arial"/>
          <w:sz w:val="20"/>
          <w:szCs w:val="20"/>
        </w:rPr>
        <w:t xml:space="preserve"> Velké Británie si lze všimnout dvojnásobného zvýšení prahu při přijetí, kdy se jeho h</w:t>
      </w:r>
      <w:r w:rsidR="004A2BF2" w:rsidRPr="004A1586">
        <w:rPr>
          <w:rFonts w:ascii="Arial" w:hAnsi="Arial" w:cs="Arial"/>
          <w:sz w:val="20"/>
          <w:szCs w:val="20"/>
        </w:rPr>
        <w:t xml:space="preserve">odnota zvýšila na 1 407 720 EUR. </w:t>
      </w:r>
      <w:r w:rsidR="004372D5" w:rsidRPr="004A1586">
        <w:rPr>
          <w:rFonts w:ascii="Arial" w:hAnsi="Arial" w:cs="Arial"/>
          <w:sz w:val="20"/>
          <w:szCs w:val="20"/>
        </w:rPr>
        <w:t>Velká Británie</w:t>
      </w:r>
      <w:r w:rsidR="004A2BF2" w:rsidRPr="004A1586">
        <w:rPr>
          <w:rFonts w:ascii="Arial" w:hAnsi="Arial" w:cs="Arial"/>
          <w:sz w:val="20"/>
          <w:szCs w:val="20"/>
        </w:rPr>
        <w:t xml:space="preserve"> tak</w:t>
      </w:r>
      <w:r w:rsidR="004372D5" w:rsidRPr="004A1586">
        <w:rPr>
          <w:rFonts w:ascii="Arial" w:hAnsi="Arial" w:cs="Arial"/>
          <w:sz w:val="20"/>
          <w:szCs w:val="20"/>
        </w:rPr>
        <w:t xml:space="preserve"> dosáhla minimálního možného pokrytí přijetí 93 % a snížila tak administrativní a finanční zatížení zpravodajských jednotek, které nedosáhly prahu. </w:t>
      </w:r>
      <w:r w:rsidR="009C634B" w:rsidRPr="004A1586">
        <w:rPr>
          <w:rFonts w:ascii="Arial" w:hAnsi="Arial" w:cs="Arial"/>
          <w:sz w:val="20"/>
          <w:szCs w:val="20"/>
        </w:rPr>
        <w:t>Další zajímavostí v případě Velké Británie je velký rozdíl ve velikos</w:t>
      </w:r>
      <w:r w:rsidR="004A2BF2" w:rsidRPr="004A1586">
        <w:rPr>
          <w:rFonts w:ascii="Arial" w:hAnsi="Arial" w:cs="Arial"/>
          <w:sz w:val="20"/>
          <w:szCs w:val="20"/>
        </w:rPr>
        <w:t>ti prahu při přijetí a odeslání. Práh pro odeslání</w:t>
      </w:r>
      <w:r w:rsidR="009C634B" w:rsidRPr="004A1586">
        <w:rPr>
          <w:rFonts w:ascii="Arial" w:hAnsi="Arial" w:cs="Arial"/>
          <w:sz w:val="20"/>
          <w:szCs w:val="20"/>
        </w:rPr>
        <w:t xml:space="preserve"> činí</w:t>
      </w:r>
      <w:r w:rsidR="004A2BF2" w:rsidRPr="004A1586">
        <w:rPr>
          <w:rFonts w:ascii="Arial" w:hAnsi="Arial" w:cs="Arial"/>
          <w:sz w:val="20"/>
          <w:szCs w:val="20"/>
        </w:rPr>
        <w:t xml:space="preserve"> totiž</w:t>
      </w:r>
      <w:r w:rsidR="009C634B" w:rsidRPr="004A1586">
        <w:rPr>
          <w:rFonts w:ascii="Arial" w:hAnsi="Arial" w:cs="Arial"/>
          <w:sz w:val="20"/>
          <w:szCs w:val="20"/>
        </w:rPr>
        <w:t xml:space="preserve"> 293</w:t>
      </w:r>
      <w:r w:rsidR="004A2BF2" w:rsidRPr="004A1586">
        <w:rPr>
          <w:rFonts w:ascii="Arial" w:hAnsi="Arial" w:cs="Arial"/>
          <w:sz w:val="20"/>
          <w:szCs w:val="20"/>
        </w:rPr>
        <w:t> </w:t>
      </w:r>
      <w:r w:rsidR="009C634B" w:rsidRPr="004A1586">
        <w:rPr>
          <w:rFonts w:ascii="Arial" w:hAnsi="Arial" w:cs="Arial"/>
          <w:sz w:val="20"/>
          <w:szCs w:val="20"/>
        </w:rPr>
        <w:t>275</w:t>
      </w:r>
      <w:r w:rsidR="004A2BF2" w:rsidRPr="004A1586">
        <w:rPr>
          <w:rFonts w:ascii="Arial" w:hAnsi="Arial" w:cs="Arial"/>
          <w:sz w:val="20"/>
          <w:szCs w:val="20"/>
        </w:rPr>
        <w:t xml:space="preserve"> EUR</w:t>
      </w:r>
      <w:r w:rsidR="009C634B" w:rsidRPr="004A1586">
        <w:rPr>
          <w:rFonts w:ascii="Arial" w:hAnsi="Arial" w:cs="Arial"/>
          <w:sz w:val="20"/>
          <w:szCs w:val="20"/>
        </w:rPr>
        <w:t xml:space="preserve">, což je téměř pětkrát nižší hodnota než při opačném směru obchodu. </w:t>
      </w:r>
      <w:r w:rsidR="00662302" w:rsidRPr="004A1586">
        <w:rPr>
          <w:rFonts w:ascii="Arial" w:hAnsi="Arial" w:cs="Arial"/>
          <w:sz w:val="20"/>
          <w:szCs w:val="20"/>
        </w:rPr>
        <w:t xml:space="preserve">Přitom je pokryto 97 % informací o odeslání zboží v rámci EU. </w:t>
      </w:r>
      <w:r w:rsidR="008C0469" w:rsidRPr="004A1586">
        <w:rPr>
          <w:rFonts w:ascii="Arial" w:hAnsi="Arial" w:cs="Arial"/>
          <w:sz w:val="20"/>
          <w:szCs w:val="20"/>
        </w:rPr>
        <w:t>To</w:t>
      </w:r>
      <w:r w:rsidR="00662302" w:rsidRPr="004A1586">
        <w:rPr>
          <w:rFonts w:ascii="Arial" w:hAnsi="Arial" w:cs="Arial"/>
          <w:sz w:val="20"/>
          <w:szCs w:val="20"/>
        </w:rPr>
        <w:t xml:space="preserve"> ukazuje, že </w:t>
      </w:r>
      <w:r w:rsidR="008C0469" w:rsidRPr="004A1586">
        <w:rPr>
          <w:rFonts w:ascii="Arial" w:hAnsi="Arial" w:cs="Arial"/>
          <w:sz w:val="20"/>
          <w:szCs w:val="20"/>
        </w:rPr>
        <w:t xml:space="preserve">britské </w:t>
      </w:r>
      <w:r w:rsidR="00662302" w:rsidRPr="004A1586">
        <w:rPr>
          <w:rFonts w:ascii="Arial" w:hAnsi="Arial" w:cs="Arial"/>
          <w:sz w:val="20"/>
          <w:szCs w:val="20"/>
        </w:rPr>
        <w:t>zpravodajské jednotky odesílají</w:t>
      </w:r>
      <w:r w:rsidR="008C0469" w:rsidRPr="004A1586">
        <w:rPr>
          <w:rFonts w:ascii="Arial" w:hAnsi="Arial" w:cs="Arial"/>
          <w:sz w:val="20"/>
          <w:szCs w:val="20"/>
        </w:rPr>
        <w:t xml:space="preserve"> zboží do EU</w:t>
      </w:r>
      <w:r w:rsidR="00662302" w:rsidRPr="004A1586">
        <w:rPr>
          <w:rFonts w:ascii="Arial" w:hAnsi="Arial" w:cs="Arial"/>
          <w:sz w:val="20"/>
          <w:szCs w:val="20"/>
        </w:rPr>
        <w:t xml:space="preserve"> v nepoměrně menších objemech, než</w:t>
      </w:r>
      <w:r w:rsidR="008C0469" w:rsidRPr="004A1586">
        <w:rPr>
          <w:rFonts w:ascii="Arial" w:hAnsi="Arial" w:cs="Arial"/>
          <w:sz w:val="20"/>
          <w:szCs w:val="20"/>
        </w:rPr>
        <w:t xml:space="preserve"> jej</w:t>
      </w:r>
      <w:r w:rsidR="00662302" w:rsidRPr="004A1586">
        <w:rPr>
          <w:rFonts w:ascii="Arial" w:hAnsi="Arial" w:cs="Arial"/>
          <w:sz w:val="20"/>
          <w:szCs w:val="20"/>
        </w:rPr>
        <w:t xml:space="preserve"> přijímají.</w:t>
      </w:r>
      <w:r w:rsidR="009C634B" w:rsidRPr="004A1586">
        <w:rPr>
          <w:rFonts w:ascii="Arial" w:hAnsi="Arial" w:cs="Arial"/>
          <w:sz w:val="20"/>
          <w:szCs w:val="20"/>
        </w:rPr>
        <w:t xml:space="preserve"> </w:t>
      </w:r>
      <w:r w:rsidR="004162F1" w:rsidRPr="004A1586">
        <w:rPr>
          <w:rFonts w:ascii="Arial" w:hAnsi="Arial" w:cs="Arial"/>
          <w:sz w:val="20"/>
          <w:szCs w:val="20"/>
        </w:rPr>
        <w:t xml:space="preserve">Stejně jako Velká Británie, i Finsko zvýšilo práh pro přijetí zboží téměř dvojnásobně, a dosáhlo tak </w:t>
      </w:r>
      <w:r w:rsidR="00F120BC" w:rsidRPr="004A1586">
        <w:rPr>
          <w:rFonts w:ascii="Arial" w:hAnsi="Arial" w:cs="Arial"/>
          <w:sz w:val="20"/>
          <w:szCs w:val="20"/>
        </w:rPr>
        <w:t xml:space="preserve">mírného </w:t>
      </w:r>
      <w:r w:rsidR="004162F1" w:rsidRPr="004A1586">
        <w:rPr>
          <w:rFonts w:ascii="Arial" w:hAnsi="Arial" w:cs="Arial"/>
          <w:sz w:val="20"/>
          <w:szCs w:val="20"/>
        </w:rPr>
        <w:t>sníž</w:t>
      </w:r>
      <w:r w:rsidR="00E2383B" w:rsidRPr="004A1586">
        <w:rPr>
          <w:rFonts w:ascii="Arial" w:hAnsi="Arial" w:cs="Arial"/>
          <w:sz w:val="20"/>
          <w:szCs w:val="20"/>
        </w:rPr>
        <w:t>ení podílu získaných informací. To se samozřejmě projeví také v poklesu množství zpravodajských jednotek, jak bude ukázáno níže.</w:t>
      </w:r>
    </w:p>
    <w:p w:rsidR="000A2A98" w:rsidRPr="004A1586" w:rsidRDefault="000A2A98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t>Při podrobnějším zkoumání tabulky je patrné, že u většiny států došlo u přijetí i odeslání k</w:t>
      </w:r>
      <w:r w:rsidR="00F120BC" w:rsidRPr="004A1586">
        <w:rPr>
          <w:rFonts w:ascii="Arial" w:hAnsi="Arial" w:cs="Arial"/>
          <w:sz w:val="20"/>
          <w:szCs w:val="20"/>
        </w:rPr>
        <w:t xml:space="preserve"> mírnému </w:t>
      </w:r>
      <w:r w:rsidRPr="004A1586">
        <w:rPr>
          <w:rFonts w:ascii="Arial" w:hAnsi="Arial" w:cs="Arial"/>
          <w:sz w:val="20"/>
          <w:szCs w:val="20"/>
        </w:rPr>
        <w:t xml:space="preserve">poklesu podílu vybraných informací o přijetích a odesláních v rámci výkazů v Intrastatu. Je ovšem nutno poznamenat, že všechny státy striktně dodržují minimální percentuálně </w:t>
      </w:r>
      <w:r w:rsidR="00F120BC" w:rsidRPr="004A1586">
        <w:rPr>
          <w:rFonts w:ascii="Arial" w:hAnsi="Arial" w:cs="Arial"/>
          <w:sz w:val="20"/>
          <w:szCs w:val="20"/>
        </w:rPr>
        <w:t xml:space="preserve">stanovené </w:t>
      </w:r>
      <w:r w:rsidRPr="004A1586">
        <w:rPr>
          <w:rFonts w:ascii="Arial" w:hAnsi="Arial" w:cs="Arial"/>
          <w:sz w:val="20"/>
          <w:szCs w:val="20"/>
        </w:rPr>
        <w:t xml:space="preserve">množství vybraných informací tak, jak jim to nařizuje EU. </w:t>
      </w:r>
      <w:r w:rsidR="00B6230D" w:rsidRPr="004A1586">
        <w:rPr>
          <w:rFonts w:ascii="Arial" w:hAnsi="Arial" w:cs="Arial"/>
          <w:sz w:val="20"/>
          <w:szCs w:val="20"/>
        </w:rPr>
        <w:t xml:space="preserve">Je to </w:t>
      </w:r>
      <w:r w:rsidRPr="004A1586">
        <w:rPr>
          <w:rFonts w:ascii="Arial" w:hAnsi="Arial" w:cs="Arial"/>
          <w:sz w:val="20"/>
          <w:szCs w:val="20"/>
        </w:rPr>
        <w:t xml:space="preserve">pozitivní efekt, protože </w:t>
      </w:r>
      <w:r w:rsidR="00B6230D" w:rsidRPr="004A1586">
        <w:rPr>
          <w:rFonts w:ascii="Arial" w:hAnsi="Arial" w:cs="Arial"/>
          <w:sz w:val="20"/>
          <w:szCs w:val="20"/>
        </w:rPr>
        <w:t>snížení podílu vybraných dat</w:t>
      </w:r>
      <w:r w:rsidRPr="004A1586">
        <w:rPr>
          <w:rFonts w:ascii="Arial" w:hAnsi="Arial" w:cs="Arial"/>
          <w:sz w:val="20"/>
          <w:szCs w:val="20"/>
        </w:rPr>
        <w:t xml:space="preserve"> vede k šetření nákladů a povinnosti vykazování některých zpravodajských jednotek, které nedosáhnou prahu, a přitom je zachována vysoká vypovídací schopnost a kvalita sesbíraných statistických dat. </w:t>
      </w:r>
    </w:p>
    <w:p w:rsidR="00631CFA" w:rsidRPr="004A1586" w:rsidRDefault="00F61A47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t xml:space="preserve">Velikost prahu by bylo velmi složité unifikovat, protože u jeho sestavování je velmi důležité brát v úvahu velikost dané ekonomiky, její vyspělost, aktivitu obchodu v rámci EU, a potažmo i počet zpravodajských jednotek. </w:t>
      </w:r>
      <w:r w:rsidR="005B058C" w:rsidRPr="004A1586">
        <w:rPr>
          <w:rFonts w:ascii="Arial" w:hAnsi="Arial" w:cs="Arial"/>
          <w:sz w:val="20"/>
          <w:szCs w:val="20"/>
        </w:rPr>
        <w:t xml:space="preserve">Při porovnání hodnot prahů jednotlivých států lze vydedukovat relativní objem přijetí a odeslání zpravodajských jednotek. </w:t>
      </w:r>
      <w:r w:rsidR="00E2383B" w:rsidRPr="004A1586">
        <w:rPr>
          <w:rFonts w:ascii="Arial" w:hAnsi="Arial" w:cs="Arial"/>
          <w:sz w:val="20"/>
          <w:szCs w:val="20"/>
        </w:rPr>
        <w:t>Například při</w:t>
      </w:r>
      <w:r w:rsidR="005B058C" w:rsidRPr="004A1586">
        <w:rPr>
          <w:rFonts w:ascii="Arial" w:hAnsi="Arial" w:cs="Arial"/>
          <w:sz w:val="20"/>
          <w:szCs w:val="20"/>
        </w:rPr>
        <w:t xml:space="preserve"> porovnání hodnot Belgie a České republiky je na první pohled patrná daleko vyšší velikost belgických osvobozujících prahů, </w:t>
      </w:r>
      <w:r w:rsidR="00370919" w:rsidRPr="004A1586">
        <w:rPr>
          <w:rFonts w:ascii="Arial" w:hAnsi="Arial" w:cs="Arial"/>
          <w:sz w:val="20"/>
          <w:szCs w:val="20"/>
        </w:rPr>
        <w:t xml:space="preserve">a </w:t>
      </w:r>
      <w:r w:rsidR="005B058C" w:rsidRPr="004A1586">
        <w:rPr>
          <w:rFonts w:ascii="Arial" w:hAnsi="Arial" w:cs="Arial"/>
          <w:sz w:val="20"/>
          <w:szCs w:val="20"/>
        </w:rPr>
        <w:t>Česká republika</w:t>
      </w:r>
      <w:r w:rsidR="00370919" w:rsidRPr="004A1586">
        <w:rPr>
          <w:rFonts w:ascii="Arial" w:hAnsi="Arial" w:cs="Arial"/>
          <w:sz w:val="20"/>
          <w:szCs w:val="20"/>
        </w:rPr>
        <w:t xml:space="preserve"> tak</w:t>
      </w:r>
      <w:r w:rsidR="005B058C" w:rsidRPr="004A1586">
        <w:rPr>
          <w:rFonts w:ascii="Arial" w:hAnsi="Arial" w:cs="Arial"/>
          <w:sz w:val="20"/>
          <w:szCs w:val="20"/>
        </w:rPr>
        <w:t xml:space="preserve"> převyšuje Belgii v obou směrech obchodu v podílu sesbíraných informací na výkazech Intrastatu.</w:t>
      </w:r>
      <w:r w:rsidR="00F120BC" w:rsidRPr="004A1586">
        <w:rPr>
          <w:rFonts w:ascii="Arial" w:hAnsi="Arial" w:cs="Arial"/>
          <w:sz w:val="20"/>
          <w:szCs w:val="20"/>
        </w:rPr>
        <w:t xml:space="preserve"> P</w:t>
      </w:r>
      <w:r w:rsidR="00370919" w:rsidRPr="004A1586">
        <w:rPr>
          <w:rFonts w:ascii="Arial" w:hAnsi="Arial" w:cs="Arial"/>
          <w:sz w:val="20"/>
          <w:szCs w:val="20"/>
        </w:rPr>
        <w:t xml:space="preserve">ři přijetích o 2 </w:t>
      </w:r>
      <w:proofErr w:type="gramStart"/>
      <w:r w:rsidR="00202AB9">
        <w:rPr>
          <w:rFonts w:ascii="Arial" w:hAnsi="Arial" w:cs="Arial"/>
          <w:sz w:val="20"/>
          <w:szCs w:val="20"/>
        </w:rPr>
        <w:t xml:space="preserve">p. </w:t>
      </w:r>
      <w:proofErr w:type="spellStart"/>
      <w:r w:rsidR="00202AB9">
        <w:rPr>
          <w:rFonts w:ascii="Arial" w:hAnsi="Arial" w:cs="Arial"/>
          <w:sz w:val="20"/>
          <w:szCs w:val="20"/>
        </w:rPr>
        <w:t>b</w:t>
      </w:r>
      <w:proofErr w:type="spellEnd"/>
      <w:r w:rsidR="00202AB9">
        <w:rPr>
          <w:rFonts w:ascii="Arial" w:hAnsi="Arial" w:cs="Arial"/>
          <w:sz w:val="20"/>
          <w:szCs w:val="20"/>
        </w:rPr>
        <w:t>.</w:t>
      </w:r>
      <w:r w:rsidR="00370919" w:rsidRPr="004A1586">
        <w:rPr>
          <w:rFonts w:ascii="Arial" w:hAnsi="Arial" w:cs="Arial"/>
          <w:sz w:val="20"/>
          <w:szCs w:val="20"/>
        </w:rPr>
        <w:t xml:space="preserve"> a při</w:t>
      </w:r>
      <w:proofErr w:type="gramEnd"/>
      <w:r w:rsidR="00370919" w:rsidRPr="004A1586">
        <w:rPr>
          <w:rFonts w:ascii="Arial" w:hAnsi="Arial" w:cs="Arial"/>
          <w:sz w:val="20"/>
          <w:szCs w:val="20"/>
        </w:rPr>
        <w:t xml:space="preserve"> odesláních o 1,2 </w:t>
      </w:r>
      <w:r w:rsidR="00202AB9">
        <w:rPr>
          <w:rFonts w:ascii="Arial" w:hAnsi="Arial" w:cs="Arial"/>
          <w:sz w:val="20"/>
          <w:szCs w:val="20"/>
        </w:rPr>
        <w:t xml:space="preserve">p. </w:t>
      </w:r>
      <w:proofErr w:type="spellStart"/>
      <w:r w:rsidR="00202AB9">
        <w:rPr>
          <w:rFonts w:ascii="Arial" w:hAnsi="Arial" w:cs="Arial"/>
          <w:sz w:val="20"/>
          <w:szCs w:val="20"/>
        </w:rPr>
        <w:t>b</w:t>
      </w:r>
      <w:proofErr w:type="spellEnd"/>
      <w:r w:rsidR="00202AB9">
        <w:rPr>
          <w:rFonts w:ascii="Arial" w:hAnsi="Arial" w:cs="Arial"/>
          <w:sz w:val="20"/>
          <w:szCs w:val="20"/>
        </w:rPr>
        <w:t>.</w:t>
      </w:r>
      <w:r w:rsidR="00370919" w:rsidRPr="004A1586">
        <w:rPr>
          <w:rFonts w:ascii="Arial" w:hAnsi="Arial" w:cs="Arial"/>
          <w:sz w:val="20"/>
          <w:szCs w:val="20"/>
        </w:rPr>
        <w:t>, což nepředstavuje tak výrazný rozdíl. Aby měly české zpravodajské jednotky povinnost vykazovat, stačí jim v jednotlivém směru obchodu překročit hodnotu 320 000 EUR za rok, přičemž v Belgii je nutné pro přijetí dosáhnout hodnoty 700 000 EUR a při odeslání 1 000 000 EUR. Z tohoto údaje lze vy</w:t>
      </w:r>
      <w:r w:rsidR="00E2383B" w:rsidRPr="004A1586">
        <w:rPr>
          <w:rFonts w:ascii="Arial" w:hAnsi="Arial" w:cs="Arial"/>
          <w:sz w:val="20"/>
          <w:szCs w:val="20"/>
        </w:rPr>
        <w:t>vodit</w:t>
      </w:r>
      <w:r w:rsidR="00370919" w:rsidRPr="004A1586">
        <w:rPr>
          <w:rFonts w:ascii="Arial" w:hAnsi="Arial" w:cs="Arial"/>
          <w:sz w:val="20"/>
          <w:szCs w:val="20"/>
        </w:rPr>
        <w:t xml:space="preserve">, že belgické zpravodajské jednotky obchodují ve vyšších </w:t>
      </w:r>
      <w:r w:rsidR="00E2383B" w:rsidRPr="004A1586">
        <w:rPr>
          <w:rFonts w:ascii="Arial" w:hAnsi="Arial" w:cs="Arial"/>
          <w:sz w:val="20"/>
          <w:szCs w:val="20"/>
        </w:rPr>
        <w:t xml:space="preserve">hodnotových </w:t>
      </w:r>
      <w:r w:rsidR="00370919" w:rsidRPr="004A1586">
        <w:rPr>
          <w:rFonts w:ascii="Arial" w:hAnsi="Arial" w:cs="Arial"/>
          <w:sz w:val="20"/>
          <w:szCs w:val="20"/>
        </w:rPr>
        <w:t xml:space="preserve">objemech než české. </w:t>
      </w:r>
    </w:p>
    <w:p w:rsidR="000B0406" w:rsidRPr="004A1586" w:rsidRDefault="000B0406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0406" w:rsidRPr="004A1586" w:rsidRDefault="000B0406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A1586" w:rsidRDefault="004A158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 w:type="page"/>
      </w:r>
    </w:p>
    <w:p w:rsidR="000B0406" w:rsidRDefault="000B0406" w:rsidP="003F036C">
      <w:pPr>
        <w:spacing w:line="360" w:lineRule="auto"/>
        <w:rPr>
          <w:rFonts w:ascii="Arial" w:hAnsi="Arial" w:cs="Arial"/>
          <w:sz w:val="24"/>
          <w:szCs w:val="24"/>
        </w:rPr>
      </w:pPr>
      <w:r w:rsidRPr="003F03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Osvobozující prahy a pokrytí vnitrounijního obchodu v roce 2013 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3F03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2014</w:t>
      </w:r>
    </w:p>
    <w:tbl>
      <w:tblPr>
        <w:tblW w:w="52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28"/>
        <w:gridCol w:w="1134"/>
        <w:gridCol w:w="1136"/>
        <w:gridCol w:w="849"/>
        <w:gridCol w:w="856"/>
        <w:gridCol w:w="1134"/>
        <w:gridCol w:w="1132"/>
        <w:gridCol w:w="1073"/>
        <w:gridCol w:w="638"/>
      </w:tblGrid>
      <w:tr w:rsidR="000B0406" w:rsidRPr="003F036C" w:rsidTr="00AE71C9">
        <w:trPr>
          <w:trHeight w:val="315"/>
        </w:trPr>
        <w:tc>
          <w:tcPr>
            <w:tcW w:w="849" w:type="pct"/>
            <w:tcBorders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Přijetí</w:t>
            </w:r>
          </w:p>
        </w:tc>
        <w:tc>
          <w:tcPr>
            <w:tcW w:w="207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Odeslání</w:t>
            </w:r>
          </w:p>
        </w:tc>
      </w:tr>
      <w:tr w:rsidR="000B0406" w:rsidRPr="003F036C" w:rsidTr="00AE71C9">
        <w:trPr>
          <w:trHeight w:val="315"/>
        </w:trPr>
        <w:tc>
          <w:tcPr>
            <w:tcW w:w="849" w:type="pct"/>
            <w:tcBorders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Euro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%</w:t>
            </w:r>
          </w:p>
        </w:tc>
        <w:tc>
          <w:tcPr>
            <w:tcW w:w="11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Euro</w:t>
            </w:r>
          </w:p>
        </w:tc>
        <w:tc>
          <w:tcPr>
            <w:tcW w:w="8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%</w:t>
            </w:r>
          </w:p>
        </w:tc>
      </w:tr>
      <w:tr w:rsidR="000B0406" w:rsidRPr="003F036C" w:rsidTr="00AE71C9">
        <w:trPr>
          <w:trHeight w:val="315"/>
        </w:trPr>
        <w:tc>
          <w:tcPr>
            <w:tcW w:w="849" w:type="pct"/>
            <w:tcBorders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2013</w:t>
            </w:r>
          </w:p>
        </w:tc>
      </w:tr>
      <w:tr w:rsidR="000B0406" w:rsidRPr="003F036C" w:rsidTr="00AE71C9">
        <w:trPr>
          <w:trHeight w:val="315"/>
        </w:trPr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Belgie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97.9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Bulharsko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184 065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122 710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107 371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122 710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98.1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Česká republika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98.3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Dánsko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804 000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522 000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Německo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98.2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Estonsko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97.6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Irsko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635 000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635 000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Řecko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97.9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Španělsko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Francie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Chorvatsko*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157 500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226 700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157 500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226 700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Itálie*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99.1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Kypr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95.5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98.0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Lotyšsko*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142 288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142 288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96.6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Litva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202 734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202 734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217 215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217 215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97.7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Lucembursko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98.4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Maďarsko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97.4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Malta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99.0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Nizozemsko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97.9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Rakousko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95.0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94.9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97.6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Polsko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358 423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358 423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98.8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Portugalsko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97.8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Rumunsko*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112 040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111094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97.0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201 672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199 969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Slovinsko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91.2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97.8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Slovensko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97.2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Finsko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Švédsko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450 000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450 000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450 000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98.2</w:t>
            </w:r>
          </w:p>
        </w:tc>
      </w:tr>
      <w:tr w:rsidR="000B0406" w:rsidRPr="003F036C" w:rsidTr="000B0406">
        <w:trPr>
          <w:trHeight w:val="315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Velká Británie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1 407 720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703 860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293 275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293 275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36C" w:rsidRPr="003F036C" w:rsidRDefault="003F036C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97.2</w:t>
            </w:r>
          </w:p>
        </w:tc>
      </w:tr>
    </w:tbl>
    <w:p w:rsidR="003F183C" w:rsidRDefault="003F183C" w:rsidP="00962DC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5194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416"/>
        <w:gridCol w:w="7799"/>
      </w:tblGrid>
      <w:tr w:rsidR="000B0406" w:rsidRPr="003F036C" w:rsidTr="000B0406">
        <w:trPr>
          <w:trHeight w:val="300"/>
        </w:trPr>
        <w:tc>
          <w:tcPr>
            <w:tcW w:w="185" w:type="pct"/>
            <w:shd w:val="clear" w:color="auto" w:fill="auto"/>
            <w:noWrap/>
            <w:vAlign w:val="bottom"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*)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Chorvatsko</w:t>
            </w:r>
          </w:p>
        </w:tc>
        <w:tc>
          <w:tcPr>
            <w:tcW w:w="4075" w:type="pct"/>
            <w:shd w:val="clear" w:color="auto" w:fill="auto"/>
            <w:noWrap/>
            <w:vAlign w:val="bottom"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Členský stát EU od 1. července 2013</w:t>
            </w:r>
          </w:p>
        </w:tc>
      </w:tr>
      <w:tr w:rsidR="000B0406" w:rsidRPr="003F036C" w:rsidTr="000B0406">
        <w:trPr>
          <w:trHeight w:val="300"/>
        </w:trPr>
        <w:tc>
          <w:tcPr>
            <w:tcW w:w="185" w:type="pct"/>
            <w:shd w:val="clear" w:color="auto" w:fill="auto"/>
            <w:noWrap/>
            <w:vAlign w:val="bottom"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40" w:type="pct"/>
            <w:shd w:val="clear" w:color="auto" w:fill="auto"/>
            <w:noWrap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Itálie</w:t>
            </w:r>
          </w:p>
        </w:tc>
        <w:tc>
          <w:tcPr>
            <w:tcW w:w="4075" w:type="pct"/>
            <w:shd w:val="clear" w:color="auto" w:fill="auto"/>
            <w:noWrap/>
            <w:vAlign w:val="bottom"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Není stanovena míra pokrytí sbíraných informací, protože data do Int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rastatu jsou získávána v rámci </w:t>
            </w: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statisticko-daňového systému</w:t>
            </w:r>
          </w:p>
        </w:tc>
      </w:tr>
      <w:tr w:rsidR="000B0406" w:rsidRPr="003F036C" w:rsidTr="000B0406">
        <w:trPr>
          <w:trHeight w:val="300"/>
        </w:trPr>
        <w:tc>
          <w:tcPr>
            <w:tcW w:w="185" w:type="pct"/>
            <w:shd w:val="clear" w:color="auto" w:fill="auto"/>
            <w:noWrap/>
            <w:vAlign w:val="bottom"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Lotyšsko</w:t>
            </w:r>
          </w:p>
        </w:tc>
        <w:tc>
          <w:tcPr>
            <w:tcW w:w="4075" w:type="pct"/>
            <w:shd w:val="clear" w:color="auto" w:fill="auto"/>
            <w:noWrap/>
            <w:vAlign w:val="bottom"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Členem eurozóny od 1. ledna 2014</w:t>
            </w:r>
          </w:p>
        </w:tc>
      </w:tr>
      <w:tr w:rsidR="000B0406" w:rsidRPr="003F036C" w:rsidTr="000B0406">
        <w:trPr>
          <w:trHeight w:val="300"/>
        </w:trPr>
        <w:tc>
          <w:tcPr>
            <w:tcW w:w="185" w:type="pct"/>
            <w:shd w:val="clear" w:color="auto" w:fill="auto"/>
            <w:noWrap/>
            <w:vAlign w:val="bottom"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Rumunsko</w:t>
            </w:r>
          </w:p>
        </w:tc>
        <w:tc>
          <w:tcPr>
            <w:tcW w:w="4075" w:type="pct"/>
            <w:shd w:val="clear" w:color="auto" w:fill="auto"/>
            <w:noWrap/>
            <w:vAlign w:val="bottom"/>
            <w:hideMark/>
          </w:tcPr>
          <w:p w:rsidR="000B0406" w:rsidRPr="003F036C" w:rsidRDefault="000B0406" w:rsidP="000B0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lang w:eastAsia="cs-CZ"/>
              </w:rPr>
              <w:t>Prahy pro rok 2014 zůstaly v národní měně neměnné oproti roku 2013</w:t>
            </w:r>
          </w:p>
        </w:tc>
      </w:tr>
    </w:tbl>
    <w:p w:rsidR="000B0406" w:rsidRPr="00BD209E" w:rsidRDefault="000B0406" w:rsidP="00962DCC">
      <w:pPr>
        <w:spacing w:line="360" w:lineRule="auto"/>
        <w:rPr>
          <w:rFonts w:ascii="Arial" w:hAnsi="Arial" w:cs="Arial"/>
          <w:sz w:val="24"/>
          <w:szCs w:val="24"/>
        </w:rPr>
      </w:pPr>
    </w:p>
    <w:p w:rsidR="009F422E" w:rsidRPr="004A1586" w:rsidRDefault="009F422E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lastRenderedPageBreak/>
        <w:t xml:space="preserve">S předešlou tabulkou a uvedenými daty úzce souvisí i tabulka následující, která ukazuje množství zpravodajských jednotek, které vykazují údaje do Intrastatu. Zkratkou DPH  – reg. </w:t>
      </w:r>
      <w:proofErr w:type="gramStart"/>
      <w:r w:rsidRPr="004A1586">
        <w:rPr>
          <w:rFonts w:ascii="Arial" w:hAnsi="Arial" w:cs="Arial"/>
          <w:sz w:val="20"/>
          <w:szCs w:val="20"/>
        </w:rPr>
        <w:t>jsou</w:t>
      </w:r>
      <w:proofErr w:type="gramEnd"/>
      <w:r w:rsidRPr="004A1586">
        <w:rPr>
          <w:rFonts w:ascii="Arial" w:hAnsi="Arial" w:cs="Arial"/>
          <w:sz w:val="20"/>
          <w:szCs w:val="20"/>
        </w:rPr>
        <w:t xml:space="preserve"> označeny všechny fyzické či právnické osoby, které jsou v jednotlivých státech registrovány k DPH a vykázaly přijetí nebo od</w:t>
      </w:r>
      <w:r w:rsidR="004A1586">
        <w:rPr>
          <w:rFonts w:ascii="Arial" w:hAnsi="Arial" w:cs="Arial"/>
          <w:sz w:val="20"/>
          <w:szCs w:val="20"/>
        </w:rPr>
        <w:t xml:space="preserve">eslání zboží ve výkazu DPH. Ve </w:t>
      </w:r>
      <w:r w:rsidRPr="004A1586">
        <w:rPr>
          <w:rFonts w:ascii="Arial" w:hAnsi="Arial" w:cs="Arial"/>
          <w:sz w:val="20"/>
          <w:szCs w:val="20"/>
        </w:rPr>
        <w:t xml:space="preserve">sloupečku </w:t>
      </w:r>
      <w:r w:rsidR="00202AB9">
        <w:rPr>
          <w:rFonts w:ascii="Arial" w:hAnsi="Arial" w:cs="Arial"/>
          <w:sz w:val="20"/>
          <w:szCs w:val="20"/>
        </w:rPr>
        <w:t>ZJ</w:t>
      </w:r>
      <w:r w:rsidR="00202AB9" w:rsidRPr="004A1586">
        <w:rPr>
          <w:rFonts w:ascii="Arial" w:hAnsi="Arial" w:cs="Arial"/>
          <w:sz w:val="20"/>
          <w:szCs w:val="20"/>
        </w:rPr>
        <w:t xml:space="preserve"> </w:t>
      </w:r>
      <w:r w:rsidRPr="004A1586">
        <w:rPr>
          <w:rFonts w:ascii="Arial" w:hAnsi="Arial" w:cs="Arial"/>
          <w:sz w:val="20"/>
          <w:szCs w:val="20"/>
        </w:rPr>
        <w:t xml:space="preserve">je uveden počet subjektů, které jsou povinny vykazovat příslušný směr Intrastatu, tedy zpravodajských jednotek, které vykázaly v přiznání k DPH pořízení nebo dodání zboží z/do EU. Z toho vyplývá, že pokud by nedošlo k zavedení prahů, vykazovaly by zboží v rámci Intrastatu všechny jednotky uvedeny ve sloupci DPH-reg., tedy všechny, co v rámci svého přiznání k DPH uvádějí odeslání či přijetí zboží.  V České republice působí v letošním roce 12 576 zpravodajských jednotek vykazujících do Intrastatu přijetí zboží, zatímco v opačném směru obchodu se nachází v České republice 10 223 zpravodajských jednotek. V obou směrech obchodu tak došlo k nárůstu počtu zpravodajských jednotek, ovšem pouze v řádu stovek, jelikož práh pro vykazování se oproti loňskému roku nezměnil, jak již bylo řečeno. Jinými slovy tak prahu pro vykazování v roce 2014 dosáhlo více obchodníků, než tomu bylo předchozího roku. </w:t>
      </w:r>
    </w:p>
    <w:p w:rsidR="00BC2B77" w:rsidRPr="004A1586" w:rsidRDefault="009F422E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t>V roce 2014</w:t>
      </w:r>
      <w:r w:rsidR="00BC2B77" w:rsidRPr="004A1586">
        <w:rPr>
          <w:rFonts w:ascii="Arial" w:hAnsi="Arial" w:cs="Arial"/>
          <w:sz w:val="20"/>
          <w:szCs w:val="20"/>
        </w:rPr>
        <w:t xml:space="preserve"> poklesl počet fyzických a právnických osob povinných vykazovat pohyb zboží do Intrastatu o 4,5 % v celé EU. Tento údaj platí za předpokladu, že množství zpravodajských jednotek v Belgii, Dánsku a Itálii zůstal na stejné úrovni jako v roce 2013, jelikož údaje za tyto státy pro letošní rok nejsou k dispozici. Počet zpravodajských jednotek v roce 2014 k celkovému počtu obchodníků v rámci EU je okolo 15 %, oproti předchozímu roku byl tak zaznamenán pokles o 2 </w:t>
      </w:r>
      <w:r w:rsidR="00B31FDD" w:rsidRPr="004A1586">
        <w:rPr>
          <w:rFonts w:ascii="Arial" w:hAnsi="Arial" w:cs="Arial"/>
          <w:sz w:val="20"/>
          <w:szCs w:val="20"/>
        </w:rPr>
        <w:t>p. b</w:t>
      </w:r>
      <w:r w:rsidRPr="004A1586">
        <w:rPr>
          <w:rFonts w:ascii="Arial" w:hAnsi="Arial" w:cs="Arial"/>
          <w:sz w:val="20"/>
          <w:szCs w:val="20"/>
        </w:rPr>
        <w:t xml:space="preserve">. </w:t>
      </w:r>
      <w:r w:rsidR="00FB0B56" w:rsidRPr="004A1586">
        <w:rPr>
          <w:rFonts w:ascii="Arial" w:hAnsi="Arial" w:cs="Arial"/>
          <w:sz w:val="20"/>
          <w:szCs w:val="20"/>
        </w:rPr>
        <w:t>Státy, které zvýšily prahové hodnoty pro přijetí a tím sn</w:t>
      </w:r>
      <w:r w:rsidR="0039489E">
        <w:rPr>
          <w:rFonts w:ascii="Arial" w:hAnsi="Arial" w:cs="Arial"/>
          <w:sz w:val="20"/>
          <w:szCs w:val="20"/>
        </w:rPr>
        <w:t>í</w:t>
      </w:r>
      <w:r w:rsidR="00FB0B56" w:rsidRPr="004A1586">
        <w:rPr>
          <w:rFonts w:ascii="Arial" w:hAnsi="Arial" w:cs="Arial"/>
          <w:sz w:val="20"/>
          <w:szCs w:val="20"/>
        </w:rPr>
        <w:t>žily míru pokrytí daného směru, zaznamenaly největší snížení počtu zpravodajských jednotek, jedná se především o Velkou B</w:t>
      </w:r>
      <w:r w:rsidR="00E33CC7" w:rsidRPr="004A1586">
        <w:rPr>
          <w:rFonts w:ascii="Arial" w:hAnsi="Arial" w:cs="Arial"/>
          <w:sz w:val="20"/>
          <w:szCs w:val="20"/>
        </w:rPr>
        <w:t>ritánii, která zaznamena snížení</w:t>
      </w:r>
      <w:r w:rsidR="00FB0B56" w:rsidRPr="004A1586">
        <w:rPr>
          <w:rFonts w:ascii="Arial" w:hAnsi="Arial" w:cs="Arial"/>
          <w:sz w:val="20"/>
          <w:szCs w:val="20"/>
        </w:rPr>
        <w:t xml:space="preserve"> o 15 %, Belgie a Nizozemí se snížením přibližně o 25 % a Finsko, kde došlo k poklesu počtu zpravodajských jednotek pro přijetí o 34 %. </w:t>
      </w:r>
    </w:p>
    <w:p w:rsidR="002F4DCA" w:rsidRPr="004A1586" w:rsidRDefault="002F4DCA" w:rsidP="004A15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1586">
        <w:rPr>
          <w:rFonts w:ascii="Arial" w:hAnsi="Arial" w:cs="Arial"/>
          <w:sz w:val="20"/>
          <w:szCs w:val="20"/>
        </w:rPr>
        <w:t xml:space="preserve">Provázanost počtu zpravodajských jednotek s výší prahů je patrná. Státy EU sestavují každoročně prahy tak, aby splňovaly požadavek EU a zajistily alespoň minimální pokrytí v Intrastatu sesbíraných informací v daném směru obchodu, přitom se ovšem snaží určit hodnotu </w:t>
      </w:r>
      <w:r w:rsidR="0039489E" w:rsidRPr="004A1586">
        <w:rPr>
          <w:rFonts w:ascii="Arial" w:hAnsi="Arial" w:cs="Arial"/>
          <w:sz w:val="20"/>
          <w:szCs w:val="20"/>
        </w:rPr>
        <w:t>prah</w:t>
      </w:r>
      <w:r w:rsidR="0039489E">
        <w:rPr>
          <w:rFonts w:ascii="Arial" w:hAnsi="Arial" w:cs="Arial"/>
          <w:sz w:val="20"/>
          <w:szCs w:val="20"/>
        </w:rPr>
        <w:t>ů</w:t>
      </w:r>
      <w:r w:rsidR="0039489E" w:rsidRPr="004A1586">
        <w:rPr>
          <w:rFonts w:ascii="Arial" w:hAnsi="Arial" w:cs="Arial"/>
          <w:sz w:val="20"/>
          <w:szCs w:val="20"/>
        </w:rPr>
        <w:t xml:space="preserve"> </w:t>
      </w:r>
      <w:r w:rsidRPr="004A1586">
        <w:rPr>
          <w:rFonts w:ascii="Arial" w:hAnsi="Arial" w:cs="Arial"/>
          <w:sz w:val="20"/>
          <w:szCs w:val="20"/>
        </w:rPr>
        <w:t xml:space="preserve">tak, ať nejsou zpravodajské jednotky vystaveny nadměrným administrativním nákladům při zachování maximální kvality sesbíraných dat. </w:t>
      </w:r>
    </w:p>
    <w:p w:rsidR="004A1586" w:rsidRDefault="004A1586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 w:type="page"/>
      </w:r>
    </w:p>
    <w:p w:rsidR="00384B72" w:rsidRDefault="00384B72" w:rsidP="004C62A6">
      <w:pPr>
        <w:spacing w:line="240" w:lineRule="auto"/>
        <w:rPr>
          <w:rFonts w:ascii="Arial" w:hAnsi="Arial" w:cs="Arial"/>
          <w:sz w:val="24"/>
          <w:szCs w:val="24"/>
        </w:rPr>
      </w:pPr>
      <w:r w:rsidRPr="003F03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Počet zpravodajských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j</w:t>
      </w:r>
      <w:r w:rsidRPr="003F03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ednotek a osob registrovaných k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3F03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DPH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3F03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3F03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roce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3F03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2013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3F03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3F036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2014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6"/>
        <w:gridCol w:w="851"/>
        <w:gridCol w:w="709"/>
        <w:gridCol w:w="1134"/>
        <w:gridCol w:w="708"/>
        <w:gridCol w:w="851"/>
        <w:gridCol w:w="1134"/>
        <w:gridCol w:w="709"/>
        <w:gridCol w:w="708"/>
        <w:gridCol w:w="1134"/>
      </w:tblGrid>
      <w:tr w:rsidR="00384B72" w:rsidRPr="003F036C" w:rsidTr="00384B72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Přijetí / Pořízení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384B72" w:rsidRPr="003F036C" w:rsidRDefault="00384B72" w:rsidP="00384B72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Odeslání / </w:t>
            </w: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Dodání</w:t>
            </w:r>
          </w:p>
        </w:tc>
      </w:tr>
      <w:tr w:rsidR="00384B72" w:rsidRPr="003F036C" w:rsidTr="00384B72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2013</w:t>
            </w:r>
          </w:p>
        </w:tc>
      </w:tr>
      <w:tr w:rsidR="00384B72" w:rsidRPr="003F036C" w:rsidTr="00384B72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B72" w:rsidRPr="003F036C" w:rsidRDefault="00384B72" w:rsidP="00202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DPH-</w:t>
            </w:r>
            <w:proofErr w:type="spellStart"/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reg</w:t>
            </w:r>
            <w:proofErr w:type="spellEnd"/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DPH-</w:t>
            </w:r>
            <w:proofErr w:type="spellStart"/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reg</w:t>
            </w:r>
            <w:proofErr w:type="spellEnd"/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ZJ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DPH-</w:t>
            </w:r>
            <w:proofErr w:type="spellStart"/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reg</w:t>
            </w:r>
            <w:proofErr w:type="spellEnd"/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Belgie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15 539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231 021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63 213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Bulharsko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10 534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28 160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13 504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Česká republika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15 587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100 230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86 467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10 223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48 513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Dánsko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46 863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17 244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60 014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624 469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529 417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38 889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250 617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Estonsko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17 835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14 940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Irsko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37 023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13 797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Řecko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67 999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11 277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65 428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24 183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Španělsko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269 792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230 771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113 676</w:t>
            </w:r>
          </w:p>
        </w:tc>
      </w:tr>
      <w:tr w:rsidR="00384B72" w:rsidRPr="003F036C" w:rsidTr="00384B72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Francie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Chorvatsko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15 767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13 663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4 065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Itálie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286 000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228 500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128 200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Kypr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1 830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Lotyšsko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22 592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9 592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Litva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23 514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20 947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10 971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Lucembursko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18 300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5 400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Maďarsko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85 900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46 400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6 807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1 417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Nizozemsko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251 000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147 000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Rakousko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139 832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11 258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131 426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34 676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Polsko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26 189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156 649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19 202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121 487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14 613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75 756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Portugalsko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121 141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94 694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26 447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Rumunsko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18 112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18 771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66 923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16 060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17 462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18 136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Slovinsko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32 789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28 873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12 958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11 385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67 987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10 149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62 733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23 783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Finsko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13 000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Švédsko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11 099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11 099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98 489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79 655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28 569</w:t>
            </w:r>
          </w:p>
        </w:tc>
      </w:tr>
      <w:tr w:rsidR="00384B72" w:rsidRPr="003F036C" w:rsidTr="00384B72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Velká Británie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23 626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27 639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193 596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10 527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15 842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133 948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18 702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B72" w:rsidRPr="003F036C" w:rsidRDefault="00384B72" w:rsidP="003F0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F0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108 927</w:t>
            </w:r>
          </w:p>
        </w:tc>
      </w:tr>
    </w:tbl>
    <w:p w:rsidR="00914C04" w:rsidRDefault="00914C04" w:rsidP="00962DC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14C04" w:rsidSect="004A15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9C7" w:rsidRDefault="007529C7" w:rsidP="002A4B0F">
      <w:pPr>
        <w:spacing w:after="0" w:line="240" w:lineRule="auto"/>
      </w:pPr>
      <w:r>
        <w:separator/>
      </w:r>
    </w:p>
  </w:endnote>
  <w:endnote w:type="continuationSeparator" w:id="0">
    <w:p w:rsidR="007529C7" w:rsidRDefault="007529C7" w:rsidP="002A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9C7" w:rsidRDefault="007529C7" w:rsidP="002A4B0F">
      <w:pPr>
        <w:spacing w:after="0" w:line="240" w:lineRule="auto"/>
      </w:pPr>
      <w:r>
        <w:separator/>
      </w:r>
    </w:p>
  </w:footnote>
  <w:footnote w:type="continuationSeparator" w:id="0">
    <w:p w:rsidR="007529C7" w:rsidRDefault="007529C7" w:rsidP="002A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07221"/>
    <w:multiLevelType w:val="hybridMultilevel"/>
    <w:tmpl w:val="474CA528"/>
    <w:lvl w:ilvl="0" w:tplc="6C50A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F019A"/>
    <w:multiLevelType w:val="hybridMultilevel"/>
    <w:tmpl w:val="83F4BE96"/>
    <w:lvl w:ilvl="0" w:tplc="C93A2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F183C"/>
    <w:rsid w:val="000002C2"/>
    <w:rsid w:val="000269AE"/>
    <w:rsid w:val="00066F41"/>
    <w:rsid w:val="00067298"/>
    <w:rsid w:val="00067B74"/>
    <w:rsid w:val="00076935"/>
    <w:rsid w:val="000A2A98"/>
    <w:rsid w:val="000B0406"/>
    <w:rsid w:val="000F0FF0"/>
    <w:rsid w:val="00116712"/>
    <w:rsid w:val="00142C77"/>
    <w:rsid w:val="00155B87"/>
    <w:rsid w:val="00170E11"/>
    <w:rsid w:val="001729F7"/>
    <w:rsid w:val="00175176"/>
    <w:rsid w:val="0018653B"/>
    <w:rsid w:val="001972E4"/>
    <w:rsid w:val="001A0754"/>
    <w:rsid w:val="001D055A"/>
    <w:rsid w:val="001F309B"/>
    <w:rsid w:val="00202AB9"/>
    <w:rsid w:val="00212F98"/>
    <w:rsid w:val="002370A4"/>
    <w:rsid w:val="002438A8"/>
    <w:rsid w:val="002528A1"/>
    <w:rsid w:val="00264CB1"/>
    <w:rsid w:val="002728B7"/>
    <w:rsid w:val="0027681B"/>
    <w:rsid w:val="002866AF"/>
    <w:rsid w:val="002A4B0F"/>
    <w:rsid w:val="002A7D0D"/>
    <w:rsid w:val="002B0974"/>
    <w:rsid w:val="002B6AAE"/>
    <w:rsid w:val="002D2B99"/>
    <w:rsid w:val="002D4E72"/>
    <w:rsid w:val="002D780A"/>
    <w:rsid w:val="002D7D4D"/>
    <w:rsid w:val="002F4DCA"/>
    <w:rsid w:val="0030112D"/>
    <w:rsid w:val="0031325D"/>
    <w:rsid w:val="003246BE"/>
    <w:rsid w:val="00352754"/>
    <w:rsid w:val="0036799A"/>
    <w:rsid w:val="00370919"/>
    <w:rsid w:val="00384B72"/>
    <w:rsid w:val="00392F97"/>
    <w:rsid w:val="0039489E"/>
    <w:rsid w:val="003A17BF"/>
    <w:rsid w:val="003F036C"/>
    <w:rsid w:val="003F183C"/>
    <w:rsid w:val="004162F1"/>
    <w:rsid w:val="0042162E"/>
    <w:rsid w:val="004372D5"/>
    <w:rsid w:val="00444BF1"/>
    <w:rsid w:val="0048519C"/>
    <w:rsid w:val="00491EFE"/>
    <w:rsid w:val="004A1586"/>
    <w:rsid w:val="004A2BF2"/>
    <w:rsid w:val="004A51BD"/>
    <w:rsid w:val="004B012F"/>
    <w:rsid w:val="004B5C0B"/>
    <w:rsid w:val="004B6526"/>
    <w:rsid w:val="004C62A6"/>
    <w:rsid w:val="004D479D"/>
    <w:rsid w:val="004D51EC"/>
    <w:rsid w:val="004E2A59"/>
    <w:rsid w:val="004E6277"/>
    <w:rsid w:val="004F2905"/>
    <w:rsid w:val="004F3D23"/>
    <w:rsid w:val="005244E0"/>
    <w:rsid w:val="00532FD6"/>
    <w:rsid w:val="00547945"/>
    <w:rsid w:val="0055011E"/>
    <w:rsid w:val="0058263A"/>
    <w:rsid w:val="005A6238"/>
    <w:rsid w:val="005B058C"/>
    <w:rsid w:val="005C6B5E"/>
    <w:rsid w:val="005F75CE"/>
    <w:rsid w:val="006071AF"/>
    <w:rsid w:val="00611A01"/>
    <w:rsid w:val="00631CFA"/>
    <w:rsid w:val="006332FC"/>
    <w:rsid w:val="00641240"/>
    <w:rsid w:val="00643CDE"/>
    <w:rsid w:val="006520E1"/>
    <w:rsid w:val="00654C70"/>
    <w:rsid w:val="00662302"/>
    <w:rsid w:val="00664934"/>
    <w:rsid w:val="00670E1F"/>
    <w:rsid w:val="006713D0"/>
    <w:rsid w:val="006803FA"/>
    <w:rsid w:val="006B165D"/>
    <w:rsid w:val="006B21F7"/>
    <w:rsid w:val="006B3A2F"/>
    <w:rsid w:val="006B40D8"/>
    <w:rsid w:val="00706601"/>
    <w:rsid w:val="00711963"/>
    <w:rsid w:val="00720BF3"/>
    <w:rsid w:val="007529C7"/>
    <w:rsid w:val="007847D1"/>
    <w:rsid w:val="007B7F2B"/>
    <w:rsid w:val="007D0819"/>
    <w:rsid w:val="007D138D"/>
    <w:rsid w:val="007F3817"/>
    <w:rsid w:val="007F7396"/>
    <w:rsid w:val="008B20D2"/>
    <w:rsid w:val="008C0469"/>
    <w:rsid w:val="008C284D"/>
    <w:rsid w:val="0090408D"/>
    <w:rsid w:val="00914C04"/>
    <w:rsid w:val="009504B6"/>
    <w:rsid w:val="00962DCC"/>
    <w:rsid w:val="00976377"/>
    <w:rsid w:val="00982E7B"/>
    <w:rsid w:val="00987F4C"/>
    <w:rsid w:val="009A0706"/>
    <w:rsid w:val="009C0CA4"/>
    <w:rsid w:val="009C634B"/>
    <w:rsid w:val="009D1B26"/>
    <w:rsid w:val="009D35C9"/>
    <w:rsid w:val="009F422E"/>
    <w:rsid w:val="009F5790"/>
    <w:rsid w:val="00A24BF0"/>
    <w:rsid w:val="00A26DFA"/>
    <w:rsid w:val="00A31F31"/>
    <w:rsid w:val="00A46BB4"/>
    <w:rsid w:val="00A7344C"/>
    <w:rsid w:val="00A76C70"/>
    <w:rsid w:val="00A82996"/>
    <w:rsid w:val="00A92FEE"/>
    <w:rsid w:val="00AE71C9"/>
    <w:rsid w:val="00AF0B91"/>
    <w:rsid w:val="00AF502A"/>
    <w:rsid w:val="00B02E9A"/>
    <w:rsid w:val="00B31FDD"/>
    <w:rsid w:val="00B50236"/>
    <w:rsid w:val="00B5659C"/>
    <w:rsid w:val="00B6230D"/>
    <w:rsid w:val="00B631D4"/>
    <w:rsid w:val="00B719EE"/>
    <w:rsid w:val="00BC1155"/>
    <w:rsid w:val="00BC2B77"/>
    <w:rsid w:val="00BC3F12"/>
    <w:rsid w:val="00BD209E"/>
    <w:rsid w:val="00BF2A45"/>
    <w:rsid w:val="00C00930"/>
    <w:rsid w:val="00C024F8"/>
    <w:rsid w:val="00C06D7D"/>
    <w:rsid w:val="00C154F0"/>
    <w:rsid w:val="00C70760"/>
    <w:rsid w:val="00C75E70"/>
    <w:rsid w:val="00C764AD"/>
    <w:rsid w:val="00C838C5"/>
    <w:rsid w:val="00CA0330"/>
    <w:rsid w:val="00CB7D35"/>
    <w:rsid w:val="00CF7976"/>
    <w:rsid w:val="00D53CF7"/>
    <w:rsid w:val="00D60C62"/>
    <w:rsid w:val="00D62B5E"/>
    <w:rsid w:val="00D6330E"/>
    <w:rsid w:val="00D72133"/>
    <w:rsid w:val="00D82037"/>
    <w:rsid w:val="00D96FA3"/>
    <w:rsid w:val="00DD2FD6"/>
    <w:rsid w:val="00DD38F0"/>
    <w:rsid w:val="00DE4B32"/>
    <w:rsid w:val="00DF2B16"/>
    <w:rsid w:val="00DF52F9"/>
    <w:rsid w:val="00DF68E1"/>
    <w:rsid w:val="00E011C3"/>
    <w:rsid w:val="00E2383B"/>
    <w:rsid w:val="00E33CC7"/>
    <w:rsid w:val="00E55F5E"/>
    <w:rsid w:val="00E8796A"/>
    <w:rsid w:val="00ED4CAF"/>
    <w:rsid w:val="00EE798A"/>
    <w:rsid w:val="00F06235"/>
    <w:rsid w:val="00F120BC"/>
    <w:rsid w:val="00F23E3D"/>
    <w:rsid w:val="00F34CCE"/>
    <w:rsid w:val="00F56C23"/>
    <w:rsid w:val="00F61A47"/>
    <w:rsid w:val="00F74120"/>
    <w:rsid w:val="00FA21EF"/>
    <w:rsid w:val="00FA561D"/>
    <w:rsid w:val="00FB0B56"/>
    <w:rsid w:val="00FC04E0"/>
    <w:rsid w:val="00FF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B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8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2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34C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B0F"/>
  </w:style>
  <w:style w:type="paragraph" w:styleId="Zpat">
    <w:name w:val="footer"/>
    <w:basedOn w:val="Normln"/>
    <w:link w:val="ZpatChar"/>
    <w:uiPriority w:val="99"/>
    <w:unhideWhenUsed/>
    <w:rsid w:val="002A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0F"/>
  </w:style>
  <w:style w:type="paragraph" w:customStyle="1" w:styleId="Styl1">
    <w:name w:val="Styl1"/>
    <w:rsid w:val="00AF0B91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01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8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2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34C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heczkova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2959-594C-4E23-88D7-9754B379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2411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operator</cp:lastModifiedBy>
  <cp:revision>6</cp:revision>
  <dcterms:created xsi:type="dcterms:W3CDTF">2014-03-13T11:20:00Z</dcterms:created>
  <dcterms:modified xsi:type="dcterms:W3CDTF">2014-03-13T13:13:00Z</dcterms:modified>
</cp:coreProperties>
</file>