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5E" w:rsidRDefault="002E435E" w:rsidP="00094130">
      <w:pPr>
        <w:pStyle w:val="Nadpis1"/>
        <w:numPr>
          <w:ilvl w:val="0"/>
          <w:numId w:val="7"/>
        </w:numPr>
        <w:jc w:val="both"/>
      </w:pPr>
      <w:bookmarkStart w:id="0" w:name="_Toc454185155"/>
      <w:r>
        <w:t>Státní rozpočet</w:t>
      </w:r>
      <w:bookmarkEnd w:id="0"/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0F74B6" w:rsidRPr="00A90EFD" w:rsidTr="00AF5D62">
        <w:tc>
          <w:tcPr>
            <w:tcW w:w="1054" w:type="pct"/>
          </w:tcPr>
          <w:p w:rsidR="000F74B6" w:rsidRPr="009E7272" w:rsidRDefault="000F74B6" w:rsidP="00AF5D62">
            <w:pPr>
              <w:spacing w:line="240" w:lineRule="auto"/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</w:pPr>
            <w:r w:rsidRPr="009E7272"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  <w:t>Pokračující svižn</w:t>
            </w:r>
            <w:r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  <w:t xml:space="preserve">ý růst ekonomiky v kombinaci s efekty nepravidelného čerpání </w:t>
            </w:r>
            <w:r w:rsidRPr="009E7272"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  <w:t xml:space="preserve">evropských fondů vyústily </w:t>
            </w:r>
            <w:r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  <w:t>v dosud rekordní výši přebytku SR,…</w:t>
            </w:r>
          </w:p>
        </w:tc>
        <w:tc>
          <w:tcPr>
            <w:tcW w:w="142" w:type="pct"/>
          </w:tcPr>
          <w:p w:rsidR="000F74B6" w:rsidRPr="00A90EFD" w:rsidRDefault="000F74B6" w:rsidP="00AF5D62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3804" w:type="pct"/>
          </w:tcPr>
          <w:p w:rsidR="000F74B6" w:rsidRPr="00952517" w:rsidRDefault="000F74B6" w:rsidP="00AF5D62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</w:rPr>
            </w:pPr>
            <w:r w:rsidRPr="00952517">
              <w:rPr>
                <w:rFonts w:cs="Arial"/>
                <w:color w:val="0D0D0D" w:themeColor="text1" w:themeTint="F2"/>
                <w:spacing w:val="-4"/>
              </w:rPr>
              <w:t xml:space="preserve">Do výsledků hospodaření státního rozpočtu (SR) v průběhu roku 2016 se podstatně promítly nepravidelnosti v čerpání prostředků z rozpočtu EU. Zatímco příjmy (v pokladním plnění) byly stále ještě významně posilovány dobíhajícími finančními toky vázanými na nedávno ukončené </w:t>
            </w:r>
            <w:r w:rsidR="009B2C0E">
              <w:rPr>
                <w:rFonts w:cs="Arial"/>
                <w:color w:val="0D0D0D" w:themeColor="text1" w:themeTint="F2"/>
                <w:spacing w:val="-4"/>
              </w:rPr>
              <w:t>programové</w:t>
            </w:r>
            <w:r w:rsidRPr="00952517">
              <w:rPr>
                <w:rFonts w:cs="Arial"/>
                <w:color w:val="0D0D0D" w:themeColor="text1" w:themeTint="F2"/>
                <w:spacing w:val="-4"/>
              </w:rPr>
              <w:t xml:space="preserve"> období, kapitálové výdaje na společné projekty ČR a EU se letos vlivem nižší celkové připravenosti větších projektů</w:t>
            </w:r>
            <w:r w:rsidR="00867464">
              <w:rPr>
                <w:rFonts w:cs="Arial"/>
                <w:color w:val="0D0D0D" w:themeColor="text1" w:themeTint="F2"/>
                <w:spacing w:val="-4"/>
              </w:rPr>
              <w:t xml:space="preserve"> na startu nového programového</w:t>
            </w:r>
            <w:r w:rsidRPr="00952517">
              <w:rPr>
                <w:rFonts w:cs="Arial"/>
                <w:color w:val="0D0D0D" w:themeColor="text1" w:themeTint="F2"/>
                <w:spacing w:val="-4"/>
              </w:rPr>
              <w:t xml:space="preserve"> období citelně utlumily. Naopak již několik čtvrtletí v řadě se hlavně v příjmové stránce rozpočtu stále viditelněji odráží efekty hospodářského růstu, a to zejména prostřednictvím sílícího inkasa přímých daní.</w:t>
            </w:r>
          </w:p>
          <w:p w:rsidR="000F74B6" w:rsidRPr="00952517" w:rsidRDefault="000F74B6" w:rsidP="00AF5D62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  <w:sz w:val="15"/>
                <w:szCs w:val="15"/>
              </w:rPr>
            </w:pPr>
          </w:p>
        </w:tc>
      </w:tr>
      <w:tr w:rsidR="000F74B6" w:rsidRPr="00A90EFD" w:rsidTr="00AF5D62">
        <w:tc>
          <w:tcPr>
            <w:tcW w:w="1054" w:type="pct"/>
          </w:tcPr>
          <w:p w:rsidR="000F74B6" w:rsidRPr="009E7272" w:rsidRDefault="000F74B6" w:rsidP="00AF5D62">
            <w:pPr>
              <w:spacing w:line="240" w:lineRule="auto"/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</w:pPr>
            <w:r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  <w:t>…</w:t>
            </w:r>
            <w:r w:rsidRPr="00F81E47"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  <w:t>ten v</w:t>
            </w:r>
            <w:r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  <w:t>e vztahu</w:t>
            </w:r>
            <w:r w:rsidRPr="00F81E47"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  <w:t xml:space="preserve"> k HDP </w:t>
            </w:r>
            <w:r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  <w:t>činil 1,8</w:t>
            </w:r>
            <w:r w:rsidRPr="00F81E47"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  <w:t> %</w:t>
            </w:r>
          </w:p>
        </w:tc>
        <w:tc>
          <w:tcPr>
            <w:tcW w:w="142" w:type="pct"/>
          </w:tcPr>
          <w:p w:rsidR="000F74B6" w:rsidRPr="00A90EFD" w:rsidRDefault="000F74B6" w:rsidP="00AF5D62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3804" w:type="pct"/>
          </w:tcPr>
          <w:p w:rsidR="000F74B6" w:rsidRPr="00744D2B" w:rsidRDefault="000F74B6" w:rsidP="00AF5D62">
            <w:pPr>
              <w:pStyle w:val="Textpoznpodarou"/>
              <w:jc w:val="both"/>
              <w:rPr>
                <w:rFonts w:cs="Arial"/>
                <w:color w:val="000000" w:themeColor="text1"/>
                <w:spacing w:val="-2"/>
              </w:rPr>
            </w:pPr>
            <w:r w:rsidRPr="00744D2B">
              <w:rPr>
                <w:rFonts w:cs="Arial"/>
                <w:color w:val="0D0D0D" w:themeColor="text1" w:themeTint="F2"/>
                <w:spacing w:val="-2"/>
              </w:rPr>
              <w:t>Přebytek hospodaření SR v 1. pololetí 2016 se meziročně téměř zdvojnásobil (na 40,6 mld. korun)</w:t>
            </w:r>
            <w:r w:rsidRPr="00744D2B">
              <w:rPr>
                <w:rStyle w:val="Znakapoznpodarou"/>
                <w:color w:val="0D0D0D" w:themeColor="text1" w:themeTint="F2"/>
                <w:spacing w:val="-2"/>
              </w:rPr>
              <w:footnoteReference w:id="1"/>
            </w:r>
            <w:r w:rsidRPr="00744D2B">
              <w:rPr>
                <w:rFonts w:cs="Arial"/>
                <w:color w:val="0D0D0D" w:themeColor="text1" w:themeTint="F2"/>
                <w:spacing w:val="-2"/>
              </w:rPr>
              <w:t xml:space="preserve">. Současně </w:t>
            </w:r>
            <w:r w:rsidRPr="00744D2B">
              <w:rPr>
                <w:rFonts w:cs="Arial"/>
                <w:color w:val="000000" w:themeColor="text1"/>
                <w:spacing w:val="-2"/>
              </w:rPr>
              <w:t xml:space="preserve">šlo v tomto období roku o nejlepší výsledek v historii samotné ČR. </w:t>
            </w:r>
            <w:r w:rsidRPr="00744D2B">
              <w:rPr>
                <w:rFonts w:cs="Arial"/>
                <w:color w:val="0D0D0D" w:themeColor="text1" w:themeTint="F2"/>
                <w:spacing w:val="-2"/>
              </w:rPr>
              <w:t>Rekordní bylo také saldo SR v relaci k</w:t>
            </w:r>
            <w:r w:rsidRPr="00744D2B">
              <w:rPr>
                <w:color w:val="0D0D0D" w:themeColor="text1" w:themeTint="F2"/>
                <w:spacing w:val="-2"/>
              </w:rPr>
              <w:t> </w:t>
            </w:r>
            <w:r w:rsidRPr="00744D2B">
              <w:rPr>
                <w:rFonts w:cs="Arial"/>
                <w:color w:val="000000" w:themeColor="text1"/>
                <w:spacing w:val="-2"/>
              </w:rPr>
              <w:t>nominálnímu HDP +1,8 % (o rok dříve +1,0 %). O růst celkových příjmů SR</w:t>
            </w:r>
            <w:r w:rsidRPr="00744D2B">
              <w:rPr>
                <w:rStyle w:val="Znakapoznpodarou"/>
                <w:color w:val="000000" w:themeColor="text1"/>
                <w:spacing w:val="-2"/>
              </w:rPr>
              <w:footnoteReference w:id="2"/>
            </w:r>
            <w:r w:rsidRPr="00744D2B">
              <w:rPr>
                <w:rFonts w:cs="Arial"/>
                <w:color w:val="000000" w:themeColor="text1"/>
                <w:spacing w:val="-2"/>
              </w:rPr>
              <w:t xml:space="preserve"> (+2,3 %) se v 1. pololetí zasloužily výhradně daňové příjmy vč. pojistného (v úhrnu vyšší o 35,9 mld. korun). </w:t>
            </w:r>
          </w:p>
          <w:p w:rsidR="000F74B6" w:rsidRPr="00952517" w:rsidRDefault="000F74B6" w:rsidP="00AF5D62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  <w:sz w:val="15"/>
                <w:szCs w:val="15"/>
              </w:rPr>
            </w:pPr>
          </w:p>
        </w:tc>
      </w:tr>
      <w:tr w:rsidR="000F74B6" w:rsidRPr="00A90EFD" w:rsidTr="00AF5D62">
        <w:tc>
          <w:tcPr>
            <w:tcW w:w="1054" w:type="pct"/>
          </w:tcPr>
          <w:p w:rsidR="000F74B6" w:rsidRPr="00C30516" w:rsidRDefault="000F74B6" w:rsidP="00AF5D62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  <w:r w:rsidRPr="00AC3A9F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V inkasu </w:t>
            </w: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DPH se promítly vysoký meziroční růst</w:t>
            </w:r>
            <w:r w:rsidRPr="00AC3A9F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 výdajů na konečnou spotřebu</w:t>
            </w: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 v ekonomice i </w:t>
            </w:r>
            <w:r w:rsidRPr="00AC3A9F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zvýšení kontrolních opatření při výběru daně</w:t>
            </w:r>
          </w:p>
        </w:tc>
        <w:tc>
          <w:tcPr>
            <w:tcW w:w="142" w:type="pct"/>
          </w:tcPr>
          <w:p w:rsidR="000F74B6" w:rsidRPr="00A90EFD" w:rsidRDefault="000F74B6" w:rsidP="00AF5D62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3804" w:type="pct"/>
          </w:tcPr>
          <w:p w:rsidR="000F74B6" w:rsidRPr="00A9652F" w:rsidRDefault="000F74B6" w:rsidP="00AF5D62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</w:rPr>
            </w:pPr>
            <w:r w:rsidRPr="00A9652F">
              <w:rPr>
                <w:rFonts w:cs="Arial"/>
                <w:color w:val="0D0D0D" w:themeColor="text1" w:themeTint="F2"/>
                <w:spacing w:val="-4"/>
              </w:rPr>
              <w:t xml:space="preserve">Celostátní výběr váhově nejvýznamnější daně </w:t>
            </w:r>
            <w:r w:rsidRPr="00A9652F">
              <w:rPr>
                <w:rFonts w:cs="Arial"/>
                <w:color w:val="000000" w:themeColor="text1"/>
                <w:spacing w:val="-4"/>
              </w:rPr>
              <w:t>– DPH – vzrostl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o 6</w:t>
            </w:r>
            <w:r w:rsidR="00E25999">
              <w:rPr>
                <w:rFonts w:cs="Arial"/>
                <w:color w:val="0D0D0D" w:themeColor="text1" w:themeTint="F2"/>
                <w:spacing w:val="-4"/>
              </w:rPr>
              <w:t xml:space="preserve"> % (na úrovni SR o</w:t>
            </w:r>
            <w:r w:rsidR="00E25999" w:rsidRPr="00952517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A9652F">
              <w:rPr>
                <w:rFonts w:cs="Arial"/>
                <w:color w:val="0D0D0D" w:themeColor="text1" w:themeTint="F2"/>
                <w:spacing w:val="-4"/>
              </w:rPr>
              <w:t>4,4 %). Odrážel stabilní vysoká růstová tempa výdajů na konečnou spotřebu, a to jak u domácností (nominálně v 1. pololetí 2,7 %), tak i vládních institucí (4,3 %). Na DPH působilo i zvýšení kontrolních opatření při výběru daně</w:t>
            </w:r>
            <w:r>
              <w:rPr>
                <w:spacing w:val="-4"/>
              </w:rPr>
              <w:t>, která</w:t>
            </w:r>
            <w:r w:rsidRPr="00A9652F">
              <w:rPr>
                <w:spacing w:val="-4"/>
              </w:rPr>
              <w:t xml:space="preserve"> jsou zacílena </w:t>
            </w:r>
            <w:r w:rsidR="00744D2B">
              <w:rPr>
                <w:spacing w:val="-4"/>
              </w:rPr>
              <w:t xml:space="preserve">zejména </w:t>
            </w:r>
            <w:r w:rsidRPr="00A9652F">
              <w:rPr>
                <w:spacing w:val="-4"/>
              </w:rPr>
              <w:t>na neoprávněné nároky a nadměrné odpočty DPH</w:t>
            </w:r>
            <w:r w:rsidRPr="00A9652F">
              <w:rPr>
                <w:rFonts w:cs="Arial"/>
                <w:color w:val="0D0D0D" w:themeColor="text1" w:themeTint="F2"/>
                <w:spacing w:val="-4"/>
              </w:rPr>
              <w:t>.</w:t>
            </w:r>
          </w:p>
          <w:p w:rsidR="000F74B6" w:rsidRPr="00952517" w:rsidRDefault="000F74B6" w:rsidP="00AF5D62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  <w:sz w:val="15"/>
                <w:szCs w:val="15"/>
              </w:rPr>
            </w:pPr>
          </w:p>
        </w:tc>
      </w:tr>
      <w:tr w:rsidR="000F74B6" w:rsidRPr="00A90EFD" w:rsidTr="00AF5D62">
        <w:tc>
          <w:tcPr>
            <w:tcW w:w="1054" w:type="pct"/>
          </w:tcPr>
          <w:p w:rsidR="000F74B6" w:rsidRPr="00105ED0" w:rsidRDefault="000F74B6" w:rsidP="00AF5D62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  <w:r w:rsidRPr="00105ED0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V pozadí vyššího výběru spotřebních daní stálo především zvýšení sazeb daně z tabákových výrobků od počátku roku</w:t>
            </w:r>
          </w:p>
        </w:tc>
        <w:tc>
          <w:tcPr>
            <w:tcW w:w="142" w:type="pct"/>
          </w:tcPr>
          <w:p w:rsidR="000F74B6" w:rsidRPr="00A90EFD" w:rsidRDefault="000F74B6" w:rsidP="00AF5D62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3804" w:type="pct"/>
          </w:tcPr>
          <w:p w:rsidR="000F74B6" w:rsidRPr="00952517" w:rsidRDefault="000F74B6" w:rsidP="00AF5D62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</w:rPr>
            </w:pPr>
            <w:r w:rsidRPr="00952517">
              <w:rPr>
                <w:rFonts w:cs="Arial"/>
                <w:color w:val="0D0D0D" w:themeColor="text1" w:themeTint="F2"/>
                <w:spacing w:val="-5"/>
              </w:rPr>
              <w:t>Ze spotřebních daní získal SR o téměř 8 % více než v 1. loňském pololetí. K meziročně</w:t>
            </w:r>
            <w:r w:rsidRPr="00952517">
              <w:rPr>
                <w:rFonts w:cs="Arial"/>
                <w:color w:val="0D0D0D" w:themeColor="text1" w:themeTint="F2"/>
                <w:spacing w:val="-4"/>
              </w:rPr>
              <w:t xml:space="preserve"> vyššímu inkasu ze dvou třetin přispěl sílící výbě</w:t>
            </w:r>
            <w:r w:rsidR="00744D2B">
              <w:rPr>
                <w:rFonts w:cs="Arial"/>
                <w:color w:val="0D0D0D" w:themeColor="text1" w:themeTint="F2"/>
                <w:spacing w:val="-4"/>
              </w:rPr>
              <w:t>r daně z tabákových výrobků (+14,6</w:t>
            </w:r>
            <w:r w:rsidR="00744D2B" w:rsidRPr="00952517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952517">
              <w:rPr>
                <w:rFonts w:cs="Arial"/>
                <w:color w:val="0D0D0D" w:themeColor="text1" w:themeTint="F2"/>
                <w:spacing w:val="-4"/>
              </w:rPr>
              <w:t>%) podpořený růstem sazeb daně. Tempo výběru této daně již nebylo na rozdíl od předchozích let ovlivněno výrazným předzásobení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m. </w:t>
            </w:r>
            <w:r w:rsidRPr="00952517">
              <w:rPr>
                <w:rFonts w:cs="Arial"/>
                <w:color w:val="0D0D0D" w:themeColor="text1" w:themeTint="F2"/>
                <w:spacing w:val="-4"/>
              </w:rPr>
              <w:t>Výběr váhově dominantní daně z mi</w:t>
            </w:r>
            <w:r>
              <w:rPr>
                <w:rFonts w:cs="Arial"/>
                <w:color w:val="0D0D0D" w:themeColor="text1" w:themeTint="F2"/>
                <w:spacing w:val="-4"/>
              </w:rPr>
              <w:t>nerálních olejů posílil o 4,8 %.</w:t>
            </w:r>
            <w:r w:rsidRPr="00952517"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  <w:r w:rsidR="00744D2B">
              <w:rPr>
                <w:rFonts w:cs="Arial"/>
                <w:color w:val="0D0D0D" w:themeColor="text1" w:themeTint="F2"/>
                <w:spacing w:val="-4"/>
              </w:rPr>
              <w:t>K v</w:t>
            </w:r>
            <w:r w:rsidRPr="00952517">
              <w:rPr>
                <w:rFonts w:cs="Arial"/>
                <w:color w:val="0D0D0D" w:themeColor="text1" w:themeTint="F2"/>
                <w:spacing w:val="-4"/>
              </w:rPr>
              <w:t>yšší spotřeb</w:t>
            </w:r>
            <w:r w:rsidR="00744D2B">
              <w:rPr>
                <w:rFonts w:cs="Arial"/>
                <w:color w:val="0D0D0D" w:themeColor="text1" w:themeTint="F2"/>
                <w:spacing w:val="-4"/>
              </w:rPr>
              <w:t>ě přispí</w:t>
            </w:r>
            <w:r>
              <w:rPr>
                <w:rFonts w:cs="Arial"/>
                <w:color w:val="0D0D0D" w:themeColor="text1" w:themeTint="F2"/>
                <w:spacing w:val="-4"/>
              </w:rPr>
              <w:t>valy příznivé ceny PHM a</w:t>
            </w:r>
            <w:r w:rsidRPr="00952517">
              <w:rPr>
                <w:rFonts w:cs="Arial"/>
                <w:color w:val="0D0D0D" w:themeColor="text1" w:themeTint="F2"/>
                <w:spacing w:val="-4"/>
              </w:rPr>
              <w:t> dlouhodobější růst poptávky po dopravě stimulovaný hospodářským růstem.</w:t>
            </w:r>
          </w:p>
          <w:p w:rsidR="000F74B6" w:rsidRPr="00952517" w:rsidRDefault="000F74B6" w:rsidP="00AF5D62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  <w:sz w:val="15"/>
                <w:szCs w:val="15"/>
              </w:rPr>
            </w:pPr>
          </w:p>
        </w:tc>
      </w:tr>
      <w:tr w:rsidR="000F74B6" w:rsidRPr="00A90EFD" w:rsidTr="00AF5D62">
        <w:tc>
          <w:tcPr>
            <w:tcW w:w="1054" w:type="pct"/>
          </w:tcPr>
          <w:p w:rsidR="000F74B6" w:rsidRDefault="000F74B6" w:rsidP="00AF5D62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  <w:r w:rsidRPr="002879E3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Meziroční tempo růstu inkasa </w:t>
            </w:r>
            <w:proofErr w:type="spellStart"/>
            <w:r w:rsidRPr="002879E3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korporátní</w:t>
            </w:r>
            <w:proofErr w:type="spellEnd"/>
            <w:r w:rsidRPr="002879E3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 daně atako</w:t>
            </w: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valo dvouciferné hodnoty již devět</w:t>
            </w:r>
            <w:r w:rsidRPr="002879E3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 čtvrtletí </w:t>
            </w:r>
          </w:p>
          <w:p w:rsidR="000F74B6" w:rsidRPr="002879E3" w:rsidRDefault="000F74B6" w:rsidP="00AF5D62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  <w:r w:rsidRPr="002879E3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v řadě</w:t>
            </w:r>
          </w:p>
          <w:p w:rsidR="000F74B6" w:rsidRPr="00F55C6A" w:rsidRDefault="000F74B6" w:rsidP="00AF5D62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2" w:type="pct"/>
          </w:tcPr>
          <w:p w:rsidR="000F74B6" w:rsidRPr="00807B25" w:rsidRDefault="000F74B6" w:rsidP="00AF5D62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</w:rPr>
            </w:pPr>
          </w:p>
        </w:tc>
        <w:tc>
          <w:tcPr>
            <w:tcW w:w="3804" w:type="pct"/>
          </w:tcPr>
          <w:p w:rsidR="000F74B6" w:rsidRPr="00952517" w:rsidRDefault="000F74B6" w:rsidP="00AF5D62">
            <w:pPr>
              <w:pStyle w:val="Textpoznpodarou"/>
              <w:jc w:val="both"/>
              <w:rPr>
                <w:rFonts w:cs="Arial"/>
                <w:spacing w:val="-4"/>
              </w:rPr>
            </w:pPr>
            <w:r w:rsidRPr="00952517">
              <w:rPr>
                <w:rFonts w:cs="Arial"/>
                <w:spacing w:val="-4"/>
              </w:rPr>
              <w:t xml:space="preserve">V rámci přímých daní dosáhly letos v absolutním vyjádření nejvyššího celostátního výběru </w:t>
            </w:r>
            <w:proofErr w:type="spellStart"/>
            <w:r w:rsidRPr="00952517">
              <w:rPr>
                <w:rFonts w:cs="Arial"/>
                <w:spacing w:val="-4"/>
              </w:rPr>
              <w:t>korporátní</w:t>
            </w:r>
            <w:proofErr w:type="spellEnd"/>
            <w:r w:rsidRPr="00952517">
              <w:rPr>
                <w:rFonts w:cs="Arial"/>
                <w:spacing w:val="-4"/>
              </w:rPr>
              <w:t xml:space="preserve"> daně. Meziročně byly za první pololetí o bezmála osminu vyšší, když těžily hlavně z rychle sílících zisků podniků v předchozích dvou letech. Proti dosavadnímu vrcholu v konjunkturním roce 2008 však byl</w:t>
            </w:r>
            <w:r>
              <w:rPr>
                <w:rFonts w:cs="Arial"/>
                <w:spacing w:val="-4"/>
              </w:rPr>
              <w:t>o jejich letošní inkaso stále o</w:t>
            </w:r>
            <w:r w:rsidRPr="00952517">
              <w:rPr>
                <w:rFonts w:cs="Arial"/>
                <w:spacing w:val="-4"/>
              </w:rPr>
              <w:t> 7 % nižší (naopak výběr daní z příjmů fyzických osob ze závislé činnosti převýšil jejich předkrizový vrchol již o pětinu).</w:t>
            </w:r>
          </w:p>
          <w:p w:rsidR="000F74B6" w:rsidRPr="00952517" w:rsidRDefault="000F74B6" w:rsidP="00AF5D62">
            <w:pPr>
              <w:pStyle w:val="Textpoznpodarou"/>
              <w:jc w:val="both"/>
              <w:rPr>
                <w:rFonts w:cs="Arial"/>
                <w:spacing w:val="-4"/>
                <w:sz w:val="15"/>
                <w:szCs w:val="15"/>
              </w:rPr>
            </w:pPr>
          </w:p>
        </w:tc>
      </w:tr>
      <w:tr w:rsidR="000F74B6" w:rsidRPr="00A90EFD" w:rsidTr="00AF5D62">
        <w:tc>
          <w:tcPr>
            <w:tcW w:w="1054" w:type="pct"/>
          </w:tcPr>
          <w:p w:rsidR="000F74B6" w:rsidRPr="009C136E" w:rsidRDefault="000F74B6" w:rsidP="00AF5D62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  <w:r w:rsidRPr="009C136E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Daně z příjmů od zaměstnanců</w:t>
            </w: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 xml:space="preserve"> rostly v 1. pololetí nejvyšším tempem od roku 2007</w:t>
            </w:r>
          </w:p>
        </w:tc>
        <w:tc>
          <w:tcPr>
            <w:tcW w:w="142" w:type="pct"/>
          </w:tcPr>
          <w:p w:rsidR="000F74B6" w:rsidRPr="00F77F65" w:rsidRDefault="000F74B6" w:rsidP="00AF5D62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</w:rPr>
            </w:pPr>
          </w:p>
        </w:tc>
        <w:tc>
          <w:tcPr>
            <w:tcW w:w="3804" w:type="pct"/>
          </w:tcPr>
          <w:p w:rsidR="000F74B6" w:rsidRPr="00952517" w:rsidRDefault="000F74B6" w:rsidP="00AF5D62">
            <w:pPr>
              <w:pStyle w:val="Textpoznpodarou"/>
              <w:jc w:val="both"/>
              <w:rPr>
                <w:rFonts w:cs="Arial"/>
                <w:spacing w:val="-4"/>
              </w:rPr>
            </w:pPr>
            <w:r w:rsidRPr="00952517">
              <w:rPr>
                <w:rFonts w:cs="Arial"/>
                <w:color w:val="0D0D0D" w:themeColor="text1" w:themeTint="F2"/>
                <w:spacing w:val="-4"/>
              </w:rPr>
              <w:t xml:space="preserve">Celostátní výběr daně z příjmu fyzických osob (DPFO) ze závislé činnosti posílil o vysokých 10,7 %, v samotném 2. čtvrtletí 2016 činil meziroční růst dokonce 13,3 %. Plně reflektoval velmi dobrou situaci pracovního trhu v podobě výrazného růstu průměrných mezd i rekordního počtu zaměstnanců. </w:t>
            </w:r>
            <w:r w:rsidRPr="00952517">
              <w:rPr>
                <w:rFonts w:cs="Arial"/>
                <w:spacing w:val="-4"/>
              </w:rPr>
              <w:t>Vývoj ekonomiky i legislativní změny</w:t>
            </w:r>
            <w:r w:rsidRPr="00952517">
              <w:rPr>
                <w:rStyle w:val="Znakapoznpodarou"/>
                <w:spacing w:val="-4"/>
              </w:rPr>
              <w:footnoteReference w:id="3"/>
            </w:r>
            <w:r w:rsidRPr="00952517">
              <w:rPr>
                <w:rFonts w:cs="Arial"/>
                <w:spacing w:val="-4"/>
              </w:rPr>
              <w:t xml:space="preserve"> podpořily výběr DPFO placené na základě přiznání – na konci pololetí (po zohlednění pravidelných vratek) byl výsledek meziroč</w:t>
            </w:r>
            <w:r>
              <w:rPr>
                <w:rFonts w:cs="Arial"/>
                <w:spacing w:val="-4"/>
              </w:rPr>
              <w:t>ně o 3,7 mld. korun příznivější. C</w:t>
            </w:r>
            <w:r w:rsidRPr="00952517">
              <w:rPr>
                <w:rFonts w:cs="Arial"/>
                <w:spacing w:val="-4"/>
              </w:rPr>
              <w:t>elkový výběr se poprvé za posledních šest let přehoupl do kladných hodnot. Naopak jen velmi mírně se zatím meziročně navýšilo inkaso DPFO z kapitálových výnosů. Z ostatních daní získal SR významnější prostředky z daně z nabytí nemovitých v</w:t>
            </w:r>
            <w:r>
              <w:rPr>
                <w:rFonts w:cs="Arial"/>
                <w:spacing w:val="-4"/>
              </w:rPr>
              <w:t>ěcí, jejíž svižný růst (+</w:t>
            </w:r>
            <w:r w:rsidRPr="00952517">
              <w:rPr>
                <w:rFonts w:cs="Arial"/>
                <w:spacing w:val="-4"/>
              </w:rPr>
              <w:t>1</w:t>
            </w:r>
            <w:r>
              <w:rPr>
                <w:rFonts w:cs="Arial"/>
                <w:spacing w:val="-4"/>
              </w:rPr>
              <w:t>,1</w:t>
            </w:r>
            <w:r w:rsidRPr="00952517">
              <w:rPr>
                <w:rFonts w:cs="Arial"/>
                <w:spacing w:val="-4"/>
              </w:rPr>
              <w:t xml:space="preserve"> mld. ko</w:t>
            </w:r>
            <w:r>
              <w:rPr>
                <w:rFonts w:cs="Arial"/>
                <w:spacing w:val="-4"/>
              </w:rPr>
              <w:t>run, podobně jako vloni</w:t>
            </w:r>
            <w:r w:rsidRPr="00952517">
              <w:rPr>
                <w:rFonts w:cs="Arial"/>
                <w:spacing w:val="-4"/>
              </w:rPr>
              <w:t>) dokládal oživení realitního trhu.</w:t>
            </w:r>
          </w:p>
          <w:p w:rsidR="000F74B6" w:rsidRPr="00952517" w:rsidRDefault="000F74B6" w:rsidP="00AF5D62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  <w:sz w:val="15"/>
                <w:szCs w:val="15"/>
              </w:rPr>
            </w:pPr>
          </w:p>
        </w:tc>
      </w:tr>
      <w:tr w:rsidR="000F74B6" w:rsidRPr="00A90EFD" w:rsidTr="00AF5D62">
        <w:tc>
          <w:tcPr>
            <w:tcW w:w="1054" w:type="pct"/>
          </w:tcPr>
          <w:p w:rsidR="000F74B6" w:rsidRPr="00F745A4" w:rsidRDefault="000F74B6" w:rsidP="00AF5D62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Příjmy SR z EU meziročně o sedminu oslabily, ale celoroční rozpočtem očekávanou částku překonaly již během května</w:t>
            </w:r>
          </w:p>
        </w:tc>
        <w:tc>
          <w:tcPr>
            <w:tcW w:w="142" w:type="pct"/>
          </w:tcPr>
          <w:p w:rsidR="000F74B6" w:rsidRPr="00782BA5" w:rsidRDefault="000F74B6" w:rsidP="00AF5D62">
            <w:pPr>
              <w:pStyle w:val="Textpoznpodarou"/>
              <w:jc w:val="both"/>
              <w:rPr>
                <w:rFonts w:cs="Arial"/>
                <w:color w:val="000000" w:themeColor="text1"/>
                <w:spacing w:val="-4"/>
              </w:rPr>
            </w:pPr>
          </w:p>
        </w:tc>
        <w:tc>
          <w:tcPr>
            <w:tcW w:w="3804" w:type="pct"/>
          </w:tcPr>
          <w:p w:rsidR="000F74B6" w:rsidRPr="00952517" w:rsidRDefault="000F74B6" w:rsidP="00AF5D62">
            <w:pPr>
              <w:pStyle w:val="Textpoznpodarou"/>
              <w:jc w:val="both"/>
              <w:rPr>
                <w:rFonts w:cs="Arial"/>
                <w:color w:val="000000" w:themeColor="text1"/>
                <w:spacing w:val="-4"/>
              </w:rPr>
            </w:pPr>
            <w:r w:rsidRPr="005453DB">
              <w:rPr>
                <w:rFonts w:cs="Arial"/>
                <w:color w:val="000000" w:themeColor="text1"/>
                <w:spacing w:val="-4"/>
              </w:rPr>
              <w:t>SR získal v 1. pololetí na příjmech z EU (z drtivé většiny ještě</w:t>
            </w:r>
            <w:r w:rsidR="009B2C0E">
              <w:rPr>
                <w:rFonts w:cs="Arial"/>
                <w:color w:val="000000" w:themeColor="text1"/>
                <w:spacing w:val="-4"/>
              </w:rPr>
              <w:t xml:space="preserve"> vázaných na minulé programové</w:t>
            </w:r>
            <w:r w:rsidRPr="005453DB">
              <w:rPr>
                <w:rFonts w:cs="Arial"/>
                <w:color w:val="000000" w:themeColor="text1"/>
                <w:spacing w:val="-4"/>
              </w:rPr>
              <w:t xml:space="preserve"> období) 115,5 mld. korun. Byť jejich výše meziročně poklesla (o 14 %), celoroční</w:t>
            </w:r>
            <w:r w:rsidR="00744D2B">
              <w:rPr>
                <w:rFonts w:cs="Arial"/>
                <w:color w:val="000000" w:themeColor="text1"/>
                <w:spacing w:val="-4"/>
              </w:rPr>
              <w:t>m</w:t>
            </w:r>
            <w:r w:rsidRPr="00952517">
              <w:rPr>
                <w:rFonts w:cs="Arial"/>
                <w:color w:val="000000" w:themeColor="text1"/>
                <w:spacing w:val="-4"/>
              </w:rPr>
              <w:t xml:space="preserve"> rozpočtem očekávanou částku již přesáhla o více než 20 mld. korun. Celková čistá pozice ČR vůči rozpočtu EU činila 66,6 mld.</w:t>
            </w:r>
            <w:r w:rsidR="00744D2B">
              <w:rPr>
                <w:rFonts w:cs="Arial"/>
                <w:color w:val="000000" w:themeColor="text1"/>
                <w:spacing w:val="-4"/>
              </w:rPr>
              <w:t xml:space="preserve"> korun. Dosáhla zhruba pouze</w:t>
            </w:r>
            <w:r w:rsidRPr="00952517">
              <w:rPr>
                <w:rFonts w:cs="Arial"/>
                <w:color w:val="000000" w:themeColor="text1"/>
                <w:spacing w:val="-4"/>
              </w:rPr>
              <w:t xml:space="preserve"> </w:t>
            </w:r>
            <w:r>
              <w:rPr>
                <w:rFonts w:cs="Arial"/>
                <w:color w:val="000000" w:themeColor="text1"/>
                <w:spacing w:val="-4"/>
              </w:rPr>
              <w:t>poloviny rekordní loňské úrovně. P</w:t>
            </w:r>
            <w:r w:rsidRPr="00952517">
              <w:rPr>
                <w:rFonts w:cs="Arial"/>
                <w:color w:val="000000" w:themeColor="text1"/>
                <w:spacing w:val="-4"/>
              </w:rPr>
              <w:t>roti 1. pololetí 2014 však byla o 10 mld. korun vyšší. Za meziročně s</w:t>
            </w:r>
            <w:r>
              <w:rPr>
                <w:rFonts w:cs="Arial"/>
                <w:color w:val="000000" w:themeColor="text1"/>
                <w:spacing w:val="-4"/>
              </w:rPr>
              <w:t xml:space="preserve">labším výsledkem stál </w:t>
            </w:r>
            <w:r w:rsidR="00744D2B">
              <w:rPr>
                <w:rFonts w:cs="Arial"/>
                <w:color w:val="000000" w:themeColor="text1"/>
                <w:spacing w:val="-4"/>
              </w:rPr>
              <w:t xml:space="preserve">letos </w:t>
            </w:r>
            <w:r>
              <w:rPr>
                <w:rFonts w:cs="Arial"/>
                <w:color w:val="000000" w:themeColor="text1"/>
                <w:spacing w:val="-4"/>
              </w:rPr>
              <w:t>hlavně</w:t>
            </w:r>
            <w:r w:rsidRPr="00952517">
              <w:rPr>
                <w:rFonts w:cs="Arial"/>
                <w:color w:val="000000" w:themeColor="text1"/>
                <w:spacing w:val="-4"/>
              </w:rPr>
              <w:t xml:space="preserve"> </w:t>
            </w:r>
            <w:r>
              <w:rPr>
                <w:rFonts w:cs="Arial"/>
                <w:color w:val="000000" w:themeColor="text1"/>
                <w:spacing w:val="-4"/>
              </w:rPr>
              <w:t xml:space="preserve">výrazně </w:t>
            </w:r>
            <w:r w:rsidRPr="00952517">
              <w:rPr>
                <w:rFonts w:cs="Arial"/>
                <w:color w:val="000000" w:themeColor="text1"/>
                <w:spacing w:val="-4"/>
              </w:rPr>
              <w:t xml:space="preserve">nižší příliv </w:t>
            </w:r>
            <w:r w:rsidRPr="00952517">
              <w:rPr>
                <w:rFonts w:cs="Arial"/>
                <w:color w:val="000000" w:themeColor="text1"/>
                <w:spacing w:val="-4"/>
              </w:rPr>
              <w:lastRenderedPageBreak/>
              <w:t xml:space="preserve">financí ze strukturálních fondů (o </w:t>
            </w:r>
            <w:r w:rsidR="00744D2B">
              <w:rPr>
                <w:rFonts w:cs="Arial"/>
                <w:color w:val="000000" w:themeColor="text1"/>
                <w:spacing w:val="-4"/>
              </w:rPr>
              <w:t xml:space="preserve">téměř </w:t>
            </w:r>
            <w:r w:rsidRPr="00952517">
              <w:rPr>
                <w:rFonts w:cs="Arial"/>
                <w:color w:val="000000" w:themeColor="text1"/>
                <w:spacing w:val="-4"/>
              </w:rPr>
              <w:t>dvě třetiny), naopak přím</w:t>
            </w:r>
            <w:r>
              <w:rPr>
                <w:rFonts w:cs="Arial"/>
                <w:color w:val="000000" w:themeColor="text1"/>
                <w:spacing w:val="-4"/>
              </w:rPr>
              <w:t>é platby do zeměd</w:t>
            </w:r>
            <w:r w:rsidR="00744D2B">
              <w:rPr>
                <w:rFonts w:cs="Arial"/>
                <w:color w:val="000000" w:themeColor="text1"/>
                <w:spacing w:val="-4"/>
              </w:rPr>
              <w:t xml:space="preserve">ělství </w:t>
            </w:r>
            <w:r>
              <w:rPr>
                <w:rFonts w:cs="Arial"/>
                <w:color w:val="000000" w:themeColor="text1"/>
                <w:spacing w:val="-4"/>
              </w:rPr>
              <w:t>kles</w:t>
            </w:r>
            <w:r w:rsidRPr="00952517">
              <w:rPr>
                <w:rFonts w:cs="Arial"/>
                <w:color w:val="000000" w:themeColor="text1"/>
                <w:spacing w:val="-4"/>
              </w:rPr>
              <w:t xml:space="preserve">ly mírněji – </w:t>
            </w:r>
            <w:r>
              <w:rPr>
                <w:rFonts w:cs="Arial"/>
                <w:color w:val="000000" w:themeColor="text1"/>
                <w:spacing w:val="-4"/>
              </w:rPr>
              <w:t>o</w:t>
            </w:r>
            <w:r w:rsidRPr="00952517">
              <w:rPr>
                <w:rFonts w:cs="Arial"/>
                <w:color w:val="000000" w:themeColor="text1"/>
                <w:spacing w:val="-4"/>
              </w:rPr>
              <w:t xml:space="preserve"> </w:t>
            </w:r>
            <w:r w:rsidR="00744D2B">
              <w:rPr>
                <w:rFonts w:cs="Arial"/>
                <w:color w:val="000000" w:themeColor="text1"/>
                <w:spacing w:val="-4"/>
              </w:rPr>
              <w:t xml:space="preserve">necelou </w:t>
            </w:r>
            <w:r w:rsidRPr="00952517">
              <w:rPr>
                <w:rFonts w:cs="Arial"/>
                <w:color w:val="000000" w:themeColor="text1"/>
                <w:spacing w:val="-4"/>
              </w:rPr>
              <w:t>čtvrtinu.</w:t>
            </w:r>
          </w:p>
          <w:p w:rsidR="000F74B6" w:rsidRPr="00952517" w:rsidRDefault="000F74B6" w:rsidP="00AF5D62">
            <w:pPr>
              <w:pStyle w:val="Textpoznpodarou"/>
              <w:jc w:val="both"/>
              <w:rPr>
                <w:rFonts w:cs="Arial"/>
                <w:color w:val="000000" w:themeColor="text1"/>
                <w:spacing w:val="-4"/>
                <w:sz w:val="15"/>
                <w:szCs w:val="15"/>
              </w:rPr>
            </w:pPr>
          </w:p>
        </w:tc>
      </w:tr>
      <w:tr w:rsidR="000F74B6" w:rsidRPr="00A90EFD" w:rsidTr="00AF5D62">
        <w:tc>
          <w:tcPr>
            <w:tcW w:w="1054" w:type="pct"/>
          </w:tcPr>
          <w:p w:rsidR="000F74B6" w:rsidRDefault="000F74B6" w:rsidP="00AF5D62">
            <w:pPr>
              <w:spacing w:line="240" w:lineRule="auto"/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</w:pPr>
            <w:r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  <w:lastRenderedPageBreak/>
              <w:t>Kapitálové výdaje v souladu s rozpočtovým očekáváním meziročně prudce poklesly, jejich objem byl třetí nejnižší po roce 2007</w:t>
            </w:r>
          </w:p>
          <w:p w:rsidR="000F74B6" w:rsidRDefault="000F74B6" w:rsidP="00AF5D62">
            <w:pPr>
              <w:spacing w:line="240" w:lineRule="auto"/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</w:pPr>
          </w:p>
          <w:p w:rsidR="000F74B6" w:rsidRPr="006E7FAA" w:rsidRDefault="000F74B6" w:rsidP="00AF5D62">
            <w:pPr>
              <w:spacing w:line="240" w:lineRule="auto"/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Alokace investic SR určených na rozvojové projekty v novém programovacím období zůstává zatím velmi nízká</w:t>
            </w:r>
          </w:p>
        </w:tc>
        <w:tc>
          <w:tcPr>
            <w:tcW w:w="142" w:type="pct"/>
          </w:tcPr>
          <w:p w:rsidR="000F74B6" w:rsidRPr="00A90EFD" w:rsidRDefault="000F74B6" w:rsidP="00AF5D62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3804" w:type="pct"/>
          </w:tcPr>
          <w:p w:rsidR="000F74B6" w:rsidRPr="00952517" w:rsidRDefault="000F74B6" w:rsidP="00AF5D62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</w:rPr>
            </w:pPr>
            <w:r w:rsidRPr="00952517">
              <w:rPr>
                <w:rFonts w:cs="Arial"/>
                <w:color w:val="0D0D0D" w:themeColor="text1" w:themeTint="F2"/>
                <w:spacing w:val="-4"/>
              </w:rPr>
              <w:t>Celkové výdaje SR se snížily o 0,5 %. V rámci 1. pololetí šlo teprve o druhý meziroční pokles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po roce 2000. Na </w:t>
            </w:r>
            <w:r w:rsidRPr="00952517">
              <w:rPr>
                <w:rFonts w:cs="Arial"/>
                <w:color w:val="0D0D0D" w:themeColor="text1" w:themeTint="F2"/>
                <w:spacing w:val="-4"/>
              </w:rPr>
              <w:t xml:space="preserve">rozdíl od roku 2011 však ten letošní probíhal v období stabilního hospodářského růstu a zároveň byl i rozpočtově očekávaný. Důvodem byl propad investic, jejichž výše dosáhla 39,1 mld. korun a přiblížila se </w:t>
            </w:r>
            <w:r w:rsidR="009B2C0E">
              <w:rPr>
                <w:rFonts w:cs="Arial"/>
                <w:color w:val="0D0D0D" w:themeColor="text1" w:themeTint="F2"/>
                <w:spacing w:val="-4"/>
              </w:rPr>
              <w:t xml:space="preserve">tak </w:t>
            </w:r>
            <w:r w:rsidRPr="00952517">
              <w:rPr>
                <w:rFonts w:cs="Arial"/>
                <w:color w:val="0D0D0D" w:themeColor="text1" w:themeTint="F2"/>
                <w:spacing w:val="-4"/>
              </w:rPr>
              <w:t>úrovni z let 2012-2013, kdy byly veřejné výdaje silně ovlivňovány restriktivními opatřeními. Dvě třetiny letošních investic se týkaly společných programů Česka a EU, v drtivé většině však by</w:t>
            </w:r>
            <w:r w:rsidR="009B2C0E">
              <w:rPr>
                <w:rFonts w:cs="Arial"/>
                <w:color w:val="0D0D0D" w:themeColor="text1" w:themeTint="F2"/>
                <w:spacing w:val="-4"/>
              </w:rPr>
              <w:t>ly ještě spojeny s programovým obdobím 2007</w:t>
            </w:r>
            <w:r w:rsidR="009B2C0E" w:rsidRPr="00952517">
              <w:rPr>
                <w:rFonts w:cs="Arial"/>
                <w:color w:val="000000" w:themeColor="text1"/>
                <w:spacing w:val="-4"/>
              </w:rPr>
              <w:t>–</w:t>
            </w:r>
            <w:r w:rsidRPr="00952517">
              <w:rPr>
                <w:rFonts w:cs="Arial"/>
                <w:color w:val="0D0D0D" w:themeColor="text1" w:themeTint="F2"/>
                <w:spacing w:val="-4"/>
              </w:rPr>
              <w:t>13. Příčinou byla nižší celkov</w:t>
            </w:r>
            <w:r>
              <w:rPr>
                <w:rFonts w:cs="Arial"/>
                <w:color w:val="0D0D0D" w:themeColor="text1" w:themeTint="F2"/>
                <w:spacing w:val="-4"/>
              </w:rPr>
              <w:t>á připravenost větších (</w:t>
            </w:r>
            <w:r w:rsidRPr="00952517">
              <w:rPr>
                <w:rFonts w:cs="Arial"/>
                <w:color w:val="0D0D0D" w:themeColor="text1" w:themeTint="F2"/>
                <w:spacing w:val="-4"/>
              </w:rPr>
              <w:t>dopravních</w:t>
            </w:r>
            <w:r>
              <w:rPr>
                <w:rFonts w:cs="Arial"/>
                <w:color w:val="0D0D0D" w:themeColor="text1" w:themeTint="F2"/>
                <w:spacing w:val="-4"/>
              </w:rPr>
              <w:t>) projektů</w:t>
            </w:r>
            <w:r w:rsidR="009B2C0E">
              <w:rPr>
                <w:rFonts w:cs="Arial"/>
                <w:color w:val="0D0D0D" w:themeColor="text1" w:themeTint="F2"/>
                <w:spacing w:val="-4"/>
              </w:rPr>
              <w:t xml:space="preserve"> na počátku nového programové</w:t>
            </w:r>
            <w:r w:rsidRPr="00952517">
              <w:rPr>
                <w:rFonts w:cs="Arial"/>
                <w:color w:val="0D0D0D" w:themeColor="text1" w:themeTint="F2"/>
                <w:spacing w:val="-4"/>
              </w:rPr>
              <w:t>ho období</w:t>
            </w:r>
            <w:r w:rsidRPr="00952517">
              <w:rPr>
                <w:rStyle w:val="Znakapoznpodarou"/>
                <w:color w:val="0D0D0D" w:themeColor="text1" w:themeTint="F2"/>
                <w:spacing w:val="-4"/>
              </w:rPr>
              <w:footnoteReference w:id="4"/>
            </w:r>
            <w:r w:rsidR="009B2C0E">
              <w:rPr>
                <w:rFonts w:cs="Arial"/>
                <w:color w:val="0D0D0D" w:themeColor="text1" w:themeTint="F2"/>
                <w:spacing w:val="-4"/>
              </w:rPr>
              <w:t>. Na celkových výdajích státu</w:t>
            </w:r>
            <w:r w:rsidRPr="00952517">
              <w:rPr>
                <w:rFonts w:cs="Arial"/>
                <w:color w:val="0D0D0D" w:themeColor="text1" w:themeTint="F2"/>
                <w:spacing w:val="-4"/>
              </w:rPr>
              <w:t xml:space="preserve"> se letos dosud investice podílely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6,4 %.</w:t>
            </w:r>
            <w:r w:rsidRPr="00952517"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</w:p>
          <w:p w:rsidR="000F74B6" w:rsidRPr="00952517" w:rsidRDefault="000F74B6" w:rsidP="00AF5D62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  <w:sz w:val="15"/>
                <w:szCs w:val="15"/>
              </w:rPr>
            </w:pPr>
          </w:p>
        </w:tc>
      </w:tr>
      <w:tr w:rsidR="000F74B6" w:rsidRPr="00A90EFD" w:rsidTr="00AF5D62">
        <w:tc>
          <w:tcPr>
            <w:tcW w:w="1054" w:type="pct"/>
          </w:tcPr>
          <w:p w:rsidR="000F74B6" w:rsidRPr="00EB0A9A" w:rsidRDefault="000F74B6" w:rsidP="00AF5D62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  <w:r w:rsidRPr="00EB0A9A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Výdaje n</w:t>
            </w:r>
            <w:r w:rsidR="00867464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a důchody rostly nejvyšší</w:t>
            </w:r>
            <w:r w:rsidRPr="00EB0A9A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 xml:space="preserve">m tempem za posledních pět let, díky silnému růstu výběru pojistného </w:t>
            </w: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 xml:space="preserve">(+5,2 %) se </w:t>
            </w:r>
            <w:r w:rsidRPr="00EB0A9A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 xml:space="preserve">však deficit důchodového účtu </w:t>
            </w: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 xml:space="preserve">i </w:t>
            </w:r>
            <w:r w:rsidRPr="00EB0A9A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 xml:space="preserve">nadále zmírňoval </w:t>
            </w:r>
          </w:p>
        </w:tc>
        <w:tc>
          <w:tcPr>
            <w:tcW w:w="142" w:type="pct"/>
          </w:tcPr>
          <w:p w:rsidR="000F74B6" w:rsidRPr="00A90EFD" w:rsidRDefault="000F74B6" w:rsidP="00AF5D62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3804" w:type="pct"/>
          </w:tcPr>
          <w:p w:rsidR="000F74B6" w:rsidRDefault="000F74B6" w:rsidP="00AF5D62">
            <w:pPr>
              <w:pStyle w:val="Textpoznpodarou"/>
              <w:jc w:val="both"/>
              <w:rPr>
                <w:rFonts w:cs="Arial"/>
                <w:color w:val="000000" w:themeColor="text1"/>
                <w:spacing w:val="-4"/>
              </w:rPr>
            </w:pPr>
            <w:r>
              <w:rPr>
                <w:rFonts w:cs="Arial"/>
                <w:color w:val="0D0D0D" w:themeColor="text1" w:themeTint="F2"/>
                <w:spacing w:val="-4"/>
              </w:rPr>
              <w:t>Tempo růstu běžných výdajů</w:t>
            </w:r>
            <w:r w:rsidRPr="00593595">
              <w:rPr>
                <w:rFonts w:cs="Arial"/>
                <w:color w:val="0D0D0D" w:themeColor="text1" w:themeTint="F2"/>
                <w:spacing w:val="-4"/>
              </w:rPr>
              <w:t xml:space="preserve"> SR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(2,1 %) se pohybovalo v intencích posledních pěti let, o vyšší výdaje se tradičně nejvíce zasloužily sociá</w:t>
            </w:r>
            <w:r w:rsidR="00867464">
              <w:rPr>
                <w:rFonts w:cs="Arial"/>
                <w:color w:val="0D0D0D" w:themeColor="text1" w:themeTint="F2"/>
                <w:spacing w:val="-4"/>
              </w:rPr>
              <w:t>lní dávky (meziročně vyšší o 10 </w:t>
            </w:r>
            <w:r>
              <w:rPr>
                <w:rFonts w:cs="Arial"/>
                <w:color w:val="0D0D0D" w:themeColor="text1" w:themeTint="F2"/>
                <w:spacing w:val="-4"/>
              </w:rPr>
              <w:t>mld. korun). Více n</w:t>
            </w:r>
            <w:r w:rsidR="00867464">
              <w:rPr>
                <w:rFonts w:cs="Arial"/>
                <w:color w:val="0D0D0D" w:themeColor="text1" w:themeTint="F2"/>
                <w:spacing w:val="-4"/>
              </w:rPr>
              <w:t>ež tři čtvrtiny z nich směřovaly na důchody, které rostly o 4,8 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%, nejvyšším tempem za posledních pět let. Projevil se zde vliv </w:t>
            </w:r>
            <w:r w:rsidRPr="00741F3C">
              <w:rPr>
                <w:rFonts w:cs="Arial"/>
                <w:color w:val="0D0D0D" w:themeColor="text1" w:themeTint="F2"/>
                <w:spacing w:val="-4"/>
              </w:rPr>
              <w:t>jednorázového únorového příspěvku (1</w:t>
            </w:r>
            <w:r w:rsidRPr="00741F3C">
              <w:rPr>
                <w:rFonts w:cs="Arial"/>
                <w:color w:val="000000" w:themeColor="text1"/>
                <w:spacing w:val="-4"/>
              </w:rPr>
              <w:t> </w:t>
            </w:r>
            <w:r w:rsidRPr="00741F3C">
              <w:rPr>
                <w:rFonts w:cs="Arial"/>
                <w:color w:val="0D0D0D" w:themeColor="text1" w:themeTint="F2"/>
                <w:spacing w:val="-4"/>
              </w:rPr>
              <w:t xml:space="preserve">200 korun) nad rámec standardní valorizace 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(opětovně platné od ledna 2015) a zčásti i rostoucí počet příjemců (+0,7 %, po třech letech stagnace). </w:t>
            </w:r>
            <w:r w:rsidRPr="00741F3C">
              <w:rPr>
                <w:rFonts w:cs="Arial"/>
                <w:color w:val="000000" w:themeColor="text1"/>
                <w:spacing w:val="-4"/>
              </w:rPr>
              <w:t xml:space="preserve">Deficit salda důchodového účtu (rozdíl mezi příjmy a výdaji na důchody ze SR) </w:t>
            </w:r>
            <w:r>
              <w:rPr>
                <w:rFonts w:cs="Arial"/>
                <w:color w:val="000000" w:themeColor="text1"/>
                <w:spacing w:val="-4"/>
              </w:rPr>
              <w:t xml:space="preserve">činil za 1. pololetí 11,2 </w:t>
            </w:r>
            <w:r w:rsidRPr="00741F3C">
              <w:rPr>
                <w:rFonts w:cs="Arial"/>
                <w:color w:val="000000" w:themeColor="text1"/>
                <w:spacing w:val="-4"/>
              </w:rPr>
              <w:t>mld. korun</w:t>
            </w:r>
            <w:r>
              <w:rPr>
                <w:rFonts w:cs="Arial"/>
                <w:color w:val="000000" w:themeColor="text1"/>
                <w:spacing w:val="-4"/>
              </w:rPr>
              <w:t xml:space="preserve"> </w:t>
            </w:r>
            <w:r w:rsidRPr="00741F3C">
              <w:rPr>
                <w:rFonts w:cs="Arial"/>
                <w:color w:val="000000" w:themeColor="text1"/>
                <w:spacing w:val="-4"/>
              </w:rPr>
              <w:t>a byl již meziročně opět příznivější</w:t>
            </w:r>
            <w:r w:rsidR="00867464">
              <w:rPr>
                <w:rFonts w:cs="Arial"/>
                <w:color w:val="000000" w:themeColor="text1"/>
                <w:spacing w:val="-4"/>
              </w:rPr>
              <w:t>,</w:t>
            </w:r>
            <w:r>
              <w:rPr>
                <w:rFonts w:cs="Arial"/>
                <w:color w:val="000000" w:themeColor="text1"/>
                <w:spacing w:val="-4"/>
              </w:rPr>
              <w:t xml:space="preserve"> již popáté v řadě.</w:t>
            </w:r>
          </w:p>
          <w:p w:rsidR="000F74B6" w:rsidRPr="007E721A" w:rsidRDefault="000F74B6" w:rsidP="00AF5D62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  <w:sz w:val="15"/>
                <w:szCs w:val="15"/>
              </w:rPr>
            </w:pPr>
          </w:p>
        </w:tc>
      </w:tr>
      <w:tr w:rsidR="000F74B6" w:rsidRPr="00A90EFD" w:rsidTr="00AF5D62">
        <w:tc>
          <w:tcPr>
            <w:tcW w:w="1054" w:type="pct"/>
          </w:tcPr>
          <w:p w:rsidR="000F74B6" w:rsidRDefault="000F74B6" w:rsidP="00AF5D62">
            <w:pPr>
              <w:spacing w:line="240" w:lineRule="auto"/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</w:pPr>
            <w:r w:rsidRPr="002D3E5C"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  <w:t>Výdaje na ostatní sociální dávky rostly již čtvrtý rok v</w:t>
            </w:r>
            <w:r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  <w:t> </w:t>
            </w:r>
            <w:r w:rsidRPr="002D3E5C"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  <w:t>řadě</w:t>
            </w:r>
            <w:r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  <w:t>, zejména vlivem nemocenských dávek a zčásti i příspěvků na péči (pro dlouhodobě těžce nemocné)…</w:t>
            </w:r>
          </w:p>
          <w:p w:rsidR="000F74B6" w:rsidRDefault="000F74B6" w:rsidP="00AF5D62">
            <w:pPr>
              <w:spacing w:line="240" w:lineRule="auto"/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</w:pPr>
          </w:p>
          <w:p w:rsidR="000F74B6" w:rsidRDefault="000F74B6" w:rsidP="00AF5D62">
            <w:pPr>
              <w:spacing w:line="240" w:lineRule="auto"/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</w:pPr>
          </w:p>
          <w:p w:rsidR="000F74B6" w:rsidRDefault="000F74B6" w:rsidP="00AF5D62">
            <w:pPr>
              <w:spacing w:line="240" w:lineRule="auto"/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</w:pPr>
          </w:p>
          <w:p w:rsidR="000F74B6" w:rsidRDefault="000F74B6" w:rsidP="00AF5D62">
            <w:pPr>
              <w:spacing w:line="240" w:lineRule="auto"/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</w:pPr>
          </w:p>
          <w:p w:rsidR="000F74B6" w:rsidRPr="002D3E5C" w:rsidRDefault="000F74B6" w:rsidP="00AF5D62">
            <w:pPr>
              <w:spacing w:line="240" w:lineRule="auto"/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  <w:t>…naopak pokles výdajů na dávky hmotné nouze se prohloubil</w:t>
            </w:r>
          </w:p>
        </w:tc>
        <w:tc>
          <w:tcPr>
            <w:tcW w:w="142" w:type="pct"/>
          </w:tcPr>
          <w:p w:rsidR="000F74B6" w:rsidRPr="00A90EFD" w:rsidRDefault="000F74B6" w:rsidP="00AF5D62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3804" w:type="pct"/>
          </w:tcPr>
          <w:p w:rsidR="000F74B6" w:rsidRPr="005071F2" w:rsidRDefault="000F74B6" w:rsidP="00AF5D62">
            <w:pPr>
              <w:pStyle w:val="Textpoznpodarou"/>
              <w:jc w:val="both"/>
              <w:rPr>
                <w:rFonts w:cs="Arial"/>
                <w:color w:val="000000" w:themeColor="text1"/>
                <w:spacing w:val="-4"/>
              </w:rPr>
            </w:pPr>
            <w:r>
              <w:rPr>
                <w:rFonts w:cs="Arial"/>
                <w:color w:val="0D0D0D" w:themeColor="text1" w:themeTint="F2"/>
                <w:spacing w:val="-4"/>
              </w:rPr>
              <w:t xml:space="preserve">Na ostatních sociálních dávkách (tj. bez důchodů) vyplatil stát 57,6 mld. korun, meziročně o 1,9 % více. Vliv růstu ekonomiky se projevil diferencovaně, u některých dávek byl zastíněn jejich legislativními změnami. Dále klesaly vyplacené dávky </w:t>
            </w:r>
            <w:r w:rsidRPr="00494889">
              <w:rPr>
                <w:rFonts w:cs="Arial"/>
                <w:color w:val="0D0D0D" w:themeColor="text1" w:themeTint="F2"/>
                <w:spacing w:val="-4"/>
              </w:rPr>
              <w:t>nezaměstnaným (-3 %), ale výrazně nižším tempem než loni, neboť počet příjemců této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podpory stagnoval, na rozdíl od všech registrovaných uchazečů o práci (-15 %). </w:t>
            </w:r>
            <w:r w:rsidRPr="00494889">
              <w:rPr>
                <w:rFonts w:cs="Arial"/>
                <w:color w:val="0D0D0D" w:themeColor="text1" w:themeTint="F2"/>
                <w:spacing w:val="-2"/>
              </w:rPr>
              <w:t>Prohloubil se naopak meziroční pokles u dávek hmotné nouze (z loňských -4,7 % na -</w:t>
            </w:r>
            <w:r>
              <w:rPr>
                <w:rFonts w:cs="Arial"/>
                <w:color w:val="0D0D0D" w:themeColor="text1" w:themeTint="F2"/>
                <w:spacing w:val="-4"/>
              </w:rPr>
              <w:t>11,6 %). Objemově významné dávky státní sociální podpory stagnovaly. Přetrvával dlouhodobý růst příspěvků na péči a především dávek nemocenského pojištění (o</w:t>
            </w:r>
            <w:r w:rsidRPr="00952517"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>9,2</w:t>
            </w:r>
            <w:r w:rsidRPr="00952517"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%), </w:t>
            </w:r>
            <w:r w:rsidRPr="00741F3C">
              <w:rPr>
                <w:rFonts w:cs="Arial"/>
                <w:color w:val="000000" w:themeColor="text1"/>
                <w:spacing w:val="-4"/>
              </w:rPr>
              <w:t>a to vlivem legislativních opatření (opětovného vyplácení n</w:t>
            </w:r>
            <w:r>
              <w:rPr>
                <w:rFonts w:cs="Arial"/>
                <w:color w:val="000000" w:themeColor="text1"/>
                <w:spacing w:val="-4"/>
              </w:rPr>
              <w:t xml:space="preserve">emocenské již od 15. dne), růstu pracovní neschopnosti i vyššího čerpání </w:t>
            </w:r>
            <w:r w:rsidRPr="00494889">
              <w:rPr>
                <w:rFonts w:cs="Arial"/>
                <w:color w:val="0D0D0D" w:themeColor="text1" w:themeTint="F2"/>
                <w:spacing w:val="-4"/>
              </w:rPr>
              <w:t>peněžité pomoci v mateřství.</w:t>
            </w:r>
            <w:r>
              <w:rPr>
                <w:rFonts w:cs="Arial"/>
                <w:color w:val="000000" w:themeColor="text1"/>
                <w:spacing w:val="-4"/>
              </w:rPr>
              <w:t xml:space="preserve"> </w:t>
            </w:r>
            <w:r w:rsidRPr="005071F2">
              <w:rPr>
                <w:rFonts w:cs="Arial"/>
                <w:bCs/>
                <w:iCs/>
                <w:color w:val="000000" w:themeColor="text1"/>
                <w:spacing w:val="-4"/>
              </w:rPr>
              <w:t xml:space="preserve">Přestože výdaje na dávky nemocenského </w:t>
            </w:r>
            <w:r w:rsidRPr="00494889">
              <w:rPr>
                <w:rFonts w:cs="Arial"/>
                <w:bCs/>
                <w:iCs/>
                <w:color w:val="0D0D0D" w:themeColor="text1" w:themeTint="F2"/>
                <w:spacing w:val="-4"/>
              </w:rPr>
              <w:t>pojištění dosáhly letos maxima po</w:t>
            </w:r>
            <w:r w:rsidRPr="005071F2">
              <w:rPr>
                <w:rFonts w:cs="Arial"/>
                <w:bCs/>
                <w:iCs/>
                <w:color w:val="000000" w:themeColor="text1"/>
                <w:spacing w:val="-4"/>
              </w:rPr>
              <w:t xml:space="preserve"> 1.</w:t>
            </w:r>
            <w:r w:rsidRPr="00952517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5071F2">
              <w:rPr>
                <w:rFonts w:cs="Arial"/>
                <w:bCs/>
                <w:iCs/>
                <w:color w:val="000000" w:themeColor="text1"/>
                <w:spacing w:val="-4"/>
              </w:rPr>
              <w:t>pololetí 2009, byly stále o 750 mil. korun nižší než objem vybraného pojistného</w:t>
            </w:r>
            <w:r>
              <w:rPr>
                <w:rFonts w:cs="Arial"/>
                <w:bCs/>
                <w:iCs/>
                <w:color w:val="000000" w:themeColor="text1"/>
                <w:spacing w:val="-4"/>
              </w:rPr>
              <w:t>.</w:t>
            </w:r>
          </w:p>
          <w:p w:rsidR="000F74B6" w:rsidRPr="007E721A" w:rsidRDefault="000F74B6" w:rsidP="00AF5D62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  <w:sz w:val="15"/>
                <w:szCs w:val="15"/>
              </w:rPr>
            </w:pPr>
          </w:p>
        </w:tc>
      </w:tr>
      <w:tr w:rsidR="000F74B6" w:rsidRPr="00A90EFD" w:rsidTr="00AF5D62">
        <w:tc>
          <w:tcPr>
            <w:tcW w:w="1054" w:type="pct"/>
          </w:tcPr>
          <w:p w:rsidR="000F74B6" w:rsidRPr="00AE50F2" w:rsidRDefault="000F74B6" w:rsidP="00AF5D62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Pokles čistých výdajů na státní dluh se po dvou letech zastavil, jejich výše (23,8 mld. korun) b</w:t>
            </w:r>
            <w:r w:rsidR="00867464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yla přesto třetí nejnižší od</w:t>
            </w:r>
            <w:r w:rsidR="00867464"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  <w:t> </w:t>
            </w:r>
            <w:r w:rsidR="00867464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1.</w:t>
            </w:r>
            <w:r w:rsidR="00867464"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  <w:t> </w:t>
            </w: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pololetí 2008</w:t>
            </w:r>
          </w:p>
          <w:p w:rsidR="000F74B6" w:rsidRPr="00AE50F2" w:rsidRDefault="000F74B6" w:rsidP="00AF5D62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</w:p>
          <w:p w:rsidR="000F74B6" w:rsidRPr="00AE50F2" w:rsidRDefault="000F74B6" w:rsidP="00AF5D62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</w:p>
          <w:p w:rsidR="000F74B6" w:rsidRPr="00AE50F2" w:rsidRDefault="000F74B6" w:rsidP="00AF5D62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</w:p>
          <w:p w:rsidR="000F74B6" w:rsidRDefault="000F74B6" w:rsidP="00AF5D62">
            <w:pPr>
              <w:spacing w:line="240" w:lineRule="auto"/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</w:pPr>
          </w:p>
          <w:p w:rsidR="000F74B6" w:rsidRPr="00433060" w:rsidRDefault="000F74B6" w:rsidP="00AF5D62">
            <w:pPr>
              <w:spacing w:line="240" w:lineRule="auto"/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  <w:t xml:space="preserve">Stabilizace výše celkového státního dluhu pokračovala, trvala již 13 čtvrtletí v řadě </w:t>
            </w:r>
          </w:p>
        </w:tc>
        <w:tc>
          <w:tcPr>
            <w:tcW w:w="142" w:type="pct"/>
          </w:tcPr>
          <w:p w:rsidR="000F74B6" w:rsidRPr="00A90EFD" w:rsidRDefault="000F74B6" w:rsidP="00AF5D62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3804" w:type="pct"/>
          </w:tcPr>
          <w:p w:rsidR="000F74B6" w:rsidRPr="007C2701" w:rsidRDefault="000F74B6" w:rsidP="00AF5D62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</w:rPr>
            </w:pPr>
            <w:r>
              <w:rPr>
                <w:spacing w:val="-4"/>
              </w:rPr>
              <w:t xml:space="preserve">Výdaje na platy státních zaměstnanců se zvyšovaly (i přes růst </w:t>
            </w:r>
            <w:proofErr w:type="gramStart"/>
            <w:r>
              <w:rPr>
                <w:spacing w:val="-4"/>
              </w:rPr>
              <w:t xml:space="preserve">zaměstnanosti 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a</w:t>
            </w:r>
            <w:r w:rsidRPr="00952517"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spacing w:val="-4"/>
              </w:rPr>
              <w:t>platových</w:t>
            </w:r>
            <w:proofErr w:type="gramEnd"/>
            <w:r>
              <w:rPr>
                <w:spacing w:val="-4"/>
              </w:rPr>
              <w:t xml:space="preserve"> tarifů) o mírných 3,2 %. Za mírnějším růstem stála vyšší loňská základna, ve které se zčásti mohly projevit i výdaje související s přípravou na nový služební zákon. Objemově významné neinvestiční transfery územním rozpočtům posílily o</w:t>
            </w:r>
            <w:r w:rsidR="00867464"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  <w:t> </w:t>
            </w:r>
            <w:r>
              <w:rPr>
                <w:spacing w:val="-4"/>
              </w:rPr>
              <w:t>3,7</w:t>
            </w:r>
            <w:r w:rsidRPr="00952517"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spacing w:val="-4"/>
              </w:rPr>
              <w:t>%, většinou šlo o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  <w:r>
              <w:rPr>
                <w:spacing w:val="-4"/>
              </w:rPr>
              <w:t xml:space="preserve">prostředky na regionální školství. Stát významněji ušetřil jen na </w:t>
            </w:r>
            <w:r w:rsidRPr="009757D6">
              <w:rPr>
                <w:spacing w:val="-4"/>
              </w:rPr>
              <w:t xml:space="preserve">odvodech do rozpočtu EU (4,5 mld. korun). Čisté výdaje na státní dluh (tj. po </w:t>
            </w:r>
            <w:r w:rsidRPr="009757D6">
              <w:t>započtení příjmů</w:t>
            </w:r>
            <w:r>
              <w:t xml:space="preserve"> </w:t>
            </w:r>
            <w:r w:rsidRPr="00433060">
              <w:rPr>
                <w:color w:val="0D0D0D" w:themeColor="text1" w:themeTint="F2"/>
              </w:rPr>
              <w:t>kapitoly státní dluh) na rozdíl od předchozích dvou let již neklesaly.</w:t>
            </w:r>
            <w:r w:rsidRPr="00433060">
              <w:rPr>
                <w:rFonts w:cs="Arial"/>
                <w:color w:val="0D0D0D" w:themeColor="text1" w:themeTint="F2"/>
                <w:spacing w:val="-4"/>
              </w:rPr>
              <w:t xml:space="preserve"> Výše celkového státního dluhu činila na konci 1. pololetí 1</w:t>
            </w:r>
            <w:r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433060">
              <w:rPr>
                <w:rFonts w:cs="Arial"/>
                <w:color w:val="0D0D0D" w:themeColor="text1" w:themeTint="F2"/>
                <w:spacing w:val="-4"/>
              </w:rPr>
              <w:t>691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,3 </w:t>
            </w:r>
            <w:r w:rsidRPr="00433060">
              <w:rPr>
                <w:rFonts w:cs="Arial"/>
                <w:color w:val="0D0D0D" w:themeColor="text1" w:themeTint="F2"/>
                <w:spacing w:val="-4"/>
              </w:rPr>
              <w:t>mld. korun, meziročně p</w:t>
            </w:r>
            <w:r>
              <w:rPr>
                <w:rFonts w:cs="Arial"/>
                <w:color w:val="0D0D0D" w:themeColor="text1" w:themeTint="F2"/>
                <w:spacing w:val="-4"/>
              </w:rPr>
              <w:t>osílila o 1,7 % (během samotného 2. čtvrtletí již jeho výše nerostla). V</w:t>
            </w:r>
            <w:r w:rsidRPr="00952517"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mírném růstu dluhu se promítly vyšší výpůjční aktivita státu při příznivé situaci na finančních trzích a rozložení plánovaných splátek dluhopisů v rámci roku. </w:t>
            </w:r>
            <w:r>
              <w:rPr>
                <w:color w:val="000000" w:themeColor="text1"/>
                <w:spacing w:val="-4"/>
              </w:rPr>
              <w:t xml:space="preserve">Zrychloval </w:t>
            </w:r>
            <w:r w:rsidRPr="00741F3C">
              <w:rPr>
                <w:color w:val="000000" w:themeColor="text1"/>
                <w:spacing w:val="-4"/>
              </w:rPr>
              <w:t xml:space="preserve">růst objemu českých dluhopisů </w:t>
            </w:r>
            <w:r>
              <w:rPr>
                <w:color w:val="000000" w:themeColor="text1"/>
                <w:spacing w:val="-4"/>
              </w:rPr>
              <w:t>v držbě zahraničních investorů (na konci června šlo již o 367</w:t>
            </w:r>
            <w:r w:rsidRPr="00741F3C">
              <w:rPr>
                <w:color w:val="000000" w:themeColor="text1"/>
                <w:spacing w:val="-4"/>
              </w:rPr>
              <w:t xml:space="preserve"> mld. korun</w:t>
            </w:r>
            <w:r>
              <w:rPr>
                <w:color w:val="000000" w:themeColor="text1"/>
                <w:spacing w:val="-4"/>
              </w:rPr>
              <w:t>, resp. 26 % hodnoty všech korunových dluhopisů).</w:t>
            </w:r>
          </w:p>
          <w:p w:rsidR="000F74B6" w:rsidRPr="00AE50F2" w:rsidRDefault="000F74B6" w:rsidP="00AF5D62">
            <w:pPr>
              <w:pStyle w:val="Textpoznpodarou"/>
              <w:jc w:val="both"/>
              <w:rPr>
                <w:spacing w:val="-4"/>
                <w:sz w:val="15"/>
                <w:szCs w:val="15"/>
              </w:rPr>
            </w:pPr>
          </w:p>
        </w:tc>
      </w:tr>
      <w:tr w:rsidR="000F74B6" w:rsidRPr="00A90EFD" w:rsidTr="00AF5D62">
        <w:tc>
          <w:tcPr>
            <w:tcW w:w="1054" w:type="pct"/>
          </w:tcPr>
          <w:p w:rsidR="000F74B6" w:rsidRDefault="000F74B6" w:rsidP="00AF5D62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Relativní výše dluhu sektoru vládních institucí klesla výhradně vlivem silného růstu HDP</w:t>
            </w:r>
          </w:p>
          <w:p w:rsidR="000F74B6" w:rsidRDefault="000F74B6" w:rsidP="00AF5D62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</w:p>
          <w:p w:rsidR="000F74B6" w:rsidRPr="00DB3D34" w:rsidRDefault="000F74B6" w:rsidP="00AF5D62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</w:p>
          <w:p w:rsidR="000F74B6" w:rsidRDefault="000F74B6" w:rsidP="00AF5D62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</w:p>
          <w:p w:rsidR="000F74B6" w:rsidRDefault="000F74B6" w:rsidP="00AF5D62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</w:p>
          <w:p w:rsidR="000F74B6" w:rsidRDefault="000F74B6" w:rsidP="00AF5D62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</w:p>
          <w:p w:rsidR="000F74B6" w:rsidRDefault="000F74B6" w:rsidP="00AF5D62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</w:p>
          <w:p w:rsidR="000F74B6" w:rsidRPr="005C55C9" w:rsidRDefault="000F74B6" w:rsidP="00AF5D62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  <w:r w:rsidRPr="005C55C9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lastRenderedPageBreak/>
              <w:t>Česko bylo na počátku roku 2016 osmou nejméně zadluženou zemí EU, trend poklesu relativní zadluženosti v EU byl patrný již od 2. čtvrtletí 2015</w:t>
            </w:r>
          </w:p>
          <w:p w:rsidR="000F74B6" w:rsidRPr="009E7272" w:rsidRDefault="000F74B6" w:rsidP="00AF5D62">
            <w:pPr>
              <w:spacing w:line="240" w:lineRule="auto"/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</w:pPr>
          </w:p>
        </w:tc>
        <w:tc>
          <w:tcPr>
            <w:tcW w:w="142" w:type="pct"/>
          </w:tcPr>
          <w:p w:rsidR="000F74B6" w:rsidRPr="00A90EFD" w:rsidRDefault="000F74B6" w:rsidP="00AF5D62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3804" w:type="pct"/>
          </w:tcPr>
          <w:p w:rsidR="000F74B6" w:rsidRPr="0097714E" w:rsidRDefault="000F74B6" w:rsidP="00AF5D62">
            <w:pPr>
              <w:pStyle w:val="Textpoznpodarou"/>
              <w:jc w:val="both"/>
              <w:rPr>
                <w:spacing w:val="-4"/>
              </w:rPr>
            </w:pPr>
            <w:r w:rsidRPr="008E3582">
              <w:rPr>
                <w:color w:val="0D0D0D" w:themeColor="text1" w:themeTint="F2"/>
                <w:spacing w:val="-4"/>
              </w:rPr>
              <w:t>Konsolidovaný hrubý dluh celého sektoru vládních institucí (zahrnující i hospodaření územně správních celků či fondů sociálního zabezpečení) dosáhl dle aktuálních dat ČSÚ na konci 1. čtvrtletí 2016</w:t>
            </w:r>
            <w:r w:rsidRPr="008E3582">
              <w:rPr>
                <w:rStyle w:val="Znakapoznpodarou"/>
                <w:color w:val="0D0D0D" w:themeColor="text1" w:themeTint="F2"/>
                <w:spacing w:val="-4"/>
              </w:rPr>
              <w:footnoteReference w:id="5"/>
            </w:r>
            <w:r w:rsidRPr="008E3582">
              <w:rPr>
                <w:color w:val="0D0D0D" w:themeColor="text1" w:themeTint="F2"/>
                <w:spacing w:val="-4"/>
              </w:rPr>
              <w:t xml:space="preserve"> výše 1 857,9 mld. korun a ve vztahu k HDP činil 40,4 % (ve stejném období předchozího roku byl o 1,5 </w:t>
            </w:r>
            <w:proofErr w:type="spellStart"/>
            <w:proofErr w:type="gramStart"/>
            <w:r w:rsidRPr="008E3582">
              <w:rPr>
                <w:color w:val="0D0D0D" w:themeColor="text1" w:themeTint="F2"/>
                <w:spacing w:val="-4"/>
              </w:rPr>
              <w:t>p.b</w:t>
            </w:r>
            <w:proofErr w:type="spellEnd"/>
            <w:r w:rsidRPr="008E3582">
              <w:rPr>
                <w:color w:val="0D0D0D" w:themeColor="text1" w:themeTint="F2"/>
                <w:spacing w:val="-4"/>
              </w:rPr>
              <w:t>. vyšší</w:t>
            </w:r>
            <w:proofErr w:type="gramEnd"/>
            <w:r w:rsidRPr="008E3582">
              <w:rPr>
                <w:color w:val="0D0D0D" w:themeColor="text1" w:themeTint="F2"/>
                <w:spacing w:val="-4"/>
              </w:rPr>
              <w:t xml:space="preserve">). Pokles relativní úrovně dluhu byl </w:t>
            </w:r>
            <w:r w:rsidRPr="001162E9">
              <w:rPr>
                <w:color w:val="0D0D0D" w:themeColor="text1" w:themeTint="F2"/>
                <w:spacing w:val="-4"/>
              </w:rPr>
              <w:t xml:space="preserve">výsledkem výhradně růstu nominálního HDP, neboť absolutní úroveň zadlužení vzrostla (o 22,5 mld. korun). Hospodaření vládních institucí </w:t>
            </w:r>
            <w:r>
              <w:rPr>
                <w:color w:val="0D0D0D" w:themeColor="text1" w:themeTint="F2"/>
                <w:spacing w:val="-4"/>
              </w:rPr>
              <w:t>skončilo v 1.</w:t>
            </w:r>
            <w:r w:rsidRPr="008E3582">
              <w:rPr>
                <w:color w:val="0D0D0D" w:themeColor="text1" w:themeTint="F2"/>
                <w:spacing w:val="-4"/>
              </w:rPr>
              <w:t> </w:t>
            </w:r>
            <w:r w:rsidR="00867464">
              <w:rPr>
                <w:color w:val="0D0D0D" w:themeColor="text1" w:themeTint="F2"/>
                <w:spacing w:val="-4"/>
              </w:rPr>
              <w:t xml:space="preserve">čtvrtletí 2016 (v </w:t>
            </w:r>
            <w:proofErr w:type="spellStart"/>
            <w:r w:rsidR="00867464">
              <w:rPr>
                <w:color w:val="0D0D0D" w:themeColor="text1" w:themeTint="F2"/>
                <w:spacing w:val="-4"/>
              </w:rPr>
              <w:t>akr</w:t>
            </w:r>
            <w:r w:rsidRPr="001162E9">
              <w:rPr>
                <w:color w:val="0D0D0D" w:themeColor="text1" w:themeTint="F2"/>
                <w:spacing w:val="-4"/>
              </w:rPr>
              <w:t>ualizovaném</w:t>
            </w:r>
            <w:proofErr w:type="spellEnd"/>
            <w:r w:rsidRPr="001162E9">
              <w:rPr>
                <w:color w:val="0D0D0D" w:themeColor="text1" w:themeTint="F2"/>
                <w:spacing w:val="-4"/>
              </w:rPr>
              <w:t xml:space="preserve"> vyjádření)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6"/>
            </w:r>
            <w:r w:rsidRPr="001162E9">
              <w:rPr>
                <w:color w:val="0D0D0D" w:themeColor="text1" w:themeTint="F2"/>
                <w:spacing w:val="-4"/>
              </w:rPr>
              <w:t xml:space="preserve"> mírným deficitem 8,1 mld. korun, když přebytek místních vládních institucí nestačil vykompenzovat hlubší defici</w:t>
            </w:r>
            <w:r w:rsidR="00867464">
              <w:rPr>
                <w:color w:val="0D0D0D" w:themeColor="text1" w:themeTint="F2"/>
                <w:spacing w:val="-4"/>
              </w:rPr>
              <w:t xml:space="preserve">t ústředních </w:t>
            </w:r>
            <w:r w:rsidR="00867464">
              <w:rPr>
                <w:color w:val="0D0D0D" w:themeColor="text1" w:themeTint="F2"/>
                <w:spacing w:val="-4"/>
              </w:rPr>
              <w:lastRenderedPageBreak/>
              <w:t>vládních institucí</w:t>
            </w:r>
            <w:r w:rsidRPr="001162E9">
              <w:rPr>
                <w:color w:val="0D0D0D" w:themeColor="text1" w:themeTint="F2"/>
                <w:spacing w:val="-4"/>
              </w:rPr>
              <w:t>.</w:t>
            </w:r>
            <w:r w:rsidRPr="00185894">
              <w:rPr>
                <w:spacing w:val="-4"/>
              </w:rPr>
              <w:t xml:space="preserve"> </w:t>
            </w:r>
            <w:r>
              <w:rPr>
                <w:spacing w:val="-4"/>
              </w:rPr>
              <w:t>Podíl celkového dluhu</w:t>
            </w:r>
            <w:r w:rsidRPr="00741F3C">
              <w:rPr>
                <w:spacing w:val="-4"/>
              </w:rPr>
              <w:t xml:space="preserve"> </w:t>
            </w:r>
            <w:r>
              <w:rPr>
                <w:spacing w:val="-4"/>
              </w:rPr>
              <w:t>vládního sektoru k HDP (na konci</w:t>
            </w:r>
            <w:r w:rsidR="00E25999">
              <w:rPr>
                <w:spacing w:val="-4"/>
              </w:rPr>
              <w:t xml:space="preserve"> 1. čtvrtletí 2016) v Česku byl v rámci EU osmý</w:t>
            </w:r>
            <w:r>
              <w:rPr>
                <w:spacing w:val="-4"/>
              </w:rPr>
              <w:t xml:space="preserve"> nejnižší (podobné postavení měly </w:t>
            </w:r>
            <w:r w:rsidRPr="00741F3C">
              <w:rPr>
                <w:spacing w:val="-4"/>
              </w:rPr>
              <w:t>také Dánsko, Švédsko</w:t>
            </w:r>
            <w:r>
              <w:rPr>
                <w:spacing w:val="-4"/>
              </w:rPr>
              <w:t>, Litva</w:t>
            </w:r>
            <w:r w:rsidRPr="00741F3C">
              <w:rPr>
                <w:spacing w:val="-4"/>
              </w:rPr>
              <w:t xml:space="preserve"> či Rumunsko).</w:t>
            </w:r>
            <w:r>
              <w:rPr>
                <w:spacing w:val="-4"/>
              </w:rPr>
              <w:t xml:space="preserve"> Proti 1. loňskému čtvrtletí </w:t>
            </w:r>
            <w:r w:rsidRPr="00741F3C">
              <w:rPr>
                <w:spacing w:val="-4"/>
              </w:rPr>
              <w:t>se re</w:t>
            </w:r>
            <w:r>
              <w:rPr>
                <w:spacing w:val="-4"/>
              </w:rPr>
              <w:t>lativní zadluženost snížila v polovině států</w:t>
            </w:r>
            <w:r w:rsidRPr="00741F3C">
              <w:rPr>
                <w:spacing w:val="-4"/>
              </w:rPr>
              <w:t xml:space="preserve"> EU</w:t>
            </w:r>
            <w:r>
              <w:rPr>
                <w:spacing w:val="-4"/>
              </w:rPr>
              <w:t>, výrazn</w:t>
            </w:r>
            <w:r w:rsidR="00867464">
              <w:rPr>
                <w:spacing w:val="-4"/>
              </w:rPr>
              <w:t>ým tempem však pouze v Irsku, které</w:t>
            </w:r>
            <w:r>
              <w:rPr>
                <w:spacing w:val="-4"/>
              </w:rPr>
              <w:t xml:space="preserve"> přesto vykázalo na počátku roku 2016 proti Česku dvojnásobnou zadluženost.</w:t>
            </w:r>
            <w:r w:rsidRPr="00741F3C">
              <w:rPr>
                <w:spacing w:val="-4"/>
              </w:rPr>
              <w:t xml:space="preserve"> </w:t>
            </w:r>
            <w:r>
              <w:rPr>
                <w:spacing w:val="-4"/>
              </w:rPr>
              <w:t>Velmi vysoká míra zadluženosti přetrvávala v Řecku (176 % HDP), v posledních dvou letech se mírně navyšovala i v hospodářsky stagnujícím Finsku.</w:t>
            </w:r>
          </w:p>
        </w:tc>
      </w:tr>
    </w:tbl>
    <w:p w:rsidR="000F74B6" w:rsidRDefault="000F74B6" w:rsidP="000F74B6">
      <w:pPr>
        <w:pStyle w:val="Textpoznpodarou"/>
        <w:jc w:val="both"/>
        <w:rPr>
          <w:rFonts w:cs="Arial"/>
          <w:color w:val="000000" w:themeColor="text1"/>
          <w:spacing w:val="-2"/>
        </w:rPr>
      </w:pPr>
    </w:p>
    <w:tbl>
      <w:tblPr>
        <w:tblW w:w="4986" w:type="pct"/>
        <w:tblCellMar>
          <w:left w:w="28" w:type="dxa"/>
          <w:right w:w="28" w:type="dxa"/>
        </w:tblCellMar>
        <w:tblLook w:val="04A0"/>
      </w:tblPr>
      <w:tblGrid>
        <w:gridCol w:w="593"/>
        <w:gridCol w:w="4282"/>
        <w:gridCol w:w="708"/>
        <w:gridCol w:w="4111"/>
      </w:tblGrid>
      <w:tr w:rsidR="000F74B6" w:rsidRPr="006F2BEE" w:rsidTr="00AF5D62">
        <w:tc>
          <w:tcPr>
            <w:tcW w:w="305" w:type="pct"/>
          </w:tcPr>
          <w:p w:rsidR="000F74B6" w:rsidRDefault="000F74B6" w:rsidP="00AF5D62">
            <w:pPr>
              <w:spacing w:line="240" w:lineRule="auto"/>
            </w:pPr>
            <w:r>
              <w:rPr>
                <w:sz w:val="14"/>
                <w:szCs w:val="14"/>
              </w:rPr>
              <w:br w:type="page"/>
            </w:r>
            <w:r>
              <w:t>Graf č. 19</w:t>
            </w:r>
          </w:p>
        </w:tc>
        <w:tc>
          <w:tcPr>
            <w:tcW w:w="2203" w:type="pct"/>
          </w:tcPr>
          <w:p w:rsidR="000F74B6" w:rsidRPr="00E43BFF" w:rsidRDefault="000F74B6" w:rsidP="00AF5D62">
            <w:pPr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Celostátní inkasa daňových příjmů </w:t>
            </w:r>
            <w:r>
              <w:rPr>
                <w:rFonts w:cs="Arial"/>
                <w:bCs/>
              </w:rPr>
              <w:t>(y/y</w:t>
            </w:r>
            <w:r w:rsidRPr="008A3A85">
              <w:rPr>
                <w:rFonts w:cs="Arial"/>
                <w:bCs/>
              </w:rPr>
              <w:t xml:space="preserve"> v %)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a saldo státního rozpočtu</w:t>
            </w:r>
            <w:r>
              <w:t xml:space="preserve"> </w:t>
            </w:r>
            <w:r>
              <w:rPr>
                <w:rFonts w:cs="Arial"/>
                <w:bCs/>
              </w:rPr>
              <w:t>(v mld. korun)</w:t>
            </w:r>
          </w:p>
        </w:tc>
        <w:tc>
          <w:tcPr>
            <w:tcW w:w="366" w:type="pct"/>
          </w:tcPr>
          <w:p w:rsidR="000F74B6" w:rsidRDefault="000F74B6" w:rsidP="00AF5D62">
            <w:pPr>
              <w:spacing w:line="240" w:lineRule="auto"/>
            </w:pPr>
            <w:r>
              <w:t>Graf č. 20</w:t>
            </w:r>
          </w:p>
        </w:tc>
        <w:tc>
          <w:tcPr>
            <w:tcW w:w="2126" w:type="pct"/>
          </w:tcPr>
          <w:p w:rsidR="000F74B6" w:rsidRDefault="000F74B6" w:rsidP="00AF5D62">
            <w:pPr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Vybrané výdaje státního rozpočtu</w:t>
            </w:r>
          </w:p>
          <w:p w:rsidR="000F74B6" w:rsidRPr="006F2BEE" w:rsidRDefault="000F74B6" w:rsidP="00AF5D62">
            <w:pPr>
              <w:spacing w:line="240" w:lineRule="auto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  <w:bCs/>
              </w:rPr>
              <w:t>(</w:t>
            </w:r>
            <w:r w:rsidRPr="00DB06E9">
              <w:rPr>
                <w:rFonts w:cs="Arial"/>
                <w:bCs/>
              </w:rPr>
              <w:t>v mld. korun</w:t>
            </w:r>
            <w:r>
              <w:rPr>
                <w:rFonts w:cs="Arial"/>
                <w:bCs/>
              </w:rPr>
              <w:t>)</w:t>
            </w:r>
          </w:p>
        </w:tc>
      </w:tr>
      <w:tr w:rsidR="000F74B6" w:rsidTr="00AF5D62">
        <w:tc>
          <w:tcPr>
            <w:tcW w:w="2508" w:type="pct"/>
            <w:gridSpan w:val="2"/>
          </w:tcPr>
          <w:p w:rsidR="000F74B6" w:rsidRDefault="00E34DE7" w:rsidP="00AF5D62">
            <w:pPr>
              <w:pStyle w:val="Textpoznpodarou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2.2pt;height:178.15pt">
                  <v:imagedata r:id="rId8" o:title=""/>
                </v:shape>
              </w:pict>
            </w:r>
          </w:p>
        </w:tc>
        <w:tc>
          <w:tcPr>
            <w:tcW w:w="2492" w:type="pct"/>
            <w:gridSpan w:val="2"/>
          </w:tcPr>
          <w:p w:rsidR="000F74B6" w:rsidRDefault="00E34DE7" w:rsidP="00AF5D62">
            <w:pPr>
              <w:pStyle w:val="Textpoznpodarou"/>
              <w:jc w:val="both"/>
            </w:pPr>
            <w:r>
              <w:pict>
                <v:shape id="_x0000_i1026" type="#_x0000_t75" style="width:239.3pt;height:178.15pt">
                  <v:imagedata r:id="rId9" o:title=""/>
                </v:shape>
              </w:pict>
            </w:r>
          </w:p>
        </w:tc>
      </w:tr>
      <w:tr w:rsidR="000F74B6" w:rsidRPr="009E6613" w:rsidTr="00AF5D62">
        <w:tc>
          <w:tcPr>
            <w:tcW w:w="5000" w:type="pct"/>
            <w:gridSpan w:val="4"/>
          </w:tcPr>
          <w:p w:rsidR="000F74B6" w:rsidRDefault="000F74B6" w:rsidP="00AF5D62">
            <w:pPr>
              <w:pStyle w:val="Textpoznpodarou"/>
              <w:spacing w:before="40"/>
              <w:rPr>
                <w:sz w:val="18"/>
                <w:szCs w:val="18"/>
              </w:rPr>
            </w:pPr>
            <w:r w:rsidRPr="004C5813">
              <w:rPr>
                <w:sz w:val="18"/>
                <w:szCs w:val="18"/>
              </w:rPr>
              <w:t>*vč. dávek pěstounské péče</w:t>
            </w:r>
          </w:p>
          <w:p w:rsidR="000F74B6" w:rsidRDefault="000F74B6" w:rsidP="00AF5D62">
            <w:pPr>
              <w:pStyle w:val="Textpoznpodarou"/>
              <w:rPr>
                <w:sz w:val="18"/>
                <w:szCs w:val="18"/>
              </w:rPr>
            </w:pPr>
            <w:r w:rsidRPr="001D7968">
              <w:rPr>
                <w:spacing w:val="-2"/>
                <w:sz w:val="18"/>
                <w:szCs w:val="18"/>
              </w:rPr>
              <w:t>**dávky pomoci v hmot</w:t>
            </w:r>
            <w:r>
              <w:rPr>
                <w:spacing w:val="-2"/>
                <w:sz w:val="18"/>
                <w:szCs w:val="18"/>
              </w:rPr>
              <w:t>né</w:t>
            </w:r>
            <w:r w:rsidRPr="001D7968">
              <w:rPr>
                <w:spacing w:val="-2"/>
                <w:sz w:val="18"/>
                <w:szCs w:val="18"/>
              </w:rPr>
              <w:t xml:space="preserve"> nouzi, dávky osobám se zdravotním postižením, příspěvek na péči dle zákona o </w:t>
            </w:r>
            <w:proofErr w:type="spellStart"/>
            <w:r w:rsidRPr="001D7968">
              <w:rPr>
                <w:spacing w:val="-2"/>
                <w:sz w:val="18"/>
                <w:szCs w:val="18"/>
              </w:rPr>
              <w:t>soc</w:t>
            </w:r>
            <w:proofErr w:type="spellEnd"/>
            <w:r w:rsidRPr="001D7968">
              <w:rPr>
                <w:spacing w:val="-2"/>
                <w:sz w:val="18"/>
                <w:szCs w:val="18"/>
              </w:rPr>
              <w:t>. službách</w:t>
            </w:r>
            <w:r>
              <w:rPr>
                <w:sz w:val="18"/>
                <w:szCs w:val="18"/>
              </w:rPr>
              <w:t>.</w:t>
            </w:r>
          </w:p>
          <w:p w:rsidR="000F74B6" w:rsidRPr="009E6613" w:rsidRDefault="000F74B6" w:rsidP="00AF5D62">
            <w:pPr>
              <w:pStyle w:val="Textpoznpodaro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*** ve výdajích jsou započteny i příjmy kapitoly Státní </w:t>
            </w:r>
            <w:proofErr w:type="gramStart"/>
            <w:r>
              <w:rPr>
                <w:sz w:val="18"/>
                <w:szCs w:val="18"/>
              </w:rPr>
              <w:t xml:space="preserve">dluh                                                                  </w:t>
            </w:r>
            <w:r>
              <w:rPr>
                <w:rFonts w:cs="Arial"/>
                <w:sz w:val="18"/>
                <w:szCs w:val="18"/>
              </w:rPr>
              <w:t>Zdroj</w:t>
            </w:r>
            <w:proofErr w:type="gramEnd"/>
            <w:r>
              <w:rPr>
                <w:rFonts w:cs="Arial"/>
                <w:sz w:val="18"/>
                <w:szCs w:val="18"/>
              </w:rPr>
              <w:t>: MF ČR, MPSV</w:t>
            </w:r>
          </w:p>
        </w:tc>
      </w:tr>
    </w:tbl>
    <w:p w:rsidR="000F74B6" w:rsidRPr="00E25999" w:rsidRDefault="000F74B6" w:rsidP="000F74B6">
      <w:pPr>
        <w:pStyle w:val="Textpoznpodarou"/>
        <w:jc w:val="both"/>
        <w:rPr>
          <w:rFonts w:cs="Arial"/>
          <w:color w:val="000000" w:themeColor="text1"/>
          <w:spacing w:val="-2"/>
          <w:sz w:val="16"/>
          <w:szCs w:val="16"/>
        </w:rPr>
      </w:pPr>
    </w:p>
    <w:tbl>
      <w:tblPr>
        <w:tblW w:w="4986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752"/>
        <w:gridCol w:w="4097"/>
        <w:gridCol w:w="710"/>
        <w:gridCol w:w="4108"/>
      </w:tblGrid>
      <w:tr w:rsidR="000F74B6" w:rsidTr="00AF5D62">
        <w:tc>
          <w:tcPr>
            <w:tcW w:w="389" w:type="pct"/>
          </w:tcPr>
          <w:p w:rsidR="000F74B6" w:rsidRDefault="000F74B6" w:rsidP="00AF5D62">
            <w:pPr>
              <w:spacing w:line="240" w:lineRule="auto"/>
            </w:pPr>
            <w:r>
              <w:t>Graf č. 21</w:t>
            </w:r>
          </w:p>
        </w:tc>
        <w:tc>
          <w:tcPr>
            <w:tcW w:w="2119" w:type="pct"/>
          </w:tcPr>
          <w:p w:rsidR="000F74B6" w:rsidRDefault="000F74B6" w:rsidP="00AF5D62">
            <w:pPr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Struktura příjmů ČR z rozpočtu EU,</w:t>
            </w:r>
          </w:p>
          <w:p w:rsidR="000F74B6" w:rsidRPr="00D90B56" w:rsidRDefault="000F74B6" w:rsidP="00AF5D62">
            <w:pPr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celková čistá pozice </w:t>
            </w:r>
            <w:r>
              <w:rPr>
                <w:rFonts w:cs="Arial"/>
                <w:bCs/>
              </w:rPr>
              <w:t>(</w:t>
            </w:r>
            <w:r w:rsidRPr="00DB06E9">
              <w:rPr>
                <w:rFonts w:cs="Arial"/>
                <w:bCs/>
              </w:rPr>
              <w:t>v mld. korun)</w:t>
            </w:r>
          </w:p>
        </w:tc>
        <w:tc>
          <w:tcPr>
            <w:tcW w:w="367" w:type="pct"/>
          </w:tcPr>
          <w:p w:rsidR="000F74B6" w:rsidRDefault="000F74B6" w:rsidP="00AF5D62">
            <w:pPr>
              <w:spacing w:line="240" w:lineRule="auto"/>
            </w:pPr>
            <w:r>
              <w:t>Graf č. 22</w:t>
            </w:r>
          </w:p>
        </w:tc>
        <w:tc>
          <w:tcPr>
            <w:tcW w:w="2125" w:type="pct"/>
          </w:tcPr>
          <w:p w:rsidR="000F74B6" w:rsidRDefault="000F74B6" w:rsidP="00AF5D62">
            <w:pPr>
              <w:spacing w:line="240" w:lineRule="auto"/>
              <w:rPr>
                <w:rFonts w:cs="Arial"/>
                <w:bCs/>
                <w:spacing w:val="-2"/>
              </w:rPr>
            </w:pPr>
            <w:r>
              <w:rPr>
                <w:rFonts w:cs="Arial"/>
                <w:b/>
                <w:bCs/>
                <w:spacing w:val="-2"/>
              </w:rPr>
              <w:t xml:space="preserve">Počet příjemců důchodů </w:t>
            </w:r>
            <w:r w:rsidRPr="007179B8">
              <w:rPr>
                <w:rFonts w:cs="Arial"/>
                <w:bCs/>
                <w:spacing w:val="-2"/>
              </w:rPr>
              <w:t>(v tis. osob),</w:t>
            </w:r>
            <w:r>
              <w:rPr>
                <w:rFonts w:cs="Arial"/>
                <w:b/>
                <w:bCs/>
                <w:spacing w:val="-2"/>
              </w:rPr>
              <w:t xml:space="preserve"> příjmy </w:t>
            </w:r>
            <w:r w:rsidRPr="006F2BEE">
              <w:rPr>
                <w:rFonts w:cs="Arial"/>
                <w:b/>
                <w:bCs/>
                <w:spacing w:val="-2"/>
              </w:rPr>
              <w:t>a výdaje</w:t>
            </w:r>
            <w:r>
              <w:rPr>
                <w:rFonts w:cs="Arial"/>
                <w:b/>
                <w:bCs/>
                <w:spacing w:val="-2"/>
              </w:rPr>
              <w:t xml:space="preserve"> na důchody ze SR</w:t>
            </w:r>
            <w:r w:rsidRPr="006F2BEE">
              <w:rPr>
                <w:rFonts w:cs="Arial"/>
                <w:b/>
                <w:bCs/>
                <w:spacing w:val="-2"/>
              </w:rPr>
              <w:t xml:space="preserve"> </w:t>
            </w:r>
            <w:r w:rsidRPr="006F2BEE">
              <w:rPr>
                <w:rFonts w:cs="Arial"/>
                <w:bCs/>
                <w:spacing w:val="-2"/>
              </w:rPr>
              <w:t xml:space="preserve">(y/y, v %) </w:t>
            </w:r>
          </w:p>
          <w:p w:rsidR="000F74B6" w:rsidRPr="006F2BEE" w:rsidRDefault="000F74B6" w:rsidP="00AF5D62">
            <w:pPr>
              <w:spacing w:line="240" w:lineRule="auto"/>
              <w:rPr>
                <w:rFonts w:cs="Arial"/>
                <w:b/>
                <w:bCs/>
                <w:spacing w:val="-2"/>
              </w:rPr>
            </w:pPr>
            <w:r w:rsidRPr="006F2BEE">
              <w:rPr>
                <w:rFonts w:cs="Arial"/>
                <w:b/>
                <w:bCs/>
                <w:spacing w:val="-2"/>
              </w:rPr>
              <w:t xml:space="preserve">a bilance </w:t>
            </w:r>
            <w:r>
              <w:rPr>
                <w:rFonts w:cs="Arial"/>
                <w:b/>
                <w:bCs/>
                <w:spacing w:val="-2"/>
              </w:rPr>
              <w:t>důchodového</w:t>
            </w:r>
            <w:r w:rsidRPr="006F2BEE">
              <w:rPr>
                <w:rFonts w:cs="Arial"/>
                <w:b/>
                <w:bCs/>
                <w:spacing w:val="-2"/>
              </w:rPr>
              <w:t xml:space="preserve"> účtu </w:t>
            </w:r>
            <w:r w:rsidRPr="006F2BEE">
              <w:rPr>
                <w:rFonts w:cs="Arial"/>
                <w:bCs/>
                <w:spacing w:val="-2"/>
              </w:rPr>
              <w:t>(v mld. korun)</w:t>
            </w:r>
            <w:r>
              <w:rPr>
                <w:rFonts w:cs="Arial"/>
                <w:bCs/>
              </w:rPr>
              <w:t xml:space="preserve"> </w:t>
            </w:r>
          </w:p>
        </w:tc>
      </w:tr>
      <w:tr w:rsidR="000F74B6" w:rsidTr="00AF5D62">
        <w:tc>
          <w:tcPr>
            <w:tcW w:w="2508" w:type="pct"/>
            <w:gridSpan w:val="2"/>
          </w:tcPr>
          <w:p w:rsidR="000F74B6" w:rsidRDefault="00E34DE7" w:rsidP="00AF5D62">
            <w:pPr>
              <w:pStyle w:val="Textpoznpodarou"/>
              <w:jc w:val="both"/>
            </w:pPr>
            <w:r>
              <w:pict>
                <v:shape id="_x0000_i1027" type="#_x0000_t75" style="width:240.15pt;height:178.55pt">
                  <v:imagedata r:id="rId10" o:title=""/>
                </v:shape>
              </w:pict>
            </w:r>
          </w:p>
        </w:tc>
        <w:tc>
          <w:tcPr>
            <w:tcW w:w="2492" w:type="pct"/>
            <w:gridSpan w:val="2"/>
          </w:tcPr>
          <w:p w:rsidR="000F74B6" w:rsidRDefault="00E34DE7" w:rsidP="00AF5D62">
            <w:pPr>
              <w:pStyle w:val="Textpoznpodarou"/>
              <w:jc w:val="both"/>
            </w:pPr>
            <w:r>
              <w:pict>
                <v:shape id="_x0000_i1028" type="#_x0000_t75" style="width:238.45pt;height:178.55pt">
                  <v:imagedata r:id="rId11" o:title=""/>
                </v:shape>
              </w:pict>
            </w:r>
          </w:p>
        </w:tc>
      </w:tr>
      <w:tr w:rsidR="000F74B6" w:rsidTr="00AF5D62">
        <w:tc>
          <w:tcPr>
            <w:tcW w:w="5000" w:type="pct"/>
            <w:gridSpan w:val="4"/>
          </w:tcPr>
          <w:p w:rsidR="000F74B6" w:rsidRPr="00245006" w:rsidRDefault="000F74B6" w:rsidP="00AF5D62">
            <w:pPr>
              <w:autoSpaceDE w:val="0"/>
              <w:autoSpaceDN w:val="0"/>
              <w:adjustRightInd w:val="0"/>
              <w:spacing w:before="40" w:line="240" w:lineRule="auto"/>
              <w:rPr>
                <w:spacing w:val="-3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*</w:t>
            </w:r>
            <w:r w:rsidRPr="00245006">
              <w:rPr>
                <w:spacing w:val="-3"/>
                <w:sz w:val="18"/>
                <w:szCs w:val="18"/>
                <w:lang w:eastAsia="ar-SA"/>
              </w:rPr>
              <w:t xml:space="preserve"> I. pilíř zahrnuje prostředky na přímé platby, tržní opatření a </w:t>
            </w:r>
            <w:proofErr w:type="spellStart"/>
            <w:r w:rsidRPr="00245006">
              <w:rPr>
                <w:spacing w:val="-3"/>
                <w:sz w:val="18"/>
                <w:szCs w:val="18"/>
                <w:lang w:eastAsia="ar-SA"/>
              </w:rPr>
              <w:t>veter</w:t>
            </w:r>
            <w:proofErr w:type="spellEnd"/>
            <w:r w:rsidRPr="00245006">
              <w:rPr>
                <w:spacing w:val="-3"/>
                <w:sz w:val="18"/>
                <w:szCs w:val="18"/>
                <w:lang w:eastAsia="ar-SA"/>
              </w:rPr>
              <w:t>. opatření, II. pilíř prostředky na rozvoj venkova a rybářství</w:t>
            </w:r>
            <w:r w:rsidR="00867464">
              <w:rPr>
                <w:spacing w:val="-3"/>
                <w:sz w:val="18"/>
                <w:szCs w:val="18"/>
                <w:lang w:eastAsia="ar-SA"/>
              </w:rPr>
              <w:t>.</w:t>
            </w:r>
          </w:p>
          <w:p w:rsidR="000F74B6" w:rsidRPr="00245006" w:rsidRDefault="00867464" w:rsidP="00AF5D6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** </w:t>
            </w:r>
            <w:proofErr w:type="spellStart"/>
            <w:r>
              <w:rPr>
                <w:sz w:val="18"/>
                <w:szCs w:val="18"/>
                <w:lang w:eastAsia="ar-SA"/>
              </w:rPr>
              <w:t>P</w:t>
            </w:r>
            <w:r w:rsidR="000F74B6">
              <w:rPr>
                <w:sz w:val="18"/>
                <w:szCs w:val="18"/>
                <w:lang w:eastAsia="ar-SA"/>
              </w:rPr>
              <w:t>ředvst</w:t>
            </w:r>
            <w:r w:rsidR="000F74B6" w:rsidRPr="00245006">
              <w:rPr>
                <w:sz w:val="18"/>
                <w:szCs w:val="18"/>
                <w:lang w:eastAsia="ar-SA"/>
              </w:rPr>
              <w:t>upní</w:t>
            </w:r>
            <w:proofErr w:type="spellEnd"/>
            <w:r w:rsidR="000F74B6" w:rsidRPr="00245006">
              <w:rPr>
                <w:sz w:val="18"/>
                <w:szCs w:val="18"/>
                <w:lang w:eastAsia="ar-SA"/>
              </w:rPr>
              <w:t xml:space="preserve"> nástroje, vnitřní politiky, kompenzační platby</w:t>
            </w:r>
            <w:r>
              <w:rPr>
                <w:sz w:val="18"/>
                <w:szCs w:val="18"/>
                <w:lang w:eastAsia="ar-SA"/>
              </w:rPr>
              <w:t xml:space="preserve">. </w:t>
            </w:r>
            <w:r w:rsidR="000F74B6">
              <w:rPr>
                <w:sz w:val="18"/>
                <w:szCs w:val="18"/>
                <w:lang w:eastAsia="ar-SA"/>
              </w:rPr>
              <w:t xml:space="preserve">                                                                    </w:t>
            </w:r>
            <w:r w:rsidR="000F74B6">
              <w:rPr>
                <w:rFonts w:cs="Arial"/>
                <w:sz w:val="18"/>
                <w:szCs w:val="18"/>
              </w:rPr>
              <w:t>Zdroj: MF, ČSSZ</w:t>
            </w:r>
          </w:p>
        </w:tc>
      </w:tr>
    </w:tbl>
    <w:p w:rsidR="000F74B6" w:rsidRDefault="000F74B6" w:rsidP="000F74B6">
      <w:pPr>
        <w:pStyle w:val="Textpoznpodarou"/>
        <w:jc w:val="both"/>
        <w:rPr>
          <w:rFonts w:cs="Arial"/>
          <w:color w:val="000000" w:themeColor="text1"/>
          <w:spacing w:val="-2"/>
        </w:rPr>
      </w:pPr>
    </w:p>
    <w:p w:rsidR="00240815" w:rsidRDefault="00240815" w:rsidP="00C2463B">
      <w:pPr>
        <w:pStyle w:val="Textpoznpodarou"/>
        <w:jc w:val="both"/>
        <w:rPr>
          <w:rFonts w:cs="Arial"/>
          <w:color w:val="000000" w:themeColor="text1"/>
          <w:spacing w:val="-2"/>
        </w:rPr>
      </w:pPr>
    </w:p>
    <w:sectPr w:rsidR="00240815" w:rsidSect="00094130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 w:code="9"/>
      <w:pgMar w:top="1134" w:right="1134" w:bottom="1418" w:left="1134" w:header="680" w:footer="680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A53" w:rsidRDefault="00173A53" w:rsidP="00E71A58">
      <w:r>
        <w:separator/>
      </w:r>
    </w:p>
  </w:endnote>
  <w:endnote w:type="continuationSeparator" w:id="0">
    <w:p w:rsidR="00173A53" w:rsidRDefault="00173A53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35" w:rsidRDefault="00E34DE7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1;visibility:visible">
          <v:imagedata r:id="rId1" o:title="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DD7435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094130">
      <w:rPr>
        <w:rFonts w:ascii="Arial" w:hAnsi="Arial" w:cs="Arial"/>
        <w:noProof/>
        <w:sz w:val="16"/>
        <w:szCs w:val="16"/>
      </w:rPr>
      <w:t>22</w:t>
    </w:r>
    <w:r w:rsidRPr="005A21E0">
      <w:rPr>
        <w:rFonts w:ascii="Arial" w:hAnsi="Arial" w:cs="Arial"/>
        <w:sz w:val="16"/>
        <w:szCs w:val="16"/>
      </w:rPr>
      <w:fldChar w:fldCharType="end"/>
    </w:r>
    <w:r w:rsidR="00DD7435">
      <w:rPr>
        <w:rFonts w:ascii="Arial" w:hAnsi="Arial" w:cs="Arial"/>
        <w:sz w:val="16"/>
        <w:szCs w:val="16"/>
      </w:rPr>
      <w:tab/>
      <w:t>2016</w:t>
    </w:r>
    <w:r w:rsidR="00DD7435">
      <w:tab/>
    </w:r>
    <w:r w:rsidR="00DD7435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35" w:rsidRDefault="00E34DE7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Description: 3" style="position:absolute;margin-left:.3pt;margin-top:7.1pt;width:39pt;height:21pt;z-index:2;visibility:visible">
          <v:imagedata r:id="rId1" o:title=""/>
        </v:shape>
      </w:pict>
    </w:r>
    <w:r w:rsidR="00DD7435">
      <w:tab/>
    </w:r>
    <w:r w:rsidR="00DD7435">
      <w:tab/>
    </w:r>
    <w:r w:rsidR="00DD7435" w:rsidRPr="00DC5B3B">
      <w:t xml:space="preserve">                              </w:t>
    </w:r>
  </w:p>
  <w:p w:rsidR="00DD7435" w:rsidRPr="00223E00" w:rsidRDefault="00DD7435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2016</w:t>
    </w:r>
    <w:r>
      <w:rPr>
        <w:rFonts w:ascii="Arial" w:hAnsi="Arial" w:cs="Arial"/>
        <w:sz w:val="16"/>
        <w:szCs w:val="16"/>
      </w:rPr>
      <w:tab/>
    </w:r>
    <w:r w:rsidR="00E34DE7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E34DE7" w:rsidRPr="00223E00">
      <w:rPr>
        <w:rFonts w:ascii="Arial" w:hAnsi="Arial" w:cs="Arial"/>
        <w:sz w:val="16"/>
        <w:szCs w:val="16"/>
      </w:rPr>
      <w:fldChar w:fldCharType="separate"/>
    </w:r>
    <w:r w:rsidR="00094130">
      <w:rPr>
        <w:rFonts w:ascii="Arial" w:hAnsi="Arial" w:cs="Arial"/>
        <w:noProof/>
        <w:sz w:val="16"/>
        <w:szCs w:val="16"/>
      </w:rPr>
      <w:t>23</w:t>
    </w:r>
    <w:r w:rsidR="00E34DE7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A53" w:rsidRDefault="00173A53" w:rsidP="00E71A58">
      <w:r>
        <w:separator/>
      </w:r>
    </w:p>
  </w:footnote>
  <w:footnote w:type="continuationSeparator" w:id="0">
    <w:p w:rsidR="00173A53" w:rsidRDefault="00173A53" w:rsidP="00E71A58">
      <w:r>
        <w:continuationSeparator/>
      </w:r>
    </w:p>
  </w:footnote>
  <w:footnote w:id="1">
    <w:p w:rsidR="00DD7435" w:rsidRPr="006A5244" w:rsidRDefault="00DD7435" w:rsidP="000F74B6">
      <w:pPr>
        <w:pStyle w:val="Textpoznpodarou"/>
        <w:jc w:val="both"/>
        <w:rPr>
          <w:sz w:val="16"/>
          <w:szCs w:val="16"/>
        </w:rPr>
      </w:pPr>
      <w:r w:rsidRPr="006A5244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Přebytek hospodaření SR </w:t>
      </w:r>
      <w:r w:rsidRPr="006A5244">
        <w:rPr>
          <w:sz w:val="16"/>
          <w:szCs w:val="16"/>
        </w:rPr>
        <w:t>na konci srpna se proti údaji na sklonku 1. pololetí zdvojnásobil (na 81,2 mld. korun).</w:t>
      </w:r>
      <w:r>
        <w:rPr>
          <w:sz w:val="16"/>
          <w:szCs w:val="16"/>
        </w:rPr>
        <w:t xml:space="preserve"> </w:t>
      </w:r>
      <w:r w:rsidRPr="006A5244">
        <w:rPr>
          <w:sz w:val="16"/>
          <w:szCs w:val="16"/>
        </w:rPr>
        <w:t xml:space="preserve">Vedle mírně sílících daňových příjmů k tomu </w:t>
      </w:r>
      <w:r>
        <w:rPr>
          <w:sz w:val="16"/>
          <w:szCs w:val="16"/>
        </w:rPr>
        <w:t>přispěly hlavně</w:t>
      </w:r>
      <w:r w:rsidRPr="006A5244">
        <w:rPr>
          <w:sz w:val="16"/>
          <w:szCs w:val="16"/>
        </w:rPr>
        <w:t xml:space="preserve"> nepravidelnosti v čerpání evropských fondů. Transfery z rozpočtu EU (jako důsledek </w:t>
      </w:r>
      <w:r>
        <w:rPr>
          <w:sz w:val="16"/>
          <w:szCs w:val="16"/>
        </w:rPr>
        <w:t xml:space="preserve">nebývale </w:t>
      </w:r>
      <w:r w:rsidRPr="006A5244">
        <w:rPr>
          <w:sz w:val="16"/>
          <w:szCs w:val="16"/>
        </w:rPr>
        <w:t xml:space="preserve">intenzivního loňského dočerpávání) přesáhly 140 mld. korun </w:t>
      </w:r>
      <w:r>
        <w:rPr>
          <w:sz w:val="16"/>
          <w:szCs w:val="16"/>
        </w:rPr>
        <w:t>(</w:t>
      </w:r>
      <w:r w:rsidRPr="006A5244">
        <w:rPr>
          <w:sz w:val="16"/>
          <w:szCs w:val="16"/>
        </w:rPr>
        <w:t xml:space="preserve">meziročně byly dokonce o 2,2 % vyšší), pokles kapitálových výdajů se </w:t>
      </w:r>
      <w:r>
        <w:rPr>
          <w:sz w:val="16"/>
          <w:szCs w:val="16"/>
        </w:rPr>
        <w:t xml:space="preserve">přitom </w:t>
      </w:r>
      <w:r w:rsidRPr="006A5244">
        <w:rPr>
          <w:sz w:val="16"/>
          <w:szCs w:val="16"/>
        </w:rPr>
        <w:t>nadále prohluboval (</w:t>
      </w:r>
      <w:r>
        <w:rPr>
          <w:sz w:val="16"/>
          <w:szCs w:val="16"/>
        </w:rPr>
        <w:t>až na 40 %, resp. 31 mld. korun).</w:t>
      </w:r>
    </w:p>
  </w:footnote>
  <w:footnote w:id="2">
    <w:p w:rsidR="00DD7435" w:rsidRPr="00516EE1" w:rsidRDefault="00DD7435" w:rsidP="000F74B6">
      <w:pPr>
        <w:pStyle w:val="Textpoznpodarou"/>
        <w:jc w:val="both"/>
        <w:rPr>
          <w:sz w:val="16"/>
          <w:szCs w:val="16"/>
        </w:rPr>
      </w:pPr>
      <w:r w:rsidRPr="00516EE1">
        <w:rPr>
          <w:rStyle w:val="Znakapoznpodarou"/>
          <w:sz w:val="16"/>
          <w:szCs w:val="16"/>
        </w:rPr>
        <w:footnoteRef/>
      </w:r>
      <w:r w:rsidRPr="00516EE1">
        <w:rPr>
          <w:sz w:val="16"/>
          <w:szCs w:val="16"/>
        </w:rPr>
        <w:t xml:space="preserve"> </w:t>
      </w:r>
      <w:r w:rsidRPr="00516EE1">
        <w:rPr>
          <w:rFonts w:cs="Arial"/>
          <w:color w:val="000000" w:themeColor="text1"/>
          <w:spacing w:val="-2"/>
          <w:sz w:val="16"/>
          <w:szCs w:val="16"/>
        </w:rPr>
        <w:t>Příjmy SR jsou v roce 2016 negativně ovlivněny změnou rozpočtového určení daní, jež snižuje podíl SR na celostátním inkasu zhruba o 1 </w:t>
      </w:r>
      <w:proofErr w:type="spellStart"/>
      <w:proofErr w:type="gramStart"/>
      <w:r w:rsidRPr="00516EE1">
        <w:rPr>
          <w:rFonts w:cs="Arial"/>
          <w:color w:val="000000" w:themeColor="text1"/>
          <w:spacing w:val="-2"/>
          <w:sz w:val="16"/>
          <w:szCs w:val="16"/>
        </w:rPr>
        <w:t>p.b</w:t>
      </w:r>
      <w:proofErr w:type="spellEnd"/>
      <w:r w:rsidRPr="00516EE1">
        <w:rPr>
          <w:rFonts w:cs="Arial"/>
          <w:color w:val="000000" w:themeColor="text1"/>
          <w:spacing w:val="-2"/>
          <w:sz w:val="16"/>
          <w:szCs w:val="16"/>
        </w:rPr>
        <w:t>., a to</w:t>
      </w:r>
      <w:proofErr w:type="gramEnd"/>
      <w:r w:rsidRPr="00516EE1">
        <w:rPr>
          <w:rFonts w:cs="Arial"/>
          <w:color w:val="000000" w:themeColor="text1"/>
          <w:spacing w:val="-2"/>
          <w:sz w:val="16"/>
          <w:szCs w:val="16"/>
        </w:rPr>
        <w:t xml:space="preserve"> jak u DPH, tak i u daně z příjmu fyzických osob ze závislé činnosti.</w:t>
      </w:r>
    </w:p>
  </w:footnote>
  <w:footnote w:id="3">
    <w:p w:rsidR="00DD7435" w:rsidRPr="001435CD" w:rsidRDefault="00DD7435" w:rsidP="000F74B6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16"/>
          <w:szCs w:val="16"/>
        </w:rPr>
      </w:pPr>
      <w:r w:rsidRPr="001435CD">
        <w:rPr>
          <w:rStyle w:val="Znakapoznpodarou"/>
          <w:sz w:val="16"/>
          <w:szCs w:val="16"/>
        </w:rPr>
        <w:footnoteRef/>
      </w:r>
      <w:r w:rsidRPr="001435CD">
        <w:rPr>
          <w:sz w:val="16"/>
          <w:szCs w:val="16"/>
        </w:rPr>
        <w:t xml:space="preserve"> Šlo o </w:t>
      </w:r>
      <w:proofErr w:type="spellStart"/>
      <w:r w:rsidRPr="001435CD">
        <w:rPr>
          <w:rFonts w:cs="Arial"/>
          <w:sz w:val="16"/>
          <w:szCs w:val="16"/>
        </w:rPr>
        <w:t>zastropování</w:t>
      </w:r>
      <w:proofErr w:type="spellEnd"/>
      <w:r w:rsidRPr="001435CD">
        <w:rPr>
          <w:rFonts w:cs="Arial"/>
          <w:sz w:val="16"/>
          <w:szCs w:val="16"/>
        </w:rPr>
        <w:t xml:space="preserve"> výdajových paušálů pro OSVČ (60 % a 80 %) na výši 2 mil. Kč. Naopak mírně negativně ovlivnily inkaso zvýšení daňového zvýhodnění na druhé a další dítě, </w:t>
      </w:r>
      <w:proofErr w:type="spellStart"/>
      <w:r w:rsidRPr="001435CD">
        <w:rPr>
          <w:rFonts w:cs="Arial"/>
          <w:sz w:val="16"/>
          <w:szCs w:val="16"/>
        </w:rPr>
        <w:t>školkovné</w:t>
      </w:r>
      <w:proofErr w:type="spellEnd"/>
      <w:r w:rsidRPr="001435CD">
        <w:rPr>
          <w:rFonts w:cs="Arial"/>
          <w:sz w:val="16"/>
          <w:szCs w:val="16"/>
        </w:rPr>
        <w:t xml:space="preserve"> či znovuzavedení slev pracujícím důchodcům (tyto změny jsou sice účinné od roku 2015, ale v důsledku splatnosti daně se promítají do jejího výběru až v roce 2016).</w:t>
      </w:r>
    </w:p>
  </w:footnote>
  <w:footnote w:id="4">
    <w:p w:rsidR="00DD7435" w:rsidRPr="006D0D31" w:rsidRDefault="00DD7435" w:rsidP="000F74B6">
      <w:pPr>
        <w:pStyle w:val="Textpoznpodarou"/>
        <w:jc w:val="both"/>
        <w:rPr>
          <w:rFonts w:cs="Arial"/>
          <w:sz w:val="16"/>
          <w:szCs w:val="16"/>
        </w:rPr>
      </w:pPr>
      <w:r w:rsidRPr="00952517">
        <w:rPr>
          <w:rStyle w:val="Znakapoznpodarou"/>
          <w:sz w:val="16"/>
          <w:szCs w:val="16"/>
        </w:rPr>
        <w:footnoteRef/>
      </w:r>
      <w:r w:rsidRPr="00952517">
        <w:rPr>
          <w:sz w:val="16"/>
          <w:szCs w:val="16"/>
        </w:rPr>
        <w:t xml:space="preserve"> </w:t>
      </w:r>
      <w:r w:rsidRPr="006D0D31">
        <w:rPr>
          <w:rFonts w:cs="Arial"/>
          <w:spacing w:val="-2"/>
          <w:sz w:val="16"/>
          <w:szCs w:val="16"/>
        </w:rPr>
        <w:t>Situace se příliš nezměnila ani během prázdninového období. Za prvních osm měsíců roku 2016 dosáhly veškeré kapitálové výdaje SR 46,5 mld</w:t>
      </w:r>
      <w:r w:rsidR="00867464">
        <w:rPr>
          <w:rFonts w:cs="Arial"/>
          <w:spacing w:val="-2"/>
          <w:sz w:val="16"/>
          <w:szCs w:val="16"/>
        </w:rPr>
        <w:t>. korun. K novému programovému</w:t>
      </w:r>
      <w:r w:rsidRPr="006D0D31">
        <w:rPr>
          <w:rFonts w:cs="Arial"/>
          <w:spacing w:val="-2"/>
          <w:sz w:val="16"/>
          <w:szCs w:val="16"/>
        </w:rPr>
        <w:t xml:space="preserve"> období EU se vázalo jen 8,4 mld. korun (resp. 16,2 mld. po započtení i běžných výdajů).</w:t>
      </w:r>
    </w:p>
  </w:footnote>
  <w:footnote w:id="5">
    <w:p w:rsidR="00DD7435" w:rsidRPr="006D0D31" w:rsidRDefault="00DD7435" w:rsidP="000F74B6">
      <w:pPr>
        <w:pStyle w:val="Textpoznpodarou"/>
        <w:jc w:val="both"/>
        <w:rPr>
          <w:rFonts w:cs="Arial"/>
          <w:sz w:val="16"/>
          <w:szCs w:val="16"/>
        </w:rPr>
      </w:pPr>
      <w:r w:rsidRPr="006D0D31">
        <w:rPr>
          <w:rStyle w:val="Znakapoznpodarou"/>
          <w:rFonts w:cs="Arial"/>
          <w:sz w:val="16"/>
          <w:szCs w:val="16"/>
        </w:rPr>
        <w:footnoteRef/>
      </w:r>
      <w:r w:rsidRPr="006D0D31">
        <w:rPr>
          <w:rFonts w:cs="Arial"/>
          <w:sz w:val="16"/>
          <w:szCs w:val="16"/>
        </w:rPr>
        <w:t xml:space="preserve"> Předběžné údaje o dluhu a deficitu sektoru vládních institucí za 2. čtvrtletí 2016 zveřejní ČSÚ 3. října 2016, </w:t>
      </w:r>
      <w:proofErr w:type="spellStart"/>
      <w:r w:rsidRPr="006D0D31">
        <w:rPr>
          <w:rFonts w:cs="Arial"/>
          <w:sz w:val="16"/>
          <w:szCs w:val="16"/>
        </w:rPr>
        <w:t>Eurostat</w:t>
      </w:r>
      <w:proofErr w:type="spellEnd"/>
      <w:r w:rsidRPr="006D0D31">
        <w:rPr>
          <w:rFonts w:cs="Arial"/>
          <w:sz w:val="16"/>
          <w:szCs w:val="16"/>
        </w:rPr>
        <w:t xml:space="preserve"> pak 24. října.</w:t>
      </w:r>
    </w:p>
  </w:footnote>
  <w:footnote w:id="6">
    <w:p w:rsidR="00DD7435" w:rsidRPr="00552EAB" w:rsidRDefault="00DD7435" w:rsidP="000F74B6">
      <w:pPr>
        <w:pStyle w:val="Textpoznpodarou"/>
        <w:jc w:val="both"/>
        <w:rPr>
          <w:sz w:val="16"/>
          <w:szCs w:val="16"/>
        </w:rPr>
      </w:pPr>
      <w:r w:rsidRPr="006D0D31">
        <w:rPr>
          <w:rStyle w:val="Znakapoznpodarou"/>
          <w:rFonts w:cs="Arial"/>
          <w:sz w:val="16"/>
          <w:szCs w:val="16"/>
        </w:rPr>
        <w:footnoteRef/>
      </w:r>
      <w:r w:rsidRPr="006D0D31">
        <w:rPr>
          <w:rFonts w:cs="Arial"/>
          <w:sz w:val="16"/>
          <w:szCs w:val="16"/>
        </w:rPr>
        <w:t xml:space="preserve"> </w:t>
      </w:r>
      <w:r w:rsidRPr="006D0D31">
        <w:rPr>
          <w:rFonts w:cs="Arial"/>
          <w:color w:val="333333"/>
          <w:sz w:val="16"/>
          <w:szCs w:val="16"/>
        </w:rPr>
        <w:t xml:space="preserve">Indikátory salda hospodaření a dluhu vládních institucí jsou založeny na </w:t>
      </w:r>
      <w:proofErr w:type="spellStart"/>
      <w:r w:rsidRPr="006D0D31">
        <w:rPr>
          <w:rFonts w:cs="Arial"/>
          <w:color w:val="333333"/>
          <w:sz w:val="16"/>
          <w:szCs w:val="16"/>
        </w:rPr>
        <w:t>akruálním</w:t>
      </w:r>
      <w:proofErr w:type="spellEnd"/>
      <w:r w:rsidRPr="006D0D31">
        <w:rPr>
          <w:rFonts w:cs="Arial"/>
          <w:color w:val="333333"/>
          <w:sz w:val="16"/>
          <w:szCs w:val="16"/>
        </w:rPr>
        <w:t xml:space="preserve"> principu požadovaném metodikou ESA2010 a Manuálem k deficitu a dluhu. Dle </w:t>
      </w:r>
      <w:proofErr w:type="spellStart"/>
      <w:r w:rsidRPr="006D0D31">
        <w:rPr>
          <w:rFonts w:cs="Arial"/>
          <w:color w:val="333333"/>
          <w:sz w:val="16"/>
          <w:szCs w:val="16"/>
        </w:rPr>
        <w:t>akruálního</w:t>
      </w:r>
      <w:proofErr w:type="spellEnd"/>
      <w:r w:rsidRPr="006D0D31">
        <w:rPr>
          <w:rFonts w:cs="Arial"/>
          <w:color w:val="333333"/>
          <w:sz w:val="16"/>
          <w:szCs w:val="16"/>
        </w:rPr>
        <w:t xml:space="preserve"> principu jsou příjmy a výdaje přiřazeny období, se kterým věcně souvisí, tj. bez ohledu na období uskutečnění hotovostního toku (jak je tomu v případě pokladního plnění).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35" w:rsidRPr="00D766EF" w:rsidRDefault="00DD7435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pololetí 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35" w:rsidRPr="00D766EF" w:rsidRDefault="00DD7435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pololetí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6D9"/>
    <w:multiLevelType w:val="hybridMultilevel"/>
    <w:tmpl w:val="C56C358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0FE2"/>
    <w:multiLevelType w:val="hybridMultilevel"/>
    <w:tmpl w:val="03541CA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C501C8"/>
    <w:multiLevelType w:val="hybridMultilevel"/>
    <w:tmpl w:val="0C043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attachedTemplate r:id="rId1"/>
  <w:stylePaneFormatFilter w:val="102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0BD"/>
    <w:rsid w:val="00000FA7"/>
    <w:rsid w:val="00001EFF"/>
    <w:rsid w:val="00003687"/>
    <w:rsid w:val="00003C43"/>
    <w:rsid w:val="00007498"/>
    <w:rsid w:val="0000767A"/>
    <w:rsid w:val="000101F5"/>
    <w:rsid w:val="000104B9"/>
    <w:rsid w:val="00010702"/>
    <w:rsid w:val="00011191"/>
    <w:rsid w:val="0001159B"/>
    <w:rsid w:val="00011CCA"/>
    <w:rsid w:val="00012986"/>
    <w:rsid w:val="00014028"/>
    <w:rsid w:val="00015195"/>
    <w:rsid w:val="0001519F"/>
    <w:rsid w:val="0001572B"/>
    <w:rsid w:val="0001573E"/>
    <w:rsid w:val="000157DA"/>
    <w:rsid w:val="000162DB"/>
    <w:rsid w:val="00017F05"/>
    <w:rsid w:val="000202C6"/>
    <w:rsid w:val="00020946"/>
    <w:rsid w:val="00022081"/>
    <w:rsid w:val="0002292C"/>
    <w:rsid w:val="00022B41"/>
    <w:rsid w:val="0002434F"/>
    <w:rsid w:val="00024887"/>
    <w:rsid w:val="00024CBA"/>
    <w:rsid w:val="00025501"/>
    <w:rsid w:val="00026998"/>
    <w:rsid w:val="000304C4"/>
    <w:rsid w:val="0003066A"/>
    <w:rsid w:val="00030F14"/>
    <w:rsid w:val="000311C5"/>
    <w:rsid w:val="00032838"/>
    <w:rsid w:val="00032C12"/>
    <w:rsid w:val="00032E0C"/>
    <w:rsid w:val="00035CCF"/>
    <w:rsid w:val="00035FC6"/>
    <w:rsid w:val="0003705E"/>
    <w:rsid w:val="00037667"/>
    <w:rsid w:val="0004075D"/>
    <w:rsid w:val="000411E1"/>
    <w:rsid w:val="00043E05"/>
    <w:rsid w:val="0004694F"/>
    <w:rsid w:val="000500DC"/>
    <w:rsid w:val="00052052"/>
    <w:rsid w:val="00052172"/>
    <w:rsid w:val="00053CBA"/>
    <w:rsid w:val="00054E43"/>
    <w:rsid w:val="00055059"/>
    <w:rsid w:val="000553E4"/>
    <w:rsid w:val="000567FA"/>
    <w:rsid w:val="00056B26"/>
    <w:rsid w:val="00057C16"/>
    <w:rsid w:val="00060F26"/>
    <w:rsid w:val="00062D43"/>
    <w:rsid w:val="00062EC5"/>
    <w:rsid w:val="00064256"/>
    <w:rsid w:val="000706A4"/>
    <w:rsid w:val="00070A0C"/>
    <w:rsid w:val="00071F80"/>
    <w:rsid w:val="00072118"/>
    <w:rsid w:val="00073173"/>
    <w:rsid w:val="000779AC"/>
    <w:rsid w:val="00080AA8"/>
    <w:rsid w:val="00083803"/>
    <w:rsid w:val="00084393"/>
    <w:rsid w:val="0008716A"/>
    <w:rsid w:val="00087634"/>
    <w:rsid w:val="00091237"/>
    <w:rsid w:val="0009191B"/>
    <w:rsid w:val="000920EC"/>
    <w:rsid w:val="00092208"/>
    <w:rsid w:val="00092505"/>
    <w:rsid w:val="00092C9A"/>
    <w:rsid w:val="00094130"/>
    <w:rsid w:val="00097D02"/>
    <w:rsid w:val="000A1183"/>
    <w:rsid w:val="000A2121"/>
    <w:rsid w:val="000A2484"/>
    <w:rsid w:val="000A36CE"/>
    <w:rsid w:val="000A59BF"/>
    <w:rsid w:val="000A66C2"/>
    <w:rsid w:val="000B1CFE"/>
    <w:rsid w:val="000B210A"/>
    <w:rsid w:val="000B249B"/>
    <w:rsid w:val="000B3B01"/>
    <w:rsid w:val="000B3DB9"/>
    <w:rsid w:val="000B3F02"/>
    <w:rsid w:val="000B48A2"/>
    <w:rsid w:val="000B48E7"/>
    <w:rsid w:val="000B4F41"/>
    <w:rsid w:val="000B7663"/>
    <w:rsid w:val="000C1106"/>
    <w:rsid w:val="000C11D3"/>
    <w:rsid w:val="000C12F5"/>
    <w:rsid w:val="000C3408"/>
    <w:rsid w:val="000C5C0F"/>
    <w:rsid w:val="000C5D56"/>
    <w:rsid w:val="000C6498"/>
    <w:rsid w:val="000D0D51"/>
    <w:rsid w:val="000D14B3"/>
    <w:rsid w:val="000D208B"/>
    <w:rsid w:val="000D263E"/>
    <w:rsid w:val="000D2B8D"/>
    <w:rsid w:val="000D2E41"/>
    <w:rsid w:val="000D342A"/>
    <w:rsid w:val="000D5E7A"/>
    <w:rsid w:val="000D5FAA"/>
    <w:rsid w:val="000D65A4"/>
    <w:rsid w:val="000D6AEF"/>
    <w:rsid w:val="000E025B"/>
    <w:rsid w:val="000E0ECB"/>
    <w:rsid w:val="000E153A"/>
    <w:rsid w:val="000E19A8"/>
    <w:rsid w:val="000E1EEA"/>
    <w:rsid w:val="000E4A42"/>
    <w:rsid w:val="000E6476"/>
    <w:rsid w:val="000E78D2"/>
    <w:rsid w:val="000F3332"/>
    <w:rsid w:val="000F33EE"/>
    <w:rsid w:val="000F401E"/>
    <w:rsid w:val="000F5445"/>
    <w:rsid w:val="000F5673"/>
    <w:rsid w:val="000F67B2"/>
    <w:rsid w:val="000F74B6"/>
    <w:rsid w:val="000F790F"/>
    <w:rsid w:val="000F7E1B"/>
    <w:rsid w:val="00100014"/>
    <w:rsid w:val="0010039A"/>
    <w:rsid w:val="00101E94"/>
    <w:rsid w:val="00101FB2"/>
    <w:rsid w:val="00102CB8"/>
    <w:rsid w:val="00102F02"/>
    <w:rsid w:val="0010385D"/>
    <w:rsid w:val="00103E41"/>
    <w:rsid w:val="001041B6"/>
    <w:rsid w:val="001070EA"/>
    <w:rsid w:val="0011002A"/>
    <w:rsid w:val="001107CE"/>
    <w:rsid w:val="0011110A"/>
    <w:rsid w:val="001118AF"/>
    <w:rsid w:val="00111CA5"/>
    <w:rsid w:val="0011256E"/>
    <w:rsid w:val="0011352E"/>
    <w:rsid w:val="00114FC0"/>
    <w:rsid w:val="00115496"/>
    <w:rsid w:val="00116DB9"/>
    <w:rsid w:val="00116F28"/>
    <w:rsid w:val="00121C39"/>
    <w:rsid w:val="00123255"/>
    <w:rsid w:val="00124D2D"/>
    <w:rsid w:val="00124DA1"/>
    <w:rsid w:val="00125326"/>
    <w:rsid w:val="00125CB5"/>
    <w:rsid w:val="00127535"/>
    <w:rsid w:val="001307BE"/>
    <w:rsid w:val="00130C8F"/>
    <w:rsid w:val="001314F2"/>
    <w:rsid w:val="001317DA"/>
    <w:rsid w:val="001323BA"/>
    <w:rsid w:val="0013254D"/>
    <w:rsid w:val="00133AAC"/>
    <w:rsid w:val="00133FBD"/>
    <w:rsid w:val="00136561"/>
    <w:rsid w:val="001400E1"/>
    <w:rsid w:val="001405FA"/>
    <w:rsid w:val="001413B3"/>
    <w:rsid w:val="001425C3"/>
    <w:rsid w:val="00142F16"/>
    <w:rsid w:val="00143E03"/>
    <w:rsid w:val="00143E93"/>
    <w:rsid w:val="0014428D"/>
    <w:rsid w:val="001500FC"/>
    <w:rsid w:val="00151AC0"/>
    <w:rsid w:val="00151B27"/>
    <w:rsid w:val="00152046"/>
    <w:rsid w:val="00154147"/>
    <w:rsid w:val="001550F3"/>
    <w:rsid w:val="00155746"/>
    <w:rsid w:val="00156318"/>
    <w:rsid w:val="0015639A"/>
    <w:rsid w:val="0016081D"/>
    <w:rsid w:val="00160CF3"/>
    <w:rsid w:val="00160E61"/>
    <w:rsid w:val="001620FA"/>
    <w:rsid w:val="00162853"/>
    <w:rsid w:val="00163793"/>
    <w:rsid w:val="00167FB2"/>
    <w:rsid w:val="001707DE"/>
    <w:rsid w:val="00170B04"/>
    <w:rsid w:val="00170F47"/>
    <w:rsid w:val="001711F2"/>
    <w:rsid w:val="001714F2"/>
    <w:rsid w:val="00173642"/>
    <w:rsid w:val="00173A53"/>
    <w:rsid w:val="00173AF4"/>
    <w:rsid w:val="00173CB0"/>
    <w:rsid w:val="00174CE8"/>
    <w:rsid w:val="00175351"/>
    <w:rsid w:val="00175F60"/>
    <w:rsid w:val="00176050"/>
    <w:rsid w:val="001764D8"/>
    <w:rsid w:val="00176A8F"/>
    <w:rsid w:val="00180D58"/>
    <w:rsid w:val="00182981"/>
    <w:rsid w:val="00184CF9"/>
    <w:rsid w:val="00185010"/>
    <w:rsid w:val="001852EC"/>
    <w:rsid w:val="00186447"/>
    <w:rsid w:val="001874CF"/>
    <w:rsid w:val="00190214"/>
    <w:rsid w:val="00190D9B"/>
    <w:rsid w:val="00191BAE"/>
    <w:rsid w:val="00193432"/>
    <w:rsid w:val="0019346C"/>
    <w:rsid w:val="00195444"/>
    <w:rsid w:val="001A199D"/>
    <w:rsid w:val="001A2BDB"/>
    <w:rsid w:val="001A30F4"/>
    <w:rsid w:val="001A4C0D"/>
    <w:rsid w:val="001A552F"/>
    <w:rsid w:val="001A56F3"/>
    <w:rsid w:val="001A737B"/>
    <w:rsid w:val="001A750C"/>
    <w:rsid w:val="001B1D89"/>
    <w:rsid w:val="001B3110"/>
    <w:rsid w:val="001B4198"/>
    <w:rsid w:val="001B44BC"/>
    <w:rsid w:val="001B5888"/>
    <w:rsid w:val="001B618F"/>
    <w:rsid w:val="001B6545"/>
    <w:rsid w:val="001B681B"/>
    <w:rsid w:val="001B6A49"/>
    <w:rsid w:val="001B7231"/>
    <w:rsid w:val="001B74FB"/>
    <w:rsid w:val="001B77A1"/>
    <w:rsid w:val="001C0422"/>
    <w:rsid w:val="001C0E0E"/>
    <w:rsid w:val="001C0EB9"/>
    <w:rsid w:val="001C1219"/>
    <w:rsid w:val="001C357A"/>
    <w:rsid w:val="001C3A37"/>
    <w:rsid w:val="001C4384"/>
    <w:rsid w:val="001C65FF"/>
    <w:rsid w:val="001D47E5"/>
    <w:rsid w:val="001D584C"/>
    <w:rsid w:val="001D5E1B"/>
    <w:rsid w:val="001D66C1"/>
    <w:rsid w:val="001D7C6F"/>
    <w:rsid w:val="001E0024"/>
    <w:rsid w:val="001E0C65"/>
    <w:rsid w:val="001E23E3"/>
    <w:rsid w:val="001E387A"/>
    <w:rsid w:val="001E3DA4"/>
    <w:rsid w:val="001E5830"/>
    <w:rsid w:val="001E684C"/>
    <w:rsid w:val="001E701C"/>
    <w:rsid w:val="001E7C03"/>
    <w:rsid w:val="001F02AF"/>
    <w:rsid w:val="001F0649"/>
    <w:rsid w:val="001F28F4"/>
    <w:rsid w:val="001F2CC6"/>
    <w:rsid w:val="001F3055"/>
    <w:rsid w:val="001F31BC"/>
    <w:rsid w:val="001F378E"/>
    <w:rsid w:val="001F3C79"/>
    <w:rsid w:val="001F3E68"/>
    <w:rsid w:val="001F4597"/>
    <w:rsid w:val="001F56A9"/>
    <w:rsid w:val="001F5C6A"/>
    <w:rsid w:val="001F63A7"/>
    <w:rsid w:val="001F670A"/>
    <w:rsid w:val="00200D15"/>
    <w:rsid w:val="0020223B"/>
    <w:rsid w:val="00203074"/>
    <w:rsid w:val="00203B46"/>
    <w:rsid w:val="002048E1"/>
    <w:rsid w:val="00207DB6"/>
    <w:rsid w:val="00210278"/>
    <w:rsid w:val="00210CC2"/>
    <w:rsid w:val="00210F5B"/>
    <w:rsid w:val="00210FFA"/>
    <w:rsid w:val="00211262"/>
    <w:rsid w:val="002115F5"/>
    <w:rsid w:val="00211AC9"/>
    <w:rsid w:val="0021355B"/>
    <w:rsid w:val="002179F9"/>
    <w:rsid w:val="002205F2"/>
    <w:rsid w:val="0022080E"/>
    <w:rsid w:val="0022139E"/>
    <w:rsid w:val="0022272B"/>
    <w:rsid w:val="00222A99"/>
    <w:rsid w:val="00223678"/>
    <w:rsid w:val="002236F7"/>
    <w:rsid w:val="00223E00"/>
    <w:rsid w:val="002252E0"/>
    <w:rsid w:val="002255F6"/>
    <w:rsid w:val="00226466"/>
    <w:rsid w:val="002266D0"/>
    <w:rsid w:val="00226887"/>
    <w:rsid w:val="00230DAD"/>
    <w:rsid w:val="0023229C"/>
    <w:rsid w:val="0023355C"/>
    <w:rsid w:val="00234280"/>
    <w:rsid w:val="00235000"/>
    <w:rsid w:val="002350E3"/>
    <w:rsid w:val="00235330"/>
    <w:rsid w:val="00236443"/>
    <w:rsid w:val="00240773"/>
    <w:rsid w:val="00240815"/>
    <w:rsid w:val="00240A5B"/>
    <w:rsid w:val="00240C76"/>
    <w:rsid w:val="002411EF"/>
    <w:rsid w:val="00241446"/>
    <w:rsid w:val="00242730"/>
    <w:rsid w:val="002436BA"/>
    <w:rsid w:val="002444ED"/>
    <w:rsid w:val="00244A15"/>
    <w:rsid w:val="00244D40"/>
    <w:rsid w:val="00246AE9"/>
    <w:rsid w:val="0024799E"/>
    <w:rsid w:val="00250C59"/>
    <w:rsid w:val="00250E0D"/>
    <w:rsid w:val="002518F6"/>
    <w:rsid w:val="00251D59"/>
    <w:rsid w:val="00252602"/>
    <w:rsid w:val="00252FDC"/>
    <w:rsid w:val="002532E2"/>
    <w:rsid w:val="002550D8"/>
    <w:rsid w:val="00257613"/>
    <w:rsid w:val="00261E5B"/>
    <w:rsid w:val="00262F34"/>
    <w:rsid w:val="00263470"/>
    <w:rsid w:val="00263733"/>
    <w:rsid w:val="00264676"/>
    <w:rsid w:val="00265536"/>
    <w:rsid w:val="00265E54"/>
    <w:rsid w:val="00266F3E"/>
    <w:rsid w:val="00270785"/>
    <w:rsid w:val="00272464"/>
    <w:rsid w:val="00273DCD"/>
    <w:rsid w:val="00274291"/>
    <w:rsid w:val="00276CFE"/>
    <w:rsid w:val="00277071"/>
    <w:rsid w:val="0027786C"/>
    <w:rsid w:val="00277BF7"/>
    <w:rsid w:val="00281416"/>
    <w:rsid w:val="00285CD3"/>
    <w:rsid w:val="0028686A"/>
    <w:rsid w:val="00286E66"/>
    <w:rsid w:val="002870B7"/>
    <w:rsid w:val="002919B5"/>
    <w:rsid w:val="00293441"/>
    <w:rsid w:val="00294238"/>
    <w:rsid w:val="0029493E"/>
    <w:rsid w:val="002962E0"/>
    <w:rsid w:val="00296C2E"/>
    <w:rsid w:val="002A1B05"/>
    <w:rsid w:val="002A267F"/>
    <w:rsid w:val="002A3354"/>
    <w:rsid w:val="002A35EA"/>
    <w:rsid w:val="002A37B6"/>
    <w:rsid w:val="002A3BD5"/>
    <w:rsid w:val="002A43A2"/>
    <w:rsid w:val="002A44ED"/>
    <w:rsid w:val="002A4612"/>
    <w:rsid w:val="002A4F70"/>
    <w:rsid w:val="002A5263"/>
    <w:rsid w:val="002A6821"/>
    <w:rsid w:val="002A74D2"/>
    <w:rsid w:val="002A7CDA"/>
    <w:rsid w:val="002A7F47"/>
    <w:rsid w:val="002B1544"/>
    <w:rsid w:val="002B1DC1"/>
    <w:rsid w:val="002B36C8"/>
    <w:rsid w:val="002B71B4"/>
    <w:rsid w:val="002B7240"/>
    <w:rsid w:val="002C0FF4"/>
    <w:rsid w:val="002C125A"/>
    <w:rsid w:val="002C2668"/>
    <w:rsid w:val="002C43BD"/>
    <w:rsid w:val="002C493D"/>
    <w:rsid w:val="002C5261"/>
    <w:rsid w:val="002C6091"/>
    <w:rsid w:val="002D0562"/>
    <w:rsid w:val="002D1B5A"/>
    <w:rsid w:val="002D2500"/>
    <w:rsid w:val="002D338A"/>
    <w:rsid w:val="002D3F00"/>
    <w:rsid w:val="002D4D59"/>
    <w:rsid w:val="002D54BF"/>
    <w:rsid w:val="002D5E94"/>
    <w:rsid w:val="002D632D"/>
    <w:rsid w:val="002D6FC7"/>
    <w:rsid w:val="002E02A1"/>
    <w:rsid w:val="002E0982"/>
    <w:rsid w:val="002E0DB9"/>
    <w:rsid w:val="002E2CE4"/>
    <w:rsid w:val="002E34F3"/>
    <w:rsid w:val="002E435E"/>
    <w:rsid w:val="002E73F2"/>
    <w:rsid w:val="002F33FB"/>
    <w:rsid w:val="002F663A"/>
    <w:rsid w:val="002F68A4"/>
    <w:rsid w:val="002F7594"/>
    <w:rsid w:val="00300D6F"/>
    <w:rsid w:val="00301357"/>
    <w:rsid w:val="00301D04"/>
    <w:rsid w:val="003035D4"/>
    <w:rsid w:val="00303DCB"/>
    <w:rsid w:val="00304771"/>
    <w:rsid w:val="00305736"/>
    <w:rsid w:val="00306C5B"/>
    <w:rsid w:val="00306E3B"/>
    <w:rsid w:val="003119B6"/>
    <w:rsid w:val="00312C3D"/>
    <w:rsid w:val="00314331"/>
    <w:rsid w:val="00317E31"/>
    <w:rsid w:val="00320214"/>
    <w:rsid w:val="003209D6"/>
    <w:rsid w:val="0032109A"/>
    <w:rsid w:val="0032214F"/>
    <w:rsid w:val="00322164"/>
    <w:rsid w:val="00323CF7"/>
    <w:rsid w:val="00323E61"/>
    <w:rsid w:val="0032513D"/>
    <w:rsid w:val="00326251"/>
    <w:rsid w:val="0032739C"/>
    <w:rsid w:val="00327DEE"/>
    <w:rsid w:val="003302DA"/>
    <w:rsid w:val="00330EB0"/>
    <w:rsid w:val="0033229B"/>
    <w:rsid w:val="003329F3"/>
    <w:rsid w:val="0033352E"/>
    <w:rsid w:val="00333690"/>
    <w:rsid w:val="00333D20"/>
    <w:rsid w:val="00333F53"/>
    <w:rsid w:val="003340EF"/>
    <w:rsid w:val="00334A49"/>
    <w:rsid w:val="0033536F"/>
    <w:rsid w:val="00335BB0"/>
    <w:rsid w:val="0033627B"/>
    <w:rsid w:val="003406BD"/>
    <w:rsid w:val="00343474"/>
    <w:rsid w:val="00343F84"/>
    <w:rsid w:val="00344135"/>
    <w:rsid w:val="003450E2"/>
    <w:rsid w:val="00351B63"/>
    <w:rsid w:val="00352E57"/>
    <w:rsid w:val="003541B0"/>
    <w:rsid w:val="0035457E"/>
    <w:rsid w:val="00355885"/>
    <w:rsid w:val="0035605E"/>
    <w:rsid w:val="00357449"/>
    <w:rsid w:val="0036238B"/>
    <w:rsid w:val="003651A4"/>
    <w:rsid w:val="00365680"/>
    <w:rsid w:val="003657F3"/>
    <w:rsid w:val="00366D4D"/>
    <w:rsid w:val="00367038"/>
    <w:rsid w:val="00370963"/>
    <w:rsid w:val="0037144E"/>
    <w:rsid w:val="003736B5"/>
    <w:rsid w:val="00374F1E"/>
    <w:rsid w:val="00376DEC"/>
    <w:rsid w:val="00377200"/>
    <w:rsid w:val="0038034A"/>
    <w:rsid w:val="00380E04"/>
    <w:rsid w:val="00380E6C"/>
    <w:rsid w:val="00383227"/>
    <w:rsid w:val="003839C9"/>
    <w:rsid w:val="00384D8F"/>
    <w:rsid w:val="00385D98"/>
    <w:rsid w:val="00385EC5"/>
    <w:rsid w:val="0038658E"/>
    <w:rsid w:val="0039066E"/>
    <w:rsid w:val="00391C95"/>
    <w:rsid w:val="00392110"/>
    <w:rsid w:val="00394D49"/>
    <w:rsid w:val="00396DAC"/>
    <w:rsid w:val="003A0214"/>
    <w:rsid w:val="003A027D"/>
    <w:rsid w:val="003A1D74"/>
    <w:rsid w:val="003A2B4D"/>
    <w:rsid w:val="003A2D2B"/>
    <w:rsid w:val="003A2DD4"/>
    <w:rsid w:val="003A3B1C"/>
    <w:rsid w:val="003A4088"/>
    <w:rsid w:val="003A478C"/>
    <w:rsid w:val="003A4F82"/>
    <w:rsid w:val="003A5525"/>
    <w:rsid w:val="003A6B38"/>
    <w:rsid w:val="003B2580"/>
    <w:rsid w:val="003B2E63"/>
    <w:rsid w:val="003B3189"/>
    <w:rsid w:val="003B3A9D"/>
    <w:rsid w:val="003B3DDD"/>
    <w:rsid w:val="003B5031"/>
    <w:rsid w:val="003B5A32"/>
    <w:rsid w:val="003B6105"/>
    <w:rsid w:val="003C03CC"/>
    <w:rsid w:val="003C04C4"/>
    <w:rsid w:val="003C26F4"/>
    <w:rsid w:val="003C3686"/>
    <w:rsid w:val="003C4852"/>
    <w:rsid w:val="003C5BC7"/>
    <w:rsid w:val="003C601E"/>
    <w:rsid w:val="003C66C4"/>
    <w:rsid w:val="003D2C4E"/>
    <w:rsid w:val="003D3600"/>
    <w:rsid w:val="003D3825"/>
    <w:rsid w:val="003D3EC4"/>
    <w:rsid w:val="003D4760"/>
    <w:rsid w:val="003D49DC"/>
    <w:rsid w:val="003D4DD9"/>
    <w:rsid w:val="003D5D7A"/>
    <w:rsid w:val="003D653F"/>
    <w:rsid w:val="003E0663"/>
    <w:rsid w:val="003E133F"/>
    <w:rsid w:val="003E49F6"/>
    <w:rsid w:val="003E699C"/>
    <w:rsid w:val="003E69F3"/>
    <w:rsid w:val="003E782E"/>
    <w:rsid w:val="003E7A0B"/>
    <w:rsid w:val="003E7B2B"/>
    <w:rsid w:val="003F181F"/>
    <w:rsid w:val="003F1A48"/>
    <w:rsid w:val="003F1E23"/>
    <w:rsid w:val="003F22F6"/>
    <w:rsid w:val="003F2B0A"/>
    <w:rsid w:val="003F313C"/>
    <w:rsid w:val="003F341B"/>
    <w:rsid w:val="003F37FC"/>
    <w:rsid w:val="003F3A26"/>
    <w:rsid w:val="003F49A6"/>
    <w:rsid w:val="003F5098"/>
    <w:rsid w:val="003F5568"/>
    <w:rsid w:val="003F5A95"/>
    <w:rsid w:val="003F6D19"/>
    <w:rsid w:val="004000D5"/>
    <w:rsid w:val="00400244"/>
    <w:rsid w:val="004005C1"/>
    <w:rsid w:val="00401716"/>
    <w:rsid w:val="00401A09"/>
    <w:rsid w:val="0040273A"/>
    <w:rsid w:val="00402C25"/>
    <w:rsid w:val="004050D7"/>
    <w:rsid w:val="004078BD"/>
    <w:rsid w:val="00410132"/>
    <w:rsid w:val="00410BCD"/>
    <w:rsid w:val="00410DE5"/>
    <w:rsid w:val="0041175D"/>
    <w:rsid w:val="004117CE"/>
    <w:rsid w:val="004123BE"/>
    <w:rsid w:val="00414CE5"/>
    <w:rsid w:val="00416673"/>
    <w:rsid w:val="0042160D"/>
    <w:rsid w:val="00423A3C"/>
    <w:rsid w:val="0042681B"/>
    <w:rsid w:val="00427193"/>
    <w:rsid w:val="0043068A"/>
    <w:rsid w:val="004306E0"/>
    <w:rsid w:val="00431D54"/>
    <w:rsid w:val="004329BE"/>
    <w:rsid w:val="00432C38"/>
    <w:rsid w:val="004342EC"/>
    <w:rsid w:val="00437C76"/>
    <w:rsid w:val="0044105C"/>
    <w:rsid w:val="00443E95"/>
    <w:rsid w:val="004441A0"/>
    <w:rsid w:val="00444268"/>
    <w:rsid w:val="00444326"/>
    <w:rsid w:val="004443BF"/>
    <w:rsid w:val="00444C19"/>
    <w:rsid w:val="00445218"/>
    <w:rsid w:val="00445CDD"/>
    <w:rsid w:val="00446892"/>
    <w:rsid w:val="00447E36"/>
    <w:rsid w:val="00450700"/>
    <w:rsid w:val="00450C30"/>
    <w:rsid w:val="004529C7"/>
    <w:rsid w:val="004540FF"/>
    <w:rsid w:val="004541F1"/>
    <w:rsid w:val="00455ECA"/>
    <w:rsid w:val="00457296"/>
    <w:rsid w:val="00457320"/>
    <w:rsid w:val="00460164"/>
    <w:rsid w:val="0046039A"/>
    <w:rsid w:val="00460A6B"/>
    <w:rsid w:val="00461977"/>
    <w:rsid w:val="00461A3F"/>
    <w:rsid w:val="004629FD"/>
    <w:rsid w:val="00462AD2"/>
    <w:rsid w:val="00463B4B"/>
    <w:rsid w:val="00463F4D"/>
    <w:rsid w:val="0046471F"/>
    <w:rsid w:val="00464BE8"/>
    <w:rsid w:val="00465019"/>
    <w:rsid w:val="00465FA4"/>
    <w:rsid w:val="0046613F"/>
    <w:rsid w:val="0046655D"/>
    <w:rsid w:val="00466AAE"/>
    <w:rsid w:val="0046765E"/>
    <w:rsid w:val="004676E2"/>
    <w:rsid w:val="00471EDD"/>
    <w:rsid w:val="00473E94"/>
    <w:rsid w:val="0047400C"/>
    <w:rsid w:val="004745D9"/>
    <w:rsid w:val="004762D8"/>
    <w:rsid w:val="004765B3"/>
    <w:rsid w:val="00476D29"/>
    <w:rsid w:val="00477241"/>
    <w:rsid w:val="00477EAF"/>
    <w:rsid w:val="00477EE0"/>
    <w:rsid w:val="00480AB8"/>
    <w:rsid w:val="0048139F"/>
    <w:rsid w:val="00481C00"/>
    <w:rsid w:val="00483053"/>
    <w:rsid w:val="00484874"/>
    <w:rsid w:val="00485230"/>
    <w:rsid w:val="004879E9"/>
    <w:rsid w:val="00487F81"/>
    <w:rsid w:val="00490247"/>
    <w:rsid w:val="0049104F"/>
    <w:rsid w:val="00491218"/>
    <w:rsid w:val="00491CFD"/>
    <w:rsid w:val="00493362"/>
    <w:rsid w:val="00494343"/>
    <w:rsid w:val="00496C2F"/>
    <w:rsid w:val="0049740D"/>
    <w:rsid w:val="004978D3"/>
    <w:rsid w:val="004A11F8"/>
    <w:rsid w:val="004A22BD"/>
    <w:rsid w:val="004A22FA"/>
    <w:rsid w:val="004A269A"/>
    <w:rsid w:val="004A30FB"/>
    <w:rsid w:val="004A35DD"/>
    <w:rsid w:val="004A37D3"/>
    <w:rsid w:val="004A3AD6"/>
    <w:rsid w:val="004A5865"/>
    <w:rsid w:val="004A77DF"/>
    <w:rsid w:val="004B0295"/>
    <w:rsid w:val="004B0803"/>
    <w:rsid w:val="004B10A8"/>
    <w:rsid w:val="004B22DA"/>
    <w:rsid w:val="004B3CB7"/>
    <w:rsid w:val="004B3D55"/>
    <w:rsid w:val="004B55B7"/>
    <w:rsid w:val="004B5836"/>
    <w:rsid w:val="004B5F05"/>
    <w:rsid w:val="004C00A6"/>
    <w:rsid w:val="004C0BBB"/>
    <w:rsid w:val="004C1AD6"/>
    <w:rsid w:val="004C1B86"/>
    <w:rsid w:val="004C3382"/>
    <w:rsid w:val="004C3867"/>
    <w:rsid w:val="004C4AB7"/>
    <w:rsid w:val="004C4B88"/>
    <w:rsid w:val="004C4CD0"/>
    <w:rsid w:val="004C57B5"/>
    <w:rsid w:val="004C5C25"/>
    <w:rsid w:val="004C6717"/>
    <w:rsid w:val="004C6CFF"/>
    <w:rsid w:val="004C70DC"/>
    <w:rsid w:val="004C7268"/>
    <w:rsid w:val="004D0211"/>
    <w:rsid w:val="004D1C9C"/>
    <w:rsid w:val="004D458D"/>
    <w:rsid w:val="004D504B"/>
    <w:rsid w:val="004D536E"/>
    <w:rsid w:val="004D76CC"/>
    <w:rsid w:val="004E1839"/>
    <w:rsid w:val="004E4A75"/>
    <w:rsid w:val="004E541A"/>
    <w:rsid w:val="004E5A5C"/>
    <w:rsid w:val="004E7007"/>
    <w:rsid w:val="004E76D6"/>
    <w:rsid w:val="004E7F57"/>
    <w:rsid w:val="004F06F5"/>
    <w:rsid w:val="004F191F"/>
    <w:rsid w:val="004F2A4D"/>
    <w:rsid w:val="004F2A73"/>
    <w:rsid w:val="004F33A0"/>
    <w:rsid w:val="004F4353"/>
    <w:rsid w:val="004F447D"/>
    <w:rsid w:val="004F4C28"/>
    <w:rsid w:val="004F4E82"/>
    <w:rsid w:val="004F5470"/>
    <w:rsid w:val="004F5CC5"/>
    <w:rsid w:val="004F6350"/>
    <w:rsid w:val="005028E1"/>
    <w:rsid w:val="0050692E"/>
    <w:rsid w:val="00507040"/>
    <w:rsid w:val="005079F8"/>
    <w:rsid w:val="00510189"/>
    <w:rsid w:val="005108C0"/>
    <w:rsid w:val="00511873"/>
    <w:rsid w:val="0051367B"/>
    <w:rsid w:val="00513B7E"/>
    <w:rsid w:val="005140DE"/>
    <w:rsid w:val="00514474"/>
    <w:rsid w:val="005147E9"/>
    <w:rsid w:val="0051778E"/>
    <w:rsid w:val="005215EF"/>
    <w:rsid w:val="00524637"/>
    <w:rsid w:val="00524FDD"/>
    <w:rsid w:val="00525137"/>
    <w:rsid w:val="005251DD"/>
    <w:rsid w:val="00526DB6"/>
    <w:rsid w:val="0053017A"/>
    <w:rsid w:val="00530492"/>
    <w:rsid w:val="00532854"/>
    <w:rsid w:val="005350F2"/>
    <w:rsid w:val="00535152"/>
    <w:rsid w:val="00535359"/>
    <w:rsid w:val="005357A2"/>
    <w:rsid w:val="005359E3"/>
    <w:rsid w:val="00535D87"/>
    <w:rsid w:val="00535EF0"/>
    <w:rsid w:val="005363DF"/>
    <w:rsid w:val="0053734B"/>
    <w:rsid w:val="005375B1"/>
    <w:rsid w:val="00537AFD"/>
    <w:rsid w:val="00537CB4"/>
    <w:rsid w:val="0054516B"/>
    <w:rsid w:val="0054559E"/>
    <w:rsid w:val="005513D5"/>
    <w:rsid w:val="005523B9"/>
    <w:rsid w:val="005545E0"/>
    <w:rsid w:val="00554865"/>
    <w:rsid w:val="00554E57"/>
    <w:rsid w:val="00562749"/>
    <w:rsid w:val="00562DE9"/>
    <w:rsid w:val="005638A5"/>
    <w:rsid w:val="00566381"/>
    <w:rsid w:val="00566A03"/>
    <w:rsid w:val="00571932"/>
    <w:rsid w:val="00573C97"/>
    <w:rsid w:val="00574240"/>
    <w:rsid w:val="00575CDC"/>
    <w:rsid w:val="005765D5"/>
    <w:rsid w:val="00576A3E"/>
    <w:rsid w:val="0057703D"/>
    <w:rsid w:val="0058366F"/>
    <w:rsid w:val="00583D5B"/>
    <w:rsid w:val="00583FFD"/>
    <w:rsid w:val="00587CCD"/>
    <w:rsid w:val="005908AE"/>
    <w:rsid w:val="0059176E"/>
    <w:rsid w:val="00592854"/>
    <w:rsid w:val="00593152"/>
    <w:rsid w:val="00593CA3"/>
    <w:rsid w:val="00594161"/>
    <w:rsid w:val="00594969"/>
    <w:rsid w:val="00594B91"/>
    <w:rsid w:val="00596C5E"/>
    <w:rsid w:val="005A2194"/>
    <w:rsid w:val="005A21E0"/>
    <w:rsid w:val="005A33A1"/>
    <w:rsid w:val="005A54EE"/>
    <w:rsid w:val="005A563B"/>
    <w:rsid w:val="005A7500"/>
    <w:rsid w:val="005A77E4"/>
    <w:rsid w:val="005B1BDB"/>
    <w:rsid w:val="005B2BAA"/>
    <w:rsid w:val="005B2D53"/>
    <w:rsid w:val="005B3247"/>
    <w:rsid w:val="005B3409"/>
    <w:rsid w:val="005B498A"/>
    <w:rsid w:val="005B7B12"/>
    <w:rsid w:val="005C16CB"/>
    <w:rsid w:val="005C21D6"/>
    <w:rsid w:val="005C3F9F"/>
    <w:rsid w:val="005C406F"/>
    <w:rsid w:val="005C4A23"/>
    <w:rsid w:val="005C562C"/>
    <w:rsid w:val="005C5812"/>
    <w:rsid w:val="005C6400"/>
    <w:rsid w:val="005C7F1E"/>
    <w:rsid w:val="005D25B4"/>
    <w:rsid w:val="005D374F"/>
    <w:rsid w:val="005D5802"/>
    <w:rsid w:val="005D6CFC"/>
    <w:rsid w:val="005D73E2"/>
    <w:rsid w:val="005D757A"/>
    <w:rsid w:val="005D7C4B"/>
    <w:rsid w:val="005E1E4B"/>
    <w:rsid w:val="005E362D"/>
    <w:rsid w:val="005E3A0C"/>
    <w:rsid w:val="005E3FAC"/>
    <w:rsid w:val="005E492C"/>
    <w:rsid w:val="005E4BAA"/>
    <w:rsid w:val="005E52EF"/>
    <w:rsid w:val="005E5B56"/>
    <w:rsid w:val="005E6088"/>
    <w:rsid w:val="005E61DF"/>
    <w:rsid w:val="005E6B65"/>
    <w:rsid w:val="005E6B78"/>
    <w:rsid w:val="005E75B8"/>
    <w:rsid w:val="005F0976"/>
    <w:rsid w:val="005F26CE"/>
    <w:rsid w:val="005F4057"/>
    <w:rsid w:val="005F4088"/>
    <w:rsid w:val="005F4C83"/>
    <w:rsid w:val="005F601D"/>
    <w:rsid w:val="005F6119"/>
    <w:rsid w:val="005F7940"/>
    <w:rsid w:val="0060107A"/>
    <w:rsid w:val="00601AFF"/>
    <w:rsid w:val="00602D1D"/>
    <w:rsid w:val="00604307"/>
    <w:rsid w:val="0060487F"/>
    <w:rsid w:val="00605814"/>
    <w:rsid w:val="00606B93"/>
    <w:rsid w:val="00607727"/>
    <w:rsid w:val="00610BD5"/>
    <w:rsid w:val="00611363"/>
    <w:rsid w:val="00611531"/>
    <w:rsid w:val="006118AA"/>
    <w:rsid w:val="006139C7"/>
    <w:rsid w:val="006153E3"/>
    <w:rsid w:val="006167AB"/>
    <w:rsid w:val="00617D2D"/>
    <w:rsid w:val="00617D83"/>
    <w:rsid w:val="00620430"/>
    <w:rsid w:val="00620AC5"/>
    <w:rsid w:val="00621575"/>
    <w:rsid w:val="006215FC"/>
    <w:rsid w:val="00624093"/>
    <w:rsid w:val="00630F66"/>
    <w:rsid w:val="00631FC2"/>
    <w:rsid w:val="00632171"/>
    <w:rsid w:val="0063332A"/>
    <w:rsid w:val="006347F9"/>
    <w:rsid w:val="0063494E"/>
    <w:rsid w:val="00634C90"/>
    <w:rsid w:val="00635E79"/>
    <w:rsid w:val="00636E5E"/>
    <w:rsid w:val="006379E0"/>
    <w:rsid w:val="006404A7"/>
    <w:rsid w:val="006407F3"/>
    <w:rsid w:val="006408EC"/>
    <w:rsid w:val="0064129B"/>
    <w:rsid w:val="00641DF7"/>
    <w:rsid w:val="00643A80"/>
    <w:rsid w:val="00644DFC"/>
    <w:rsid w:val="006451E4"/>
    <w:rsid w:val="006454B4"/>
    <w:rsid w:val="00645A9C"/>
    <w:rsid w:val="006460B8"/>
    <w:rsid w:val="006504A0"/>
    <w:rsid w:val="006520C7"/>
    <w:rsid w:val="006520D5"/>
    <w:rsid w:val="00652CBB"/>
    <w:rsid w:val="006530B8"/>
    <w:rsid w:val="006535D6"/>
    <w:rsid w:val="00656716"/>
    <w:rsid w:val="006572ED"/>
    <w:rsid w:val="00657E87"/>
    <w:rsid w:val="00660457"/>
    <w:rsid w:val="00660CB4"/>
    <w:rsid w:val="00660E1E"/>
    <w:rsid w:val="006637B1"/>
    <w:rsid w:val="00664B64"/>
    <w:rsid w:val="00665D67"/>
    <w:rsid w:val="00665D77"/>
    <w:rsid w:val="006660CD"/>
    <w:rsid w:val="00666EC8"/>
    <w:rsid w:val="00666F4B"/>
    <w:rsid w:val="006676D0"/>
    <w:rsid w:val="0066796E"/>
    <w:rsid w:val="00670FAC"/>
    <w:rsid w:val="006710C9"/>
    <w:rsid w:val="006716A5"/>
    <w:rsid w:val="00675E37"/>
    <w:rsid w:val="006764ED"/>
    <w:rsid w:val="00676AFC"/>
    <w:rsid w:val="00676F11"/>
    <w:rsid w:val="00680079"/>
    <w:rsid w:val="00680F68"/>
    <w:rsid w:val="0068260E"/>
    <w:rsid w:val="0068373D"/>
    <w:rsid w:val="00683BFE"/>
    <w:rsid w:val="0068437D"/>
    <w:rsid w:val="006857DF"/>
    <w:rsid w:val="00685E66"/>
    <w:rsid w:val="00686B72"/>
    <w:rsid w:val="00686BF1"/>
    <w:rsid w:val="00687AE5"/>
    <w:rsid w:val="00690A09"/>
    <w:rsid w:val="00690A25"/>
    <w:rsid w:val="006936AD"/>
    <w:rsid w:val="00693EA1"/>
    <w:rsid w:val="00693FEA"/>
    <w:rsid w:val="00694930"/>
    <w:rsid w:val="00695170"/>
    <w:rsid w:val="00695BEF"/>
    <w:rsid w:val="006960D6"/>
    <w:rsid w:val="00696AA5"/>
    <w:rsid w:val="006977F6"/>
    <w:rsid w:val="00697A13"/>
    <w:rsid w:val="006A109C"/>
    <w:rsid w:val="006A18AE"/>
    <w:rsid w:val="006A2EE8"/>
    <w:rsid w:val="006A3CF3"/>
    <w:rsid w:val="006A568F"/>
    <w:rsid w:val="006A65EF"/>
    <w:rsid w:val="006A672B"/>
    <w:rsid w:val="006B23A9"/>
    <w:rsid w:val="006B281D"/>
    <w:rsid w:val="006B3F8A"/>
    <w:rsid w:val="006B5CA3"/>
    <w:rsid w:val="006B6B3B"/>
    <w:rsid w:val="006B7248"/>
    <w:rsid w:val="006B7714"/>
    <w:rsid w:val="006B78D8"/>
    <w:rsid w:val="006C090F"/>
    <w:rsid w:val="006C0935"/>
    <w:rsid w:val="006C0BCE"/>
    <w:rsid w:val="006C113F"/>
    <w:rsid w:val="006C2AED"/>
    <w:rsid w:val="006C38DD"/>
    <w:rsid w:val="006C457F"/>
    <w:rsid w:val="006C53C7"/>
    <w:rsid w:val="006C5577"/>
    <w:rsid w:val="006C559A"/>
    <w:rsid w:val="006C58FA"/>
    <w:rsid w:val="006D042D"/>
    <w:rsid w:val="006D06EF"/>
    <w:rsid w:val="006D142E"/>
    <w:rsid w:val="006D4497"/>
    <w:rsid w:val="006D4E6F"/>
    <w:rsid w:val="006D61F6"/>
    <w:rsid w:val="006E0EB0"/>
    <w:rsid w:val="006E1F4C"/>
    <w:rsid w:val="006E22C8"/>
    <w:rsid w:val="006E279A"/>
    <w:rsid w:val="006E2F3F"/>
    <w:rsid w:val="006E313B"/>
    <w:rsid w:val="006E442A"/>
    <w:rsid w:val="006E4434"/>
    <w:rsid w:val="006E59FC"/>
    <w:rsid w:val="006E5CFD"/>
    <w:rsid w:val="006E7E2C"/>
    <w:rsid w:val="006F1326"/>
    <w:rsid w:val="006F2BEE"/>
    <w:rsid w:val="006F3708"/>
    <w:rsid w:val="006F3E6B"/>
    <w:rsid w:val="006F4619"/>
    <w:rsid w:val="006F4A59"/>
    <w:rsid w:val="00700232"/>
    <w:rsid w:val="007014C7"/>
    <w:rsid w:val="00702D6F"/>
    <w:rsid w:val="00703B6C"/>
    <w:rsid w:val="00703C6B"/>
    <w:rsid w:val="007047D5"/>
    <w:rsid w:val="00705D98"/>
    <w:rsid w:val="00707891"/>
    <w:rsid w:val="00707D43"/>
    <w:rsid w:val="00711EF1"/>
    <w:rsid w:val="0071229A"/>
    <w:rsid w:val="00712572"/>
    <w:rsid w:val="00713495"/>
    <w:rsid w:val="00713EEB"/>
    <w:rsid w:val="007159D2"/>
    <w:rsid w:val="0072050E"/>
    <w:rsid w:val="00720FA2"/>
    <w:rsid w:val="007211F5"/>
    <w:rsid w:val="00724666"/>
    <w:rsid w:val="00725492"/>
    <w:rsid w:val="00726043"/>
    <w:rsid w:val="0072704A"/>
    <w:rsid w:val="00730AE8"/>
    <w:rsid w:val="007315DA"/>
    <w:rsid w:val="00731963"/>
    <w:rsid w:val="00734321"/>
    <w:rsid w:val="0073532E"/>
    <w:rsid w:val="00740310"/>
    <w:rsid w:val="00740652"/>
    <w:rsid w:val="00740F02"/>
    <w:rsid w:val="00740FEC"/>
    <w:rsid w:val="0074132E"/>
    <w:rsid w:val="00741493"/>
    <w:rsid w:val="007426B3"/>
    <w:rsid w:val="007426FD"/>
    <w:rsid w:val="0074329D"/>
    <w:rsid w:val="00744376"/>
    <w:rsid w:val="007449EA"/>
    <w:rsid w:val="00744D00"/>
    <w:rsid w:val="00744D2B"/>
    <w:rsid w:val="00745273"/>
    <w:rsid w:val="00746DD9"/>
    <w:rsid w:val="0075057A"/>
    <w:rsid w:val="00751771"/>
    <w:rsid w:val="00751C1C"/>
    <w:rsid w:val="00752180"/>
    <w:rsid w:val="007521A1"/>
    <w:rsid w:val="00752BC3"/>
    <w:rsid w:val="0075315D"/>
    <w:rsid w:val="007538F9"/>
    <w:rsid w:val="00754253"/>
    <w:rsid w:val="007552BB"/>
    <w:rsid w:val="007558D3"/>
    <w:rsid w:val="007559D7"/>
    <w:rsid w:val="00755D3A"/>
    <w:rsid w:val="00760141"/>
    <w:rsid w:val="007609C6"/>
    <w:rsid w:val="007610A0"/>
    <w:rsid w:val="00762036"/>
    <w:rsid w:val="007620F2"/>
    <w:rsid w:val="00762EBA"/>
    <w:rsid w:val="0076359D"/>
    <w:rsid w:val="0077058D"/>
    <w:rsid w:val="00772536"/>
    <w:rsid w:val="00773613"/>
    <w:rsid w:val="00774782"/>
    <w:rsid w:val="00776476"/>
    <w:rsid w:val="00776527"/>
    <w:rsid w:val="007805E1"/>
    <w:rsid w:val="0078113E"/>
    <w:rsid w:val="00781834"/>
    <w:rsid w:val="007821DB"/>
    <w:rsid w:val="00782818"/>
    <w:rsid w:val="007838F1"/>
    <w:rsid w:val="00784C4A"/>
    <w:rsid w:val="00787432"/>
    <w:rsid w:val="00787507"/>
    <w:rsid w:val="007879F2"/>
    <w:rsid w:val="00791804"/>
    <w:rsid w:val="00791CF8"/>
    <w:rsid w:val="00791EF9"/>
    <w:rsid w:val="00792262"/>
    <w:rsid w:val="00793387"/>
    <w:rsid w:val="00793BAE"/>
    <w:rsid w:val="00794E0A"/>
    <w:rsid w:val="00796642"/>
    <w:rsid w:val="007A11D9"/>
    <w:rsid w:val="007A327B"/>
    <w:rsid w:val="007A4048"/>
    <w:rsid w:val="007A45B1"/>
    <w:rsid w:val="007A4606"/>
    <w:rsid w:val="007B0D67"/>
    <w:rsid w:val="007B1966"/>
    <w:rsid w:val="007B2779"/>
    <w:rsid w:val="007B3DCC"/>
    <w:rsid w:val="007B4518"/>
    <w:rsid w:val="007B5031"/>
    <w:rsid w:val="007B573F"/>
    <w:rsid w:val="007B78F8"/>
    <w:rsid w:val="007C0065"/>
    <w:rsid w:val="007C010B"/>
    <w:rsid w:val="007C3AE3"/>
    <w:rsid w:val="007C605B"/>
    <w:rsid w:val="007D2A5A"/>
    <w:rsid w:val="007D2AD8"/>
    <w:rsid w:val="007D2C47"/>
    <w:rsid w:val="007D2F81"/>
    <w:rsid w:val="007D3167"/>
    <w:rsid w:val="007D4128"/>
    <w:rsid w:val="007D4281"/>
    <w:rsid w:val="007D42F5"/>
    <w:rsid w:val="007D44C3"/>
    <w:rsid w:val="007D5947"/>
    <w:rsid w:val="007D65C1"/>
    <w:rsid w:val="007E030F"/>
    <w:rsid w:val="007E0E59"/>
    <w:rsid w:val="007E0F4B"/>
    <w:rsid w:val="007E3715"/>
    <w:rsid w:val="007E7E61"/>
    <w:rsid w:val="007F0845"/>
    <w:rsid w:val="007F16F9"/>
    <w:rsid w:val="007F3E3E"/>
    <w:rsid w:val="007F42E0"/>
    <w:rsid w:val="007F500D"/>
    <w:rsid w:val="007F5F14"/>
    <w:rsid w:val="007F7B54"/>
    <w:rsid w:val="00800073"/>
    <w:rsid w:val="008005D7"/>
    <w:rsid w:val="00801FDD"/>
    <w:rsid w:val="008020C2"/>
    <w:rsid w:val="0080255C"/>
    <w:rsid w:val="00806088"/>
    <w:rsid w:val="00806D07"/>
    <w:rsid w:val="0081019B"/>
    <w:rsid w:val="0081187C"/>
    <w:rsid w:val="00811E24"/>
    <w:rsid w:val="00812386"/>
    <w:rsid w:val="00812E2B"/>
    <w:rsid w:val="00813A70"/>
    <w:rsid w:val="00813FE6"/>
    <w:rsid w:val="00815C6E"/>
    <w:rsid w:val="0081645F"/>
    <w:rsid w:val="00817755"/>
    <w:rsid w:val="008178C2"/>
    <w:rsid w:val="008178CF"/>
    <w:rsid w:val="00817C98"/>
    <w:rsid w:val="00820C9F"/>
    <w:rsid w:val="00821FF6"/>
    <w:rsid w:val="00823AAF"/>
    <w:rsid w:val="00824081"/>
    <w:rsid w:val="0082409A"/>
    <w:rsid w:val="008252D7"/>
    <w:rsid w:val="00825C0F"/>
    <w:rsid w:val="00826ED1"/>
    <w:rsid w:val="00827181"/>
    <w:rsid w:val="0082733C"/>
    <w:rsid w:val="00827746"/>
    <w:rsid w:val="0083102D"/>
    <w:rsid w:val="0083143E"/>
    <w:rsid w:val="0083159D"/>
    <w:rsid w:val="008318FF"/>
    <w:rsid w:val="00832187"/>
    <w:rsid w:val="00832493"/>
    <w:rsid w:val="008329BD"/>
    <w:rsid w:val="008336D8"/>
    <w:rsid w:val="008339C4"/>
    <w:rsid w:val="00834F0A"/>
    <w:rsid w:val="00834FAA"/>
    <w:rsid w:val="00835181"/>
    <w:rsid w:val="00835991"/>
    <w:rsid w:val="00836086"/>
    <w:rsid w:val="00840699"/>
    <w:rsid w:val="00841D9F"/>
    <w:rsid w:val="00842604"/>
    <w:rsid w:val="00843ECF"/>
    <w:rsid w:val="00845AB1"/>
    <w:rsid w:val="00846673"/>
    <w:rsid w:val="0085281A"/>
    <w:rsid w:val="00853F33"/>
    <w:rsid w:val="008559FE"/>
    <w:rsid w:val="00857339"/>
    <w:rsid w:val="00860706"/>
    <w:rsid w:val="00862A7A"/>
    <w:rsid w:val="00863104"/>
    <w:rsid w:val="008636CD"/>
    <w:rsid w:val="00863702"/>
    <w:rsid w:val="00863D9E"/>
    <w:rsid w:val="00863FDC"/>
    <w:rsid w:val="008642AF"/>
    <w:rsid w:val="00865729"/>
    <w:rsid w:val="00865ED4"/>
    <w:rsid w:val="008669A7"/>
    <w:rsid w:val="00867464"/>
    <w:rsid w:val="00867E29"/>
    <w:rsid w:val="00870F2B"/>
    <w:rsid w:val="00873B2E"/>
    <w:rsid w:val="008746E6"/>
    <w:rsid w:val="0087594C"/>
    <w:rsid w:val="00876086"/>
    <w:rsid w:val="008765FA"/>
    <w:rsid w:val="008768D6"/>
    <w:rsid w:val="008775D1"/>
    <w:rsid w:val="008777BB"/>
    <w:rsid w:val="00877D68"/>
    <w:rsid w:val="00877E5D"/>
    <w:rsid w:val="00880150"/>
    <w:rsid w:val="00880ABA"/>
    <w:rsid w:val="00883A67"/>
    <w:rsid w:val="00883D45"/>
    <w:rsid w:val="00884D69"/>
    <w:rsid w:val="0088503D"/>
    <w:rsid w:val="00886A8F"/>
    <w:rsid w:val="0088733A"/>
    <w:rsid w:val="00891BE0"/>
    <w:rsid w:val="00893302"/>
    <w:rsid w:val="00893648"/>
    <w:rsid w:val="00893F3C"/>
    <w:rsid w:val="008945A1"/>
    <w:rsid w:val="00894A63"/>
    <w:rsid w:val="00895A54"/>
    <w:rsid w:val="00896916"/>
    <w:rsid w:val="00896BDE"/>
    <w:rsid w:val="008A0861"/>
    <w:rsid w:val="008A0BB2"/>
    <w:rsid w:val="008A1AB3"/>
    <w:rsid w:val="008A1D5C"/>
    <w:rsid w:val="008A3292"/>
    <w:rsid w:val="008A3A85"/>
    <w:rsid w:val="008A43E9"/>
    <w:rsid w:val="008A4CB1"/>
    <w:rsid w:val="008A615E"/>
    <w:rsid w:val="008A632B"/>
    <w:rsid w:val="008A6BFE"/>
    <w:rsid w:val="008B00C2"/>
    <w:rsid w:val="008B07EF"/>
    <w:rsid w:val="008B16DE"/>
    <w:rsid w:val="008B190E"/>
    <w:rsid w:val="008B1A8A"/>
    <w:rsid w:val="008B1FC9"/>
    <w:rsid w:val="008B531F"/>
    <w:rsid w:val="008B54A3"/>
    <w:rsid w:val="008B6B67"/>
    <w:rsid w:val="008B7306"/>
    <w:rsid w:val="008B775F"/>
    <w:rsid w:val="008B7C02"/>
    <w:rsid w:val="008B7D13"/>
    <w:rsid w:val="008B7F9E"/>
    <w:rsid w:val="008C034E"/>
    <w:rsid w:val="008C0E88"/>
    <w:rsid w:val="008C1399"/>
    <w:rsid w:val="008C1AA8"/>
    <w:rsid w:val="008C22A8"/>
    <w:rsid w:val="008C5B43"/>
    <w:rsid w:val="008C63FD"/>
    <w:rsid w:val="008C6CB8"/>
    <w:rsid w:val="008C7815"/>
    <w:rsid w:val="008C7A07"/>
    <w:rsid w:val="008C7EB3"/>
    <w:rsid w:val="008D0171"/>
    <w:rsid w:val="008D13EA"/>
    <w:rsid w:val="008D2671"/>
    <w:rsid w:val="008D2A16"/>
    <w:rsid w:val="008D2ECF"/>
    <w:rsid w:val="008D347D"/>
    <w:rsid w:val="008D3F3D"/>
    <w:rsid w:val="008D4376"/>
    <w:rsid w:val="008E0367"/>
    <w:rsid w:val="008E308D"/>
    <w:rsid w:val="008E31FF"/>
    <w:rsid w:val="008E46A3"/>
    <w:rsid w:val="008E5DE6"/>
    <w:rsid w:val="008E6113"/>
    <w:rsid w:val="008E6AB3"/>
    <w:rsid w:val="008E6AD3"/>
    <w:rsid w:val="008E71A6"/>
    <w:rsid w:val="008E77B6"/>
    <w:rsid w:val="008E7C55"/>
    <w:rsid w:val="008F032E"/>
    <w:rsid w:val="008F0F14"/>
    <w:rsid w:val="008F2F44"/>
    <w:rsid w:val="008F4FCE"/>
    <w:rsid w:val="008F5301"/>
    <w:rsid w:val="008F6967"/>
    <w:rsid w:val="008F6A0C"/>
    <w:rsid w:val="008F6F38"/>
    <w:rsid w:val="008F7721"/>
    <w:rsid w:val="008F7D28"/>
    <w:rsid w:val="009003A8"/>
    <w:rsid w:val="009010A7"/>
    <w:rsid w:val="009010E3"/>
    <w:rsid w:val="00901AF3"/>
    <w:rsid w:val="00902CBE"/>
    <w:rsid w:val="00902D74"/>
    <w:rsid w:val="00902EFF"/>
    <w:rsid w:val="00903E06"/>
    <w:rsid w:val="00904B9D"/>
    <w:rsid w:val="00905A11"/>
    <w:rsid w:val="009066E1"/>
    <w:rsid w:val="00907A41"/>
    <w:rsid w:val="009102BD"/>
    <w:rsid w:val="00910F93"/>
    <w:rsid w:val="0091255A"/>
    <w:rsid w:val="00914426"/>
    <w:rsid w:val="0091675F"/>
    <w:rsid w:val="00917709"/>
    <w:rsid w:val="00917918"/>
    <w:rsid w:val="00920874"/>
    <w:rsid w:val="00921F14"/>
    <w:rsid w:val="00923750"/>
    <w:rsid w:val="009243A5"/>
    <w:rsid w:val="0092500F"/>
    <w:rsid w:val="009250D2"/>
    <w:rsid w:val="0092519D"/>
    <w:rsid w:val="0092540B"/>
    <w:rsid w:val="009256C5"/>
    <w:rsid w:val="00926283"/>
    <w:rsid w:val="009306BE"/>
    <w:rsid w:val="00937B11"/>
    <w:rsid w:val="00940F1F"/>
    <w:rsid w:val="00941250"/>
    <w:rsid w:val="0094427A"/>
    <w:rsid w:val="00944380"/>
    <w:rsid w:val="009459C5"/>
    <w:rsid w:val="0094626C"/>
    <w:rsid w:val="0095013A"/>
    <w:rsid w:val="00953AEF"/>
    <w:rsid w:val="009551E2"/>
    <w:rsid w:val="00955783"/>
    <w:rsid w:val="009558A6"/>
    <w:rsid w:val="00955E5F"/>
    <w:rsid w:val="009560B0"/>
    <w:rsid w:val="00956F23"/>
    <w:rsid w:val="009576AC"/>
    <w:rsid w:val="00957871"/>
    <w:rsid w:val="00960077"/>
    <w:rsid w:val="00960769"/>
    <w:rsid w:val="00962D2E"/>
    <w:rsid w:val="00963724"/>
    <w:rsid w:val="00964498"/>
    <w:rsid w:val="0096504D"/>
    <w:rsid w:val="00965795"/>
    <w:rsid w:val="00965A2D"/>
    <w:rsid w:val="009663EB"/>
    <w:rsid w:val="0096650F"/>
    <w:rsid w:val="00967801"/>
    <w:rsid w:val="00967AD2"/>
    <w:rsid w:val="009700DB"/>
    <w:rsid w:val="00971DC6"/>
    <w:rsid w:val="00972263"/>
    <w:rsid w:val="00972502"/>
    <w:rsid w:val="00972D8D"/>
    <w:rsid w:val="00973AAE"/>
    <w:rsid w:val="0097476C"/>
    <w:rsid w:val="00974923"/>
    <w:rsid w:val="00974D48"/>
    <w:rsid w:val="00974D5F"/>
    <w:rsid w:val="00975017"/>
    <w:rsid w:val="009759DF"/>
    <w:rsid w:val="00980373"/>
    <w:rsid w:val="00980621"/>
    <w:rsid w:val="0098095B"/>
    <w:rsid w:val="00982072"/>
    <w:rsid w:val="009833FA"/>
    <w:rsid w:val="00983DBB"/>
    <w:rsid w:val="00983ECF"/>
    <w:rsid w:val="00986745"/>
    <w:rsid w:val="009867BC"/>
    <w:rsid w:val="00987109"/>
    <w:rsid w:val="00987309"/>
    <w:rsid w:val="0099012D"/>
    <w:rsid w:val="00990363"/>
    <w:rsid w:val="009954FF"/>
    <w:rsid w:val="00995E2F"/>
    <w:rsid w:val="009961BC"/>
    <w:rsid w:val="00996355"/>
    <w:rsid w:val="009A2014"/>
    <w:rsid w:val="009A3A87"/>
    <w:rsid w:val="009A4E12"/>
    <w:rsid w:val="009A5C68"/>
    <w:rsid w:val="009A6EF7"/>
    <w:rsid w:val="009B04D0"/>
    <w:rsid w:val="009B052C"/>
    <w:rsid w:val="009B0EF2"/>
    <w:rsid w:val="009B23A3"/>
    <w:rsid w:val="009B2C0E"/>
    <w:rsid w:val="009B4925"/>
    <w:rsid w:val="009B4B4B"/>
    <w:rsid w:val="009B6FD3"/>
    <w:rsid w:val="009B70BD"/>
    <w:rsid w:val="009C07A5"/>
    <w:rsid w:val="009C3705"/>
    <w:rsid w:val="009C7388"/>
    <w:rsid w:val="009D0CFF"/>
    <w:rsid w:val="009D1551"/>
    <w:rsid w:val="009D2859"/>
    <w:rsid w:val="009D36EC"/>
    <w:rsid w:val="009D4173"/>
    <w:rsid w:val="009D6095"/>
    <w:rsid w:val="009D6306"/>
    <w:rsid w:val="009E048A"/>
    <w:rsid w:val="009E1FBA"/>
    <w:rsid w:val="009E2C54"/>
    <w:rsid w:val="009E3710"/>
    <w:rsid w:val="009E6F65"/>
    <w:rsid w:val="009E7340"/>
    <w:rsid w:val="009E7B1F"/>
    <w:rsid w:val="009F3FC3"/>
    <w:rsid w:val="009F41C4"/>
    <w:rsid w:val="009F5846"/>
    <w:rsid w:val="009F63D2"/>
    <w:rsid w:val="009F7B52"/>
    <w:rsid w:val="009F7D77"/>
    <w:rsid w:val="00A004D2"/>
    <w:rsid w:val="00A015EA"/>
    <w:rsid w:val="00A10D66"/>
    <w:rsid w:val="00A12BA8"/>
    <w:rsid w:val="00A13993"/>
    <w:rsid w:val="00A1420C"/>
    <w:rsid w:val="00A1456C"/>
    <w:rsid w:val="00A14821"/>
    <w:rsid w:val="00A17754"/>
    <w:rsid w:val="00A2055B"/>
    <w:rsid w:val="00A2253C"/>
    <w:rsid w:val="00A23545"/>
    <w:rsid w:val="00A23A55"/>
    <w:rsid w:val="00A23E43"/>
    <w:rsid w:val="00A23EF0"/>
    <w:rsid w:val="00A24F8C"/>
    <w:rsid w:val="00A262BF"/>
    <w:rsid w:val="00A271AD"/>
    <w:rsid w:val="00A276D5"/>
    <w:rsid w:val="00A30336"/>
    <w:rsid w:val="00A30BB5"/>
    <w:rsid w:val="00A3128F"/>
    <w:rsid w:val="00A326D0"/>
    <w:rsid w:val="00A35287"/>
    <w:rsid w:val="00A378F8"/>
    <w:rsid w:val="00A40B19"/>
    <w:rsid w:val="00A41D07"/>
    <w:rsid w:val="00A424F8"/>
    <w:rsid w:val="00A42883"/>
    <w:rsid w:val="00A437B7"/>
    <w:rsid w:val="00A46D48"/>
    <w:rsid w:val="00A46DE0"/>
    <w:rsid w:val="00A4778A"/>
    <w:rsid w:val="00A47C94"/>
    <w:rsid w:val="00A504C0"/>
    <w:rsid w:val="00A5067F"/>
    <w:rsid w:val="00A517C1"/>
    <w:rsid w:val="00A518E0"/>
    <w:rsid w:val="00A55301"/>
    <w:rsid w:val="00A572FB"/>
    <w:rsid w:val="00A57B3C"/>
    <w:rsid w:val="00A57F1B"/>
    <w:rsid w:val="00A600D2"/>
    <w:rsid w:val="00A6128E"/>
    <w:rsid w:val="00A62CE1"/>
    <w:rsid w:val="00A631FA"/>
    <w:rsid w:val="00A64203"/>
    <w:rsid w:val="00A64348"/>
    <w:rsid w:val="00A644E1"/>
    <w:rsid w:val="00A711B0"/>
    <w:rsid w:val="00A721FB"/>
    <w:rsid w:val="00A727BA"/>
    <w:rsid w:val="00A72D4B"/>
    <w:rsid w:val="00A732AE"/>
    <w:rsid w:val="00A75E40"/>
    <w:rsid w:val="00A77EB2"/>
    <w:rsid w:val="00A81094"/>
    <w:rsid w:val="00A82B66"/>
    <w:rsid w:val="00A83B58"/>
    <w:rsid w:val="00A84FAF"/>
    <w:rsid w:val="00A851B6"/>
    <w:rsid w:val="00A85729"/>
    <w:rsid w:val="00A8574B"/>
    <w:rsid w:val="00A857C0"/>
    <w:rsid w:val="00A90343"/>
    <w:rsid w:val="00A91336"/>
    <w:rsid w:val="00A9221C"/>
    <w:rsid w:val="00A94628"/>
    <w:rsid w:val="00A94954"/>
    <w:rsid w:val="00A96463"/>
    <w:rsid w:val="00A97E3F"/>
    <w:rsid w:val="00AA09D3"/>
    <w:rsid w:val="00AA23FB"/>
    <w:rsid w:val="00AA34FE"/>
    <w:rsid w:val="00AA42AB"/>
    <w:rsid w:val="00AA559A"/>
    <w:rsid w:val="00AA5F10"/>
    <w:rsid w:val="00AB104D"/>
    <w:rsid w:val="00AB1441"/>
    <w:rsid w:val="00AB2AF1"/>
    <w:rsid w:val="00AB440B"/>
    <w:rsid w:val="00AB47E3"/>
    <w:rsid w:val="00AB74C5"/>
    <w:rsid w:val="00AB7BEE"/>
    <w:rsid w:val="00AB7DF2"/>
    <w:rsid w:val="00AC1E3F"/>
    <w:rsid w:val="00AC219A"/>
    <w:rsid w:val="00AC4F18"/>
    <w:rsid w:val="00AD0B46"/>
    <w:rsid w:val="00AD1094"/>
    <w:rsid w:val="00AD2565"/>
    <w:rsid w:val="00AD306C"/>
    <w:rsid w:val="00AD3424"/>
    <w:rsid w:val="00AD50D1"/>
    <w:rsid w:val="00AD59BB"/>
    <w:rsid w:val="00AD5D68"/>
    <w:rsid w:val="00AD6C73"/>
    <w:rsid w:val="00AD7D49"/>
    <w:rsid w:val="00AE06D0"/>
    <w:rsid w:val="00AE1B8A"/>
    <w:rsid w:val="00AE39DC"/>
    <w:rsid w:val="00AE3CDA"/>
    <w:rsid w:val="00AE7968"/>
    <w:rsid w:val="00AE7B2B"/>
    <w:rsid w:val="00AE7DFF"/>
    <w:rsid w:val="00AF128B"/>
    <w:rsid w:val="00AF1AEA"/>
    <w:rsid w:val="00AF2852"/>
    <w:rsid w:val="00AF3225"/>
    <w:rsid w:val="00AF4983"/>
    <w:rsid w:val="00AF518B"/>
    <w:rsid w:val="00AF5275"/>
    <w:rsid w:val="00AF5D62"/>
    <w:rsid w:val="00AF6367"/>
    <w:rsid w:val="00AF6A79"/>
    <w:rsid w:val="00AF724E"/>
    <w:rsid w:val="00AF73A9"/>
    <w:rsid w:val="00B01436"/>
    <w:rsid w:val="00B01C2C"/>
    <w:rsid w:val="00B0231C"/>
    <w:rsid w:val="00B07C2A"/>
    <w:rsid w:val="00B13681"/>
    <w:rsid w:val="00B15DCD"/>
    <w:rsid w:val="00B17E71"/>
    <w:rsid w:val="00B17FDE"/>
    <w:rsid w:val="00B208FC"/>
    <w:rsid w:val="00B20C65"/>
    <w:rsid w:val="00B22E17"/>
    <w:rsid w:val="00B25567"/>
    <w:rsid w:val="00B266C5"/>
    <w:rsid w:val="00B27293"/>
    <w:rsid w:val="00B301BB"/>
    <w:rsid w:val="00B321E3"/>
    <w:rsid w:val="00B3229E"/>
    <w:rsid w:val="00B32DDB"/>
    <w:rsid w:val="00B34931"/>
    <w:rsid w:val="00B35174"/>
    <w:rsid w:val="00B35BEA"/>
    <w:rsid w:val="00B37915"/>
    <w:rsid w:val="00B3793D"/>
    <w:rsid w:val="00B41BE6"/>
    <w:rsid w:val="00B42831"/>
    <w:rsid w:val="00B428A4"/>
    <w:rsid w:val="00B457E7"/>
    <w:rsid w:val="00B45D1B"/>
    <w:rsid w:val="00B46D25"/>
    <w:rsid w:val="00B47430"/>
    <w:rsid w:val="00B47AC6"/>
    <w:rsid w:val="00B52D2D"/>
    <w:rsid w:val="00B534EF"/>
    <w:rsid w:val="00B55BA8"/>
    <w:rsid w:val="00B55F15"/>
    <w:rsid w:val="00B561A6"/>
    <w:rsid w:val="00B60062"/>
    <w:rsid w:val="00B62960"/>
    <w:rsid w:val="00B63A11"/>
    <w:rsid w:val="00B63FD0"/>
    <w:rsid w:val="00B65C84"/>
    <w:rsid w:val="00B6608F"/>
    <w:rsid w:val="00B74317"/>
    <w:rsid w:val="00B76D1E"/>
    <w:rsid w:val="00B77BC8"/>
    <w:rsid w:val="00B800EB"/>
    <w:rsid w:val="00B822D2"/>
    <w:rsid w:val="00B83D46"/>
    <w:rsid w:val="00B848B8"/>
    <w:rsid w:val="00B84A41"/>
    <w:rsid w:val="00B84D57"/>
    <w:rsid w:val="00B8504B"/>
    <w:rsid w:val="00B85689"/>
    <w:rsid w:val="00B86748"/>
    <w:rsid w:val="00B907EA"/>
    <w:rsid w:val="00B91EC9"/>
    <w:rsid w:val="00B924CA"/>
    <w:rsid w:val="00B92A4B"/>
    <w:rsid w:val="00B93384"/>
    <w:rsid w:val="00B93616"/>
    <w:rsid w:val="00B94417"/>
    <w:rsid w:val="00B95566"/>
    <w:rsid w:val="00B95940"/>
    <w:rsid w:val="00B95EF8"/>
    <w:rsid w:val="00B95F50"/>
    <w:rsid w:val="00B96BD9"/>
    <w:rsid w:val="00BB0274"/>
    <w:rsid w:val="00BB1CFD"/>
    <w:rsid w:val="00BB2C53"/>
    <w:rsid w:val="00BB32DA"/>
    <w:rsid w:val="00BB3A54"/>
    <w:rsid w:val="00BB4D26"/>
    <w:rsid w:val="00BB4E21"/>
    <w:rsid w:val="00BB7746"/>
    <w:rsid w:val="00BC22EB"/>
    <w:rsid w:val="00BC682B"/>
    <w:rsid w:val="00BC6B04"/>
    <w:rsid w:val="00BC6D27"/>
    <w:rsid w:val="00BD059A"/>
    <w:rsid w:val="00BD186B"/>
    <w:rsid w:val="00BD1EAC"/>
    <w:rsid w:val="00BD254C"/>
    <w:rsid w:val="00BD3428"/>
    <w:rsid w:val="00BD366B"/>
    <w:rsid w:val="00BD534C"/>
    <w:rsid w:val="00BD55A9"/>
    <w:rsid w:val="00BD56BC"/>
    <w:rsid w:val="00BD5D91"/>
    <w:rsid w:val="00BD6445"/>
    <w:rsid w:val="00BD6615"/>
    <w:rsid w:val="00BD6D50"/>
    <w:rsid w:val="00BE0D79"/>
    <w:rsid w:val="00BE0DB0"/>
    <w:rsid w:val="00BE3381"/>
    <w:rsid w:val="00BE3F09"/>
    <w:rsid w:val="00BE670A"/>
    <w:rsid w:val="00BE6906"/>
    <w:rsid w:val="00BF18F4"/>
    <w:rsid w:val="00BF1A69"/>
    <w:rsid w:val="00BF3BC8"/>
    <w:rsid w:val="00BF3DF1"/>
    <w:rsid w:val="00BF4C31"/>
    <w:rsid w:val="00BF4E57"/>
    <w:rsid w:val="00BF53B8"/>
    <w:rsid w:val="00BF786A"/>
    <w:rsid w:val="00BF7CB8"/>
    <w:rsid w:val="00C00F20"/>
    <w:rsid w:val="00C01700"/>
    <w:rsid w:val="00C034E6"/>
    <w:rsid w:val="00C05715"/>
    <w:rsid w:val="00C05926"/>
    <w:rsid w:val="00C0784A"/>
    <w:rsid w:val="00C10B28"/>
    <w:rsid w:val="00C10D62"/>
    <w:rsid w:val="00C10FAE"/>
    <w:rsid w:val="00C11DAF"/>
    <w:rsid w:val="00C123B4"/>
    <w:rsid w:val="00C12A69"/>
    <w:rsid w:val="00C13737"/>
    <w:rsid w:val="00C150BE"/>
    <w:rsid w:val="00C158B0"/>
    <w:rsid w:val="00C15A0C"/>
    <w:rsid w:val="00C15DCB"/>
    <w:rsid w:val="00C16208"/>
    <w:rsid w:val="00C1711F"/>
    <w:rsid w:val="00C17E38"/>
    <w:rsid w:val="00C20744"/>
    <w:rsid w:val="00C20B1C"/>
    <w:rsid w:val="00C20C4D"/>
    <w:rsid w:val="00C21D46"/>
    <w:rsid w:val="00C21F94"/>
    <w:rsid w:val="00C222A1"/>
    <w:rsid w:val="00C23371"/>
    <w:rsid w:val="00C23CBD"/>
    <w:rsid w:val="00C23D22"/>
    <w:rsid w:val="00C2463B"/>
    <w:rsid w:val="00C24E77"/>
    <w:rsid w:val="00C2732D"/>
    <w:rsid w:val="00C273C6"/>
    <w:rsid w:val="00C27913"/>
    <w:rsid w:val="00C300C6"/>
    <w:rsid w:val="00C30828"/>
    <w:rsid w:val="00C31DD8"/>
    <w:rsid w:val="00C3271C"/>
    <w:rsid w:val="00C34FDE"/>
    <w:rsid w:val="00C35C16"/>
    <w:rsid w:val="00C40F81"/>
    <w:rsid w:val="00C41463"/>
    <w:rsid w:val="00C41A72"/>
    <w:rsid w:val="00C42D45"/>
    <w:rsid w:val="00C4422D"/>
    <w:rsid w:val="00C476C5"/>
    <w:rsid w:val="00C503B0"/>
    <w:rsid w:val="00C511C2"/>
    <w:rsid w:val="00C527C6"/>
    <w:rsid w:val="00C53CDB"/>
    <w:rsid w:val="00C53D82"/>
    <w:rsid w:val="00C54748"/>
    <w:rsid w:val="00C575FB"/>
    <w:rsid w:val="00C60696"/>
    <w:rsid w:val="00C60943"/>
    <w:rsid w:val="00C60EEF"/>
    <w:rsid w:val="00C6121D"/>
    <w:rsid w:val="00C615F1"/>
    <w:rsid w:val="00C61627"/>
    <w:rsid w:val="00C63B1A"/>
    <w:rsid w:val="00C64E60"/>
    <w:rsid w:val="00C657A4"/>
    <w:rsid w:val="00C6736C"/>
    <w:rsid w:val="00C71A1D"/>
    <w:rsid w:val="00C71EC4"/>
    <w:rsid w:val="00C7591E"/>
    <w:rsid w:val="00C75C7E"/>
    <w:rsid w:val="00C75C9B"/>
    <w:rsid w:val="00C76D8E"/>
    <w:rsid w:val="00C77833"/>
    <w:rsid w:val="00C80C9B"/>
    <w:rsid w:val="00C8335E"/>
    <w:rsid w:val="00C83F9C"/>
    <w:rsid w:val="00C84CE3"/>
    <w:rsid w:val="00C85614"/>
    <w:rsid w:val="00C86127"/>
    <w:rsid w:val="00C90CF4"/>
    <w:rsid w:val="00C91C19"/>
    <w:rsid w:val="00C929A0"/>
    <w:rsid w:val="00C93389"/>
    <w:rsid w:val="00C937DB"/>
    <w:rsid w:val="00C94519"/>
    <w:rsid w:val="00C94E83"/>
    <w:rsid w:val="00C97038"/>
    <w:rsid w:val="00CA02B2"/>
    <w:rsid w:val="00CA0883"/>
    <w:rsid w:val="00CA1085"/>
    <w:rsid w:val="00CA140F"/>
    <w:rsid w:val="00CA25C2"/>
    <w:rsid w:val="00CA37BB"/>
    <w:rsid w:val="00CA37CA"/>
    <w:rsid w:val="00CA5724"/>
    <w:rsid w:val="00CA6508"/>
    <w:rsid w:val="00CA6BA1"/>
    <w:rsid w:val="00CA6CD5"/>
    <w:rsid w:val="00CB1910"/>
    <w:rsid w:val="00CB2150"/>
    <w:rsid w:val="00CB28EE"/>
    <w:rsid w:val="00CB43A7"/>
    <w:rsid w:val="00CB4DF1"/>
    <w:rsid w:val="00CB5996"/>
    <w:rsid w:val="00CB6809"/>
    <w:rsid w:val="00CB7452"/>
    <w:rsid w:val="00CC0E10"/>
    <w:rsid w:val="00CC1DAF"/>
    <w:rsid w:val="00CC2642"/>
    <w:rsid w:val="00CC2967"/>
    <w:rsid w:val="00CC2A36"/>
    <w:rsid w:val="00CC2E15"/>
    <w:rsid w:val="00CC3440"/>
    <w:rsid w:val="00CC3908"/>
    <w:rsid w:val="00CC62AD"/>
    <w:rsid w:val="00CC6CA2"/>
    <w:rsid w:val="00CC7B80"/>
    <w:rsid w:val="00CD2B3C"/>
    <w:rsid w:val="00CD30F6"/>
    <w:rsid w:val="00CD4B29"/>
    <w:rsid w:val="00CD6954"/>
    <w:rsid w:val="00CD6DA3"/>
    <w:rsid w:val="00CD6EF1"/>
    <w:rsid w:val="00CD7E35"/>
    <w:rsid w:val="00CE21C7"/>
    <w:rsid w:val="00CE2682"/>
    <w:rsid w:val="00CE2756"/>
    <w:rsid w:val="00CE442A"/>
    <w:rsid w:val="00CE57D8"/>
    <w:rsid w:val="00CE617A"/>
    <w:rsid w:val="00CE6E3C"/>
    <w:rsid w:val="00CE797F"/>
    <w:rsid w:val="00CF25D2"/>
    <w:rsid w:val="00CF28C2"/>
    <w:rsid w:val="00CF42BD"/>
    <w:rsid w:val="00CF51EC"/>
    <w:rsid w:val="00CF6A9D"/>
    <w:rsid w:val="00CF6CD7"/>
    <w:rsid w:val="00CF75EC"/>
    <w:rsid w:val="00D0037A"/>
    <w:rsid w:val="00D0061E"/>
    <w:rsid w:val="00D00DAF"/>
    <w:rsid w:val="00D017EC"/>
    <w:rsid w:val="00D01CDA"/>
    <w:rsid w:val="00D020FC"/>
    <w:rsid w:val="00D040DD"/>
    <w:rsid w:val="00D04E1B"/>
    <w:rsid w:val="00D0547B"/>
    <w:rsid w:val="00D076DB"/>
    <w:rsid w:val="00D07EFF"/>
    <w:rsid w:val="00D1067C"/>
    <w:rsid w:val="00D11CBB"/>
    <w:rsid w:val="00D136D4"/>
    <w:rsid w:val="00D13830"/>
    <w:rsid w:val="00D13ECF"/>
    <w:rsid w:val="00D142E5"/>
    <w:rsid w:val="00D148CD"/>
    <w:rsid w:val="00D1611E"/>
    <w:rsid w:val="00D163CC"/>
    <w:rsid w:val="00D16E69"/>
    <w:rsid w:val="00D17F4A"/>
    <w:rsid w:val="00D205A9"/>
    <w:rsid w:val="00D217EE"/>
    <w:rsid w:val="00D245BA"/>
    <w:rsid w:val="00D26923"/>
    <w:rsid w:val="00D27856"/>
    <w:rsid w:val="00D27D34"/>
    <w:rsid w:val="00D3006B"/>
    <w:rsid w:val="00D301CA"/>
    <w:rsid w:val="00D30740"/>
    <w:rsid w:val="00D31075"/>
    <w:rsid w:val="00D31445"/>
    <w:rsid w:val="00D31932"/>
    <w:rsid w:val="00D32AE0"/>
    <w:rsid w:val="00D360DA"/>
    <w:rsid w:val="00D37689"/>
    <w:rsid w:val="00D378CC"/>
    <w:rsid w:val="00D4042C"/>
    <w:rsid w:val="00D40B9E"/>
    <w:rsid w:val="00D41281"/>
    <w:rsid w:val="00D42312"/>
    <w:rsid w:val="00D433F5"/>
    <w:rsid w:val="00D43998"/>
    <w:rsid w:val="00D439C2"/>
    <w:rsid w:val="00D451E0"/>
    <w:rsid w:val="00D45A1D"/>
    <w:rsid w:val="00D4615E"/>
    <w:rsid w:val="00D478E2"/>
    <w:rsid w:val="00D5264C"/>
    <w:rsid w:val="00D547BA"/>
    <w:rsid w:val="00D55626"/>
    <w:rsid w:val="00D556BC"/>
    <w:rsid w:val="00D5626D"/>
    <w:rsid w:val="00D56631"/>
    <w:rsid w:val="00D60277"/>
    <w:rsid w:val="00D60336"/>
    <w:rsid w:val="00D61F88"/>
    <w:rsid w:val="00D62901"/>
    <w:rsid w:val="00D6470C"/>
    <w:rsid w:val="00D64853"/>
    <w:rsid w:val="00D64CB5"/>
    <w:rsid w:val="00D66D48"/>
    <w:rsid w:val="00D7162F"/>
    <w:rsid w:val="00D72897"/>
    <w:rsid w:val="00D73256"/>
    <w:rsid w:val="00D73A30"/>
    <w:rsid w:val="00D74C65"/>
    <w:rsid w:val="00D74F21"/>
    <w:rsid w:val="00D75DC2"/>
    <w:rsid w:val="00D766EF"/>
    <w:rsid w:val="00D76C03"/>
    <w:rsid w:val="00D77F8D"/>
    <w:rsid w:val="00D8119B"/>
    <w:rsid w:val="00D82462"/>
    <w:rsid w:val="00D868CE"/>
    <w:rsid w:val="00D86DAE"/>
    <w:rsid w:val="00D90116"/>
    <w:rsid w:val="00D90C1E"/>
    <w:rsid w:val="00D91BDF"/>
    <w:rsid w:val="00D91F2C"/>
    <w:rsid w:val="00D93F09"/>
    <w:rsid w:val="00D954C2"/>
    <w:rsid w:val="00D97BB8"/>
    <w:rsid w:val="00DA1318"/>
    <w:rsid w:val="00DA1382"/>
    <w:rsid w:val="00DA28B7"/>
    <w:rsid w:val="00DA2FE8"/>
    <w:rsid w:val="00DA4AF6"/>
    <w:rsid w:val="00DB016E"/>
    <w:rsid w:val="00DB06E9"/>
    <w:rsid w:val="00DB19BD"/>
    <w:rsid w:val="00DB1D55"/>
    <w:rsid w:val="00DB378E"/>
    <w:rsid w:val="00DB3E9D"/>
    <w:rsid w:val="00DB47B9"/>
    <w:rsid w:val="00DB4FB8"/>
    <w:rsid w:val="00DB53CE"/>
    <w:rsid w:val="00DB549D"/>
    <w:rsid w:val="00DB5792"/>
    <w:rsid w:val="00DB6A88"/>
    <w:rsid w:val="00DB7BA4"/>
    <w:rsid w:val="00DC226A"/>
    <w:rsid w:val="00DC257F"/>
    <w:rsid w:val="00DC2A9F"/>
    <w:rsid w:val="00DC350B"/>
    <w:rsid w:val="00DC3790"/>
    <w:rsid w:val="00DC408A"/>
    <w:rsid w:val="00DC436D"/>
    <w:rsid w:val="00DC519B"/>
    <w:rsid w:val="00DC5B3B"/>
    <w:rsid w:val="00DC6796"/>
    <w:rsid w:val="00DC78DF"/>
    <w:rsid w:val="00DC7D4C"/>
    <w:rsid w:val="00DD0821"/>
    <w:rsid w:val="00DD0E32"/>
    <w:rsid w:val="00DD2872"/>
    <w:rsid w:val="00DD2A62"/>
    <w:rsid w:val="00DD2BFE"/>
    <w:rsid w:val="00DD373E"/>
    <w:rsid w:val="00DD57AD"/>
    <w:rsid w:val="00DD7435"/>
    <w:rsid w:val="00DD7C6D"/>
    <w:rsid w:val="00DE009B"/>
    <w:rsid w:val="00DE08F8"/>
    <w:rsid w:val="00DE0C31"/>
    <w:rsid w:val="00DE2ED9"/>
    <w:rsid w:val="00DE319A"/>
    <w:rsid w:val="00DF0615"/>
    <w:rsid w:val="00DF0DC3"/>
    <w:rsid w:val="00DF21FD"/>
    <w:rsid w:val="00DF2873"/>
    <w:rsid w:val="00DF293C"/>
    <w:rsid w:val="00DF4C74"/>
    <w:rsid w:val="00DF5578"/>
    <w:rsid w:val="00DF78DD"/>
    <w:rsid w:val="00DF7FEC"/>
    <w:rsid w:val="00E01C0E"/>
    <w:rsid w:val="00E02086"/>
    <w:rsid w:val="00E02740"/>
    <w:rsid w:val="00E03B27"/>
    <w:rsid w:val="00E04694"/>
    <w:rsid w:val="00E049F6"/>
    <w:rsid w:val="00E04CA9"/>
    <w:rsid w:val="00E05B2B"/>
    <w:rsid w:val="00E06A2A"/>
    <w:rsid w:val="00E07F05"/>
    <w:rsid w:val="00E127E1"/>
    <w:rsid w:val="00E144D2"/>
    <w:rsid w:val="00E144D6"/>
    <w:rsid w:val="00E15346"/>
    <w:rsid w:val="00E15B7D"/>
    <w:rsid w:val="00E2097E"/>
    <w:rsid w:val="00E215EA"/>
    <w:rsid w:val="00E21CAB"/>
    <w:rsid w:val="00E221FC"/>
    <w:rsid w:val="00E22E78"/>
    <w:rsid w:val="00E24619"/>
    <w:rsid w:val="00E25223"/>
    <w:rsid w:val="00E25999"/>
    <w:rsid w:val="00E263A8"/>
    <w:rsid w:val="00E30BEA"/>
    <w:rsid w:val="00E31764"/>
    <w:rsid w:val="00E32BC2"/>
    <w:rsid w:val="00E34985"/>
    <w:rsid w:val="00E34DE7"/>
    <w:rsid w:val="00E34E4A"/>
    <w:rsid w:val="00E365B3"/>
    <w:rsid w:val="00E366BB"/>
    <w:rsid w:val="00E37C45"/>
    <w:rsid w:val="00E40AAA"/>
    <w:rsid w:val="00E42444"/>
    <w:rsid w:val="00E438CF"/>
    <w:rsid w:val="00E43B06"/>
    <w:rsid w:val="00E43C41"/>
    <w:rsid w:val="00E4500E"/>
    <w:rsid w:val="00E450CE"/>
    <w:rsid w:val="00E45A00"/>
    <w:rsid w:val="00E45CE7"/>
    <w:rsid w:val="00E4631F"/>
    <w:rsid w:val="00E46A4A"/>
    <w:rsid w:val="00E47CB8"/>
    <w:rsid w:val="00E522BB"/>
    <w:rsid w:val="00E539E4"/>
    <w:rsid w:val="00E569C7"/>
    <w:rsid w:val="00E571F2"/>
    <w:rsid w:val="00E57429"/>
    <w:rsid w:val="00E61EA8"/>
    <w:rsid w:val="00E63221"/>
    <w:rsid w:val="00E64EA1"/>
    <w:rsid w:val="00E669C7"/>
    <w:rsid w:val="00E70510"/>
    <w:rsid w:val="00E71262"/>
    <w:rsid w:val="00E71A58"/>
    <w:rsid w:val="00E737F6"/>
    <w:rsid w:val="00E7568F"/>
    <w:rsid w:val="00E764AE"/>
    <w:rsid w:val="00E7724B"/>
    <w:rsid w:val="00E84F21"/>
    <w:rsid w:val="00E8618A"/>
    <w:rsid w:val="00E90A4B"/>
    <w:rsid w:val="00E90F73"/>
    <w:rsid w:val="00E910A7"/>
    <w:rsid w:val="00E91607"/>
    <w:rsid w:val="00E921C7"/>
    <w:rsid w:val="00E92995"/>
    <w:rsid w:val="00E94612"/>
    <w:rsid w:val="00E95797"/>
    <w:rsid w:val="00E9682F"/>
    <w:rsid w:val="00E96A8D"/>
    <w:rsid w:val="00E972BA"/>
    <w:rsid w:val="00E97FA2"/>
    <w:rsid w:val="00EA06CB"/>
    <w:rsid w:val="00EA0AF3"/>
    <w:rsid w:val="00EA0C68"/>
    <w:rsid w:val="00EA19E2"/>
    <w:rsid w:val="00EA3EBE"/>
    <w:rsid w:val="00EA3FAC"/>
    <w:rsid w:val="00EA4153"/>
    <w:rsid w:val="00EA5CD6"/>
    <w:rsid w:val="00EA76FD"/>
    <w:rsid w:val="00EB03D4"/>
    <w:rsid w:val="00EB0555"/>
    <w:rsid w:val="00EB20A0"/>
    <w:rsid w:val="00EB30B6"/>
    <w:rsid w:val="00EB4FA4"/>
    <w:rsid w:val="00EB5146"/>
    <w:rsid w:val="00EB522B"/>
    <w:rsid w:val="00EB55E9"/>
    <w:rsid w:val="00EB5641"/>
    <w:rsid w:val="00EB5CA9"/>
    <w:rsid w:val="00EB5ED4"/>
    <w:rsid w:val="00EB6537"/>
    <w:rsid w:val="00EB70E1"/>
    <w:rsid w:val="00EB7EB5"/>
    <w:rsid w:val="00EC0860"/>
    <w:rsid w:val="00EC424C"/>
    <w:rsid w:val="00EC454B"/>
    <w:rsid w:val="00EC6153"/>
    <w:rsid w:val="00EC7F92"/>
    <w:rsid w:val="00ED00A8"/>
    <w:rsid w:val="00ED0A79"/>
    <w:rsid w:val="00ED2989"/>
    <w:rsid w:val="00ED2CA5"/>
    <w:rsid w:val="00ED336F"/>
    <w:rsid w:val="00ED3A94"/>
    <w:rsid w:val="00ED40F0"/>
    <w:rsid w:val="00ED4AC0"/>
    <w:rsid w:val="00ED54D6"/>
    <w:rsid w:val="00ED5726"/>
    <w:rsid w:val="00EE0113"/>
    <w:rsid w:val="00EE0298"/>
    <w:rsid w:val="00EE0384"/>
    <w:rsid w:val="00EE1057"/>
    <w:rsid w:val="00EE10AA"/>
    <w:rsid w:val="00EE1637"/>
    <w:rsid w:val="00EE3B7A"/>
    <w:rsid w:val="00EE3E78"/>
    <w:rsid w:val="00EE495A"/>
    <w:rsid w:val="00EE5E02"/>
    <w:rsid w:val="00EE617D"/>
    <w:rsid w:val="00EE61BF"/>
    <w:rsid w:val="00EE6538"/>
    <w:rsid w:val="00EE6748"/>
    <w:rsid w:val="00EE6C6B"/>
    <w:rsid w:val="00EF0E75"/>
    <w:rsid w:val="00EF1F5A"/>
    <w:rsid w:val="00EF4685"/>
    <w:rsid w:val="00EF5397"/>
    <w:rsid w:val="00EF6BE3"/>
    <w:rsid w:val="00F00D0E"/>
    <w:rsid w:val="00F00D3C"/>
    <w:rsid w:val="00F04811"/>
    <w:rsid w:val="00F0488C"/>
    <w:rsid w:val="00F0496E"/>
    <w:rsid w:val="00F04D10"/>
    <w:rsid w:val="00F053EA"/>
    <w:rsid w:val="00F0625B"/>
    <w:rsid w:val="00F101FF"/>
    <w:rsid w:val="00F104DF"/>
    <w:rsid w:val="00F10A33"/>
    <w:rsid w:val="00F10B64"/>
    <w:rsid w:val="00F1186C"/>
    <w:rsid w:val="00F14ACD"/>
    <w:rsid w:val="00F15BEF"/>
    <w:rsid w:val="00F172BE"/>
    <w:rsid w:val="00F1776C"/>
    <w:rsid w:val="00F2037E"/>
    <w:rsid w:val="00F20D17"/>
    <w:rsid w:val="00F2103E"/>
    <w:rsid w:val="00F214FC"/>
    <w:rsid w:val="00F21C31"/>
    <w:rsid w:val="00F23825"/>
    <w:rsid w:val="00F2389A"/>
    <w:rsid w:val="00F23FFF"/>
    <w:rsid w:val="00F2441D"/>
    <w:rsid w:val="00F24FAA"/>
    <w:rsid w:val="00F26197"/>
    <w:rsid w:val="00F273D4"/>
    <w:rsid w:val="00F307DD"/>
    <w:rsid w:val="00F318FC"/>
    <w:rsid w:val="00F31F76"/>
    <w:rsid w:val="00F325A3"/>
    <w:rsid w:val="00F3364D"/>
    <w:rsid w:val="00F35ACD"/>
    <w:rsid w:val="00F365BF"/>
    <w:rsid w:val="00F36BF8"/>
    <w:rsid w:val="00F375BA"/>
    <w:rsid w:val="00F37760"/>
    <w:rsid w:val="00F403D1"/>
    <w:rsid w:val="00F43921"/>
    <w:rsid w:val="00F44E1B"/>
    <w:rsid w:val="00F4524F"/>
    <w:rsid w:val="00F45530"/>
    <w:rsid w:val="00F4591F"/>
    <w:rsid w:val="00F47321"/>
    <w:rsid w:val="00F4736B"/>
    <w:rsid w:val="00F47997"/>
    <w:rsid w:val="00F47D05"/>
    <w:rsid w:val="00F50030"/>
    <w:rsid w:val="00F502F5"/>
    <w:rsid w:val="00F50B9D"/>
    <w:rsid w:val="00F51FC9"/>
    <w:rsid w:val="00F53243"/>
    <w:rsid w:val="00F541ED"/>
    <w:rsid w:val="00F54B31"/>
    <w:rsid w:val="00F54FD3"/>
    <w:rsid w:val="00F55605"/>
    <w:rsid w:val="00F57CD7"/>
    <w:rsid w:val="00F62F02"/>
    <w:rsid w:val="00F6339F"/>
    <w:rsid w:val="00F63DDE"/>
    <w:rsid w:val="00F63FB7"/>
    <w:rsid w:val="00F64726"/>
    <w:rsid w:val="00F6561A"/>
    <w:rsid w:val="00F66243"/>
    <w:rsid w:val="00F70309"/>
    <w:rsid w:val="00F7078A"/>
    <w:rsid w:val="00F70E45"/>
    <w:rsid w:val="00F727D5"/>
    <w:rsid w:val="00F72F44"/>
    <w:rsid w:val="00F73A0C"/>
    <w:rsid w:val="00F759DC"/>
    <w:rsid w:val="00F7717C"/>
    <w:rsid w:val="00F771A5"/>
    <w:rsid w:val="00F817A4"/>
    <w:rsid w:val="00F81C3A"/>
    <w:rsid w:val="00F835E1"/>
    <w:rsid w:val="00F835FC"/>
    <w:rsid w:val="00F8373A"/>
    <w:rsid w:val="00F83E21"/>
    <w:rsid w:val="00F83FA4"/>
    <w:rsid w:val="00F84E18"/>
    <w:rsid w:val="00F852E5"/>
    <w:rsid w:val="00F90350"/>
    <w:rsid w:val="00F9310A"/>
    <w:rsid w:val="00F95117"/>
    <w:rsid w:val="00F97ED2"/>
    <w:rsid w:val="00FA05D7"/>
    <w:rsid w:val="00FA1992"/>
    <w:rsid w:val="00FA1C6C"/>
    <w:rsid w:val="00FA2447"/>
    <w:rsid w:val="00FA2C2A"/>
    <w:rsid w:val="00FA309A"/>
    <w:rsid w:val="00FA7644"/>
    <w:rsid w:val="00FB0A9A"/>
    <w:rsid w:val="00FB16AD"/>
    <w:rsid w:val="00FB483B"/>
    <w:rsid w:val="00FB56F1"/>
    <w:rsid w:val="00FB5FD4"/>
    <w:rsid w:val="00FB67F3"/>
    <w:rsid w:val="00FC0D8A"/>
    <w:rsid w:val="00FC0E5F"/>
    <w:rsid w:val="00FC135D"/>
    <w:rsid w:val="00FC3C84"/>
    <w:rsid w:val="00FC4660"/>
    <w:rsid w:val="00FC56DE"/>
    <w:rsid w:val="00FC5E01"/>
    <w:rsid w:val="00FD1261"/>
    <w:rsid w:val="00FD1627"/>
    <w:rsid w:val="00FD1BBD"/>
    <w:rsid w:val="00FD473D"/>
    <w:rsid w:val="00FD61C8"/>
    <w:rsid w:val="00FD63CE"/>
    <w:rsid w:val="00FD7D49"/>
    <w:rsid w:val="00FE1251"/>
    <w:rsid w:val="00FE16E6"/>
    <w:rsid w:val="00FE2F78"/>
    <w:rsid w:val="00FE3510"/>
    <w:rsid w:val="00FE371D"/>
    <w:rsid w:val="00FE375F"/>
    <w:rsid w:val="00FE3D8B"/>
    <w:rsid w:val="00FE4FCB"/>
    <w:rsid w:val="00FE688F"/>
    <w:rsid w:val="00FE705E"/>
    <w:rsid w:val="00FF02EB"/>
    <w:rsid w:val="00FF28E0"/>
    <w:rsid w:val="00FF2FB4"/>
    <w:rsid w:val="00FF30B3"/>
    <w:rsid w:val="00FF3DF3"/>
    <w:rsid w:val="00FF4027"/>
    <w:rsid w:val="00FF45A2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  <w:lang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  <w:lang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E921C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qFormat/>
    <w:rsid w:val="007D4281"/>
    <w:pPr>
      <w:jc w:val="both"/>
    </w:pPr>
    <w:rPr>
      <w:rFonts w:ascii="Arial" w:eastAsia="Times New Roman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8566D-F19A-43CE-A085-05928F29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</Template>
  <TotalTime>0</TotalTime>
  <Pages>3</Pages>
  <Words>1633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kamenicky3604</cp:lastModifiedBy>
  <cp:revision>2</cp:revision>
  <cp:lastPrinted>2015-06-19T06:21:00Z</cp:lastPrinted>
  <dcterms:created xsi:type="dcterms:W3CDTF">2016-09-23T10:11:00Z</dcterms:created>
  <dcterms:modified xsi:type="dcterms:W3CDTF">2016-09-23T10:11:00Z</dcterms:modified>
</cp:coreProperties>
</file>