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FB" w:rsidRPr="007062C2" w:rsidRDefault="00B32DFB" w:rsidP="00B32DFB">
      <w:pPr>
        <w:pStyle w:val="Nzev"/>
        <w:rPr>
          <w:rFonts w:eastAsia="Calibri" w:cs="Arial"/>
          <w:bCs w:val="0"/>
          <w:color w:val="auto"/>
          <w:sz w:val="18"/>
          <w:szCs w:val="22"/>
        </w:rPr>
      </w:pPr>
      <w:r w:rsidRPr="007062C2">
        <w:rPr>
          <w:rFonts w:eastAsia="Calibri" w:cs="Arial"/>
          <w:bCs w:val="0"/>
          <w:color w:val="auto"/>
          <w:sz w:val="18"/>
          <w:szCs w:val="22"/>
        </w:rPr>
        <w:t>1</w:t>
      </w:r>
      <w:r w:rsidR="007062C2" w:rsidRPr="007062C2">
        <w:rPr>
          <w:rFonts w:eastAsia="Calibri" w:cs="Arial"/>
          <w:bCs w:val="0"/>
          <w:color w:val="auto"/>
          <w:sz w:val="18"/>
          <w:szCs w:val="22"/>
        </w:rPr>
        <w:t xml:space="preserve"> April</w:t>
      </w:r>
      <w:r w:rsidRPr="007062C2">
        <w:rPr>
          <w:rFonts w:eastAsia="Calibri" w:cs="Arial"/>
          <w:bCs w:val="0"/>
          <w:color w:val="auto"/>
          <w:sz w:val="18"/>
          <w:szCs w:val="22"/>
        </w:rPr>
        <w:t xml:space="preserve"> 2014</w:t>
      </w:r>
    </w:p>
    <w:p w:rsidR="00B32DFB" w:rsidRPr="007062C2" w:rsidRDefault="007062C2" w:rsidP="00B32DFB">
      <w:pPr>
        <w:pStyle w:val="Nzev"/>
      </w:pPr>
      <w:r w:rsidRPr="007062C2">
        <w:t>G</w:t>
      </w:r>
      <w:r w:rsidR="00B32DFB" w:rsidRPr="007062C2">
        <w:t xml:space="preserve">DP </w:t>
      </w:r>
      <w:r w:rsidRPr="007062C2">
        <w:t>in</w:t>
      </w:r>
      <w:r w:rsidR="00B32DFB" w:rsidRPr="007062C2">
        <w:t xml:space="preserve"> 2013 </w:t>
      </w:r>
      <w:r w:rsidRPr="007062C2">
        <w:t>dropped by</w:t>
      </w:r>
      <w:r w:rsidR="00B32DFB" w:rsidRPr="007062C2">
        <w:t xml:space="preserve"> 0</w:t>
      </w:r>
      <w:r w:rsidRPr="007062C2">
        <w:t>.</w:t>
      </w:r>
      <w:r w:rsidR="00B32DFB" w:rsidRPr="007062C2">
        <w:t xml:space="preserve">9% </w:t>
      </w:r>
    </w:p>
    <w:p w:rsidR="00B32DFB" w:rsidRPr="007062C2" w:rsidRDefault="007062C2" w:rsidP="00B32DFB">
      <w:pPr>
        <w:pStyle w:val="Nadpis2"/>
        <w:tabs>
          <w:tab w:val="left" w:pos="6237"/>
        </w:tabs>
        <w:rPr>
          <w:lang w:val="en-GB"/>
        </w:rPr>
      </w:pPr>
      <w:r w:rsidRPr="007062C2">
        <w:rPr>
          <w:lang w:val="en-GB"/>
        </w:rPr>
        <w:t>Quarterly national accounts</w:t>
      </w:r>
      <w:r w:rsidR="00B32DFB" w:rsidRPr="007062C2">
        <w:rPr>
          <w:lang w:val="en-GB"/>
        </w:rPr>
        <w:t xml:space="preserve"> </w:t>
      </w:r>
      <w:r w:rsidRPr="007062C2">
        <w:rPr>
          <w:lang w:val="en-GB"/>
        </w:rPr>
        <w:t>–</w:t>
      </w:r>
      <w:r w:rsidR="00B32DFB" w:rsidRPr="007062C2">
        <w:rPr>
          <w:lang w:val="en-GB"/>
        </w:rPr>
        <w:t xml:space="preserve"> </w:t>
      </w:r>
      <w:r w:rsidRPr="007062C2">
        <w:rPr>
          <w:lang w:val="en-GB"/>
        </w:rPr>
        <w:t>the fourth quarter of</w:t>
      </w:r>
      <w:r w:rsidR="00B32DFB" w:rsidRPr="007062C2">
        <w:rPr>
          <w:lang w:val="en-GB"/>
        </w:rPr>
        <w:t xml:space="preserve"> 2013</w:t>
      </w:r>
    </w:p>
    <w:p w:rsidR="00B32DFB" w:rsidRPr="007062C2" w:rsidRDefault="00B32DFB" w:rsidP="00B32DFB">
      <w:pPr>
        <w:rPr>
          <w:rFonts w:cs="Arial"/>
          <w:b/>
          <w:szCs w:val="18"/>
          <w:lang w:val="en-GB"/>
        </w:rPr>
      </w:pPr>
    </w:p>
    <w:p w:rsidR="00B32DFB" w:rsidRPr="007062C2" w:rsidRDefault="00B32DFB" w:rsidP="00B32DFB">
      <w:pPr>
        <w:rPr>
          <w:rFonts w:cs="Arial"/>
          <w:b/>
          <w:szCs w:val="18"/>
          <w:lang w:val="en-GB"/>
        </w:rPr>
      </w:pPr>
    </w:p>
    <w:p w:rsidR="00B32DFB" w:rsidRPr="007062C2" w:rsidRDefault="0053689E" w:rsidP="00B32DFB">
      <w:pPr>
        <w:rPr>
          <w:rFonts w:cs="Arial"/>
          <w:b/>
          <w:szCs w:val="18"/>
          <w:lang w:val="en-GB"/>
        </w:rPr>
      </w:pPr>
      <w:r>
        <w:rPr>
          <w:rFonts w:cs="Arial"/>
          <w:b/>
          <w:szCs w:val="18"/>
          <w:lang w:val="en-GB"/>
        </w:rPr>
        <w:t>The gross domestic product adjusted for price, seasonal, and calendar effects decreased in 2013 compared to 2012 by 0.9%.</w:t>
      </w:r>
      <w:r w:rsidR="00B32DFB" w:rsidRPr="007062C2">
        <w:rPr>
          <w:rFonts w:cs="Arial"/>
          <w:b/>
          <w:szCs w:val="18"/>
          <w:lang w:val="en-GB"/>
        </w:rPr>
        <w:t xml:space="preserve"> </w:t>
      </w:r>
      <w:r>
        <w:rPr>
          <w:rFonts w:cs="Arial"/>
          <w:b/>
          <w:szCs w:val="18"/>
          <w:lang w:val="en-GB"/>
        </w:rPr>
        <w:t>An updated estimate is not different in total from the one published on 6 March</w:t>
      </w:r>
      <w:r w:rsidR="00B32DFB" w:rsidRPr="007062C2">
        <w:rPr>
          <w:rFonts w:cs="Arial"/>
          <w:b/>
          <w:szCs w:val="18"/>
          <w:lang w:val="en-GB"/>
        </w:rPr>
        <w:t>.</w:t>
      </w:r>
    </w:p>
    <w:p w:rsidR="00B32DFB" w:rsidRPr="007062C2" w:rsidRDefault="00B32DFB" w:rsidP="00B32DFB">
      <w:pPr>
        <w:rPr>
          <w:rFonts w:cs="Arial"/>
          <w:b/>
          <w:szCs w:val="18"/>
          <w:lang w:val="en-GB"/>
        </w:rPr>
      </w:pPr>
    </w:p>
    <w:p w:rsidR="00B32DFB" w:rsidRPr="007062C2" w:rsidRDefault="00F1299F" w:rsidP="00B32DFB">
      <w:pPr>
        <w:rPr>
          <w:rFonts w:cs="Arial"/>
          <w:b/>
          <w:szCs w:val="18"/>
          <w:lang w:val="en-GB"/>
        </w:rPr>
      </w:pPr>
      <w:r>
        <w:rPr>
          <w:rFonts w:cs="Arial"/>
          <w:b/>
          <w:szCs w:val="18"/>
          <w:lang w:val="en-GB"/>
        </w:rPr>
        <w:t>The gross domestic product (G</w:t>
      </w:r>
      <w:r w:rsidRPr="00500869">
        <w:rPr>
          <w:rFonts w:cs="Arial"/>
          <w:b/>
          <w:szCs w:val="18"/>
          <w:lang w:val="en-GB"/>
        </w:rPr>
        <w:t xml:space="preserve">DP) </w:t>
      </w:r>
      <w:r>
        <w:rPr>
          <w:rFonts w:cs="Arial"/>
          <w:b/>
          <w:szCs w:val="18"/>
          <w:lang w:val="en-GB"/>
        </w:rPr>
        <w:t>for</w:t>
      </w:r>
      <w:r w:rsidRPr="00500869">
        <w:rPr>
          <w:rFonts w:cs="Arial"/>
          <w:b/>
          <w:szCs w:val="18"/>
          <w:lang w:val="en-GB"/>
        </w:rPr>
        <w:t xml:space="preserve"> 2013</w:t>
      </w:r>
      <w:r>
        <w:rPr>
          <w:rFonts w:cs="Arial"/>
          <w:szCs w:val="18"/>
          <w:lang w:val="en-GB"/>
        </w:rPr>
        <w:t xml:space="preserve"> adjusted for price effects, working days adjusted and seasonally adjusted</w:t>
      </w:r>
      <w:r w:rsidRPr="00500869">
        <w:rPr>
          <w:rStyle w:val="Znakapoznpodarou"/>
          <w:rFonts w:cs="Arial"/>
          <w:b/>
          <w:bCs/>
          <w:szCs w:val="20"/>
          <w:lang w:val="en-GB"/>
        </w:rPr>
        <w:footnoteReference w:customMarkFollows="1" w:id="1"/>
        <w:t>*/</w:t>
      </w:r>
      <w:r w:rsidRPr="00500869">
        <w:rPr>
          <w:rFonts w:cs="Arial"/>
          <w:szCs w:val="20"/>
          <w:lang w:val="en-GB"/>
        </w:rPr>
        <w:t xml:space="preserve"> </w:t>
      </w:r>
      <w:r>
        <w:rPr>
          <w:rFonts w:cs="Arial"/>
          <w:szCs w:val="18"/>
          <w:lang w:val="en-GB"/>
        </w:rPr>
        <w:t xml:space="preserve"> was</w:t>
      </w:r>
      <w:r w:rsidRPr="00500869">
        <w:rPr>
          <w:rFonts w:cs="Arial"/>
          <w:szCs w:val="18"/>
          <w:lang w:val="en-GB"/>
        </w:rPr>
        <w:t xml:space="preserve"> </w:t>
      </w:r>
      <w:r>
        <w:rPr>
          <w:rFonts w:cs="Arial"/>
          <w:b/>
          <w:szCs w:val="18"/>
          <w:lang w:val="en-GB"/>
        </w:rPr>
        <w:t>lower by 0.9%</w:t>
      </w:r>
      <w:r>
        <w:rPr>
          <w:rFonts w:cs="Arial"/>
          <w:szCs w:val="18"/>
          <w:lang w:val="en-GB"/>
        </w:rPr>
        <w:t>, year-on-year, according to the refined estimate.</w:t>
      </w:r>
    </w:p>
    <w:p w:rsidR="00B32DFB" w:rsidRPr="007062C2" w:rsidRDefault="00B32DFB" w:rsidP="00B32DFB">
      <w:pPr>
        <w:rPr>
          <w:lang w:val="en-GB"/>
        </w:rPr>
      </w:pPr>
    </w:p>
    <w:p w:rsidR="00B32DFB" w:rsidRPr="007062C2" w:rsidRDefault="009D5557" w:rsidP="00B32DFB">
      <w:pPr>
        <w:rPr>
          <w:b/>
          <w:lang w:val="en-GB"/>
        </w:rPr>
      </w:pPr>
      <w:r>
        <w:rPr>
          <w:b/>
          <w:lang w:val="en-GB"/>
        </w:rPr>
        <w:t>GDP development in</w:t>
      </w:r>
      <w:r w:rsidRPr="00500869">
        <w:rPr>
          <w:b/>
          <w:lang w:val="en-GB"/>
        </w:rPr>
        <w:t xml:space="preserve"> % (</w:t>
      </w:r>
      <w:r>
        <w:rPr>
          <w:b/>
          <w:lang w:val="en-GB"/>
        </w:rPr>
        <w:t>adjusted for price, seasonal, and calendar effects</w:t>
      </w:r>
      <w:r w:rsidRPr="00500869">
        <w:rPr>
          <w:b/>
          <w:lang w:val="en-GB"/>
        </w:rPr>
        <w:t>)</w:t>
      </w:r>
      <w:r w:rsidR="00B32DFB" w:rsidRPr="007062C2">
        <w:rPr>
          <w:b/>
          <w:lang w:val="en-GB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134"/>
        <w:gridCol w:w="1221"/>
        <w:gridCol w:w="1293"/>
        <w:gridCol w:w="1293"/>
        <w:gridCol w:w="1154"/>
      </w:tblGrid>
      <w:tr w:rsidR="00667B85" w:rsidRPr="007062C2" w:rsidTr="00B32D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85" w:rsidRPr="007062C2" w:rsidRDefault="00667B85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Year</w:t>
            </w:r>
            <w:r w:rsidRPr="00500869">
              <w:rPr>
                <w:rFonts w:cs="Arial"/>
                <w:sz w:val="18"/>
                <w:szCs w:val="18"/>
                <w:lang w:val="en-GB"/>
              </w:rPr>
              <w:t xml:space="preserve"> 2013</w:t>
            </w:r>
          </w:p>
        </w:tc>
      </w:tr>
      <w:tr w:rsidR="00667B85" w:rsidRPr="007062C2" w:rsidTr="00B32D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compared to the corresponding quarter of</w:t>
            </w:r>
            <w:r w:rsidRPr="00500869">
              <w:rPr>
                <w:rFonts w:cs="Arial"/>
                <w:sz w:val="18"/>
                <w:szCs w:val="18"/>
                <w:lang w:val="en-GB"/>
              </w:rPr>
              <w:t xml:space="preserve"> 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-2.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-1.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-1.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+1.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 w:rsidP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7062C2">
              <w:rPr>
                <w:rFonts w:cs="Arial"/>
                <w:sz w:val="18"/>
                <w:szCs w:val="18"/>
                <w:lang w:val="en-GB"/>
              </w:rPr>
              <w:t>-0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9</w:t>
            </w:r>
          </w:p>
        </w:tc>
      </w:tr>
      <w:tr w:rsidR="00667B85" w:rsidRPr="007062C2" w:rsidTr="00B32D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85" w:rsidRPr="00500869" w:rsidRDefault="00667B85" w:rsidP="00DD39E6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compared to the previous quarter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-1.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 w:rsidP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7062C2">
              <w:rPr>
                <w:rFonts w:cs="Arial"/>
                <w:sz w:val="18"/>
                <w:szCs w:val="18"/>
                <w:lang w:val="en-GB"/>
              </w:rPr>
              <w:t>+0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+0.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+1.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B85" w:rsidRPr="007062C2" w:rsidRDefault="00667B8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7062C2">
              <w:rPr>
                <w:rFonts w:cs="Arial"/>
                <w:sz w:val="18"/>
                <w:szCs w:val="18"/>
                <w:lang w:val="en-GB"/>
              </w:rPr>
              <w:t>x</w:t>
            </w:r>
          </w:p>
        </w:tc>
      </w:tr>
    </w:tbl>
    <w:p w:rsidR="00B32DFB" w:rsidRPr="007062C2" w:rsidRDefault="00B32DFB" w:rsidP="00B32DFB">
      <w:pPr>
        <w:rPr>
          <w:lang w:val="en-GB"/>
        </w:rPr>
      </w:pPr>
    </w:p>
    <w:p w:rsidR="00131419" w:rsidRDefault="00131419" w:rsidP="00B32DFB">
      <w:pPr>
        <w:rPr>
          <w:lang w:val="en-GB"/>
        </w:rPr>
      </w:pPr>
      <w:r>
        <w:rPr>
          <w:lang w:val="en-GB"/>
        </w:rPr>
        <w:t>The gross value added (GVA)</w:t>
      </w:r>
      <w:r w:rsidR="006852D3">
        <w:rPr>
          <w:lang w:val="en-GB"/>
        </w:rPr>
        <w:t xml:space="preserve"> </w:t>
      </w:r>
      <w:r w:rsidR="002C193C">
        <w:rPr>
          <w:lang w:val="en-GB"/>
        </w:rPr>
        <w:t>generation</w:t>
      </w:r>
      <w:r>
        <w:rPr>
          <w:lang w:val="en-GB"/>
        </w:rPr>
        <w:t xml:space="preserve"> was developing in a less differentiated way during individual quarters (the GVA expresses economic performance of branches of the national economy). Differences in the development of the GDP and the GVA were resulting </w:t>
      </w:r>
      <w:r w:rsidR="003B0F1E">
        <w:rPr>
          <w:lang w:val="en-GB"/>
        </w:rPr>
        <w:t xml:space="preserve">from the contribution of the excise tax to the GDP generation, which was markedly differentiated in quarters due to stocking-up by tobacco products. </w:t>
      </w:r>
    </w:p>
    <w:p w:rsidR="00B32DFB" w:rsidRPr="007062C2" w:rsidRDefault="00B32DFB" w:rsidP="00B32DFB">
      <w:pPr>
        <w:rPr>
          <w:lang w:val="en-GB"/>
        </w:rPr>
      </w:pPr>
    </w:p>
    <w:p w:rsidR="00B32DFB" w:rsidRPr="007062C2" w:rsidRDefault="00720528" w:rsidP="00B32DFB">
      <w:pPr>
        <w:rPr>
          <w:b/>
          <w:lang w:val="en-GB"/>
        </w:rPr>
      </w:pPr>
      <w:r>
        <w:rPr>
          <w:b/>
          <w:lang w:val="en-GB"/>
        </w:rPr>
        <w:t>GVA development in</w:t>
      </w:r>
      <w:r w:rsidRPr="00500869">
        <w:rPr>
          <w:b/>
          <w:lang w:val="en-GB"/>
        </w:rPr>
        <w:t xml:space="preserve"> % (</w:t>
      </w:r>
      <w:r>
        <w:rPr>
          <w:b/>
          <w:lang w:val="en-GB"/>
        </w:rPr>
        <w:t>adjusted for price, seasonal, and calendar effects</w:t>
      </w:r>
      <w:r w:rsidRPr="00500869">
        <w:rPr>
          <w:b/>
          <w:lang w:val="en-GB"/>
        </w:rPr>
        <w:t>)</w:t>
      </w:r>
      <w:r w:rsidR="00B32DFB" w:rsidRPr="007062C2">
        <w:rPr>
          <w:b/>
          <w:lang w:val="en-GB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134"/>
        <w:gridCol w:w="1221"/>
        <w:gridCol w:w="1293"/>
        <w:gridCol w:w="1293"/>
        <w:gridCol w:w="1154"/>
      </w:tblGrid>
      <w:tr w:rsidR="00A6008B" w:rsidRPr="007062C2" w:rsidTr="00B32D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8B" w:rsidRPr="007062C2" w:rsidRDefault="00A6008B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Year</w:t>
            </w:r>
            <w:r w:rsidRPr="00500869">
              <w:rPr>
                <w:rFonts w:cs="Arial"/>
                <w:sz w:val="18"/>
                <w:szCs w:val="18"/>
                <w:lang w:val="en-GB"/>
              </w:rPr>
              <w:t xml:space="preserve"> 2013</w:t>
            </w:r>
          </w:p>
        </w:tc>
      </w:tr>
      <w:tr w:rsidR="00A6008B" w:rsidRPr="007062C2" w:rsidTr="00B32D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compared to the corresponding quarter of</w:t>
            </w:r>
            <w:r w:rsidRPr="00500869">
              <w:rPr>
                <w:rFonts w:cs="Arial"/>
                <w:sz w:val="18"/>
                <w:szCs w:val="18"/>
                <w:lang w:val="en-GB"/>
              </w:rPr>
              <w:t xml:space="preserve"> 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-2.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-1.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-0.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+0.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-0.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9</w:t>
            </w:r>
          </w:p>
        </w:tc>
      </w:tr>
      <w:tr w:rsidR="00A6008B" w:rsidRPr="007062C2" w:rsidTr="00B32DF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08B" w:rsidRPr="00500869" w:rsidRDefault="00A6008B" w:rsidP="00DD39E6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compared to the previous quarter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A6008B" w:rsidP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7062C2">
              <w:rPr>
                <w:rFonts w:cs="Arial"/>
                <w:sz w:val="18"/>
                <w:szCs w:val="18"/>
                <w:lang w:val="en-GB"/>
              </w:rPr>
              <w:t>-0</w:t>
            </w:r>
            <w:r w:rsidR="008F68A2">
              <w:rPr>
                <w:rFonts w:cs="Arial"/>
                <w:sz w:val="18"/>
                <w:szCs w:val="18"/>
                <w:lang w:val="en-GB"/>
              </w:rPr>
              <w:t>.</w:t>
            </w:r>
            <w:r w:rsidRPr="007062C2"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+0.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8F68A2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+0.</w:t>
            </w:r>
            <w:r w:rsidR="00A6008B" w:rsidRPr="007062C2">
              <w:rPr>
                <w:rFonts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08B" w:rsidRPr="007062C2" w:rsidRDefault="00A6008B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7062C2">
              <w:rPr>
                <w:rFonts w:cs="Arial"/>
                <w:sz w:val="18"/>
                <w:szCs w:val="18"/>
                <w:lang w:val="en-GB"/>
              </w:rPr>
              <w:t>x</w:t>
            </w:r>
          </w:p>
        </w:tc>
      </w:tr>
    </w:tbl>
    <w:p w:rsidR="00B32DFB" w:rsidRPr="007062C2" w:rsidRDefault="00B32DFB" w:rsidP="00B32DFB">
      <w:pPr>
        <w:rPr>
          <w:b/>
          <w:lang w:val="en-GB"/>
        </w:rPr>
      </w:pPr>
    </w:p>
    <w:p w:rsidR="004C4254" w:rsidRDefault="004C4254" w:rsidP="00B32DFB">
      <w:pPr>
        <w:rPr>
          <w:lang w:val="en-GB"/>
        </w:rPr>
      </w:pPr>
      <w:r>
        <w:rPr>
          <w:lang w:val="en-GB"/>
        </w:rPr>
        <w:t xml:space="preserve">From data sources on the GVA </w:t>
      </w:r>
      <w:r w:rsidR="0033239E">
        <w:rPr>
          <w:lang w:val="en-GB"/>
        </w:rPr>
        <w:t>generation</w:t>
      </w:r>
      <w:r>
        <w:rPr>
          <w:lang w:val="en-GB"/>
        </w:rPr>
        <w:t xml:space="preserve"> currently available it is obvious that the drop of overall performance of the economy of the CR, which lasted for six quarters and totalled -2.3% stopped in the Q2 2013. </w:t>
      </w:r>
    </w:p>
    <w:p w:rsidR="004C4254" w:rsidRDefault="004C4254" w:rsidP="00B32DFB">
      <w:pPr>
        <w:rPr>
          <w:lang w:val="en-GB"/>
        </w:rPr>
      </w:pPr>
    </w:p>
    <w:p w:rsidR="00B32DFB" w:rsidRDefault="00895074" w:rsidP="00B32DFB">
      <w:pPr>
        <w:rPr>
          <w:lang w:val="en-GB"/>
        </w:rPr>
      </w:pPr>
      <w:r>
        <w:rPr>
          <w:lang w:val="en-GB"/>
        </w:rPr>
        <w:lastRenderedPageBreak/>
        <w:t xml:space="preserve">Gradual recovery of the GVA dynamics in the Q3 and mainly Q4 </w:t>
      </w:r>
      <w:r w:rsidR="00897F95">
        <w:rPr>
          <w:lang w:val="en-GB"/>
        </w:rPr>
        <w:t>owed</w:t>
      </w:r>
      <w:r w:rsidR="00070415">
        <w:rPr>
          <w:lang w:val="en-GB"/>
        </w:rPr>
        <w:t xml:space="preserve"> </w:t>
      </w:r>
      <w:r w:rsidR="00781630">
        <w:rPr>
          <w:lang w:val="en-GB"/>
        </w:rPr>
        <w:t>almost exclusively</w:t>
      </w:r>
      <w:r w:rsidR="00070415">
        <w:rPr>
          <w:lang w:val="en-GB"/>
        </w:rPr>
        <w:t xml:space="preserve"> to manufacturing </w:t>
      </w:r>
      <w:r w:rsidR="007229D3">
        <w:rPr>
          <w:lang w:val="en-GB"/>
        </w:rPr>
        <w:t xml:space="preserve">and, within that, primarily industries that are important due to their volume:  </w:t>
      </w:r>
      <w:r w:rsidR="00897F95">
        <w:rPr>
          <w:lang w:val="en-GB"/>
        </w:rPr>
        <w:t xml:space="preserve">manufacture of motor vehicles, trailers and semi-trailers, manufacture of </w:t>
      </w:r>
      <w:r w:rsidR="007229D3">
        <w:rPr>
          <w:lang w:val="en-GB"/>
        </w:rPr>
        <w:t xml:space="preserve">machinery and equipment, </w:t>
      </w:r>
      <w:r w:rsidR="008F1C02">
        <w:rPr>
          <w:lang w:val="en-GB"/>
        </w:rPr>
        <w:t xml:space="preserve">manufacture of fabricated metal products, and manufacture of rubber and plastic products. The GVA grew markedly in financial and insurance activities. </w:t>
      </w:r>
    </w:p>
    <w:p w:rsidR="008F1C02" w:rsidRDefault="008F1C02" w:rsidP="00B32DFB">
      <w:pPr>
        <w:rPr>
          <w:lang w:val="en-GB"/>
        </w:rPr>
      </w:pPr>
      <w:r>
        <w:rPr>
          <w:lang w:val="en-GB"/>
        </w:rPr>
        <w:t xml:space="preserve">On the contrary, agriculture, construction, and most of the activities of market services have not reached the level of 2012, even despite partial recovery in the end of the year. </w:t>
      </w:r>
    </w:p>
    <w:p w:rsidR="008F1C02" w:rsidRPr="007062C2" w:rsidRDefault="008F1C02" w:rsidP="00B32DFB">
      <w:pPr>
        <w:rPr>
          <w:lang w:val="en-GB"/>
        </w:rPr>
      </w:pPr>
      <w:r>
        <w:rPr>
          <w:lang w:val="en-GB"/>
        </w:rPr>
        <w:t xml:space="preserve">Overall y-o-y increase of the gross value added in the Q4 2013, however, has to be evaluated while taking into account the low comparison basis </w:t>
      </w:r>
      <w:r w:rsidR="000B33FD">
        <w:rPr>
          <w:lang w:val="en-GB"/>
        </w:rPr>
        <w:t>of</w:t>
      </w:r>
      <w:r>
        <w:rPr>
          <w:lang w:val="en-GB"/>
        </w:rPr>
        <w:t xml:space="preserve"> 2012. </w:t>
      </w:r>
    </w:p>
    <w:p w:rsidR="00B32DFB" w:rsidRDefault="00B32DFB" w:rsidP="00B32DFB">
      <w:pPr>
        <w:rPr>
          <w:lang w:val="en-GB"/>
        </w:rPr>
      </w:pPr>
    </w:p>
    <w:p w:rsidR="008F1C02" w:rsidRPr="000B3B6E" w:rsidRDefault="00A547E2" w:rsidP="00B32DFB">
      <w:pPr>
        <w:rPr>
          <w:lang w:val="en-GB"/>
        </w:rPr>
      </w:pPr>
      <w:r w:rsidRPr="00A547E2">
        <w:rPr>
          <w:lang w:val="en-GB"/>
        </w:rPr>
        <w:t>Development of</w:t>
      </w:r>
      <w:r w:rsidR="008F1C02" w:rsidRPr="00A547E2">
        <w:rPr>
          <w:lang w:val="en-GB"/>
        </w:rPr>
        <w:t xml:space="preserve"> the</w:t>
      </w:r>
      <w:r w:rsidR="008F1C02">
        <w:rPr>
          <w:b/>
          <w:lang w:val="en-GB"/>
        </w:rPr>
        <w:t xml:space="preserve"> demand</w:t>
      </w:r>
      <w:r>
        <w:rPr>
          <w:b/>
          <w:lang w:val="en-GB"/>
        </w:rPr>
        <w:t xml:space="preserve"> </w:t>
      </w:r>
      <w:r w:rsidR="000B3B6E">
        <w:rPr>
          <w:lang w:val="en-GB"/>
        </w:rPr>
        <w:t xml:space="preserve">at constant prices in 2013 (similarly as in 2012) was negatively influenced primarily by decrease of investments in fixed capital by 3.6% in total. In the Q4 2013, the gross fixed capital formation increased both y-o-y and q-o-q, however, compared to the Q1 2008 when it was culminating it was by more than 20% lower. </w:t>
      </w:r>
    </w:p>
    <w:p w:rsidR="008F1C02" w:rsidRDefault="007F358E" w:rsidP="00B32DFB">
      <w:pPr>
        <w:rPr>
          <w:lang w:val="en-GB"/>
        </w:rPr>
      </w:pPr>
      <w:r>
        <w:rPr>
          <w:lang w:val="en-GB"/>
        </w:rPr>
        <w:t>In the second half-year (after stagnation in the first half-year) it was an increase in</w:t>
      </w:r>
      <w:r w:rsidR="00E8158A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357880">
        <w:rPr>
          <w:lang w:val="en-GB"/>
        </w:rPr>
        <w:t xml:space="preserve">final consumption </w:t>
      </w:r>
      <w:r>
        <w:rPr>
          <w:lang w:val="en-GB"/>
        </w:rPr>
        <w:t>expenditure of households and</w:t>
      </w:r>
      <w:r w:rsidR="00357880">
        <w:rPr>
          <w:lang w:val="en-GB"/>
        </w:rPr>
        <w:t xml:space="preserve"> institutions of the</w:t>
      </w:r>
      <w:r>
        <w:rPr>
          <w:lang w:val="en-GB"/>
        </w:rPr>
        <w:t xml:space="preserve"> general government, which contributed to the formation of the demand. Households paid in 2013 more, y-o-y, especially for housing (including energies), transport and transport equipment, clothing, telecommunication, and also for insurance. Compared to 2012, on the contrary, expenditure dropped mainly for food, recreation, and furniture. </w:t>
      </w:r>
    </w:p>
    <w:p w:rsidR="000B3B6E" w:rsidRDefault="007F358E" w:rsidP="00B32DFB">
      <w:pPr>
        <w:rPr>
          <w:lang w:val="en-GB"/>
        </w:rPr>
      </w:pPr>
      <w:r>
        <w:rPr>
          <w:lang w:val="en-GB"/>
        </w:rPr>
        <w:t xml:space="preserve">Contribution of external trade in goods to the overall demand was almost neutral with exports growing by 1.0% and imports by 0.9%. </w:t>
      </w:r>
    </w:p>
    <w:p w:rsidR="00B32DFB" w:rsidRPr="007062C2" w:rsidRDefault="00B32DFB" w:rsidP="00B32DFB">
      <w:pPr>
        <w:rPr>
          <w:lang w:val="en-GB"/>
        </w:rPr>
      </w:pPr>
    </w:p>
    <w:p w:rsidR="009F313D" w:rsidRDefault="009F313D" w:rsidP="009F313D">
      <w:pPr>
        <w:rPr>
          <w:lang w:val="en-GB"/>
        </w:rPr>
      </w:pPr>
      <w:r>
        <w:rPr>
          <w:lang w:val="en-GB"/>
        </w:rPr>
        <w:t xml:space="preserve">In 2013, the economy of the Czech Republic generated the GDP in the amount of CZK </w:t>
      </w:r>
      <w:r w:rsidRPr="00500869">
        <w:rPr>
          <w:lang w:val="en-GB"/>
        </w:rPr>
        <w:t>3</w:t>
      </w:r>
      <w:r>
        <w:rPr>
          <w:lang w:val="en-GB"/>
        </w:rPr>
        <w:t> </w:t>
      </w:r>
      <w:r w:rsidRPr="00500869">
        <w:rPr>
          <w:lang w:val="en-GB"/>
        </w:rPr>
        <w:t>88</w:t>
      </w:r>
      <w:r w:rsidR="00DF70C7">
        <w:rPr>
          <w:lang w:val="en-GB"/>
        </w:rPr>
        <w:t>4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bn</w:t>
      </w:r>
      <w:proofErr w:type="spellEnd"/>
      <w:r>
        <w:rPr>
          <w:lang w:val="en-GB"/>
        </w:rPr>
        <w:t xml:space="preserve"> </w:t>
      </w:r>
      <w:r w:rsidRPr="00C86CDB">
        <w:rPr>
          <w:lang w:val="en-GB"/>
        </w:rPr>
        <w:t>at</w:t>
      </w:r>
      <w:r w:rsidRPr="00C86CDB">
        <w:rPr>
          <w:b/>
          <w:lang w:val="en-GB"/>
        </w:rPr>
        <w:t xml:space="preserve"> current prices</w:t>
      </w:r>
      <w:r>
        <w:rPr>
          <w:lang w:val="en-GB"/>
        </w:rPr>
        <w:t xml:space="preserve">, i.e. by </w:t>
      </w:r>
      <w:r w:rsidR="00DF70C7">
        <w:rPr>
          <w:lang w:val="en-GB"/>
        </w:rPr>
        <w:t>1</w:t>
      </w:r>
      <w:r>
        <w:rPr>
          <w:lang w:val="en-GB"/>
        </w:rPr>
        <w:t>.</w:t>
      </w:r>
      <w:r w:rsidR="00DF70C7">
        <w:rPr>
          <w:lang w:val="en-GB"/>
        </w:rPr>
        <w:t>0</w:t>
      </w:r>
      <w:r>
        <w:rPr>
          <w:lang w:val="en-GB"/>
        </w:rPr>
        <w:t>% more than in 2012. The GDP deflator expressing the change of the overall price level for the entire year increased by 1.</w:t>
      </w:r>
      <w:r w:rsidR="00DF70C7">
        <w:rPr>
          <w:lang w:val="en-GB"/>
        </w:rPr>
        <w:t>9</w:t>
      </w:r>
      <w:r>
        <w:rPr>
          <w:lang w:val="en-GB"/>
        </w:rPr>
        <w:t xml:space="preserve">%, y-o-y, </w:t>
      </w:r>
      <w:r w:rsidR="00DF70C7">
        <w:rPr>
          <w:lang w:val="en-GB"/>
        </w:rPr>
        <w:t>of which in the Q4 it was by 2.3</w:t>
      </w:r>
      <w:r>
        <w:rPr>
          <w:lang w:val="en-GB"/>
        </w:rPr>
        <w:t xml:space="preserve">%. </w:t>
      </w:r>
    </w:p>
    <w:p w:rsidR="009F313D" w:rsidRPr="00500869" w:rsidRDefault="009F313D" w:rsidP="009F313D">
      <w:pPr>
        <w:rPr>
          <w:lang w:val="en-GB"/>
        </w:rPr>
      </w:pPr>
    </w:p>
    <w:p w:rsidR="009F313D" w:rsidRDefault="009F313D" w:rsidP="00B32DFB">
      <w:pPr>
        <w:rPr>
          <w:lang w:val="en-GB"/>
        </w:rPr>
      </w:pPr>
      <w:r>
        <w:rPr>
          <w:lang w:val="en-GB"/>
        </w:rPr>
        <w:t xml:space="preserve">Total </w:t>
      </w:r>
      <w:r>
        <w:rPr>
          <w:b/>
          <w:lang w:val="en-GB"/>
        </w:rPr>
        <w:t xml:space="preserve">employment </w:t>
      </w:r>
      <w:r>
        <w:rPr>
          <w:lang w:val="en-GB"/>
        </w:rPr>
        <w:t xml:space="preserve">in terms of national accounts, which includes employees and the self-employed, increased compared to 2012 in average by 0.9% to </w:t>
      </w:r>
      <w:r w:rsidRPr="00500869">
        <w:rPr>
          <w:lang w:val="en-GB"/>
        </w:rPr>
        <w:t>5</w:t>
      </w:r>
      <w:r>
        <w:rPr>
          <w:lang w:val="en-GB"/>
        </w:rPr>
        <w:t> </w:t>
      </w:r>
      <w:r w:rsidRPr="00500869">
        <w:rPr>
          <w:lang w:val="en-GB"/>
        </w:rPr>
        <w:t>124</w:t>
      </w:r>
      <w:r>
        <w:rPr>
          <w:lang w:val="en-GB"/>
        </w:rPr>
        <w:t xml:space="preserve"> thousand persons. However, they worked by 0.8% less hours in total.</w:t>
      </w:r>
    </w:p>
    <w:p w:rsidR="00B32DFB" w:rsidRPr="007062C2" w:rsidRDefault="00B32DFB" w:rsidP="00B32DFB">
      <w:pPr>
        <w:rPr>
          <w:lang w:val="en-GB"/>
        </w:rPr>
      </w:pPr>
    </w:p>
    <w:p w:rsidR="00B32DFB" w:rsidRDefault="00B32DFB" w:rsidP="00B32DFB">
      <w:pPr>
        <w:rPr>
          <w:lang w:val="en-GB"/>
        </w:rPr>
      </w:pPr>
    </w:p>
    <w:p w:rsidR="00B32DFB" w:rsidRPr="007062C2" w:rsidRDefault="00B32DFB" w:rsidP="00B32DFB">
      <w:pPr>
        <w:rPr>
          <w:lang w:val="en-GB"/>
        </w:rPr>
      </w:pPr>
    </w:p>
    <w:p w:rsidR="00A73B63" w:rsidRPr="00555630" w:rsidRDefault="00A73B63" w:rsidP="00A73B63">
      <w:pPr>
        <w:pStyle w:val="Poznmky"/>
        <w:tabs>
          <w:tab w:val="left" w:pos="284"/>
        </w:tabs>
        <w:ind w:left="3600" w:hanging="3600"/>
        <w:rPr>
          <w:i/>
          <w:lang w:val="en-GB"/>
        </w:rPr>
      </w:pPr>
      <w:r>
        <w:rPr>
          <w:i/>
          <w:lang w:val="en-GB"/>
        </w:rPr>
        <w:t>Contact person</w:t>
      </w:r>
      <w:r w:rsidRPr="00500869">
        <w:rPr>
          <w:i/>
          <w:lang w:val="en-GB"/>
        </w:rPr>
        <w:t>:</w:t>
      </w:r>
      <w:r w:rsidRPr="00500869">
        <w:rPr>
          <w:i/>
          <w:lang w:val="en-GB"/>
        </w:rPr>
        <w:tab/>
        <w:t xml:space="preserve">Jan Heller, </w:t>
      </w:r>
      <w:r>
        <w:rPr>
          <w:i/>
          <w:lang w:val="en-GB"/>
        </w:rPr>
        <w:t>Director of the Quarterly National Accounts Department, phone number (+420)</w:t>
      </w:r>
      <w:r w:rsidRPr="00500869">
        <w:rPr>
          <w:i/>
          <w:lang w:val="en-GB"/>
        </w:rPr>
        <w:t xml:space="preserve"> 274 052 865, e-mail: </w:t>
      </w:r>
      <w:r w:rsidRPr="00555630">
        <w:rPr>
          <w:i/>
          <w:lang w:val="en-GB"/>
        </w:rPr>
        <w:t>jan.heller@czso.cz</w:t>
      </w:r>
    </w:p>
    <w:p w:rsidR="00A73B63" w:rsidRPr="00555630" w:rsidRDefault="00A73B63" w:rsidP="00A73B63">
      <w:pPr>
        <w:pStyle w:val="Poznamkytexty"/>
        <w:ind w:left="3600" w:hanging="3600"/>
        <w:rPr>
          <w:lang w:val="en-GB"/>
        </w:rPr>
      </w:pPr>
      <w:r w:rsidRPr="00555630">
        <w:rPr>
          <w:lang w:val="en-GB"/>
        </w:rPr>
        <w:t>Used data sources updated as at:</w:t>
      </w:r>
      <w:r w:rsidRPr="00555630">
        <w:rPr>
          <w:lang w:val="en-GB"/>
        </w:rPr>
        <w:tab/>
      </w:r>
      <w:r w:rsidR="00500FE1">
        <w:rPr>
          <w:lang w:val="en-GB"/>
        </w:rPr>
        <w:t>27</w:t>
      </w:r>
      <w:r w:rsidRPr="00555630">
        <w:rPr>
          <w:lang w:val="en-GB"/>
        </w:rPr>
        <w:t xml:space="preserve"> March 2014</w:t>
      </w:r>
    </w:p>
    <w:p w:rsidR="00A73B63" w:rsidRPr="009264F5" w:rsidRDefault="00A73B63" w:rsidP="00A73B63">
      <w:pPr>
        <w:pStyle w:val="Poznamkytexty"/>
        <w:ind w:left="3600" w:hanging="3600"/>
        <w:rPr>
          <w:lang w:val="en-US"/>
        </w:rPr>
      </w:pPr>
      <w:r w:rsidRPr="009264F5">
        <w:rPr>
          <w:lang w:val="en-US"/>
        </w:rPr>
        <w:t>Related CZSO web page:</w:t>
      </w:r>
      <w:r w:rsidRPr="009264F5">
        <w:rPr>
          <w:lang w:val="en-US"/>
        </w:rPr>
        <w:tab/>
        <w:t>www.czso.cz/csu/csu.nsf/engkalendar/aktual-hdp</w:t>
      </w:r>
    </w:p>
    <w:p w:rsidR="00D209A7" w:rsidRPr="007B5795" w:rsidRDefault="00A73B63" w:rsidP="00A73B63">
      <w:pPr>
        <w:spacing w:line="240" w:lineRule="auto"/>
        <w:jc w:val="left"/>
        <w:rPr>
          <w:i/>
          <w:sz w:val="18"/>
          <w:szCs w:val="18"/>
          <w:lang w:val="en-US"/>
        </w:rPr>
      </w:pPr>
      <w:r w:rsidRPr="009264F5">
        <w:rPr>
          <w:i/>
          <w:sz w:val="18"/>
          <w:szCs w:val="18"/>
          <w:lang w:val="en-US"/>
        </w:rPr>
        <w:t xml:space="preserve">Next News Release will be published on: </w:t>
      </w:r>
      <w:r>
        <w:rPr>
          <w:i/>
          <w:sz w:val="18"/>
          <w:szCs w:val="18"/>
          <w:lang w:val="en-US"/>
        </w:rPr>
        <w:tab/>
      </w:r>
      <w:r w:rsidRPr="009264F5">
        <w:rPr>
          <w:i/>
          <w:sz w:val="18"/>
          <w:szCs w:val="18"/>
          <w:lang w:val="en-US"/>
        </w:rPr>
        <w:t>1</w:t>
      </w:r>
      <w:r>
        <w:rPr>
          <w:i/>
          <w:sz w:val="18"/>
          <w:szCs w:val="18"/>
          <w:lang w:val="en-US"/>
        </w:rPr>
        <w:t>5 May</w:t>
      </w:r>
      <w:r w:rsidRPr="009264F5">
        <w:rPr>
          <w:i/>
          <w:sz w:val="18"/>
          <w:szCs w:val="18"/>
          <w:lang w:val="en-US"/>
        </w:rPr>
        <w:t xml:space="preserve"> 2014 (</w:t>
      </w:r>
      <w:r>
        <w:rPr>
          <w:i/>
          <w:sz w:val="18"/>
          <w:szCs w:val="18"/>
          <w:lang w:val="en-US"/>
        </w:rPr>
        <w:t>Preliminary GDP estimate</w:t>
      </w:r>
      <w:r w:rsidRPr="009264F5">
        <w:rPr>
          <w:i/>
          <w:sz w:val="18"/>
          <w:szCs w:val="18"/>
          <w:lang w:val="en-US"/>
        </w:rPr>
        <w:t xml:space="preserve"> for the f</w:t>
      </w:r>
      <w:r>
        <w:rPr>
          <w:i/>
          <w:sz w:val="18"/>
          <w:szCs w:val="18"/>
          <w:lang w:val="en-US"/>
        </w:rPr>
        <w:t>irst</w:t>
      </w:r>
      <w:r w:rsidRPr="009264F5">
        <w:rPr>
          <w:i/>
          <w:sz w:val="18"/>
          <w:szCs w:val="18"/>
          <w:lang w:val="en-US"/>
        </w:rPr>
        <w:t xml:space="preserve"> quarter </w:t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 w:rsidRPr="009264F5">
        <w:rPr>
          <w:i/>
          <w:sz w:val="18"/>
          <w:szCs w:val="18"/>
          <w:lang w:val="en-US"/>
        </w:rPr>
        <w:t>of 201</w:t>
      </w:r>
      <w:r>
        <w:rPr>
          <w:i/>
          <w:sz w:val="18"/>
          <w:szCs w:val="18"/>
          <w:lang w:val="en-US"/>
        </w:rPr>
        <w:t>4</w:t>
      </w:r>
      <w:r w:rsidRPr="009264F5">
        <w:rPr>
          <w:i/>
          <w:sz w:val="18"/>
          <w:szCs w:val="18"/>
          <w:lang w:val="en-US"/>
        </w:rPr>
        <w:t>)</w:t>
      </w:r>
    </w:p>
    <w:sectPr w:rsidR="00D209A7" w:rsidRPr="007B5795" w:rsidSect="00405244">
      <w:headerReference w:type="default" r:id="rId7"/>
      <w:footerReference w:type="default" r:id="rId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4D" w:rsidRDefault="00DD7E4D" w:rsidP="00BA6370">
      <w:r>
        <w:separator/>
      </w:r>
    </w:p>
  </w:endnote>
  <w:endnote w:type="continuationSeparator" w:id="0">
    <w:p w:rsidR="00DD7E4D" w:rsidRDefault="00DD7E4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E5E1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r w:rsidRPr="005061C8">
                  <w:rPr>
                    <w:rFonts w:cs="Arial"/>
                    <w:b/>
                    <w:color w:val="BD1B21"/>
                    <w:sz w:val="15"/>
                    <w:szCs w:val="15"/>
                  </w:rPr>
                  <w:t>www.czso.cz</w:t>
                </w:r>
                <w:r w:rsidRPr="005061C8">
                  <w:rPr>
                    <w:rFonts w:cs="Arial"/>
                    <w:color w:val="BD1B21"/>
                    <w:sz w:val="15"/>
                    <w:szCs w:val="15"/>
                  </w:rPr>
                  <w:t xml:space="preserve"> </w:t>
                </w:r>
              </w:p>
              <w:p w:rsidR="00380178" w:rsidRPr="000172E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tel: +420 274 052 304, +420 274 052 </w:t>
                </w:r>
                <w:r w:rsidRPr="005061C8">
                  <w:rPr>
                    <w:rFonts w:cs="Arial"/>
                    <w:sz w:val="15"/>
                    <w:szCs w:val="15"/>
                  </w:rPr>
                  <w:t xml:space="preserve">425, e-mail: </w:t>
                </w:r>
                <w:hyperlink r:id="rId1" w:history="1">
                  <w:r w:rsidRPr="002D37F5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9E5E19" w:rsidRPr="007E75DE">
                  <w:rPr>
                    <w:rFonts w:cs="Arial"/>
                    <w:szCs w:val="15"/>
                  </w:rPr>
                  <w:fldChar w:fldCharType="begin"/>
                </w:r>
                <w:r w:rsidRPr="007E75D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9E5E19" w:rsidRPr="007E75DE">
                  <w:rPr>
                    <w:rFonts w:cs="Arial"/>
                    <w:szCs w:val="15"/>
                  </w:rPr>
                  <w:fldChar w:fldCharType="separate"/>
                </w:r>
                <w:r w:rsidR="00500FE1">
                  <w:rPr>
                    <w:rFonts w:cs="Arial"/>
                    <w:noProof/>
                    <w:szCs w:val="15"/>
                  </w:rPr>
                  <w:t>2</w:t>
                </w:r>
                <w:r w:rsidR="009E5E1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9E5E19">
      <w:rPr>
        <w:noProof/>
        <w:lang w:val="en-GB"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4D" w:rsidRDefault="00DD7E4D" w:rsidP="00BA6370">
      <w:r>
        <w:separator/>
      </w:r>
    </w:p>
  </w:footnote>
  <w:footnote w:type="continuationSeparator" w:id="0">
    <w:p w:rsidR="00DD7E4D" w:rsidRDefault="00DD7E4D" w:rsidP="00BA6370">
      <w:r>
        <w:continuationSeparator/>
      </w:r>
    </w:p>
  </w:footnote>
  <w:footnote w:id="1">
    <w:p w:rsidR="00F1299F" w:rsidRPr="006D7EA9" w:rsidRDefault="00F1299F" w:rsidP="00F1299F">
      <w:pPr>
        <w:pStyle w:val="Textpoznpodarou"/>
        <w:rPr>
          <w:i/>
          <w:lang w:val="en-GB"/>
        </w:rPr>
      </w:pPr>
      <w:r w:rsidRPr="006D7EA9">
        <w:rPr>
          <w:rStyle w:val="Znakapoznpodarou"/>
          <w:lang w:val="en-GB"/>
        </w:rPr>
        <w:t>*/</w:t>
      </w:r>
      <w:r w:rsidRPr="006D7EA9">
        <w:rPr>
          <w:lang w:val="en-GB"/>
        </w:rPr>
        <w:t xml:space="preserve"> </w:t>
      </w:r>
      <w:r w:rsidRPr="006D7EA9">
        <w:rPr>
          <w:rFonts w:ascii="Arial" w:hAnsi="Arial" w:cs="Arial"/>
          <w:i/>
          <w:sz w:val="18"/>
          <w:szCs w:val="18"/>
          <w:lang w:val="en-GB"/>
        </w:rPr>
        <w:t>Unless otherwise stated, all data presented in the News Release are adjusted for price, seasonal, and calendar effects.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E5E19">
    <w:pPr>
      <w:pStyle w:val="Zhlav"/>
    </w:pPr>
    <w:r>
      <w:rPr>
        <w:noProof/>
        <w:lang w:eastAsia="cs-CZ"/>
      </w:rPr>
      <w:pict>
        <v:group id="_x0000_s2094" style="position:absolute;left:0;text-align:left;margin-left:-69.5pt;margin-top:7.95pt;width:496.95pt;height:80.05pt;z-index:3" coordorigin="595,879" coordsize="9939,1601">
          <v:rect id="_x0000_s2081" style="position:absolute;left:1956;top:1911;width:8578;height:569;mso-position-horizontal-relative:page;mso-position-vertical-relative:page" fillcolor="#0071bc" stroked="f"/>
          <v:shape id="_x0000_s2082" style="position:absolute;left:2177;top:2104;width:1943;height:198;mso-position-vertical:absolute;mso-position-vertical-relative:page" coordsize="3885,394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<v:path arrowok="t"/>
            <o:lock v:ext="edit" verticies="t"/>
          </v:shape>
          <v:rect id="_x0000_s2083" style="position:absolute;left:1217;top:882;width:660;height:153" fillcolor="#0071bc" stroked="f"/>
          <v:rect id="_x0000_s2084" style="position:absolute;left:595;top:1111;width:1282;height:153" fillcolor="#0071bc" stroked="f"/>
          <v:rect id="_x0000_s2085" style="position:absolute;left:1158;top:1340;width:719;height:153" fillcolor="#0071bc" stroked="f"/>
          <v:shape id="_x0000_s2086" style="position:absolute;left:1947;top:1335;width:718;height:163" coordsize="1435,325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r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r,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<v:path arrowok="t"/>
            <o:lock v:ext="edit" verticies="t"/>
          </v:shape>
          <v:shape id="_x0000_s2087" style="position:absolute;left:1947;top:1107;width:1274;height:161" coordsize="2548,322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<v:path arrowok="t"/>
            <o:lock v:ext="edit" verticies="t"/>
          </v:shape>
          <v:shape id="_x0000_s2088" style="position:absolute;left:1947;top:879;width:664;height:160" coordsize="1327,321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<v:path arrowok="t"/>
            <o:lock v:ext="edit" verticies="t"/>
          </v:shape>
          <v:shape id="_x0000_s2089" style="position:absolute;left:6504;top:1379;width:4016;height:156;mso-position-horizontal:absolute" coordsize="8032,313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r,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r,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r,xm6472,42r8,1l6486,44r6,4l6498,53r5,5l6506,64r2,8l6510,79r-2,8l6506,94r-3,6l6498,105r-6,5l6486,114r-6,1l6472,116r-7,-1l6457,114r-6,-4l6445,105r-4,-5l6437,93r-2,-6l6435,78r,-6l6437,64r4,-6l6446,53r5,-5l6457,44r8,-1l6472,42r,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r,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r,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r,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r,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r,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r,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r,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r,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r,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r,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r,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r,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r,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536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ACD"/>
    <w:rsid w:val="00043BF4"/>
    <w:rsid w:val="00067E1E"/>
    <w:rsid w:val="00070415"/>
    <w:rsid w:val="000843A5"/>
    <w:rsid w:val="00091722"/>
    <w:rsid w:val="000B33FD"/>
    <w:rsid w:val="000B3B6E"/>
    <w:rsid w:val="000B6F63"/>
    <w:rsid w:val="00116ED1"/>
    <w:rsid w:val="00131419"/>
    <w:rsid w:val="0013242C"/>
    <w:rsid w:val="001404AB"/>
    <w:rsid w:val="0017231D"/>
    <w:rsid w:val="00176E26"/>
    <w:rsid w:val="0018061F"/>
    <w:rsid w:val="001810DC"/>
    <w:rsid w:val="001B607F"/>
    <w:rsid w:val="001C71FD"/>
    <w:rsid w:val="001D369A"/>
    <w:rsid w:val="001F08B3"/>
    <w:rsid w:val="002070FB"/>
    <w:rsid w:val="00213729"/>
    <w:rsid w:val="002406FA"/>
    <w:rsid w:val="002B2E47"/>
    <w:rsid w:val="002C193C"/>
    <w:rsid w:val="002D37F5"/>
    <w:rsid w:val="0032398D"/>
    <w:rsid w:val="003301A3"/>
    <w:rsid w:val="0033239E"/>
    <w:rsid w:val="00357880"/>
    <w:rsid w:val="0036777B"/>
    <w:rsid w:val="00380178"/>
    <w:rsid w:val="0038282A"/>
    <w:rsid w:val="00397580"/>
    <w:rsid w:val="003A45C8"/>
    <w:rsid w:val="003B0F1E"/>
    <w:rsid w:val="003B7F42"/>
    <w:rsid w:val="003C2DCF"/>
    <w:rsid w:val="003C3372"/>
    <w:rsid w:val="003C7FE7"/>
    <w:rsid w:val="003D0499"/>
    <w:rsid w:val="003D3576"/>
    <w:rsid w:val="003F526A"/>
    <w:rsid w:val="00405244"/>
    <w:rsid w:val="00436D82"/>
    <w:rsid w:val="004436EE"/>
    <w:rsid w:val="0045547F"/>
    <w:rsid w:val="004920AD"/>
    <w:rsid w:val="004C4254"/>
    <w:rsid w:val="004D05B3"/>
    <w:rsid w:val="004D44EC"/>
    <w:rsid w:val="004E479E"/>
    <w:rsid w:val="004F78E6"/>
    <w:rsid w:val="00500FE1"/>
    <w:rsid w:val="00512D99"/>
    <w:rsid w:val="00531DBB"/>
    <w:rsid w:val="0053689E"/>
    <w:rsid w:val="005409A4"/>
    <w:rsid w:val="00564213"/>
    <w:rsid w:val="005F79FB"/>
    <w:rsid w:val="00604406"/>
    <w:rsid w:val="00605F4A"/>
    <w:rsid w:val="00607822"/>
    <w:rsid w:val="006103AA"/>
    <w:rsid w:val="00613BBF"/>
    <w:rsid w:val="00622B80"/>
    <w:rsid w:val="006400BA"/>
    <w:rsid w:val="0064139A"/>
    <w:rsid w:val="00667B85"/>
    <w:rsid w:val="006852D3"/>
    <w:rsid w:val="006D5C60"/>
    <w:rsid w:val="006E024F"/>
    <w:rsid w:val="006E4E81"/>
    <w:rsid w:val="007062C2"/>
    <w:rsid w:val="00707F7D"/>
    <w:rsid w:val="00717EC5"/>
    <w:rsid w:val="00720528"/>
    <w:rsid w:val="007229D3"/>
    <w:rsid w:val="00755D8B"/>
    <w:rsid w:val="00763787"/>
    <w:rsid w:val="00781630"/>
    <w:rsid w:val="007A0CA5"/>
    <w:rsid w:val="007A57F2"/>
    <w:rsid w:val="007B1333"/>
    <w:rsid w:val="007B5795"/>
    <w:rsid w:val="007F358E"/>
    <w:rsid w:val="007F4AEB"/>
    <w:rsid w:val="007F75B2"/>
    <w:rsid w:val="008043C4"/>
    <w:rsid w:val="00831B1B"/>
    <w:rsid w:val="00855FB3"/>
    <w:rsid w:val="00861D0E"/>
    <w:rsid w:val="00867569"/>
    <w:rsid w:val="00885C0D"/>
    <w:rsid w:val="00895074"/>
    <w:rsid w:val="00897F95"/>
    <w:rsid w:val="008A750A"/>
    <w:rsid w:val="008B3970"/>
    <w:rsid w:val="008C384C"/>
    <w:rsid w:val="008D0F11"/>
    <w:rsid w:val="008F1C02"/>
    <w:rsid w:val="008F68A2"/>
    <w:rsid w:val="008F73B4"/>
    <w:rsid w:val="009035E8"/>
    <w:rsid w:val="00924B9A"/>
    <w:rsid w:val="00971374"/>
    <w:rsid w:val="009B55B1"/>
    <w:rsid w:val="009D5557"/>
    <w:rsid w:val="009E39C5"/>
    <w:rsid w:val="009E5E19"/>
    <w:rsid w:val="009F313D"/>
    <w:rsid w:val="00A4343D"/>
    <w:rsid w:val="00A502F1"/>
    <w:rsid w:val="00A547E2"/>
    <w:rsid w:val="00A6008B"/>
    <w:rsid w:val="00A70A83"/>
    <w:rsid w:val="00A73B63"/>
    <w:rsid w:val="00A81EB3"/>
    <w:rsid w:val="00A9627D"/>
    <w:rsid w:val="00AC3140"/>
    <w:rsid w:val="00AD4F67"/>
    <w:rsid w:val="00B00C1D"/>
    <w:rsid w:val="00B14ACD"/>
    <w:rsid w:val="00B32DFB"/>
    <w:rsid w:val="00B632CC"/>
    <w:rsid w:val="00BA12F1"/>
    <w:rsid w:val="00BA439F"/>
    <w:rsid w:val="00BA6370"/>
    <w:rsid w:val="00C269D4"/>
    <w:rsid w:val="00C4160D"/>
    <w:rsid w:val="00C8406E"/>
    <w:rsid w:val="00CB2709"/>
    <w:rsid w:val="00CB6F89"/>
    <w:rsid w:val="00CE228C"/>
    <w:rsid w:val="00CE5E30"/>
    <w:rsid w:val="00CE71D9"/>
    <w:rsid w:val="00CF545B"/>
    <w:rsid w:val="00D209A7"/>
    <w:rsid w:val="00D27D69"/>
    <w:rsid w:val="00D33AC1"/>
    <w:rsid w:val="00D448C2"/>
    <w:rsid w:val="00D666C3"/>
    <w:rsid w:val="00D67580"/>
    <w:rsid w:val="00D811AB"/>
    <w:rsid w:val="00DD7E4D"/>
    <w:rsid w:val="00DF47FE"/>
    <w:rsid w:val="00DF70C7"/>
    <w:rsid w:val="00E0156A"/>
    <w:rsid w:val="00E26704"/>
    <w:rsid w:val="00E31980"/>
    <w:rsid w:val="00E6423C"/>
    <w:rsid w:val="00E71483"/>
    <w:rsid w:val="00E8158A"/>
    <w:rsid w:val="00E91462"/>
    <w:rsid w:val="00E93830"/>
    <w:rsid w:val="00E93E0E"/>
    <w:rsid w:val="00EB1A25"/>
    <w:rsid w:val="00EB1ED3"/>
    <w:rsid w:val="00EE70B7"/>
    <w:rsid w:val="00F1299F"/>
    <w:rsid w:val="00F314B7"/>
    <w:rsid w:val="00F83C49"/>
    <w:rsid w:val="00FB687C"/>
    <w:rsid w:val="00FE114D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32DF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B32DFB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32DFB"/>
    <w:rPr>
      <w:rFonts w:ascii="Times New Roman" w:eastAsia="Times New Roman" w:hAnsi="Times New Roman"/>
      <w:lang w:eastAsia="en-US"/>
    </w:rPr>
  </w:style>
  <w:style w:type="paragraph" w:customStyle="1" w:styleId="Poznamkytexty">
    <w:name w:val="Poznamky texty"/>
    <w:basedOn w:val="Poznmky"/>
    <w:qFormat/>
    <w:rsid w:val="00B32DFB"/>
    <w:pPr>
      <w:pBdr>
        <w:top w:val="none" w:sz="0" w:space="0" w:color="auto"/>
      </w:pBdr>
      <w:spacing w:before="0"/>
      <w:jc w:val="both"/>
    </w:pPr>
    <w:rPr>
      <w:i/>
    </w:rPr>
  </w:style>
  <w:style w:type="character" w:styleId="Znakapoznpodarou">
    <w:name w:val="footnote reference"/>
    <w:semiHidden/>
    <w:unhideWhenUsed/>
    <w:rsid w:val="00B32D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AppData\Local\Temp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B865-DB62-4324-9744-1D5002E4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77</TotalTime>
  <Pages>2</Pages>
  <Words>678</Words>
  <Characters>3526</Characters>
  <Application>Microsoft Office Word</Application>
  <DocSecurity>0</DocSecurity>
  <Lines>113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4138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Matoušová Milada, Mgr.</dc:creator>
  <cp:lastModifiedBy>Matoušová Milada, Mgr.</cp:lastModifiedBy>
  <cp:revision>36</cp:revision>
  <cp:lastPrinted>2014-03-31T09:12:00Z</cp:lastPrinted>
  <dcterms:created xsi:type="dcterms:W3CDTF">2014-03-31T08:18:00Z</dcterms:created>
  <dcterms:modified xsi:type="dcterms:W3CDTF">2014-03-31T09:39:00Z</dcterms:modified>
</cp:coreProperties>
</file>