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C7B62" w14:textId="140CF351" w:rsidR="00867569" w:rsidRPr="00BD40CD" w:rsidRDefault="00E330F7" w:rsidP="00E42E00">
      <w:pPr>
        <w:pStyle w:val="Datum"/>
      </w:pPr>
      <w:r>
        <w:t>25</w:t>
      </w:r>
      <w:r w:rsidR="00F03815" w:rsidRPr="00BD40CD">
        <w:t>. </w:t>
      </w:r>
      <w:r>
        <w:t>dubna</w:t>
      </w:r>
      <w:r w:rsidR="007F6239" w:rsidRPr="00BD40CD">
        <w:t xml:space="preserve"> 202</w:t>
      </w:r>
      <w:r w:rsidR="006929F3">
        <w:t>2</w:t>
      </w:r>
    </w:p>
    <w:p w14:paraId="0B263346" w14:textId="478F7D36" w:rsidR="00867569" w:rsidRPr="00BD40CD" w:rsidRDefault="000B7652" w:rsidP="00A56C80">
      <w:pPr>
        <w:pStyle w:val="Nzev"/>
      </w:pPr>
      <w:r w:rsidRPr="00BD40CD">
        <w:t>Analýza sektorových účtů</w:t>
      </w:r>
      <w:r w:rsidR="00FF04D9" w:rsidRPr="00BD40CD">
        <w:t> </w:t>
      </w:r>
      <w:r w:rsidR="00FB7E0F" w:rsidRPr="00BD40CD">
        <w:t>–</w:t>
      </w:r>
      <w:r w:rsidR="00FF04D9" w:rsidRPr="00BD40CD">
        <w:t xml:space="preserve"> </w:t>
      </w:r>
      <w:r w:rsidR="00E330F7">
        <w:t>4</w:t>
      </w:r>
      <w:r w:rsidRPr="00BD40CD">
        <w:t>.</w:t>
      </w:r>
      <w:r w:rsidR="00F03815" w:rsidRPr="00BD40CD">
        <w:t> čtvrtlet</w:t>
      </w:r>
      <w:r w:rsidRPr="00BD40CD">
        <w:t>í 202</w:t>
      </w:r>
      <w:r w:rsidR="00AD5C35" w:rsidRPr="00BD40CD">
        <w:t>1</w:t>
      </w:r>
    </w:p>
    <w:p w14:paraId="2D26F2BC" w14:textId="6A59F386" w:rsidR="00B92E7A" w:rsidRPr="00E46082" w:rsidRDefault="00E46082" w:rsidP="000302A6">
      <w:pPr>
        <w:pStyle w:val="Perex"/>
        <w:spacing w:after="120"/>
      </w:pPr>
      <w:r w:rsidRPr="00E46082">
        <w:t>Ve 4.</w:t>
      </w:r>
      <w:r w:rsidR="0032347E">
        <w:t> čtvrtlet</w:t>
      </w:r>
      <w:r w:rsidRPr="00E46082">
        <w:t xml:space="preserve">í 2021 už měla protiepidemická opatření </w:t>
      </w:r>
      <w:r w:rsidR="00C74A84">
        <w:t xml:space="preserve">spíše </w:t>
      </w:r>
      <w:r w:rsidR="00C2080D">
        <w:t>o</w:t>
      </w:r>
      <w:bookmarkStart w:id="0" w:name="_GoBack"/>
      <w:bookmarkEnd w:id="0"/>
      <w:r w:rsidR="00174EEE">
        <w:t>mezenější</w:t>
      </w:r>
      <w:r w:rsidR="00C74A84">
        <w:t xml:space="preserve"> </w:t>
      </w:r>
      <w:r w:rsidRPr="00E46082">
        <w:t xml:space="preserve">vliv na českou ekonomiku. Zejména v průmyslu ale vrcholily problémy s narušením dodavatelských řetězců, které se projevovaly zpomalením růstu hrubé přidané hodnoty nefinančních podniků. </w:t>
      </w:r>
      <w:r>
        <w:t>Rostoucí obavy d</w:t>
      </w:r>
      <w:r w:rsidRPr="00E46082">
        <w:t>omácnost</w:t>
      </w:r>
      <w:r>
        <w:t xml:space="preserve">í z dalšího ekonomického vývoje se negativně promítaly do vývoje spotřeby, což vedlo k opětovnému nárůstu úspor. Sektor vládních institucí hospodařil s deficitem, </w:t>
      </w:r>
      <w:r w:rsidR="001C4AB9">
        <w:t>i </w:t>
      </w:r>
      <w:r>
        <w:t xml:space="preserve">když se objem některých výdajů zvýšených v souvislosti </w:t>
      </w:r>
      <w:r w:rsidR="001C4AB9">
        <w:t>s </w:t>
      </w:r>
      <w:r>
        <w:t>řešením pandemie vracel k předkrizové úrovni.</w:t>
      </w:r>
    </w:p>
    <w:p w14:paraId="284FBAAC" w14:textId="5B1D34A7" w:rsidR="00066E38" w:rsidRPr="00BD40CD" w:rsidRDefault="008F35E4" w:rsidP="000302A6">
      <w:pPr>
        <w:pStyle w:val="Nadpis1"/>
        <w:spacing w:after="120"/>
      </w:pPr>
      <w:r w:rsidRPr="00BD40CD">
        <w:t>Nefinanční podniky</w:t>
      </w:r>
    </w:p>
    <w:p w14:paraId="7ECED334" w14:textId="1A0CDB1C" w:rsidR="00D25B5F" w:rsidRDefault="001D7172" w:rsidP="009F7FD8">
      <w:pPr>
        <w:spacing w:after="120"/>
      </w:pPr>
      <w:r>
        <w:t>Ve 4.</w:t>
      </w:r>
      <w:r w:rsidR="0032347E">
        <w:t> čtvrtlet</w:t>
      </w:r>
      <w:r>
        <w:t xml:space="preserve">í 2021 </w:t>
      </w:r>
      <w:r w:rsidR="00CC098E">
        <w:t>se překážky související s pandemií, která ke konci roku posilovala, otiskovaly do vývoje české ekonomiky méně n</w:t>
      </w:r>
      <w:r w:rsidR="005D36C7">
        <w:t>e</w:t>
      </w:r>
      <w:r w:rsidR="00CC098E">
        <w:t xml:space="preserve">ž dříve. </w:t>
      </w:r>
      <w:r>
        <w:t>Hlavní slovo mělo spíše narušení globálních dodavatelských řetězců, které se projevilo nedostatkem součástek hlavně ve výrobě motorových vozidel</w:t>
      </w:r>
      <w:r w:rsidR="00BE550F">
        <w:t>,</w:t>
      </w:r>
      <w:r>
        <w:t xml:space="preserve"> </w:t>
      </w:r>
      <w:r w:rsidR="001C4AB9">
        <w:t>a </w:t>
      </w:r>
      <w:r>
        <w:t>také všeobecný prudký růst cen.</w:t>
      </w:r>
      <w:r w:rsidR="007C55AD">
        <w:t xml:space="preserve"> Zatímco služby pokračovaly na cestě k zotavení z pandemického propadu, průmysl jako celek ztrácel. Hrubá přidaná hodnota (HPH)</w:t>
      </w:r>
      <w:r w:rsidR="00DB7C60">
        <w:t xml:space="preserve"> nefinančních podniků (NP)</w:t>
      </w:r>
      <w:r w:rsidR="007C55AD">
        <w:t xml:space="preserve"> ve srovnání se slabším 4.</w:t>
      </w:r>
      <w:r w:rsidR="0032347E">
        <w:t> kvartál</w:t>
      </w:r>
      <w:r w:rsidR="007C55AD">
        <w:t xml:space="preserve">em 2020 </w:t>
      </w:r>
      <w:r w:rsidR="00DB7C60">
        <w:t xml:space="preserve">celkově </w:t>
      </w:r>
      <w:r w:rsidR="007C55AD">
        <w:t xml:space="preserve">vzrostla </w:t>
      </w:r>
      <w:r w:rsidR="001C4AB9">
        <w:t>o </w:t>
      </w:r>
      <w:r w:rsidR="007C55AD">
        <w:t>45,9</w:t>
      </w:r>
      <w:r w:rsidR="0032347E">
        <w:t> mld</w:t>
      </w:r>
      <w:r w:rsidR="007C55AD">
        <w:t>. korun</w:t>
      </w:r>
      <w:r w:rsidR="00633794" w:rsidRPr="00BD40CD">
        <w:rPr>
          <w:rStyle w:val="Znakapoznpodarou"/>
        </w:rPr>
        <w:footnoteReference w:id="1"/>
      </w:r>
      <w:r w:rsidR="00633794">
        <w:t>. Reálný přírůstek HPH nefinančních podniků dosáhl 2,8</w:t>
      </w:r>
      <w:r w:rsidR="0032347E">
        <w:t> %</w:t>
      </w:r>
      <w:r w:rsidR="00633794" w:rsidRPr="00BD40CD">
        <w:rPr>
          <w:rStyle w:val="Znakapoznpodarou"/>
          <w:spacing w:val="-2"/>
        </w:rPr>
        <w:footnoteReference w:id="2"/>
      </w:r>
      <w:r w:rsidR="00633794">
        <w:t xml:space="preserve">. Podle sezónně očištěných údajů ale HPH mezičtvrtletně klesla </w:t>
      </w:r>
      <w:r w:rsidR="001C4AB9">
        <w:t>o </w:t>
      </w:r>
      <w:r w:rsidR="00633794">
        <w:t>1,8</w:t>
      </w:r>
      <w:r w:rsidR="0032347E">
        <w:t> mld</w:t>
      </w:r>
      <w:r w:rsidR="00633794">
        <w:t xml:space="preserve">. korun. Šlo </w:t>
      </w:r>
      <w:r w:rsidR="001C4AB9">
        <w:t>o </w:t>
      </w:r>
      <w:r w:rsidR="00633794">
        <w:t>druhý pokles v řadě.</w:t>
      </w:r>
      <w:r w:rsidR="003A55A7">
        <w:t xml:space="preserve"> Za celý rok 2021 se HPH nefinančních podniků zvýšila </w:t>
      </w:r>
      <w:r w:rsidR="001C4AB9">
        <w:t>o </w:t>
      </w:r>
      <w:r w:rsidR="003A55A7">
        <w:t>222,0</w:t>
      </w:r>
      <w:r w:rsidR="00DE6BE6">
        <w:t> </w:t>
      </w:r>
      <w:r w:rsidR="003A55A7">
        <w:t xml:space="preserve">mld. korun, což představovalo reálný nárůst </w:t>
      </w:r>
      <w:r w:rsidR="001C4AB9">
        <w:t>o </w:t>
      </w:r>
      <w:r w:rsidR="003A55A7">
        <w:t>2,9</w:t>
      </w:r>
      <w:r w:rsidR="0032347E">
        <w:t> %</w:t>
      </w:r>
      <w:r w:rsidR="003A55A7">
        <w:t>.</w:t>
      </w:r>
    </w:p>
    <w:p w14:paraId="01333039" w14:textId="7BD95624" w:rsidR="00DE6BE6" w:rsidRDefault="00DB7C60" w:rsidP="008E7E4F">
      <w:r>
        <w:t>Celková zaměstnanost v</w:t>
      </w:r>
      <w:r w:rsidR="00A873BA">
        <w:t> </w:t>
      </w:r>
      <w:r>
        <w:t>sektoru</w:t>
      </w:r>
      <w:r w:rsidR="00A873BA">
        <w:t> </w:t>
      </w:r>
      <w:r>
        <w:t>NP byla ve 4.</w:t>
      </w:r>
      <w:r w:rsidR="0032347E">
        <w:t> čtvrtlet</w:t>
      </w:r>
      <w:r>
        <w:t xml:space="preserve">í 2021 meziročně vyšší </w:t>
      </w:r>
      <w:r w:rsidR="001C4AB9">
        <w:t>o </w:t>
      </w:r>
      <w:r>
        <w:t>1,6</w:t>
      </w:r>
      <w:r w:rsidR="0032347E">
        <w:t> %</w:t>
      </w:r>
      <w:r w:rsidRPr="00BD40CD">
        <w:rPr>
          <w:rStyle w:val="Znakapoznpodarou"/>
        </w:rPr>
        <w:footnoteReference w:id="3"/>
      </w:r>
      <w:r>
        <w:t xml:space="preserve">. </w:t>
      </w:r>
      <w:r w:rsidR="00A873BA">
        <w:t xml:space="preserve">V absolutních číslech ale zaměstnanost nadále </w:t>
      </w:r>
      <w:r>
        <w:t xml:space="preserve">zaostávala za stejným obdobím let 2018 </w:t>
      </w:r>
      <w:r w:rsidR="001C4AB9">
        <w:t>a </w:t>
      </w:r>
      <w:r>
        <w:t>2019.</w:t>
      </w:r>
      <w:r w:rsidR="005A7879">
        <w:t xml:space="preserve"> </w:t>
      </w:r>
      <w:r w:rsidR="00574630">
        <w:t xml:space="preserve">Nefinanční podniky vyplatily </w:t>
      </w:r>
      <w:r w:rsidR="005A7879">
        <w:t xml:space="preserve">zaměstnancům meziročně </w:t>
      </w:r>
      <w:r w:rsidR="001C4AB9">
        <w:t>o </w:t>
      </w:r>
      <w:r w:rsidR="005A7879">
        <w:t>34,5</w:t>
      </w:r>
      <w:r w:rsidR="0032347E">
        <w:t> mld</w:t>
      </w:r>
      <w:r w:rsidR="005A7879">
        <w:t>. korun (7,2</w:t>
      </w:r>
      <w:r w:rsidR="0032347E">
        <w:t> %</w:t>
      </w:r>
      <w:r w:rsidR="005A7879">
        <w:t>)</w:t>
      </w:r>
      <w:r w:rsidR="00574630">
        <w:t xml:space="preserve"> více ve formě náhrad</w:t>
      </w:r>
      <w:r w:rsidR="005A7879">
        <w:t>. Tempo tak oproti předchozímu čtvrtletí mírně zpomalilo.</w:t>
      </w:r>
      <w:r w:rsidR="00285689">
        <w:t xml:space="preserve"> Objem samotných mezd </w:t>
      </w:r>
      <w:r w:rsidR="001C4AB9">
        <w:t>a </w:t>
      </w:r>
      <w:r w:rsidR="00285689">
        <w:t xml:space="preserve">platů, které NP vyplatily, byl vyšší </w:t>
      </w:r>
      <w:r w:rsidR="001C4AB9">
        <w:t>o </w:t>
      </w:r>
      <w:r w:rsidR="00285689">
        <w:t>33,1</w:t>
      </w:r>
      <w:r w:rsidR="0032347E">
        <w:t> mld</w:t>
      </w:r>
      <w:r w:rsidR="00285689">
        <w:t>. korun (9,2</w:t>
      </w:r>
      <w:r w:rsidR="0032347E">
        <w:t> %</w:t>
      </w:r>
      <w:r w:rsidR="00285689">
        <w:t xml:space="preserve">), zatímco sociální příspěvky zaměstnavatelů meziročně rostly jen </w:t>
      </w:r>
      <w:r w:rsidR="001C4AB9">
        <w:t>o </w:t>
      </w:r>
      <w:r w:rsidR="00285689">
        <w:t>1,4</w:t>
      </w:r>
      <w:r w:rsidR="0032347E">
        <w:t> mld</w:t>
      </w:r>
      <w:r w:rsidR="00285689">
        <w:t>. (1,2</w:t>
      </w:r>
      <w:r w:rsidR="0032347E">
        <w:t> %</w:t>
      </w:r>
      <w:r w:rsidR="00285689">
        <w:t xml:space="preserve">). Stagnace </w:t>
      </w:r>
      <w:r w:rsidR="001C4AB9">
        <w:t>u </w:t>
      </w:r>
      <w:r w:rsidR="00285689">
        <w:t xml:space="preserve">sociálních příspěvků </w:t>
      </w:r>
      <w:r w:rsidR="00174EEE">
        <w:t>byla</w:t>
      </w:r>
      <w:r w:rsidR="00285689">
        <w:t xml:space="preserve"> dána srovnáním s koncem roku 2020, kdy příspěvky zahrnovaly prostředky vyplacené v rámci stabilizačních programů zaměstnanosti, které na konci roku 2021 </w:t>
      </w:r>
      <w:r w:rsidR="003955AF">
        <w:t xml:space="preserve">už byly pozastaveny. </w:t>
      </w:r>
      <w:r w:rsidR="00285689">
        <w:t>Oproti 3.</w:t>
      </w:r>
      <w:r w:rsidR="0032347E">
        <w:t> čtvrtlet</w:t>
      </w:r>
      <w:r w:rsidR="00285689">
        <w:t>í 2021 se sezónně očištěný objem náhrad zaměstnancům</w:t>
      </w:r>
      <w:r w:rsidR="003955AF">
        <w:t> </w:t>
      </w:r>
      <w:r w:rsidR="00574630">
        <w:t>NP</w:t>
      </w:r>
      <w:r w:rsidR="00285689">
        <w:t xml:space="preserve"> zvýšil </w:t>
      </w:r>
      <w:r w:rsidR="001C4AB9">
        <w:t>o </w:t>
      </w:r>
      <w:r w:rsidR="00285689">
        <w:t>3,0</w:t>
      </w:r>
      <w:r w:rsidR="0032347E">
        <w:t> mld</w:t>
      </w:r>
      <w:r w:rsidR="00285689">
        <w:t>. korun</w:t>
      </w:r>
      <w:r w:rsidR="00574630">
        <w:t xml:space="preserve"> (0,6</w:t>
      </w:r>
      <w:r w:rsidR="0032347E">
        <w:t> %</w:t>
      </w:r>
      <w:r w:rsidR="00574630">
        <w:t>).</w:t>
      </w:r>
      <w:r w:rsidR="00DD1F40">
        <w:t xml:space="preserve"> Za celý rok 2021 objem náhrad zaměstnancům </w:t>
      </w:r>
      <w:r w:rsidR="00BE5C4A">
        <w:t xml:space="preserve">vzrostl </w:t>
      </w:r>
      <w:r w:rsidR="001C4AB9">
        <w:t>o </w:t>
      </w:r>
      <w:r w:rsidR="00BE5C4A">
        <w:t>122,6</w:t>
      </w:r>
      <w:r w:rsidR="0032347E">
        <w:t> mld</w:t>
      </w:r>
      <w:r w:rsidR="00BE5C4A">
        <w:t>. korun (6,8</w:t>
      </w:r>
      <w:r w:rsidR="0032347E">
        <w:t> %</w:t>
      </w:r>
      <w:r w:rsidR="00BE5C4A">
        <w:t xml:space="preserve">), z toho se mzdy </w:t>
      </w:r>
      <w:r w:rsidR="001C4AB9">
        <w:t>a </w:t>
      </w:r>
      <w:r w:rsidR="00BE5C4A">
        <w:t xml:space="preserve">platy zvýšily </w:t>
      </w:r>
      <w:r w:rsidR="001C4AB9">
        <w:t>o </w:t>
      </w:r>
      <w:r w:rsidR="00BE5C4A">
        <w:t>95,3</w:t>
      </w:r>
      <w:r w:rsidR="0032347E">
        <w:t> mld</w:t>
      </w:r>
      <w:r w:rsidR="00BE5C4A">
        <w:t>. (6,7</w:t>
      </w:r>
      <w:r w:rsidR="0032347E">
        <w:t> %</w:t>
      </w:r>
      <w:r w:rsidR="00BE5C4A">
        <w:t xml:space="preserve">) </w:t>
      </w:r>
      <w:r w:rsidR="001C4AB9">
        <w:t>a </w:t>
      </w:r>
      <w:r w:rsidR="00BE5C4A">
        <w:t xml:space="preserve">sociální příspěvky zaměstnavatelů </w:t>
      </w:r>
      <w:r w:rsidR="001C4AB9">
        <w:t>o </w:t>
      </w:r>
      <w:r w:rsidR="008E7E4F">
        <w:t>30,3</w:t>
      </w:r>
      <w:r w:rsidR="0032347E">
        <w:t> mld</w:t>
      </w:r>
      <w:r w:rsidR="008E7E4F">
        <w:t>. (7,0</w:t>
      </w:r>
      <w:r w:rsidR="0032347E">
        <w:t> %</w:t>
      </w:r>
      <w:r w:rsidR="008E7E4F">
        <w:t>).</w:t>
      </w:r>
      <w:r w:rsidR="00BE5C4A">
        <w:t xml:space="preserve"> </w:t>
      </w:r>
      <w:r w:rsidR="008E7E4F">
        <w:t xml:space="preserve">Podobně jako v roce 2020 byla nad obvyklou úroveň </w:t>
      </w:r>
      <w:r w:rsidR="003955AF">
        <w:t xml:space="preserve">zvýšena </w:t>
      </w:r>
      <w:r w:rsidR="008E7E4F">
        <w:t>položka imputovaných příspěvků</w:t>
      </w:r>
      <w:r w:rsidR="008E7E4F">
        <w:rPr>
          <w:rStyle w:val="Znakapoznpodarou"/>
        </w:rPr>
        <w:footnoteReference w:id="4"/>
      </w:r>
      <w:r w:rsidR="008E7E4F">
        <w:t xml:space="preserve">, do kterých byly zahrnuty prostředky z podpůrných programů. </w:t>
      </w:r>
      <w:r w:rsidR="006220ED">
        <w:t>Nefinanční podniky obdržely ve 4.</w:t>
      </w:r>
      <w:r w:rsidR="0032347E">
        <w:t> čtvrtlet</w:t>
      </w:r>
      <w:r w:rsidR="006220ED">
        <w:t>í 2021 23,2</w:t>
      </w:r>
      <w:r w:rsidR="0032347E">
        <w:t> mld</w:t>
      </w:r>
      <w:r w:rsidR="006220ED">
        <w:t xml:space="preserve">. korun ve formě dotací. To bylo meziročně </w:t>
      </w:r>
      <w:r w:rsidR="001C4AB9">
        <w:t>o </w:t>
      </w:r>
      <w:r w:rsidR="006220ED">
        <w:t xml:space="preserve">13,6 mld. méně </w:t>
      </w:r>
      <w:r w:rsidR="001C4AB9">
        <w:t>a </w:t>
      </w:r>
      <w:r w:rsidR="006220ED">
        <w:t xml:space="preserve">projevoval se tak nižší objem prostředků vyplacených </w:t>
      </w:r>
      <w:r w:rsidR="001C4AB9">
        <w:t>v </w:t>
      </w:r>
      <w:r w:rsidR="006220ED">
        <w:t>rámci podpůrných programů</w:t>
      </w:r>
      <w:r w:rsidR="006220ED" w:rsidRPr="00BD40CD">
        <w:rPr>
          <w:rStyle w:val="Znakapoznpodarou"/>
        </w:rPr>
        <w:footnoteReference w:id="5"/>
      </w:r>
      <w:r w:rsidR="006220ED">
        <w:t xml:space="preserve">. Oproti stejnému období roku 2019 byl objem dotací vyšší </w:t>
      </w:r>
      <w:r w:rsidR="001C4AB9">
        <w:t>o </w:t>
      </w:r>
      <w:r w:rsidR="006220ED">
        <w:t>4,7</w:t>
      </w:r>
      <w:r w:rsidR="0032347E">
        <w:t> mld</w:t>
      </w:r>
      <w:r w:rsidR="006220ED">
        <w:t>. korun.</w:t>
      </w:r>
    </w:p>
    <w:p w14:paraId="4F864ED9" w14:textId="6423A275" w:rsidR="00FF7B39" w:rsidRPr="00BD40CD" w:rsidRDefault="00F91278" w:rsidP="00B1299C">
      <w:pPr>
        <w:spacing w:after="120"/>
        <w:rPr>
          <w:highlight w:val="yellow"/>
        </w:rPr>
      </w:pPr>
      <w:r w:rsidRPr="00BD40CD">
        <w:lastRenderedPageBreak/>
        <w:t xml:space="preserve">Hrubý provozní přebytek </w:t>
      </w:r>
      <w:r w:rsidR="007F1A39">
        <w:t xml:space="preserve">NP </w:t>
      </w:r>
      <w:r w:rsidRPr="00BD40CD">
        <w:t xml:space="preserve">ve </w:t>
      </w:r>
      <w:r w:rsidR="007F1A39">
        <w:t>4</w:t>
      </w:r>
      <w:r w:rsidRPr="00BD40CD">
        <w:t>.</w:t>
      </w:r>
      <w:r w:rsidR="003D21DB">
        <w:t> čtvrtlet</w:t>
      </w:r>
      <w:r w:rsidRPr="00BD40CD">
        <w:t xml:space="preserve">í meziročně </w:t>
      </w:r>
      <w:r w:rsidR="007F1A39">
        <w:t xml:space="preserve">klesl </w:t>
      </w:r>
      <w:r w:rsidR="001C4AB9">
        <w:t>o </w:t>
      </w:r>
      <w:r w:rsidR="007F1A39">
        <w:t>2,9</w:t>
      </w:r>
      <w:r w:rsidR="0032347E">
        <w:t> mld</w:t>
      </w:r>
      <w:r w:rsidRPr="00BD40CD">
        <w:t xml:space="preserve">. korun </w:t>
      </w:r>
      <w:r w:rsidR="000F6E26" w:rsidRPr="00BD40CD">
        <w:t>a</w:t>
      </w:r>
      <w:r w:rsidR="000F6E26">
        <w:t> </w:t>
      </w:r>
      <w:r w:rsidRPr="00BD40CD">
        <w:t>dosáhl 3</w:t>
      </w:r>
      <w:r w:rsidR="007F1A39">
        <w:t>76,6</w:t>
      </w:r>
      <w:r w:rsidR="003D21DB">
        <w:t> mld</w:t>
      </w:r>
      <w:r w:rsidRPr="00BD40CD">
        <w:t>.</w:t>
      </w:r>
      <w:r w:rsidR="001D11FD" w:rsidRPr="00BD40CD">
        <w:t xml:space="preserve"> Mezičtvrtletně </w:t>
      </w:r>
      <w:r w:rsidR="00F62E57">
        <w:t xml:space="preserve">klesl </w:t>
      </w:r>
      <w:r w:rsidR="001D11FD" w:rsidRPr="00BD40CD">
        <w:t>sezónně očištěný hrubý provozní přebytek</w:t>
      </w:r>
      <w:r w:rsidR="005523EC" w:rsidRPr="00BD40CD">
        <w:t xml:space="preserve"> </w:t>
      </w:r>
      <w:r w:rsidR="000F6E26" w:rsidRPr="00BD40CD">
        <w:t>o</w:t>
      </w:r>
      <w:r w:rsidR="000F6E26">
        <w:t> </w:t>
      </w:r>
      <w:r w:rsidR="007F1A39">
        <w:t>7,2</w:t>
      </w:r>
      <w:r w:rsidR="003D21DB">
        <w:t> mld</w:t>
      </w:r>
      <w:r w:rsidR="005523EC" w:rsidRPr="00BD40CD">
        <w:t>. korun</w:t>
      </w:r>
      <w:r w:rsidR="007F1A39">
        <w:t xml:space="preserve">. Mírně totiž klesala HPH, rostly mzdové náklady </w:t>
      </w:r>
      <w:r w:rsidR="001C4AB9">
        <w:t>a </w:t>
      </w:r>
      <w:r w:rsidR="007F1A39">
        <w:t>sektoru</w:t>
      </w:r>
      <w:r w:rsidR="00F62E57">
        <w:t> </w:t>
      </w:r>
      <w:r w:rsidR="007F1A39">
        <w:t xml:space="preserve">NP již v takové míře nepomáhaly dotace. </w:t>
      </w:r>
      <w:r w:rsidR="0076719B" w:rsidRPr="00BD40CD">
        <w:t>Výsledná míra zisku</w:t>
      </w:r>
      <w:r w:rsidR="00687BBE" w:rsidRPr="00BD40CD">
        <w:t> </w:t>
      </w:r>
      <w:r w:rsidR="008538A7" w:rsidRPr="00BD40CD">
        <w:t>NP</w:t>
      </w:r>
      <w:r w:rsidR="0076719B" w:rsidRPr="00BD40CD">
        <w:rPr>
          <w:rStyle w:val="Znakapoznpodarou"/>
        </w:rPr>
        <w:footnoteReference w:id="6"/>
      </w:r>
      <w:r w:rsidR="0076719B" w:rsidRPr="00BD40CD">
        <w:t xml:space="preserve"> mezičtvrtletně </w:t>
      </w:r>
      <w:r w:rsidR="007F1A39">
        <w:t>klesla</w:t>
      </w:r>
      <w:r w:rsidR="0076719B" w:rsidRPr="00BD40CD">
        <w:t xml:space="preserve"> </w:t>
      </w:r>
      <w:r w:rsidR="00EF788F" w:rsidRPr="00BD40CD">
        <w:t>o </w:t>
      </w:r>
      <w:r w:rsidR="0086334D" w:rsidRPr="00BD40CD">
        <w:t>0</w:t>
      </w:r>
      <w:r w:rsidR="007F1A39">
        <w:t>,7</w:t>
      </w:r>
      <w:r w:rsidR="00B13907" w:rsidRPr="00BD40CD">
        <w:t> p. b.</w:t>
      </w:r>
      <w:r w:rsidR="0076719B" w:rsidRPr="00BD40CD">
        <w:t xml:space="preserve"> na 4</w:t>
      </w:r>
      <w:r w:rsidR="007F1A39">
        <w:t>3,9</w:t>
      </w:r>
      <w:r w:rsidR="00B13907" w:rsidRPr="00BD40CD">
        <w:t> %</w:t>
      </w:r>
      <w:r w:rsidR="0076719B" w:rsidRPr="00BD40CD">
        <w:t xml:space="preserve"> (</w:t>
      </w:r>
      <w:r w:rsidR="002F19E2" w:rsidRPr="00BD40CD">
        <w:t>sezónně očištěno</w:t>
      </w:r>
      <w:r w:rsidR="0076719B" w:rsidRPr="00BD40CD">
        <w:t>)</w:t>
      </w:r>
      <w:r w:rsidR="00F62E57">
        <w:t>,</w:t>
      </w:r>
      <w:r w:rsidR="0086334D" w:rsidRPr="00BD40CD">
        <w:t xml:space="preserve"> </w:t>
      </w:r>
      <w:r w:rsidR="000F6E26" w:rsidRPr="00BD40CD">
        <w:t>a</w:t>
      </w:r>
      <w:r w:rsidR="000F6E26">
        <w:t> </w:t>
      </w:r>
      <w:r w:rsidR="007F1A39">
        <w:t>klesla tak dokonce po</w:t>
      </w:r>
      <w:r w:rsidR="00F62E57">
        <w:t>d</w:t>
      </w:r>
      <w:r w:rsidR="007F1A39">
        <w:t xml:space="preserve"> úroveň</w:t>
      </w:r>
      <w:r w:rsidR="0086334D" w:rsidRPr="00BD40CD">
        <w:t xml:space="preserve"> před rokem 2020.</w:t>
      </w:r>
      <w:r w:rsidR="002F19E2" w:rsidRPr="00BD40CD">
        <w:t xml:space="preserve"> Meziročně míra zisku </w:t>
      </w:r>
      <w:r w:rsidR="0086334D" w:rsidRPr="00BD40CD">
        <w:t>klesla</w:t>
      </w:r>
      <w:r w:rsidR="002F19E2" w:rsidRPr="00BD40CD">
        <w:t xml:space="preserve"> </w:t>
      </w:r>
      <w:r w:rsidR="00EF788F" w:rsidRPr="00BD40CD">
        <w:t>o </w:t>
      </w:r>
      <w:r w:rsidR="007F1A39">
        <w:t>2,7</w:t>
      </w:r>
      <w:r w:rsidR="00EF788F" w:rsidRPr="00BD40CD">
        <w:t> </w:t>
      </w:r>
      <w:r w:rsidR="002F19E2" w:rsidRPr="00BD40CD">
        <w:t>p.</w:t>
      </w:r>
      <w:r w:rsidR="004943E1" w:rsidRPr="00BD40CD">
        <w:t> </w:t>
      </w:r>
      <w:r w:rsidR="002F19E2" w:rsidRPr="00BD40CD">
        <w:t>b. (sezónně neočištěno).</w:t>
      </w:r>
      <w:r w:rsidR="00016F9F">
        <w:t xml:space="preserve"> Za celý rok 2021 hrubý provozní přebytek NP narostl </w:t>
      </w:r>
      <w:r w:rsidR="001C4AB9">
        <w:t>o </w:t>
      </w:r>
      <w:r w:rsidR="00016F9F">
        <w:t>115,0</w:t>
      </w:r>
      <w:r w:rsidR="0032347E">
        <w:t> mld</w:t>
      </w:r>
      <w:r w:rsidR="00016F9F">
        <w:t>. korun. Míra zisku činila 45,4</w:t>
      </w:r>
      <w:r w:rsidR="0032347E">
        <w:t> %</w:t>
      </w:r>
      <w:r w:rsidR="00016F9F">
        <w:t xml:space="preserve"> </w:t>
      </w:r>
      <w:r w:rsidR="001C4AB9">
        <w:t>a </w:t>
      </w:r>
      <w:r w:rsidR="00016F9F">
        <w:t xml:space="preserve">zvýšila se </w:t>
      </w:r>
      <w:r w:rsidR="001C4AB9">
        <w:t>o </w:t>
      </w:r>
      <w:r w:rsidR="00016F9F">
        <w:t>0,7</w:t>
      </w:r>
      <w:r w:rsidR="0032347E">
        <w:t> p. b.</w:t>
      </w:r>
    </w:p>
    <w:p w14:paraId="3A1FC6F0" w14:textId="2994E0F1" w:rsidR="007B7E54" w:rsidRPr="00BD40CD" w:rsidRDefault="007F6239" w:rsidP="007B7E54">
      <w:pPr>
        <w:pStyle w:val="TabulkaGraf"/>
        <w:jc w:val="both"/>
      </w:pPr>
      <w:r w:rsidRPr="00BD40CD">
        <w:t>G</w:t>
      </w:r>
      <w:r w:rsidR="002E6F00" w:rsidRPr="00BD40CD">
        <w:t>raf </w:t>
      </w:r>
      <w:r w:rsidRPr="00BD40CD">
        <w:t xml:space="preserve">1: Meziroční nominální přírůstek HPH </w:t>
      </w:r>
      <w:r w:rsidR="00F03815" w:rsidRPr="00BD40CD">
        <w:t>a </w:t>
      </w:r>
      <w:r w:rsidRPr="00BD40CD">
        <w:t>náhrad zaměstnancům (v</w:t>
      </w:r>
      <w:r w:rsidR="00840938" w:rsidRPr="00BD40CD">
        <w:t> mld.</w:t>
      </w:r>
      <w:r w:rsidRPr="00BD40CD">
        <w:t xml:space="preserve"> korun), míra zisku (sezónně očištěno, v</w:t>
      </w:r>
      <w:r w:rsidR="00840938" w:rsidRPr="00BD40CD">
        <w:t> %</w:t>
      </w:r>
      <w:r w:rsidRPr="00BD40CD">
        <w:t>)</w:t>
      </w:r>
    </w:p>
    <w:p w14:paraId="54DDBBA8" w14:textId="40FDA858" w:rsidR="007B7E54" w:rsidRPr="00BD40CD" w:rsidRDefault="00F13F05" w:rsidP="007B7E54">
      <w:pPr>
        <w:pStyle w:val="TabulkaGraf"/>
        <w:jc w:val="center"/>
        <w:rPr>
          <w:b w:val="0"/>
          <w:bCs w:val="0"/>
          <w:highlight w:val="yellow"/>
        </w:rPr>
      </w:pPr>
      <w:r>
        <w:rPr>
          <w:noProof/>
          <w:lang w:eastAsia="cs-CZ"/>
        </w:rPr>
        <w:drawing>
          <wp:inline distT="0" distB="0" distL="0" distR="0" wp14:anchorId="4FBFB8E3" wp14:editId="31F849CB">
            <wp:extent cx="4737600" cy="3060000"/>
            <wp:effectExtent l="0" t="0" r="6350" b="7620"/>
            <wp:docPr id="20" name="Graf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3972F0E" w14:textId="701FAE64" w:rsidR="00941335" w:rsidRPr="00BD40CD" w:rsidRDefault="00941335" w:rsidP="009F7FD8">
      <w:pPr>
        <w:spacing w:after="120"/>
      </w:pPr>
      <w:r w:rsidRPr="00BD40CD">
        <w:t>Zdroj: ČSÚ, národní účty</w:t>
      </w:r>
    </w:p>
    <w:p w14:paraId="7D970933" w14:textId="69C6DCE7" w:rsidR="00673280" w:rsidRDefault="000D267F" w:rsidP="009F7FD8">
      <w:pPr>
        <w:spacing w:after="120"/>
      </w:pPr>
      <w:r>
        <w:t>Ve 4.</w:t>
      </w:r>
      <w:r w:rsidR="0032347E">
        <w:t> čtvrtlet</w:t>
      </w:r>
      <w:r>
        <w:t>í se deficit salda důchodů z</w:t>
      </w:r>
      <w:r w:rsidR="002338CE">
        <w:t> </w:t>
      </w:r>
      <w:r>
        <w:t>vlastnictví</w:t>
      </w:r>
      <w:r w:rsidR="002338CE">
        <w:t> </w:t>
      </w:r>
      <w:r>
        <w:t xml:space="preserve">NP meziročně zmírnil </w:t>
      </w:r>
      <w:r w:rsidR="001C4AB9">
        <w:t>o </w:t>
      </w:r>
      <w:r>
        <w:t>36,3</w:t>
      </w:r>
      <w:r w:rsidR="0032347E">
        <w:t> mld</w:t>
      </w:r>
      <w:r>
        <w:t>. korun na 76,7</w:t>
      </w:r>
      <w:r w:rsidR="0032347E">
        <w:t> mld</w:t>
      </w:r>
      <w:r>
        <w:t>. To je nejmírnější deficit za 4.</w:t>
      </w:r>
      <w:r w:rsidR="0032347E">
        <w:t> kvartál</w:t>
      </w:r>
      <w:r>
        <w:t xml:space="preserve"> od</w:t>
      </w:r>
      <w:r w:rsidR="00D95EA7">
        <w:t xml:space="preserve"> roku 2009.</w:t>
      </w:r>
      <w:r>
        <w:t xml:space="preserve"> </w:t>
      </w:r>
      <w:r w:rsidR="00D11FF5" w:rsidRPr="00BD40CD">
        <w:t xml:space="preserve">Na straně zdrojů došlo k meziročnímu </w:t>
      </w:r>
      <w:r w:rsidR="00D95EA7">
        <w:t xml:space="preserve">poklesu </w:t>
      </w:r>
      <w:r w:rsidR="00D11FF5" w:rsidRPr="00BD40CD">
        <w:t xml:space="preserve">důchodů z vlastnictví </w:t>
      </w:r>
      <w:r w:rsidR="000F6E26" w:rsidRPr="00BD40CD">
        <w:t>o</w:t>
      </w:r>
      <w:r w:rsidR="000F6E26">
        <w:t> </w:t>
      </w:r>
      <w:r w:rsidR="00D95EA7">
        <w:t>15,2</w:t>
      </w:r>
      <w:r w:rsidR="003D21DB">
        <w:t> mld</w:t>
      </w:r>
      <w:r w:rsidR="00D11FF5" w:rsidRPr="00BD40CD">
        <w:t xml:space="preserve">. korun, z toho se úroky zvýšily </w:t>
      </w:r>
      <w:r w:rsidR="000F6E26" w:rsidRPr="00BD40CD">
        <w:t>o</w:t>
      </w:r>
      <w:r w:rsidR="000F6E26">
        <w:t> </w:t>
      </w:r>
      <w:r w:rsidR="00D95EA7">
        <w:t>6,5</w:t>
      </w:r>
      <w:r w:rsidR="003D21DB">
        <w:t> mld</w:t>
      </w:r>
      <w:r w:rsidR="00D11FF5" w:rsidRPr="00BD40CD">
        <w:t>.</w:t>
      </w:r>
      <w:r w:rsidR="00D95EA7">
        <w:t xml:space="preserve">, ale </w:t>
      </w:r>
      <w:r w:rsidR="00D11FF5" w:rsidRPr="00BD40CD">
        <w:t xml:space="preserve">rozdělované důchody společností </w:t>
      </w:r>
      <w:r w:rsidR="00D95EA7">
        <w:t xml:space="preserve">se propadly </w:t>
      </w:r>
      <w:r w:rsidR="001C4AB9">
        <w:t>o </w:t>
      </w:r>
      <w:r w:rsidR="00D95EA7">
        <w:t>24,2</w:t>
      </w:r>
      <w:r w:rsidR="0032347E">
        <w:t> mld</w:t>
      </w:r>
      <w:r w:rsidR="00D95EA7">
        <w:t>.</w:t>
      </w:r>
      <w:r w:rsidR="00D11FF5" w:rsidRPr="00BD40CD">
        <w:t xml:space="preserve"> </w:t>
      </w:r>
      <w:r w:rsidR="00D95EA7">
        <w:t xml:space="preserve">Na </w:t>
      </w:r>
      <w:r w:rsidR="009E1BCE">
        <w:t>s</w:t>
      </w:r>
      <w:r w:rsidR="00D95EA7">
        <w:t xml:space="preserve">traně užití byl </w:t>
      </w:r>
      <w:r w:rsidR="009E1BCE">
        <w:t>o</w:t>
      </w:r>
      <w:r w:rsidR="00D11FF5" w:rsidRPr="00BD40CD">
        <w:t xml:space="preserve">bjem vyplacených důchodů z vlastnictví meziročně </w:t>
      </w:r>
      <w:r w:rsidR="009E1BCE">
        <w:t xml:space="preserve">nižší </w:t>
      </w:r>
      <w:r w:rsidR="000F6E26" w:rsidRPr="00BD40CD">
        <w:t>o</w:t>
      </w:r>
      <w:r w:rsidR="000F6E26">
        <w:t> </w:t>
      </w:r>
      <w:r w:rsidR="009E1BCE">
        <w:t>51,6</w:t>
      </w:r>
      <w:r w:rsidR="0032347E">
        <w:t> mld</w:t>
      </w:r>
      <w:r w:rsidR="00D11FF5" w:rsidRPr="00BD40CD">
        <w:t>.</w:t>
      </w:r>
      <w:r w:rsidR="00CB5EA3" w:rsidRPr="00BD40CD">
        <w:t xml:space="preserve"> korun, přičemž rozdělované důchody společností </w:t>
      </w:r>
      <w:r w:rsidR="009E1BCE">
        <w:t>klesly</w:t>
      </w:r>
      <w:r w:rsidR="00CB5EA3" w:rsidRPr="00BD40CD">
        <w:t xml:space="preserve"> </w:t>
      </w:r>
      <w:r w:rsidR="000F6E26" w:rsidRPr="00BD40CD">
        <w:t>o</w:t>
      </w:r>
      <w:r w:rsidR="000F6E26">
        <w:t> </w:t>
      </w:r>
      <w:r w:rsidR="009E1BCE">
        <w:t>89,1</w:t>
      </w:r>
      <w:r w:rsidR="00CB5EA3" w:rsidRPr="00BD40CD">
        <w:t xml:space="preserve"> mld., zatímco reinvestované zisky </w:t>
      </w:r>
      <w:r w:rsidR="009E1BCE">
        <w:t>vzrostly</w:t>
      </w:r>
      <w:r w:rsidR="00CB5EA3" w:rsidRPr="00BD40CD">
        <w:t xml:space="preserve"> </w:t>
      </w:r>
      <w:r w:rsidR="000F6E26" w:rsidRPr="00BD40CD">
        <w:t>o</w:t>
      </w:r>
      <w:r w:rsidR="000F6E26">
        <w:t> </w:t>
      </w:r>
      <w:r w:rsidR="009E1BCE">
        <w:t>34,1</w:t>
      </w:r>
      <w:r w:rsidR="003D21DB">
        <w:t> mld</w:t>
      </w:r>
      <w:r w:rsidR="00CB5EA3" w:rsidRPr="00BD40CD">
        <w:t>.</w:t>
      </w:r>
      <w:r w:rsidR="00F6760A">
        <w:t xml:space="preserve"> </w:t>
      </w:r>
      <w:r w:rsidR="00673280">
        <w:t xml:space="preserve">Za celý rok 2021 se saldo důchodů z vlastnictví prohloubilo </w:t>
      </w:r>
      <w:r w:rsidR="001C4AB9">
        <w:t>o </w:t>
      </w:r>
      <w:r w:rsidR="00673280">
        <w:t>38,4</w:t>
      </w:r>
      <w:r w:rsidR="0032347E">
        <w:t> mld</w:t>
      </w:r>
      <w:r w:rsidR="00673280">
        <w:t>. korun na 413,4</w:t>
      </w:r>
      <w:r w:rsidR="0032347E">
        <w:t> mld</w:t>
      </w:r>
      <w:r w:rsidR="00673280">
        <w:t xml:space="preserve">. Objem důchodů z vlastnictví na straně užití vzrostl </w:t>
      </w:r>
      <w:r w:rsidR="001C4AB9">
        <w:t>o </w:t>
      </w:r>
      <w:r w:rsidR="00673280">
        <w:t>35,9</w:t>
      </w:r>
      <w:r w:rsidR="0032347E">
        <w:t> mld</w:t>
      </w:r>
      <w:r w:rsidR="00673280">
        <w:t xml:space="preserve">. korun. Z toho reinvestované zisky narostly </w:t>
      </w:r>
      <w:r w:rsidR="001C4AB9">
        <w:t>o </w:t>
      </w:r>
      <w:r w:rsidR="00673280">
        <w:t>44,2</w:t>
      </w:r>
      <w:r w:rsidR="0032347E">
        <w:t> mld</w:t>
      </w:r>
      <w:r w:rsidR="00673280">
        <w:t xml:space="preserve">. korun, zatímco rozdělované důchody společností byly nižší </w:t>
      </w:r>
      <w:r w:rsidR="001C4AB9">
        <w:t>o </w:t>
      </w:r>
      <w:r w:rsidR="00673280">
        <w:t>4,0</w:t>
      </w:r>
      <w:r w:rsidR="0032347E">
        <w:t> mld</w:t>
      </w:r>
      <w:r w:rsidR="00673280">
        <w:t xml:space="preserve">. (celkově byly nejnižší od roku 2014). Na straně zdrojů klesl objem důchodů z vlastnictví </w:t>
      </w:r>
      <w:r w:rsidR="001C4AB9">
        <w:t>o </w:t>
      </w:r>
      <w:r w:rsidR="00673280">
        <w:t>2,4</w:t>
      </w:r>
      <w:r w:rsidR="0032347E">
        <w:t> mld</w:t>
      </w:r>
      <w:r w:rsidR="00673280">
        <w:t xml:space="preserve">. Vyšší byly </w:t>
      </w:r>
      <w:r w:rsidR="00673280">
        <w:lastRenderedPageBreak/>
        <w:t>úroky (+7,1</w:t>
      </w:r>
      <w:r w:rsidR="0032347E">
        <w:t> mld</w:t>
      </w:r>
      <w:r w:rsidR="00673280">
        <w:t xml:space="preserve">. korun) </w:t>
      </w:r>
      <w:r w:rsidR="001C4AB9">
        <w:t>i </w:t>
      </w:r>
      <w:r w:rsidR="00673280">
        <w:t>reinvestice (</w:t>
      </w:r>
      <w:r w:rsidR="00BE6D51">
        <w:t>+4,6</w:t>
      </w:r>
      <w:r w:rsidR="0032347E">
        <w:t> mld</w:t>
      </w:r>
      <w:r w:rsidR="00BE6D51">
        <w:t>.</w:t>
      </w:r>
      <w:r w:rsidR="00673280">
        <w:t>)</w:t>
      </w:r>
      <w:r w:rsidR="00BE6D51">
        <w:t xml:space="preserve">, ale </w:t>
      </w:r>
      <w:r w:rsidR="001C4AB9">
        <w:t>o </w:t>
      </w:r>
      <w:r w:rsidR="00BE6D51">
        <w:t>výrazných 14,4</w:t>
      </w:r>
      <w:r w:rsidR="0032347E">
        <w:t> mld</w:t>
      </w:r>
      <w:r w:rsidR="00BE6D51">
        <w:t>. klesly rozdělované důchody společností.</w:t>
      </w:r>
    </w:p>
    <w:p w14:paraId="4C4F9302" w14:textId="56147B0B" w:rsidR="00F61A0A" w:rsidRDefault="00501B16" w:rsidP="009F7FD8">
      <w:pPr>
        <w:spacing w:after="120"/>
      </w:pPr>
      <w:r>
        <w:t>Ve 4.</w:t>
      </w:r>
      <w:r w:rsidR="0032347E">
        <w:t> čtvrtlet</w:t>
      </w:r>
      <w:r w:rsidR="00A4248F">
        <w:t>í</w:t>
      </w:r>
      <w:r>
        <w:t xml:space="preserve"> došlo k dalšímu meziročnímu</w:t>
      </w:r>
      <w:r w:rsidR="00A4248F">
        <w:t xml:space="preserve"> zmírnění deficitu druhotných důchodů. Ten se snížil </w:t>
      </w:r>
      <w:r w:rsidR="001C4AB9">
        <w:t>o </w:t>
      </w:r>
      <w:r w:rsidR="00A4248F">
        <w:t>13,8</w:t>
      </w:r>
      <w:r w:rsidR="0032347E">
        <w:t> mld</w:t>
      </w:r>
      <w:r w:rsidR="00A4248F">
        <w:t>. korun na 38,6</w:t>
      </w:r>
      <w:r w:rsidR="0032347E">
        <w:t> mld</w:t>
      </w:r>
      <w:r w:rsidR="00A4248F">
        <w:t xml:space="preserve">. Meziročně nižší byly zejména běžné daně z důchodů </w:t>
      </w:r>
      <w:r w:rsidR="001C4AB9">
        <w:t>a </w:t>
      </w:r>
      <w:r w:rsidR="00A4248F">
        <w:t>jmění, které NP zaplatily (</w:t>
      </w:r>
      <w:r w:rsidR="000A3200">
        <w:t>–</w:t>
      </w:r>
      <w:r w:rsidR="00A4248F">
        <w:t>15,2</w:t>
      </w:r>
      <w:r w:rsidR="0032347E">
        <w:t> mld</w:t>
      </w:r>
      <w:r w:rsidR="00A4248F">
        <w:t>. korun)</w:t>
      </w:r>
      <w:r w:rsidR="00E9181E">
        <w:t>,</w:t>
      </w:r>
      <w:r w:rsidR="00A4248F">
        <w:t xml:space="preserve"> </w:t>
      </w:r>
      <w:r w:rsidR="001C4AB9">
        <w:t>a </w:t>
      </w:r>
      <w:r w:rsidR="00A4248F">
        <w:t>také jimi placené ostatní běžné transfery (</w:t>
      </w:r>
      <w:r w:rsidR="000A3200">
        <w:t>–</w:t>
      </w:r>
      <w:r w:rsidR="00A4248F">
        <w:t>9,5</w:t>
      </w:r>
      <w:r w:rsidR="0032347E">
        <w:t> mld</w:t>
      </w:r>
      <w:r w:rsidR="00A4248F">
        <w:t>.).</w:t>
      </w:r>
      <w:r w:rsidR="00F61A0A">
        <w:t xml:space="preserve"> Tyto propady převýšily pokles objemu prostředků, které NP obdržely – ostatní běžné transfery byly nižší </w:t>
      </w:r>
      <w:r w:rsidR="001C4AB9">
        <w:t>o </w:t>
      </w:r>
      <w:r w:rsidR="00F61A0A">
        <w:t>10,9</w:t>
      </w:r>
      <w:r w:rsidR="0032347E">
        <w:t> mld</w:t>
      </w:r>
      <w:r w:rsidR="00F61A0A">
        <w:t xml:space="preserve">. korun. Ukončení </w:t>
      </w:r>
      <w:r w:rsidR="004153B8" w:rsidRPr="00BD40CD">
        <w:t>podpůrných programů</w:t>
      </w:r>
      <w:r w:rsidR="00F61A0A">
        <w:t xml:space="preserve">, které v předchozích čtvrtletích </w:t>
      </w:r>
      <w:r w:rsidR="004153B8" w:rsidRPr="00BD40CD">
        <w:t>zvyšovaly sociální příspěvk</w:t>
      </w:r>
      <w:r w:rsidR="00F61A0A">
        <w:t>y</w:t>
      </w:r>
      <w:r w:rsidR="004153B8" w:rsidRPr="00BD40CD">
        <w:t xml:space="preserve"> nad jej</w:t>
      </w:r>
      <w:r w:rsidR="00F61A0A">
        <w:t>ich</w:t>
      </w:r>
      <w:r w:rsidR="004153B8" w:rsidRPr="00BD40CD">
        <w:t xml:space="preserve"> obvyklou úroveň</w:t>
      </w:r>
      <w:r w:rsidR="00E9181E">
        <w:t>,</w:t>
      </w:r>
      <w:r w:rsidR="00F61A0A">
        <w:t xml:space="preserve"> se projevilo návratem této položky k předkrizové hodnotě. N</w:t>
      </w:r>
      <w:r w:rsidR="004153B8" w:rsidRPr="00BD40CD">
        <w:t xml:space="preserve">a saldo </w:t>
      </w:r>
      <w:r w:rsidR="00F61A0A">
        <w:t>tyto pohyby neměly vliv</w:t>
      </w:r>
      <w:r w:rsidR="004153B8" w:rsidRPr="00BD40CD">
        <w:t>.</w:t>
      </w:r>
      <w:r w:rsidR="00F61A0A">
        <w:t xml:space="preserve"> </w:t>
      </w:r>
      <w:r w:rsidR="007D7EC1">
        <w:t xml:space="preserve">Za celý rok 2021 se objem běžných daní z důchodů </w:t>
      </w:r>
      <w:r w:rsidR="001C4AB9">
        <w:t>a </w:t>
      </w:r>
      <w:r w:rsidR="007D7EC1">
        <w:t xml:space="preserve">jmění zaplacených NP </w:t>
      </w:r>
      <w:r w:rsidR="00E9181E">
        <w:t xml:space="preserve">snížil </w:t>
      </w:r>
      <w:r w:rsidR="001C4AB9">
        <w:t>o </w:t>
      </w:r>
      <w:r w:rsidR="007D7EC1">
        <w:t>41,8</w:t>
      </w:r>
      <w:r w:rsidR="0032347E">
        <w:t> mld</w:t>
      </w:r>
      <w:r w:rsidR="007D7EC1">
        <w:t>. korun (celkový objem 118,8</w:t>
      </w:r>
      <w:r w:rsidR="0032347E">
        <w:t> mld</w:t>
      </w:r>
      <w:r w:rsidR="007D7EC1">
        <w:t xml:space="preserve">. byl nejnižší od roku 2014). Zaplacené ostatní běžné transfery byly nižší </w:t>
      </w:r>
      <w:r w:rsidR="001C4AB9">
        <w:t>o </w:t>
      </w:r>
      <w:r w:rsidR="007D7EC1">
        <w:t>5,0</w:t>
      </w:r>
      <w:r w:rsidR="0032347E">
        <w:t> mld</w:t>
      </w:r>
      <w:r w:rsidR="007D7EC1">
        <w:t xml:space="preserve">. korun, zatímco transfery, které nefinanční podniky loni obdržely, klesly </w:t>
      </w:r>
      <w:r w:rsidR="001C4AB9">
        <w:t>o </w:t>
      </w:r>
      <w:r w:rsidR="007D7EC1">
        <w:t>9,5</w:t>
      </w:r>
      <w:r w:rsidR="0032347E">
        <w:t> mld</w:t>
      </w:r>
      <w:r w:rsidR="007D7EC1">
        <w:t>.</w:t>
      </w:r>
    </w:p>
    <w:p w14:paraId="0343CC9F" w14:textId="25648E85" w:rsidR="00DD6C3A" w:rsidRPr="00BD40CD" w:rsidRDefault="00BA6BD0" w:rsidP="009F7FD8">
      <w:pPr>
        <w:spacing w:after="120"/>
      </w:pPr>
      <w:r w:rsidRPr="00BD40CD">
        <w:t>Hrubé úspory</w:t>
      </w:r>
      <w:r w:rsidR="00E9181E">
        <w:t> </w:t>
      </w:r>
      <w:r w:rsidRPr="00BD40CD">
        <w:t>NP dosáhly</w:t>
      </w:r>
      <w:r w:rsidR="005C676E">
        <w:t xml:space="preserve"> ve 4.</w:t>
      </w:r>
      <w:r w:rsidR="0032347E">
        <w:t> čtvrtlet</w:t>
      </w:r>
      <w:r w:rsidR="005C676E">
        <w:t>í</w:t>
      </w:r>
      <w:r w:rsidRPr="00BD40CD">
        <w:t xml:space="preserve"> 258,6 mld. korun, což bylo </w:t>
      </w:r>
      <w:r w:rsidR="005C676E">
        <w:t xml:space="preserve">meziročně </w:t>
      </w:r>
      <w:r w:rsidR="001C4AB9">
        <w:t>o </w:t>
      </w:r>
      <w:r w:rsidR="005C676E">
        <w:t>47,3</w:t>
      </w:r>
      <w:r w:rsidR="0032347E">
        <w:t> mld</w:t>
      </w:r>
      <w:r w:rsidR="005C676E">
        <w:t xml:space="preserve">. více </w:t>
      </w:r>
      <w:r w:rsidR="001C4AB9">
        <w:t>a </w:t>
      </w:r>
      <w:r w:rsidR="005C676E">
        <w:t xml:space="preserve">šlo </w:t>
      </w:r>
      <w:r w:rsidR="001C4AB9">
        <w:t>o </w:t>
      </w:r>
      <w:r w:rsidR="005C676E">
        <w:t xml:space="preserve">nejvyšší zaznamenanou úroveň hrubých úspor. </w:t>
      </w:r>
      <w:r w:rsidR="00E0186F" w:rsidRPr="00BD40CD">
        <w:t>Míra úspor</w:t>
      </w:r>
      <w:r w:rsidR="00CF1E81" w:rsidRPr="00BD40CD">
        <w:t> </w:t>
      </w:r>
      <w:r w:rsidR="00E0186F" w:rsidRPr="00BD40CD">
        <w:t>NP</w:t>
      </w:r>
      <w:r w:rsidR="00E0186F" w:rsidRPr="00BD40CD">
        <w:rPr>
          <w:rStyle w:val="Znakapoznpodarou"/>
        </w:rPr>
        <w:footnoteReference w:id="7"/>
      </w:r>
      <w:r w:rsidR="00E0186F" w:rsidRPr="00BD40CD">
        <w:t xml:space="preserve"> </w:t>
      </w:r>
      <w:r w:rsidR="009A3ACE" w:rsidRPr="00BD40CD">
        <w:t>dosáhla 29,</w:t>
      </w:r>
      <w:r w:rsidR="005C676E">
        <w:t>9</w:t>
      </w:r>
      <w:r w:rsidR="00BD40CD">
        <w:t> %</w:t>
      </w:r>
      <w:r w:rsidR="009A3ACE" w:rsidRPr="00BD40CD">
        <w:t xml:space="preserve">, což bylo meziročně </w:t>
      </w:r>
      <w:r w:rsidR="005C676E">
        <w:t xml:space="preserve">více </w:t>
      </w:r>
      <w:r w:rsidR="001C4AB9">
        <w:t>o </w:t>
      </w:r>
      <w:r w:rsidR="005C676E">
        <w:t>4,0</w:t>
      </w:r>
      <w:r w:rsidR="0032347E">
        <w:t> p. b.</w:t>
      </w:r>
      <w:r w:rsidR="00DD6C3A" w:rsidRPr="00BD40CD">
        <w:t xml:space="preserve"> </w:t>
      </w:r>
      <w:r w:rsidR="009A3ACE" w:rsidRPr="00BD40CD">
        <w:t>Ve s</w:t>
      </w:r>
      <w:r w:rsidR="00DD6C3A" w:rsidRPr="00BD40CD">
        <w:t xml:space="preserve">rovnání se stejným obdobím </w:t>
      </w:r>
      <w:r w:rsidR="008C00A5" w:rsidRPr="00BD40CD">
        <w:t>z </w:t>
      </w:r>
      <w:r w:rsidR="00DD6C3A" w:rsidRPr="00BD40CD">
        <w:t xml:space="preserve">minulých let </w:t>
      </w:r>
      <w:r w:rsidR="009A3ACE" w:rsidRPr="00BD40CD">
        <w:t>byla</w:t>
      </w:r>
      <w:r w:rsidR="00DD6C3A" w:rsidRPr="00BD40CD">
        <w:t xml:space="preserve"> míra úspor za </w:t>
      </w:r>
      <w:r w:rsidR="005C676E">
        <w:t>4</w:t>
      </w:r>
      <w:r w:rsidR="00DD6C3A" w:rsidRPr="00BD40CD">
        <w:t>.</w:t>
      </w:r>
      <w:r w:rsidR="008C00A5" w:rsidRPr="00BD40CD">
        <w:t> čtvrtlet</w:t>
      </w:r>
      <w:r w:rsidR="00DD6C3A" w:rsidRPr="00BD40CD">
        <w:t xml:space="preserve">í </w:t>
      </w:r>
      <w:r w:rsidR="005357DB">
        <w:t xml:space="preserve">2021 </w:t>
      </w:r>
      <w:r w:rsidR="0023363B">
        <w:t>mimořádně</w:t>
      </w:r>
      <w:r w:rsidR="009A3ACE" w:rsidRPr="00BD40CD">
        <w:t xml:space="preserve"> vysoká</w:t>
      </w:r>
      <w:r w:rsidR="00DD6C3A" w:rsidRPr="00BD40CD">
        <w:t>.</w:t>
      </w:r>
      <w:r w:rsidR="005C676E">
        <w:t xml:space="preserve"> Za celý rok 2021 se hrubé úspory</w:t>
      </w:r>
      <w:r w:rsidR="00AA439D">
        <w:t> </w:t>
      </w:r>
      <w:r w:rsidR="005C676E">
        <w:t xml:space="preserve">NP zvýšily </w:t>
      </w:r>
      <w:r w:rsidR="001C4AB9">
        <w:t>o </w:t>
      </w:r>
      <w:r w:rsidR="005C676E">
        <w:t>113,9</w:t>
      </w:r>
      <w:r w:rsidR="0032347E">
        <w:t> mld</w:t>
      </w:r>
      <w:r w:rsidR="005C676E">
        <w:t>. korun na 972,9</w:t>
      </w:r>
      <w:r w:rsidR="0032347E">
        <w:t> mld</w:t>
      </w:r>
      <w:r w:rsidR="005C676E">
        <w:t xml:space="preserve">. Míra úspor loni vyšplhala </w:t>
      </w:r>
      <w:r w:rsidR="001C4AB9">
        <w:t>o </w:t>
      </w:r>
      <w:r w:rsidR="0072356C">
        <w:t>1,6</w:t>
      </w:r>
      <w:r w:rsidR="0032347E">
        <w:t> p. b.</w:t>
      </w:r>
      <w:r w:rsidR="0072356C">
        <w:t xml:space="preserve"> </w:t>
      </w:r>
      <w:r w:rsidR="005C676E">
        <w:t>na 28,8</w:t>
      </w:r>
      <w:r w:rsidR="0032347E">
        <w:t> %</w:t>
      </w:r>
      <w:r w:rsidR="005C676E">
        <w:t>, nejvíce od roku 2001.</w:t>
      </w:r>
    </w:p>
    <w:p w14:paraId="551D4C2E" w14:textId="2A5949EA" w:rsidR="0050641C" w:rsidRPr="00BD40CD" w:rsidRDefault="009F7FD8" w:rsidP="000302A6">
      <w:pPr>
        <w:pStyle w:val="TabulkaGraf"/>
        <w:spacing w:after="120"/>
      </w:pPr>
      <w:r w:rsidRPr="00BD40CD">
        <w:t>G</w:t>
      </w:r>
      <w:r w:rsidR="002E6F00" w:rsidRPr="00BD40CD">
        <w:t>raf </w:t>
      </w:r>
      <w:r w:rsidR="0050641C" w:rsidRPr="00BD40CD">
        <w:t>2: Meziroční nominální přírůstek tvorby hrubého fixního kapitálu (v</w:t>
      </w:r>
      <w:r w:rsidR="00840938" w:rsidRPr="00BD40CD">
        <w:t> mld.</w:t>
      </w:r>
      <w:r w:rsidR="0050641C" w:rsidRPr="00BD40CD">
        <w:t xml:space="preserve"> korun) </w:t>
      </w:r>
      <w:r w:rsidR="00F03815" w:rsidRPr="00BD40CD">
        <w:t>a </w:t>
      </w:r>
      <w:r w:rsidR="0050641C" w:rsidRPr="00BD40CD">
        <w:t>míra investic (sezónně očištěno, v</w:t>
      </w:r>
      <w:r w:rsidR="00840938" w:rsidRPr="00BD40CD">
        <w:t> %</w:t>
      </w:r>
      <w:r w:rsidR="0050641C" w:rsidRPr="00BD40CD">
        <w:t>)</w:t>
      </w:r>
    </w:p>
    <w:p w14:paraId="2423C116" w14:textId="70609BED" w:rsidR="007B7E54" w:rsidRPr="00BD40CD" w:rsidRDefault="00104388" w:rsidP="009F7FD8">
      <w:pPr>
        <w:jc w:val="center"/>
      </w:pPr>
      <w:r>
        <w:rPr>
          <w:noProof/>
          <w:lang w:eastAsia="cs-CZ"/>
        </w:rPr>
        <w:drawing>
          <wp:inline distT="0" distB="0" distL="0" distR="0" wp14:anchorId="015175E6" wp14:editId="2D249D45">
            <wp:extent cx="4743950" cy="2910775"/>
            <wp:effectExtent l="0" t="0" r="0" b="4445"/>
            <wp:docPr id="21" name="Graf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7145A9" w14:textId="43A617D7" w:rsidR="00D60BAF" w:rsidRPr="00BD40CD" w:rsidRDefault="00941335" w:rsidP="00702D2D">
      <w:pPr>
        <w:spacing w:after="240"/>
        <w:rPr>
          <w:rFonts w:eastAsia="Times New Roman"/>
          <w:b/>
          <w:bCs/>
          <w:szCs w:val="28"/>
          <w:highlight w:val="yellow"/>
        </w:rPr>
      </w:pPr>
      <w:r w:rsidRPr="00BD40CD">
        <w:t>Zdroj: ČSÚ, národní účty</w:t>
      </w:r>
    </w:p>
    <w:p w14:paraId="05DEB8D4" w14:textId="7B74EDCF" w:rsidR="00210B17" w:rsidRDefault="00001C9A" w:rsidP="00210B17">
      <w:pPr>
        <w:spacing w:after="120"/>
      </w:pPr>
      <w:r>
        <w:t>Ve 4.</w:t>
      </w:r>
      <w:r w:rsidR="0032347E">
        <w:t> čtvrtlet</w:t>
      </w:r>
      <w:r>
        <w:t>í n</w:t>
      </w:r>
      <w:r w:rsidR="00B75E48" w:rsidRPr="00BD40CD">
        <w:t xml:space="preserve">efinanční podniky obdržely </w:t>
      </w:r>
      <w:r>
        <w:t>celkově 10,7</w:t>
      </w:r>
      <w:r w:rsidR="0032347E">
        <w:t> mld</w:t>
      </w:r>
      <w:r>
        <w:t xml:space="preserve">. korun ve formě kapitálových transferů, prakticky stejně jako </w:t>
      </w:r>
      <w:r w:rsidR="00AA439D">
        <w:t>v tomtéž</w:t>
      </w:r>
      <w:r>
        <w:t xml:space="preserve"> období roku 2020. Z toho 9,0</w:t>
      </w:r>
      <w:r w:rsidR="0032347E">
        <w:t> mld</w:t>
      </w:r>
      <w:r>
        <w:t>. korun tvořily investiční dotace (meziročně +0,6</w:t>
      </w:r>
      <w:r w:rsidR="0032347E">
        <w:t> mld</w:t>
      </w:r>
      <w:r>
        <w:t xml:space="preserve">.) </w:t>
      </w:r>
      <w:r w:rsidR="001C4AB9">
        <w:t>a </w:t>
      </w:r>
      <w:r>
        <w:t>ostatní kapitálové transfery činily 1,8</w:t>
      </w:r>
      <w:r w:rsidR="0032347E">
        <w:t> mld</w:t>
      </w:r>
      <w:r>
        <w:t>. (</w:t>
      </w:r>
      <w:r w:rsidR="000A3200">
        <w:t>–</w:t>
      </w:r>
      <w:r>
        <w:t>0,6</w:t>
      </w:r>
      <w:r w:rsidR="0032347E">
        <w:t> mld</w:t>
      </w:r>
      <w:r>
        <w:t xml:space="preserve">.). Za celý rok </w:t>
      </w:r>
      <w:r>
        <w:lastRenderedPageBreak/>
        <w:t xml:space="preserve">2021 kapitálové transfery </w:t>
      </w:r>
      <w:r w:rsidR="00161FAB">
        <w:t>náležející nefinančním podnikům</w:t>
      </w:r>
      <w:r>
        <w:t xml:space="preserve"> dosáhly 36</w:t>
      </w:r>
      <w:r w:rsidR="00216AF2">
        <w:t>,0</w:t>
      </w:r>
      <w:r w:rsidR="0032347E">
        <w:t> mld</w:t>
      </w:r>
      <w:r w:rsidR="00216AF2">
        <w:t xml:space="preserve">. korun, což bylo meziročně </w:t>
      </w:r>
      <w:r w:rsidR="001C4AB9">
        <w:t>o </w:t>
      </w:r>
      <w:r w:rsidR="00216AF2">
        <w:t>1,1</w:t>
      </w:r>
      <w:r w:rsidR="0032347E">
        <w:t> mld</w:t>
      </w:r>
      <w:r w:rsidR="00216AF2">
        <w:t>. více. Nefinanční podniky ve 4.</w:t>
      </w:r>
      <w:r w:rsidR="0032347E">
        <w:t> čtvrtlet</w:t>
      </w:r>
      <w:r w:rsidR="00216AF2">
        <w:t xml:space="preserve">í 2021 meziročně posílily svou investiční aktivitu </w:t>
      </w:r>
      <w:r w:rsidR="001C4AB9">
        <w:t>a </w:t>
      </w:r>
      <w:r w:rsidR="00216AF2">
        <w:t xml:space="preserve">jejich výdaje na tvorbu hrubého fixního kapitálu vzrostly </w:t>
      </w:r>
      <w:r w:rsidR="001C4AB9">
        <w:t>o </w:t>
      </w:r>
      <w:r w:rsidR="00216AF2">
        <w:t>12,5</w:t>
      </w:r>
      <w:r w:rsidR="0032347E">
        <w:t> mld</w:t>
      </w:r>
      <w:r w:rsidR="00216AF2">
        <w:t xml:space="preserve">. korun. Podle sezónně očištěných údajů byly jejich investice vyšší </w:t>
      </w:r>
      <w:r w:rsidR="001C4AB9">
        <w:t>o </w:t>
      </w:r>
      <w:r w:rsidR="00216AF2">
        <w:t>2,6</w:t>
      </w:r>
      <w:r w:rsidR="0032347E">
        <w:t> mld</w:t>
      </w:r>
      <w:r w:rsidR="00216AF2">
        <w:t>. korun. Míra investic</w:t>
      </w:r>
      <w:r w:rsidR="00B75E48" w:rsidRPr="00BD40CD">
        <w:rPr>
          <w:rStyle w:val="Znakapoznpodarou"/>
        </w:rPr>
        <w:footnoteReference w:id="8"/>
      </w:r>
      <w:r w:rsidR="00161FAB">
        <w:t> </w:t>
      </w:r>
      <w:r w:rsidR="009C15DC">
        <w:t>NP</w:t>
      </w:r>
      <w:r w:rsidR="00B75E48" w:rsidRPr="00BD40CD">
        <w:t xml:space="preserve"> </w:t>
      </w:r>
      <w:r w:rsidR="00216AF2">
        <w:t xml:space="preserve">se zvýšila </w:t>
      </w:r>
      <w:r w:rsidR="001C4AB9">
        <w:t>o </w:t>
      </w:r>
      <w:r w:rsidR="00216AF2">
        <w:t>0,4</w:t>
      </w:r>
      <w:r w:rsidR="0032347E">
        <w:t> p. b.</w:t>
      </w:r>
      <w:r w:rsidR="00216AF2">
        <w:t xml:space="preserve"> na 26,7</w:t>
      </w:r>
      <w:r w:rsidR="0032347E">
        <w:t> %</w:t>
      </w:r>
      <w:r w:rsidR="00B75E48" w:rsidRPr="00BD40CD">
        <w:t xml:space="preserve"> (sezónně očištěno)</w:t>
      </w:r>
      <w:r w:rsidR="00C864A9">
        <w:t xml:space="preserve"> </w:t>
      </w:r>
      <w:r w:rsidR="001C4AB9">
        <w:t>a </w:t>
      </w:r>
      <w:r w:rsidR="00C864A9">
        <w:t>nadále setrvávala na poměrně nízké úrovni ve srovnání s předkrizovým obdobím</w:t>
      </w:r>
      <w:r w:rsidR="00B75E48" w:rsidRPr="00BD40CD">
        <w:t>. Meziročně byla míra investic</w:t>
      </w:r>
      <w:r w:rsidR="00161FAB">
        <w:t> </w:t>
      </w:r>
      <w:r w:rsidR="00014904">
        <w:t>NP</w:t>
      </w:r>
      <w:r w:rsidR="00B75E48" w:rsidRPr="00BD40CD">
        <w:t xml:space="preserve"> (neočištěná) nižší o </w:t>
      </w:r>
      <w:r w:rsidR="00216AF2">
        <w:t>0</w:t>
      </w:r>
      <w:r w:rsidR="00B75E48" w:rsidRPr="00BD40CD">
        <w:t>,</w:t>
      </w:r>
      <w:r w:rsidR="00216AF2">
        <w:t>1</w:t>
      </w:r>
      <w:r w:rsidR="00B75E48" w:rsidRPr="00BD40CD">
        <w:t> p. b.</w:t>
      </w:r>
      <w:r w:rsidR="00C61158">
        <w:t xml:space="preserve"> Za celý rok 2021 se investice</w:t>
      </w:r>
      <w:r w:rsidR="00161FAB">
        <w:t> </w:t>
      </w:r>
      <w:r w:rsidR="00C61158">
        <w:t xml:space="preserve">NP </w:t>
      </w:r>
      <w:r w:rsidR="00C864A9">
        <w:t xml:space="preserve">zvýšily </w:t>
      </w:r>
      <w:r w:rsidR="001C4AB9">
        <w:t>o </w:t>
      </w:r>
      <w:r w:rsidR="00C864A9">
        <w:t>12,8</w:t>
      </w:r>
      <w:r w:rsidR="0032347E">
        <w:t> mld</w:t>
      </w:r>
      <w:r w:rsidR="00C864A9">
        <w:t>. korun. Jejich míra investic dosáhla 26,5</w:t>
      </w:r>
      <w:r w:rsidR="0032347E">
        <w:t> %</w:t>
      </w:r>
      <w:r w:rsidR="00C864A9">
        <w:t xml:space="preserve">, což bylo meziročně </w:t>
      </w:r>
      <w:r w:rsidR="001C4AB9">
        <w:t>o </w:t>
      </w:r>
      <w:r w:rsidR="00C864A9">
        <w:t>1,4</w:t>
      </w:r>
      <w:r w:rsidR="0032347E">
        <w:t> p. b.</w:t>
      </w:r>
      <w:r w:rsidR="00C864A9">
        <w:t xml:space="preserve"> méně.</w:t>
      </w:r>
    </w:p>
    <w:p w14:paraId="7BF2286A" w14:textId="0B16D464" w:rsidR="00F50CEF" w:rsidRPr="00210B17" w:rsidRDefault="00F50CEF" w:rsidP="00210B17">
      <w:pPr>
        <w:spacing w:after="120"/>
        <w:rPr>
          <w:b/>
          <w:bCs/>
        </w:rPr>
      </w:pPr>
      <w:r w:rsidRPr="00210B17">
        <w:rPr>
          <w:b/>
          <w:bCs/>
        </w:rPr>
        <w:t>Vládní instituce</w:t>
      </w:r>
    </w:p>
    <w:p w14:paraId="07B8077A" w14:textId="20990DC6" w:rsidR="00766AD8" w:rsidRDefault="00612634" w:rsidP="00A969A9">
      <w:pPr>
        <w:spacing w:after="120"/>
      </w:pPr>
      <w:r>
        <w:t>Ve 4.</w:t>
      </w:r>
      <w:r w:rsidR="0032347E">
        <w:t> čtvrtlet</w:t>
      </w:r>
      <w:r>
        <w:t>í 2021 vládní instituce (VI) hospodařily s deficitem 105,2</w:t>
      </w:r>
      <w:r w:rsidR="0032347E">
        <w:t> mld</w:t>
      </w:r>
      <w:r>
        <w:t>. korun.</w:t>
      </w:r>
      <w:r w:rsidR="006879E0">
        <w:t xml:space="preserve"> Deficit tak byl meziročně mírnější </w:t>
      </w:r>
      <w:r w:rsidR="001C4AB9">
        <w:t>o </w:t>
      </w:r>
      <w:r w:rsidR="006879E0">
        <w:t>32,3</w:t>
      </w:r>
      <w:r w:rsidR="0032347E">
        <w:t> mld</w:t>
      </w:r>
      <w:r w:rsidR="006879E0">
        <w:t xml:space="preserve">. Na zlepšení oproti předchozímu roku se podílel mírný nárůst příjmů </w:t>
      </w:r>
      <w:r w:rsidR="001C4AB9">
        <w:t>i </w:t>
      </w:r>
      <w:r w:rsidR="006879E0">
        <w:t xml:space="preserve">pokles na výdajové straně hospodaření. </w:t>
      </w:r>
      <w:r w:rsidR="001C4AB9">
        <w:t>I </w:t>
      </w:r>
      <w:r w:rsidR="006879E0">
        <w:t>tak byl deficit ve 4.</w:t>
      </w:r>
      <w:r w:rsidR="0032347E">
        <w:t> čtvrtlet</w:t>
      </w:r>
      <w:r w:rsidR="006879E0">
        <w:t>í 2021 třetím nejhorším zaznamenaným saldem</w:t>
      </w:r>
      <w:r w:rsidR="00174EEE">
        <w:t xml:space="preserve"> v celé časové řadě</w:t>
      </w:r>
      <w:r w:rsidR="006879E0">
        <w:t>. Sezónně očištěná data ukazují na mezičtvrtletní zmírnění deficitu. Za celý rok 2021 se záporné saldo hospodaření</w:t>
      </w:r>
      <w:r w:rsidR="00DA3AE5">
        <w:t> </w:t>
      </w:r>
      <w:r w:rsidR="006879E0">
        <w:t xml:space="preserve">VI prohloubilo </w:t>
      </w:r>
      <w:r w:rsidR="001C4AB9">
        <w:t>o </w:t>
      </w:r>
      <w:r w:rsidR="009C7AA7">
        <w:t>30,2</w:t>
      </w:r>
      <w:r w:rsidR="0032347E">
        <w:t> mld</w:t>
      </w:r>
      <w:r w:rsidR="009C7AA7">
        <w:t>. korun na 359,4 mld., což odpovídalo 5,9</w:t>
      </w:r>
      <w:r w:rsidR="0032347E">
        <w:t> %</w:t>
      </w:r>
      <w:r w:rsidR="00DA3AE5">
        <w:t> </w:t>
      </w:r>
      <w:r w:rsidR="009C7AA7">
        <w:t>HDP.</w:t>
      </w:r>
    </w:p>
    <w:p w14:paraId="12759BA6" w14:textId="355B0B27" w:rsidR="00B2435B" w:rsidRDefault="005A26D1" w:rsidP="009F7FD8">
      <w:pPr>
        <w:spacing w:after="120"/>
      </w:pPr>
      <w:r>
        <w:t>Příjmy</w:t>
      </w:r>
      <w:r w:rsidR="00DA3AE5">
        <w:t> </w:t>
      </w:r>
      <w:r>
        <w:t>VI se ve 4.</w:t>
      </w:r>
      <w:r w:rsidR="0032347E">
        <w:t> čtvrtlet</w:t>
      </w:r>
      <w:r>
        <w:t xml:space="preserve">í 2021 meziročně zvýšily </w:t>
      </w:r>
      <w:r w:rsidR="001C4AB9">
        <w:t>o </w:t>
      </w:r>
      <w:r>
        <w:t>13,1</w:t>
      </w:r>
      <w:r w:rsidR="0032347E">
        <w:t> mld</w:t>
      </w:r>
      <w:r>
        <w:t>. korun (2,0</w:t>
      </w:r>
      <w:r w:rsidR="0032347E">
        <w:t> %</w:t>
      </w:r>
      <w:r>
        <w:t>) na 652,0</w:t>
      </w:r>
      <w:r w:rsidR="0032347E">
        <w:t> mld</w:t>
      </w:r>
      <w:r>
        <w:t>.</w:t>
      </w:r>
      <w:r w:rsidR="0032589E">
        <w:t xml:space="preserve"> Nejvíce ve směru růstu příjmů působily přijaté daně z výroby </w:t>
      </w:r>
      <w:r w:rsidR="001C4AB9">
        <w:t>a </w:t>
      </w:r>
      <w:r w:rsidR="0032589E">
        <w:t>dovozu (+20,3</w:t>
      </w:r>
      <w:r w:rsidR="0032347E">
        <w:t> mld</w:t>
      </w:r>
      <w:r w:rsidR="0032589E">
        <w:t xml:space="preserve">. korun) </w:t>
      </w:r>
      <w:r w:rsidR="001C4AB9">
        <w:t>a </w:t>
      </w:r>
      <w:r w:rsidR="0032589E">
        <w:t>dále přijaté čisté sociální příspěvky (+13,8</w:t>
      </w:r>
      <w:r w:rsidR="0032347E">
        <w:t> mld</w:t>
      </w:r>
      <w:r w:rsidR="0032589E">
        <w:t xml:space="preserve">.). Hlavně v případě daní se ale projevoval </w:t>
      </w:r>
      <w:r w:rsidR="001C4AB9">
        <w:t>i </w:t>
      </w:r>
      <w:r w:rsidR="0032589E">
        <w:t xml:space="preserve">vliv nízké srovnávací základny závěru roku 2020. Meziročně rostla </w:t>
      </w:r>
      <w:r w:rsidR="001C4AB9">
        <w:t>i </w:t>
      </w:r>
      <w:r w:rsidR="0032589E">
        <w:t xml:space="preserve">hodnota tržní produkce </w:t>
      </w:r>
      <w:r w:rsidR="001C4AB9">
        <w:t>a </w:t>
      </w:r>
      <w:r w:rsidR="0032589E">
        <w:t>produkce pro vlastní užití (+4,5</w:t>
      </w:r>
      <w:r w:rsidR="0032347E">
        <w:t> mld</w:t>
      </w:r>
      <w:r w:rsidR="0032589E">
        <w:t>. korun), přijaté kapitálové transfery (+2,1</w:t>
      </w:r>
      <w:r w:rsidR="0032347E">
        <w:t> mld</w:t>
      </w:r>
      <w:r w:rsidR="0032589E">
        <w:t xml:space="preserve">.) </w:t>
      </w:r>
      <w:r w:rsidR="001C4AB9">
        <w:t>i </w:t>
      </w:r>
      <w:r w:rsidR="0032589E">
        <w:t>ostatní běžné transfery (+1,9</w:t>
      </w:r>
      <w:r w:rsidR="0032347E">
        <w:t> mld</w:t>
      </w:r>
      <w:r w:rsidR="0032589E">
        <w:t xml:space="preserve">.) </w:t>
      </w:r>
      <w:r w:rsidR="001C4AB9">
        <w:t>a </w:t>
      </w:r>
      <w:r w:rsidR="0032589E">
        <w:t>důchody z vlastnictví (+1,6</w:t>
      </w:r>
      <w:r w:rsidR="0032347E">
        <w:t> mld</w:t>
      </w:r>
      <w:r w:rsidR="0032589E">
        <w:t xml:space="preserve">.). Silně se naopak propadaly přijaté běžné daně z důchodů </w:t>
      </w:r>
      <w:r w:rsidR="001C4AB9">
        <w:t>a </w:t>
      </w:r>
      <w:r w:rsidR="0032589E">
        <w:t>jmění (</w:t>
      </w:r>
      <w:r w:rsidR="000A3200">
        <w:t>–</w:t>
      </w:r>
      <w:r w:rsidR="0032589E">
        <w:t>31,2</w:t>
      </w:r>
      <w:r w:rsidR="0032347E">
        <w:t> mld</w:t>
      </w:r>
      <w:r w:rsidR="0032589E">
        <w:t>. korun), na jejichž dynamice se projev</w:t>
      </w:r>
      <w:r w:rsidR="00031A2E">
        <w:t>ovalo</w:t>
      </w:r>
      <w:r w:rsidR="0032589E">
        <w:t xml:space="preserve"> zrušení superhrubé mzdy platné od počátku roku.</w:t>
      </w:r>
      <w:r w:rsidR="00031A2E">
        <w:t xml:space="preserve"> Za celý rok 2021 se příjmy</w:t>
      </w:r>
      <w:r w:rsidR="00AA1B32">
        <w:t> </w:t>
      </w:r>
      <w:r w:rsidR="00031A2E">
        <w:t xml:space="preserve">VI zvýšily </w:t>
      </w:r>
      <w:r w:rsidR="001C4AB9">
        <w:t>o </w:t>
      </w:r>
      <w:r w:rsidR="00031A2E">
        <w:t>113,4</w:t>
      </w:r>
      <w:r w:rsidR="0032347E">
        <w:t> mld</w:t>
      </w:r>
      <w:r w:rsidR="00031A2E">
        <w:t>. korun (4,8</w:t>
      </w:r>
      <w:r w:rsidR="0032347E">
        <w:t> %</w:t>
      </w:r>
      <w:r w:rsidR="00031A2E">
        <w:t>). Nejvíce se na tom podílel nárůst přijatých čistých sociálních příspěvků</w:t>
      </w:r>
      <w:r w:rsidR="00C97062">
        <w:t xml:space="preserve"> (+103,8</w:t>
      </w:r>
      <w:r w:rsidR="0032347E">
        <w:t> mld</w:t>
      </w:r>
      <w:r w:rsidR="00C97062">
        <w:t xml:space="preserve">. korun), </w:t>
      </w:r>
      <w:r w:rsidR="001C4AB9">
        <w:t>u </w:t>
      </w:r>
      <w:r w:rsidR="00C97062">
        <w:t xml:space="preserve">kterých se projevila </w:t>
      </w:r>
      <w:r w:rsidR="001C4AB9">
        <w:t>i </w:t>
      </w:r>
      <w:r w:rsidR="00C97062">
        <w:t xml:space="preserve">nízká srovnávací základna související s odpuštěním plateb OSVČ. Silně rostly </w:t>
      </w:r>
      <w:r w:rsidR="001C4AB9">
        <w:t>i </w:t>
      </w:r>
      <w:r w:rsidR="00C97062">
        <w:t xml:space="preserve">přijaté daně z výroby </w:t>
      </w:r>
      <w:r w:rsidR="001C4AB9">
        <w:t>a </w:t>
      </w:r>
      <w:r w:rsidR="00C97062">
        <w:t>dovozu (+51,9</w:t>
      </w:r>
      <w:r w:rsidR="0032347E">
        <w:t> mld</w:t>
      </w:r>
      <w:r w:rsidR="00C97062">
        <w:t xml:space="preserve">. korun) </w:t>
      </w:r>
      <w:r w:rsidR="001C4AB9">
        <w:t>a </w:t>
      </w:r>
      <w:r w:rsidR="00C97062">
        <w:t xml:space="preserve">k růstu příjmů přispěla </w:t>
      </w:r>
      <w:r w:rsidR="001C4AB9">
        <w:t>i </w:t>
      </w:r>
      <w:r w:rsidR="00C97062">
        <w:t xml:space="preserve">hodnota tržní produkce </w:t>
      </w:r>
      <w:r w:rsidR="001C4AB9">
        <w:t>a </w:t>
      </w:r>
      <w:r w:rsidR="00C97062">
        <w:t>produkce pro vlastní užití (+16,4</w:t>
      </w:r>
      <w:r w:rsidR="0032347E">
        <w:t> mld</w:t>
      </w:r>
      <w:r w:rsidR="00C97062">
        <w:t>.).</w:t>
      </w:r>
      <w:r w:rsidR="00486ABD">
        <w:t xml:space="preserve"> Naopak </w:t>
      </w:r>
      <w:r w:rsidR="00AA1B32">
        <w:t xml:space="preserve">výrazně </w:t>
      </w:r>
      <w:r w:rsidR="00486ABD">
        <w:t xml:space="preserve">se loni propadly přijaté běžné daně z důchodů </w:t>
      </w:r>
      <w:r w:rsidR="001C4AB9">
        <w:t>a </w:t>
      </w:r>
      <w:r w:rsidR="00486ABD">
        <w:t>jmění (</w:t>
      </w:r>
      <w:r w:rsidR="000A3200">
        <w:t>–</w:t>
      </w:r>
      <w:r w:rsidR="00486ABD">
        <w:t>67,9</w:t>
      </w:r>
      <w:r w:rsidR="0032347E">
        <w:t> mld</w:t>
      </w:r>
      <w:r w:rsidR="00486ABD">
        <w:t>.).</w:t>
      </w:r>
      <w:r w:rsidR="000A3200">
        <w:t xml:space="preserve"> Jde </w:t>
      </w:r>
      <w:r w:rsidR="001C4AB9">
        <w:t>o </w:t>
      </w:r>
      <w:r w:rsidR="000A3200">
        <w:t>jejich nejvyšší zaznamenaný propad</w:t>
      </w:r>
      <w:r w:rsidR="000A3200">
        <w:rPr>
          <w:rStyle w:val="Znakapoznpodarou"/>
        </w:rPr>
        <w:footnoteReference w:id="9"/>
      </w:r>
      <w:r w:rsidR="000A3200">
        <w:t>.</w:t>
      </w:r>
    </w:p>
    <w:p w14:paraId="721BBDF7" w14:textId="48E57F09" w:rsidR="008727FA" w:rsidRDefault="000A3200" w:rsidP="009F7FD8">
      <w:pPr>
        <w:spacing w:after="120"/>
      </w:pPr>
      <w:r>
        <w:t>Výdaje</w:t>
      </w:r>
      <w:r w:rsidR="0042259B">
        <w:t> </w:t>
      </w:r>
      <w:r>
        <w:t>VI se ve 4.</w:t>
      </w:r>
      <w:r w:rsidR="0032347E">
        <w:t> čtvrtlet</w:t>
      </w:r>
      <w:r>
        <w:t>í 2021</w:t>
      </w:r>
      <w:r w:rsidR="00684601">
        <w:t xml:space="preserve"> meziročně snížily </w:t>
      </w:r>
      <w:r w:rsidR="001C4AB9">
        <w:t>o </w:t>
      </w:r>
      <w:r w:rsidR="00684601">
        <w:t>19,2</w:t>
      </w:r>
      <w:r w:rsidR="0032347E">
        <w:t> mld</w:t>
      </w:r>
      <w:r w:rsidR="00684601">
        <w:t>. korun</w:t>
      </w:r>
      <w:r w:rsidR="0008521C">
        <w:t xml:space="preserve"> (</w:t>
      </w:r>
      <w:r w:rsidR="001A5270">
        <w:t>–</w:t>
      </w:r>
      <w:r w:rsidR="0008521C">
        <w:t>2,5</w:t>
      </w:r>
      <w:r w:rsidR="0032347E">
        <w:t> %</w:t>
      </w:r>
      <w:r w:rsidR="0008521C">
        <w:t>)</w:t>
      </w:r>
      <w:r w:rsidR="00684601">
        <w:t xml:space="preserve"> na 757,2</w:t>
      </w:r>
      <w:r w:rsidR="0032347E">
        <w:t> mld</w:t>
      </w:r>
      <w:r w:rsidR="00684601">
        <w:t xml:space="preserve">. Šlo </w:t>
      </w:r>
      <w:r w:rsidR="001C4AB9">
        <w:t>o </w:t>
      </w:r>
      <w:r w:rsidR="00684601">
        <w:t>první meziroční pokles výdajů od 4.</w:t>
      </w:r>
      <w:r w:rsidR="0032347E">
        <w:t> čtvrtlet</w:t>
      </w:r>
      <w:r w:rsidR="00684601">
        <w:t>í 2016.</w:t>
      </w:r>
      <w:r w:rsidR="0008521C">
        <w:t xml:space="preserve"> Na poklesu se nejvíce podílely dotace </w:t>
      </w:r>
      <w:r w:rsidR="0042259B">
        <w:br/>
      </w:r>
      <w:r w:rsidR="0008521C">
        <w:t>(</w:t>
      </w:r>
      <w:r w:rsidR="001C4AB9">
        <w:t>–</w:t>
      </w:r>
      <w:r w:rsidR="0008521C">
        <w:t>14,4 mld. korun), které v posledních dvou letech zahrnovaly prostředky podpory pro podnikatele</w:t>
      </w:r>
      <w:r w:rsidR="0042259B">
        <w:t>. Tyto podpory</w:t>
      </w:r>
      <w:r w:rsidR="0008521C">
        <w:t xml:space="preserve"> v závěru roku 2021 </w:t>
      </w:r>
      <w:r w:rsidR="0042259B">
        <w:t xml:space="preserve">už </w:t>
      </w:r>
      <w:r w:rsidR="0008521C">
        <w:t>nebyly v takové míře vypláceny. Úroveň dotací (35,9</w:t>
      </w:r>
      <w:r w:rsidR="0032347E">
        <w:t> mld</w:t>
      </w:r>
      <w:r w:rsidR="0008521C">
        <w:t>. korun) se tak přiblížila hodnotám před rokem 2020. Ve 4.</w:t>
      </w:r>
      <w:r w:rsidR="0032347E">
        <w:t> čtvrtlet</w:t>
      </w:r>
      <w:r w:rsidR="0008521C">
        <w:t xml:space="preserve">í meziročně klesaly </w:t>
      </w:r>
      <w:r w:rsidR="001C4AB9">
        <w:t>i </w:t>
      </w:r>
      <w:r w:rsidR="0008521C">
        <w:t>vyplácené kapitálové transfery</w:t>
      </w:r>
      <w:r w:rsidR="00DE4E56" w:rsidRPr="00BD40CD">
        <w:rPr>
          <w:rStyle w:val="Znakapoznpodarou"/>
        </w:rPr>
        <w:footnoteReference w:id="10"/>
      </w:r>
      <w:r w:rsidR="0008521C">
        <w:t xml:space="preserve"> (</w:t>
      </w:r>
      <w:r w:rsidR="001A5270">
        <w:t>–</w:t>
      </w:r>
      <w:r w:rsidR="0008521C">
        <w:t>5,3</w:t>
      </w:r>
      <w:r w:rsidR="0032347E">
        <w:t> mld</w:t>
      </w:r>
      <w:r w:rsidR="0008521C">
        <w:t xml:space="preserve">. korun) </w:t>
      </w:r>
      <w:r w:rsidR="001C4AB9">
        <w:t>a </w:t>
      </w:r>
      <w:r w:rsidR="0008521C">
        <w:t xml:space="preserve">tvorba hrubého kapitálu </w:t>
      </w:r>
      <w:r w:rsidR="001C4AB9">
        <w:t>a </w:t>
      </w:r>
      <w:r w:rsidR="0008521C">
        <w:t>čisté pořízení nevyráběných aktiv (</w:t>
      </w:r>
      <w:r w:rsidR="001A5270">
        <w:t>–</w:t>
      </w:r>
      <w:r w:rsidR="0008521C">
        <w:t>3,6</w:t>
      </w:r>
      <w:r w:rsidR="00F95B02">
        <w:t> </w:t>
      </w:r>
      <w:r w:rsidR="0008521C">
        <w:t xml:space="preserve">mld.). Pod vlivem vysoké srovnávací základny </w:t>
      </w:r>
      <w:r w:rsidR="001C4AB9">
        <w:t>u </w:t>
      </w:r>
      <w:r w:rsidR="0008521C">
        <w:t xml:space="preserve">naturálních sociálních transferů byly meziročně nižší </w:t>
      </w:r>
      <w:r w:rsidR="001C4AB9">
        <w:t>i </w:t>
      </w:r>
      <w:r w:rsidR="0008521C">
        <w:t xml:space="preserve">vyplacené sociální dávky </w:t>
      </w:r>
      <w:r w:rsidR="001C4AB9">
        <w:t>a </w:t>
      </w:r>
      <w:r w:rsidR="0008521C">
        <w:t>naturální sociální transfery (</w:t>
      </w:r>
      <w:r w:rsidR="001A5270">
        <w:t>–</w:t>
      </w:r>
      <w:r w:rsidR="0008521C">
        <w:t>2,4 mld. korun). Ve 4.</w:t>
      </w:r>
      <w:r w:rsidR="00DE4E56">
        <w:t> </w:t>
      </w:r>
      <w:r w:rsidR="0008521C">
        <w:t>čtvr</w:t>
      </w:r>
      <w:r w:rsidR="00DE4E56">
        <w:t>t</w:t>
      </w:r>
      <w:r w:rsidR="0008521C">
        <w:t>letí výrazněji meziročně vzrostla jen mezispotřeba (</w:t>
      </w:r>
      <w:r w:rsidR="00DE4E56">
        <w:t>+6,6</w:t>
      </w:r>
      <w:r w:rsidR="0032347E">
        <w:t> mld</w:t>
      </w:r>
      <w:r w:rsidR="00DE4E56">
        <w:t>. korun</w:t>
      </w:r>
      <w:r w:rsidR="0008521C">
        <w:t>)</w:t>
      </w:r>
      <w:r w:rsidR="00DE4E56">
        <w:t>. Za celý rok 2021 se výdaje</w:t>
      </w:r>
      <w:r w:rsidR="000B3CB8">
        <w:t> </w:t>
      </w:r>
      <w:r w:rsidR="00DE4E56">
        <w:t xml:space="preserve">VI zvýšily </w:t>
      </w:r>
      <w:r w:rsidR="001C4AB9">
        <w:t>o </w:t>
      </w:r>
      <w:r w:rsidR="00DE4E56">
        <w:t>143,5</w:t>
      </w:r>
      <w:r w:rsidR="0032347E">
        <w:t> mld</w:t>
      </w:r>
      <w:r w:rsidR="00DE4E56">
        <w:t>. korun (4,8</w:t>
      </w:r>
      <w:r w:rsidR="0032347E">
        <w:t> %</w:t>
      </w:r>
      <w:r w:rsidR="00DE4E56">
        <w:t>).</w:t>
      </w:r>
      <w:r w:rsidR="008C0108">
        <w:t xml:space="preserve"> </w:t>
      </w:r>
      <w:r w:rsidR="00FE14B7">
        <w:t xml:space="preserve">Masivně narůstaly výdaje na sociální </w:t>
      </w:r>
      <w:r w:rsidR="00FE14B7">
        <w:lastRenderedPageBreak/>
        <w:t xml:space="preserve">dávky (+61,1 mld. korun), zejména pod vlivem vyplácení nemocenských </w:t>
      </w:r>
      <w:r w:rsidR="001C4AB9">
        <w:t>a </w:t>
      </w:r>
      <w:r w:rsidR="00FE14B7">
        <w:t xml:space="preserve">ošetřovného v době vrcholu pandemie. </w:t>
      </w:r>
      <w:r w:rsidR="001C4AB9">
        <w:t>O </w:t>
      </w:r>
      <w:r w:rsidR="00FE14B7">
        <w:t>42,7</w:t>
      </w:r>
      <w:r w:rsidR="0032347E">
        <w:t> mld</w:t>
      </w:r>
      <w:r w:rsidR="00FE14B7">
        <w:t xml:space="preserve">. korun se meziročně zvýšily náhrady zaměstnancům – </w:t>
      </w:r>
      <w:r w:rsidR="001C5644">
        <w:t>nejvýraznějšího přírůstku dosáhly ve 2.</w:t>
      </w:r>
      <w:r w:rsidR="0032347E">
        <w:t> čtvrtlet</w:t>
      </w:r>
      <w:r w:rsidR="001C5644">
        <w:t xml:space="preserve">í, kdy docházelo k výplatě odměn zdravotnickému personálu. V souvislosti s výdaji na řešení dopadů pandemie byly loni zvýšeny </w:t>
      </w:r>
      <w:r w:rsidR="001C4AB9">
        <w:t>i </w:t>
      </w:r>
      <w:r w:rsidR="001C5644">
        <w:t>dotace (+26,1</w:t>
      </w:r>
      <w:r w:rsidR="0032347E">
        <w:t> mld</w:t>
      </w:r>
      <w:r w:rsidR="001C5644">
        <w:t xml:space="preserve">. korun) </w:t>
      </w:r>
      <w:r w:rsidR="001C4AB9">
        <w:t>a </w:t>
      </w:r>
      <w:r w:rsidR="001C5644">
        <w:t>ostatní běžné transfery</w:t>
      </w:r>
      <w:r w:rsidR="000B5125">
        <w:t xml:space="preserve"> (+13,3</w:t>
      </w:r>
      <w:r w:rsidR="0032347E">
        <w:t> mld</w:t>
      </w:r>
      <w:r w:rsidR="000B5125">
        <w:t>.).</w:t>
      </w:r>
      <w:r w:rsidR="000F7753">
        <w:t xml:space="preserve"> Výrazně loni klesly jen placené kapitálové transfery (</w:t>
      </w:r>
      <w:r w:rsidR="001C4AB9">
        <w:t>–</w:t>
      </w:r>
      <w:r w:rsidR="000F7753">
        <w:t>14,9 mld. korun).</w:t>
      </w:r>
    </w:p>
    <w:p w14:paraId="0076205E" w14:textId="4E625481" w:rsidR="00AD09C9" w:rsidRDefault="001903B8" w:rsidP="009F7FD8">
      <w:pPr>
        <w:spacing w:after="120"/>
      </w:pPr>
      <w:r>
        <w:t xml:space="preserve">Největší podíl na celkovém deficitu mělo v posledních dvou letech hospodaření ústředních vládních institucí, na kterých ležela většina </w:t>
      </w:r>
      <w:r w:rsidR="00174EEE">
        <w:t>výdajů</w:t>
      </w:r>
      <w:r>
        <w:t xml:space="preserve"> souvisejících s </w:t>
      </w:r>
      <w:r w:rsidR="00174EEE">
        <w:t>kompenzací</w:t>
      </w:r>
      <w:r>
        <w:t xml:space="preserve"> ekonomických dopadů pandemie, ale také výdaje na sociální dávky včetně starobních důchodů, které v posledních letech silně rostly. Ve 4.</w:t>
      </w:r>
      <w:r w:rsidR="0032347E">
        <w:t> čtvrtlet</w:t>
      </w:r>
      <w:r>
        <w:t>í 2021 deficit hospodaření ústředních vládních institucí dosáhl 77,0</w:t>
      </w:r>
      <w:r w:rsidR="0032347E">
        <w:t> mld</w:t>
      </w:r>
      <w:r>
        <w:t xml:space="preserve">. korun </w:t>
      </w:r>
      <w:r w:rsidR="001C4AB9">
        <w:t>a </w:t>
      </w:r>
      <w:r>
        <w:t xml:space="preserve">meziročně se zmírnil </w:t>
      </w:r>
      <w:r w:rsidR="001C4AB9">
        <w:t>o </w:t>
      </w:r>
      <w:r w:rsidR="00872214">
        <w:t>32,5</w:t>
      </w:r>
      <w:r w:rsidR="0032347E">
        <w:t> mld</w:t>
      </w:r>
      <w:r w:rsidR="00872214">
        <w:t xml:space="preserve">. Zmírnění </w:t>
      </w:r>
      <w:r w:rsidR="00F30003">
        <w:t xml:space="preserve">deficitu napomohl především pokles výdajů subsektoru </w:t>
      </w:r>
      <w:r w:rsidR="001C4AB9">
        <w:t>o </w:t>
      </w:r>
      <w:r w:rsidR="00F30003">
        <w:t>29,5</w:t>
      </w:r>
      <w:r w:rsidR="0032347E">
        <w:t> mld</w:t>
      </w:r>
      <w:r w:rsidR="00F30003">
        <w:t>. korun (</w:t>
      </w:r>
      <w:r w:rsidR="001A5270">
        <w:t>–</w:t>
      </w:r>
      <w:r w:rsidR="00F30003">
        <w:t>5,4</w:t>
      </w:r>
      <w:r w:rsidR="0032347E">
        <w:t> %</w:t>
      </w:r>
      <w:r w:rsidR="00F30003">
        <w:t>), především vyplacených dotací (</w:t>
      </w:r>
      <w:r w:rsidR="001A5270">
        <w:t>–</w:t>
      </w:r>
      <w:r w:rsidR="00F30003">
        <w:t>14,9</w:t>
      </w:r>
      <w:r w:rsidR="0032347E">
        <w:t> mld</w:t>
      </w:r>
      <w:r w:rsidR="00F30003">
        <w:t xml:space="preserve">.). Nižší byly </w:t>
      </w:r>
      <w:r w:rsidR="001C4AB9">
        <w:t>i </w:t>
      </w:r>
      <w:r w:rsidR="00F30003">
        <w:t xml:space="preserve">vyplacené sociální dávky </w:t>
      </w:r>
      <w:r w:rsidR="001C4AB9">
        <w:t>a </w:t>
      </w:r>
      <w:r w:rsidR="00F30003">
        <w:t>naturální sociální transfery (</w:t>
      </w:r>
      <w:r w:rsidR="001A5270">
        <w:t>–</w:t>
      </w:r>
      <w:r w:rsidR="00F30003">
        <w:t>5,5</w:t>
      </w:r>
      <w:r w:rsidR="0032347E">
        <w:t> mld</w:t>
      </w:r>
      <w:r w:rsidR="00F30003">
        <w:t>. korun), kapitálové transfery (</w:t>
      </w:r>
      <w:r w:rsidR="001A5270">
        <w:t>–</w:t>
      </w:r>
      <w:r w:rsidR="00F30003">
        <w:t>4,8</w:t>
      </w:r>
      <w:r w:rsidR="0032347E">
        <w:t> mld</w:t>
      </w:r>
      <w:r w:rsidR="00F30003">
        <w:t xml:space="preserve">.) </w:t>
      </w:r>
      <w:r w:rsidR="001C4AB9">
        <w:t>a </w:t>
      </w:r>
      <w:r w:rsidR="00F30003">
        <w:t>ostatní běžné transfery (</w:t>
      </w:r>
      <w:r w:rsidR="001A5270">
        <w:t>–</w:t>
      </w:r>
      <w:r w:rsidR="00F30003">
        <w:t>4,0</w:t>
      </w:r>
      <w:r w:rsidR="0032347E">
        <w:t> mld</w:t>
      </w:r>
      <w:r w:rsidR="00F30003">
        <w:t>.).</w:t>
      </w:r>
      <w:r w:rsidR="001171CC">
        <w:t xml:space="preserve"> Příjmy ústředních vládních institucí ve 4.</w:t>
      </w:r>
      <w:r w:rsidR="0032347E">
        <w:t> čtvrtlet</w:t>
      </w:r>
      <w:r w:rsidR="001171CC">
        <w:t>í meziročně stagnovaly (+3,0</w:t>
      </w:r>
      <w:r w:rsidR="0032347E">
        <w:t> mld</w:t>
      </w:r>
      <w:r w:rsidR="001171CC">
        <w:t>., 0,7</w:t>
      </w:r>
      <w:r w:rsidR="0032347E">
        <w:t> %</w:t>
      </w:r>
      <w:r w:rsidR="001171CC">
        <w:t xml:space="preserve">). Proti přírůstkům přijatých daní z výroby </w:t>
      </w:r>
      <w:r w:rsidR="001C4AB9">
        <w:t>a </w:t>
      </w:r>
      <w:r w:rsidR="001171CC">
        <w:t>dovozu (+9,4</w:t>
      </w:r>
      <w:r w:rsidR="0032347E">
        <w:t> mld</w:t>
      </w:r>
      <w:r w:rsidR="001171CC">
        <w:t>. korun), sociálních příspěvků (+7,1</w:t>
      </w:r>
      <w:r w:rsidR="0032347E">
        <w:t> mld</w:t>
      </w:r>
      <w:r w:rsidR="001171CC">
        <w:t>.) nebo ostatních běžných transferů (+4,8</w:t>
      </w:r>
      <w:r w:rsidR="0032347E">
        <w:t> mld</w:t>
      </w:r>
      <w:r w:rsidR="001171CC">
        <w:t xml:space="preserve">.) totiž působil výrazný propad přijatých běžných daní z důchodů </w:t>
      </w:r>
      <w:r w:rsidR="001C4AB9">
        <w:t>a </w:t>
      </w:r>
      <w:r w:rsidR="001171CC">
        <w:t xml:space="preserve">jmění </w:t>
      </w:r>
      <w:r w:rsidR="005B72C7">
        <w:br/>
      </w:r>
      <w:r w:rsidR="001171CC">
        <w:t>(</w:t>
      </w:r>
      <w:r w:rsidR="001C4AB9">
        <w:t>–</w:t>
      </w:r>
      <w:r w:rsidR="001171CC">
        <w:t>24,8 mld.).</w:t>
      </w:r>
    </w:p>
    <w:p w14:paraId="31E62CE2" w14:textId="77777777" w:rsidR="00AD09C9" w:rsidRPr="00BD40CD" w:rsidRDefault="00AD09C9" w:rsidP="00AD09C9">
      <w:pPr>
        <w:pStyle w:val="TabulkaGraf"/>
      </w:pPr>
      <w:r w:rsidRPr="00BD40CD">
        <w:t>Graf 3: Saldo hospodaření vládních institucí (v mld. korun)</w:t>
      </w:r>
    </w:p>
    <w:p w14:paraId="665496A4" w14:textId="77777777" w:rsidR="00AD09C9" w:rsidRPr="00BD40CD" w:rsidRDefault="00AD09C9" w:rsidP="00AD09C9">
      <w:pPr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3F7206D9" wp14:editId="641A9F42">
            <wp:extent cx="4737600" cy="3060000"/>
            <wp:effectExtent l="0" t="0" r="6350" b="7620"/>
            <wp:docPr id="7" name="Graf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62408CA" w14:textId="77777777" w:rsidR="00AD09C9" w:rsidRPr="00BD40CD" w:rsidRDefault="00AD09C9" w:rsidP="00AD09C9">
      <w:pPr>
        <w:spacing w:after="120"/>
        <w:jc w:val="left"/>
      </w:pPr>
      <w:r w:rsidRPr="00BD40CD">
        <w:t>Zdroj: ČSÚ, národní účty</w:t>
      </w:r>
    </w:p>
    <w:p w14:paraId="02E88596" w14:textId="16F8C368" w:rsidR="000A3200" w:rsidRDefault="001171CC" w:rsidP="009F7FD8">
      <w:pPr>
        <w:spacing w:after="120"/>
      </w:pPr>
      <w:r>
        <w:t>Za celý rok 2021 dosáhl deficit ústředních vládních institucí 385,0</w:t>
      </w:r>
      <w:r w:rsidR="0032347E">
        <w:t> mld</w:t>
      </w:r>
      <w:r>
        <w:t xml:space="preserve">. korun </w:t>
      </w:r>
      <w:r w:rsidR="001C4AB9">
        <w:t>a </w:t>
      </w:r>
      <w:r>
        <w:t xml:space="preserve">prohloubil se </w:t>
      </w:r>
      <w:r w:rsidR="001C4AB9">
        <w:t>o </w:t>
      </w:r>
      <w:r>
        <w:t>41,1</w:t>
      </w:r>
      <w:r w:rsidR="0032347E">
        <w:t> mld</w:t>
      </w:r>
      <w:r>
        <w:t>.</w:t>
      </w:r>
      <w:r w:rsidR="00CE615B">
        <w:t xml:space="preserve"> </w:t>
      </w:r>
      <w:r w:rsidR="004323BD">
        <w:t>Růst výdajů (+92,3</w:t>
      </w:r>
      <w:r w:rsidR="0032347E">
        <w:t> mld</w:t>
      </w:r>
      <w:r w:rsidR="004323BD">
        <w:t>. korun, 4,6</w:t>
      </w:r>
      <w:r w:rsidR="0032347E">
        <w:t> %</w:t>
      </w:r>
      <w:r w:rsidR="004323BD">
        <w:t>) značně převyšoval přírůstek příjmů (+51,2</w:t>
      </w:r>
      <w:r w:rsidR="0032347E">
        <w:t> mld</w:t>
      </w:r>
      <w:r w:rsidR="004323BD">
        <w:t>., 3,1</w:t>
      </w:r>
      <w:r w:rsidR="0032347E">
        <w:t> %</w:t>
      </w:r>
      <w:r w:rsidR="004323BD">
        <w:t>). S výjimkou kapitálových transferů (</w:t>
      </w:r>
      <w:r w:rsidR="001A5270">
        <w:t>–</w:t>
      </w:r>
      <w:r w:rsidR="004323BD">
        <w:t>12,7</w:t>
      </w:r>
      <w:r w:rsidR="0032347E">
        <w:t> mld</w:t>
      </w:r>
      <w:r w:rsidR="004323BD">
        <w:t>. korun) r</w:t>
      </w:r>
      <w:r w:rsidR="00CE615B">
        <w:t xml:space="preserve">ostly všechny výdajové </w:t>
      </w:r>
      <w:r w:rsidR="00CE615B">
        <w:lastRenderedPageBreak/>
        <w:t xml:space="preserve">složky, nejvíce sociální dávky </w:t>
      </w:r>
      <w:r w:rsidR="001C4AB9">
        <w:t>a </w:t>
      </w:r>
      <w:r w:rsidR="00CE615B">
        <w:t>naturální sociální transfery (+35,2</w:t>
      </w:r>
      <w:r w:rsidR="0032347E">
        <w:t> mld</w:t>
      </w:r>
      <w:r w:rsidR="00CE615B">
        <w:t>.), ostatní běžné transfery</w:t>
      </w:r>
      <w:r w:rsidR="004323BD" w:rsidRPr="00BD40CD">
        <w:rPr>
          <w:rStyle w:val="Znakapoznpodarou"/>
        </w:rPr>
        <w:footnoteReference w:id="11"/>
      </w:r>
      <w:r w:rsidR="00CE615B">
        <w:t xml:space="preserve"> (+23,9</w:t>
      </w:r>
      <w:r w:rsidR="00CE0364">
        <w:t> </w:t>
      </w:r>
      <w:r w:rsidR="00CE615B">
        <w:t>mld.), dotace (+21,5</w:t>
      </w:r>
      <w:r w:rsidR="0032347E">
        <w:t> mld</w:t>
      </w:r>
      <w:r w:rsidR="00CE615B">
        <w:t xml:space="preserve">.) </w:t>
      </w:r>
      <w:r w:rsidR="001C4AB9">
        <w:t>a </w:t>
      </w:r>
      <w:r w:rsidR="00CE615B">
        <w:t>náhrady zaměstnancům (+12,6</w:t>
      </w:r>
      <w:r w:rsidR="0032347E">
        <w:t> mld</w:t>
      </w:r>
      <w:r w:rsidR="00CE615B">
        <w:t>.).</w:t>
      </w:r>
      <w:r w:rsidR="004323BD">
        <w:t xml:space="preserve"> Poměrně výrazný byl </w:t>
      </w:r>
      <w:r w:rsidR="001C4AB9">
        <w:t>i </w:t>
      </w:r>
      <w:r w:rsidR="004323BD">
        <w:t>přírůstek investic (+10,9</w:t>
      </w:r>
      <w:r w:rsidR="0032347E">
        <w:t> mld</w:t>
      </w:r>
      <w:r w:rsidR="004323BD">
        <w:t>. korun). Na příjmové straně se značně zvyšovaly přijaté sociální příspěvky (+56,1</w:t>
      </w:r>
      <w:r w:rsidR="0032347E">
        <w:t> mld</w:t>
      </w:r>
      <w:r w:rsidR="004323BD">
        <w:t xml:space="preserve">. korun), daně z výroby </w:t>
      </w:r>
      <w:r w:rsidR="001C4AB9">
        <w:t>a </w:t>
      </w:r>
      <w:r w:rsidR="004323BD">
        <w:t>dovozu (+20,8</w:t>
      </w:r>
      <w:r w:rsidR="0032347E">
        <w:t> mld</w:t>
      </w:r>
      <w:r w:rsidR="004323BD">
        <w:t>.) nebo ostatní běžné transfery (+15,9</w:t>
      </w:r>
      <w:r w:rsidR="0032347E">
        <w:t> mld</w:t>
      </w:r>
      <w:r w:rsidR="004323BD">
        <w:t xml:space="preserve">.). </w:t>
      </w:r>
      <w:r w:rsidR="0017753D">
        <w:t>Negativně ale zapůsobil</w:t>
      </w:r>
      <w:r w:rsidR="004323BD">
        <w:t xml:space="preserve"> masivní propad přijatých běžných daní z důchodů </w:t>
      </w:r>
      <w:r w:rsidR="001C4AB9">
        <w:t>a </w:t>
      </w:r>
      <w:r w:rsidR="004323BD">
        <w:t>jmění (</w:t>
      </w:r>
      <w:r w:rsidR="001A5270">
        <w:t>–</w:t>
      </w:r>
      <w:r w:rsidR="004323BD">
        <w:t>59,3</w:t>
      </w:r>
      <w:r w:rsidR="0032347E">
        <w:t> mld</w:t>
      </w:r>
      <w:r w:rsidR="004323BD">
        <w:t>. korun).</w:t>
      </w:r>
    </w:p>
    <w:p w14:paraId="5D8A6544" w14:textId="01660684" w:rsidR="000F7753" w:rsidRDefault="00AB73C1" w:rsidP="009F7FD8">
      <w:pPr>
        <w:spacing w:after="120"/>
      </w:pPr>
      <w:r>
        <w:t xml:space="preserve">Subsektor místních vládních institucí hospodařil také s deficitem, který se meziročně prohloubil </w:t>
      </w:r>
      <w:r w:rsidR="001C4AB9">
        <w:t>o </w:t>
      </w:r>
      <w:r>
        <w:t>0,9</w:t>
      </w:r>
      <w:r w:rsidR="0032347E">
        <w:t> mld</w:t>
      </w:r>
      <w:r>
        <w:t>. korun na 18,3</w:t>
      </w:r>
      <w:r w:rsidR="0032347E">
        <w:t> mld</w:t>
      </w:r>
      <w:r>
        <w:t>. Růst jejich výdajů (+3,4</w:t>
      </w:r>
      <w:r w:rsidR="0032347E">
        <w:t> mld</w:t>
      </w:r>
      <w:r>
        <w:t>. korun, 1,6</w:t>
      </w:r>
      <w:r w:rsidR="0032347E">
        <w:t> %</w:t>
      </w:r>
      <w:r>
        <w:t>) mírně převýšil dynamiku příjmů (+2,4</w:t>
      </w:r>
      <w:r w:rsidR="0032347E">
        <w:t> mld</w:t>
      </w:r>
      <w:r>
        <w:t>., 1,2</w:t>
      </w:r>
      <w:r w:rsidR="0032347E">
        <w:t> %</w:t>
      </w:r>
      <w:r>
        <w:t>).</w:t>
      </w:r>
      <w:r w:rsidR="007E3E1C">
        <w:t xml:space="preserve"> Na straně výdajů ve 4.</w:t>
      </w:r>
      <w:r w:rsidR="0032347E">
        <w:t> čtvrtlet</w:t>
      </w:r>
      <w:r w:rsidR="007E3E1C">
        <w:t>í nejvíce meziročně posilovala mezispotřeba (+5,9</w:t>
      </w:r>
      <w:r w:rsidR="0032347E">
        <w:t> mld</w:t>
      </w:r>
      <w:r w:rsidR="007E3E1C">
        <w:t xml:space="preserve">. korun) </w:t>
      </w:r>
      <w:r w:rsidR="001C4AB9">
        <w:t>a </w:t>
      </w:r>
      <w:r w:rsidR="007E3E1C">
        <w:t>náhrady zaměstnancům (+1,9</w:t>
      </w:r>
      <w:r w:rsidR="0032347E">
        <w:t> mld</w:t>
      </w:r>
      <w:r w:rsidR="007E3E1C">
        <w:t>.). Nižší byly výdaje na kapitálové transfery (</w:t>
      </w:r>
      <w:r w:rsidR="001A5270">
        <w:t>–</w:t>
      </w:r>
      <w:r w:rsidR="007E3E1C">
        <w:t>2,1</w:t>
      </w:r>
      <w:r w:rsidR="0032347E">
        <w:t> mld</w:t>
      </w:r>
      <w:r w:rsidR="007E3E1C">
        <w:t xml:space="preserve">. korun) </w:t>
      </w:r>
      <w:r w:rsidR="001C4AB9">
        <w:t>a </w:t>
      </w:r>
      <w:r w:rsidR="007E3E1C">
        <w:t xml:space="preserve">výdaje na tvorbu hrubého kapitálu </w:t>
      </w:r>
      <w:r w:rsidR="001C4AB9">
        <w:t>a </w:t>
      </w:r>
      <w:r w:rsidR="007E3E1C">
        <w:t>čisté pořízení nevyráběných aktiv (</w:t>
      </w:r>
      <w:r w:rsidR="001A5270">
        <w:t>–</w:t>
      </w:r>
      <w:r w:rsidR="007E3E1C">
        <w:t>4,0</w:t>
      </w:r>
      <w:r w:rsidR="0032347E">
        <w:t> mld</w:t>
      </w:r>
      <w:r w:rsidR="007E3E1C">
        <w:t xml:space="preserve">.), z toho investice meziročně klesly </w:t>
      </w:r>
      <w:r w:rsidR="001C4AB9">
        <w:t>o </w:t>
      </w:r>
      <w:r w:rsidR="00E8434E">
        <w:t>1,7</w:t>
      </w:r>
      <w:r w:rsidR="0032347E">
        <w:t> mld</w:t>
      </w:r>
      <w:r w:rsidR="00E8434E">
        <w:t xml:space="preserve">. V případě příjmů nejvíce meziročně rostly přijaté daně z výroby </w:t>
      </w:r>
      <w:r w:rsidR="001C4AB9">
        <w:t>a </w:t>
      </w:r>
      <w:r w:rsidR="00E8434E">
        <w:t>dovozu (+10,9</w:t>
      </w:r>
      <w:r w:rsidR="0032347E">
        <w:t> mld</w:t>
      </w:r>
      <w:r w:rsidR="00E8434E">
        <w:t xml:space="preserve">. korun) </w:t>
      </w:r>
      <w:r w:rsidR="001C4AB9">
        <w:t>a </w:t>
      </w:r>
      <w:r w:rsidR="00E8434E">
        <w:t>hodnota tržní produkce (+3,7</w:t>
      </w:r>
      <w:r w:rsidR="0032347E">
        <w:t> mld</w:t>
      </w:r>
      <w:r w:rsidR="00E8434E">
        <w:t xml:space="preserve">.). Ve směru poklesu příjmů ale silně působily běžné daně z důchodů </w:t>
      </w:r>
      <w:r w:rsidR="001C4AB9">
        <w:t>a </w:t>
      </w:r>
      <w:r w:rsidR="00E8434E">
        <w:t>jmění (</w:t>
      </w:r>
      <w:r w:rsidR="001A5270">
        <w:t>–</w:t>
      </w:r>
      <w:r w:rsidR="00E8434E">
        <w:t>6,4</w:t>
      </w:r>
      <w:r w:rsidR="0032347E">
        <w:t> mld</w:t>
      </w:r>
      <w:r w:rsidR="00E8434E">
        <w:t>. korun), přijaté kapitálové transfery (</w:t>
      </w:r>
      <w:r w:rsidR="001A5270">
        <w:t>–</w:t>
      </w:r>
      <w:r w:rsidR="00E8434E">
        <w:t>3,3</w:t>
      </w:r>
      <w:r w:rsidR="0032347E">
        <w:t> mld</w:t>
      </w:r>
      <w:r w:rsidR="00E8434E">
        <w:t xml:space="preserve">.) </w:t>
      </w:r>
      <w:r w:rsidR="001C4AB9">
        <w:t>a </w:t>
      </w:r>
      <w:r w:rsidR="00E8434E">
        <w:t>ostatní běžné transfery (</w:t>
      </w:r>
      <w:r w:rsidR="001A5270">
        <w:t>–</w:t>
      </w:r>
      <w:r w:rsidR="00E8434E">
        <w:t>2,2</w:t>
      </w:r>
      <w:r w:rsidR="0032347E">
        <w:t> mld</w:t>
      </w:r>
      <w:r w:rsidR="00E8434E">
        <w:t xml:space="preserve">.). </w:t>
      </w:r>
      <w:r>
        <w:t>Za celý rok 2021 místní vládní instituce dosáhly přebytku 34,6</w:t>
      </w:r>
      <w:r w:rsidR="0032347E">
        <w:t> mld</w:t>
      </w:r>
      <w:r>
        <w:t xml:space="preserve">. korun, což bylo meziročně </w:t>
      </w:r>
      <w:r w:rsidR="001C4AB9">
        <w:t>o </w:t>
      </w:r>
      <w:r>
        <w:t>8,2</w:t>
      </w:r>
      <w:r w:rsidR="00E8434E">
        <w:t> </w:t>
      </w:r>
      <w:r>
        <w:t>mld. více.</w:t>
      </w:r>
      <w:r w:rsidR="00944126">
        <w:t xml:space="preserve"> Tomu napomohl růst příjmů </w:t>
      </w:r>
      <w:r w:rsidR="001C4AB9">
        <w:t>o </w:t>
      </w:r>
      <w:r w:rsidR="00944126">
        <w:t>49,9</w:t>
      </w:r>
      <w:r w:rsidR="0032347E">
        <w:t> mld</w:t>
      </w:r>
      <w:r w:rsidR="00944126">
        <w:t>. korun (6,5</w:t>
      </w:r>
      <w:r w:rsidR="0032347E">
        <w:t> %</w:t>
      </w:r>
      <w:r w:rsidR="00944126">
        <w:t xml:space="preserve">) při navýšení výdajů </w:t>
      </w:r>
      <w:r w:rsidR="001C4AB9">
        <w:t>o </w:t>
      </w:r>
      <w:r w:rsidR="00944126">
        <w:t>41,7 mld. (5,6</w:t>
      </w:r>
      <w:r w:rsidR="0032347E">
        <w:t> %</w:t>
      </w:r>
      <w:r w:rsidR="00944126">
        <w:t xml:space="preserve">). Nejvíce se loni místním vládním institucím zvýšily příjmy z daní z výroby </w:t>
      </w:r>
      <w:r w:rsidR="001C4AB9">
        <w:t>a </w:t>
      </w:r>
      <w:r w:rsidR="00944126">
        <w:t>dovozu (+31,1</w:t>
      </w:r>
      <w:r w:rsidR="0032347E">
        <w:t> mld</w:t>
      </w:r>
      <w:r w:rsidR="00944126">
        <w:t xml:space="preserve">. korun) </w:t>
      </w:r>
      <w:r w:rsidR="001C4AB9">
        <w:t>a </w:t>
      </w:r>
      <w:r w:rsidR="00944126">
        <w:t>pak přijaté ostatní běžné transfery (+25,9</w:t>
      </w:r>
      <w:r w:rsidR="0032347E">
        <w:t> mld</w:t>
      </w:r>
      <w:r w:rsidR="00944126">
        <w:t>.).</w:t>
      </w:r>
      <w:r w:rsidR="0053225A">
        <w:t xml:space="preserve"> Klesaly jimi přijaté běžné daně z důchodů </w:t>
      </w:r>
      <w:r w:rsidR="001C4AB9">
        <w:t>a </w:t>
      </w:r>
      <w:r w:rsidR="0053225A">
        <w:t>jmění (</w:t>
      </w:r>
      <w:r w:rsidR="001A5270">
        <w:t>–</w:t>
      </w:r>
      <w:r w:rsidR="0053225A">
        <w:t>8,6</w:t>
      </w:r>
      <w:r w:rsidR="0032347E">
        <w:t> mld</w:t>
      </w:r>
      <w:r w:rsidR="0053225A">
        <w:t xml:space="preserve">. korun) </w:t>
      </w:r>
      <w:r w:rsidR="001C4AB9">
        <w:t>a </w:t>
      </w:r>
      <w:r w:rsidR="0053225A">
        <w:t>kapitálové transfery (</w:t>
      </w:r>
      <w:r w:rsidR="001A5270">
        <w:t>–</w:t>
      </w:r>
      <w:r w:rsidR="0053225A">
        <w:t>7,6</w:t>
      </w:r>
      <w:r w:rsidR="0032347E">
        <w:t> mld</w:t>
      </w:r>
      <w:r w:rsidR="0053225A">
        <w:t xml:space="preserve">.). Největší podíl na růstu výdajů měly </w:t>
      </w:r>
      <w:r w:rsidR="001C4AB9">
        <w:t>u </w:t>
      </w:r>
      <w:r w:rsidR="0053225A">
        <w:t>místních vládních institucí náhrady zaměstnancům (+30,0</w:t>
      </w:r>
      <w:r w:rsidR="0032347E">
        <w:t> mld</w:t>
      </w:r>
      <w:r w:rsidR="0053225A">
        <w:t xml:space="preserve">. korun). Výrazně klesly jejich výdaje na tvorbu hrubého kapitálu </w:t>
      </w:r>
      <w:r w:rsidR="001C4AB9">
        <w:t>a </w:t>
      </w:r>
      <w:r w:rsidR="0053225A">
        <w:t>pořízení nevyráběných aktiv (</w:t>
      </w:r>
      <w:r w:rsidR="001A5270">
        <w:t>–</w:t>
      </w:r>
      <w:r w:rsidR="0053225A">
        <w:t>7,2</w:t>
      </w:r>
      <w:r w:rsidR="0032347E">
        <w:t> mld</w:t>
      </w:r>
      <w:r w:rsidR="0053225A">
        <w:t>. korun).</w:t>
      </w:r>
    </w:p>
    <w:p w14:paraId="0B8DA90A" w14:textId="260953A5" w:rsidR="00354A44" w:rsidRPr="00BD40CD" w:rsidRDefault="00354A44" w:rsidP="00354A44">
      <w:pPr>
        <w:spacing w:after="240"/>
      </w:pPr>
      <w:r w:rsidRPr="00BD40CD">
        <w:t xml:space="preserve">Fondy sociálního zabezpečení (zdravotní pojišťovny) ve </w:t>
      </w:r>
      <w:r w:rsidR="0053225A">
        <w:t>4</w:t>
      </w:r>
      <w:r w:rsidRPr="00BD40CD">
        <w:t>.</w:t>
      </w:r>
      <w:r w:rsidR="003D21DB">
        <w:t> čtvrtlet</w:t>
      </w:r>
      <w:r w:rsidRPr="00BD40CD">
        <w:t>í 2021 hospodařily s</w:t>
      </w:r>
      <w:r w:rsidR="0053225A">
        <w:t> deficitem 10,0</w:t>
      </w:r>
      <w:r w:rsidR="003D21DB">
        <w:t> mld</w:t>
      </w:r>
      <w:r w:rsidRPr="00BD40CD">
        <w:t xml:space="preserve">. korun, což bylo meziročně </w:t>
      </w:r>
      <w:r w:rsidR="000F6E26" w:rsidRPr="00BD40CD">
        <w:t>o</w:t>
      </w:r>
      <w:r w:rsidR="000F6E26">
        <w:t> </w:t>
      </w:r>
      <w:r w:rsidR="0053225A">
        <w:t>0,7</w:t>
      </w:r>
      <w:r w:rsidR="0032347E">
        <w:t> mld</w:t>
      </w:r>
      <w:r w:rsidR="0053225A">
        <w:t>. více.</w:t>
      </w:r>
      <w:r w:rsidRPr="00BD40CD">
        <w:t xml:space="preserve"> </w:t>
      </w:r>
      <w:r w:rsidR="007338EE">
        <w:t xml:space="preserve">Jejich výdaje vzrostly </w:t>
      </w:r>
      <w:r w:rsidR="001C4AB9">
        <w:t>o </w:t>
      </w:r>
      <w:r w:rsidR="007338EE">
        <w:t>7,0</w:t>
      </w:r>
      <w:r w:rsidR="0032347E">
        <w:t> mld</w:t>
      </w:r>
      <w:r w:rsidR="007338EE">
        <w:t xml:space="preserve">. korun (6,3 %), zatímco příjmy byly vyšší </w:t>
      </w:r>
      <w:r w:rsidR="001C4AB9">
        <w:t>o </w:t>
      </w:r>
      <w:r w:rsidR="007338EE">
        <w:t>7,7</w:t>
      </w:r>
      <w:r w:rsidR="0032347E">
        <w:t> mld</w:t>
      </w:r>
      <w:r w:rsidR="007338EE">
        <w:t>. (7,6</w:t>
      </w:r>
      <w:r w:rsidR="0032347E">
        <w:t> %</w:t>
      </w:r>
      <w:r w:rsidR="007338EE">
        <w:t>). Růst příjmů podpořilo zejména navýšení přijatých sociálních příspěvků (+6,7</w:t>
      </w:r>
      <w:r w:rsidR="0032347E">
        <w:t> mld</w:t>
      </w:r>
      <w:r w:rsidR="007338EE">
        <w:t>. korun). Na straně výdajů narůstaly ostatní běžné transfery (+4,7</w:t>
      </w:r>
      <w:r w:rsidR="0032347E">
        <w:t> mld</w:t>
      </w:r>
      <w:r w:rsidR="007338EE">
        <w:t xml:space="preserve">. korun) </w:t>
      </w:r>
      <w:r w:rsidR="001C4AB9">
        <w:t>i </w:t>
      </w:r>
      <w:r w:rsidR="007338EE">
        <w:t xml:space="preserve">sociální dávky </w:t>
      </w:r>
      <w:r w:rsidR="001C4AB9">
        <w:t>a </w:t>
      </w:r>
      <w:r w:rsidR="007338EE">
        <w:t>naturální sociální transfery (+2,4</w:t>
      </w:r>
      <w:r w:rsidR="0032347E">
        <w:t> mld</w:t>
      </w:r>
      <w:r w:rsidR="007338EE">
        <w:t>.). Za celý rok 2021 skončily zdravotní pojišťovny v deficitu 9,0</w:t>
      </w:r>
      <w:r w:rsidR="0032347E">
        <w:t> mld</w:t>
      </w:r>
      <w:r w:rsidR="007338EE">
        <w:t xml:space="preserve">. korun, což byl meziročně </w:t>
      </w:r>
      <w:r w:rsidR="001C4AB9">
        <w:t>o </w:t>
      </w:r>
      <w:r w:rsidR="007338EE">
        <w:t>2,7</w:t>
      </w:r>
      <w:r w:rsidR="0032347E">
        <w:t> mld</w:t>
      </w:r>
      <w:r w:rsidR="007338EE">
        <w:t xml:space="preserve">. lepší výsledek. Růst jejich příjmů </w:t>
      </w:r>
      <w:r w:rsidR="001C4AB9">
        <w:t>o </w:t>
      </w:r>
      <w:r w:rsidR="007338EE">
        <w:t>48,7</w:t>
      </w:r>
      <w:r w:rsidR="0032347E">
        <w:t> mld</w:t>
      </w:r>
      <w:r w:rsidR="007338EE">
        <w:t>. korun (13,6</w:t>
      </w:r>
      <w:r w:rsidR="0032347E">
        <w:t> %</w:t>
      </w:r>
      <w:r w:rsidR="007338EE">
        <w:t>) nejvíce podpořily přijaté sociální příspěvky (+47,5</w:t>
      </w:r>
      <w:r w:rsidR="0032347E">
        <w:t> mld</w:t>
      </w:r>
      <w:r w:rsidR="007338EE">
        <w:t xml:space="preserve">.). Naopak za přírůstkem výdajů </w:t>
      </w:r>
      <w:r w:rsidR="001C4AB9">
        <w:t>o </w:t>
      </w:r>
      <w:r w:rsidR="007338EE">
        <w:t>46,0</w:t>
      </w:r>
      <w:r w:rsidR="0032347E">
        <w:t> mld</w:t>
      </w:r>
      <w:r w:rsidR="007338EE">
        <w:t>. korun (12,4</w:t>
      </w:r>
      <w:r w:rsidR="0032347E">
        <w:t> %</w:t>
      </w:r>
      <w:r w:rsidR="007338EE">
        <w:t>) podobnou měrou stály běžné transfery (+23,9</w:t>
      </w:r>
      <w:r w:rsidR="0032347E">
        <w:t> mld</w:t>
      </w:r>
      <w:r w:rsidR="007338EE">
        <w:t xml:space="preserve">.) </w:t>
      </w:r>
      <w:r w:rsidR="001C4AB9">
        <w:t>a </w:t>
      </w:r>
      <w:r w:rsidR="007338EE">
        <w:t xml:space="preserve">sociální dávky </w:t>
      </w:r>
      <w:r w:rsidR="001C4AB9">
        <w:t>a </w:t>
      </w:r>
      <w:r w:rsidR="007338EE">
        <w:t>naturální sociální transfery (+22,6</w:t>
      </w:r>
      <w:r w:rsidR="0032347E">
        <w:t> mld</w:t>
      </w:r>
      <w:r w:rsidR="007338EE">
        <w:t>.).</w:t>
      </w:r>
    </w:p>
    <w:p w14:paraId="5D7B9B9B" w14:textId="7FD6EAA4" w:rsidR="00263486" w:rsidRPr="00BD40CD" w:rsidRDefault="00170C0F" w:rsidP="00263486">
      <w:pPr>
        <w:spacing w:after="240"/>
      </w:pPr>
      <w:r w:rsidRPr="00BD40CD">
        <w:t>Dluh</w:t>
      </w:r>
      <w:r w:rsidR="00867807">
        <w:t xml:space="preserve"> sektoru vládních institucí ve 4</w:t>
      </w:r>
      <w:r w:rsidRPr="00BD40CD">
        <w:t>.</w:t>
      </w:r>
      <w:r w:rsidR="003D21DB">
        <w:t> čtvrtlet</w:t>
      </w:r>
      <w:r w:rsidRPr="00BD40CD">
        <w:t>í 2021 dosá</w:t>
      </w:r>
      <w:r w:rsidR="00756FB7" w:rsidRPr="00BD40CD">
        <w:t>hl 2</w:t>
      </w:r>
      <w:r w:rsidR="00867807">
        <w:t> 566,6</w:t>
      </w:r>
      <w:r w:rsidR="008C00A5" w:rsidRPr="00BD40CD">
        <w:t> mld.</w:t>
      </w:r>
      <w:r w:rsidR="00756FB7" w:rsidRPr="00BD40CD">
        <w:t xml:space="preserve"> korun</w:t>
      </w:r>
      <w:r w:rsidR="00756FB7" w:rsidRPr="00BD40CD">
        <w:rPr>
          <w:rStyle w:val="Znakapoznpodarou"/>
        </w:rPr>
        <w:footnoteReference w:id="12"/>
      </w:r>
      <w:r w:rsidR="00756FB7" w:rsidRPr="00BD40CD">
        <w:t xml:space="preserve">, což </w:t>
      </w:r>
      <w:r w:rsidR="00DA05BA" w:rsidRPr="00BD40CD">
        <w:t xml:space="preserve">bylo meziročně </w:t>
      </w:r>
      <w:r w:rsidR="000F6E26" w:rsidRPr="00BD40CD">
        <w:t>o</w:t>
      </w:r>
      <w:r w:rsidR="000F6E26">
        <w:t> </w:t>
      </w:r>
      <w:r w:rsidR="00867807">
        <w:t>417,3</w:t>
      </w:r>
      <w:r w:rsidR="0032347E">
        <w:t> mld</w:t>
      </w:r>
      <w:r w:rsidR="00DA05BA" w:rsidRPr="00BD40CD">
        <w:t xml:space="preserve">. korun více. </w:t>
      </w:r>
      <w:r w:rsidR="00867807">
        <w:t>Míra zadlužení vládních institucí dosáhla 41,9</w:t>
      </w:r>
      <w:r w:rsidR="0032347E">
        <w:t> %</w:t>
      </w:r>
      <w:r w:rsidR="00867807">
        <w:t xml:space="preserve"> HDP, což představovalo meziroční nárůst </w:t>
      </w:r>
      <w:r w:rsidR="001C4AB9">
        <w:t>o </w:t>
      </w:r>
      <w:r w:rsidR="00867807">
        <w:t>4,2</w:t>
      </w:r>
      <w:r w:rsidR="0032347E">
        <w:t> p. b.</w:t>
      </w:r>
      <w:r w:rsidR="00867807">
        <w:t xml:space="preserve"> </w:t>
      </w:r>
      <w:r w:rsidR="006B3399">
        <w:t>Proti zvýšení míry zadlužení přitom působil vývoj HDP (</w:t>
      </w:r>
      <w:r w:rsidR="001A5270">
        <w:t>–</w:t>
      </w:r>
      <w:r w:rsidR="006B3399">
        <w:t>2,6</w:t>
      </w:r>
      <w:r w:rsidR="0032347E">
        <w:t> p. b.</w:t>
      </w:r>
      <w:r w:rsidR="006B3399">
        <w:t>), zatímco nominální dluh přispěl 6,8</w:t>
      </w:r>
      <w:r w:rsidR="0032347E">
        <w:t> p. b.</w:t>
      </w:r>
      <w:r w:rsidR="006B3399">
        <w:t xml:space="preserve"> </w:t>
      </w:r>
      <w:r w:rsidR="00EF3B9E">
        <w:t>Meziroční n</w:t>
      </w:r>
      <w:r w:rsidR="00867807">
        <w:t xml:space="preserve">avýšení dluhu probíhalo zejména </w:t>
      </w:r>
      <w:r w:rsidR="00867807">
        <w:lastRenderedPageBreak/>
        <w:t>prostřednictvím dluhových cen</w:t>
      </w:r>
      <w:r w:rsidR="00DA05BA" w:rsidRPr="00BD40CD">
        <w:t>ných papírů (+</w:t>
      </w:r>
      <w:r w:rsidR="00867807">
        <w:t>346,1</w:t>
      </w:r>
      <w:r w:rsidR="00DA05BA" w:rsidRPr="00BD40CD">
        <w:t> mld. korun).</w:t>
      </w:r>
      <w:r w:rsidR="00BF029D" w:rsidRPr="00BD40CD">
        <w:t xml:space="preserve"> Z toho se objem dlouhodobých dluhopisů meziročně zvýšil </w:t>
      </w:r>
      <w:r w:rsidR="000F6E26" w:rsidRPr="00BD40CD">
        <w:t>o</w:t>
      </w:r>
      <w:r w:rsidR="000F6E26">
        <w:t> </w:t>
      </w:r>
      <w:r w:rsidR="00867807">
        <w:t>336,7</w:t>
      </w:r>
      <w:r w:rsidR="0032347E">
        <w:t> mld</w:t>
      </w:r>
      <w:r w:rsidR="00BF029D" w:rsidRPr="00BD40CD">
        <w:t>. korun</w:t>
      </w:r>
      <w:r w:rsidR="00867807">
        <w:t xml:space="preserve">, zatímco ty krátkodobé </w:t>
      </w:r>
      <w:r w:rsidR="00EF3B9E">
        <w:t xml:space="preserve">vzrostly </w:t>
      </w:r>
      <w:r w:rsidR="001C4AB9">
        <w:t>o </w:t>
      </w:r>
      <w:r w:rsidR="00867807">
        <w:t>9,4</w:t>
      </w:r>
      <w:r w:rsidR="0032347E">
        <w:t> mld</w:t>
      </w:r>
      <w:r w:rsidR="00867807">
        <w:t>.</w:t>
      </w:r>
      <w:r w:rsidR="00943AD2" w:rsidRPr="00BD40CD">
        <w:t xml:space="preserve"> O</w:t>
      </w:r>
      <w:r w:rsidR="00263486" w:rsidRPr="00BD40CD">
        <w:t>bjem půjček</w:t>
      </w:r>
      <w:r w:rsidR="00A10F29" w:rsidRPr="00BD40CD">
        <w:t xml:space="preserve"> byl meziročně vyšší </w:t>
      </w:r>
      <w:r w:rsidR="008C00A5" w:rsidRPr="00BD40CD">
        <w:t>o </w:t>
      </w:r>
      <w:r w:rsidR="00867807">
        <w:t>66,0</w:t>
      </w:r>
      <w:r w:rsidR="0032347E">
        <w:t> mld</w:t>
      </w:r>
      <w:r w:rsidR="008C00A5" w:rsidRPr="00BD40CD">
        <w:t>.</w:t>
      </w:r>
      <w:r w:rsidR="00A10F29" w:rsidRPr="00BD40CD">
        <w:t xml:space="preserve"> korun</w:t>
      </w:r>
      <w:r w:rsidR="00355C29">
        <w:t>, z</w:t>
      </w:r>
      <w:r w:rsidR="00A10F29" w:rsidRPr="00BD40CD">
        <w:t> </w:t>
      </w:r>
      <w:r w:rsidR="00263486" w:rsidRPr="00BD40CD">
        <w:t>toho</w:t>
      </w:r>
      <w:r w:rsidR="00A10F29" w:rsidRPr="00BD40CD">
        <w:t xml:space="preserve"> většinu tvořily </w:t>
      </w:r>
      <w:r w:rsidR="00263486" w:rsidRPr="00BD40CD">
        <w:t xml:space="preserve">dlouhodobé </w:t>
      </w:r>
      <w:r w:rsidR="00A10F29" w:rsidRPr="00BD40CD">
        <w:t xml:space="preserve">půjčky, kterých přibylo </w:t>
      </w:r>
      <w:r w:rsidR="001C3B2C" w:rsidRPr="00BD40CD">
        <w:t>o </w:t>
      </w:r>
      <w:r w:rsidR="00867807">
        <w:t>50,2</w:t>
      </w:r>
      <w:r w:rsidR="00263486" w:rsidRPr="00BD40CD">
        <w:t> mld.</w:t>
      </w:r>
    </w:p>
    <w:p w14:paraId="009C422D" w14:textId="152D65D5" w:rsidR="00C65FAA" w:rsidRPr="00BD40CD" w:rsidRDefault="00C65FAA" w:rsidP="000302A6">
      <w:pPr>
        <w:pStyle w:val="TabulkaGraf"/>
        <w:spacing w:after="120"/>
      </w:pPr>
      <w:r w:rsidRPr="00BD40CD">
        <w:t>G</w:t>
      </w:r>
      <w:r w:rsidR="002E6F00" w:rsidRPr="00BD40CD">
        <w:t>raf </w:t>
      </w:r>
      <w:r w:rsidRPr="00BD40CD">
        <w:t xml:space="preserve">4: Dluh sektoru vládních institucí </w:t>
      </w:r>
      <w:r w:rsidR="00F03815" w:rsidRPr="00BD40CD">
        <w:t>a </w:t>
      </w:r>
      <w:r w:rsidRPr="00BD40CD">
        <w:t>jeho struktura (meziroční změna v mld. korun)</w:t>
      </w:r>
    </w:p>
    <w:p w14:paraId="05A35859" w14:textId="18B7687B" w:rsidR="00656A12" w:rsidRPr="00BD40CD" w:rsidRDefault="00867807" w:rsidP="000302A6">
      <w:pPr>
        <w:spacing w:after="120"/>
        <w:jc w:val="center"/>
      </w:pPr>
      <w:r>
        <w:rPr>
          <w:noProof/>
          <w:lang w:eastAsia="cs-CZ"/>
        </w:rPr>
        <w:drawing>
          <wp:inline distT="0" distB="0" distL="0" distR="0" wp14:anchorId="755B86A8" wp14:editId="553A80D7">
            <wp:extent cx="4743950" cy="3060000"/>
            <wp:effectExtent l="0" t="0" r="0" b="7620"/>
            <wp:docPr id="22" name="Graf 2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68107F2" w14:textId="77777777" w:rsidR="00941335" w:rsidRPr="00BD40CD" w:rsidRDefault="00941335" w:rsidP="000302A6">
      <w:pPr>
        <w:spacing w:after="120"/>
      </w:pPr>
      <w:r w:rsidRPr="00BD40CD">
        <w:t>Zdroj: ČSÚ, národní účty</w:t>
      </w:r>
    </w:p>
    <w:p w14:paraId="7F1AAFC6" w14:textId="7A88DC1A" w:rsidR="00F50CEF" w:rsidRPr="00BD40CD" w:rsidRDefault="00F50CEF" w:rsidP="000302A6">
      <w:pPr>
        <w:pStyle w:val="Nadpis1"/>
        <w:spacing w:after="120"/>
      </w:pPr>
      <w:r w:rsidRPr="00BD40CD">
        <w:t>Domácnosti</w:t>
      </w:r>
    </w:p>
    <w:p w14:paraId="5CD4BC56" w14:textId="6EF81E60" w:rsidR="00956495" w:rsidRDefault="0078586F" w:rsidP="00BE206D">
      <w:pPr>
        <w:spacing w:after="120"/>
      </w:pPr>
      <w:r>
        <w:t xml:space="preserve">Hrubý disponibilní důchod </w:t>
      </w:r>
      <w:r w:rsidR="00174EEE">
        <w:t xml:space="preserve">(HDD) </w:t>
      </w:r>
      <w:r>
        <w:t>domácností ve 4.</w:t>
      </w:r>
      <w:r w:rsidR="0032347E">
        <w:t> čtvrtlet</w:t>
      </w:r>
      <w:r>
        <w:t>í 2021 dosáhl 900,5</w:t>
      </w:r>
      <w:r w:rsidR="0032347E">
        <w:t> mld</w:t>
      </w:r>
      <w:r>
        <w:t xml:space="preserve">. korun </w:t>
      </w:r>
      <w:r w:rsidR="001C4AB9">
        <w:t>a </w:t>
      </w:r>
      <w:r>
        <w:t xml:space="preserve">meziročně se zvýšil </w:t>
      </w:r>
      <w:r w:rsidR="001C4AB9">
        <w:t>o </w:t>
      </w:r>
      <w:r>
        <w:t>47,0</w:t>
      </w:r>
      <w:r w:rsidR="0032347E">
        <w:t> mld</w:t>
      </w:r>
      <w:r>
        <w:t>. (5,5</w:t>
      </w:r>
      <w:r w:rsidR="0032347E">
        <w:t> %</w:t>
      </w:r>
      <w:r>
        <w:t>). Pokračovala tak solidní dynamika nominálního růstu příjmů domácností. S výjimkou 2.</w:t>
      </w:r>
      <w:r w:rsidR="0032347E">
        <w:t> čtvrtlet</w:t>
      </w:r>
      <w:r>
        <w:t>í 2020 neklesl meziroční přírůstek HDD domácností pod 5% úroveň celých pět let. Posilující růst cen ale loni z kupní síly domácností stále výrazněji ukrajoval, takže reálný meziroční přírůstek HDD ve 4.</w:t>
      </w:r>
      <w:r w:rsidR="0032347E">
        <w:t> čtvrtlet</w:t>
      </w:r>
      <w:r>
        <w:t>í dosáhl jen 0,7</w:t>
      </w:r>
      <w:r w:rsidR="0032347E">
        <w:t> %</w:t>
      </w:r>
      <w:r w:rsidR="00487978" w:rsidRPr="00BD40CD">
        <w:rPr>
          <w:rStyle w:val="Znakapoznpodarou"/>
        </w:rPr>
        <w:footnoteReference w:id="13"/>
      </w:r>
      <w:r>
        <w:t>, což bylo nejméně od konce roku 2013.</w:t>
      </w:r>
      <w:r w:rsidR="00DE4D6D">
        <w:t xml:space="preserve"> Sezónně očištěný HDD domácností se ve 4.</w:t>
      </w:r>
      <w:r w:rsidR="0032347E">
        <w:t> kvartál</w:t>
      </w:r>
      <w:r w:rsidR="00DE4D6D">
        <w:t xml:space="preserve">u mezičtvrtletně zvýšil </w:t>
      </w:r>
      <w:r w:rsidR="001C4AB9">
        <w:t>o </w:t>
      </w:r>
      <w:r w:rsidR="00DE4D6D">
        <w:t xml:space="preserve">4,5 mld. korun. Za celý rok 2021 se hrubý disponibilní důchod domácností zvýšil </w:t>
      </w:r>
      <w:r w:rsidR="001C4AB9">
        <w:t>o </w:t>
      </w:r>
      <w:r w:rsidR="00DE4D6D">
        <w:t>198,1</w:t>
      </w:r>
      <w:r w:rsidR="0032347E">
        <w:t> mld</w:t>
      </w:r>
      <w:r w:rsidR="00DE4D6D">
        <w:t>. korun (6,2</w:t>
      </w:r>
      <w:r w:rsidR="0032347E">
        <w:t> %</w:t>
      </w:r>
      <w:r w:rsidR="00DE4D6D">
        <w:t>) na 3 391,0</w:t>
      </w:r>
      <w:r w:rsidR="0032347E">
        <w:t> mld</w:t>
      </w:r>
      <w:r w:rsidR="00DE4D6D">
        <w:t xml:space="preserve">. Po očištění </w:t>
      </w:r>
      <w:r w:rsidR="001C4AB9">
        <w:t>o </w:t>
      </w:r>
      <w:r w:rsidR="00DE4D6D">
        <w:t>cenové vlivy reálný přírůstek HDD loni dosáhl 3,1</w:t>
      </w:r>
      <w:r w:rsidR="0032347E">
        <w:t> %</w:t>
      </w:r>
      <w:r w:rsidR="00DE4D6D">
        <w:t>.</w:t>
      </w:r>
    </w:p>
    <w:p w14:paraId="622BDB6B" w14:textId="36913998" w:rsidR="00EB630F" w:rsidRDefault="00ED055F" w:rsidP="00BE206D">
      <w:pPr>
        <w:spacing w:after="120"/>
      </w:pPr>
      <w:r>
        <w:t>Domácnostem ve 4.</w:t>
      </w:r>
      <w:r w:rsidR="0032347E">
        <w:t> čtvrtlet</w:t>
      </w:r>
      <w:r>
        <w:t>í náleželo 577,6</w:t>
      </w:r>
      <w:r w:rsidR="0032347E">
        <w:t> mld</w:t>
      </w:r>
      <w:r>
        <w:t xml:space="preserve">. korun ve formě mezd </w:t>
      </w:r>
      <w:r w:rsidR="001C4AB9">
        <w:t>a </w:t>
      </w:r>
      <w:r>
        <w:t>platů.</w:t>
      </w:r>
      <w:r w:rsidR="0050756B">
        <w:t xml:space="preserve"> Meziročně se jejich objem nominálně zvýšil </w:t>
      </w:r>
      <w:r w:rsidR="001C4AB9">
        <w:t>o </w:t>
      </w:r>
      <w:r w:rsidR="0050756B">
        <w:t>36,1</w:t>
      </w:r>
      <w:r w:rsidR="0032347E">
        <w:t> mld</w:t>
      </w:r>
      <w:r w:rsidR="0050756B">
        <w:t>. korun (6,7</w:t>
      </w:r>
      <w:r w:rsidR="0032347E">
        <w:t> %</w:t>
      </w:r>
      <w:r w:rsidR="0050756B">
        <w:t xml:space="preserve">) </w:t>
      </w:r>
      <w:r w:rsidR="001C4AB9">
        <w:t>a </w:t>
      </w:r>
      <w:r w:rsidR="0050756B">
        <w:t xml:space="preserve">reálně </w:t>
      </w:r>
      <w:r w:rsidR="001C4AB9">
        <w:t>o </w:t>
      </w:r>
      <w:r w:rsidR="0050756B">
        <w:t>1,8</w:t>
      </w:r>
      <w:r w:rsidR="0032347E">
        <w:t> %</w:t>
      </w:r>
      <w:r w:rsidR="0050756B">
        <w:t>. Sociální příspěvky zaměstnavatelů ale meziročně mírně klesly (</w:t>
      </w:r>
      <w:r w:rsidR="001A5270">
        <w:t>–</w:t>
      </w:r>
      <w:r w:rsidR="0050756B">
        <w:t>0,8</w:t>
      </w:r>
      <w:r w:rsidR="0032347E">
        <w:t> mld</w:t>
      </w:r>
      <w:r w:rsidR="0050756B">
        <w:t xml:space="preserve">. korun, </w:t>
      </w:r>
      <w:r w:rsidR="001A5270">
        <w:t>–</w:t>
      </w:r>
      <w:r w:rsidR="0050756B">
        <w:t>0,4</w:t>
      </w:r>
      <w:r w:rsidR="0032347E">
        <w:t> %</w:t>
      </w:r>
      <w:r w:rsidR="0050756B">
        <w:t xml:space="preserve">), což je dáno vysokou srovnávací základnou konce roku 2020, kdy právě do sociálních příspěvků zaměstnavatelů účetně patřily prostředky z tehdy fungujících vládních programů podpory zaměstnanosti. Za celý </w:t>
      </w:r>
      <w:r w:rsidR="0050756B">
        <w:lastRenderedPageBreak/>
        <w:t xml:space="preserve">rok 2021 mzdy </w:t>
      </w:r>
      <w:r w:rsidR="001C4AB9">
        <w:t>a </w:t>
      </w:r>
      <w:r w:rsidR="0050756B">
        <w:t>platy domácností dosáhly 2 136,2</w:t>
      </w:r>
      <w:r w:rsidR="0032347E">
        <w:t> mld</w:t>
      </w:r>
      <w:r w:rsidR="0050756B">
        <w:t xml:space="preserve">. korun </w:t>
      </w:r>
      <w:r w:rsidR="001C4AB9">
        <w:t>a </w:t>
      </w:r>
      <w:r w:rsidR="0050756B">
        <w:t xml:space="preserve">meziročně se zvýšily </w:t>
      </w:r>
      <w:r w:rsidR="001C4AB9">
        <w:t>o </w:t>
      </w:r>
      <w:r w:rsidR="0050756B">
        <w:t>123,5</w:t>
      </w:r>
      <w:r w:rsidR="00CB088B">
        <w:t> </w:t>
      </w:r>
      <w:r w:rsidR="0050756B">
        <w:t>mld. (</w:t>
      </w:r>
      <w:r w:rsidR="00CB088B">
        <w:t>6,1</w:t>
      </w:r>
      <w:r w:rsidR="0032347E">
        <w:t> %</w:t>
      </w:r>
      <w:r w:rsidR="0050756B">
        <w:t>)</w:t>
      </w:r>
      <w:r w:rsidR="00CB088B">
        <w:t>. Jejich reálný přírůstek dosáhl 3,0</w:t>
      </w:r>
      <w:r w:rsidR="0032347E">
        <w:t> %</w:t>
      </w:r>
      <w:r w:rsidR="00CB088B">
        <w:t>.</w:t>
      </w:r>
    </w:p>
    <w:p w14:paraId="1E1E1DE4" w14:textId="4C5804C3" w:rsidR="00887972" w:rsidRDefault="0029071A" w:rsidP="00BE206D">
      <w:pPr>
        <w:spacing w:after="120"/>
      </w:pPr>
      <w:r w:rsidRPr="00BD40CD">
        <w:t>Hrubý smíšený důchod</w:t>
      </w:r>
      <w:r w:rsidR="00A15BC6" w:rsidRPr="00BD40CD">
        <w:rPr>
          <w:rStyle w:val="Znakapoznpodarou"/>
        </w:rPr>
        <w:footnoteReference w:id="14"/>
      </w:r>
      <w:r w:rsidRPr="00BD40CD">
        <w:t xml:space="preserve"> podnikatelů zařazených do sektoru domácností ve </w:t>
      </w:r>
      <w:r w:rsidR="005D7869">
        <w:t>4</w:t>
      </w:r>
      <w:r w:rsidRPr="00BD40CD">
        <w:t>.</w:t>
      </w:r>
      <w:r w:rsidR="003D21DB">
        <w:t> čtvrtlet</w:t>
      </w:r>
      <w:r w:rsidRPr="00BD40CD">
        <w:t xml:space="preserve">í dosáhl </w:t>
      </w:r>
      <w:r w:rsidR="005D7869">
        <w:t>168,9</w:t>
      </w:r>
      <w:r w:rsidR="003D21DB">
        <w:t> mld</w:t>
      </w:r>
      <w:r w:rsidRPr="00BD40CD">
        <w:t xml:space="preserve">. korun, což bylo meziročně </w:t>
      </w:r>
      <w:r w:rsidR="000F6E26" w:rsidRPr="00BD40CD">
        <w:t>o</w:t>
      </w:r>
      <w:r w:rsidR="000F6E26">
        <w:t> </w:t>
      </w:r>
      <w:r w:rsidR="005D7869">
        <w:t>23,4</w:t>
      </w:r>
      <w:r w:rsidR="003D21DB">
        <w:t> mld</w:t>
      </w:r>
      <w:r w:rsidRPr="00BD40CD">
        <w:t>. více.</w:t>
      </w:r>
      <w:r w:rsidR="009A5C79" w:rsidRPr="00BD40CD">
        <w:t xml:space="preserve"> Mezičtvrtletně</w:t>
      </w:r>
      <w:r w:rsidR="005D7869">
        <w:t xml:space="preserve"> byl</w:t>
      </w:r>
      <w:r w:rsidR="009A5C79" w:rsidRPr="00BD40CD">
        <w:t xml:space="preserve"> hrubý smíšený důchod </w:t>
      </w:r>
      <w:r w:rsidR="005D7869">
        <w:t xml:space="preserve">vyšší </w:t>
      </w:r>
      <w:r w:rsidR="001C4AB9">
        <w:t>o </w:t>
      </w:r>
      <w:r w:rsidR="005D7869">
        <w:t>3,4</w:t>
      </w:r>
      <w:r w:rsidR="0032347E">
        <w:t> mld</w:t>
      </w:r>
      <w:r w:rsidR="005D7869">
        <w:t>. korun</w:t>
      </w:r>
      <w:r w:rsidR="009A5C79" w:rsidRPr="00BD40CD">
        <w:t xml:space="preserve"> (sezónně očištěno).</w:t>
      </w:r>
      <w:r w:rsidR="00434936" w:rsidRPr="00BD40CD">
        <w:t xml:space="preserve"> Hrubý provozní přebytek</w:t>
      </w:r>
      <w:r w:rsidR="00F12768" w:rsidRPr="00BD40CD">
        <w:rPr>
          <w:rStyle w:val="Znakapoznpodarou"/>
        </w:rPr>
        <w:footnoteReference w:id="15"/>
      </w:r>
      <w:r w:rsidR="00434936" w:rsidRPr="00BD40CD">
        <w:t xml:space="preserve"> dosáhl 82,</w:t>
      </w:r>
      <w:r w:rsidR="005D7869">
        <w:t>4</w:t>
      </w:r>
      <w:r w:rsidR="003D21DB">
        <w:t> mld</w:t>
      </w:r>
      <w:r w:rsidR="00434936" w:rsidRPr="00BD40CD">
        <w:t xml:space="preserve">. korun </w:t>
      </w:r>
      <w:r w:rsidR="000F6E26" w:rsidRPr="00BD40CD">
        <w:t>a</w:t>
      </w:r>
      <w:r w:rsidR="000F6E26">
        <w:t> </w:t>
      </w:r>
      <w:r w:rsidR="00434936" w:rsidRPr="00BD40CD">
        <w:t xml:space="preserve">meziročně vzrostl </w:t>
      </w:r>
      <w:r w:rsidR="000F6E26" w:rsidRPr="00BD40CD">
        <w:t>o</w:t>
      </w:r>
      <w:r w:rsidR="000F6E26">
        <w:t> </w:t>
      </w:r>
      <w:r w:rsidR="005D7869">
        <w:t>2,9</w:t>
      </w:r>
      <w:r w:rsidR="003D21DB">
        <w:t> mld</w:t>
      </w:r>
      <w:r w:rsidR="00434936" w:rsidRPr="00BD40CD">
        <w:t>.</w:t>
      </w:r>
      <w:r w:rsidR="00120DF6" w:rsidRPr="00BD40CD">
        <w:t xml:space="preserve"> </w:t>
      </w:r>
      <w:r w:rsidR="005D7869">
        <w:t xml:space="preserve">Za celý rok 2021 se hrubý smíšený důchod zvýšil </w:t>
      </w:r>
      <w:r w:rsidR="001C4AB9">
        <w:t>o </w:t>
      </w:r>
      <w:r w:rsidR="00C7537C">
        <w:t>60,5</w:t>
      </w:r>
      <w:r w:rsidR="0032347E">
        <w:t> mld</w:t>
      </w:r>
      <w:r w:rsidR="00C7537C">
        <w:t xml:space="preserve">. korun, překonal propad z roku 2020 </w:t>
      </w:r>
      <w:r w:rsidR="001C4AB9">
        <w:t>a </w:t>
      </w:r>
      <w:r w:rsidR="00C7537C">
        <w:t xml:space="preserve">převýšil úroveň předkrizového roku 2019. Hrubý provozní přebytek byl loni vyšší </w:t>
      </w:r>
      <w:r w:rsidR="001C4AB9">
        <w:t>o </w:t>
      </w:r>
      <w:r w:rsidR="00C7537C">
        <w:t>17,8</w:t>
      </w:r>
      <w:r w:rsidR="0032347E">
        <w:t> mld</w:t>
      </w:r>
      <w:r w:rsidR="00C7537C">
        <w:t>.</w:t>
      </w:r>
      <w:r w:rsidR="00887972">
        <w:t xml:space="preserve"> </w:t>
      </w:r>
      <w:r w:rsidR="00045A7A">
        <w:t>S</w:t>
      </w:r>
      <w:r w:rsidR="00120DF6" w:rsidRPr="00BD40CD">
        <w:t xml:space="preserve">aldo důchodů z vlastnictví ve </w:t>
      </w:r>
      <w:r w:rsidR="00887972">
        <w:t>4</w:t>
      </w:r>
      <w:r w:rsidR="00120DF6" w:rsidRPr="00BD40CD">
        <w:t>.</w:t>
      </w:r>
      <w:r w:rsidR="003D21DB">
        <w:t> čtvrtlet</w:t>
      </w:r>
      <w:r w:rsidR="00120DF6" w:rsidRPr="00BD40CD">
        <w:t xml:space="preserve">í dosáhlo </w:t>
      </w:r>
      <w:r w:rsidR="00045A7A">
        <w:t xml:space="preserve">přebytku </w:t>
      </w:r>
      <w:r w:rsidR="00120DF6" w:rsidRPr="00BD40CD">
        <w:t>34,</w:t>
      </w:r>
      <w:r w:rsidR="00045A7A">
        <w:t>0</w:t>
      </w:r>
      <w:r w:rsidR="003D21DB">
        <w:t> mld</w:t>
      </w:r>
      <w:r w:rsidR="00120DF6" w:rsidRPr="00BD40CD">
        <w:t xml:space="preserve">. korun </w:t>
      </w:r>
      <w:r w:rsidR="000F6E26" w:rsidRPr="00BD40CD">
        <w:t>a</w:t>
      </w:r>
      <w:r w:rsidR="000F6E26">
        <w:t> </w:t>
      </w:r>
      <w:r w:rsidR="00120DF6" w:rsidRPr="00BD40CD">
        <w:t>meziročně</w:t>
      </w:r>
      <w:r w:rsidR="00045A7A">
        <w:t xml:space="preserve"> kleslo </w:t>
      </w:r>
      <w:r w:rsidR="001C4AB9">
        <w:t>o </w:t>
      </w:r>
      <w:r w:rsidR="00045A7A">
        <w:t>8,6</w:t>
      </w:r>
      <w:r w:rsidR="0032347E">
        <w:t> mld</w:t>
      </w:r>
      <w:r w:rsidR="00045A7A">
        <w:t xml:space="preserve">. </w:t>
      </w:r>
      <w:r w:rsidR="00887972">
        <w:t>Oproti stejnému období roku 2020 se snížily zejména reinvestované zisky z</w:t>
      </w:r>
      <w:r w:rsidR="007326B5" w:rsidRPr="00BD40CD">
        <w:t> přímých zahraničních investic</w:t>
      </w:r>
      <w:r w:rsidR="00887972">
        <w:t xml:space="preserve"> (</w:t>
      </w:r>
      <w:r w:rsidR="001A5270">
        <w:t>–</w:t>
      </w:r>
      <w:r w:rsidR="00887972">
        <w:t>7,9</w:t>
      </w:r>
      <w:r w:rsidR="0032347E">
        <w:t> mld</w:t>
      </w:r>
      <w:r w:rsidR="00887972">
        <w:t>. korun)</w:t>
      </w:r>
      <w:r w:rsidR="007326B5" w:rsidRPr="00BD40CD">
        <w:t>.</w:t>
      </w:r>
      <w:r w:rsidR="00F068AE" w:rsidRPr="00BD40CD">
        <w:t xml:space="preserve"> </w:t>
      </w:r>
      <w:r w:rsidR="00887972">
        <w:t xml:space="preserve">Mírně </w:t>
      </w:r>
      <w:r w:rsidR="00F068AE" w:rsidRPr="00BD40CD">
        <w:t>rostl objem úroků náležejících domácnostem.</w:t>
      </w:r>
      <w:r w:rsidR="00887972">
        <w:t xml:space="preserve"> V roce 2021 celkově kladné saldo důchodů z vlastnictví kleslo </w:t>
      </w:r>
      <w:r w:rsidR="001C4AB9">
        <w:t>o </w:t>
      </w:r>
      <w:r w:rsidR="00887972">
        <w:t>7,4</w:t>
      </w:r>
      <w:r w:rsidR="0032347E">
        <w:t> mld</w:t>
      </w:r>
      <w:r w:rsidR="00887972">
        <w:t>. korun na 144,9</w:t>
      </w:r>
      <w:r w:rsidR="0032347E">
        <w:t> mld</w:t>
      </w:r>
      <w:r w:rsidR="00887972">
        <w:t>. Opět za tím stály zejména klesající reinvestice.</w:t>
      </w:r>
    </w:p>
    <w:p w14:paraId="5316EEBE" w14:textId="5C29CC1C" w:rsidR="008354B4" w:rsidRDefault="00887972" w:rsidP="007D5951">
      <w:pPr>
        <w:spacing w:after="120"/>
      </w:pPr>
      <w:r>
        <w:t>Saldo sociálních důchodů ve 4.</w:t>
      </w:r>
      <w:r w:rsidR="0032347E">
        <w:t> čtvrtlet</w:t>
      </w:r>
      <w:r>
        <w:t>í 2021 dosáhlo přebytku 103,5</w:t>
      </w:r>
      <w:r w:rsidR="0032347E">
        <w:t> mld</w:t>
      </w:r>
      <w:r>
        <w:t xml:space="preserve">. korun. Kladné saldo bylo meziročně nižší </w:t>
      </w:r>
      <w:r w:rsidR="001C4AB9">
        <w:t>o </w:t>
      </w:r>
      <w:r>
        <w:t>22,0</w:t>
      </w:r>
      <w:r w:rsidR="0032347E">
        <w:t> mld</w:t>
      </w:r>
      <w:r>
        <w:t>. korun, ale nadále zůstával</w:t>
      </w:r>
      <w:r w:rsidR="00707951">
        <w:t>o výrazně</w:t>
      </w:r>
      <w:r>
        <w:t xml:space="preserve"> nad úrovní, kterou mělo před rokem 2020</w:t>
      </w:r>
      <w:r w:rsidR="00707951">
        <w:rPr>
          <w:rStyle w:val="Znakapoznpodarou"/>
        </w:rPr>
        <w:footnoteReference w:id="16"/>
      </w:r>
      <w:r>
        <w:t>.</w:t>
      </w:r>
      <w:r w:rsidR="00FD6B25">
        <w:t xml:space="preserve"> Sociální dávky, které domácnosti obdržely, meziročně klesly </w:t>
      </w:r>
      <w:r w:rsidR="001C4AB9">
        <w:t>o </w:t>
      </w:r>
      <w:r w:rsidR="00FD6B25">
        <w:t>13,4</w:t>
      </w:r>
      <w:r w:rsidR="0032347E">
        <w:t> mld</w:t>
      </w:r>
      <w:r w:rsidR="00FD6B25">
        <w:t>. korun na 219,9</w:t>
      </w:r>
      <w:r w:rsidR="0032347E">
        <w:t> mld</w:t>
      </w:r>
      <w:r w:rsidR="00FD6B25">
        <w:t xml:space="preserve">., zatímco sociální příspěvky, které odvedly, byly vyšší </w:t>
      </w:r>
      <w:r w:rsidR="001C4AB9">
        <w:t>o </w:t>
      </w:r>
      <w:r w:rsidR="00FD6B25">
        <w:t>8,7</w:t>
      </w:r>
      <w:r w:rsidR="0032347E">
        <w:t> mld</w:t>
      </w:r>
      <w:r w:rsidR="00FD6B25">
        <w:t xml:space="preserve">. </w:t>
      </w:r>
      <w:r w:rsidR="001C4AB9">
        <w:t>a </w:t>
      </w:r>
      <w:r w:rsidR="00FD6B25">
        <w:t>dosáhly 116,3</w:t>
      </w:r>
      <w:r w:rsidR="0032347E">
        <w:t> mld</w:t>
      </w:r>
      <w:r w:rsidR="00FD6B25">
        <w:t xml:space="preserve">. Saldo ostatních transferů bylo kladné </w:t>
      </w:r>
      <w:r w:rsidR="001C4AB9">
        <w:t>a </w:t>
      </w:r>
      <w:r w:rsidR="00FD6B25">
        <w:t>činilo 5,2</w:t>
      </w:r>
      <w:r w:rsidR="0032347E">
        <w:t> mld</w:t>
      </w:r>
      <w:r w:rsidR="00FD6B25">
        <w:t xml:space="preserve">. korun, což bylo meziročně </w:t>
      </w:r>
      <w:r w:rsidR="001C4AB9">
        <w:t>o </w:t>
      </w:r>
      <w:r w:rsidR="00FD6B25">
        <w:t>0,9</w:t>
      </w:r>
      <w:r w:rsidR="001A5270">
        <w:t> </w:t>
      </w:r>
      <w:r w:rsidR="00FD6B25">
        <w:t>mld. méně. Domácnosti odvedly ve 4.</w:t>
      </w:r>
      <w:r w:rsidR="0032347E">
        <w:t> čtvrtlet</w:t>
      </w:r>
      <w:r w:rsidR="00FD6B25">
        <w:t>í 71,0</w:t>
      </w:r>
      <w:r w:rsidR="0032347E">
        <w:t> mld</w:t>
      </w:r>
      <w:r w:rsidR="00FD6B25">
        <w:t xml:space="preserve">. korun ve formě běžných daní z důchodů </w:t>
      </w:r>
      <w:r w:rsidR="001C4AB9">
        <w:t>a </w:t>
      </w:r>
      <w:r w:rsidR="00FD6B25">
        <w:t xml:space="preserve">jmění. Meziročně to bylo méně </w:t>
      </w:r>
      <w:r w:rsidR="001C4AB9">
        <w:t>o </w:t>
      </w:r>
      <w:r w:rsidR="00FD6B25">
        <w:t>15,1</w:t>
      </w:r>
      <w:r w:rsidR="0032347E">
        <w:t> mld</w:t>
      </w:r>
      <w:r w:rsidR="00FD6B25">
        <w:t>.</w:t>
      </w:r>
      <w:r w:rsidR="007D5951">
        <w:t xml:space="preserve"> korun. </w:t>
      </w:r>
      <w:r w:rsidR="007D5951" w:rsidRPr="00BD40CD">
        <w:t>Ve srovnání se stejným obdobím minulých let objem běžných daní zaostáv</w:t>
      </w:r>
      <w:r w:rsidR="007D5951">
        <w:t>al</w:t>
      </w:r>
      <w:r w:rsidR="007D5951" w:rsidRPr="00BD40CD">
        <w:t xml:space="preserve"> i</w:t>
      </w:r>
      <w:r w:rsidR="007D5951">
        <w:t> </w:t>
      </w:r>
      <w:r w:rsidR="007D5951" w:rsidRPr="00BD40CD">
        <w:t xml:space="preserve">za lety 2019 </w:t>
      </w:r>
      <w:r w:rsidR="007D5951">
        <w:t>a </w:t>
      </w:r>
      <w:r w:rsidR="007D5951" w:rsidRPr="00BD40CD">
        <w:t>2018. Projevilo se tak zrušení superhrubé mzdy.</w:t>
      </w:r>
      <w:r w:rsidR="007D5951">
        <w:t xml:space="preserve"> Za celý rok 2021 saldo sociálních důchodů kleslo </w:t>
      </w:r>
      <w:r w:rsidR="001C4AB9">
        <w:t>o </w:t>
      </w:r>
      <w:r w:rsidR="007D5951">
        <w:t>21,9</w:t>
      </w:r>
      <w:r w:rsidR="0032347E">
        <w:t> mld</w:t>
      </w:r>
      <w:r w:rsidR="007D5951">
        <w:t>. korun na 472,4</w:t>
      </w:r>
      <w:r w:rsidR="001A5270">
        <w:t> </w:t>
      </w:r>
      <w:r w:rsidR="007D5951">
        <w:t xml:space="preserve">mld. Sociální dávky, které domácnosti obdržely, byly vyšší </w:t>
      </w:r>
      <w:r w:rsidR="001C4AB9">
        <w:t>o </w:t>
      </w:r>
      <w:r w:rsidR="007D5951">
        <w:t>36,5</w:t>
      </w:r>
      <w:r w:rsidR="0032347E">
        <w:t> mld</w:t>
      </w:r>
      <w:r w:rsidR="007D5951">
        <w:t xml:space="preserve">. korun </w:t>
      </w:r>
      <w:r w:rsidR="001C4AB9">
        <w:t>a </w:t>
      </w:r>
      <w:r w:rsidR="007D5951">
        <w:t xml:space="preserve">naopak sociální příspěvky, které odvedly, byly vyšší </w:t>
      </w:r>
      <w:r w:rsidR="001C4AB9">
        <w:t>o </w:t>
      </w:r>
      <w:r w:rsidR="007D5951">
        <w:t>58,4</w:t>
      </w:r>
      <w:r w:rsidR="0032347E">
        <w:t> mld</w:t>
      </w:r>
      <w:r w:rsidR="007D5951">
        <w:t xml:space="preserve">. Kladné saldo ostatních transferů se zmírnilo </w:t>
      </w:r>
      <w:r w:rsidR="001C4AB9">
        <w:t>o </w:t>
      </w:r>
      <w:r w:rsidR="007D5951">
        <w:t>2,7</w:t>
      </w:r>
      <w:r w:rsidR="0032347E">
        <w:t> mld</w:t>
      </w:r>
      <w:r w:rsidR="007D5951">
        <w:t>. korun n</w:t>
      </w:r>
      <w:r w:rsidR="0007031E">
        <w:t>a</w:t>
      </w:r>
      <w:r w:rsidR="007D5951">
        <w:t xml:space="preserve"> 5,9</w:t>
      </w:r>
      <w:r w:rsidR="0032347E">
        <w:t> mld</w:t>
      </w:r>
      <w:r w:rsidR="007D5951">
        <w:t>.</w:t>
      </w:r>
      <w:r w:rsidR="0007031E">
        <w:t xml:space="preserve"> Domácnosti celkově odvedly 280,0</w:t>
      </w:r>
      <w:r w:rsidR="0032347E">
        <w:t> mld</w:t>
      </w:r>
      <w:r w:rsidR="0007031E">
        <w:t xml:space="preserve">. korun jako běžné daně z důchodů </w:t>
      </w:r>
      <w:r w:rsidR="001C4AB9">
        <w:t>a </w:t>
      </w:r>
      <w:r w:rsidR="0007031E">
        <w:t xml:space="preserve">jmění. Celkově je to </w:t>
      </w:r>
      <w:r w:rsidR="001C4AB9">
        <w:t>o </w:t>
      </w:r>
      <w:r w:rsidR="0007031E">
        <w:t>28,2</w:t>
      </w:r>
      <w:r w:rsidR="0032347E">
        <w:t> mld</w:t>
      </w:r>
      <w:r w:rsidR="0007031E">
        <w:t xml:space="preserve">. korun méně než v roce 2020 </w:t>
      </w:r>
      <w:r w:rsidR="001C4AB9">
        <w:t>a </w:t>
      </w:r>
      <w:r w:rsidR="0007031E">
        <w:t>nejméně od roku 2017.</w:t>
      </w:r>
    </w:p>
    <w:p w14:paraId="1F0110C1" w14:textId="6324C003" w:rsidR="00BF34CC" w:rsidRDefault="008354B4" w:rsidP="00BE206D">
      <w:pPr>
        <w:spacing w:after="120"/>
      </w:pPr>
      <w:r>
        <w:t>Ve 4.</w:t>
      </w:r>
      <w:r w:rsidR="0032347E">
        <w:t> čtvrtlet</w:t>
      </w:r>
      <w:r>
        <w:t xml:space="preserve">í na domácnosti dolehly obavy z postupně zrychlujícího růstu cen, které se také projevily na jejich spotřebním chování. </w:t>
      </w:r>
      <w:r w:rsidR="006C75E5">
        <w:t xml:space="preserve">Meziročně sice výdaje domácností na konečnou spotřebu nominálně vzrostly </w:t>
      </w:r>
      <w:r w:rsidR="001C4AB9">
        <w:t>o </w:t>
      </w:r>
      <w:r w:rsidR="006C75E5">
        <w:t>93,8</w:t>
      </w:r>
      <w:r w:rsidR="0032347E">
        <w:t> mld</w:t>
      </w:r>
      <w:r w:rsidR="006C75E5">
        <w:t>. korun na 731,3</w:t>
      </w:r>
      <w:r w:rsidR="0032347E">
        <w:t> mld</w:t>
      </w:r>
      <w:r w:rsidR="006C75E5">
        <w:t xml:space="preserve">., z velké části ale šlo </w:t>
      </w:r>
      <w:r w:rsidR="001C4AB9">
        <w:t>o </w:t>
      </w:r>
      <w:r w:rsidR="006C75E5">
        <w:t xml:space="preserve">vliv nízké srovnávací základny konce roku 2020, kdy byl omezen provoz </w:t>
      </w:r>
      <w:r w:rsidR="001C4AB9">
        <w:t>v </w:t>
      </w:r>
      <w:r w:rsidR="006C75E5">
        <w:t>maloobchodě</w:t>
      </w:r>
      <w:r w:rsidR="006C75E5" w:rsidRPr="00BD40CD">
        <w:rPr>
          <w:rStyle w:val="Znakapoznpodarou"/>
        </w:rPr>
        <w:footnoteReference w:id="17"/>
      </w:r>
      <w:r w:rsidR="006C75E5">
        <w:t xml:space="preserve">. Naopak sezónně očištěné údaje ukazují na mezičtvrtletní propad spotřeby </w:t>
      </w:r>
      <w:r w:rsidR="001C4AB9">
        <w:t>o </w:t>
      </w:r>
      <w:r w:rsidR="006C75E5">
        <w:t>11,4</w:t>
      </w:r>
      <w:r w:rsidR="0032347E">
        <w:t> mld</w:t>
      </w:r>
      <w:r w:rsidR="006C75E5">
        <w:t>. korun.</w:t>
      </w:r>
      <w:r w:rsidR="00AC4564">
        <w:t xml:space="preserve"> Domácnosti s</w:t>
      </w:r>
      <w:r w:rsidR="001453D8" w:rsidRPr="00BD40CD">
        <w:t xml:space="preserve">potřebovaly také statky </w:t>
      </w:r>
      <w:r w:rsidR="000F6E26" w:rsidRPr="00BD40CD">
        <w:t>a</w:t>
      </w:r>
      <w:r w:rsidR="000F6E26">
        <w:t> </w:t>
      </w:r>
      <w:r w:rsidR="001453D8" w:rsidRPr="00BD40CD">
        <w:t xml:space="preserve">služby ve formě naturálních sociálních transferů, jejichž hodnota ve </w:t>
      </w:r>
      <w:r w:rsidR="00AC4564">
        <w:t>4</w:t>
      </w:r>
      <w:r w:rsidR="001453D8" w:rsidRPr="00BD40CD">
        <w:t>.</w:t>
      </w:r>
      <w:r w:rsidR="003D21DB">
        <w:t> čtvrtlet</w:t>
      </w:r>
      <w:r w:rsidR="001453D8" w:rsidRPr="00BD40CD">
        <w:t xml:space="preserve">í meziročně stoupla </w:t>
      </w:r>
      <w:r w:rsidR="000F6E26" w:rsidRPr="00BD40CD">
        <w:t>o</w:t>
      </w:r>
      <w:r w:rsidR="000F6E26">
        <w:t> </w:t>
      </w:r>
      <w:r w:rsidR="001453D8" w:rsidRPr="00BD40CD">
        <w:t>14,</w:t>
      </w:r>
      <w:r w:rsidR="00AC4564">
        <w:t>6</w:t>
      </w:r>
      <w:r w:rsidR="003D21DB">
        <w:t> mld</w:t>
      </w:r>
      <w:r w:rsidR="001453D8" w:rsidRPr="00BD40CD">
        <w:t xml:space="preserve">. korun na </w:t>
      </w:r>
      <w:r w:rsidR="00B52F87">
        <w:t>238,8</w:t>
      </w:r>
      <w:r w:rsidR="003D21DB">
        <w:t> mld</w:t>
      </w:r>
      <w:r w:rsidR="001453D8" w:rsidRPr="00BD40CD">
        <w:t>.</w:t>
      </w:r>
      <w:r w:rsidR="00B52F87">
        <w:t xml:space="preserve"> Za celý rok 2021 spotřeba domácností stoupla </w:t>
      </w:r>
      <w:r w:rsidR="001C4AB9">
        <w:t>o </w:t>
      </w:r>
      <w:r w:rsidR="00B52F87">
        <w:t>192,5 mld. korun na 2 737,4</w:t>
      </w:r>
      <w:r w:rsidR="0032347E">
        <w:t> mld</w:t>
      </w:r>
      <w:r w:rsidR="00B52F87">
        <w:t xml:space="preserve">., což byl největší zaznamenaný přírůstek. Naturální sociální transfery domácnostem loni stouply </w:t>
      </w:r>
      <w:r w:rsidR="001C4AB9">
        <w:t>o </w:t>
      </w:r>
      <w:r w:rsidR="00B52F87">
        <w:t>78,1</w:t>
      </w:r>
      <w:r w:rsidR="0032347E">
        <w:t> mld</w:t>
      </w:r>
      <w:r w:rsidR="00B52F87">
        <w:t>. korun na 825,3</w:t>
      </w:r>
      <w:r w:rsidR="0032347E">
        <w:t> mld</w:t>
      </w:r>
      <w:r w:rsidR="00B52F87">
        <w:t>.</w:t>
      </w:r>
    </w:p>
    <w:p w14:paraId="39E24AAB" w14:textId="7C89CA4E" w:rsidR="00CE0364" w:rsidRDefault="00BF34CC" w:rsidP="00BE206D">
      <w:pPr>
        <w:spacing w:after="120"/>
      </w:pPr>
      <w:r>
        <w:t>Hrubé úspory domácností</w:t>
      </w:r>
      <w:r w:rsidRPr="00BD40CD">
        <w:rPr>
          <w:rStyle w:val="Znakapoznpodarou"/>
        </w:rPr>
        <w:footnoteReference w:id="18"/>
      </w:r>
      <w:r>
        <w:t xml:space="preserve"> ve 4.</w:t>
      </w:r>
      <w:r w:rsidR="0032347E">
        <w:t> čtvrtlet</w:t>
      </w:r>
      <w:r>
        <w:t>í dosáhly 181,2</w:t>
      </w:r>
      <w:r w:rsidR="0032347E">
        <w:t> mld</w:t>
      </w:r>
      <w:r>
        <w:t xml:space="preserve">. korun </w:t>
      </w:r>
      <w:r w:rsidR="001C4AB9">
        <w:t>a </w:t>
      </w:r>
      <w:r>
        <w:t xml:space="preserve">meziročně klesly </w:t>
      </w:r>
      <w:r w:rsidR="001C4AB9">
        <w:t>o </w:t>
      </w:r>
      <w:r>
        <w:t xml:space="preserve">45,8 mld. Mezičtvrtletně se hrubé úspory zvýšily </w:t>
      </w:r>
      <w:r w:rsidR="001C4AB9">
        <w:t>o </w:t>
      </w:r>
      <w:r>
        <w:t>17,7</w:t>
      </w:r>
      <w:r w:rsidR="0032347E">
        <w:t> mld</w:t>
      </w:r>
      <w:r>
        <w:t xml:space="preserve">. korun. V posledním čtvrtletí roku </w:t>
      </w:r>
      <w:r>
        <w:lastRenderedPageBreak/>
        <w:t>bývají sezónně neočištěné hrubé úspory obvykle nejvyšší za celý rok, ale to loni neplatilo – kvůli omezení spotřeby domácností byly úspory nejvyšší v 1.</w:t>
      </w:r>
      <w:r w:rsidR="0032347E">
        <w:t> čtvrtlet</w:t>
      </w:r>
      <w:r>
        <w:t>í. Za celý rok 2021 hrubé úspory dosáhly 690,6</w:t>
      </w:r>
      <w:r w:rsidR="0032347E">
        <w:t> mld</w:t>
      </w:r>
      <w:r>
        <w:t xml:space="preserve">. korun </w:t>
      </w:r>
      <w:r w:rsidR="001C4AB9">
        <w:t>a </w:t>
      </w:r>
      <w:r>
        <w:t xml:space="preserve">oproti roku 2020 byly vyšší </w:t>
      </w:r>
      <w:r w:rsidR="001C4AB9">
        <w:t>o </w:t>
      </w:r>
      <w:r>
        <w:t>4,5</w:t>
      </w:r>
      <w:r w:rsidR="0032347E">
        <w:t> mld</w:t>
      </w:r>
      <w:r>
        <w:t xml:space="preserve">. Ve srovnání s rokem 2019 byly vyšší </w:t>
      </w:r>
      <w:r w:rsidR="001C4AB9">
        <w:t>o </w:t>
      </w:r>
      <w:r>
        <w:t>287,1</w:t>
      </w:r>
      <w:r w:rsidR="0032347E">
        <w:t> mld</w:t>
      </w:r>
      <w:r>
        <w:t>. korun.</w:t>
      </w:r>
      <w:r w:rsidR="005416EE">
        <w:t xml:space="preserve"> </w:t>
      </w:r>
      <w:r w:rsidR="003A5965" w:rsidRPr="00BD40CD">
        <w:t>Míra úspor</w:t>
      </w:r>
      <w:r w:rsidR="003A5965" w:rsidRPr="00BD40CD">
        <w:rPr>
          <w:rStyle w:val="Znakapoznpodarou"/>
        </w:rPr>
        <w:footnoteReference w:id="19"/>
      </w:r>
      <w:r w:rsidR="003A5965" w:rsidRPr="00BD40CD">
        <w:t xml:space="preserve"> </w:t>
      </w:r>
      <w:r w:rsidR="005416EE">
        <w:t>ve 4.</w:t>
      </w:r>
      <w:r w:rsidR="0032347E">
        <w:t> čtvrtlet</w:t>
      </w:r>
      <w:r w:rsidR="005416EE">
        <w:t>í 2021 po sérii pokles</w:t>
      </w:r>
      <w:r w:rsidR="00776326">
        <w:t xml:space="preserve">ů opět </w:t>
      </w:r>
      <w:r w:rsidR="00C10B92" w:rsidRPr="00BD40CD">
        <w:t xml:space="preserve">mezičtvrtletně </w:t>
      </w:r>
      <w:r w:rsidR="00776326">
        <w:t>stoupla o</w:t>
      </w:r>
      <w:r w:rsidR="00EF788F" w:rsidRPr="00BD40CD">
        <w:t> </w:t>
      </w:r>
      <w:r w:rsidR="00776326">
        <w:t>1,9</w:t>
      </w:r>
      <w:r w:rsidR="00B13907" w:rsidRPr="00BD40CD">
        <w:t> p. b.</w:t>
      </w:r>
      <w:r w:rsidR="00C10B92" w:rsidRPr="00BD40CD">
        <w:t xml:space="preserve"> na </w:t>
      </w:r>
      <w:r w:rsidR="00776326">
        <w:t>18,4</w:t>
      </w:r>
      <w:r w:rsidR="00B13907" w:rsidRPr="00BD40CD">
        <w:t> %</w:t>
      </w:r>
      <w:r w:rsidR="00C10B92" w:rsidRPr="00BD40CD">
        <w:t xml:space="preserve"> (sezónně očištěno). Meziročně byla </w:t>
      </w:r>
      <w:r w:rsidR="0099050D" w:rsidRPr="00BD40CD">
        <w:t xml:space="preserve">nižší </w:t>
      </w:r>
      <w:r w:rsidR="008C00A5" w:rsidRPr="00BD40CD">
        <w:t>o </w:t>
      </w:r>
      <w:r w:rsidR="00776326">
        <w:t>6,4</w:t>
      </w:r>
      <w:r w:rsidR="00B13907" w:rsidRPr="00BD40CD">
        <w:t> p. b.</w:t>
      </w:r>
      <w:r w:rsidR="00C10B92" w:rsidRPr="00BD40CD">
        <w:t xml:space="preserve"> (sezónně neočištěno).</w:t>
      </w:r>
      <w:r w:rsidR="00776326">
        <w:t xml:space="preserve"> Za celý rok 2021 dosáhla míra úspor 20,1</w:t>
      </w:r>
      <w:r w:rsidR="0032347E">
        <w:t> %</w:t>
      </w:r>
      <w:r w:rsidR="00776326">
        <w:t xml:space="preserve">, meziročně </w:t>
      </w:r>
      <w:r w:rsidR="00A950C7">
        <w:t xml:space="preserve">to bylo </w:t>
      </w:r>
      <w:r w:rsidR="001C4AB9">
        <w:t>o </w:t>
      </w:r>
      <w:r w:rsidR="00776326">
        <w:t>1,1</w:t>
      </w:r>
      <w:r w:rsidR="0032347E">
        <w:t> p. b.</w:t>
      </w:r>
      <w:r w:rsidR="00776326">
        <w:t xml:space="preserve"> méně.</w:t>
      </w:r>
    </w:p>
    <w:p w14:paraId="2C1BEB6C" w14:textId="77777777" w:rsidR="00455E2F" w:rsidRPr="00BD40CD" w:rsidRDefault="00455E2F" w:rsidP="00455E2F">
      <w:pPr>
        <w:pStyle w:val="TabulkaGraf"/>
      </w:pPr>
      <w:r w:rsidRPr="00BD40CD">
        <w:t>Graf 5: Meziroční změna výdajů na tvorbu hrubého fixního kapitálu (mld. korun) a míra úspor a míra investic sektoru domácností (v %, sezónně očištěno)</w:t>
      </w:r>
    </w:p>
    <w:p w14:paraId="46235EEF" w14:textId="77777777" w:rsidR="00455E2F" w:rsidRPr="00F907FA" w:rsidRDefault="00455E2F" w:rsidP="00455E2F">
      <w:pPr>
        <w:pStyle w:val="TabulkaGraf"/>
        <w:jc w:val="center"/>
        <w:rPr>
          <w:b w:val="0"/>
          <w:bCs w:val="0"/>
        </w:rPr>
      </w:pPr>
      <w:r>
        <w:rPr>
          <w:noProof/>
          <w:lang w:eastAsia="cs-CZ"/>
        </w:rPr>
        <w:drawing>
          <wp:inline distT="0" distB="0" distL="0" distR="0" wp14:anchorId="0315D423" wp14:editId="19639431">
            <wp:extent cx="4737600" cy="3060000"/>
            <wp:effectExtent l="0" t="0" r="6350" b="762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5FDC25A" w14:textId="77777777" w:rsidR="00455E2F" w:rsidRPr="00BD40CD" w:rsidRDefault="00455E2F" w:rsidP="00455E2F">
      <w:pPr>
        <w:spacing w:after="120"/>
      </w:pPr>
      <w:r w:rsidRPr="00BD40CD">
        <w:t>Zdroj: ČSÚ, národní účty</w:t>
      </w:r>
    </w:p>
    <w:p w14:paraId="5F80D038" w14:textId="40182834" w:rsidR="00273EA6" w:rsidRDefault="00B26C4E" w:rsidP="008434E7">
      <w:pPr>
        <w:spacing w:after="240"/>
      </w:pPr>
      <w:r>
        <w:t>Ve 4.</w:t>
      </w:r>
      <w:r w:rsidR="0032347E">
        <w:t> čtvrtlet</w:t>
      </w:r>
      <w:r>
        <w:t>í domácnosti (</w:t>
      </w:r>
      <w:r w:rsidRPr="00BD40CD">
        <w:t>zejména drobní podnikatelé) obdržely 3,9</w:t>
      </w:r>
      <w:r>
        <w:t> mld</w:t>
      </w:r>
      <w:r w:rsidRPr="00BD40CD">
        <w:t>. korun ve formě kapitálových transferů. To bylo</w:t>
      </w:r>
      <w:r>
        <w:t xml:space="preserve"> meziročně </w:t>
      </w:r>
      <w:r w:rsidR="001C4AB9">
        <w:t>o </w:t>
      </w:r>
      <w:r>
        <w:t>3,7</w:t>
      </w:r>
      <w:r w:rsidR="0032347E">
        <w:t> mld</w:t>
      </w:r>
      <w:r>
        <w:t xml:space="preserve">. méně. Naprostá většina z tohoto poklesu připadla na ostatní kapitálové transfery </w:t>
      </w:r>
      <w:r w:rsidRPr="00BD40CD">
        <w:t>(zahrnovaly výplatu kompenzačních bonusů)</w:t>
      </w:r>
      <w:r>
        <w:t xml:space="preserve">, které byly meziročně nižší </w:t>
      </w:r>
      <w:r w:rsidR="001C4AB9">
        <w:t>o </w:t>
      </w:r>
      <w:r>
        <w:t>3,4</w:t>
      </w:r>
      <w:r w:rsidR="0032347E">
        <w:t> mld</w:t>
      </w:r>
      <w:r>
        <w:t xml:space="preserve">. korun. Investiční dotace se meziročně snížily </w:t>
      </w:r>
      <w:r w:rsidR="001C4AB9">
        <w:t>o </w:t>
      </w:r>
      <w:r>
        <w:t>0,2</w:t>
      </w:r>
      <w:r w:rsidR="0032347E">
        <w:t> mld</w:t>
      </w:r>
      <w:r>
        <w:t>. korun na 2,0</w:t>
      </w:r>
      <w:r w:rsidR="0032347E">
        <w:t> mld</w:t>
      </w:r>
      <w:r>
        <w:t>., což je úroveň srovnatelná se stejným obdobím předchozích let. Za celý rok 2021 domácnosti přijaly kapitálové transfery v hodnotě 35,0</w:t>
      </w:r>
      <w:r w:rsidR="0032347E">
        <w:t> mld</w:t>
      </w:r>
      <w:r>
        <w:t>.</w:t>
      </w:r>
      <w:r w:rsidR="00174EEE">
        <w:t xml:space="preserve"> korun</w:t>
      </w:r>
      <w:r>
        <w:t xml:space="preserve">, což bylo meziročně </w:t>
      </w:r>
      <w:r w:rsidR="001C4AB9">
        <w:t>o </w:t>
      </w:r>
      <w:r>
        <w:t>6,6</w:t>
      </w:r>
      <w:r w:rsidR="0032347E">
        <w:t> mld</w:t>
      </w:r>
      <w:r>
        <w:t xml:space="preserve">. méně, ale ve srovnání s většinou předcovidových let šlo stále </w:t>
      </w:r>
      <w:r w:rsidR="001C4AB9">
        <w:t>o </w:t>
      </w:r>
      <w:r>
        <w:t xml:space="preserve">mimořádně vysokou částku. Důvodem byly hlavně ostatní kapitálové transfery. Ty loni sice meziročně klesly </w:t>
      </w:r>
      <w:r w:rsidR="001C4AB9">
        <w:t>o </w:t>
      </w:r>
      <w:r>
        <w:t>7,0</w:t>
      </w:r>
      <w:r w:rsidR="0032347E">
        <w:t> mld</w:t>
      </w:r>
      <w:r>
        <w:t>.</w:t>
      </w:r>
      <w:r w:rsidR="00174EEE">
        <w:t xml:space="preserve"> korun</w:t>
      </w:r>
      <w:r>
        <w:t>, ale pod vlivem kompenzačních bonusů vyplácených drobným podnikatelům zůstaly na vysoké úrovni 23,2</w:t>
      </w:r>
      <w:r w:rsidR="0032347E">
        <w:t> mld</w:t>
      </w:r>
      <w:r>
        <w:t>. Investiční dotace dosáhly 11,8</w:t>
      </w:r>
      <w:r w:rsidR="0032347E">
        <w:t> mld</w:t>
      </w:r>
      <w:r>
        <w:t>. korun, což bylo téměř stejně jako v roce 2020 (+0,4 mld.).</w:t>
      </w:r>
    </w:p>
    <w:p w14:paraId="298037DA" w14:textId="12CCFFE2" w:rsidR="003057B2" w:rsidRPr="00BD40CD" w:rsidRDefault="00273EA6" w:rsidP="008434E7">
      <w:pPr>
        <w:spacing w:after="240"/>
      </w:pPr>
      <w:r>
        <w:lastRenderedPageBreak/>
        <w:t>Na rozdíl od spotřeby se dynamika investic domácností v závěru roku nezmírňovala. Výdaje domácností na tvorbu hrubého fixního kapitálu</w:t>
      </w:r>
      <w:r w:rsidR="00B26C4E">
        <w:t xml:space="preserve"> ve 4.</w:t>
      </w:r>
      <w:r w:rsidR="0032347E">
        <w:t> čtvrtlet</w:t>
      </w:r>
      <w:r w:rsidR="00B26C4E">
        <w:t xml:space="preserve">í 2021 </w:t>
      </w:r>
      <w:r w:rsidR="00B26C4E" w:rsidRPr="00BD40CD">
        <w:t xml:space="preserve">dosáhly </w:t>
      </w:r>
      <w:r w:rsidR="00B26C4E">
        <w:t>102,0 mld</w:t>
      </w:r>
      <w:r w:rsidR="00B26C4E" w:rsidRPr="00BD40CD">
        <w:t>. korun a</w:t>
      </w:r>
      <w:r w:rsidR="00B26C4E">
        <w:t> </w:t>
      </w:r>
      <w:r w:rsidR="00B26C4E" w:rsidRPr="00BD40CD">
        <w:t>meziročně se zvýšily o</w:t>
      </w:r>
      <w:r w:rsidR="00B26C4E">
        <w:t> </w:t>
      </w:r>
      <w:r w:rsidR="00B26C4E" w:rsidRPr="00BD40CD">
        <w:t>1</w:t>
      </w:r>
      <w:r w:rsidR="00B26C4E">
        <w:t>4,1 mld</w:t>
      </w:r>
      <w:r w:rsidR="00B26C4E" w:rsidRPr="00BD40CD">
        <w:t>. Mezičtvrtletní přírůstek investic dosáhl 2,</w:t>
      </w:r>
      <w:r w:rsidR="00B26C4E">
        <w:t>9 mld</w:t>
      </w:r>
      <w:r w:rsidR="00B26C4E" w:rsidRPr="00BD40CD">
        <w:t>. korun. Výsledná míra investic</w:t>
      </w:r>
      <w:r w:rsidR="00B26C4E" w:rsidRPr="00BD40CD">
        <w:rPr>
          <w:rStyle w:val="Znakapoznpodarou"/>
        </w:rPr>
        <w:footnoteReference w:id="20"/>
      </w:r>
      <w:r w:rsidR="00B26C4E" w:rsidRPr="00BD40CD">
        <w:t xml:space="preserve"> (sezónně očištěná) mezičtvrtletně vzrostla o 0,</w:t>
      </w:r>
      <w:r w:rsidR="00B26C4E">
        <w:t>2</w:t>
      </w:r>
      <w:r w:rsidR="00B26C4E" w:rsidRPr="00BD40CD">
        <w:t xml:space="preserve"> p. b. na </w:t>
      </w:r>
      <w:r w:rsidR="00B26C4E">
        <w:t>10,0</w:t>
      </w:r>
      <w:r w:rsidR="00B26C4E" w:rsidRPr="00BD40CD">
        <w:t> %</w:t>
      </w:r>
      <w:r w:rsidR="00B26C4E">
        <w:t xml:space="preserve"> (nejvíce od 1.</w:t>
      </w:r>
      <w:r w:rsidR="0032347E">
        <w:t> čtvrtlet</w:t>
      </w:r>
      <w:r w:rsidR="00B26C4E">
        <w:t>í 2011)</w:t>
      </w:r>
      <w:r w:rsidR="00B26C4E" w:rsidRPr="00BD40CD">
        <w:t>. Meziročně se (neočištěná) míra investic zvýšila o</w:t>
      </w:r>
      <w:r w:rsidR="00B26C4E">
        <w:t> 1,0</w:t>
      </w:r>
      <w:r w:rsidR="00B26C4E" w:rsidRPr="00BD40CD">
        <w:t> p. b.</w:t>
      </w:r>
      <w:r w:rsidR="00B26C4E">
        <w:t xml:space="preserve"> Za celý rok 2021 se investice domácností zvýšily </w:t>
      </w:r>
      <w:r w:rsidR="001C4AB9">
        <w:t>o </w:t>
      </w:r>
      <w:r w:rsidR="00B26C4E">
        <w:t>41,9</w:t>
      </w:r>
      <w:r w:rsidR="0032347E">
        <w:t> mld</w:t>
      </w:r>
      <w:r w:rsidR="00B26C4E">
        <w:t>. korun na 330,3</w:t>
      </w:r>
      <w:r w:rsidR="0032347E">
        <w:t> mld</w:t>
      </w:r>
      <w:r w:rsidR="00B26C4E">
        <w:t xml:space="preserve">. Jejich míra investic vzrostla </w:t>
      </w:r>
      <w:r w:rsidR="001C4AB9">
        <w:t>o </w:t>
      </w:r>
      <w:r w:rsidR="00B26C4E">
        <w:t>0,7</w:t>
      </w:r>
      <w:r w:rsidR="0032347E">
        <w:t> p. b.</w:t>
      </w:r>
      <w:r w:rsidR="00B26C4E">
        <w:t xml:space="preserve"> na 9,6 %, což bylo nejvíce od roku 2011.</w:t>
      </w:r>
    </w:p>
    <w:p w14:paraId="71BB4AD3" w14:textId="18B05A5F" w:rsidR="00F50CEF" w:rsidRPr="00BD40CD" w:rsidRDefault="00F50CEF" w:rsidP="000302A6">
      <w:pPr>
        <w:pStyle w:val="Nadpis1"/>
        <w:spacing w:after="120"/>
      </w:pPr>
      <w:r w:rsidRPr="00BD40CD">
        <w:t>Finanční vztahy s</w:t>
      </w:r>
      <w:r w:rsidR="000D19F9" w:rsidRPr="00BD40CD">
        <w:t> </w:t>
      </w:r>
      <w:r w:rsidRPr="00BD40CD">
        <w:t>nerezidenty</w:t>
      </w:r>
    </w:p>
    <w:p w14:paraId="3795627A" w14:textId="1B00BFCD" w:rsidR="00CE6C12" w:rsidRDefault="00C5191D" w:rsidP="00060DD8">
      <w:pPr>
        <w:spacing w:after="120"/>
      </w:pPr>
      <w:r>
        <w:t>Ve 4.</w:t>
      </w:r>
      <w:r w:rsidR="0032347E">
        <w:t> čtvrtlet</w:t>
      </w:r>
      <w:r>
        <w:t>í 2021 meziroční dynamika dovozu opět značně převyšovala vývoz.</w:t>
      </w:r>
      <w:r w:rsidR="0066101B">
        <w:t xml:space="preserve"> </w:t>
      </w:r>
      <w:r w:rsidR="00D80EFF">
        <w:t xml:space="preserve">Vývozcům v lepších výsledcích překáželo </w:t>
      </w:r>
      <w:r w:rsidR="0066101B">
        <w:t>narušení dodavatelských řetězců, ale hodnota dovozu se zvýšila pod vlivem rostoucích cen surovin</w:t>
      </w:r>
      <w:r w:rsidR="00D80EFF">
        <w:t xml:space="preserve"> a </w:t>
      </w:r>
      <w:r w:rsidR="0066101B">
        <w:t>také meziročně silnější domácí poptávky.</w:t>
      </w:r>
      <w:r>
        <w:t xml:space="preserve"> Zatímco hodnota exportu byla meziročně vyšší </w:t>
      </w:r>
      <w:r w:rsidR="001C4AB9">
        <w:t>o </w:t>
      </w:r>
      <w:r>
        <w:t>9,2</w:t>
      </w:r>
      <w:r w:rsidR="0032347E">
        <w:t> mld</w:t>
      </w:r>
      <w:r>
        <w:t xml:space="preserve">. korun </w:t>
      </w:r>
      <w:r w:rsidR="001C4AB9">
        <w:t>a </w:t>
      </w:r>
      <w:r>
        <w:t>dosáhla 1 159,7</w:t>
      </w:r>
      <w:r w:rsidR="0032347E">
        <w:t> mld</w:t>
      </w:r>
      <w:r>
        <w:t xml:space="preserve">., import vzrostl </w:t>
      </w:r>
      <w:r w:rsidR="001C4AB9">
        <w:t>o </w:t>
      </w:r>
      <w:r>
        <w:t>132,4</w:t>
      </w:r>
      <w:r w:rsidR="0032347E">
        <w:t> mld</w:t>
      </w:r>
      <w:r>
        <w:t>. na 1 161,8</w:t>
      </w:r>
      <w:r w:rsidR="0032347E">
        <w:t> mld</w:t>
      </w:r>
      <w:r>
        <w:t>.</w:t>
      </w:r>
      <w:r w:rsidR="002E6E86">
        <w:t xml:space="preserve"> </w:t>
      </w:r>
      <w:r w:rsidR="0066101B">
        <w:t>V</w:t>
      </w:r>
      <w:r w:rsidR="002E6E86">
        <w:t>ýsledkem byl</w:t>
      </w:r>
      <w:r w:rsidR="0066101B">
        <w:t>o</w:t>
      </w:r>
      <w:r w:rsidR="002E6E86">
        <w:t xml:space="preserve"> </w:t>
      </w:r>
      <w:r w:rsidR="0066101B">
        <w:t xml:space="preserve">výrazné zhoršení bilance zahraničního obchodu. Saldo se meziročně propadlo </w:t>
      </w:r>
      <w:r w:rsidR="001C4AB9">
        <w:t>o </w:t>
      </w:r>
      <w:r w:rsidR="0066101B">
        <w:t>123,2</w:t>
      </w:r>
      <w:r w:rsidR="0032347E">
        <w:t> mld</w:t>
      </w:r>
      <w:r w:rsidR="0066101B">
        <w:t>. korun do deficitu 2,0</w:t>
      </w:r>
      <w:r w:rsidR="0032347E">
        <w:t> mld</w:t>
      </w:r>
      <w:r w:rsidR="0066101B">
        <w:t xml:space="preserve">. Za celý rok 2021 vývoz vzrostl </w:t>
      </w:r>
      <w:r w:rsidR="001C4AB9">
        <w:t>o </w:t>
      </w:r>
      <w:r w:rsidR="0066101B">
        <w:t>399,7</w:t>
      </w:r>
      <w:r w:rsidR="00CE6C12">
        <w:t> </w:t>
      </w:r>
      <w:r w:rsidR="0066101B">
        <w:t xml:space="preserve">mld. korun </w:t>
      </w:r>
      <w:r w:rsidR="001C4AB9">
        <w:t>a </w:t>
      </w:r>
      <w:r w:rsidR="0066101B">
        <w:t xml:space="preserve">dovoz </w:t>
      </w:r>
      <w:r w:rsidR="001C4AB9">
        <w:t>o </w:t>
      </w:r>
      <w:r w:rsidR="0066101B">
        <w:t>602,1</w:t>
      </w:r>
      <w:r w:rsidR="0032347E">
        <w:t> mld</w:t>
      </w:r>
      <w:r w:rsidR="0066101B">
        <w:t>. Bilance zahraničního obchodu loni dosáhla přebytku 186,6</w:t>
      </w:r>
      <w:r w:rsidR="00CE6C12">
        <w:t> </w:t>
      </w:r>
      <w:r w:rsidR="0066101B">
        <w:t xml:space="preserve">mld. korun, který byl </w:t>
      </w:r>
      <w:r w:rsidR="001C4AB9">
        <w:t>o </w:t>
      </w:r>
      <w:r w:rsidR="0066101B">
        <w:t>202,4</w:t>
      </w:r>
      <w:r w:rsidR="0032347E">
        <w:t> mld</w:t>
      </w:r>
      <w:r w:rsidR="0066101B">
        <w:t>. nižší.</w:t>
      </w:r>
    </w:p>
    <w:p w14:paraId="1BF97109" w14:textId="0F0A1978" w:rsidR="00D03F01" w:rsidRDefault="00FD2E7E" w:rsidP="00060DD8">
      <w:pPr>
        <w:spacing w:after="120"/>
      </w:pPr>
      <w:r>
        <w:t>Nerezidenti</w:t>
      </w:r>
      <w:r w:rsidR="0001683E" w:rsidRPr="00BD40CD">
        <w:rPr>
          <w:rStyle w:val="Znakapoznpodarou"/>
        </w:rPr>
        <w:footnoteReference w:id="21"/>
      </w:r>
      <w:r>
        <w:t xml:space="preserve"> z domácí ekonomiky obdrželi 101,9</w:t>
      </w:r>
      <w:r w:rsidR="0032347E">
        <w:t> mld</w:t>
      </w:r>
      <w:r>
        <w:t xml:space="preserve">. korun ve formě důchodů z vlastnictví. Meziročně </w:t>
      </w:r>
      <w:r w:rsidR="00B24C95">
        <w:t xml:space="preserve">to byla </w:t>
      </w:r>
      <w:r w:rsidR="001C4AB9">
        <w:t>o </w:t>
      </w:r>
      <w:r>
        <w:t>31,1</w:t>
      </w:r>
      <w:r w:rsidR="0032347E">
        <w:t> mld</w:t>
      </w:r>
      <w:r>
        <w:t xml:space="preserve">. korun vyšší </w:t>
      </w:r>
      <w:r w:rsidR="00B24C95">
        <w:t>částka</w:t>
      </w:r>
      <w:r>
        <w:t xml:space="preserve">. </w:t>
      </w:r>
      <w:r w:rsidR="0001683E">
        <w:t>Nárůst lze ale přičíst především navýšení reinvestovaných zisků</w:t>
      </w:r>
      <w:r w:rsidR="002A2E87">
        <w:t xml:space="preserve"> z přímých zahraničních investic</w:t>
      </w:r>
      <w:r w:rsidR="0001683E">
        <w:t xml:space="preserve"> </w:t>
      </w:r>
      <w:r w:rsidR="001C4AB9">
        <w:t>o </w:t>
      </w:r>
      <w:r w:rsidR="0001683E">
        <w:t>97,3</w:t>
      </w:r>
      <w:r w:rsidR="0032347E">
        <w:t> mld</w:t>
      </w:r>
      <w:r w:rsidR="0001683E">
        <w:t xml:space="preserve">. korun </w:t>
      </w:r>
      <w:r w:rsidR="001C4AB9">
        <w:t>a </w:t>
      </w:r>
      <w:r w:rsidR="0001683E">
        <w:t xml:space="preserve">také růstu úroků </w:t>
      </w:r>
      <w:r w:rsidR="001C4AB9">
        <w:t>o </w:t>
      </w:r>
      <w:r w:rsidR="0001683E">
        <w:t>4,5</w:t>
      </w:r>
      <w:r w:rsidR="001A5270">
        <w:t> </w:t>
      </w:r>
      <w:r w:rsidR="0001683E">
        <w:t xml:space="preserve">mld. Naopak objem rozdělovaných důchodů společností byl meziročně nižší </w:t>
      </w:r>
      <w:r w:rsidR="001C4AB9">
        <w:t>o </w:t>
      </w:r>
      <w:r w:rsidR="0001683E">
        <w:t>70,6</w:t>
      </w:r>
      <w:r w:rsidR="0032347E">
        <w:t> mld</w:t>
      </w:r>
      <w:r w:rsidR="0001683E">
        <w:t xml:space="preserve">. korun </w:t>
      </w:r>
      <w:r w:rsidR="001C4AB9">
        <w:t>a </w:t>
      </w:r>
      <w:r w:rsidR="0001683E">
        <w:t>dosáhl 29,1</w:t>
      </w:r>
      <w:r w:rsidR="0032347E">
        <w:t> mld</w:t>
      </w:r>
      <w:r w:rsidR="0001683E">
        <w:t>., což bylo za 4.</w:t>
      </w:r>
      <w:r w:rsidR="0032347E">
        <w:t> čtvrtlet</w:t>
      </w:r>
      <w:r w:rsidR="0001683E">
        <w:t>í nejméně od roku 2005.</w:t>
      </w:r>
      <w:r w:rsidR="002A2E87">
        <w:t xml:space="preserve"> Domácí investoři si připsali 40,4</w:t>
      </w:r>
      <w:r w:rsidR="001A5270">
        <w:t> </w:t>
      </w:r>
      <w:r w:rsidR="002A2E87">
        <w:t xml:space="preserve">mld. korun ve formě důchodů z vlastnictví v zahraničí, meziročně </w:t>
      </w:r>
      <w:r w:rsidR="001C4AB9">
        <w:t>o </w:t>
      </w:r>
      <w:r w:rsidR="002A2E87">
        <w:t>1,7</w:t>
      </w:r>
      <w:r w:rsidR="0032347E">
        <w:t> mld</w:t>
      </w:r>
      <w:r w:rsidR="002A2E87">
        <w:t>. méně. Nižší byly zejména reinvestované zisky (</w:t>
      </w:r>
      <w:r w:rsidR="001A5270">
        <w:t>–</w:t>
      </w:r>
      <w:r w:rsidR="002A2E87">
        <w:t>3,8</w:t>
      </w:r>
      <w:r w:rsidR="0032347E">
        <w:t> mld</w:t>
      </w:r>
      <w:r w:rsidR="002A2E87">
        <w:t xml:space="preserve">. korun), </w:t>
      </w:r>
      <w:r w:rsidR="002630D4">
        <w:t xml:space="preserve">naopak </w:t>
      </w:r>
      <w:r w:rsidR="002A2E87">
        <w:t>úroky (+1,9</w:t>
      </w:r>
      <w:r w:rsidR="0032347E">
        <w:t> mld</w:t>
      </w:r>
      <w:r w:rsidR="002A2E87">
        <w:t xml:space="preserve">.) </w:t>
      </w:r>
      <w:r w:rsidR="001C4AB9">
        <w:t>a </w:t>
      </w:r>
      <w:r w:rsidR="002A2E87">
        <w:t>rozdělované důchody společností (+0,7</w:t>
      </w:r>
      <w:r w:rsidR="0032347E">
        <w:t> mld</w:t>
      </w:r>
      <w:r w:rsidR="002A2E87">
        <w:t xml:space="preserve">.) byly vyšší. Čistý odliv </w:t>
      </w:r>
      <w:r w:rsidR="007640A3" w:rsidRPr="00BD40CD">
        <w:t>důchodů z vlastnictví do zahraničí v</w:t>
      </w:r>
      <w:r w:rsidR="00B06174" w:rsidRPr="00BD40CD">
        <w:t>e</w:t>
      </w:r>
      <w:r w:rsidR="00131E21" w:rsidRPr="00BD40CD">
        <w:t xml:space="preserve"> </w:t>
      </w:r>
      <w:r w:rsidR="002A2E87">
        <w:t>4</w:t>
      </w:r>
      <w:r w:rsidR="007640A3" w:rsidRPr="00BD40CD">
        <w:t>.</w:t>
      </w:r>
      <w:r w:rsidR="00B13907" w:rsidRPr="00BD40CD">
        <w:t> čtvrtlet</w:t>
      </w:r>
      <w:r w:rsidR="007640A3" w:rsidRPr="00BD40CD">
        <w:t xml:space="preserve">í 2021 </w:t>
      </w:r>
      <w:r w:rsidR="00B06174" w:rsidRPr="00BD40CD">
        <w:t xml:space="preserve">meziročně vzrostl </w:t>
      </w:r>
      <w:r w:rsidR="008C00A5" w:rsidRPr="00BD40CD">
        <w:t>o </w:t>
      </w:r>
      <w:r w:rsidR="002A2E87">
        <w:t>32,8</w:t>
      </w:r>
      <w:r w:rsidR="008C00A5" w:rsidRPr="00BD40CD">
        <w:t> mld.</w:t>
      </w:r>
      <w:r w:rsidR="00B06174" w:rsidRPr="00BD40CD">
        <w:t xml:space="preserve"> korun </w:t>
      </w:r>
      <w:r w:rsidR="002002A3" w:rsidRPr="00BD40CD">
        <w:t xml:space="preserve">na </w:t>
      </w:r>
      <w:r w:rsidR="002A2E87">
        <w:t>61,4</w:t>
      </w:r>
      <w:r w:rsidR="00B13907" w:rsidRPr="00BD40CD">
        <w:t> mld.</w:t>
      </w:r>
      <w:r w:rsidR="00F93F26">
        <w:t xml:space="preserve"> Za celý rok 2021 si nerezidenti </w:t>
      </w:r>
      <w:r w:rsidR="00FA2E2F">
        <w:t>připsali důchody z vlastnictví ve výši 452,7</w:t>
      </w:r>
      <w:r w:rsidR="0032347E">
        <w:t> mld</w:t>
      </w:r>
      <w:r w:rsidR="00FA2E2F">
        <w:t>. korun</w:t>
      </w:r>
      <w:r w:rsidR="00C232B3">
        <w:t xml:space="preserve">, což bylo </w:t>
      </w:r>
      <w:r w:rsidR="001C4AB9">
        <w:t>o </w:t>
      </w:r>
      <w:r w:rsidR="00C232B3">
        <w:t>21,6</w:t>
      </w:r>
      <w:r w:rsidR="0032347E">
        <w:t> mld</w:t>
      </w:r>
      <w:r w:rsidR="00C232B3">
        <w:t>. více, ale hluboce pod vrcholem z roku 2019</w:t>
      </w:r>
      <w:r w:rsidR="00C232B3">
        <w:rPr>
          <w:rStyle w:val="Znakapoznpodarou"/>
        </w:rPr>
        <w:footnoteReference w:id="22"/>
      </w:r>
      <w:r w:rsidR="00C232B3">
        <w:t>. Vyšší byly reinvestované zisky, které dosáhly 167,7</w:t>
      </w:r>
      <w:r w:rsidR="0032347E">
        <w:t> mld</w:t>
      </w:r>
      <w:r w:rsidR="00C232B3">
        <w:t xml:space="preserve">. korun (+27,0 mld.), ale rozdělované důchody společností se loni celkově snížily </w:t>
      </w:r>
      <w:r w:rsidR="001C4AB9">
        <w:t>o </w:t>
      </w:r>
      <w:r w:rsidR="00C232B3">
        <w:t>8,8</w:t>
      </w:r>
      <w:r w:rsidR="0032347E">
        <w:t> mld</w:t>
      </w:r>
      <w:r w:rsidR="00C232B3">
        <w:t>. na 207,1</w:t>
      </w:r>
      <w:r w:rsidR="0032347E">
        <w:t> mld</w:t>
      </w:r>
      <w:r w:rsidR="00C232B3">
        <w:t>. Domácím investorům v zahraničí náleželo 174,6</w:t>
      </w:r>
      <w:r w:rsidR="0032347E">
        <w:t> mld</w:t>
      </w:r>
      <w:r w:rsidR="00C232B3">
        <w:t>. korun (</w:t>
      </w:r>
      <w:r w:rsidR="001A5270">
        <w:t>–</w:t>
      </w:r>
      <w:r w:rsidR="00C232B3">
        <w:t>18,4</w:t>
      </w:r>
      <w:r w:rsidR="0032347E">
        <w:t> mld</w:t>
      </w:r>
      <w:r w:rsidR="00C232B3">
        <w:t>.) ve formě důchodů z vlastnictví, přičemž se snížily rozdělované důchody společností (</w:t>
      </w:r>
      <w:r w:rsidR="001A5270">
        <w:t>–</w:t>
      </w:r>
      <w:r w:rsidR="00C232B3">
        <w:t>6,1</w:t>
      </w:r>
      <w:r w:rsidR="0032347E">
        <w:t> mld</w:t>
      </w:r>
      <w:r w:rsidR="00C232B3">
        <w:t xml:space="preserve">.) </w:t>
      </w:r>
      <w:r w:rsidR="001C4AB9">
        <w:t>i </w:t>
      </w:r>
      <w:r w:rsidR="00C232B3">
        <w:t>reinvestované zisky (</w:t>
      </w:r>
      <w:r w:rsidR="001A5270">
        <w:t>–</w:t>
      </w:r>
      <w:r w:rsidR="00C232B3">
        <w:t>11,2</w:t>
      </w:r>
      <w:r w:rsidR="0032347E">
        <w:t> mld</w:t>
      </w:r>
      <w:r w:rsidR="00C232B3">
        <w:t>.). Čistý odliv důchodů z vlastnictví do zahraničí loni dosáhl 278,1</w:t>
      </w:r>
      <w:r w:rsidR="0032347E">
        <w:t> mld</w:t>
      </w:r>
      <w:r w:rsidR="00C232B3">
        <w:t xml:space="preserve">. korun </w:t>
      </w:r>
      <w:r w:rsidR="001C4AB9">
        <w:t>a </w:t>
      </w:r>
      <w:r w:rsidR="00C232B3">
        <w:t xml:space="preserve">meziročně se zvýšil </w:t>
      </w:r>
      <w:r w:rsidR="001C4AB9">
        <w:t>o </w:t>
      </w:r>
      <w:r w:rsidR="0002212C">
        <w:t>40,0</w:t>
      </w:r>
      <w:r w:rsidR="0032347E">
        <w:t> mld</w:t>
      </w:r>
      <w:r w:rsidR="0002212C">
        <w:t xml:space="preserve">. </w:t>
      </w:r>
      <w:r w:rsidR="00D33100">
        <w:t>Oproti období let 2013–2019, kdy odliv značně přesahoval 300 mld. korun, ale zůstává nižší.</w:t>
      </w:r>
    </w:p>
    <w:p w14:paraId="3EA73B15" w14:textId="4E75CFB7" w:rsidR="0022219E" w:rsidRDefault="004124F0" w:rsidP="007909AA">
      <w:pPr>
        <w:spacing w:after="120"/>
      </w:pPr>
      <w:r w:rsidRPr="00BD40CD">
        <w:t xml:space="preserve">Domácí ekonomika si ve </w:t>
      </w:r>
      <w:r w:rsidR="00D87206">
        <w:t>4</w:t>
      </w:r>
      <w:r w:rsidRPr="00BD40CD">
        <w:t>.</w:t>
      </w:r>
      <w:r w:rsidR="003D21DB">
        <w:t> čtvrtlet</w:t>
      </w:r>
      <w:r w:rsidR="00C17B2C" w:rsidRPr="00BD40CD">
        <w:t xml:space="preserve">í připsala </w:t>
      </w:r>
      <w:r w:rsidR="00D87206">
        <w:t>20,3</w:t>
      </w:r>
      <w:r w:rsidR="008C00A5" w:rsidRPr="00BD40CD">
        <w:t> mld.</w:t>
      </w:r>
      <w:r w:rsidR="00C17B2C" w:rsidRPr="00BD40CD">
        <w:t xml:space="preserve"> korun ve formě náhrad zaměstnancům (meziročně </w:t>
      </w:r>
      <w:r w:rsidR="008C00A5" w:rsidRPr="00BD40CD">
        <w:t>o </w:t>
      </w:r>
      <w:r w:rsidR="00D87206">
        <w:t>1,2</w:t>
      </w:r>
      <w:r w:rsidR="008C00A5" w:rsidRPr="00BD40CD">
        <w:t> mld.</w:t>
      </w:r>
      <w:r w:rsidR="00C17B2C" w:rsidRPr="00BD40CD">
        <w:t xml:space="preserve"> </w:t>
      </w:r>
      <w:r w:rsidR="00D87206">
        <w:t>více</w:t>
      </w:r>
      <w:r w:rsidR="00C17B2C" w:rsidRPr="00BD40CD">
        <w:t xml:space="preserve">). </w:t>
      </w:r>
      <w:r w:rsidR="00D87206">
        <w:t>D</w:t>
      </w:r>
      <w:r w:rsidR="00B8043F" w:rsidRPr="00BD40CD">
        <w:t>o zahraničí bylo</w:t>
      </w:r>
      <w:r w:rsidR="00D87206">
        <w:t xml:space="preserve"> naopak</w:t>
      </w:r>
      <w:r w:rsidR="00B8043F" w:rsidRPr="00BD40CD">
        <w:t xml:space="preserve"> vyplaceno 1</w:t>
      </w:r>
      <w:r w:rsidRPr="00BD40CD">
        <w:t>5,</w:t>
      </w:r>
      <w:r w:rsidR="00D87206">
        <w:t>7</w:t>
      </w:r>
      <w:r w:rsidR="00B13907" w:rsidRPr="00BD40CD">
        <w:t> mld.</w:t>
      </w:r>
      <w:r w:rsidR="00B8043F" w:rsidRPr="00BD40CD">
        <w:t xml:space="preserve"> korun </w:t>
      </w:r>
      <w:r w:rsidR="00733AC3" w:rsidRPr="00BD40CD">
        <w:t>(+</w:t>
      </w:r>
      <w:r w:rsidRPr="00BD40CD">
        <w:t>2,</w:t>
      </w:r>
      <w:r w:rsidR="00D87206">
        <w:t>2</w:t>
      </w:r>
      <w:r w:rsidR="00B13907" w:rsidRPr="00BD40CD">
        <w:t> mld.</w:t>
      </w:r>
      <w:r w:rsidR="00733AC3" w:rsidRPr="00BD40CD">
        <w:t>)</w:t>
      </w:r>
      <w:r w:rsidR="0000403F">
        <w:t>.</w:t>
      </w:r>
      <w:r w:rsidR="00B8043F" w:rsidRPr="00BD40CD">
        <w:t xml:space="preserve"> </w:t>
      </w:r>
      <w:r w:rsidR="00D87206">
        <w:t>Sa</w:t>
      </w:r>
      <w:r w:rsidR="00C17B2C" w:rsidRPr="00BD40CD">
        <w:t>ldo</w:t>
      </w:r>
      <w:r w:rsidR="00D87206">
        <w:t xml:space="preserve"> zůstalo kladné </w:t>
      </w:r>
      <w:r w:rsidR="001C4AB9">
        <w:t>a </w:t>
      </w:r>
      <w:r w:rsidR="00D87206">
        <w:t>dosáhlo 4,5</w:t>
      </w:r>
      <w:r w:rsidR="0032347E">
        <w:t> mld</w:t>
      </w:r>
      <w:r w:rsidR="00D87206">
        <w:t xml:space="preserve">. korun, což bylo meziročně </w:t>
      </w:r>
      <w:r w:rsidR="001C4AB9">
        <w:t>o </w:t>
      </w:r>
      <w:r w:rsidR="00D87206">
        <w:t>1,0</w:t>
      </w:r>
      <w:r w:rsidR="0032347E">
        <w:t> mld</w:t>
      </w:r>
      <w:r w:rsidR="00D87206">
        <w:t>. méně. Do zahraničí bylo zaplaceno 2,8</w:t>
      </w:r>
      <w:r w:rsidR="0032347E">
        <w:t> mld</w:t>
      </w:r>
      <w:r w:rsidR="00D87206">
        <w:t xml:space="preserve">. korun ve formě daní z výroby </w:t>
      </w:r>
      <w:r w:rsidR="001C4AB9">
        <w:t>a </w:t>
      </w:r>
      <w:r w:rsidR="00D87206">
        <w:t xml:space="preserve">dovozu </w:t>
      </w:r>
      <w:r w:rsidR="001C4AB9">
        <w:t>a </w:t>
      </w:r>
      <w:r w:rsidR="00D87206">
        <w:t xml:space="preserve">naopak ze zahraničí domácí </w:t>
      </w:r>
      <w:r w:rsidR="00D87206">
        <w:lastRenderedPageBreak/>
        <w:t>ekonomika získala dotace ve výši 17,7</w:t>
      </w:r>
      <w:r w:rsidR="0032347E">
        <w:t> mld</w:t>
      </w:r>
      <w:r w:rsidR="00D87206">
        <w:t>.</w:t>
      </w:r>
      <w:r w:rsidR="00F77F8B" w:rsidRPr="00BD40CD">
        <w:t xml:space="preserve"> </w:t>
      </w:r>
      <w:r w:rsidR="00D87206">
        <w:t>S</w:t>
      </w:r>
      <w:r w:rsidR="00F77F8B" w:rsidRPr="00BD40CD">
        <w:t>ald</w:t>
      </w:r>
      <w:r w:rsidR="00D87206">
        <w:t>o</w:t>
      </w:r>
      <w:r w:rsidR="00F77F8B" w:rsidRPr="00BD40CD">
        <w:t xml:space="preserve"> prvotních důchodů</w:t>
      </w:r>
      <w:r w:rsidR="00C17B2C" w:rsidRPr="00BD40CD">
        <w:t xml:space="preserve"> </w:t>
      </w:r>
      <w:r w:rsidR="00D87206">
        <w:t>dosáhlo deficitu 41,9</w:t>
      </w:r>
      <w:r w:rsidR="0032347E">
        <w:t> mld</w:t>
      </w:r>
      <w:r w:rsidR="00D87206">
        <w:t>. korun</w:t>
      </w:r>
      <w:r w:rsidR="00B468DA">
        <w:t>,</w:t>
      </w:r>
      <w:r w:rsidR="00D87206">
        <w:t xml:space="preserve"> </w:t>
      </w:r>
      <w:r w:rsidR="001C4AB9">
        <w:t>a </w:t>
      </w:r>
      <w:r w:rsidR="00D87206">
        <w:t xml:space="preserve">meziročně se tak deficit prohloubil </w:t>
      </w:r>
      <w:r w:rsidR="001C4AB9">
        <w:t>o </w:t>
      </w:r>
      <w:r w:rsidR="00D87206">
        <w:t>34,7</w:t>
      </w:r>
      <w:r w:rsidR="0032347E">
        <w:t> mld</w:t>
      </w:r>
      <w:r w:rsidR="00D87206">
        <w:t>. Za celý rok 2021 domácí ekonomika ze zahraničí obdržela 73,5</w:t>
      </w:r>
      <w:r w:rsidR="0032347E">
        <w:t> mld</w:t>
      </w:r>
      <w:r w:rsidR="00D87206">
        <w:t>. korun ve formě náhrad zaměstnancům (</w:t>
      </w:r>
      <w:r w:rsidR="001A5270">
        <w:t>–</w:t>
      </w:r>
      <w:r w:rsidR="00D87206">
        <w:t>2,8</w:t>
      </w:r>
      <w:r w:rsidR="0032347E">
        <w:t> mld</w:t>
      </w:r>
      <w:r w:rsidR="00D87206">
        <w:t>.). Do zahraničí bylo takto vyplaceno 60,1</w:t>
      </w:r>
      <w:r w:rsidR="0032347E">
        <w:t> mld</w:t>
      </w:r>
      <w:r w:rsidR="00D87206">
        <w:t>. (+8,2</w:t>
      </w:r>
      <w:r w:rsidR="0032347E">
        <w:t> mld</w:t>
      </w:r>
      <w:r w:rsidR="00D87206">
        <w:t>.). Výsledné saldo tak dosáhlo přebytku 13,4</w:t>
      </w:r>
      <w:r w:rsidR="0032347E">
        <w:t> mld</w:t>
      </w:r>
      <w:r w:rsidR="00D87206">
        <w:t xml:space="preserve">. korun, ale ten se snížil </w:t>
      </w:r>
      <w:r w:rsidR="001C4AB9">
        <w:t>o </w:t>
      </w:r>
      <w:r w:rsidR="00D87206">
        <w:t>11,0</w:t>
      </w:r>
      <w:r w:rsidR="0032347E">
        <w:t> mld</w:t>
      </w:r>
      <w:r w:rsidR="00D87206">
        <w:t xml:space="preserve">. Daně z výroby </w:t>
      </w:r>
      <w:r w:rsidR="001C4AB9">
        <w:t>a </w:t>
      </w:r>
      <w:r w:rsidR="00D87206">
        <w:t xml:space="preserve">dovozu zaplacené do zahraničí loni stouply </w:t>
      </w:r>
      <w:r w:rsidR="001C4AB9">
        <w:t>o </w:t>
      </w:r>
      <w:r w:rsidR="00D87206">
        <w:t>1,3</w:t>
      </w:r>
      <w:r w:rsidR="00F95B02">
        <w:t> </w:t>
      </w:r>
      <w:r w:rsidR="00D87206">
        <w:t>mld. korun na 9,7</w:t>
      </w:r>
      <w:r w:rsidR="0032347E">
        <w:t> mld</w:t>
      </w:r>
      <w:r w:rsidR="00D87206">
        <w:t xml:space="preserve">. </w:t>
      </w:r>
      <w:r w:rsidR="001C4AB9">
        <w:t>a </w:t>
      </w:r>
      <w:r w:rsidR="00D87206">
        <w:t>dotace, které domácí ekonomika obdržela</w:t>
      </w:r>
      <w:r w:rsidR="000171CD">
        <w:t>,</w:t>
      </w:r>
      <w:r w:rsidR="00D87206">
        <w:t xml:space="preserve"> </w:t>
      </w:r>
      <w:r w:rsidR="000171CD">
        <w:t xml:space="preserve">vzrostly </w:t>
      </w:r>
      <w:r w:rsidR="001C4AB9">
        <w:t>o </w:t>
      </w:r>
      <w:r w:rsidR="000171CD">
        <w:t>0,7</w:t>
      </w:r>
      <w:r w:rsidR="0032347E">
        <w:t> mld</w:t>
      </w:r>
      <w:r w:rsidR="000171CD">
        <w:t>. na 37,4</w:t>
      </w:r>
      <w:r w:rsidR="0032347E">
        <w:t> mld</w:t>
      </w:r>
      <w:r w:rsidR="000171CD">
        <w:t>. korun.</w:t>
      </w:r>
      <w:r w:rsidR="00002DDA">
        <w:t xml:space="preserve"> Saldo prvotních důchodů za celý loňský rok dosáhlo deficitu 237,1</w:t>
      </w:r>
      <w:r w:rsidR="0032347E">
        <w:t> mld</w:t>
      </w:r>
      <w:r w:rsidR="00002DDA">
        <w:t xml:space="preserve">. korun. Schodek se tak prohloubil </w:t>
      </w:r>
      <w:r w:rsidR="001C4AB9">
        <w:t>o </w:t>
      </w:r>
      <w:r w:rsidR="00002DDA">
        <w:t>52,9</w:t>
      </w:r>
      <w:r w:rsidR="0032347E">
        <w:t> mld</w:t>
      </w:r>
      <w:r w:rsidR="00002DDA">
        <w:t>. korun, ale byl pod úrovní, kterou měl v letech 2007–2019.</w:t>
      </w:r>
    </w:p>
    <w:p w14:paraId="18AD6F3E" w14:textId="155AFE20" w:rsidR="00F5445D" w:rsidRDefault="00916073" w:rsidP="007909AA">
      <w:pPr>
        <w:spacing w:after="120"/>
      </w:pPr>
      <w:r>
        <w:t>Saldo druhotných důchodů ve 4.</w:t>
      </w:r>
      <w:r w:rsidR="0032347E">
        <w:t> čtvrtlet</w:t>
      </w:r>
      <w:r>
        <w:t>í dosáhlo deficitu 17,9</w:t>
      </w:r>
      <w:r w:rsidR="0032347E">
        <w:t> mld</w:t>
      </w:r>
      <w:r>
        <w:t xml:space="preserve">. korun, který se meziročně zmírnil </w:t>
      </w:r>
      <w:r w:rsidR="001C4AB9">
        <w:t>o </w:t>
      </w:r>
      <w:r>
        <w:t>1,2</w:t>
      </w:r>
      <w:r w:rsidR="0032347E">
        <w:t> mld</w:t>
      </w:r>
      <w:r>
        <w:t>. Především velké meziroční zhoršení bilance zahraničního obchodu bylo důvodem výsledného deficitu salda běžných transakcí domácí ekonomiky se zahraničím. Schodek dosáhl 61,9</w:t>
      </w:r>
      <w:r w:rsidR="0032347E">
        <w:t> mld</w:t>
      </w:r>
      <w:r>
        <w:t xml:space="preserve">. korun </w:t>
      </w:r>
      <w:r w:rsidR="001C4AB9">
        <w:t>a </w:t>
      </w:r>
      <w:r>
        <w:t xml:space="preserve">meziročně jde </w:t>
      </w:r>
      <w:r w:rsidR="007460F1">
        <w:t xml:space="preserve">o výsledek horší </w:t>
      </w:r>
      <w:r w:rsidR="001C4AB9">
        <w:t>o </w:t>
      </w:r>
      <w:r>
        <w:t>156,7</w:t>
      </w:r>
      <w:r w:rsidR="0032347E">
        <w:t> mld</w:t>
      </w:r>
      <w:r>
        <w:t>. V rámci 4.</w:t>
      </w:r>
      <w:r w:rsidR="0032347E">
        <w:t> kvartál</w:t>
      </w:r>
      <w:r>
        <w:t>u je deficit poměrně obvyklý</w:t>
      </w:r>
      <w:r w:rsidRPr="00BD40CD">
        <w:rPr>
          <w:rStyle w:val="Znakapoznpodarou"/>
        </w:rPr>
        <w:footnoteReference w:id="23"/>
      </w:r>
      <w:r>
        <w:t xml:space="preserve">, ale loni šlo </w:t>
      </w:r>
      <w:r w:rsidR="001C4AB9">
        <w:t>o </w:t>
      </w:r>
      <w:r>
        <w:t>nejhlubší</w:t>
      </w:r>
      <w:r w:rsidR="00174EEE">
        <w:t xml:space="preserve"> vůbec</w:t>
      </w:r>
      <w:r>
        <w:t xml:space="preserve"> zaznamenaný schodek. Za celý rok 2021 se deficit salda druhotných důchodů zhoršil </w:t>
      </w:r>
      <w:r w:rsidR="001C4AB9">
        <w:t>o </w:t>
      </w:r>
      <w:r w:rsidR="0017145A">
        <w:t>6,4</w:t>
      </w:r>
      <w:r w:rsidR="0032347E">
        <w:t> mld</w:t>
      </w:r>
      <w:r w:rsidR="0017145A">
        <w:t xml:space="preserve">. korun na </w:t>
      </w:r>
      <w:r>
        <w:t>69,6</w:t>
      </w:r>
      <w:r w:rsidR="0032347E">
        <w:t> mld</w:t>
      </w:r>
      <w:r w:rsidR="0017145A">
        <w:t>.</w:t>
      </w:r>
      <w:r w:rsidR="00311A7C">
        <w:t xml:space="preserve"> Saldo běžných transakcí domácí ekonomiky se zahraničím dosáhlo schodku 120,4</w:t>
      </w:r>
      <w:r w:rsidR="0032347E">
        <w:t> mld</w:t>
      </w:r>
      <w:r w:rsidR="00311A7C">
        <w:t>. korun. Z rekordního přebytku, kterého dosáhlo v roce 2020</w:t>
      </w:r>
      <w:r w:rsidR="005F6782">
        <w:t>,</w:t>
      </w:r>
      <w:r w:rsidR="00311A7C">
        <w:t xml:space="preserve"> tak saldo spadlo do obvyklého deficitu. Schodek byl ale nejhlubší od roku 2011.</w:t>
      </w:r>
    </w:p>
    <w:p w14:paraId="238ABB20" w14:textId="7C02B519" w:rsidR="002461C3" w:rsidRPr="00BD40CD" w:rsidRDefault="00C57B79" w:rsidP="00FD6D15">
      <w:pPr>
        <w:spacing w:after="120"/>
        <w:rPr>
          <w:bCs/>
        </w:rPr>
      </w:pPr>
      <w:r>
        <w:t>V podobě kapitálových transferů ze zahraničí přiteklo 21,7</w:t>
      </w:r>
      <w:r w:rsidR="0032347E">
        <w:t> mld</w:t>
      </w:r>
      <w:r>
        <w:t xml:space="preserve">. korun, což bylo meziročně </w:t>
      </w:r>
      <w:r w:rsidR="001C4AB9">
        <w:t>o </w:t>
      </w:r>
      <w:r>
        <w:t>4,0 mld. více. Z toho naprostou většinu</w:t>
      </w:r>
      <w:r w:rsidR="00E26E70">
        <w:t> –</w:t>
      </w:r>
      <w:r>
        <w:t xml:space="preserve"> 20,5</w:t>
      </w:r>
      <w:r w:rsidR="0032347E">
        <w:t> mld</w:t>
      </w:r>
      <w:r>
        <w:t>. korun (+3,1</w:t>
      </w:r>
      <w:r w:rsidR="0032347E">
        <w:t> mld</w:t>
      </w:r>
      <w:r>
        <w:t>.)</w:t>
      </w:r>
      <w:r w:rsidR="00E26E70">
        <w:t> –</w:t>
      </w:r>
      <w:r>
        <w:t xml:space="preserve"> tvořily investiční dotace. </w:t>
      </w:r>
      <w:r w:rsidR="00FD6D15" w:rsidRPr="00BD40CD">
        <w:t xml:space="preserve">Celkové saldo kapitálových transferů mezi domácí ekonomikou </w:t>
      </w:r>
      <w:r w:rsidR="008C00A5" w:rsidRPr="00BD40CD">
        <w:t>a </w:t>
      </w:r>
      <w:r w:rsidR="00FD6D15" w:rsidRPr="00BD40CD">
        <w:t xml:space="preserve">zahraničím činilo </w:t>
      </w:r>
      <w:r w:rsidR="008A6342" w:rsidRPr="00BD40CD">
        <w:t>20,</w:t>
      </w:r>
      <w:r>
        <w:t>1</w:t>
      </w:r>
      <w:r w:rsidR="008C00A5" w:rsidRPr="00BD40CD">
        <w:t> mld.</w:t>
      </w:r>
      <w:r w:rsidR="00FD6D15" w:rsidRPr="00BD40CD">
        <w:t xml:space="preserve"> korun,</w:t>
      </w:r>
      <w:r w:rsidR="00613EF0" w:rsidRPr="00BD40CD">
        <w:t xml:space="preserve"> meziročně</w:t>
      </w:r>
      <w:r w:rsidR="00FD6D15" w:rsidRPr="00BD40CD">
        <w:t xml:space="preserve"> </w:t>
      </w:r>
      <w:r w:rsidR="000F6E26" w:rsidRPr="00BD40CD">
        <w:t>o</w:t>
      </w:r>
      <w:r w:rsidR="000F6E26">
        <w:t> </w:t>
      </w:r>
      <w:r>
        <w:t>3,7</w:t>
      </w:r>
      <w:r w:rsidR="003D21DB">
        <w:t> mld</w:t>
      </w:r>
      <w:r w:rsidR="00613EF0" w:rsidRPr="00BD40CD">
        <w:t>. více.</w:t>
      </w:r>
      <w:r w:rsidR="00FD6D15" w:rsidRPr="00BD40CD">
        <w:t xml:space="preserve"> Domácí ekonomika </w:t>
      </w:r>
      <w:r w:rsidR="00CD0981">
        <w:t xml:space="preserve">se ve </w:t>
      </w:r>
      <w:r>
        <w:t>4</w:t>
      </w:r>
      <w:r w:rsidR="00CD0981">
        <w:t xml:space="preserve">. čtvrtletí dostala vůči zahraničí </w:t>
      </w:r>
      <w:r w:rsidR="00613EF0" w:rsidRPr="00BD40CD">
        <w:t>do č</w:t>
      </w:r>
      <w:r w:rsidR="00FD6D15" w:rsidRPr="00BD40CD">
        <w:t xml:space="preserve">isté </w:t>
      </w:r>
      <w:r w:rsidR="00613EF0" w:rsidRPr="00BD40CD">
        <w:t xml:space="preserve">záporné </w:t>
      </w:r>
      <w:r w:rsidR="00FD6D15" w:rsidRPr="00BD40CD">
        <w:t>pozic</w:t>
      </w:r>
      <w:r w:rsidR="00613EF0" w:rsidRPr="00BD40CD">
        <w:t>e</w:t>
      </w:r>
      <w:r w:rsidR="00FD6D15" w:rsidRPr="00BD40CD">
        <w:t xml:space="preserve"> </w:t>
      </w:r>
      <w:r w:rsidR="008C00A5" w:rsidRPr="00BD40CD">
        <w:t>a </w:t>
      </w:r>
      <w:r w:rsidR="00FD6D15" w:rsidRPr="00BD40CD">
        <w:t>č</w:t>
      </w:r>
      <w:r w:rsidR="00B70ECD" w:rsidRPr="00BD40CD">
        <w:t xml:space="preserve">isté </w:t>
      </w:r>
      <w:r w:rsidR="00613EF0" w:rsidRPr="00BD40CD">
        <w:t>vý</w:t>
      </w:r>
      <w:r w:rsidR="00B70ECD" w:rsidRPr="00BD40CD">
        <w:t xml:space="preserve">půjčky </w:t>
      </w:r>
      <w:r w:rsidR="00FD6D15" w:rsidRPr="00BD40CD">
        <w:t xml:space="preserve">činily </w:t>
      </w:r>
      <w:r>
        <w:t>26,5</w:t>
      </w:r>
      <w:r w:rsidR="008C00A5" w:rsidRPr="00BD40CD">
        <w:t> mld.</w:t>
      </w:r>
      <w:r w:rsidR="00FD6D15" w:rsidRPr="00BD40CD">
        <w:t xml:space="preserve"> korun (meziročně </w:t>
      </w:r>
      <w:r w:rsidR="008C00A5" w:rsidRPr="00BD40CD">
        <w:t>o </w:t>
      </w:r>
      <w:r w:rsidR="00613EF0" w:rsidRPr="00BD40CD">
        <w:t>1</w:t>
      </w:r>
      <w:r>
        <w:t>33,4</w:t>
      </w:r>
      <w:r w:rsidR="00CD547F" w:rsidRPr="00BD40CD">
        <w:t> </w:t>
      </w:r>
      <w:r w:rsidR="00FD6D15" w:rsidRPr="00BD40CD">
        <w:t xml:space="preserve">mld. </w:t>
      </w:r>
      <w:r w:rsidR="00613EF0" w:rsidRPr="00BD40CD">
        <w:t>horší</w:t>
      </w:r>
      <w:r w:rsidR="00FD6D15" w:rsidRPr="00BD40CD">
        <w:t xml:space="preserve"> výsledek).</w:t>
      </w:r>
      <w:r>
        <w:t xml:space="preserve"> Za celý rok 2021 si česká ekonomika připsala 83,7</w:t>
      </w:r>
      <w:r w:rsidR="0032347E">
        <w:t> mld</w:t>
      </w:r>
      <w:r>
        <w:t xml:space="preserve">. korun ve formě kapitálových transferů ze zahraničí, meziročně </w:t>
      </w:r>
      <w:r w:rsidR="001C4AB9">
        <w:t>o </w:t>
      </w:r>
      <w:r>
        <w:t>12,2</w:t>
      </w:r>
      <w:r w:rsidR="0032347E">
        <w:t> mld</w:t>
      </w:r>
      <w:r>
        <w:t>. více. Z toho 69,5</w:t>
      </w:r>
      <w:r w:rsidR="0032347E">
        <w:t> mld</w:t>
      </w:r>
      <w:r>
        <w:t>. korun (přibližně stejně jako v roce 2020) tvořily investiční dotace, ale mimořádně se navýšil objem ostatních kapitálových transferů (14,2</w:t>
      </w:r>
      <w:r w:rsidR="0032347E">
        <w:t> mld</w:t>
      </w:r>
      <w:r>
        <w:t xml:space="preserve">., meziročně více </w:t>
      </w:r>
      <w:r w:rsidR="001C4AB9">
        <w:t>o </w:t>
      </w:r>
      <w:r>
        <w:t>11,8</w:t>
      </w:r>
      <w:r w:rsidR="0032347E">
        <w:t> mld</w:t>
      </w:r>
      <w:r>
        <w:t>.).</w:t>
      </w:r>
      <w:r w:rsidR="00340A26">
        <w:t xml:space="preserve"> Celkově loni saldo kapitálových transferů dosáhlo přebytku 71,9</w:t>
      </w:r>
      <w:r w:rsidR="0032347E">
        <w:t> mld</w:t>
      </w:r>
      <w:r w:rsidR="00340A26">
        <w:t>. korun (+8,5</w:t>
      </w:r>
      <w:r w:rsidR="0032347E">
        <w:t> mld</w:t>
      </w:r>
      <w:r w:rsidR="00340A26">
        <w:t>.)</w:t>
      </w:r>
      <w:r w:rsidR="00E1126E">
        <w:t>, což byla nejvyšší úroveň od roku 2015</w:t>
      </w:r>
      <w:r w:rsidR="00340A26">
        <w:t>.</w:t>
      </w:r>
      <w:r w:rsidR="005D0716">
        <w:t xml:space="preserve"> Čistá pozice d</w:t>
      </w:r>
      <w:r w:rsidR="005D0716" w:rsidRPr="00BD40CD">
        <w:t>omácí ekonomik</w:t>
      </w:r>
      <w:r w:rsidR="005D0716">
        <w:t xml:space="preserve">y vůči zahraničí byla za celý rok 2021 záporná </w:t>
      </w:r>
      <w:r w:rsidR="001C4AB9">
        <w:t>a </w:t>
      </w:r>
      <w:r w:rsidR="005D0716">
        <w:t>čisté výpůjčky dosáhly 34,3</w:t>
      </w:r>
      <w:r w:rsidR="001A5270">
        <w:t> </w:t>
      </w:r>
      <w:r w:rsidR="005D0716">
        <w:t xml:space="preserve">mld. korun </w:t>
      </w:r>
      <w:r w:rsidR="005D0716" w:rsidRPr="00BD40CD">
        <w:t>(meziročně o </w:t>
      </w:r>
      <w:r w:rsidR="005D0716">
        <w:t>246,0</w:t>
      </w:r>
      <w:r w:rsidR="005D0716" w:rsidRPr="00BD40CD">
        <w:t> mld. horší výsledek).</w:t>
      </w:r>
    </w:p>
    <w:p w14:paraId="40794951" w14:textId="49A6EACE" w:rsidR="007B1333" w:rsidRPr="00BD40CD" w:rsidRDefault="007B1333" w:rsidP="00E42E00">
      <w:pPr>
        <w:rPr>
          <w:b/>
        </w:rPr>
      </w:pPr>
      <w:r w:rsidRPr="00BD40CD">
        <w:rPr>
          <w:b/>
        </w:rPr>
        <w:t>Autor/Kontakt/Zpracoval</w:t>
      </w:r>
      <w:r w:rsidR="004C52C6" w:rsidRPr="00BD40CD">
        <w:rPr>
          <w:b/>
        </w:rPr>
        <w:t>a</w:t>
      </w:r>
    </w:p>
    <w:p w14:paraId="07FE70A9" w14:textId="77777777" w:rsidR="007B1333" w:rsidRPr="00BD40CD" w:rsidRDefault="00656A12" w:rsidP="00E42E00">
      <w:r w:rsidRPr="00BD40CD">
        <w:t>Karolína Zábojníková</w:t>
      </w:r>
    </w:p>
    <w:p w14:paraId="4734BAC4" w14:textId="77777777" w:rsidR="007B1333" w:rsidRPr="00BD40CD" w:rsidRDefault="00656A12" w:rsidP="00E42E00">
      <w:r w:rsidRPr="00BD40CD">
        <w:t>Odbor Kancelář předsedy</w:t>
      </w:r>
    </w:p>
    <w:p w14:paraId="4CEDD3F5" w14:textId="3D4E0FEB" w:rsidR="007B1333" w:rsidRPr="00BD40CD" w:rsidRDefault="007B1333" w:rsidP="00E42E00">
      <w:r w:rsidRPr="00BD40CD">
        <w:t>Tel.:</w:t>
      </w:r>
      <w:r w:rsidR="00656A12" w:rsidRPr="00BD40CD">
        <w:t xml:space="preserve"> 542</w:t>
      </w:r>
      <w:r w:rsidR="0038007D" w:rsidRPr="00BD40CD">
        <w:t> </w:t>
      </w:r>
      <w:r w:rsidR="00656A12" w:rsidRPr="00BD40CD">
        <w:t>528</w:t>
      </w:r>
      <w:r w:rsidR="0038007D" w:rsidRPr="00BD40CD">
        <w:t> </w:t>
      </w:r>
      <w:r w:rsidR="00656A12" w:rsidRPr="00BD40CD">
        <w:t>112</w:t>
      </w:r>
    </w:p>
    <w:p w14:paraId="5AE94747" w14:textId="77777777" w:rsidR="004920AD" w:rsidRPr="00BD40CD" w:rsidRDefault="007B1333" w:rsidP="00E42E00">
      <w:r w:rsidRPr="00BD40CD">
        <w:t>E-mail:</w:t>
      </w:r>
      <w:r w:rsidR="00346D76" w:rsidRPr="00BD40CD">
        <w:t xml:space="preserve"> karolina.zabojnikova@czso.cz</w:t>
      </w:r>
    </w:p>
    <w:sectPr w:rsidR="004920AD" w:rsidRPr="00BD40CD" w:rsidSect="00247E8D">
      <w:headerReference w:type="default" r:id="rId12"/>
      <w:footerReference w:type="default" r:id="rId13"/>
      <w:pgSz w:w="11907" w:h="16839" w:code="9"/>
      <w:pgMar w:top="2948" w:right="1418" w:bottom="1985" w:left="1985" w:header="720" w:footer="85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063A7" w16cex:dateUtc="2022-04-12T18:46:00Z"/>
  <w16cex:commentExtensible w16cex:durableId="26007854" w16cex:dateUtc="2022-04-12T20:14:00Z"/>
  <w16cex:commentExtensible w16cex:durableId="26005A68" w16cex:dateUtc="2022-04-12T18:07:00Z"/>
  <w16cex:commentExtensible w16cex:durableId="260288A9" w16cex:dateUtc="2022-04-14T09:48:00Z"/>
  <w16cex:commentExtensible w16cex:durableId="26005AB5" w16cex:dateUtc="2022-04-12T18:08:00Z"/>
  <w16cex:commentExtensible w16cex:durableId="260073BD" w16cex:dateUtc="2022-04-12T19:55:00Z"/>
  <w16cex:commentExtensible w16cex:durableId="2601C599" w16cex:dateUtc="2022-04-13T19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D2DFA0" w16cid:durableId="260063A7"/>
  <w16cid:commentId w16cid:paraId="382084DA" w16cid:durableId="26007854"/>
  <w16cid:commentId w16cid:paraId="04BCCB52" w16cid:durableId="26005A68"/>
  <w16cid:commentId w16cid:paraId="7866851A" w16cid:durableId="260288A9"/>
  <w16cid:commentId w16cid:paraId="20A988A0" w16cid:durableId="26005AB5"/>
  <w16cid:commentId w16cid:paraId="0D70F56A" w16cid:durableId="260073BD"/>
  <w16cid:commentId w16cid:paraId="0F3F9BDB" w16cid:durableId="2601C5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DA8A0" w14:textId="77777777" w:rsidR="0026186F" w:rsidRDefault="0026186F" w:rsidP="00BA6370">
      <w:r>
        <w:separator/>
      </w:r>
    </w:p>
  </w:endnote>
  <w:endnote w:type="continuationSeparator" w:id="0">
    <w:p w14:paraId="17BC9322" w14:textId="77777777" w:rsidR="0026186F" w:rsidRDefault="0026186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28405"/>
      <w:docPartObj>
        <w:docPartGallery w:val="Page Numbers (Bottom of Page)"/>
        <w:docPartUnique/>
      </w:docPartObj>
    </w:sdtPr>
    <w:sdtEndPr/>
    <w:sdtContent>
      <w:p w14:paraId="17686819" w14:textId="1812FC1F" w:rsidR="006A79D4" w:rsidRDefault="006A79D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80D">
          <w:rPr>
            <w:noProof/>
          </w:rPr>
          <w:t>11</w:t>
        </w:r>
        <w:r>
          <w:fldChar w:fldCharType="end"/>
        </w:r>
      </w:p>
    </w:sdtContent>
  </w:sdt>
  <w:p w14:paraId="67E19D24" w14:textId="77777777" w:rsidR="006A79D4" w:rsidRDefault="006A79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FFC3F" w14:textId="77777777" w:rsidR="0026186F" w:rsidRDefault="0026186F" w:rsidP="00BA6370">
      <w:r>
        <w:separator/>
      </w:r>
    </w:p>
  </w:footnote>
  <w:footnote w:type="continuationSeparator" w:id="0">
    <w:p w14:paraId="20534D4F" w14:textId="77777777" w:rsidR="0026186F" w:rsidRDefault="0026186F" w:rsidP="00BA6370">
      <w:r>
        <w:continuationSeparator/>
      </w:r>
    </w:p>
  </w:footnote>
  <w:footnote w:id="1">
    <w:p w14:paraId="7B0F872C" w14:textId="547551AC" w:rsidR="00633794" w:rsidRPr="00F5750C" w:rsidRDefault="00633794" w:rsidP="00633794">
      <w:pPr>
        <w:pStyle w:val="Textpoznpodarou"/>
        <w:rPr>
          <w:sz w:val="16"/>
          <w:szCs w:val="16"/>
        </w:rPr>
      </w:pPr>
      <w:r w:rsidRPr="00F5750C">
        <w:rPr>
          <w:rStyle w:val="Znakapoznpodarou"/>
          <w:sz w:val="16"/>
          <w:szCs w:val="16"/>
        </w:rPr>
        <w:footnoteRef/>
      </w:r>
      <w:r w:rsidRPr="00F5750C">
        <w:rPr>
          <w:sz w:val="16"/>
          <w:szCs w:val="16"/>
        </w:rPr>
        <w:t xml:space="preserve"> Není</w:t>
      </w:r>
      <w:r w:rsidR="001A5270">
        <w:rPr>
          <w:sz w:val="16"/>
          <w:szCs w:val="16"/>
        </w:rPr>
        <w:t>-</w:t>
      </w:r>
      <w:r w:rsidRPr="00F5750C">
        <w:rPr>
          <w:sz w:val="16"/>
          <w:szCs w:val="16"/>
        </w:rPr>
        <w:t>li uvedeno jinak, jsou všechny údaje použité v textu bez sezónního očištění.</w:t>
      </w:r>
    </w:p>
  </w:footnote>
  <w:footnote w:id="2">
    <w:p w14:paraId="3242134B" w14:textId="3E99B41F" w:rsidR="00633794" w:rsidRPr="0006237B" w:rsidRDefault="00633794" w:rsidP="00633794">
      <w:pPr>
        <w:pStyle w:val="Textpoznpodarou"/>
        <w:rPr>
          <w:sz w:val="16"/>
          <w:szCs w:val="16"/>
        </w:rPr>
      </w:pPr>
      <w:r w:rsidRPr="0006237B">
        <w:rPr>
          <w:rStyle w:val="Znakapoznpodarou"/>
          <w:sz w:val="16"/>
          <w:szCs w:val="16"/>
        </w:rPr>
        <w:footnoteRef/>
      </w:r>
      <w:r w:rsidRPr="0006237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Do reálného vyjádření převedeno s pomocí </w:t>
      </w:r>
      <w:r w:rsidRPr="0006237B">
        <w:rPr>
          <w:sz w:val="16"/>
          <w:szCs w:val="16"/>
        </w:rPr>
        <w:t>celkov</w:t>
      </w:r>
      <w:r>
        <w:rPr>
          <w:sz w:val="16"/>
          <w:szCs w:val="16"/>
        </w:rPr>
        <w:t>ého</w:t>
      </w:r>
      <w:r w:rsidRPr="0006237B">
        <w:rPr>
          <w:sz w:val="16"/>
          <w:szCs w:val="16"/>
        </w:rPr>
        <w:t xml:space="preserve"> deflátor</w:t>
      </w:r>
      <w:r>
        <w:rPr>
          <w:sz w:val="16"/>
          <w:szCs w:val="16"/>
        </w:rPr>
        <w:t>u</w:t>
      </w:r>
      <w:r w:rsidRPr="0006237B">
        <w:rPr>
          <w:sz w:val="16"/>
          <w:szCs w:val="16"/>
        </w:rPr>
        <w:t xml:space="preserve"> HPH.</w:t>
      </w:r>
      <w:r>
        <w:rPr>
          <w:sz w:val="16"/>
          <w:szCs w:val="16"/>
        </w:rPr>
        <w:t xml:space="preserve"> Ve 4. čtvrtletí 2021 dosahoval meziroční deflátor HPH 2,6 %</w:t>
      </w:r>
      <w:r w:rsidR="003A55A7">
        <w:rPr>
          <w:sz w:val="16"/>
          <w:szCs w:val="16"/>
        </w:rPr>
        <w:t xml:space="preserve">, za celý rok 2021 to </w:t>
      </w:r>
      <w:r w:rsidR="00CC098E">
        <w:rPr>
          <w:sz w:val="16"/>
          <w:szCs w:val="16"/>
        </w:rPr>
        <w:t xml:space="preserve">byla </w:t>
      </w:r>
      <w:r w:rsidR="003A55A7">
        <w:rPr>
          <w:sz w:val="16"/>
          <w:szCs w:val="16"/>
        </w:rPr>
        <w:t>4,0</w:t>
      </w:r>
      <w:r w:rsidR="0032347E">
        <w:rPr>
          <w:sz w:val="16"/>
          <w:szCs w:val="16"/>
        </w:rPr>
        <w:t> %</w:t>
      </w:r>
      <w:r>
        <w:rPr>
          <w:sz w:val="16"/>
          <w:szCs w:val="16"/>
        </w:rPr>
        <w:t>.</w:t>
      </w:r>
    </w:p>
  </w:footnote>
  <w:footnote w:id="3">
    <w:p w14:paraId="48C1BA82" w14:textId="77777777" w:rsidR="00DB7C60" w:rsidRPr="000F11C8" w:rsidRDefault="00DB7C60" w:rsidP="00DB7C60">
      <w:pPr>
        <w:pStyle w:val="Textpoznpodarou"/>
        <w:rPr>
          <w:sz w:val="16"/>
          <w:szCs w:val="16"/>
        </w:rPr>
      </w:pPr>
      <w:r w:rsidRPr="000F11C8">
        <w:rPr>
          <w:rStyle w:val="Znakapoznpodarou"/>
          <w:sz w:val="16"/>
          <w:szCs w:val="16"/>
        </w:rPr>
        <w:footnoteRef/>
      </w:r>
      <w:r w:rsidRPr="000F11C8">
        <w:rPr>
          <w:sz w:val="16"/>
          <w:szCs w:val="16"/>
        </w:rPr>
        <w:t xml:space="preserve"> V</w:t>
      </w:r>
      <w:r>
        <w:rPr>
          <w:sz w:val="16"/>
          <w:szCs w:val="16"/>
        </w:rPr>
        <w:t> </w:t>
      </w:r>
      <w:r w:rsidRPr="000F11C8">
        <w:rPr>
          <w:sz w:val="16"/>
          <w:szCs w:val="16"/>
        </w:rPr>
        <w:t>osobách</w:t>
      </w:r>
      <w:r>
        <w:rPr>
          <w:sz w:val="16"/>
          <w:szCs w:val="16"/>
        </w:rPr>
        <w:t>;</w:t>
      </w:r>
      <w:r w:rsidRPr="000F11C8">
        <w:rPr>
          <w:sz w:val="16"/>
          <w:szCs w:val="16"/>
        </w:rPr>
        <w:t xml:space="preserve"> úvazky přepočteny na plnou pracovní dobu.</w:t>
      </w:r>
    </w:p>
  </w:footnote>
  <w:footnote w:id="4">
    <w:p w14:paraId="38B3E58F" w14:textId="5FBFD6CE" w:rsidR="008E7E4F" w:rsidRPr="008E7E4F" w:rsidRDefault="008E7E4F">
      <w:pPr>
        <w:pStyle w:val="Textpoznpodarou"/>
        <w:rPr>
          <w:sz w:val="16"/>
          <w:szCs w:val="16"/>
        </w:rPr>
      </w:pPr>
      <w:r w:rsidRPr="008E7E4F">
        <w:rPr>
          <w:rStyle w:val="Znakapoznpodarou"/>
          <w:sz w:val="16"/>
          <w:szCs w:val="16"/>
        </w:rPr>
        <w:footnoteRef/>
      </w:r>
      <w:r w:rsidRPr="008E7E4F">
        <w:rPr>
          <w:sz w:val="16"/>
          <w:szCs w:val="16"/>
        </w:rPr>
        <w:t xml:space="preserve"> Ty dosáhly loni 28,7</w:t>
      </w:r>
      <w:r w:rsidR="0032347E">
        <w:rPr>
          <w:sz w:val="16"/>
          <w:szCs w:val="16"/>
        </w:rPr>
        <w:t> mld</w:t>
      </w:r>
      <w:r w:rsidRPr="008E7E4F">
        <w:rPr>
          <w:sz w:val="16"/>
          <w:szCs w:val="16"/>
        </w:rPr>
        <w:t xml:space="preserve">. korun, což bylo meziročně </w:t>
      </w:r>
      <w:r w:rsidR="001C4AB9" w:rsidRPr="008E7E4F">
        <w:rPr>
          <w:sz w:val="16"/>
          <w:szCs w:val="16"/>
        </w:rPr>
        <w:t>o</w:t>
      </w:r>
      <w:r w:rsidR="001C4AB9">
        <w:rPr>
          <w:sz w:val="16"/>
          <w:szCs w:val="16"/>
        </w:rPr>
        <w:t> </w:t>
      </w:r>
      <w:r w:rsidRPr="008E7E4F">
        <w:rPr>
          <w:sz w:val="16"/>
          <w:szCs w:val="16"/>
        </w:rPr>
        <w:t>3,3</w:t>
      </w:r>
      <w:r w:rsidR="0032347E">
        <w:rPr>
          <w:sz w:val="16"/>
          <w:szCs w:val="16"/>
        </w:rPr>
        <w:t> mld</w:t>
      </w:r>
      <w:r w:rsidRPr="008E7E4F">
        <w:rPr>
          <w:sz w:val="16"/>
          <w:szCs w:val="16"/>
        </w:rPr>
        <w:t>. méně. V roce 2019 ale položka činila 8,8</w:t>
      </w:r>
      <w:r w:rsidR="0032347E">
        <w:rPr>
          <w:sz w:val="16"/>
          <w:szCs w:val="16"/>
        </w:rPr>
        <w:t> mld</w:t>
      </w:r>
      <w:r w:rsidRPr="008E7E4F">
        <w:rPr>
          <w:sz w:val="16"/>
          <w:szCs w:val="16"/>
        </w:rPr>
        <w:t>. korun.</w:t>
      </w:r>
    </w:p>
  </w:footnote>
  <w:footnote w:id="5">
    <w:p w14:paraId="5C6766C4" w14:textId="17D023E1" w:rsidR="006220ED" w:rsidRPr="00EE227D" w:rsidRDefault="006220ED" w:rsidP="006220ED">
      <w:pPr>
        <w:pStyle w:val="Textpoznpodarou"/>
        <w:rPr>
          <w:sz w:val="16"/>
          <w:szCs w:val="16"/>
        </w:rPr>
      </w:pPr>
      <w:r w:rsidRPr="00EE227D">
        <w:rPr>
          <w:rStyle w:val="Znakapoznpodarou"/>
          <w:sz w:val="16"/>
          <w:szCs w:val="16"/>
        </w:rPr>
        <w:footnoteRef/>
      </w:r>
      <w:r w:rsidRPr="00EE227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Dotace související s pandemií dosahovaly vrcholu v první polovině roku 2021 </w:t>
      </w:r>
      <w:r w:rsidR="001C4AB9">
        <w:rPr>
          <w:sz w:val="16"/>
          <w:szCs w:val="16"/>
        </w:rPr>
        <w:t>a </w:t>
      </w:r>
      <w:r>
        <w:rPr>
          <w:sz w:val="16"/>
          <w:szCs w:val="16"/>
        </w:rPr>
        <w:t xml:space="preserve">zahrnovaly prostředky v rámci </w:t>
      </w:r>
      <w:r w:rsidRPr="005D0714">
        <w:rPr>
          <w:sz w:val="16"/>
          <w:szCs w:val="16"/>
        </w:rPr>
        <w:t>program</w:t>
      </w:r>
      <w:r>
        <w:rPr>
          <w:sz w:val="16"/>
          <w:szCs w:val="16"/>
        </w:rPr>
        <w:t>ů</w:t>
      </w:r>
      <w:r w:rsidRPr="005D0714">
        <w:rPr>
          <w:sz w:val="16"/>
          <w:szCs w:val="16"/>
        </w:rPr>
        <w:t xml:space="preserve"> COVID nájemné pro podnikatele</w:t>
      </w:r>
      <w:r>
        <w:rPr>
          <w:sz w:val="16"/>
          <w:szCs w:val="16"/>
        </w:rPr>
        <w:t>, COVID ubytování a dalších. Informace o pohybech ve statistice výdajů a příjmů vládních institucí jsou obsaženy v metodické poznámce zveřejněné na</w:t>
      </w:r>
      <w:r w:rsidR="00174EEE">
        <w:rPr>
          <w:sz w:val="16"/>
          <w:szCs w:val="16"/>
        </w:rPr>
        <w:t xml:space="preserve"> </w:t>
      </w:r>
      <w:hyperlink r:id="rId1" w:history="1">
        <w:r w:rsidR="001C4AB9" w:rsidRPr="001C4AB9">
          <w:rPr>
            <w:rStyle w:val="Hypertextovodkaz"/>
            <w:sz w:val="16"/>
            <w:szCs w:val="16"/>
          </w:rPr>
          <w:t>https://www.czso.cz/csu/czso/metodicka–poznamka-k-vladni-financni-statistice-2020-covid-19</w:t>
        </w:r>
        <w:r w:rsidR="001C4AB9" w:rsidRPr="00DD42C1">
          <w:rPr>
            <w:rStyle w:val="Hypertextovodkaz"/>
            <w:sz w:val="16"/>
            <w:szCs w:val="16"/>
          </w:rPr>
          <w:t>-01042021</w:t>
        </w:r>
      </w:hyperlink>
      <w:r w:rsidRPr="00E77C6D">
        <w:rPr>
          <w:rStyle w:val="Hypertextovodkaz"/>
          <w:color w:val="auto"/>
          <w:sz w:val="16"/>
          <w:szCs w:val="16"/>
          <w:u w:val="none"/>
        </w:rPr>
        <w:t>.</w:t>
      </w:r>
    </w:p>
  </w:footnote>
  <w:footnote w:id="6">
    <w:p w14:paraId="1C60BBD1" w14:textId="77777777" w:rsidR="006A79D4" w:rsidRPr="0006237B" w:rsidRDefault="006A79D4" w:rsidP="0076719B">
      <w:pPr>
        <w:pStyle w:val="Textpoznpodarou"/>
        <w:rPr>
          <w:sz w:val="16"/>
          <w:szCs w:val="16"/>
        </w:rPr>
      </w:pPr>
      <w:r w:rsidRPr="0006237B">
        <w:rPr>
          <w:rStyle w:val="Znakapoznpodarou"/>
          <w:sz w:val="16"/>
          <w:szCs w:val="16"/>
        </w:rPr>
        <w:footnoteRef/>
      </w:r>
      <w:r w:rsidRPr="0006237B">
        <w:rPr>
          <w:sz w:val="16"/>
          <w:szCs w:val="16"/>
        </w:rPr>
        <w:t xml:space="preserve"> </w:t>
      </w:r>
      <w:r w:rsidRPr="0006237B">
        <w:rPr>
          <w:rFonts w:eastAsiaTheme="minorHAnsi" w:cs="Arial"/>
          <w:bCs/>
          <w:iCs/>
          <w:sz w:val="16"/>
          <w:szCs w:val="16"/>
          <w:lang w:eastAsia="en-US"/>
        </w:rPr>
        <w:t xml:space="preserve">Míra zisku nefinančních podniků </w:t>
      </w:r>
      <w:r w:rsidRPr="0006237B">
        <w:rPr>
          <w:rFonts w:eastAsiaTheme="minorHAnsi" w:cs="Arial"/>
          <w:iCs/>
          <w:sz w:val="16"/>
          <w:szCs w:val="16"/>
          <w:lang w:eastAsia="en-US"/>
        </w:rPr>
        <w:t>je definována jako podíl hrubého provozního přebytku k</w:t>
      </w:r>
      <w:r>
        <w:rPr>
          <w:rFonts w:eastAsiaTheme="minorHAnsi" w:cs="Arial"/>
          <w:iCs/>
          <w:sz w:val="16"/>
          <w:szCs w:val="16"/>
          <w:lang w:eastAsia="en-US"/>
        </w:rPr>
        <w:t> </w:t>
      </w:r>
      <w:r w:rsidRPr="0006237B">
        <w:rPr>
          <w:rFonts w:eastAsiaTheme="minorHAnsi" w:cs="Arial"/>
          <w:iCs/>
          <w:sz w:val="16"/>
          <w:szCs w:val="16"/>
          <w:lang w:eastAsia="en-US"/>
        </w:rPr>
        <w:t>hrubé přidané hodnotě (B.2g</w:t>
      </w:r>
      <w:r>
        <w:rPr>
          <w:rFonts w:eastAsiaTheme="minorHAnsi" w:cs="Arial"/>
          <w:iCs/>
          <w:sz w:val="16"/>
          <w:szCs w:val="16"/>
          <w:lang w:eastAsia="en-US"/>
        </w:rPr>
        <w:t> </w:t>
      </w:r>
      <w:r w:rsidRPr="0006237B">
        <w:rPr>
          <w:rFonts w:eastAsiaTheme="minorHAnsi" w:cs="Arial"/>
          <w:iCs/>
          <w:sz w:val="16"/>
          <w:szCs w:val="16"/>
          <w:lang w:eastAsia="en-US"/>
        </w:rPr>
        <w:t>/</w:t>
      </w:r>
      <w:r>
        <w:rPr>
          <w:rFonts w:eastAsiaTheme="minorHAnsi" w:cs="Arial"/>
          <w:iCs/>
          <w:sz w:val="16"/>
          <w:szCs w:val="16"/>
          <w:lang w:eastAsia="en-US"/>
        </w:rPr>
        <w:t> </w:t>
      </w:r>
      <w:r w:rsidRPr="0006237B">
        <w:rPr>
          <w:rFonts w:eastAsiaTheme="minorHAnsi" w:cs="Arial"/>
          <w:iCs/>
          <w:sz w:val="16"/>
          <w:szCs w:val="16"/>
          <w:lang w:eastAsia="en-US"/>
        </w:rPr>
        <w:t>B.1g).</w:t>
      </w:r>
    </w:p>
  </w:footnote>
  <w:footnote w:id="7">
    <w:p w14:paraId="35289690" w14:textId="77777777" w:rsidR="006A79D4" w:rsidRPr="00984434" w:rsidRDefault="006A79D4" w:rsidP="00E0186F">
      <w:pPr>
        <w:pStyle w:val="Textpoznpodarou"/>
        <w:rPr>
          <w:sz w:val="16"/>
          <w:szCs w:val="16"/>
        </w:rPr>
      </w:pPr>
      <w:r w:rsidRPr="00984434">
        <w:rPr>
          <w:rStyle w:val="Znakapoznpodarou"/>
          <w:sz w:val="16"/>
          <w:szCs w:val="16"/>
        </w:rPr>
        <w:footnoteRef/>
      </w:r>
      <w:r w:rsidRPr="00984434">
        <w:rPr>
          <w:sz w:val="16"/>
          <w:szCs w:val="16"/>
        </w:rPr>
        <w:t xml:space="preserve"> Míra úspor nefinančních podniků je definována jako podíl hrubých úspor na hrubé přidané hodnotě </w:t>
      </w:r>
      <w:r w:rsidRPr="00984434">
        <w:rPr>
          <w:rFonts w:eastAsiaTheme="minorHAnsi" w:cs="Arial"/>
          <w:iCs/>
          <w:sz w:val="16"/>
          <w:szCs w:val="16"/>
          <w:lang w:eastAsia="en-US"/>
        </w:rPr>
        <w:t>(B.8g / B.1g).</w:t>
      </w:r>
    </w:p>
  </w:footnote>
  <w:footnote w:id="8">
    <w:p w14:paraId="0C799091" w14:textId="77777777" w:rsidR="00B75E48" w:rsidRPr="00AB3D8D" w:rsidRDefault="00B75E48" w:rsidP="00B75E48">
      <w:pPr>
        <w:pStyle w:val="Textpoznpodarou"/>
        <w:rPr>
          <w:sz w:val="16"/>
          <w:szCs w:val="16"/>
        </w:rPr>
      </w:pPr>
      <w:r w:rsidRPr="00AB3D8D">
        <w:rPr>
          <w:rStyle w:val="Znakapoznpodarou"/>
          <w:sz w:val="16"/>
          <w:szCs w:val="16"/>
        </w:rPr>
        <w:footnoteRef/>
      </w:r>
      <w:r w:rsidRPr="00AB3D8D">
        <w:rPr>
          <w:sz w:val="16"/>
          <w:szCs w:val="16"/>
        </w:rPr>
        <w:t xml:space="preserve"> </w:t>
      </w:r>
      <w:r w:rsidRPr="00AB3D8D">
        <w:rPr>
          <w:rFonts w:eastAsiaTheme="minorHAnsi" w:cs="Arial"/>
          <w:bCs/>
          <w:iCs/>
          <w:sz w:val="16"/>
          <w:szCs w:val="16"/>
          <w:lang w:eastAsia="en-US"/>
        </w:rPr>
        <w:t xml:space="preserve">Míra investic nefinančních podniků </w:t>
      </w:r>
      <w:r w:rsidRPr="00AB3D8D">
        <w:rPr>
          <w:rFonts w:eastAsiaTheme="minorHAnsi" w:cs="Arial"/>
          <w:iCs/>
          <w:sz w:val="16"/>
          <w:szCs w:val="16"/>
          <w:lang w:eastAsia="en-US"/>
        </w:rPr>
        <w:t>je definována jako podíl hrubé tvorby fixního kapitálu k</w:t>
      </w:r>
      <w:r>
        <w:rPr>
          <w:rFonts w:eastAsiaTheme="minorHAnsi" w:cs="Arial"/>
          <w:iCs/>
          <w:sz w:val="16"/>
          <w:szCs w:val="16"/>
          <w:lang w:eastAsia="en-US"/>
        </w:rPr>
        <w:t> </w:t>
      </w:r>
      <w:r w:rsidRPr="00AB3D8D">
        <w:rPr>
          <w:rFonts w:eastAsiaTheme="minorHAnsi" w:cs="Arial"/>
          <w:iCs/>
          <w:sz w:val="16"/>
          <w:szCs w:val="16"/>
          <w:lang w:eastAsia="en-US"/>
        </w:rPr>
        <w:t>hrubé přidané hodnotě (P.51g</w:t>
      </w:r>
      <w:r>
        <w:rPr>
          <w:rFonts w:eastAsiaTheme="minorHAnsi" w:cs="Arial"/>
          <w:iCs/>
          <w:sz w:val="16"/>
          <w:szCs w:val="16"/>
          <w:lang w:eastAsia="en-US"/>
        </w:rPr>
        <w:t> </w:t>
      </w:r>
      <w:r w:rsidRPr="00AB3D8D">
        <w:rPr>
          <w:rFonts w:eastAsiaTheme="minorHAnsi" w:cs="Arial"/>
          <w:iCs/>
          <w:sz w:val="16"/>
          <w:szCs w:val="16"/>
          <w:lang w:eastAsia="en-US"/>
        </w:rPr>
        <w:t>/</w:t>
      </w:r>
      <w:r>
        <w:rPr>
          <w:rFonts w:eastAsiaTheme="minorHAnsi" w:cs="Arial"/>
          <w:iCs/>
          <w:sz w:val="16"/>
          <w:szCs w:val="16"/>
          <w:lang w:eastAsia="en-US"/>
        </w:rPr>
        <w:t> </w:t>
      </w:r>
      <w:r w:rsidRPr="00AB3D8D">
        <w:rPr>
          <w:rFonts w:eastAsiaTheme="minorHAnsi" w:cs="Arial"/>
          <w:iCs/>
          <w:sz w:val="16"/>
          <w:szCs w:val="16"/>
          <w:lang w:eastAsia="en-US"/>
        </w:rPr>
        <w:t>B.1g).</w:t>
      </w:r>
    </w:p>
  </w:footnote>
  <w:footnote w:id="9">
    <w:p w14:paraId="1F6C1954" w14:textId="67B067B8" w:rsidR="000A3200" w:rsidRPr="000A3200" w:rsidRDefault="000A3200">
      <w:pPr>
        <w:pStyle w:val="Textpoznpodarou"/>
        <w:rPr>
          <w:sz w:val="16"/>
          <w:szCs w:val="16"/>
        </w:rPr>
      </w:pPr>
      <w:r w:rsidRPr="000A3200">
        <w:rPr>
          <w:rStyle w:val="Znakapoznpodarou"/>
          <w:sz w:val="16"/>
          <w:szCs w:val="16"/>
        </w:rPr>
        <w:footnoteRef/>
      </w:r>
      <w:r w:rsidRPr="000A3200">
        <w:rPr>
          <w:sz w:val="16"/>
          <w:szCs w:val="16"/>
        </w:rPr>
        <w:t xml:space="preserve"> V roce 2020 v důsledku pandemie poklesly </w:t>
      </w:r>
      <w:r w:rsidR="001C4AB9" w:rsidRPr="000A3200">
        <w:rPr>
          <w:sz w:val="16"/>
          <w:szCs w:val="16"/>
        </w:rPr>
        <w:t>o</w:t>
      </w:r>
      <w:r w:rsidR="001C4AB9">
        <w:rPr>
          <w:sz w:val="16"/>
          <w:szCs w:val="16"/>
        </w:rPr>
        <w:t> </w:t>
      </w:r>
      <w:r w:rsidRPr="000A3200">
        <w:rPr>
          <w:sz w:val="16"/>
          <w:szCs w:val="16"/>
        </w:rPr>
        <w:t>5,1</w:t>
      </w:r>
      <w:r w:rsidR="0032347E">
        <w:rPr>
          <w:sz w:val="16"/>
          <w:szCs w:val="16"/>
        </w:rPr>
        <w:t> mld</w:t>
      </w:r>
      <w:r w:rsidRPr="000A3200">
        <w:rPr>
          <w:sz w:val="16"/>
          <w:szCs w:val="16"/>
        </w:rPr>
        <w:t>. korun. Předchozí propad z roku 2009 dosáhl 35,1</w:t>
      </w:r>
      <w:r w:rsidR="0032347E">
        <w:rPr>
          <w:sz w:val="16"/>
          <w:szCs w:val="16"/>
        </w:rPr>
        <w:t> mld</w:t>
      </w:r>
      <w:r w:rsidRPr="000A3200">
        <w:rPr>
          <w:sz w:val="16"/>
          <w:szCs w:val="16"/>
        </w:rPr>
        <w:t>.</w:t>
      </w:r>
    </w:p>
  </w:footnote>
  <w:footnote w:id="10">
    <w:p w14:paraId="3B933519" w14:textId="77777777" w:rsidR="00DE4E56" w:rsidRPr="00222B76" w:rsidRDefault="00DE4E56" w:rsidP="00DE4E56">
      <w:pPr>
        <w:pStyle w:val="Textpoznpodarou"/>
        <w:rPr>
          <w:sz w:val="16"/>
          <w:szCs w:val="16"/>
        </w:rPr>
      </w:pPr>
      <w:r w:rsidRPr="00222B76">
        <w:rPr>
          <w:rStyle w:val="Znakapoznpodarou"/>
          <w:sz w:val="16"/>
          <w:szCs w:val="16"/>
        </w:rPr>
        <w:footnoteRef/>
      </w:r>
      <w:r w:rsidRPr="00222B76">
        <w:rPr>
          <w:sz w:val="16"/>
          <w:szCs w:val="16"/>
        </w:rPr>
        <w:t xml:space="preserve"> </w:t>
      </w:r>
      <w:r>
        <w:rPr>
          <w:sz w:val="16"/>
          <w:szCs w:val="16"/>
        </w:rPr>
        <w:t>Položka zahrnovala k</w:t>
      </w:r>
      <w:r w:rsidRPr="00222B76">
        <w:rPr>
          <w:sz w:val="16"/>
          <w:szCs w:val="16"/>
        </w:rPr>
        <w:t>ompenzační bonus pro OSVČ</w:t>
      </w:r>
      <w:r>
        <w:rPr>
          <w:sz w:val="16"/>
          <w:szCs w:val="16"/>
        </w:rPr>
        <w:t>, jehož vyplácení se snížilo spolu s tím, jak byla rušena omezující opatření.</w:t>
      </w:r>
    </w:p>
  </w:footnote>
  <w:footnote w:id="11">
    <w:p w14:paraId="5C7EA20E" w14:textId="6A17CBEE" w:rsidR="004323BD" w:rsidRPr="006012B3" w:rsidRDefault="004323BD" w:rsidP="006012B3">
      <w:pPr>
        <w:spacing w:line="240" w:lineRule="auto"/>
        <w:jc w:val="left"/>
        <w:rPr>
          <w:sz w:val="16"/>
          <w:szCs w:val="16"/>
        </w:rPr>
      </w:pPr>
      <w:r w:rsidRPr="000B544B">
        <w:rPr>
          <w:rStyle w:val="Znakapoznpodarou"/>
          <w:sz w:val="16"/>
          <w:szCs w:val="16"/>
        </w:rPr>
        <w:footnoteRef/>
      </w:r>
      <w:r w:rsidRPr="000B544B">
        <w:rPr>
          <w:sz w:val="16"/>
          <w:szCs w:val="16"/>
        </w:rPr>
        <w:t xml:space="preserve"> </w:t>
      </w:r>
      <w:r>
        <w:rPr>
          <w:sz w:val="16"/>
          <w:szCs w:val="16"/>
        </w:rPr>
        <w:t>Položka zahrnovala zejména transfer</w:t>
      </w:r>
      <w:r w:rsidRPr="000B544B">
        <w:rPr>
          <w:sz w:val="16"/>
          <w:szCs w:val="16"/>
        </w:rPr>
        <w:t>y subsektoru místních vládních institucí jako kompenzace za propad vzniklý vyplácením kompenzačního bonusu.</w:t>
      </w:r>
    </w:p>
  </w:footnote>
  <w:footnote w:id="12">
    <w:p w14:paraId="1767CD6E" w14:textId="77777777" w:rsidR="00756FB7" w:rsidRPr="00337C71" w:rsidRDefault="00756FB7" w:rsidP="00756FB7">
      <w:pPr>
        <w:autoSpaceDE w:val="0"/>
        <w:autoSpaceDN w:val="0"/>
        <w:adjustRightInd w:val="0"/>
        <w:spacing w:line="240" w:lineRule="auto"/>
        <w:jc w:val="left"/>
        <w:rPr>
          <w:rStyle w:val="Znakapoznpodarou"/>
          <w:sz w:val="16"/>
          <w:szCs w:val="16"/>
          <w:vertAlign w:val="baseline"/>
          <w:lang w:eastAsia="cs-CZ"/>
        </w:rPr>
      </w:pPr>
      <w:r w:rsidRPr="00EC1A9F">
        <w:rPr>
          <w:rStyle w:val="Znakapoznpodarou"/>
          <w:sz w:val="16"/>
          <w:szCs w:val="16"/>
        </w:rPr>
        <w:footnoteRef/>
      </w:r>
      <w:r w:rsidRPr="00EC1A9F">
        <w:rPr>
          <w:sz w:val="16"/>
          <w:szCs w:val="16"/>
        </w:rPr>
        <w:t xml:space="preserve"> Dluh v sektorových účtech se liší (číselně i</w:t>
      </w:r>
      <w:r>
        <w:rPr>
          <w:sz w:val="16"/>
          <w:szCs w:val="16"/>
        </w:rPr>
        <w:t> </w:t>
      </w:r>
      <w:r w:rsidRPr="00EC1A9F">
        <w:rPr>
          <w:sz w:val="16"/>
          <w:szCs w:val="16"/>
        </w:rPr>
        <w:t>metodicky) od Maastrichtského dluhu pro potřeby EDP statistiky.</w:t>
      </w:r>
      <w:r>
        <w:rPr>
          <w:sz w:val="16"/>
          <w:szCs w:val="16"/>
        </w:rPr>
        <w:t xml:space="preserve"> Liší se zejména zahrnuté závazky i způsob jejich ohodnocení. </w:t>
      </w:r>
      <w:r w:rsidRPr="00EB3C89">
        <w:rPr>
          <w:rFonts w:cs="Arial"/>
          <w:sz w:val="16"/>
          <w:szCs w:val="16"/>
          <w:lang w:eastAsia="cs-CZ"/>
        </w:rPr>
        <w:t>Celkové závazky v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sektorových účtech zahrnují</w:t>
      </w:r>
      <w:r>
        <w:rPr>
          <w:rFonts w:cs="Arial"/>
          <w:sz w:val="16"/>
          <w:szCs w:val="16"/>
          <w:lang w:eastAsia="cs-CZ"/>
        </w:rPr>
        <w:t xml:space="preserve"> </w:t>
      </w:r>
      <w:r w:rsidRPr="00EB3C89">
        <w:rPr>
          <w:rFonts w:cs="Arial"/>
          <w:sz w:val="16"/>
          <w:szCs w:val="16"/>
          <w:lang w:eastAsia="cs-CZ"/>
        </w:rPr>
        <w:t>navíc měnové zlato a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zvláštní práva čerpání, účasti a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podíly v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investičních</w:t>
      </w:r>
      <w:r>
        <w:rPr>
          <w:rFonts w:cs="Arial"/>
          <w:sz w:val="16"/>
          <w:szCs w:val="16"/>
          <w:lang w:eastAsia="cs-CZ"/>
        </w:rPr>
        <w:t xml:space="preserve"> </w:t>
      </w:r>
      <w:r w:rsidRPr="00EB3C89">
        <w:rPr>
          <w:rFonts w:cs="Arial"/>
          <w:sz w:val="16"/>
          <w:szCs w:val="16"/>
          <w:lang w:eastAsia="cs-CZ"/>
        </w:rPr>
        <w:t>fondech, pojistné a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penzijní programy, finanční deriváty a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zaměstnanecké</w:t>
      </w:r>
      <w:r>
        <w:rPr>
          <w:rFonts w:cs="Arial"/>
          <w:sz w:val="16"/>
          <w:szCs w:val="16"/>
          <w:lang w:eastAsia="cs-CZ"/>
        </w:rPr>
        <w:t xml:space="preserve"> </w:t>
      </w:r>
      <w:r w:rsidRPr="00EB3C89">
        <w:rPr>
          <w:rFonts w:cs="Arial"/>
          <w:sz w:val="16"/>
          <w:szCs w:val="16"/>
          <w:lang w:eastAsia="cs-CZ"/>
        </w:rPr>
        <w:t>opce a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ostatní závazky. Všechny závazky jsou oceněny tržní hodnotou a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bez</w:t>
      </w:r>
      <w:r>
        <w:rPr>
          <w:rFonts w:cs="Arial"/>
          <w:sz w:val="16"/>
          <w:szCs w:val="16"/>
          <w:lang w:eastAsia="cs-CZ"/>
        </w:rPr>
        <w:t xml:space="preserve"> </w:t>
      </w:r>
      <w:r w:rsidRPr="00EB3C89">
        <w:rPr>
          <w:rFonts w:cs="Arial"/>
          <w:sz w:val="16"/>
          <w:szCs w:val="16"/>
          <w:lang w:eastAsia="cs-CZ"/>
        </w:rPr>
        <w:t>vlivu souvisejících</w:t>
      </w:r>
      <w:r>
        <w:rPr>
          <w:rFonts w:cs="Arial"/>
          <w:sz w:val="16"/>
          <w:szCs w:val="16"/>
          <w:lang w:eastAsia="cs-CZ"/>
        </w:rPr>
        <w:t xml:space="preserve"> </w:t>
      </w:r>
      <w:r w:rsidRPr="00EB3C89">
        <w:rPr>
          <w:rFonts w:cs="Arial"/>
          <w:sz w:val="16"/>
          <w:szCs w:val="16"/>
          <w:lang w:eastAsia="cs-CZ"/>
        </w:rPr>
        <w:t>derivátových obchodů.</w:t>
      </w:r>
      <w:r>
        <w:rPr>
          <w:rFonts w:cs="Arial"/>
          <w:sz w:val="16"/>
          <w:szCs w:val="16"/>
          <w:lang w:eastAsia="cs-CZ"/>
        </w:rPr>
        <w:t xml:space="preserve"> Zdroj: Rybáček, V., Musil, P. (2020). </w:t>
      </w:r>
      <w:r w:rsidRPr="00EB3C89">
        <w:rPr>
          <w:rFonts w:cs="Arial"/>
          <w:sz w:val="16"/>
          <w:szCs w:val="16"/>
          <w:lang w:eastAsia="cs-CZ"/>
        </w:rPr>
        <w:t>Vztah mezi saldem hospodaření a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dluhem vládních institucí.</w:t>
      </w:r>
      <w:r w:rsidRPr="00EB3C89">
        <w:rPr>
          <w:sz w:val="16"/>
          <w:szCs w:val="16"/>
        </w:rPr>
        <w:t xml:space="preserve"> </w:t>
      </w:r>
      <w:r w:rsidRPr="00EB3C89">
        <w:rPr>
          <w:i/>
          <w:iCs/>
          <w:sz w:val="16"/>
          <w:szCs w:val="16"/>
        </w:rPr>
        <w:t>Politická ekonomie</w:t>
      </w:r>
      <w:r w:rsidRPr="00EB3C89">
        <w:rPr>
          <w:sz w:val="16"/>
          <w:szCs w:val="16"/>
        </w:rPr>
        <w:t>, 68(4), 462</w:t>
      </w:r>
      <w:r>
        <w:rPr>
          <w:sz w:val="16"/>
          <w:szCs w:val="16"/>
        </w:rPr>
        <w:t>–</w:t>
      </w:r>
      <w:r w:rsidRPr="00EB3C89">
        <w:rPr>
          <w:sz w:val="16"/>
          <w:szCs w:val="16"/>
        </w:rPr>
        <w:t>482, https://doi.org/10.18267/j.polek.1290</w:t>
      </w:r>
      <w:r>
        <w:rPr>
          <w:sz w:val="16"/>
          <w:szCs w:val="16"/>
        </w:rPr>
        <w:t>.</w:t>
      </w:r>
    </w:p>
  </w:footnote>
  <w:footnote w:id="13">
    <w:p w14:paraId="1B828A71" w14:textId="35D8EE0B" w:rsidR="00487978" w:rsidRPr="009E0C2A" w:rsidRDefault="00487978" w:rsidP="00487978">
      <w:pPr>
        <w:pStyle w:val="Textpoznpodarou"/>
        <w:rPr>
          <w:sz w:val="16"/>
          <w:szCs w:val="16"/>
        </w:rPr>
      </w:pPr>
      <w:r w:rsidRPr="009E0C2A">
        <w:rPr>
          <w:rStyle w:val="Znakapoznpodarou"/>
          <w:sz w:val="16"/>
          <w:szCs w:val="16"/>
        </w:rPr>
        <w:footnoteRef/>
      </w:r>
      <w:r w:rsidRPr="009E0C2A">
        <w:rPr>
          <w:sz w:val="16"/>
          <w:szCs w:val="16"/>
        </w:rPr>
        <w:t xml:space="preserve"> </w:t>
      </w:r>
      <w:r>
        <w:rPr>
          <w:sz w:val="16"/>
          <w:szCs w:val="16"/>
        </w:rPr>
        <w:t>Pro očištění o vliv cen byl použit</w:t>
      </w:r>
      <w:r w:rsidRPr="009E0C2A">
        <w:rPr>
          <w:sz w:val="16"/>
          <w:szCs w:val="16"/>
        </w:rPr>
        <w:t xml:space="preserve"> deflátor výdajů na konečnou spotřebu domácností.</w:t>
      </w:r>
      <w:r>
        <w:rPr>
          <w:sz w:val="16"/>
          <w:szCs w:val="16"/>
        </w:rPr>
        <w:t xml:space="preserve"> Ve 4. čtvrtletí 2021 činil cenový nárůst 4,8 %</w:t>
      </w:r>
      <w:r w:rsidR="00BB6268">
        <w:rPr>
          <w:sz w:val="16"/>
          <w:szCs w:val="16"/>
        </w:rPr>
        <w:t xml:space="preserve">, za celý rok 2021 to </w:t>
      </w:r>
      <w:r w:rsidR="00ED6FE8">
        <w:rPr>
          <w:sz w:val="16"/>
          <w:szCs w:val="16"/>
        </w:rPr>
        <w:t xml:space="preserve">byla </w:t>
      </w:r>
      <w:r w:rsidR="00BB6268">
        <w:rPr>
          <w:sz w:val="16"/>
          <w:szCs w:val="16"/>
        </w:rPr>
        <w:t>3,0</w:t>
      </w:r>
      <w:r w:rsidR="0032347E">
        <w:rPr>
          <w:sz w:val="16"/>
          <w:szCs w:val="16"/>
        </w:rPr>
        <w:t> %</w:t>
      </w:r>
      <w:r>
        <w:rPr>
          <w:sz w:val="16"/>
          <w:szCs w:val="16"/>
        </w:rPr>
        <w:t>.</w:t>
      </w:r>
    </w:p>
  </w:footnote>
  <w:footnote w:id="14">
    <w:p w14:paraId="50F2BE0B" w14:textId="77777777" w:rsidR="00A15BC6" w:rsidRPr="00EB5544" w:rsidRDefault="00A15BC6" w:rsidP="00A15BC6">
      <w:pPr>
        <w:pStyle w:val="Textpoznpodarou"/>
        <w:rPr>
          <w:sz w:val="16"/>
          <w:szCs w:val="16"/>
        </w:rPr>
      </w:pPr>
      <w:r w:rsidRPr="00EB5544">
        <w:rPr>
          <w:rStyle w:val="Znakapoznpodarou"/>
          <w:sz w:val="16"/>
          <w:szCs w:val="16"/>
        </w:rPr>
        <w:footnoteRef/>
      </w:r>
      <w:r w:rsidRPr="00EB5544">
        <w:rPr>
          <w:sz w:val="16"/>
          <w:szCs w:val="16"/>
        </w:rPr>
        <w:t xml:space="preserve"> Zachycuje příjmy z podnikání drobných podnikatelů zařazených do sektor</w:t>
      </w:r>
      <w:r>
        <w:rPr>
          <w:sz w:val="16"/>
          <w:szCs w:val="16"/>
        </w:rPr>
        <w:t>u</w:t>
      </w:r>
      <w:r w:rsidRPr="00EB5544">
        <w:rPr>
          <w:sz w:val="16"/>
          <w:szCs w:val="16"/>
        </w:rPr>
        <w:t xml:space="preserve"> domácností</w:t>
      </w:r>
      <w:r>
        <w:rPr>
          <w:sz w:val="16"/>
          <w:szCs w:val="16"/>
        </w:rPr>
        <w:t>.</w:t>
      </w:r>
    </w:p>
  </w:footnote>
  <w:footnote w:id="15">
    <w:p w14:paraId="30342BFD" w14:textId="77777777" w:rsidR="00F12768" w:rsidRPr="00EB5544" w:rsidRDefault="00F12768" w:rsidP="00F12768">
      <w:pPr>
        <w:pStyle w:val="Textpoznpodarou"/>
        <w:rPr>
          <w:sz w:val="16"/>
          <w:szCs w:val="16"/>
        </w:rPr>
      </w:pPr>
      <w:r w:rsidRPr="00EB5544">
        <w:rPr>
          <w:rStyle w:val="Znakapoznpodarou"/>
          <w:sz w:val="16"/>
          <w:szCs w:val="16"/>
        </w:rPr>
        <w:footnoteRef/>
      </w:r>
      <w:r w:rsidRPr="00EB5544">
        <w:rPr>
          <w:sz w:val="16"/>
          <w:szCs w:val="16"/>
        </w:rPr>
        <w:t xml:space="preserve"> Zachycuje hodnotu produkce domácností pro vlastní spotřebu a</w:t>
      </w:r>
      <w:r>
        <w:rPr>
          <w:sz w:val="16"/>
          <w:szCs w:val="16"/>
        </w:rPr>
        <w:t> </w:t>
      </w:r>
      <w:r w:rsidRPr="00EB5544">
        <w:rPr>
          <w:sz w:val="16"/>
          <w:szCs w:val="16"/>
        </w:rPr>
        <w:t>rovněž imputované nájemné a</w:t>
      </w:r>
      <w:r>
        <w:rPr>
          <w:sz w:val="16"/>
          <w:szCs w:val="16"/>
        </w:rPr>
        <w:t> </w:t>
      </w:r>
      <w:r w:rsidRPr="00EB5544">
        <w:rPr>
          <w:sz w:val="16"/>
          <w:szCs w:val="16"/>
        </w:rPr>
        <w:t>poskytování služeb bydlení</w:t>
      </w:r>
      <w:r>
        <w:rPr>
          <w:sz w:val="16"/>
          <w:szCs w:val="16"/>
        </w:rPr>
        <w:t>.</w:t>
      </w:r>
    </w:p>
  </w:footnote>
  <w:footnote w:id="16">
    <w:p w14:paraId="796995FD" w14:textId="16C4DDA1" w:rsidR="00707951" w:rsidRPr="00707951" w:rsidRDefault="00707951">
      <w:pPr>
        <w:pStyle w:val="Textpoznpodarou"/>
        <w:rPr>
          <w:sz w:val="16"/>
          <w:szCs w:val="16"/>
        </w:rPr>
      </w:pPr>
      <w:r w:rsidRPr="00707951">
        <w:rPr>
          <w:rStyle w:val="Znakapoznpodarou"/>
          <w:sz w:val="16"/>
          <w:szCs w:val="16"/>
        </w:rPr>
        <w:footnoteRef/>
      </w:r>
      <w:r w:rsidRPr="00707951">
        <w:rPr>
          <w:sz w:val="16"/>
          <w:szCs w:val="16"/>
        </w:rPr>
        <w:t xml:space="preserve"> Ve 4.</w:t>
      </w:r>
      <w:r w:rsidR="0032347E">
        <w:rPr>
          <w:sz w:val="16"/>
          <w:szCs w:val="16"/>
        </w:rPr>
        <w:t> čtvrtlet</w:t>
      </w:r>
      <w:r w:rsidRPr="00707951">
        <w:rPr>
          <w:sz w:val="16"/>
          <w:szCs w:val="16"/>
        </w:rPr>
        <w:t>í 2019 to bylo 89,1</w:t>
      </w:r>
      <w:r w:rsidR="0032347E">
        <w:rPr>
          <w:sz w:val="16"/>
          <w:szCs w:val="16"/>
        </w:rPr>
        <w:t> mld</w:t>
      </w:r>
      <w:r w:rsidRPr="00707951">
        <w:rPr>
          <w:sz w:val="16"/>
          <w:szCs w:val="16"/>
        </w:rPr>
        <w:t>. korun.</w:t>
      </w:r>
    </w:p>
  </w:footnote>
  <w:footnote w:id="17">
    <w:p w14:paraId="67817DA7" w14:textId="77777777" w:rsidR="006C75E5" w:rsidRPr="005E519B" w:rsidRDefault="006C75E5" w:rsidP="006C75E5">
      <w:pPr>
        <w:pStyle w:val="Textpoznpodarou"/>
        <w:rPr>
          <w:sz w:val="16"/>
          <w:szCs w:val="16"/>
        </w:rPr>
      </w:pPr>
      <w:r w:rsidRPr="005E519B">
        <w:rPr>
          <w:rStyle w:val="Znakapoznpodarou"/>
          <w:sz w:val="16"/>
          <w:szCs w:val="16"/>
        </w:rPr>
        <w:footnoteRef/>
      </w:r>
      <w:r w:rsidRPr="005E519B">
        <w:rPr>
          <w:sz w:val="16"/>
          <w:szCs w:val="16"/>
        </w:rPr>
        <w:t xml:space="preserve"> </w:t>
      </w:r>
      <w:r>
        <w:rPr>
          <w:sz w:val="16"/>
          <w:szCs w:val="16"/>
        </w:rPr>
        <w:t>Maloobchod</w:t>
      </w:r>
      <w:r w:rsidRPr="005E519B">
        <w:rPr>
          <w:sz w:val="16"/>
          <w:szCs w:val="16"/>
        </w:rPr>
        <w:t xml:space="preserve"> </w:t>
      </w:r>
      <w:r>
        <w:rPr>
          <w:sz w:val="16"/>
          <w:szCs w:val="16"/>
        </w:rPr>
        <w:t>byl omezen</w:t>
      </w:r>
      <w:r w:rsidRPr="005E519B">
        <w:rPr>
          <w:sz w:val="16"/>
          <w:szCs w:val="16"/>
        </w:rPr>
        <w:t xml:space="preserve"> od </w:t>
      </w:r>
      <w:r>
        <w:rPr>
          <w:sz w:val="16"/>
          <w:szCs w:val="16"/>
        </w:rPr>
        <w:t>22. </w:t>
      </w:r>
      <w:r w:rsidRPr="005E519B">
        <w:rPr>
          <w:sz w:val="16"/>
          <w:szCs w:val="16"/>
        </w:rPr>
        <w:t xml:space="preserve">října 2020 až do </w:t>
      </w:r>
      <w:r>
        <w:rPr>
          <w:sz w:val="16"/>
          <w:szCs w:val="16"/>
        </w:rPr>
        <w:t>10. května</w:t>
      </w:r>
      <w:r w:rsidRPr="005E519B">
        <w:rPr>
          <w:sz w:val="16"/>
          <w:szCs w:val="16"/>
        </w:rPr>
        <w:t xml:space="preserve"> 2021.</w:t>
      </w:r>
      <w:r>
        <w:rPr>
          <w:sz w:val="16"/>
          <w:szCs w:val="16"/>
        </w:rPr>
        <w:t xml:space="preserve"> Omezení neplatila v průběhu prosince 2020.</w:t>
      </w:r>
    </w:p>
  </w:footnote>
  <w:footnote w:id="18">
    <w:p w14:paraId="604D6445" w14:textId="77777777" w:rsidR="00BF34CC" w:rsidRPr="005878E1" w:rsidRDefault="00BF34CC" w:rsidP="00BF34CC">
      <w:pPr>
        <w:pStyle w:val="Textpoznpodarou"/>
        <w:rPr>
          <w:sz w:val="16"/>
          <w:szCs w:val="16"/>
        </w:rPr>
      </w:pPr>
      <w:r w:rsidRPr="005878E1">
        <w:rPr>
          <w:rStyle w:val="Znakapoznpodarou"/>
          <w:sz w:val="16"/>
          <w:szCs w:val="16"/>
        </w:rPr>
        <w:footnoteRef/>
      </w:r>
      <w:r w:rsidRPr="005878E1">
        <w:rPr>
          <w:sz w:val="16"/>
          <w:szCs w:val="16"/>
        </w:rPr>
        <w:t xml:space="preserve"> Rozdíl mezi hrubým disponibilním důchodem upraveným o</w:t>
      </w:r>
      <w:r>
        <w:rPr>
          <w:sz w:val="16"/>
          <w:szCs w:val="16"/>
        </w:rPr>
        <w:t> </w:t>
      </w:r>
      <w:r w:rsidRPr="005878E1">
        <w:rPr>
          <w:sz w:val="16"/>
          <w:szCs w:val="16"/>
        </w:rPr>
        <w:t>čistý podíl domácností na rezervách penzijních fondů a</w:t>
      </w:r>
      <w:r>
        <w:rPr>
          <w:sz w:val="16"/>
          <w:szCs w:val="16"/>
        </w:rPr>
        <w:t> </w:t>
      </w:r>
      <w:r w:rsidRPr="005878E1">
        <w:rPr>
          <w:sz w:val="16"/>
          <w:szCs w:val="16"/>
        </w:rPr>
        <w:t>výdaji na konečnou spotřebu (B.6g</w:t>
      </w:r>
      <w:r>
        <w:rPr>
          <w:sz w:val="16"/>
          <w:szCs w:val="16"/>
        </w:rPr>
        <w:t> </w:t>
      </w:r>
      <w:r w:rsidRPr="005878E1">
        <w:rPr>
          <w:sz w:val="16"/>
          <w:szCs w:val="16"/>
        </w:rPr>
        <w:t>+</w:t>
      </w:r>
      <w:r>
        <w:rPr>
          <w:sz w:val="16"/>
          <w:szCs w:val="16"/>
        </w:rPr>
        <w:t> </w:t>
      </w:r>
      <w:r w:rsidRPr="005878E1">
        <w:rPr>
          <w:sz w:val="16"/>
          <w:szCs w:val="16"/>
        </w:rPr>
        <w:t>D.8</w:t>
      </w:r>
      <w:r>
        <w:rPr>
          <w:sz w:val="16"/>
          <w:szCs w:val="16"/>
        </w:rPr>
        <w:t> </w:t>
      </w:r>
      <w:r w:rsidRPr="005878E1">
        <w:rPr>
          <w:sz w:val="16"/>
          <w:szCs w:val="16"/>
        </w:rPr>
        <w:t>–</w:t>
      </w:r>
      <w:r>
        <w:rPr>
          <w:sz w:val="16"/>
          <w:szCs w:val="16"/>
        </w:rPr>
        <w:t> </w:t>
      </w:r>
      <w:r w:rsidRPr="005878E1">
        <w:rPr>
          <w:sz w:val="16"/>
          <w:szCs w:val="16"/>
        </w:rPr>
        <w:t>P.3).</w:t>
      </w:r>
    </w:p>
  </w:footnote>
  <w:footnote w:id="19">
    <w:p w14:paraId="7E1F7E4C" w14:textId="06E6F900" w:rsidR="003A5965" w:rsidRPr="00E9501D" w:rsidRDefault="003A5965" w:rsidP="003A5965">
      <w:pPr>
        <w:autoSpaceDE w:val="0"/>
        <w:autoSpaceDN w:val="0"/>
        <w:adjustRightInd w:val="0"/>
        <w:spacing w:line="240" w:lineRule="auto"/>
        <w:jc w:val="left"/>
        <w:rPr>
          <w:sz w:val="16"/>
          <w:szCs w:val="16"/>
        </w:rPr>
      </w:pPr>
      <w:r w:rsidRPr="00E9501D">
        <w:rPr>
          <w:rStyle w:val="Znakapoznpodarou"/>
          <w:sz w:val="16"/>
          <w:szCs w:val="16"/>
        </w:rPr>
        <w:footnoteRef/>
      </w:r>
      <w:r w:rsidRPr="00E9501D">
        <w:rPr>
          <w:sz w:val="16"/>
          <w:szCs w:val="16"/>
        </w:rPr>
        <w:t xml:space="preserve"> </w:t>
      </w:r>
      <w:r w:rsidRPr="00E9501D">
        <w:rPr>
          <w:rFonts w:cs="Arial"/>
          <w:bCs/>
          <w:iCs/>
          <w:sz w:val="16"/>
          <w:szCs w:val="16"/>
        </w:rPr>
        <w:t xml:space="preserve">Míra úspor domácností </w:t>
      </w:r>
      <w:r w:rsidRPr="00E9501D">
        <w:rPr>
          <w:rFonts w:cs="Arial"/>
          <w:iCs/>
          <w:sz w:val="16"/>
          <w:szCs w:val="16"/>
        </w:rPr>
        <w:t>je definována jako podíl hrubých úspor a</w:t>
      </w:r>
      <w:r>
        <w:rPr>
          <w:rFonts w:cs="Arial"/>
          <w:iCs/>
          <w:sz w:val="16"/>
          <w:szCs w:val="16"/>
        </w:rPr>
        <w:t> </w:t>
      </w:r>
      <w:r w:rsidRPr="00E9501D">
        <w:rPr>
          <w:rFonts w:cs="Arial"/>
          <w:iCs/>
          <w:sz w:val="16"/>
          <w:szCs w:val="16"/>
        </w:rPr>
        <w:t>hrubého disponibilního důchodu se zahrnutím úpravy o</w:t>
      </w:r>
      <w:r>
        <w:rPr>
          <w:rFonts w:cs="Arial"/>
          <w:iCs/>
          <w:sz w:val="16"/>
          <w:szCs w:val="16"/>
        </w:rPr>
        <w:t> </w:t>
      </w:r>
      <w:r w:rsidRPr="00E9501D">
        <w:rPr>
          <w:rFonts w:cs="Arial"/>
          <w:iCs/>
          <w:sz w:val="16"/>
          <w:szCs w:val="16"/>
        </w:rPr>
        <w:t>čistý podíl domácností na rezervách penzijních fondů (B.8g</w:t>
      </w:r>
      <w:r>
        <w:rPr>
          <w:rFonts w:cs="Arial"/>
          <w:iCs/>
          <w:sz w:val="16"/>
          <w:szCs w:val="16"/>
        </w:rPr>
        <w:t> </w:t>
      </w:r>
      <w:r w:rsidRPr="00E9501D">
        <w:rPr>
          <w:rFonts w:cs="Arial"/>
          <w:iCs/>
          <w:sz w:val="16"/>
          <w:szCs w:val="16"/>
        </w:rPr>
        <w:t>/</w:t>
      </w:r>
      <w:r>
        <w:rPr>
          <w:rFonts w:cs="Arial"/>
          <w:iCs/>
          <w:sz w:val="16"/>
          <w:szCs w:val="16"/>
        </w:rPr>
        <w:t> </w:t>
      </w:r>
      <w:r w:rsidRPr="00E9501D">
        <w:rPr>
          <w:rFonts w:cs="Arial"/>
          <w:iCs/>
          <w:sz w:val="16"/>
          <w:szCs w:val="16"/>
        </w:rPr>
        <w:t>(B.6g</w:t>
      </w:r>
      <w:r>
        <w:rPr>
          <w:rFonts w:cs="Arial"/>
          <w:iCs/>
          <w:sz w:val="16"/>
          <w:szCs w:val="16"/>
        </w:rPr>
        <w:t> </w:t>
      </w:r>
      <w:r w:rsidRPr="00E9501D">
        <w:rPr>
          <w:rFonts w:cs="Arial"/>
          <w:iCs/>
          <w:sz w:val="16"/>
          <w:szCs w:val="16"/>
        </w:rPr>
        <w:t>+</w:t>
      </w:r>
      <w:r>
        <w:rPr>
          <w:rFonts w:cs="Arial"/>
          <w:iCs/>
          <w:sz w:val="16"/>
          <w:szCs w:val="16"/>
        </w:rPr>
        <w:t> </w:t>
      </w:r>
      <w:r w:rsidRPr="00E9501D">
        <w:rPr>
          <w:rFonts w:cs="Arial"/>
          <w:iCs/>
          <w:sz w:val="16"/>
          <w:szCs w:val="16"/>
        </w:rPr>
        <w:t>D.8)). Hrubé úspory představují část hrubého disponibilního důchodu</w:t>
      </w:r>
      <w:r w:rsidRPr="005F1821">
        <w:rPr>
          <w:rFonts w:cs="Arial"/>
          <w:iCs/>
          <w:sz w:val="16"/>
          <w:szCs w:val="16"/>
        </w:rPr>
        <w:t>, kter</w:t>
      </w:r>
      <w:r w:rsidR="005F1821" w:rsidRPr="005F1821">
        <w:rPr>
          <w:rFonts w:cs="Arial"/>
          <w:iCs/>
          <w:sz w:val="16"/>
          <w:szCs w:val="16"/>
        </w:rPr>
        <w:t>á</w:t>
      </w:r>
      <w:r w:rsidRPr="005F1821">
        <w:rPr>
          <w:rFonts w:cs="Arial"/>
          <w:iCs/>
          <w:sz w:val="16"/>
          <w:szCs w:val="16"/>
        </w:rPr>
        <w:t xml:space="preserve"> nebyl</w:t>
      </w:r>
      <w:r w:rsidR="005F1821" w:rsidRPr="005F1821">
        <w:rPr>
          <w:rFonts w:cs="Arial"/>
          <w:iCs/>
          <w:sz w:val="16"/>
          <w:szCs w:val="16"/>
        </w:rPr>
        <w:t>a</w:t>
      </w:r>
      <w:r w:rsidRPr="005F1821">
        <w:rPr>
          <w:rFonts w:cs="Arial"/>
          <w:iCs/>
          <w:sz w:val="16"/>
          <w:szCs w:val="16"/>
        </w:rPr>
        <w:t xml:space="preserve"> spotřebován</w:t>
      </w:r>
      <w:r w:rsidR="005F1821" w:rsidRPr="005F1821">
        <w:rPr>
          <w:rFonts w:cs="Arial"/>
          <w:iCs/>
          <w:sz w:val="16"/>
          <w:szCs w:val="16"/>
        </w:rPr>
        <w:t>a</w:t>
      </w:r>
      <w:r w:rsidRPr="005F1821">
        <w:rPr>
          <w:rFonts w:cs="Arial"/>
          <w:iCs/>
          <w:sz w:val="16"/>
          <w:szCs w:val="16"/>
        </w:rPr>
        <w:t xml:space="preserve"> ve formě</w:t>
      </w:r>
      <w:r w:rsidRPr="00E9501D">
        <w:rPr>
          <w:rFonts w:cs="Arial"/>
          <w:iCs/>
          <w:sz w:val="16"/>
          <w:szCs w:val="16"/>
        </w:rPr>
        <w:t xml:space="preserve"> výdajů na konečnou spotřebu.</w:t>
      </w:r>
    </w:p>
  </w:footnote>
  <w:footnote w:id="20">
    <w:p w14:paraId="612E333E" w14:textId="77777777" w:rsidR="00B26C4E" w:rsidRPr="00D20875" w:rsidRDefault="00B26C4E" w:rsidP="00B26C4E">
      <w:pPr>
        <w:autoSpaceDE w:val="0"/>
        <w:autoSpaceDN w:val="0"/>
        <w:adjustRightInd w:val="0"/>
        <w:spacing w:line="240" w:lineRule="auto"/>
        <w:jc w:val="left"/>
        <w:rPr>
          <w:rFonts w:cs="Arial"/>
          <w:sz w:val="16"/>
          <w:szCs w:val="16"/>
        </w:rPr>
      </w:pPr>
      <w:r w:rsidRPr="00D20875">
        <w:rPr>
          <w:rStyle w:val="Znakapoznpodarou"/>
          <w:rFonts w:cs="Arial"/>
          <w:sz w:val="16"/>
          <w:szCs w:val="16"/>
        </w:rPr>
        <w:footnoteRef/>
      </w:r>
      <w:r w:rsidRPr="00D20875">
        <w:rPr>
          <w:rFonts w:cs="Arial"/>
          <w:sz w:val="16"/>
          <w:szCs w:val="16"/>
        </w:rPr>
        <w:t xml:space="preserve"> </w:t>
      </w:r>
      <w:r w:rsidRPr="00D20875">
        <w:rPr>
          <w:rFonts w:cs="Arial"/>
          <w:bCs/>
          <w:iCs/>
          <w:sz w:val="16"/>
          <w:szCs w:val="16"/>
        </w:rPr>
        <w:t xml:space="preserve">Míra investic domácností </w:t>
      </w:r>
      <w:r w:rsidRPr="00D20875">
        <w:rPr>
          <w:rFonts w:cs="Arial"/>
          <w:iCs/>
          <w:sz w:val="16"/>
          <w:szCs w:val="16"/>
        </w:rPr>
        <w:t>je definována jako podíl hrubé tvorby fixního kapitálu k hrubému disponibilnímu důchodu se zahrnutím úpravy o</w:t>
      </w:r>
      <w:r>
        <w:rPr>
          <w:rFonts w:cs="Arial"/>
          <w:iCs/>
          <w:sz w:val="16"/>
          <w:szCs w:val="16"/>
        </w:rPr>
        <w:t> </w:t>
      </w:r>
      <w:r w:rsidRPr="00D20875">
        <w:rPr>
          <w:rFonts w:cs="Arial"/>
          <w:iCs/>
          <w:sz w:val="16"/>
          <w:szCs w:val="16"/>
        </w:rPr>
        <w:t>čistý podíl domácností na rezervách penzijních fondů (P.51g</w:t>
      </w:r>
      <w:r>
        <w:rPr>
          <w:rFonts w:cs="Arial"/>
          <w:iCs/>
          <w:sz w:val="16"/>
          <w:szCs w:val="16"/>
        </w:rPr>
        <w:t> </w:t>
      </w:r>
      <w:r w:rsidRPr="00D20875">
        <w:rPr>
          <w:rFonts w:cs="Arial"/>
          <w:iCs/>
          <w:sz w:val="16"/>
          <w:szCs w:val="16"/>
        </w:rPr>
        <w:t>/</w:t>
      </w:r>
      <w:r>
        <w:rPr>
          <w:rFonts w:cs="Arial"/>
          <w:iCs/>
          <w:sz w:val="16"/>
          <w:szCs w:val="16"/>
        </w:rPr>
        <w:t> (</w:t>
      </w:r>
      <w:r w:rsidRPr="00D20875">
        <w:rPr>
          <w:rFonts w:cs="Arial"/>
          <w:iCs/>
          <w:sz w:val="16"/>
          <w:szCs w:val="16"/>
        </w:rPr>
        <w:t>B.6g</w:t>
      </w:r>
      <w:r>
        <w:rPr>
          <w:rFonts w:cs="Arial"/>
          <w:iCs/>
          <w:sz w:val="16"/>
          <w:szCs w:val="16"/>
        </w:rPr>
        <w:t> + </w:t>
      </w:r>
      <w:r w:rsidRPr="00D20875">
        <w:rPr>
          <w:rFonts w:cs="Arial"/>
          <w:iCs/>
          <w:sz w:val="16"/>
          <w:szCs w:val="16"/>
        </w:rPr>
        <w:t>D.8</w:t>
      </w:r>
      <w:r>
        <w:rPr>
          <w:rFonts w:cs="Arial"/>
          <w:iCs/>
          <w:sz w:val="16"/>
          <w:szCs w:val="16"/>
        </w:rPr>
        <w:t>)</w:t>
      </w:r>
      <w:r w:rsidRPr="00D20875">
        <w:rPr>
          <w:rFonts w:cs="Arial"/>
          <w:iCs/>
          <w:sz w:val="16"/>
          <w:szCs w:val="16"/>
        </w:rPr>
        <w:t>).</w:t>
      </w:r>
    </w:p>
  </w:footnote>
  <w:footnote w:id="21">
    <w:p w14:paraId="1563D92B" w14:textId="77777777" w:rsidR="0001683E" w:rsidRPr="00B342F4" w:rsidRDefault="0001683E" w:rsidP="0001683E">
      <w:pPr>
        <w:pStyle w:val="Textpoznpodarou"/>
        <w:rPr>
          <w:rFonts w:cs="Arial"/>
          <w:sz w:val="16"/>
          <w:szCs w:val="16"/>
        </w:rPr>
      </w:pPr>
      <w:r w:rsidRPr="00273CB1">
        <w:rPr>
          <w:rStyle w:val="Znakapoznpodarou"/>
          <w:sz w:val="16"/>
          <w:szCs w:val="16"/>
        </w:rPr>
        <w:footnoteRef/>
      </w:r>
      <w:r w:rsidRPr="00273CB1">
        <w:rPr>
          <w:sz w:val="16"/>
          <w:szCs w:val="16"/>
        </w:rPr>
        <w:t xml:space="preserve"> </w:t>
      </w:r>
      <w:r w:rsidRPr="00273CB1">
        <w:rPr>
          <w:rStyle w:val="odkaz-style-wrapper"/>
          <w:rFonts w:cs="Arial"/>
          <w:bCs/>
          <w:sz w:val="16"/>
          <w:szCs w:val="16"/>
        </w:rPr>
        <w:t xml:space="preserve">Nerezidenti </w:t>
      </w:r>
      <w:r w:rsidRPr="00273CB1">
        <w:rPr>
          <w:rStyle w:val="odkaz-style-wrapper"/>
          <w:rFonts w:cs="Arial"/>
          <w:sz w:val="16"/>
          <w:szCs w:val="16"/>
        </w:rPr>
        <w:t xml:space="preserve">představují </w:t>
      </w:r>
      <w:r>
        <w:rPr>
          <w:rStyle w:val="odkaz-style-wrapper"/>
          <w:rFonts w:cs="Arial"/>
          <w:sz w:val="16"/>
          <w:szCs w:val="16"/>
        </w:rPr>
        <w:t xml:space="preserve">různorodé </w:t>
      </w:r>
      <w:r w:rsidRPr="00273CB1">
        <w:rPr>
          <w:rStyle w:val="odkaz-style-wrapper"/>
          <w:rFonts w:cs="Arial"/>
          <w:sz w:val="16"/>
          <w:szCs w:val="16"/>
        </w:rPr>
        <w:t>seskupení jednotek</w:t>
      </w:r>
      <w:r>
        <w:rPr>
          <w:rStyle w:val="odkaz-style-wrapper"/>
          <w:rFonts w:cs="Arial"/>
          <w:sz w:val="16"/>
          <w:szCs w:val="16"/>
        </w:rPr>
        <w:t>, jejichž společným znakem je, že nesídlí na ekonomickém území státu, ale mají s daným národním hospodářstvím ekonomické vztahy.</w:t>
      </w:r>
    </w:p>
  </w:footnote>
  <w:footnote w:id="22">
    <w:p w14:paraId="77DC1728" w14:textId="78CD1D3E" w:rsidR="00C232B3" w:rsidRPr="00C232B3" w:rsidRDefault="00C232B3">
      <w:pPr>
        <w:pStyle w:val="Textpoznpodarou"/>
        <w:rPr>
          <w:sz w:val="16"/>
          <w:szCs w:val="16"/>
        </w:rPr>
      </w:pPr>
      <w:r w:rsidRPr="00C232B3">
        <w:rPr>
          <w:rStyle w:val="Znakapoznpodarou"/>
          <w:sz w:val="16"/>
          <w:szCs w:val="16"/>
        </w:rPr>
        <w:footnoteRef/>
      </w:r>
      <w:r w:rsidRPr="00C232B3">
        <w:rPr>
          <w:sz w:val="16"/>
          <w:szCs w:val="16"/>
        </w:rPr>
        <w:t xml:space="preserve"> V roce 2019 důchody z vlastnictví nerezidentů dosáhly 608,8</w:t>
      </w:r>
      <w:r w:rsidR="0032347E">
        <w:rPr>
          <w:sz w:val="16"/>
          <w:szCs w:val="16"/>
        </w:rPr>
        <w:t> mld</w:t>
      </w:r>
      <w:r w:rsidRPr="00C232B3">
        <w:rPr>
          <w:sz w:val="16"/>
          <w:szCs w:val="16"/>
        </w:rPr>
        <w:t xml:space="preserve">. korun </w:t>
      </w:r>
      <w:r w:rsidR="001C4AB9" w:rsidRPr="00C232B3">
        <w:rPr>
          <w:sz w:val="16"/>
          <w:szCs w:val="16"/>
        </w:rPr>
        <w:t>a</w:t>
      </w:r>
      <w:r w:rsidR="001C4AB9">
        <w:rPr>
          <w:sz w:val="16"/>
          <w:szCs w:val="16"/>
        </w:rPr>
        <w:t> </w:t>
      </w:r>
      <w:r w:rsidRPr="00C232B3">
        <w:rPr>
          <w:sz w:val="16"/>
          <w:szCs w:val="16"/>
        </w:rPr>
        <w:t>z toho rozdělované důchody společností činily 354,8</w:t>
      </w:r>
      <w:r w:rsidR="0032347E">
        <w:rPr>
          <w:sz w:val="16"/>
          <w:szCs w:val="16"/>
        </w:rPr>
        <w:t> mld</w:t>
      </w:r>
      <w:r w:rsidRPr="00C232B3">
        <w:rPr>
          <w:sz w:val="16"/>
          <w:szCs w:val="16"/>
        </w:rPr>
        <w:t>.</w:t>
      </w:r>
    </w:p>
  </w:footnote>
  <w:footnote w:id="23">
    <w:p w14:paraId="2C3E874B" w14:textId="70CB7516" w:rsidR="00916073" w:rsidRPr="00E754BF" w:rsidRDefault="00916073" w:rsidP="00916073">
      <w:pPr>
        <w:pStyle w:val="Textpoznpodarou"/>
        <w:rPr>
          <w:sz w:val="16"/>
          <w:szCs w:val="16"/>
        </w:rPr>
      </w:pPr>
      <w:r w:rsidRPr="00E754BF">
        <w:rPr>
          <w:rStyle w:val="Znakapoznpodarou"/>
          <w:sz w:val="16"/>
          <w:szCs w:val="16"/>
        </w:rPr>
        <w:footnoteRef/>
      </w:r>
      <w:r w:rsidRPr="00E754BF">
        <w:rPr>
          <w:sz w:val="16"/>
          <w:szCs w:val="16"/>
        </w:rPr>
        <w:t xml:space="preserve"> Výjimkou </w:t>
      </w:r>
      <w:r>
        <w:rPr>
          <w:sz w:val="16"/>
          <w:szCs w:val="16"/>
        </w:rPr>
        <w:t xml:space="preserve">za posledních dvacet let </w:t>
      </w:r>
      <w:r w:rsidRPr="00E754BF">
        <w:rPr>
          <w:sz w:val="16"/>
          <w:szCs w:val="16"/>
        </w:rPr>
        <w:t xml:space="preserve">bylo jen </w:t>
      </w:r>
      <w:r>
        <w:rPr>
          <w:sz w:val="16"/>
          <w:szCs w:val="16"/>
        </w:rPr>
        <w:t>4</w:t>
      </w:r>
      <w:r w:rsidRPr="00E754BF">
        <w:rPr>
          <w:sz w:val="16"/>
          <w:szCs w:val="16"/>
        </w:rPr>
        <w:t>.</w:t>
      </w:r>
      <w:r>
        <w:rPr>
          <w:sz w:val="16"/>
          <w:szCs w:val="16"/>
        </w:rPr>
        <w:t> čtvrtlet</w:t>
      </w:r>
      <w:r w:rsidRPr="00E754BF">
        <w:rPr>
          <w:sz w:val="16"/>
          <w:szCs w:val="16"/>
        </w:rPr>
        <w:t>í 2020.</w:t>
      </w:r>
      <w:r w:rsidR="005F6782">
        <w:rPr>
          <w:sz w:val="16"/>
          <w:szCs w:val="16"/>
        </w:rPr>
        <w:t xml:space="preserve"> V kumulaci za celý rok bylo dosaženo přebytku pouze v letech 2017 </w:t>
      </w:r>
      <w:r w:rsidR="001C4AB9">
        <w:rPr>
          <w:sz w:val="16"/>
          <w:szCs w:val="16"/>
        </w:rPr>
        <w:t>a </w:t>
      </w:r>
      <w:r w:rsidR="005F6782">
        <w:rPr>
          <w:sz w:val="16"/>
          <w:szCs w:val="16"/>
        </w:rPr>
        <w:t>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7BF0C" w14:textId="77777777" w:rsidR="006A79D4" w:rsidRDefault="006A79D4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ED5D212" wp14:editId="5BE8D5ED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4" name="Rectangle 7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8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9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3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2178" y="2129"/>
                          <a:ext cx="195" cy="186"/>
                        </a:xfrm>
                        <a:custGeom>
                          <a:avLst/>
                          <a:gdLst>
                            <a:gd name="T0" fmla="*/ 197 w 391"/>
                            <a:gd name="T1" fmla="*/ 116 h 374"/>
                            <a:gd name="T2" fmla="*/ 156 w 391"/>
                            <a:gd name="T3" fmla="*/ 236 h 374"/>
                            <a:gd name="T4" fmla="*/ 237 w 391"/>
                            <a:gd name="T5" fmla="*/ 236 h 374"/>
                            <a:gd name="T6" fmla="*/ 197 w 391"/>
                            <a:gd name="T7" fmla="*/ 116 h 374"/>
                            <a:gd name="T8" fmla="*/ 128 w 391"/>
                            <a:gd name="T9" fmla="*/ 309 h 374"/>
                            <a:gd name="T10" fmla="*/ 104 w 391"/>
                            <a:gd name="T11" fmla="*/ 374 h 374"/>
                            <a:gd name="T12" fmla="*/ 0 w 391"/>
                            <a:gd name="T13" fmla="*/ 374 h 374"/>
                            <a:gd name="T14" fmla="*/ 143 w 391"/>
                            <a:gd name="T15" fmla="*/ 0 h 374"/>
                            <a:gd name="T16" fmla="*/ 251 w 391"/>
                            <a:gd name="T17" fmla="*/ 0 h 374"/>
                            <a:gd name="T18" fmla="*/ 391 w 391"/>
                            <a:gd name="T19" fmla="*/ 374 h 374"/>
                            <a:gd name="T20" fmla="*/ 287 w 391"/>
                            <a:gd name="T21" fmla="*/ 374 h 374"/>
                            <a:gd name="T22" fmla="*/ 263 w 391"/>
                            <a:gd name="T23" fmla="*/ 309 h 374"/>
                            <a:gd name="T24" fmla="*/ 128 w 391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1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4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51" y="0"/>
                              </a:lnTo>
                              <a:lnTo>
                                <a:pt x="391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/>
                      </wps:cNvSpPr>
                      <wps:spPr bwMode="auto">
                        <a:xfrm>
                          <a:off x="2394" y="2129"/>
                          <a:ext cx="187" cy="186"/>
                        </a:xfrm>
                        <a:custGeom>
                          <a:avLst/>
                          <a:gdLst>
                            <a:gd name="T0" fmla="*/ 0 w 373"/>
                            <a:gd name="T1" fmla="*/ 0 h 374"/>
                            <a:gd name="T2" fmla="*/ 97 w 373"/>
                            <a:gd name="T3" fmla="*/ 0 h 374"/>
                            <a:gd name="T4" fmla="*/ 276 w 373"/>
                            <a:gd name="T5" fmla="*/ 229 h 374"/>
                            <a:gd name="T6" fmla="*/ 276 w 373"/>
                            <a:gd name="T7" fmla="*/ 0 h 374"/>
                            <a:gd name="T8" fmla="*/ 373 w 373"/>
                            <a:gd name="T9" fmla="*/ 0 h 374"/>
                            <a:gd name="T10" fmla="*/ 373 w 373"/>
                            <a:gd name="T11" fmla="*/ 374 h 374"/>
                            <a:gd name="T12" fmla="*/ 276 w 373"/>
                            <a:gd name="T13" fmla="*/ 374 h 374"/>
                            <a:gd name="T14" fmla="*/ 97 w 373"/>
                            <a:gd name="T15" fmla="*/ 146 h 374"/>
                            <a:gd name="T16" fmla="*/ 97 w 373"/>
                            <a:gd name="T17" fmla="*/ 374 h 374"/>
                            <a:gd name="T18" fmla="*/ 0 w 373"/>
                            <a:gd name="T19" fmla="*/ 374 h 374"/>
                            <a:gd name="T20" fmla="*/ 0 w 373"/>
                            <a:gd name="T21" fmla="*/ 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3" h="374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6" y="229"/>
                              </a:lnTo>
                              <a:lnTo>
                                <a:pt x="276" y="0"/>
                              </a:lnTo>
                              <a:lnTo>
                                <a:pt x="373" y="0"/>
                              </a:lnTo>
                              <a:lnTo>
                                <a:pt x="373" y="374"/>
                              </a:lnTo>
                              <a:lnTo>
                                <a:pt x="276" y="374"/>
                              </a:lnTo>
                              <a:lnTo>
                                <a:pt x="97" y="146"/>
                              </a:lnTo>
                              <a:lnTo>
                                <a:pt x="97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603" y="2129"/>
                          <a:ext cx="195" cy="186"/>
                        </a:xfrm>
                        <a:custGeom>
                          <a:avLst/>
                          <a:gdLst>
                            <a:gd name="T0" fmla="*/ 196 w 390"/>
                            <a:gd name="T1" fmla="*/ 116 h 374"/>
                            <a:gd name="T2" fmla="*/ 155 w 390"/>
                            <a:gd name="T3" fmla="*/ 236 h 374"/>
                            <a:gd name="T4" fmla="*/ 236 w 390"/>
                            <a:gd name="T5" fmla="*/ 236 h 374"/>
                            <a:gd name="T6" fmla="*/ 196 w 390"/>
                            <a:gd name="T7" fmla="*/ 116 h 374"/>
                            <a:gd name="T8" fmla="*/ 128 w 390"/>
                            <a:gd name="T9" fmla="*/ 309 h 374"/>
                            <a:gd name="T10" fmla="*/ 102 w 390"/>
                            <a:gd name="T11" fmla="*/ 374 h 374"/>
                            <a:gd name="T12" fmla="*/ 0 w 390"/>
                            <a:gd name="T13" fmla="*/ 374 h 374"/>
                            <a:gd name="T14" fmla="*/ 143 w 390"/>
                            <a:gd name="T15" fmla="*/ 0 h 374"/>
                            <a:gd name="T16" fmla="*/ 249 w 390"/>
                            <a:gd name="T17" fmla="*/ 0 h 374"/>
                            <a:gd name="T18" fmla="*/ 390 w 390"/>
                            <a:gd name="T19" fmla="*/ 374 h 374"/>
                            <a:gd name="T20" fmla="*/ 287 w 390"/>
                            <a:gd name="T21" fmla="*/ 374 h 374"/>
                            <a:gd name="T22" fmla="*/ 263 w 390"/>
                            <a:gd name="T23" fmla="*/ 309 h 374"/>
                            <a:gd name="T24" fmla="*/ 128 w 390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0" h="374">
                              <a:moveTo>
                                <a:pt x="196" y="116"/>
                              </a:moveTo>
                              <a:lnTo>
                                <a:pt x="155" y="236"/>
                              </a:lnTo>
                              <a:lnTo>
                                <a:pt x="236" y="236"/>
                              </a:lnTo>
                              <a:lnTo>
                                <a:pt x="196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390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2820" y="2129"/>
                          <a:ext cx="106" cy="186"/>
                        </a:xfrm>
                        <a:custGeom>
                          <a:avLst/>
                          <a:gdLst>
                            <a:gd name="T0" fmla="*/ 97 w 213"/>
                            <a:gd name="T1" fmla="*/ 292 h 374"/>
                            <a:gd name="T2" fmla="*/ 213 w 213"/>
                            <a:gd name="T3" fmla="*/ 292 h 374"/>
                            <a:gd name="T4" fmla="*/ 213 w 213"/>
                            <a:gd name="T5" fmla="*/ 374 h 374"/>
                            <a:gd name="T6" fmla="*/ 0 w 213"/>
                            <a:gd name="T7" fmla="*/ 374 h 374"/>
                            <a:gd name="T8" fmla="*/ 0 w 213"/>
                            <a:gd name="T9" fmla="*/ 0 h 374"/>
                            <a:gd name="T10" fmla="*/ 97 w 213"/>
                            <a:gd name="T11" fmla="*/ 0 h 374"/>
                            <a:gd name="T12" fmla="*/ 97 w 213"/>
                            <a:gd name="T13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374">
                              <a:moveTo>
                                <a:pt x="97" y="292"/>
                              </a:moveTo>
                              <a:lnTo>
                                <a:pt x="213" y="292"/>
                              </a:lnTo>
                              <a:lnTo>
                                <a:pt x="213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97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 noEditPoints="1"/>
                      </wps:cNvSpPr>
                      <wps:spPr bwMode="auto">
                        <a:xfrm>
                          <a:off x="2909" y="2068"/>
                          <a:ext cx="187" cy="247"/>
                        </a:xfrm>
                        <a:custGeom>
                          <a:avLst/>
                          <a:gdLst>
                            <a:gd name="T0" fmla="*/ 188 w 374"/>
                            <a:gd name="T1" fmla="*/ 102 h 495"/>
                            <a:gd name="T2" fmla="*/ 154 w 374"/>
                            <a:gd name="T3" fmla="*/ 69 h 495"/>
                            <a:gd name="T4" fmla="*/ 234 w 374"/>
                            <a:gd name="T5" fmla="*/ 0 h 495"/>
                            <a:gd name="T6" fmla="*/ 281 w 374"/>
                            <a:gd name="T7" fmla="*/ 43 h 495"/>
                            <a:gd name="T8" fmla="*/ 188 w 374"/>
                            <a:gd name="T9" fmla="*/ 102 h 495"/>
                            <a:gd name="T10" fmla="*/ 0 w 374"/>
                            <a:gd name="T11" fmla="*/ 121 h 495"/>
                            <a:gd name="T12" fmla="*/ 117 w 374"/>
                            <a:gd name="T13" fmla="*/ 121 h 495"/>
                            <a:gd name="T14" fmla="*/ 187 w 374"/>
                            <a:gd name="T15" fmla="*/ 223 h 495"/>
                            <a:gd name="T16" fmla="*/ 255 w 374"/>
                            <a:gd name="T17" fmla="*/ 121 h 495"/>
                            <a:gd name="T18" fmla="*/ 374 w 374"/>
                            <a:gd name="T19" fmla="*/ 121 h 495"/>
                            <a:gd name="T20" fmla="*/ 233 w 374"/>
                            <a:gd name="T21" fmla="*/ 316 h 495"/>
                            <a:gd name="T22" fmla="*/ 233 w 374"/>
                            <a:gd name="T23" fmla="*/ 495 h 495"/>
                            <a:gd name="T24" fmla="*/ 136 w 374"/>
                            <a:gd name="T25" fmla="*/ 495 h 495"/>
                            <a:gd name="T26" fmla="*/ 136 w 374"/>
                            <a:gd name="T27" fmla="*/ 316 h 495"/>
                            <a:gd name="T28" fmla="*/ 0 w 374"/>
                            <a:gd name="T29" fmla="*/ 121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4" h="495">
                              <a:moveTo>
                                <a:pt x="188" y="102"/>
                              </a:moveTo>
                              <a:lnTo>
                                <a:pt x="154" y="69"/>
                              </a:lnTo>
                              <a:lnTo>
                                <a:pt x="234" y="0"/>
                              </a:lnTo>
                              <a:lnTo>
                                <a:pt x="281" y="43"/>
                              </a:lnTo>
                              <a:lnTo>
                                <a:pt x="188" y="102"/>
                              </a:lnTo>
                              <a:close/>
                              <a:moveTo>
                                <a:pt x="0" y="121"/>
                              </a:moveTo>
                              <a:lnTo>
                                <a:pt x="117" y="121"/>
                              </a:lnTo>
                              <a:lnTo>
                                <a:pt x="187" y="223"/>
                              </a:lnTo>
                              <a:lnTo>
                                <a:pt x="255" y="121"/>
                              </a:lnTo>
                              <a:lnTo>
                                <a:pt x="374" y="121"/>
                              </a:lnTo>
                              <a:lnTo>
                                <a:pt x="233" y="316"/>
                              </a:lnTo>
                              <a:lnTo>
                                <a:pt x="233" y="495"/>
                              </a:lnTo>
                              <a:lnTo>
                                <a:pt x="136" y="495"/>
                              </a:lnTo>
                              <a:lnTo>
                                <a:pt x="136" y="316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3099" y="2129"/>
                          <a:ext cx="170" cy="186"/>
                        </a:xfrm>
                        <a:custGeom>
                          <a:avLst/>
                          <a:gdLst>
                            <a:gd name="T0" fmla="*/ 320 w 340"/>
                            <a:gd name="T1" fmla="*/ 292 h 374"/>
                            <a:gd name="T2" fmla="*/ 320 w 340"/>
                            <a:gd name="T3" fmla="*/ 374 h 374"/>
                            <a:gd name="T4" fmla="*/ 0 w 340"/>
                            <a:gd name="T5" fmla="*/ 374 h 374"/>
                            <a:gd name="T6" fmla="*/ 177 w 340"/>
                            <a:gd name="T7" fmla="*/ 82 h 374"/>
                            <a:gd name="T8" fmla="*/ 30 w 340"/>
                            <a:gd name="T9" fmla="*/ 82 h 374"/>
                            <a:gd name="T10" fmla="*/ 30 w 340"/>
                            <a:gd name="T11" fmla="*/ 0 h 374"/>
                            <a:gd name="T12" fmla="*/ 340 w 340"/>
                            <a:gd name="T13" fmla="*/ 0 h 374"/>
                            <a:gd name="T14" fmla="*/ 163 w 340"/>
                            <a:gd name="T15" fmla="*/ 292 h 374"/>
                            <a:gd name="T16" fmla="*/ 320 w 340"/>
                            <a:gd name="T17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0" h="374">
                              <a:moveTo>
                                <a:pt x="320" y="292"/>
                              </a:moveTo>
                              <a:lnTo>
                                <a:pt x="320" y="374"/>
                              </a:lnTo>
                              <a:lnTo>
                                <a:pt x="0" y="374"/>
                              </a:lnTo>
                              <a:lnTo>
                                <a:pt x="177" y="82"/>
                              </a:lnTo>
                              <a:lnTo>
                                <a:pt x="30" y="82"/>
                              </a:lnTo>
                              <a:lnTo>
                                <a:pt x="30" y="0"/>
                              </a:lnTo>
                              <a:lnTo>
                                <a:pt x="340" y="0"/>
                              </a:lnTo>
                              <a:lnTo>
                                <a:pt x="163" y="292"/>
                              </a:lnTo>
                              <a:lnTo>
                                <a:pt x="32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 noEditPoints="1"/>
                      </wps:cNvSpPr>
                      <wps:spPr bwMode="auto">
                        <a:xfrm>
                          <a:off x="3278" y="2129"/>
                          <a:ext cx="195" cy="186"/>
                        </a:xfrm>
                        <a:custGeom>
                          <a:avLst/>
                          <a:gdLst>
                            <a:gd name="T0" fmla="*/ 197 w 392"/>
                            <a:gd name="T1" fmla="*/ 116 h 374"/>
                            <a:gd name="T2" fmla="*/ 156 w 392"/>
                            <a:gd name="T3" fmla="*/ 236 h 374"/>
                            <a:gd name="T4" fmla="*/ 237 w 392"/>
                            <a:gd name="T5" fmla="*/ 236 h 374"/>
                            <a:gd name="T6" fmla="*/ 197 w 392"/>
                            <a:gd name="T7" fmla="*/ 116 h 374"/>
                            <a:gd name="T8" fmla="*/ 129 w 392"/>
                            <a:gd name="T9" fmla="*/ 309 h 374"/>
                            <a:gd name="T10" fmla="*/ 102 w 392"/>
                            <a:gd name="T11" fmla="*/ 374 h 374"/>
                            <a:gd name="T12" fmla="*/ 0 w 392"/>
                            <a:gd name="T13" fmla="*/ 374 h 374"/>
                            <a:gd name="T14" fmla="*/ 144 w 392"/>
                            <a:gd name="T15" fmla="*/ 0 h 374"/>
                            <a:gd name="T16" fmla="*/ 251 w 392"/>
                            <a:gd name="T17" fmla="*/ 0 h 374"/>
                            <a:gd name="T18" fmla="*/ 392 w 392"/>
                            <a:gd name="T19" fmla="*/ 374 h 374"/>
                            <a:gd name="T20" fmla="*/ 287 w 392"/>
                            <a:gd name="T21" fmla="*/ 374 h 374"/>
                            <a:gd name="T22" fmla="*/ 263 w 392"/>
                            <a:gd name="T23" fmla="*/ 309 h 374"/>
                            <a:gd name="T24" fmla="*/ 129 w 392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9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 noEditPoints="1"/>
                      </wps:cNvSpPr>
                      <wps:spPr bwMode="auto">
                        <a:xfrm>
                          <a:off x="6643" y="1371"/>
                          <a:ext cx="3880" cy="179"/>
                        </a:xfrm>
                        <a:custGeom>
                          <a:avLst/>
                          <a:gdLst>
                            <a:gd name="T0" fmla="*/ 152 w 7760"/>
                            <a:gd name="T1" fmla="*/ 278 h 358"/>
                            <a:gd name="T2" fmla="*/ 109 w 7760"/>
                            <a:gd name="T3" fmla="*/ 87 h 358"/>
                            <a:gd name="T4" fmla="*/ 204 w 7760"/>
                            <a:gd name="T5" fmla="*/ 188 h 358"/>
                            <a:gd name="T6" fmla="*/ 327 w 7760"/>
                            <a:gd name="T7" fmla="*/ 221 h 358"/>
                            <a:gd name="T8" fmla="*/ 404 w 7760"/>
                            <a:gd name="T9" fmla="*/ 228 h 358"/>
                            <a:gd name="T10" fmla="*/ 382 w 7760"/>
                            <a:gd name="T11" fmla="*/ 192 h 358"/>
                            <a:gd name="T12" fmla="*/ 888 w 7760"/>
                            <a:gd name="T13" fmla="*/ 156 h 358"/>
                            <a:gd name="T14" fmla="*/ 823 w 7760"/>
                            <a:gd name="T15" fmla="*/ 267 h 358"/>
                            <a:gd name="T16" fmla="*/ 925 w 7760"/>
                            <a:gd name="T17" fmla="*/ 171 h 358"/>
                            <a:gd name="T18" fmla="*/ 1062 w 7760"/>
                            <a:gd name="T19" fmla="*/ 287 h 358"/>
                            <a:gd name="T20" fmla="*/ 1056 w 7760"/>
                            <a:gd name="T21" fmla="*/ 168 h 358"/>
                            <a:gd name="T22" fmla="*/ 1376 w 7760"/>
                            <a:gd name="T23" fmla="*/ 165 h 358"/>
                            <a:gd name="T24" fmla="*/ 1295 w 7760"/>
                            <a:gd name="T25" fmla="*/ 253 h 358"/>
                            <a:gd name="T26" fmla="*/ 1420 w 7760"/>
                            <a:gd name="T27" fmla="*/ 150 h 358"/>
                            <a:gd name="T28" fmla="*/ 1567 w 7760"/>
                            <a:gd name="T29" fmla="*/ 162 h 358"/>
                            <a:gd name="T30" fmla="*/ 1566 w 7760"/>
                            <a:gd name="T31" fmla="*/ 217 h 358"/>
                            <a:gd name="T32" fmla="*/ 2044 w 7760"/>
                            <a:gd name="T33" fmla="*/ 150 h 358"/>
                            <a:gd name="T34" fmla="*/ 2136 w 7760"/>
                            <a:gd name="T35" fmla="*/ 82 h 358"/>
                            <a:gd name="T36" fmla="*/ 2319 w 7760"/>
                            <a:gd name="T37" fmla="*/ 147 h 358"/>
                            <a:gd name="T38" fmla="*/ 2362 w 7760"/>
                            <a:gd name="T39" fmla="*/ 175 h 358"/>
                            <a:gd name="T40" fmla="*/ 2466 w 7760"/>
                            <a:gd name="T41" fmla="*/ 155 h 358"/>
                            <a:gd name="T42" fmla="*/ 2541 w 7760"/>
                            <a:gd name="T43" fmla="*/ 195 h 358"/>
                            <a:gd name="T44" fmla="*/ 3266 w 7760"/>
                            <a:gd name="T45" fmla="*/ 163 h 358"/>
                            <a:gd name="T46" fmla="*/ 3266 w 7760"/>
                            <a:gd name="T47" fmla="*/ 269 h 358"/>
                            <a:gd name="T48" fmla="*/ 3458 w 7760"/>
                            <a:gd name="T49" fmla="*/ 282 h 358"/>
                            <a:gd name="T50" fmla="*/ 3438 w 7760"/>
                            <a:gd name="T51" fmla="*/ 358 h 358"/>
                            <a:gd name="T52" fmla="*/ 3634 w 7760"/>
                            <a:gd name="T53" fmla="*/ 146 h 358"/>
                            <a:gd name="T54" fmla="*/ 3647 w 7760"/>
                            <a:gd name="T55" fmla="*/ 168 h 358"/>
                            <a:gd name="T56" fmla="*/ 3785 w 7760"/>
                            <a:gd name="T57" fmla="*/ 148 h 358"/>
                            <a:gd name="T58" fmla="*/ 3811 w 7760"/>
                            <a:gd name="T59" fmla="*/ 168 h 358"/>
                            <a:gd name="T60" fmla="*/ 3989 w 7760"/>
                            <a:gd name="T61" fmla="*/ 152 h 358"/>
                            <a:gd name="T62" fmla="*/ 4001 w 7760"/>
                            <a:gd name="T63" fmla="*/ 244 h 358"/>
                            <a:gd name="T64" fmla="*/ 4086 w 7760"/>
                            <a:gd name="T65" fmla="*/ 147 h 358"/>
                            <a:gd name="T66" fmla="*/ 4093 w 7760"/>
                            <a:gd name="T67" fmla="*/ 287 h 358"/>
                            <a:gd name="T68" fmla="*/ 4193 w 7760"/>
                            <a:gd name="T69" fmla="*/ 155 h 358"/>
                            <a:gd name="T70" fmla="*/ 4269 w 7760"/>
                            <a:gd name="T71" fmla="*/ 196 h 358"/>
                            <a:gd name="T72" fmla="*/ 4359 w 7760"/>
                            <a:gd name="T73" fmla="*/ 283 h 358"/>
                            <a:gd name="T74" fmla="*/ 4440 w 7760"/>
                            <a:gd name="T75" fmla="*/ 283 h 358"/>
                            <a:gd name="T76" fmla="*/ 4493 w 7760"/>
                            <a:gd name="T77" fmla="*/ 187 h 358"/>
                            <a:gd name="T78" fmla="*/ 4703 w 7760"/>
                            <a:gd name="T79" fmla="*/ 181 h 358"/>
                            <a:gd name="T80" fmla="*/ 4867 w 7760"/>
                            <a:gd name="T81" fmla="*/ 186 h 358"/>
                            <a:gd name="T82" fmla="*/ 4971 w 7760"/>
                            <a:gd name="T83" fmla="*/ 91 h 358"/>
                            <a:gd name="T84" fmla="*/ 4886 w 7760"/>
                            <a:gd name="T85" fmla="*/ 139 h 358"/>
                            <a:gd name="T86" fmla="*/ 4920 w 7760"/>
                            <a:gd name="T87" fmla="*/ 182 h 358"/>
                            <a:gd name="T88" fmla="*/ 5714 w 7760"/>
                            <a:gd name="T89" fmla="*/ 252 h 358"/>
                            <a:gd name="T90" fmla="*/ 5782 w 7760"/>
                            <a:gd name="T91" fmla="*/ 89 h 358"/>
                            <a:gd name="T92" fmla="*/ 5759 w 7760"/>
                            <a:gd name="T93" fmla="*/ 89 h 358"/>
                            <a:gd name="T94" fmla="*/ 6008 w 7760"/>
                            <a:gd name="T95" fmla="*/ 246 h 358"/>
                            <a:gd name="T96" fmla="*/ 5974 w 7760"/>
                            <a:gd name="T97" fmla="*/ 253 h 358"/>
                            <a:gd name="T98" fmla="*/ 6160 w 7760"/>
                            <a:gd name="T99" fmla="*/ 268 h 358"/>
                            <a:gd name="T100" fmla="*/ 6152 w 7760"/>
                            <a:gd name="T101" fmla="*/ 101 h 358"/>
                            <a:gd name="T102" fmla="*/ 6206 w 7760"/>
                            <a:gd name="T103" fmla="*/ 182 h 358"/>
                            <a:gd name="T104" fmla="*/ 6446 w 7760"/>
                            <a:gd name="T105" fmla="*/ 122 h 358"/>
                            <a:gd name="T106" fmla="*/ 6423 w 7760"/>
                            <a:gd name="T107" fmla="*/ 129 h 358"/>
                            <a:gd name="T108" fmla="*/ 6681 w 7760"/>
                            <a:gd name="T109" fmla="*/ 190 h 358"/>
                            <a:gd name="T110" fmla="*/ 6817 w 7760"/>
                            <a:gd name="T111" fmla="*/ 150 h 358"/>
                            <a:gd name="T112" fmla="*/ 6957 w 7760"/>
                            <a:gd name="T113" fmla="*/ 283 h 358"/>
                            <a:gd name="T114" fmla="*/ 7046 w 7760"/>
                            <a:gd name="T115" fmla="*/ 283 h 358"/>
                            <a:gd name="T116" fmla="*/ 7279 w 7760"/>
                            <a:gd name="T117" fmla="*/ 155 h 358"/>
                            <a:gd name="T118" fmla="*/ 7295 w 7760"/>
                            <a:gd name="T119" fmla="*/ 283 h 358"/>
                            <a:gd name="T120" fmla="*/ 7501 w 7760"/>
                            <a:gd name="T121" fmla="*/ 91 h 358"/>
                            <a:gd name="T122" fmla="*/ 7751 w 7760"/>
                            <a:gd name="T123" fmla="*/ 228 h 358"/>
                            <a:gd name="T124" fmla="*/ 7700 w 7760"/>
                            <a:gd name="T125" fmla="*/ 261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8">
                              <a:moveTo>
                                <a:pt x="174" y="86"/>
                              </a:moveTo>
                              <a:lnTo>
                                <a:pt x="159" y="77"/>
                              </a:lnTo>
                              <a:lnTo>
                                <a:pt x="144" y="70"/>
                              </a:lnTo>
                              <a:lnTo>
                                <a:pt x="135" y="69"/>
                              </a:lnTo>
                              <a:lnTo>
                                <a:pt x="128" y="66"/>
                              </a:lnTo>
                              <a:lnTo>
                                <a:pt x="120" y="66"/>
                              </a:lnTo>
                              <a:lnTo>
                                <a:pt x="112" y="65"/>
                              </a:lnTo>
                              <a:lnTo>
                                <a:pt x="99" y="66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8" y="85"/>
                              </a:lnTo>
                              <a:lnTo>
                                <a:pt x="41" y="91"/>
                              </a:lnTo>
                              <a:lnTo>
                                <a:pt x="32" y="99"/>
                              </a:lnTo>
                              <a:lnTo>
                                <a:pt x="24" y="106"/>
                              </a:lnTo>
                              <a:lnTo>
                                <a:pt x="18" y="115"/>
                              </a:lnTo>
                              <a:lnTo>
                                <a:pt x="13" y="124"/>
                              </a:lnTo>
                              <a:lnTo>
                                <a:pt x="8" y="134"/>
                              </a:lnTo>
                              <a:lnTo>
                                <a:pt x="5" y="144"/>
                              </a:lnTo>
                              <a:lnTo>
                                <a:pt x="2" y="155"/>
                              </a:lnTo>
                              <a:lnTo>
                                <a:pt x="0" y="165"/>
                              </a:lnTo>
                              <a:lnTo>
                                <a:pt x="0" y="177"/>
                              </a:lnTo>
                              <a:lnTo>
                                <a:pt x="0" y="188"/>
                              </a:lnTo>
                              <a:lnTo>
                                <a:pt x="2" y="198"/>
                              </a:lnTo>
                              <a:lnTo>
                                <a:pt x="5" y="210"/>
                              </a:lnTo>
                              <a:lnTo>
                                <a:pt x="8" y="220"/>
                              </a:lnTo>
                              <a:lnTo>
                                <a:pt x="13" y="228"/>
                              </a:lnTo>
                              <a:lnTo>
                                <a:pt x="18" y="238"/>
                              </a:lnTo>
                              <a:lnTo>
                                <a:pt x="24" y="247"/>
                              </a:lnTo>
                              <a:lnTo>
                                <a:pt x="32" y="254"/>
                              </a:lnTo>
                              <a:lnTo>
                                <a:pt x="39" y="262"/>
                              </a:lnTo>
                              <a:lnTo>
                                <a:pt x="48" y="268"/>
                              </a:lnTo>
                              <a:lnTo>
                                <a:pt x="57" y="273"/>
                              </a:lnTo>
                              <a:lnTo>
                                <a:pt x="67" y="278"/>
                              </a:lnTo>
                              <a:lnTo>
                                <a:pt x="77" y="282"/>
                              </a:lnTo>
                              <a:lnTo>
                                <a:pt x="88" y="284"/>
                              </a:lnTo>
                              <a:lnTo>
                                <a:pt x="99" y="286"/>
                              </a:lnTo>
                              <a:lnTo>
                                <a:pt x="110" y="287"/>
                              </a:lnTo>
                              <a:lnTo>
                                <a:pt x="118" y="287"/>
                              </a:lnTo>
                              <a:lnTo>
                                <a:pt x="127" y="286"/>
                              </a:lnTo>
                              <a:lnTo>
                                <a:pt x="135" y="284"/>
                              </a:lnTo>
                              <a:lnTo>
                                <a:pt x="143" y="282"/>
                              </a:lnTo>
                              <a:lnTo>
                                <a:pt x="152" y="278"/>
                              </a:lnTo>
                              <a:lnTo>
                                <a:pt x="159" y="276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3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3" y="257"/>
                              </a:lnTo>
                              <a:lnTo>
                                <a:pt x="135" y="261"/>
                              </a:lnTo>
                              <a:lnTo>
                                <a:pt x="127" y="263"/>
                              </a:lnTo>
                              <a:lnTo>
                                <a:pt x="119" y="264"/>
                              </a:lnTo>
                              <a:lnTo>
                                <a:pt x="110" y="264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1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9"/>
                              </a:lnTo>
                              <a:lnTo>
                                <a:pt x="54" y="244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6"/>
                              </a:lnTo>
                              <a:lnTo>
                                <a:pt x="34" y="218"/>
                              </a:lnTo>
                              <a:lnTo>
                                <a:pt x="31" y="211"/>
                              </a:lnTo>
                              <a:lnTo>
                                <a:pt x="27" y="203"/>
                              </a:lnTo>
                              <a:lnTo>
                                <a:pt x="26" y="195"/>
                              </a:lnTo>
                              <a:lnTo>
                                <a:pt x="23" y="186"/>
                              </a:lnTo>
                              <a:lnTo>
                                <a:pt x="23" y="177"/>
                              </a:lnTo>
                              <a:lnTo>
                                <a:pt x="23" y="168"/>
                              </a:lnTo>
                              <a:lnTo>
                                <a:pt x="26" y="158"/>
                              </a:lnTo>
                              <a:lnTo>
                                <a:pt x="27" y="151"/>
                              </a:lnTo>
                              <a:lnTo>
                                <a:pt x="31" y="142"/>
                              </a:lnTo>
                              <a:lnTo>
                                <a:pt x="34" y="135"/>
                              </a:lnTo>
                              <a:lnTo>
                                <a:pt x="38" y="127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4" y="109"/>
                              </a:lnTo>
                              <a:lnTo>
                                <a:pt x="62" y="104"/>
                              </a:lnTo>
                              <a:lnTo>
                                <a:pt x="68" y="99"/>
                              </a:lnTo>
                              <a:lnTo>
                                <a:pt x="77" y="95"/>
                              </a:lnTo>
                              <a:lnTo>
                                <a:pt x="84" y="92"/>
                              </a:lnTo>
                              <a:lnTo>
                                <a:pt x="92" y="90"/>
                              </a:lnTo>
                              <a:lnTo>
                                <a:pt x="100" y="89"/>
                              </a:lnTo>
                              <a:lnTo>
                                <a:pt x="109" y="87"/>
                              </a:lnTo>
                              <a:lnTo>
                                <a:pt x="118" y="89"/>
                              </a:lnTo>
                              <a:lnTo>
                                <a:pt x="127" y="90"/>
                              </a:lnTo>
                              <a:lnTo>
                                <a:pt x="135" y="91"/>
                              </a:lnTo>
                              <a:lnTo>
                                <a:pt x="143" y="95"/>
                              </a:lnTo>
                              <a:lnTo>
                                <a:pt x="152" y="99"/>
                              </a:lnTo>
                              <a:lnTo>
                                <a:pt x="159" y="104"/>
                              </a:lnTo>
                              <a:lnTo>
                                <a:pt x="166" y="109"/>
                              </a:lnTo>
                              <a:lnTo>
                                <a:pt x="174" y="116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4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4" y="14"/>
                              </a:lnTo>
                              <a:lnTo>
                                <a:pt x="110" y="51"/>
                              </a:lnTo>
                              <a:lnTo>
                                <a:pt x="155" y="14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2"/>
                              </a:lnTo>
                              <a:lnTo>
                                <a:pt x="322" y="188"/>
                              </a:lnTo>
                              <a:lnTo>
                                <a:pt x="320" y="182"/>
                              </a:lnTo>
                              <a:lnTo>
                                <a:pt x="317" y="176"/>
                              </a:lnTo>
                              <a:lnTo>
                                <a:pt x="314" y="171"/>
                              </a:lnTo>
                              <a:lnTo>
                                <a:pt x="310" y="166"/>
                              </a:lnTo>
                              <a:lnTo>
                                <a:pt x="306" y="162"/>
                              </a:lnTo>
                              <a:lnTo>
                                <a:pt x="301" y="158"/>
                              </a:lnTo>
                              <a:lnTo>
                                <a:pt x="296" y="155"/>
                              </a:lnTo>
                              <a:lnTo>
                                <a:pt x="290" y="152"/>
                              </a:lnTo>
                              <a:lnTo>
                                <a:pt x="284" y="150"/>
                              </a:lnTo>
                              <a:lnTo>
                                <a:pt x="277" y="148"/>
                              </a:lnTo>
                              <a:lnTo>
                                <a:pt x="271" y="147"/>
                              </a:lnTo>
                              <a:lnTo>
                                <a:pt x="264" y="147"/>
                              </a:lnTo>
                              <a:lnTo>
                                <a:pt x="256" y="147"/>
                              </a:lnTo>
                              <a:lnTo>
                                <a:pt x="250" y="148"/>
                              </a:lnTo>
                              <a:lnTo>
                                <a:pt x="244" y="150"/>
                              </a:lnTo>
                              <a:lnTo>
                                <a:pt x="238" y="152"/>
                              </a:lnTo>
                              <a:lnTo>
                                <a:pt x="231" y="155"/>
                              </a:lnTo>
                              <a:lnTo>
                                <a:pt x="226" y="158"/>
                              </a:lnTo>
                              <a:lnTo>
                                <a:pt x="221" y="162"/>
                              </a:lnTo>
                              <a:lnTo>
                                <a:pt x="218" y="166"/>
                              </a:lnTo>
                              <a:lnTo>
                                <a:pt x="213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8"/>
                              </a:lnTo>
                              <a:lnTo>
                                <a:pt x="200" y="202"/>
                              </a:lnTo>
                              <a:lnTo>
                                <a:pt x="199" y="217"/>
                              </a:lnTo>
                              <a:lnTo>
                                <a:pt x="200" y="224"/>
                              </a:lnTo>
                              <a:lnTo>
                                <a:pt x="200" y="232"/>
                              </a:lnTo>
                              <a:lnTo>
                                <a:pt x="203" y="238"/>
                              </a:lnTo>
                              <a:lnTo>
                                <a:pt x="204" y="246"/>
                              </a:lnTo>
                              <a:lnTo>
                                <a:pt x="206" y="252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2"/>
                              </a:lnTo>
                              <a:lnTo>
                                <a:pt x="228" y="276"/>
                              </a:lnTo>
                              <a:lnTo>
                                <a:pt x="233" y="279"/>
                              </a:lnTo>
                              <a:lnTo>
                                <a:pt x="239" y="282"/>
                              </a:lnTo>
                              <a:lnTo>
                                <a:pt x="245" y="283"/>
                              </a:lnTo>
                              <a:lnTo>
                                <a:pt x="251" y="286"/>
                              </a:lnTo>
                              <a:lnTo>
                                <a:pt x="257" y="287"/>
                              </a:lnTo>
                              <a:lnTo>
                                <a:pt x="265" y="287"/>
                              </a:lnTo>
                              <a:lnTo>
                                <a:pt x="275" y="286"/>
                              </a:lnTo>
                              <a:lnTo>
                                <a:pt x="284" y="284"/>
                              </a:lnTo>
                              <a:lnTo>
                                <a:pt x="292" y="282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8"/>
                              </a:lnTo>
                              <a:lnTo>
                                <a:pt x="326" y="249"/>
                              </a:lnTo>
                              <a:lnTo>
                                <a:pt x="307" y="238"/>
                              </a:lnTo>
                              <a:lnTo>
                                <a:pt x="302" y="244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59"/>
                              </a:lnTo>
                              <a:lnTo>
                                <a:pt x="284" y="262"/>
                              </a:lnTo>
                              <a:lnTo>
                                <a:pt x="277" y="264"/>
                              </a:lnTo>
                              <a:lnTo>
                                <a:pt x="272" y="266"/>
                              </a:lnTo>
                              <a:lnTo>
                                <a:pt x="266" y="266"/>
                              </a:lnTo>
                              <a:lnTo>
                                <a:pt x="257" y="264"/>
                              </a:lnTo>
                              <a:lnTo>
                                <a:pt x="249" y="263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9"/>
                              </a:lnTo>
                              <a:lnTo>
                                <a:pt x="225" y="231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2"/>
                              </a:moveTo>
                              <a:lnTo>
                                <a:pt x="226" y="195"/>
                              </a:lnTo>
                              <a:lnTo>
                                <a:pt x="230" y="188"/>
                              </a:lnTo>
                              <a:lnTo>
                                <a:pt x="234" y="182"/>
                              </a:lnTo>
                              <a:lnTo>
                                <a:pt x="239" y="177"/>
                              </a:lnTo>
                              <a:lnTo>
                                <a:pt x="244" y="173"/>
                              </a:lnTo>
                              <a:lnTo>
                                <a:pt x="250" y="170"/>
                              </a:lnTo>
                              <a:lnTo>
                                <a:pt x="257" y="168"/>
                              </a:lnTo>
                              <a:lnTo>
                                <a:pt x="264" y="167"/>
                              </a:lnTo>
                              <a:lnTo>
                                <a:pt x="271" y="168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7"/>
                              </a:lnTo>
                              <a:lnTo>
                                <a:pt x="294" y="182"/>
                              </a:lnTo>
                              <a:lnTo>
                                <a:pt x="299" y="187"/>
                              </a:lnTo>
                              <a:lnTo>
                                <a:pt x="301" y="195"/>
                              </a:lnTo>
                              <a:lnTo>
                                <a:pt x="304" y="202"/>
                              </a:lnTo>
                              <a:lnTo>
                                <a:pt x="225" y="202"/>
                              </a:lnTo>
                              <a:close/>
                              <a:moveTo>
                                <a:pt x="431" y="171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8"/>
                              </a:lnTo>
                              <a:lnTo>
                                <a:pt x="401" y="147"/>
                              </a:lnTo>
                              <a:lnTo>
                                <a:pt x="394" y="147"/>
                              </a:lnTo>
                              <a:lnTo>
                                <a:pt x="387" y="147"/>
                              </a:lnTo>
                              <a:lnTo>
                                <a:pt x="380" y="150"/>
                              </a:lnTo>
                              <a:lnTo>
                                <a:pt x="372" y="153"/>
                              </a:lnTo>
                              <a:lnTo>
                                <a:pt x="367" y="157"/>
                              </a:lnTo>
                              <a:lnTo>
                                <a:pt x="362" y="163"/>
                              </a:lnTo>
                              <a:lnTo>
                                <a:pt x="358" y="170"/>
                              </a:lnTo>
                              <a:lnTo>
                                <a:pt x="357" y="176"/>
                              </a:lnTo>
                              <a:lnTo>
                                <a:pt x="356" y="183"/>
                              </a:lnTo>
                              <a:lnTo>
                                <a:pt x="356" y="190"/>
                              </a:lnTo>
                              <a:lnTo>
                                <a:pt x="357" y="196"/>
                              </a:lnTo>
                              <a:lnTo>
                                <a:pt x="360" y="201"/>
                              </a:lnTo>
                              <a:lnTo>
                                <a:pt x="363" y="205"/>
                              </a:lnTo>
                              <a:lnTo>
                                <a:pt x="368" y="210"/>
                              </a:lnTo>
                              <a:lnTo>
                                <a:pt x="376" y="213"/>
                              </a:lnTo>
                              <a:lnTo>
                                <a:pt x="383" y="218"/>
                              </a:lnTo>
                              <a:lnTo>
                                <a:pt x="394" y="223"/>
                              </a:lnTo>
                              <a:lnTo>
                                <a:pt x="404" y="228"/>
                              </a:lnTo>
                              <a:lnTo>
                                <a:pt x="411" y="233"/>
                              </a:lnTo>
                              <a:lnTo>
                                <a:pt x="413" y="236"/>
                              </a:lnTo>
                              <a:lnTo>
                                <a:pt x="414" y="238"/>
                              </a:lnTo>
                              <a:lnTo>
                                <a:pt x="416" y="242"/>
                              </a:lnTo>
                              <a:lnTo>
                                <a:pt x="416" y="244"/>
                              </a:lnTo>
                              <a:lnTo>
                                <a:pt x="416" y="249"/>
                              </a:lnTo>
                              <a:lnTo>
                                <a:pt x="414" y="253"/>
                              </a:lnTo>
                              <a:lnTo>
                                <a:pt x="412" y="257"/>
                              </a:lnTo>
                              <a:lnTo>
                                <a:pt x="409" y="259"/>
                              </a:lnTo>
                              <a:lnTo>
                                <a:pt x="406" y="262"/>
                              </a:lnTo>
                              <a:lnTo>
                                <a:pt x="403" y="264"/>
                              </a:lnTo>
                              <a:lnTo>
                                <a:pt x="398" y="266"/>
                              </a:lnTo>
                              <a:lnTo>
                                <a:pt x="394" y="266"/>
                              </a:lnTo>
                              <a:lnTo>
                                <a:pt x="390" y="266"/>
                              </a:lnTo>
                              <a:lnTo>
                                <a:pt x="386" y="264"/>
                              </a:lnTo>
                              <a:lnTo>
                                <a:pt x="382" y="263"/>
                              </a:lnTo>
                              <a:lnTo>
                                <a:pt x="378" y="261"/>
                              </a:lnTo>
                              <a:lnTo>
                                <a:pt x="373" y="254"/>
                              </a:lnTo>
                              <a:lnTo>
                                <a:pt x="367" y="244"/>
                              </a:lnTo>
                              <a:lnTo>
                                <a:pt x="347" y="253"/>
                              </a:lnTo>
                              <a:lnTo>
                                <a:pt x="351" y="261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8"/>
                              </a:lnTo>
                              <a:lnTo>
                                <a:pt x="371" y="282"/>
                              </a:lnTo>
                              <a:lnTo>
                                <a:pt x="378" y="284"/>
                              </a:lnTo>
                              <a:lnTo>
                                <a:pt x="386" y="286"/>
                              </a:lnTo>
                              <a:lnTo>
                                <a:pt x="393" y="287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79"/>
                              </a:lnTo>
                              <a:lnTo>
                                <a:pt x="426" y="274"/>
                              </a:lnTo>
                              <a:lnTo>
                                <a:pt x="432" y="268"/>
                              </a:lnTo>
                              <a:lnTo>
                                <a:pt x="436" y="261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4"/>
                              </a:lnTo>
                              <a:lnTo>
                                <a:pt x="436" y="227"/>
                              </a:lnTo>
                              <a:lnTo>
                                <a:pt x="431" y="220"/>
                              </a:lnTo>
                              <a:lnTo>
                                <a:pt x="424" y="215"/>
                              </a:lnTo>
                              <a:lnTo>
                                <a:pt x="416" y="208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7" y="182"/>
                              </a:lnTo>
                              <a:lnTo>
                                <a:pt x="378" y="177"/>
                              </a:lnTo>
                              <a:lnTo>
                                <a:pt x="382" y="172"/>
                              </a:lnTo>
                              <a:lnTo>
                                <a:pt x="387" y="168"/>
                              </a:lnTo>
                              <a:lnTo>
                                <a:pt x="393" y="167"/>
                              </a:lnTo>
                              <a:lnTo>
                                <a:pt x="399" y="168"/>
                              </a:lnTo>
                              <a:lnTo>
                                <a:pt x="404" y="171"/>
                              </a:lnTo>
                              <a:lnTo>
                                <a:pt x="408" y="175"/>
                              </a:lnTo>
                              <a:lnTo>
                                <a:pt x="412" y="181"/>
                              </a:lnTo>
                              <a:lnTo>
                                <a:pt x="431" y="171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3"/>
                              </a:lnTo>
                              <a:lnTo>
                                <a:pt x="493" y="283"/>
                              </a:lnTo>
                              <a:lnTo>
                                <a:pt x="493" y="228"/>
                              </a:lnTo>
                              <a:lnTo>
                                <a:pt x="498" y="222"/>
                              </a:lnTo>
                              <a:lnTo>
                                <a:pt x="551" y="283"/>
                              </a:lnTo>
                              <a:lnTo>
                                <a:pt x="583" y="283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8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1"/>
                              </a:moveTo>
                              <a:lnTo>
                                <a:pt x="600" y="358"/>
                              </a:lnTo>
                              <a:lnTo>
                                <a:pt x="626" y="358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5" y="244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1"/>
                              </a:lnTo>
                              <a:close/>
                              <a:moveTo>
                                <a:pt x="693" y="82"/>
                              </a:moveTo>
                              <a:lnTo>
                                <a:pt x="670" y="73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2"/>
                              </a:lnTo>
                              <a:close/>
                              <a:moveTo>
                                <a:pt x="899" y="171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8"/>
                              </a:lnTo>
                              <a:lnTo>
                                <a:pt x="868" y="147"/>
                              </a:lnTo>
                              <a:lnTo>
                                <a:pt x="862" y="147"/>
                              </a:lnTo>
                              <a:lnTo>
                                <a:pt x="854" y="147"/>
                              </a:lnTo>
                              <a:lnTo>
                                <a:pt x="847" y="150"/>
                              </a:lnTo>
                              <a:lnTo>
                                <a:pt x="841" y="153"/>
                              </a:lnTo>
                              <a:lnTo>
                                <a:pt x="834" y="157"/>
                              </a:lnTo>
                              <a:lnTo>
                                <a:pt x="829" y="163"/>
                              </a:lnTo>
                              <a:lnTo>
                                <a:pt x="827" y="170"/>
                              </a:lnTo>
                              <a:lnTo>
                                <a:pt x="824" y="176"/>
                              </a:lnTo>
                              <a:lnTo>
                                <a:pt x="823" y="183"/>
                              </a:lnTo>
                              <a:lnTo>
                                <a:pt x="824" y="190"/>
                              </a:lnTo>
                              <a:lnTo>
                                <a:pt x="826" y="196"/>
                              </a:lnTo>
                              <a:lnTo>
                                <a:pt x="828" y="201"/>
                              </a:lnTo>
                              <a:lnTo>
                                <a:pt x="831" y="205"/>
                              </a:lnTo>
                              <a:lnTo>
                                <a:pt x="837" y="210"/>
                              </a:lnTo>
                              <a:lnTo>
                                <a:pt x="843" y="213"/>
                              </a:lnTo>
                              <a:lnTo>
                                <a:pt x="852" y="218"/>
                              </a:lnTo>
                              <a:lnTo>
                                <a:pt x="862" y="223"/>
                              </a:lnTo>
                              <a:lnTo>
                                <a:pt x="873" y="228"/>
                              </a:lnTo>
                              <a:lnTo>
                                <a:pt x="879" y="233"/>
                              </a:lnTo>
                              <a:lnTo>
                                <a:pt x="882" y="236"/>
                              </a:lnTo>
                              <a:lnTo>
                                <a:pt x="883" y="238"/>
                              </a:lnTo>
                              <a:lnTo>
                                <a:pt x="883" y="242"/>
                              </a:lnTo>
                              <a:lnTo>
                                <a:pt x="883" y="244"/>
                              </a:lnTo>
                              <a:lnTo>
                                <a:pt x="883" y="249"/>
                              </a:lnTo>
                              <a:lnTo>
                                <a:pt x="882" y="253"/>
                              </a:lnTo>
                              <a:lnTo>
                                <a:pt x="880" y="257"/>
                              </a:lnTo>
                              <a:lnTo>
                                <a:pt x="877" y="259"/>
                              </a:lnTo>
                              <a:lnTo>
                                <a:pt x="874" y="262"/>
                              </a:lnTo>
                              <a:lnTo>
                                <a:pt x="870" y="264"/>
                              </a:lnTo>
                              <a:lnTo>
                                <a:pt x="867" y="266"/>
                              </a:lnTo>
                              <a:lnTo>
                                <a:pt x="862" y="266"/>
                              </a:lnTo>
                              <a:lnTo>
                                <a:pt x="857" y="266"/>
                              </a:lnTo>
                              <a:lnTo>
                                <a:pt x="853" y="264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4"/>
                              </a:lnTo>
                              <a:lnTo>
                                <a:pt x="836" y="244"/>
                              </a:lnTo>
                              <a:lnTo>
                                <a:pt x="814" y="253"/>
                              </a:lnTo>
                              <a:lnTo>
                                <a:pt x="818" y="261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8"/>
                              </a:lnTo>
                              <a:lnTo>
                                <a:pt x="839" y="282"/>
                              </a:lnTo>
                              <a:lnTo>
                                <a:pt x="845" y="284"/>
                              </a:lnTo>
                              <a:lnTo>
                                <a:pt x="853" y="286"/>
                              </a:lnTo>
                              <a:lnTo>
                                <a:pt x="862" y="287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7" y="279"/>
                              </a:lnTo>
                              <a:lnTo>
                                <a:pt x="894" y="274"/>
                              </a:lnTo>
                              <a:lnTo>
                                <a:pt x="899" y="268"/>
                              </a:lnTo>
                              <a:lnTo>
                                <a:pt x="903" y="261"/>
                              </a:lnTo>
                              <a:lnTo>
                                <a:pt x="905" y="252"/>
                              </a:lnTo>
                              <a:lnTo>
                                <a:pt x="907" y="243"/>
                              </a:lnTo>
                              <a:lnTo>
                                <a:pt x="905" y="234"/>
                              </a:lnTo>
                              <a:lnTo>
                                <a:pt x="903" y="227"/>
                              </a:lnTo>
                              <a:lnTo>
                                <a:pt x="898" y="220"/>
                              </a:lnTo>
                              <a:lnTo>
                                <a:pt x="892" y="215"/>
                              </a:lnTo>
                              <a:lnTo>
                                <a:pt x="883" y="208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7"/>
                              </a:lnTo>
                              <a:lnTo>
                                <a:pt x="850" y="172"/>
                              </a:lnTo>
                              <a:lnTo>
                                <a:pt x="855" y="168"/>
                              </a:lnTo>
                              <a:lnTo>
                                <a:pt x="862" y="167"/>
                              </a:lnTo>
                              <a:lnTo>
                                <a:pt x="867" y="168"/>
                              </a:lnTo>
                              <a:lnTo>
                                <a:pt x="872" y="171"/>
                              </a:lnTo>
                              <a:lnTo>
                                <a:pt x="877" y="175"/>
                              </a:lnTo>
                              <a:lnTo>
                                <a:pt x="880" y="181"/>
                              </a:lnTo>
                              <a:lnTo>
                                <a:pt x="899" y="171"/>
                              </a:lnTo>
                              <a:close/>
                              <a:moveTo>
                                <a:pt x="961" y="171"/>
                              </a:moveTo>
                              <a:lnTo>
                                <a:pt x="985" y="171"/>
                              </a:lnTo>
                              <a:lnTo>
                                <a:pt x="985" y="150"/>
                              </a:lnTo>
                              <a:lnTo>
                                <a:pt x="961" y="150"/>
                              </a:lnTo>
                              <a:lnTo>
                                <a:pt x="961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1"/>
                              </a:lnTo>
                              <a:lnTo>
                                <a:pt x="939" y="171"/>
                              </a:lnTo>
                              <a:lnTo>
                                <a:pt x="939" y="283"/>
                              </a:lnTo>
                              <a:lnTo>
                                <a:pt x="961" y="283"/>
                              </a:lnTo>
                              <a:lnTo>
                                <a:pt x="961" y="171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8"/>
                              </a:lnTo>
                              <a:lnTo>
                                <a:pt x="1103" y="163"/>
                              </a:lnTo>
                              <a:lnTo>
                                <a:pt x="1097" y="158"/>
                              </a:lnTo>
                              <a:lnTo>
                                <a:pt x="1092" y="155"/>
                              </a:lnTo>
                              <a:lnTo>
                                <a:pt x="1087" y="152"/>
                              </a:lnTo>
                              <a:lnTo>
                                <a:pt x="1081" y="150"/>
                              </a:lnTo>
                              <a:lnTo>
                                <a:pt x="1075" y="147"/>
                              </a:lnTo>
                              <a:lnTo>
                                <a:pt x="1069" y="147"/>
                              </a:lnTo>
                              <a:lnTo>
                                <a:pt x="1061" y="146"/>
                              </a:lnTo>
                              <a:lnTo>
                                <a:pt x="1055" y="147"/>
                              </a:lnTo>
                              <a:lnTo>
                                <a:pt x="1049" y="147"/>
                              </a:lnTo>
                              <a:lnTo>
                                <a:pt x="1042" y="150"/>
                              </a:lnTo>
                              <a:lnTo>
                                <a:pt x="1036" y="152"/>
                              </a:lnTo>
                              <a:lnTo>
                                <a:pt x="1030" y="155"/>
                              </a:lnTo>
                              <a:lnTo>
                                <a:pt x="1025" y="158"/>
                              </a:lnTo>
                              <a:lnTo>
                                <a:pt x="1020" y="162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2"/>
                              </a:lnTo>
                              <a:lnTo>
                                <a:pt x="1002" y="188"/>
                              </a:lnTo>
                              <a:lnTo>
                                <a:pt x="999" y="201"/>
                              </a:lnTo>
                              <a:lnTo>
                                <a:pt x="997" y="216"/>
                              </a:lnTo>
                              <a:lnTo>
                                <a:pt x="999" y="223"/>
                              </a:lnTo>
                              <a:lnTo>
                                <a:pt x="999" y="231"/>
                              </a:lnTo>
                              <a:lnTo>
                                <a:pt x="1000" y="237"/>
                              </a:lnTo>
                              <a:lnTo>
                                <a:pt x="1002" y="244"/>
                              </a:lnTo>
                              <a:lnTo>
                                <a:pt x="1005" y="251"/>
                              </a:lnTo>
                              <a:lnTo>
                                <a:pt x="1009" y="256"/>
                              </a:lnTo>
                              <a:lnTo>
                                <a:pt x="1012" y="262"/>
                              </a:lnTo>
                              <a:lnTo>
                                <a:pt x="1016" y="267"/>
                              </a:lnTo>
                              <a:lnTo>
                                <a:pt x="1020" y="271"/>
                              </a:lnTo>
                              <a:lnTo>
                                <a:pt x="1025" y="276"/>
                              </a:lnTo>
                              <a:lnTo>
                                <a:pt x="1031" y="278"/>
                              </a:lnTo>
                              <a:lnTo>
                                <a:pt x="1036" y="282"/>
                              </a:lnTo>
                              <a:lnTo>
                                <a:pt x="1042" y="283"/>
                              </a:lnTo>
                              <a:lnTo>
                                <a:pt x="1049" y="286"/>
                              </a:lnTo>
                              <a:lnTo>
                                <a:pt x="1055" y="287"/>
                              </a:lnTo>
                              <a:lnTo>
                                <a:pt x="1062" y="287"/>
                              </a:lnTo>
                              <a:lnTo>
                                <a:pt x="1069" y="287"/>
                              </a:lnTo>
                              <a:lnTo>
                                <a:pt x="1075" y="286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8"/>
                              </a:lnTo>
                              <a:lnTo>
                                <a:pt x="1098" y="274"/>
                              </a:lnTo>
                              <a:lnTo>
                                <a:pt x="1103" y="269"/>
                              </a:lnTo>
                              <a:lnTo>
                                <a:pt x="1108" y="264"/>
                              </a:lnTo>
                              <a:lnTo>
                                <a:pt x="1108" y="283"/>
                              </a:lnTo>
                              <a:lnTo>
                                <a:pt x="1131" y="283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8"/>
                              </a:lnTo>
                              <a:lnTo>
                                <a:pt x="1083" y="171"/>
                              </a:lnTo>
                              <a:lnTo>
                                <a:pt x="1091" y="175"/>
                              </a:lnTo>
                              <a:lnTo>
                                <a:pt x="1097" y="181"/>
                              </a:lnTo>
                              <a:lnTo>
                                <a:pt x="1102" y="188"/>
                              </a:lnTo>
                              <a:lnTo>
                                <a:pt x="1106" y="196"/>
                              </a:lnTo>
                              <a:lnTo>
                                <a:pt x="1108" y="206"/>
                              </a:lnTo>
                              <a:lnTo>
                                <a:pt x="1110" y="216"/>
                              </a:lnTo>
                              <a:lnTo>
                                <a:pt x="1108" y="227"/>
                              </a:lnTo>
                              <a:lnTo>
                                <a:pt x="1106" y="236"/>
                              </a:lnTo>
                              <a:lnTo>
                                <a:pt x="1102" y="244"/>
                              </a:lnTo>
                              <a:lnTo>
                                <a:pt x="1097" y="252"/>
                              </a:lnTo>
                              <a:lnTo>
                                <a:pt x="1091" y="258"/>
                              </a:lnTo>
                              <a:lnTo>
                                <a:pt x="1083" y="262"/>
                              </a:lnTo>
                              <a:lnTo>
                                <a:pt x="1075" y="264"/>
                              </a:lnTo>
                              <a:lnTo>
                                <a:pt x="1065" y="266"/>
                              </a:lnTo>
                              <a:lnTo>
                                <a:pt x="1056" y="264"/>
                              </a:lnTo>
                              <a:lnTo>
                                <a:pt x="1047" y="262"/>
                              </a:lnTo>
                              <a:lnTo>
                                <a:pt x="1040" y="258"/>
                              </a:lnTo>
                              <a:lnTo>
                                <a:pt x="1034" y="252"/>
                              </a:lnTo>
                              <a:lnTo>
                                <a:pt x="1029" y="244"/>
                              </a:lnTo>
                              <a:lnTo>
                                <a:pt x="1025" y="236"/>
                              </a:lnTo>
                              <a:lnTo>
                                <a:pt x="1022" y="226"/>
                              </a:lnTo>
                              <a:lnTo>
                                <a:pt x="1021" y="216"/>
                              </a:lnTo>
                              <a:lnTo>
                                <a:pt x="1022" y="206"/>
                              </a:lnTo>
                              <a:lnTo>
                                <a:pt x="1025" y="196"/>
                              </a:lnTo>
                              <a:lnTo>
                                <a:pt x="1029" y="188"/>
                              </a:lnTo>
                              <a:lnTo>
                                <a:pt x="1034" y="181"/>
                              </a:lnTo>
                              <a:lnTo>
                                <a:pt x="1040" y="176"/>
                              </a:lnTo>
                              <a:lnTo>
                                <a:pt x="1047" y="171"/>
                              </a:lnTo>
                              <a:lnTo>
                                <a:pt x="1056" y="168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1"/>
                              </a:moveTo>
                              <a:lnTo>
                                <a:pt x="1221" y="171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59" y="150"/>
                              </a:lnTo>
                              <a:lnTo>
                                <a:pt x="1159" y="171"/>
                              </a:lnTo>
                              <a:lnTo>
                                <a:pt x="1174" y="171"/>
                              </a:lnTo>
                              <a:lnTo>
                                <a:pt x="1174" y="283"/>
                              </a:lnTo>
                              <a:lnTo>
                                <a:pt x="1197" y="283"/>
                              </a:lnTo>
                              <a:lnTo>
                                <a:pt x="1197" y="171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3"/>
                              </a:lnTo>
                              <a:lnTo>
                                <a:pt x="1264" y="283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2"/>
                              </a:moveTo>
                              <a:lnTo>
                                <a:pt x="1247" y="85"/>
                              </a:lnTo>
                              <a:lnTo>
                                <a:pt x="1242" y="87"/>
                              </a:lnTo>
                              <a:lnTo>
                                <a:pt x="1238" y="92"/>
                              </a:lnTo>
                              <a:lnTo>
                                <a:pt x="1237" y="99"/>
                              </a:lnTo>
                              <a:lnTo>
                                <a:pt x="1238" y="102"/>
                              </a:lnTo>
                              <a:lnTo>
                                <a:pt x="1238" y="106"/>
                              </a:lnTo>
                              <a:lnTo>
                                <a:pt x="1239" y="109"/>
                              </a:lnTo>
                              <a:lnTo>
                                <a:pt x="1242" y="111"/>
                              </a:lnTo>
                              <a:lnTo>
                                <a:pt x="1244" y="112"/>
                              </a:lnTo>
                              <a:lnTo>
                                <a:pt x="1247" y="115"/>
                              </a:lnTo>
                              <a:lnTo>
                                <a:pt x="1250" y="115"/>
                              </a:lnTo>
                              <a:lnTo>
                                <a:pt x="1253" y="116"/>
                              </a:lnTo>
                              <a:lnTo>
                                <a:pt x="1259" y="115"/>
                              </a:lnTo>
                              <a:lnTo>
                                <a:pt x="1265" y="111"/>
                              </a:lnTo>
                              <a:lnTo>
                                <a:pt x="1268" y="106"/>
                              </a:lnTo>
                              <a:lnTo>
                                <a:pt x="1269" y="100"/>
                              </a:lnTo>
                              <a:lnTo>
                                <a:pt x="1268" y="92"/>
                              </a:lnTo>
                              <a:lnTo>
                                <a:pt x="1265" y="87"/>
                              </a:lnTo>
                              <a:lnTo>
                                <a:pt x="1259" y="85"/>
                              </a:lnTo>
                              <a:lnTo>
                                <a:pt x="1253" y="82"/>
                              </a:lnTo>
                              <a:close/>
                              <a:moveTo>
                                <a:pt x="1379" y="171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8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8"/>
                              </a:lnTo>
                              <a:lnTo>
                                <a:pt x="1349" y="147"/>
                              </a:lnTo>
                              <a:lnTo>
                                <a:pt x="1343" y="147"/>
                              </a:lnTo>
                              <a:lnTo>
                                <a:pt x="1334" y="147"/>
                              </a:lnTo>
                              <a:lnTo>
                                <a:pt x="1328" y="150"/>
                              </a:lnTo>
                              <a:lnTo>
                                <a:pt x="1320" y="153"/>
                              </a:lnTo>
                              <a:lnTo>
                                <a:pt x="1315" y="157"/>
                              </a:lnTo>
                              <a:lnTo>
                                <a:pt x="1310" y="163"/>
                              </a:lnTo>
                              <a:lnTo>
                                <a:pt x="1306" y="170"/>
                              </a:lnTo>
                              <a:lnTo>
                                <a:pt x="1304" y="176"/>
                              </a:lnTo>
                              <a:lnTo>
                                <a:pt x="1304" y="183"/>
                              </a:lnTo>
                              <a:lnTo>
                                <a:pt x="1304" y="190"/>
                              </a:lnTo>
                              <a:lnTo>
                                <a:pt x="1305" y="196"/>
                              </a:lnTo>
                              <a:lnTo>
                                <a:pt x="1308" y="201"/>
                              </a:lnTo>
                              <a:lnTo>
                                <a:pt x="1311" y="205"/>
                              </a:lnTo>
                              <a:lnTo>
                                <a:pt x="1316" y="210"/>
                              </a:lnTo>
                              <a:lnTo>
                                <a:pt x="1323" y="213"/>
                              </a:lnTo>
                              <a:lnTo>
                                <a:pt x="1331" y="218"/>
                              </a:lnTo>
                              <a:lnTo>
                                <a:pt x="1343" y="223"/>
                              </a:lnTo>
                              <a:lnTo>
                                <a:pt x="1353" y="228"/>
                              </a:lnTo>
                              <a:lnTo>
                                <a:pt x="1359" y="233"/>
                              </a:lnTo>
                              <a:lnTo>
                                <a:pt x="1361" y="236"/>
                              </a:lnTo>
                              <a:lnTo>
                                <a:pt x="1363" y="238"/>
                              </a:lnTo>
                              <a:lnTo>
                                <a:pt x="1364" y="242"/>
                              </a:lnTo>
                              <a:lnTo>
                                <a:pt x="1364" y="244"/>
                              </a:lnTo>
                              <a:lnTo>
                                <a:pt x="1364" y="249"/>
                              </a:lnTo>
                              <a:lnTo>
                                <a:pt x="1363" y="253"/>
                              </a:lnTo>
                              <a:lnTo>
                                <a:pt x="1360" y="257"/>
                              </a:lnTo>
                              <a:lnTo>
                                <a:pt x="1358" y="259"/>
                              </a:lnTo>
                              <a:lnTo>
                                <a:pt x="1354" y="262"/>
                              </a:lnTo>
                              <a:lnTo>
                                <a:pt x="1350" y="264"/>
                              </a:lnTo>
                              <a:lnTo>
                                <a:pt x="1346" y="266"/>
                              </a:lnTo>
                              <a:lnTo>
                                <a:pt x="1341" y="266"/>
                              </a:lnTo>
                              <a:lnTo>
                                <a:pt x="1338" y="266"/>
                              </a:lnTo>
                              <a:lnTo>
                                <a:pt x="1334" y="264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4"/>
                              </a:lnTo>
                              <a:lnTo>
                                <a:pt x="1315" y="244"/>
                              </a:lnTo>
                              <a:lnTo>
                                <a:pt x="1295" y="253"/>
                              </a:lnTo>
                              <a:lnTo>
                                <a:pt x="1299" y="261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3" y="278"/>
                              </a:lnTo>
                              <a:lnTo>
                                <a:pt x="1319" y="282"/>
                              </a:lnTo>
                              <a:lnTo>
                                <a:pt x="1326" y="284"/>
                              </a:lnTo>
                              <a:lnTo>
                                <a:pt x="1334" y="286"/>
                              </a:lnTo>
                              <a:lnTo>
                                <a:pt x="1341" y="287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79"/>
                              </a:lnTo>
                              <a:lnTo>
                                <a:pt x="1374" y="274"/>
                              </a:lnTo>
                              <a:lnTo>
                                <a:pt x="1380" y="268"/>
                              </a:lnTo>
                              <a:lnTo>
                                <a:pt x="1384" y="261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4"/>
                              </a:lnTo>
                              <a:lnTo>
                                <a:pt x="1384" y="227"/>
                              </a:lnTo>
                              <a:lnTo>
                                <a:pt x="1379" y="220"/>
                              </a:lnTo>
                              <a:lnTo>
                                <a:pt x="1372" y="215"/>
                              </a:lnTo>
                              <a:lnTo>
                                <a:pt x="1363" y="208"/>
                              </a:lnTo>
                              <a:lnTo>
                                <a:pt x="1346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5" y="185"/>
                              </a:lnTo>
                              <a:lnTo>
                                <a:pt x="1325" y="182"/>
                              </a:lnTo>
                              <a:lnTo>
                                <a:pt x="1326" y="177"/>
                              </a:lnTo>
                              <a:lnTo>
                                <a:pt x="1330" y="172"/>
                              </a:lnTo>
                              <a:lnTo>
                                <a:pt x="1335" y="168"/>
                              </a:lnTo>
                              <a:lnTo>
                                <a:pt x="1341" y="167"/>
                              </a:lnTo>
                              <a:lnTo>
                                <a:pt x="1348" y="168"/>
                              </a:lnTo>
                              <a:lnTo>
                                <a:pt x="1353" y="171"/>
                              </a:lnTo>
                              <a:lnTo>
                                <a:pt x="1356" y="175"/>
                              </a:lnTo>
                              <a:lnTo>
                                <a:pt x="1360" y="181"/>
                              </a:lnTo>
                              <a:lnTo>
                                <a:pt x="1379" y="171"/>
                              </a:lnTo>
                              <a:close/>
                              <a:moveTo>
                                <a:pt x="1442" y="171"/>
                              </a:moveTo>
                              <a:lnTo>
                                <a:pt x="1466" y="171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1"/>
                              </a:lnTo>
                              <a:lnTo>
                                <a:pt x="1420" y="171"/>
                              </a:lnTo>
                              <a:lnTo>
                                <a:pt x="1420" y="283"/>
                              </a:lnTo>
                              <a:lnTo>
                                <a:pt x="1442" y="283"/>
                              </a:lnTo>
                              <a:lnTo>
                                <a:pt x="1442" y="171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3"/>
                              </a:lnTo>
                              <a:lnTo>
                                <a:pt x="1510" y="283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498" y="82"/>
                              </a:moveTo>
                              <a:lnTo>
                                <a:pt x="1492" y="85"/>
                              </a:lnTo>
                              <a:lnTo>
                                <a:pt x="1487" y="87"/>
                              </a:lnTo>
                              <a:lnTo>
                                <a:pt x="1483" y="92"/>
                              </a:lnTo>
                              <a:lnTo>
                                <a:pt x="1482" y="99"/>
                              </a:lnTo>
                              <a:lnTo>
                                <a:pt x="1483" y="102"/>
                              </a:lnTo>
                              <a:lnTo>
                                <a:pt x="1483" y="106"/>
                              </a:lnTo>
                              <a:lnTo>
                                <a:pt x="1486" y="109"/>
                              </a:lnTo>
                              <a:lnTo>
                                <a:pt x="1487" y="111"/>
                              </a:lnTo>
                              <a:lnTo>
                                <a:pt x="1490" y="112"/>
                              </a:lnTo>
                              <a:lnTo>
                                <a:pt x="1492" y="115"/>
                              </a:lnTo>
                              <a:lnTo>
                                <a:pt x="1496" y="115"/>
                              </a:lnTo>
                              <a:lnTo>
                                <a:pt x="1498" y="116"/>
                              </a:lnTo>
                              <a:lnTo>
                                <a:pt x="1505" y="115"/>
                              </a:lnTo>
                              <a:lnTo>
                                <a:pt x="1511" y="111"/>
                              </a:lnTo>
                              <a:lnTo>
                                <a:pt x="1513" y="106"/>
                              </a:lnTo>
                              <a:lnTo>
                                <a:pt x="1516" y="100"/>
                              </a:lnTo>
                              <a:lnTo>
                                <a:pt x="1513" y="92"/>
                              </a:lnTo>
                              <a:lnTo>
                                <a:pt x="1511" y="87"/>
                              </a:lnTo>
                              <a:lnTo>
                                <a:pt x="1505" y="85"/>
                              </a:lnTo>
                              <a:lnTo>
                                <a:pt x="1498" y="82"/>
                              </a:lnTo>
                              <a:close/>
                              <a:moveTo>
                                <a:pt x="1654" y="160"/>
                              </a:moveTo>
                              <a:lnTo>
                                <a:pt x="1644" y="153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7"/>
                              </a:lnTo>
                              <a:lnTo>
                                <a:pt x="1605" y="147"/>
                              </a:lnTo>
                              <a:lnTo>
                                <a:pt x="1598" y="148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8"/>
                              </a:lnTo>
                              <a:lnTo>
                                <a:pt x="1567" y="162"/>
                              </a:lnTo>
                              <a:lnTo>
                                <a:pt x="1562" y="167"/>
                              </a:lnTo>
                              <a:lnTo>
                                <a:pt x="1558" y="172"/>
                              </a:lnTo>
                              <a:lnTo>
                                <a:pt x="1554" y="177"/>
                              </a:lnTo>
                              <a:lnTo>
                                <a:pt x="1551" y="183"/>
                              </a:lnTo>
                              <a:lnTo>
                                <a:pt x="1548" y="190"/>
                              </a:lnTo>
                              <a:lnTo>
                                <a:pt x="1546" y="196"/>
                              </a:lnTo>
                              <a:lnTo>
                                <a:pt x="1543" y="202"/>
                              </a:lnTo>
                              <a:lnTo>
                                <a:pt x="1542" y="210"/>
                              </a:lnTo>
                              <a:lnTo>
                                <a:pt x="1542" y="217"/>
                              </a:lnTo>
                              <a:lnTo>
                                <a:pt x="1542" y="224"/>
                              </a:lnTo>
                              <a:lnTo>
                                <a:pt x="1543" y="231"/>
                              </a:lnTo>
                              <a:lnTo>
                                <a:pt x="1546" y="238"/>
                              </a:lnTo>
                              <a:lnTo>
                                <a:pt x="1548" y="244"/>
                              </a:lnTo>
                              <a:lnTo>
                                <a:pt x="1551" y="251"/>
                              </a:lnTo>
                              <a:lnTo>
                                <a:pt x="1554" y="256"/>
                              </a:lnTo>
                              <a:lnTo>
                                <a:pt x="1558" y="262"/>
                              </a:lnTo>
                              <a:lnTo>
                                <a:pt x="1562" y="267"/>
                              </a:lnTo>
                              <a:lnTo>
                                <a:pt x="1567" y="271"/>
                              </a:lnTo>
                              <a:lnTo>
                                <a:pt x="1573" y="274"/>
                              </a:lnTo>
                              <a:lnTo>
                                <a:pt x="1578" y="278"/>
                              </a:lnTo>
                              <a:lnTo>
                                <a:pt x="1584" y="282"/>
                              </a:lnTo>
                              <a:lnTo>
                                <a:pt x="1592" y="283"/>
                              </a:lnTo>
                              <a:lnTo>
                                <a:pt x="1598" y="286"/>
                              </a:lnTo>
                              <a:lnTo>
                                <a:pt x="1605" y="287"/>
                              </a:lnTo>
                              <a:lnTo>
                                <a:pt x="1613" y="287"/>
                              </a:lnTo>
                              <a:lnTo>
                                <a:pt x="1623" y="286"/>
                              </a:lnTo>
                              <a:lnTo>
                                <a:pt x="1634" y="283"/>
                              </a:lnTo>
                              <a:lnTo>
                                <a:pt x="1644" y="279"/>
                              </a:lnTo>
                              <a:lnTo>
                                <a:pt x="1655" y="273"/>
                              </a:lnTo>
                              <a:lnTo>
                                <a:pt x="1655" y="243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3"/>
                              </a:lnTo>
                              <a:lnTo>
                                <a:pt x="1624" y="264"/>
                              </a:lnTo>
                              <a:lnTo>
                                <a:pt x="1618" y="266"/>
                              </a:lnTo>
                              <a:lnTo>
                                <a:pt x="1612" y="266"/>
                              </a:lnTo>
                              <a:lnTo>
                                <a:pt x="1603" y="264"/>
                              </a:lnTo>
                              <a:lnTo>
                                <a:pt x="1593" y="262"/>
                              </a:lnTo>
                              <a:lnTo>
                                <a:pt x="1586" y="258"/>
                              </a:lnTo>
                              <a:lnTo>
                                <a:pt x="1579" y="252"/>
                              </a:lnTo>
                              <a:lnTo>
                                <a:pt x="1573" y="244"/>
                              </a:lnTo>
                              <a:lnTo>
                                <a:pt x="1569" y="236"/>
                              </a:lnTo>
                              <a:lnTo>
                                <a:pt x="1567" y="227"/>
                              </a:lnTo>
                              <a:lnTo>
                                <a:pt x="1566" y="217"/>
                              </a:lnTo>
                              <a:lnTo>
                                <a:pt x="1567" y="207"/>
                              </a:lnTo>
                              <a:lnTo>
                                <a:pt x="1569" y="197"/>
                              </a:lnTo>
                              <a:lnTo>
                                <a:pt x="1573" y="188"/>
                              </a:lnTo>
                              <a:lnTo>
                                <a:pt x="1579" y="182"/>
                              </a:lnTo>
                              <a:lnTo>
                                <a:pt x="1586" y="176"/>
                              </a:lnTo>
                              <a:lnTo>
                                <a:pt x="1594" y="171"/>
                              </a:lnTo>
                              <a:lnTo>
                                <a:pt x="1603" y="168"/>
                              </a:lnTo>
                              <a:lnTo>
                                <a:pt x="1613" y="167"/>
                              </a:lnTo>
                              <a:lnTo>
                                <a:pt x="1618" y="168"/>
                              </a:lnTo>
                              <a:lnTo>
                                <a:pt x="1624" y="168"/>
                              </a:lnTo>
                              <a:lnTo>
                                <a:pt x="1629" y="171"/>
                              </a:lnTo>
                              <a:lnTo>
                                <a:pt x="1634" y="172"/>
                              </a:lnTo>
                              <a:lnTo>
                                <a:pt x="1644" y="180"/>
                              </a:lnTo>
                              <a:lnTo>
                                <a:pt x="1654" y="190"/>
                              </a:lnTo>
                              <a:lnTo>
                                <a:pt x="1654" y="160"/>
                              </a:lnTo>
                              <a:close/>
                              <a:moveTo>
                                <a:pt x="1710" y="49"/>
                              </a:moveTo>
                              <a:lnTo>
                                <a:pt x="1688" y="49"/>
                              </a:lnTo>
                              <a:lnTo>
                                <a:pt x="1688" y="283"/>
                              </a:lnTo>
                              <a:lnTo>
                                <a:pt x="1710" y="283"/>
                              </a:lnTo>
                              <a:lnTo>
                                <a:pt x="1710" y="228"/>
                              </a:lnTo>
                              <a:lnTo>
                                <a:pt x="1716" y="222"/>
                              </a:lnTo>
                              <a:lnTo>
                                <a:pt x="1770" y="283"/>
                              </a:lnTo>
                              <a:lnTo>
                                <a:pt x="1800" y="283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0" y="198"/>
                              </a:lnTo>
                              <a:lnTo>
                                <a:pt x="1710" y="49"/>
                              </a:lnTo>
                              <a:close/>
                              <a:moveTo>
                                <a:pt x="1861" y="271"/>
                              </a:moveTo>
                              <a:lnTo>
                                <a:pt x="1819" y="358"/>
                              </a:lnTo>
                              <a:lnTo>
                                <a:pt x="1845" y="358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4"/>
                              </a:lnTo>
                              <a:lnTo>
                                <a:pt x="1826" y="150"/>
                              </a:lnTo>
                              <a:lnTo>
                                <a:pt x="1800" y="150"/>
                              </a:lnTo>
                              <a:lnTo>
                                <a:pt x="1861" y="271"/>
                              </a:lnTo>
                              <a:close/>
                              <a:moveTo>
                                <a:pt x="1912" y="82"/>
                              </a:moveTo>
                              <a:lnTo>
                                <a:pt x="1888" y="73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2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29"/>
                              </a:lnTo>
                              <a:lnTo>
                                <a:pt x="2044" y="243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69"/>
                              </a:lnTo>
                              <a:lnTo>
                                <a:pt x="2059" y="274"/>
                              </a:lnTo>
                              <a:lnTo>
                                <a:pt x="2064" y="277"/>
                              </a:lnTo>
                              <a:lnTo>
                                <a:pt x="2069" y="281"/>
                              </a:lnTo>
                              <a:lnTo>
                                <a:pt x="2074" y="282"/>
                              </a:lnTo>
                              <a:lnTo>
                                <a:pt x="2084" y="286"/>
                              </a:lnTo>
                              <a:lnTo>
                                <a:pt x="2096" y="287"/>
                              </a:lnTo>
                              <a:lnTo>
                                <a:pt x="2109" y="286"/>
                              </a:lnTo>
                              <a:lnTo>
                                <a:pt x="2119" y="282"/>
                              </a:lnTo>
                              <a:lnTo>
                                <a:pt x="2129" y="277"/>
                              </a:lnTo>
                              <a:lnTo>
                                <a:pt x="2136" y="269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3"/>
                              </a:lnTo>
                              <a:lnTo>
                                <a:pt x="2149" y="229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6"/>
                              </a:lnTo>
                              <a:lnTo>
                                <a:pt x="2125" y="242"/>
                              </a:lnTo>
                              <a:lnTo>
                                <a:pt x="2124" y="248"/>
                              </a:lnTo>
                              <a:lnTo>
                                <a:pt x="2123" y="252"/>
                              </a:lnTo>
                              <a:lnTo>
                                <a:pt x="2118" y="258"/>
                              </a:lnTo>
                              <a:lnTo>
                                <a:pt x="2111" y="262"/>
                              </a:lnTo>
                              <a:lnTo>
                                <a:pt x="2105" y="264"/>
                              </a:lnTo>
                              <a:lnTo>
                                <a:pt x="2096" y="266"/>
                              </a:lnTo>
                              <a:lnTo>
                                <a:pt x="2088" y="264"/>
                              </a:lnTo>
                              <a:lnTo>
                                <a:pt x="2080" y="262"/>
                              </a:lnTo>
                              <a:lnTo>
                                <a:pt x="2075" y="258"/>
                              </a:lnTo>
                              <a:lnTo>
                                <a:pt x="2070" y="252"/>
                              </a:lnTo>
                              <a:lnTo>
                                <a:pt x="2069" y="248"/>
                              </a:lnTo>
                              <a:lnTo>
                                <a:pt x="2068" y="242"/>
                              </a:lnTo>
                              <a:lnTo>
                                <a:pt x="2066" y="236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6" y="82"/>
                              </a:moveTo>
                              <a:lnTo>
                                <a:pt x="2113" y="73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6" y="82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3"/>
                              </a:lnTo>
                              <a:lnTo>
                                <a:pt x="2212" y="283"/>
                              </a:lnTo>
                              <a:lnTo>
                                <a:pt x="2212" y="212"/>
                              </a:lnTo>
                              <a:lnTo>
                                <a:pt x="2212" y="202"/>
                              </a:lnTo>
                              <a:lnTo>
                                <a:pt x="2213" y="193"/>
                              </a:lnTo>
                              <a:lnTo>
                                <a:pt x="2215" y="186"/>
                              </a:lnTo>
                              <a:lnTo>
                                <a:pt x="2217" y="181"/>
                              </a:lnTo>
                              <a:lnTo>
                                <a:pt x="2221" y="176"/>
                              </a:lnTo>
                              <a:lnTo>
                                <a:pt x="2226" y="172"/>
                              </a:lnTo>
                              <a:lnTo>
                                <a:pt x="2232" y="170"/>
                              </a:lnTo>
                              <a:lnTo>
                                <a:pt x="2238" y="168"/>
                              </a:lnTo>
                              <a:lnTo>
                                <a:pt x="2245" y="170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50"/>
                              </a:lnTo>
                              <a:lnTo>
                                <a:pt x="2252" y="147"/>
                              </a:lnTo>
                              <a:lnTo>
                                <a:pt x="2247" y="147"/>
                              </a:lnTo>
                              <a:lnTo>
                                <a:pt x="2242" y="146"/>
                              </a:lnTo>
                              <a:lnTo>
                                <a:pt x="2233" y="147"/>
                              </a:lnTo>
                              <a:lnTo>
                                <a:pt x="2227" y="150"/>
                              </a:lnTo>
                              <a:lnTo>
                                <a:pt x="2220" y="156"/>
                              </a:lnTo>
                              <a:lnTo>
                                <a:pt x="2212" y="165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48" y="73"/>
                              </a:lnTo>
                              <a:lnTo>
                                <a:pt x="2221" y="99"/>
                              </a:lnTo>
                              <a:lnTo>
                                <a:pt x="2192" y="73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8"/>
                              </a:lnTo>
                              <a:lnTo>
                                <a:pt x="2374" y="163"/>
                              </a:lnTo>
                              <a:lnTo>
                                <a:pt x="2369" y="158"/>
                              </a:lnTo>
                              <a:lnTo>
                                <a:pt x="2363" y="155"/>
                              </a:lnTo>
                              <a:lnTo>
                                <a:pt x="2358" y="152"/>
                              </a:lnTo>
                              <a:lnTo>
                                <a:pt x="2352" y="150"/>
                              </a:lnTo>
                              <a:lnTo>
                                <a:pt x="2346" y="147"/>
                              </a:lnTo>
                              <a:lnTo>
                                <a:pt x="2339" y="147"/>
                              </a:lnTo>
                              <a:lnTo>
                                <a:pt x="2332" y="146"/>
                              </a:lnTo>
                              <a:lnTo>
                                <a:pt x="2326" y="147"/>
                              </a:lnTo>
                              <a:lnTo>
                                <a:pt x="2319" y="147"/>
                              </a:lnTo>
                              <a:lnTo>
                                <a:pt x="2313" y="150"/>
                              </a:lnTo>
                              <a:lnTo>
                                <a:pt x="2307" y="152"/>
                              </a:lnTo>
                              <a:lnTo>
                                <a:pt x="2302" y="155"/>
                              </a:lnTo>
                              <a:lnTo>
                                <a:pt x="2296" y="158"/>
                              </a:lnTo>
                              <a:lnTo>
                                <a:pt x="2291" y="162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2"/>
                              </a:lnTo>
                              <a:lnTo>
                                <a:pt x="2273" y="188"/>
                              </a:lnTo>
                              <a:lnTo>
                                <a:pt x="2270" y="201"/>
                              </a:lnTo>
                              <a:lnTo>
                                <a:pt x="2268" y="216"/>
                              </a:lnTo>
                              <a:lnTo>
                                <a:pt x="2270" y="223"/>
                              </a:lnTo>
                              <a:lnTo>
                                <a:pt x="2270" y="231"/>
                              </a:lnTo>
                              <a:lnTo>
                                <a:pt x="2272" y="237"/>
                              </a:lnTo>
                              <a:lnTo>
                                <a:pt x="2273" y="244"/>
                              </a:lnTo>
                              <a:lnTo>
                                <a:pt x="2276" y="251"/>
                              </a:lnTo>
                              <a:lnTo>
                                <a:pt x="2279" y="256"/>
                              </a:lnTo>
                              <a:lnTo>
                                <a:pt x="2283" y="262"/>
                              </a:lnTo>
                              <a:lnTo>
                                <a:pt x="2287" y="267"/>
                              </a:lnTo>
                              <a:lnTo>
                                <a:pt x="2292" y="271"/>
                              </a:lnTo>
                              <a:lnTo>
                                <a:pt x="2296" y="276"/>
                              </a:lnTo>
                              <a:lnTo>
                                <a:pt x="2302" y="278"/>
                              </a:lnTo>
                              <a:lnTo>
                                <a:pt x="2307" y="282"/>
                              </a:lnTo>
                              <a:lnTo>
                                <a:pt x="2313" y="283"/>
                              </a:lnTo>
                              <a:lnTo>
                                <a:pt x="2319" y="286"/>
                              </a:lnTo>
                              <a:lnTo>
                                <a:pt x="2326" y="287"/>
                              </a:lnTo>
                              <a:lnTo>
                                <a:pt x="2333" y="287"/>
                              </a:lnTo>
                              <a:lnTo>
                                <a:pt x="2339" y="287"/>
                              </a:lnTo>
                              <a:lnTo>
                                <a:pt x="2347" y="286"/>
                              </a:lnTo>
                              <a:lnTo>
                                <a:pt x="2352" y="283"/>
                              </a:lnTo>
                              <a:lnTo>
                                <a:pt x="2358" y="281"/>
                              </a:lnTo>
                              <a:lnTo>
                                <a:pt x="2364" y="278"/>
                              </a:lnTo>
                              <a:lnTo>
                                <a:pt x="2369" y="274"/>
                              </a:lnTo>
                              <a:lnTo>
                                <a:pt x="2374" y="269"/>
                              </a:lnTo>
                              <a:lnTo>
                                <a:pt x="2379" y="264"/>
                              </a:lnTo>
                              <a:lnTo>
                                <a:pt x="2379" y="283"/>
                              </a:lnTo>
                              <a:lnTo>
                                <a:pt x="2402" y="283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6" y="167"/>
                              </a:moveTo>
                              <a:lnTo>
                                <a:pt x="2346" y="168"/>
                              </a:lnTo>
                              <a:lnTo>
                                <a:pt x="2354" y="171"/>
                              </a:lnTo>
                              <a:lnTo>
                                <a:pt x="2362" y="175"/>
                              </a:lnTo>
                              <a:lnTo>
                                <a:pt x="2368" y="181"/>
                              </a:lnTo>
                              <a:lnTo>
                                <a:pt x="2373" y="188"/>
                              </a:lnTo>
                              <a:lnTo>
                                <a:pt x="2377" y="196"/>
                              </a:lnTo>
                              <a:lnTo>
                                <a:pt x="2379" y="206"/>
                              </a:lnTo>
                              <a:lnTo>
                                <a:pt x="2380" y="216"/>
                              </a:lnTo>
                              <a:lnTo>
                                <a:pt x="2379" y="227"/>
                              </a:lnTo>
                              <a:lnTo>
                                <a:pt x="2377" y="236"/>
                              </a:lnTo>
                              <a:lnTo>
                                <a:pt x="2373" y="244"/>
                              </a:lnTo>
                              <a:lnTo>
                                <a:pt x="2368" y="252"/>
                              </a:lnTo>
                              <a:lnTo>
                                <a:pt x="2362" y="258"/>
                              </a:lnTo>
                              <a:lnTo>
                                <a:pt x="2354" y="262"/>
                              </a:lnTo>
                              <a:lnTo>
                                <a:pt x="2346" y="264"/>
                              </a:lnTo>
                              <a:lnTo>
                                <a:pt x="2336" y="266"/>
                              </a:lnTo>
                              <a:lnTo>
                                <a:pt x="2327" y="264"/>
                              </a:lnTo>
                              <a:lnTo>
                                <a:pt x="2318" y="262"/>
                              </a:lnTo>
                              <a:lnTo>
                                <a:pt x="2311" y="258"/>
                              </a:lnTo>
                              <a:lnTo>
                                <a:pt x="2304" y="252"/>
                              </a:lnTo>
                              <a:lnTo>
                                <a:pt x="2299" y="244"/>
                              </a:lnTo>
                              <a:lnTo>
                                <a:pt x="2296" y="236"/>
                              </a:lnTo>
                              <a:lnTo>
                                <a:pt x="2293" y="226"/>
                              </a:lnTo>
                              <a:lnTo>
                                <a:pt x="2292" y="216"/>
                              </a:lnTo>
                              <a:lnTo>
                                <a:pt x="2293" y="206"/>
                              </a:lnTo>
                              <a:lnTo>
                                <a:pt x="2296" y="196"/>
                              </a:lnTo>
                              <a:lnTo>
                                <a:pt x="2299" y="188"/>
                              </a:lnTo>
                              <a:lnTo>
                                <a:pt x="2304" y="181"/>
                              </a:lnTo>
                              <a:lnTo>
                                <a:pt x="2311" y="176"/>
                              </a:lnTo>
                              <a:lnTo>
                                <a:pt x="2318" y="171"/>
                              </a:lnTo>
                              <a:lnTo>
                                <a:pt x="2327" y="168"/>
                              </a:lnTo>
                              <a:lnTo>
                                <a:pt x="2336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8"/>
                              </a:lnTo>
                              <a:lnTo>
                                <a:pt x="2539" y="163"/>
                              </a:lnTo>
                              <a:lnTo>
                                <a:pt x="2534" y="158"/>
                              </a:lnTo>
                              <a:lnTo>
                                <a:pt x="2527" y="155"/>
                              </a:lnTo>
                              <a:lnTo>
                                <a:pt x="2522" y="152"/>
                              </a:lnTo>
                              <a:lnTo>
                                <a:pt x="2516" y="150"/>
                              </a:lnTo>
                              <a:lnTo>
                                <a:pt x="2510" y="148"/>
                              </a:lnTo>
                              <a:lnTo>
                                <a:pt x="2504" y="147"/>
                              </a:lnTo>
                              <a:lnTo>
                                <a:pt x="2496" y="147"/>
                              </a:lnTo>
                              <a:lnTo>
                                <a:pt x="2490" y="147"/>
                              </a:lnTo>
                              <a:lnTo>
                                <a:pt x="2484" y="148"/>
                              </a:lnTo>
                              <a:lnTo>
                                <a:pt x="2478" y="150"/>
                              </a:lnTo>
                              <a:lnTo>
                                <a:pt x="2471" y="152"/>
                              </a:lnTo>
                              <a:lnTo>
                                <a:pt x="2466" y="155"/>
                              </a:lnTo>
                              <a:lnTo>
                                <a:pt x="2460" y="158"/>
                              </a:lnTo>
                              <a:lnTo>
                                <a:pt x="2455" y="162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7"/>
                              </a:lnTo>
                              <a:lnTo>
                                <a:pt x="2440" y="182"/>
                              </a:lnTo>
                              <a:lnTo>
                                <a:pt x="2438" y="188"/>
                              </a:lnTo>
                              <a:lnTo>
                                <a:pt x="2434" y="202"/>
                              </a:lnTo>
                              <a:lnTo>
                                <a:pt x="2433" y="216"/>
                              </a:lnTo>
                              <a:lnTo>
                                <a:pt x="2434" y="223"/>
                              </a:lnTo>
                              <a:lnTo>
                                <a:pt x="2434" y="231"/>
                              </a:lnTo>
                              <a:lnTo>
                                <a:pt x="2436" y="238"/>
                              </a:lnTo>
                              <a:lnTo>
                                <a:pt x="2438" y="244"/>
                              </a:lnTo>
                              <a:lnTo>
                                <a:pt x="2440" y="251"/>
                              </a:lnTo>
                              <a:lnTo>
                                <a:pt x="2444" y="257"/>
                              </a:lnTo>
                              <a:lnTo>
                                <a:pt x="2448" y="262"/>
                              </a:lnTo>
                              <a:lnTo>
                                <a:pt x="2451" y="267"/>
                              </a:lnTo>
                              <a:lnTo>
                                <a:pt x="2456" y="271"/>
                              </a:lnTo>
                              <a:lnTo>
                                <a:pt x="2461" y="276"/>
                              </a:lnTo>
                              <a:lnTo>
                                <a:pt x="2466" y="278"/>
                              </a:lnTo>
                              <a:lnTo>
                                <a:pt x="2471" y="282"/>
                              </a:lnTo>
                              <a:lnTo>
                                <a:pt x="2478" y="283"/>
                              </a:lnTo>
                              <a:lnTo>
                                <a:pt x="2484" y="286"/>
                              </a:lnTo>
                              <a:lnTo>
                                <a:pt x="2490" y="287"/>
                              </a:lnTo>
                              <a:lnTo>
                                <a:pt x="2498" y="287"/>
                              </a:lnTo>
                              <a:lnTo>
                                <a:pt x="2504" y="287"/>
                              </a:lnTo>
                              <a:lnTo>
                                <a:pt x="2511" y="286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8"/>
                              </a:lnTo>
                              <a:lnTo>
                                <a:pt x="2534" y="274"/>
                              </a:lnTo>
                              <a:lnTo>
                                <a:pt x="2539" y="269"/>
                              </a:lnTo>
                              <a:lnTo>
                                <a:pt x="2542" y="264"/>
                              </a:lnTo>
                              <a:lnTo>
                                <a:pt x="2542" y="283"/>
                              </a:lnTo>
                              <a:lnTo>
                                <a:pt x="2566" y="283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0" y="167"/>
                              </a:moveTo>
                              <a:lnTo>
                                <a:pt x="2509" y="168"/>
                              </a:lnTo>
                              <a:lnTo>
                                <a:pt x="2516" y="171"/>
                              </a:lnTo>
                              <a:lnTo>
                                <a:pt x="2524" y="175"/>
                              </a:lnTo>
                              <a:lnTo>
                                <a:pt x="2531" y="180"/>
                              </a:lnTo>
                              <a:lnTo>
                                <a:pt x="2537" y="187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7"/>
                              </a:lnTo>
                              <a:lnTo>
                                <a:pt x="2541" y="237"/>
                              </a:lnTo>
                              <a:lnTo>
                                <a:pt x="2537" y="244"/>
                              </a:lnTo>
                              <a:lnTo>
                                <a:pt x="2532" y="252"/>
                              </a:lnTo>
                              <a:lnTo>
                                <a:pt x="2526" y="258"/>
                              </a:lnTo>
                              <a:lnTo>
                                <a:pt x="2519" y="262"/>
                              </a:lnTo>
                              <a:lnTo>
                                <a:pt x="2510" y="264"/>
                              </a:lnTo>
                              <a:lnTo>
                                <a:pt x="2500" y="266"/>
                              </a:lnTo>
                              <a:lnTo>
                                <a:pt x="2491" y="264"/>
                              </a:lnTo>
                              <a:lnTo>
                                <a:pt x="2483" y="262"/>
                              </a:lnTo>
                              <a:lnTo>
                                <a:pt x="2475" y="258"/>
                              </a:lnTo>
                              <a:lnTo>
                                <a:pt x="2469" y="252"/>
                              </a:lnTo>
                              <a:lnTo>
                                <a:pt x="2464" y="244"/>
                              </a:lnTo>
                              <a:lnTo>
                                <a:pt x="2460" y="236"/>
                              </a:lnTo>
                              <a:lnTo>
                                <a:pt x="2458" y="226"/>
                              </a:lnTo>
                              <a:lnTo>
                                <a:pt x="2456" y="216"/>
                              </a:lnTo>
                              <a:lnTo>
                                <a:pt x="2458" y="206"/>
                              </a:lnTo>
                              <a:lnTo>
                                <a:pt x="2460" y="197"/>
                              </a:lnTo>
                              <a:lnTo>
                                <a:pt x="2464" y="188"/>
                              </a:lnTo>
                              <a:lnTo>
                                <a:pt x="2469" y="181"/>
                              </a:lnTo>
                              <a:lnTo>
                                <a:pt x="2475" y="176"/>
                              </a:lnTo>
                              <a:lnTo>
                                <a:pt x="2483" y="171"/>
                              </a:lnTo>
                              <a:lnTo>
                                <a:pt x="2491" y="168"/>
                              </a:lnTo>
                              <a:lnTo>
                                <a:pt x="2500" y="167"/>
                              </a:lnTo>
                              <a:close/>
                              <a:moveTo>
                                <a:pt x="2734" y="337"/>
                              </a:moveTo>
                              <a:lnTo>
                                <a:pt x="2759" y="337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7"/>
                              </a:lnTo>
                              <a:close/>
                              <a:moveTo>
                                <a:pt x="2932" y="283"/>
                              </a:moveTo>
                              <a:lnTo>
                                <a:pt x="2956" y="283"/>
                              </a:lnTo>
                              <a:lnTo>
                                <a:pt x="2956" y="117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4"/>
                              </a:lnTo>
                              <a:lnTo>
                                <a:pt x="2932" y="60"/>
                              </a:lnTo>
                              <a:lnTo>
                                <a:pt x="2932" y="283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8"/>
                              </a:lnTo>
                              <a:lnTo>
                                <a:pt x="3266" y="163"/>
                              </a:lnTo>
                              <a:lnTo>
                                <a:pt x="3261" y="158"/>
                              </a:lnTo>
                              <a:lnTo>
                                <a:pt x="3256" y="155"/>
                              </a:lnTo>
                              <a:lnTo>
                                <a:pt x="3250" y="152"/>
                              </a:lnTo>
                              <a:lnTo>
                                <a:pt x="3244" y="150"/>
                              </a:lnTo>
                              <a:lnTo>
                                <a:pt x="3239" y="147"/>
                              </a:lnTo>
                              <a:lnTo>
                                <a:pt x="3231" y="147"/>
                              </a:lnTo>
                              <a:lnTo>
                                <a:pt x="3225" y="146"/>
                              </a:lnTo>
                              <a:lnTo>
                                <a:pt x="3218" y="147"/>
                              </a:lnTo>
                              <a:lnTo>
                                <a:pt x="3211" y="147"/>
                              </a:lnTo>
                              <a:lnTo>
                                <a:pt x="3205" y="150"/>
                              </a:lnTo>
                              <a:lnTo>
                                <a:pt x="3199" y="152"/>
                              </a:lnTo>
                              <a:lnTo>
                                <a:pt x="3194" y="155"/>
                              </a:lnTo>
                              <a:lnTo>
                                <a:pt x="3189" y="158"/>
                              </a:lnTo>
                              <a:lnTo>
                                <a:pt x="3184" y="162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2"/>
                              </a:lnTo>
                              <a:lnTo>
                                <a:pt x="3167" y="188"/>
                              </a:lnTo>
                              <a:lnTo>
                                <a:pt x="3163" y="201"/>
                              </a:lnTo>
                              <a:lnTo>
                                <a:pt x="3162" y="216"/>
                              </a:lnTo>
                              <a:lnTo>
                                <a:pt x="3162" y="223"/>
                              </a:lnTo>
                              <a:lnTo>
                                <a:pt x="3163" y="231"/>
                              </a:lnTo>
                              <a:lnTo>
                                <a:pt x="3164" y="237"/>
                              </a:lnTo>
                              <a:lnTo>
                                <a:pt x="3167" y="244"/>
                              </a:lnTo>
                              <a:lnTo>
                                <a:pt x="3169" y="251"/>
                              </a:lnTo>
                              <a:lnTo>
                                <a:pt x="3172" y="256"/>
                              </a:lnTo>
                              <a:lnTo>
                                <a:pt x="3175" y="262"/>
                              </a:lnTo>
                              <a:lnTo>
                                <a:pt x="3179" y="267"/>
                              </a:lnTo>
                              <a:lnTo>
                                <a:pt x="3184" y="271"/>
                              </a:lnTo>
                              <a:lnTo>
                                <a:pt x="3189" y="276"/>
                              </a:lnTo>
                              <a:lnTo>
                                <a:pt x="3194" y="278"/>
                              </a:lnTo>
                              <a:lnTo>
                                <a:pt x="3200" y="282"/>
                              </a:lnTo>
                              <a:lnTo>
                                <a:pt x="3205" y="283"/>
                              </a:lnTo>
                              <a:lnTo>
                                <a:pt x="3211" y="286"/>
                              </a:lnTo>
                              <a:lnTo>
                                <a:pt x="3219" y="287"/>
                              </a:lnTo>
                              <a:lnTo>
                                <a:pt x="3225" y="287"/>
                              </a:lnTo>
                              <a:lnTo>
                                <a:pt x="3233" y="287"/>
                              </a:lnTo>
                              <a:lnTo>
                                <a:pt x="3239" y="286"/>
                              </a:lnTo>
                              <a:lnTo>
                                <a:pt x="3245" y="283"/>
                              </a:lnTo>
                              <a:lnTo>
                                <a:pt x="3250" y="281"/>
                              </a:lnTo>
                              <a:lnTo>
                                <a:pt x="3256" y="278"/>
                              </a:lnTo>
                              <a:lnTo>
                                <a:pt x="3261" y="274"/>
                              </a:lnTo>
                              <a:lnTo>
                                <a:pt x="3266" y="269"/>
                              </a:lnTo>
                              <a:lnTo>
                                <a:pt x="3271" y="264"/>
                              </a:lnTo>
                              <a:lnTo>
                                <a:pt x="3271" y="283"/>
                              </a:lnTo>
                              <a:lnTo>
                                <a:pt x="3294" y="283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8"/>
                              </a:lnTo>
                              <a:lnTo>
                                <a:pt x="3246" y="171"/>
                              </a:lnTo>
                              <a:lnTo>
                                <a:pt x="3254" y="175"/>
                              </a:lnTo>
                              <a:lnTo>
                                <a:pt x="3260" y="181"/>
                              </a:lnTo>
                              <a:lnTo>
                                <a:pt x="3266" y="188"/>
                              </a:lnTo>
                              <a:lnTo>
                                <a:pt x="3270" y="196"/>
                              </a:lnTo>
                              <a:lnTo>
                                <a:pt x="3272" y="206"/>
                              </a:lnTo>
                              <a:lnTo>
                                <a:pt x="3272" y="216"/>
                              </a:lnTo>
                              <a:lnTo>
                                <a:pt x="3272" y="227"/>
                              </a:lnTo>
                              <a:lnTo>
                                <a:pt x="3270" y="236"/>
                              </a:lnTo>
                              <a:lnTo>
                                <a:pt x="3266" y="244"/>
                              </a:lnTo>
                              <a:lnTo>
                                <a:pt x="3260" y="252"/>
                              </a:lnTo>
                              <a:lnTo>
                                <a:pt x="3254" y="258"/>
                              </a:lnTo>
                              <a:lnTo>
                                <a:pt x="3246" y="262"/>
                              </a:lnTo>
                              <a:lnTo>
                                <a:pt x="3238" y="264"/>
                              </a:lnTo>
                              <a:lnTo>
                                <a:pt x="3229" y="266"/>
                              </a:lnTo>
                              <a:lnTo>
                                <a:pt x="3219" y="264"/>
                              </a:lnTo>
                              <a:lnTo>
                                <a:pt x="3210" y="262"/>
                              </a:lnTo>
                              <a:lnTo>
                                <a:pt x="3204" y="258"/>
                              </a:lnTo>
                              <a:lnTo>
                                <a:pt x="3196" y="252"/>
                              </a:lnTo>
                              <a:lnTo>
                                <a:pt x="3191" y="244"/>
                              </a:lnTo>
                              <a:lnTo>
                                <a:pt x="3188" y="236"/>
                              </a:lnTo>
                              <a:lnTo>
                                <a:pt x="3185" y="226"/>
                              </a:lnTo>
                              <a:lnTo>
                                <a:pt x="3185" y="216"/>
                              </a:lnTo>
                              <a:lnTo>
                                <a:pt x="3185" y="206"/>
                              </a:lnTo>
                              <a:lnTo>
                                <a:pt x="3188" y="196"/>
                              </a:lnTo>
                              <a:lnTo>
                                <a:pt x="3191" y="188"/>
                              </a:lnTo>
                              <a:lnTo>
                                <a:pt x="3198" y="181"/>
                              </a:lnTo>
                              <a:lnTo>
                                <a:pt x="3204" y="176"/>
                              </a:lnTo>
                              <a:lnTo>
                                <a:pt x="3211" y="171"/>
                              </a:lnTo>
                              <a:lnTo>
                                <a:pt x="3219" y="168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8"/>
                              </a:moveTo>
                              <a:lnTo>
                                <a:pt x="3438" y="264"/>
                              </a:lnTo>
                              <a:lnTo>
                                <a:pt x="3443" y="269"/>
                              </a:lnTo>
                              <a:lnTo>
                                <a:pt x="3448" y="274"/>
                              </a:lnTo>
                              <a:lnTo>
                                <a:pt x="3453" y="278"/>
                              </a:lnTo>
                              <a:lnTo>
                                <a:pt x="3458" y="282"/>
                              </a:lnTo>
                              <a:lnTo>
                                <a:pt x="3464" y="283"/>
                              </a:lnTo>
                              <a:lnTo>
                                <a:pt x="3471" y="286"/>
                              </a:lnTo>
                              <a:lnTo>
                                <a:pt x="3477" y="287"/>
                              </a:lnTo>
                              <a:lnTo>
                                <a:pt x="3484" y="287"/>
                              </a:lnTo>
                              <a:lnTo>
                                <a:pt x="3490" y="287"/>
                              </a:lnTo>
                              <a:lnTo>
                                <a:pt x="3497" y="286"/>
                              </a:lnTo>
                              <a:lnTo>
                                <a:pt x="3503" y="283"/>
                              </a:lnTo>
                              <a:lnTo>
                                <a:pt x="3509" y="282"/>
                              </a:lnTo>
                              <a:lnTo>
                                <a:pt x="3515" y="278"/>
                              </a:lnTo>
                              <a:lnTo>
                                <a:pt x="3520" y="276"/>
                              </a:lnTo>
                              <a:lnTo>
                                <a:pt x="3525" y="272"/>
                              </a:lnTo>
                              <a:lnTo>
                                <a:pt x="3529" y="267"/>
                              </a:lnTo>
                              <a:lnTo>
                                <a:pt x="3537" y="257"/>
                              </a:lnTo>
                              <a:lnTo>
                                <a:pt x="3543" y="244"/>
                              </a:lnTo>
                              <a:lnTo>
                                <a:pt x="3547" y="232"/>
                              </a:lnTo>
                              <a:lnTo>
                                <a:pt x="3548" y="217"/>
                              </a:lnTo>
                              <a:lnTo>
                                <a:pt x="3548" y="210"/>
                              </a:lnTo>
                              <a:lnTo>
                                <a:pt x="3547" y="202"/>
                              </a:lnTo>
                              <a:lnTo>
                                <a:pt x="3545" y="196"/>
                              </a:lnTo>
                              <a:lnTo>
                                <a:pt x="3543" y="188"/>
                              </a:lnTo>
                              <a:lnTo>
                                <a:pt x="3540" y="182"/>
                              </a:lnTo>
                              <a:lnTo>
                                <a:pt x="3537" y="177"/>
                              </a:lnTo>
                              <a:lnTo>
                                <a:pt x="3533" y="171"/>
                              </a:lnTo>
                              <a:lnTo>
                                <a:pt x="3529" y="166"/>
                              </a:lnTo>
                              <a:lnTo>
                                <a:pt x="3525" y="162"/>
                              </a:lnTo>
                              <a:lnTo>
                                <a:pt x="3520" y="158"/>
                              </a:lnTo>
                              <a:lnTo>
                                <a:pt x="3514" y="155"/>
                              </a:lnTo>
                              <a:lnTo>
                                <a:pt x="3509" y="152"/>
                              </a:lnTo>
                              <a:lnTo>
                                <a:pt x="3503" y="150"/>
                              </a:lnTo>
                              <a:lnTo>
                                <a:pt x="3497" y="148"/>
                              </a:lnTo>
                              <a:lnTo>
                                <a:pt x="3490" y="147"/>
                              </a:lnTo>
                              <a:lnTo>
                                <a:pt x="3483" y="146"/>
                              </a:lnTo>
                              <a:lnTo>
                                <a:pt x="3477" y="147"/>
                              </a:lnTo>
                              <a:lnTo>
                                <a:pt x="3471" y="147"/>
                              </a:lnTo>
                              <a:lnTo>
                                <a:pt x="3464" y="150"/>
                              </a:lnTo>
                              <a:lnTo>
                                <a:pt x="3458" y="152"/>
                              </a:lnTo>
                              <a:lnTo>
                                <a:pt x="3453" y="155"/>
                              </a:lnTo>
                              <a:lnTo>
                                <a:pt x="3448" y="158"/>
                              </a:lnTo>
                              <a:lnTo>
                                <a:pt x="3442" y="163"/>
                              </a:lnTo>
                              <a:lnTo>
                                <a:pt x="3438" y="168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8"/>
                              </a:lnTo>
                              <a:lnTo>
                                <a:pt x="3438" y="358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8"/>
                              </a:lnTo>
                              <a:lnTo>
                                <a:pt x="3498" y="171"/>
                              </a:lnTo>
                              <a:lnTo>
                                <a:pt x="3505" y="176"/>
                              </a:lnTo>
                              <a:lnTo>
                                <a:pt x="3512" y="182"/>
                              </a:lnTo>
                              <a:lnTo>
                                <a:pt x="3517" y="188"/>
                              </a:lnTo>
                              <a:lnTo>
                                <a:pt x="3520" y="197"/>
                              </a:lnTo>
                              <a:lnTo>
                                <a:pt x="3523" y="207"/>
                              </a:lnTo>
                              <a:lnTo>
                                <a:pt x="3524" y="218"/>
                              </a:lnTo>
                              <a:lnTo>
                                <a:pt x="3523" y="227"/>
                              </a:lnTo>
                              <a:lnTo>
                                <a:pt x="3520" y="237"/>
                              </a:lnTo>
                              <a:lnTo>
                                <a:pt x="3517" y="244"/>
                              </a:lnTo>
                              <a:lnTo>
                                <a:pt x="3512" y="252"/>
                              </a:lnTo>
                              <a:lnTo>
                                <a:pt x="3505" y="258"/>
                              </a:lnTo>
                              <a:lnTo>
                                <a:pt x="3498" y="262"/>
                              </a:lnTo>
                              <a:lnTo>
                                <a:pt x="3489" y="264"/>
                              </a:lnTo>
                              <a:lnTo>
                                <a:pt x="3481" y="266"/>
                              </a:lnTo>
                              <a:lnTo>
                                <a:pt x="3471" y="264"/>
                              </a:lnTo>
                              <a:lnTo>
                                <a:pt x="3463" y="262"/>
                              </a:lnTo>
                              <a:lnTo>
                                <a:pt x="3456" y="258"/>
                              </a:lnTo>
                              <a:lnTo>
                                <a:pt x="3448" y="252"/>
                              </a:lnTo>
                              <a:lnTo>
                                <a:pt x="3443" y="244"/>
                              </a:lnTo>
                              <a:lnTo>
                                <a:pt x="3439" y="237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7"/>
                              </a:lnTo>
                              <a:lnTo>
                                <a:pt x="3439" y="197"/>
                              </a:lnTo>
                              <a:lnTo>
                                <a:pt x="3443" y="188"/>
                              </a:lnTo>
                              <a:lnTo>
                                <a:pt x="3448" y="181"/>
                              </a:lnTo>
                              <a:lnTo>
                                <a:pt x="3456" y="176"/>
                              </a:lnTo>
                              <a:lnTo>
                                <a:pt x="3463" y="171"/>
                              </a:lnTo>
                              <a:lnTo>
                                <a:pt x="3471" y="168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8"/>
                              </a:lnTo>
                              <a:lnTo>
                                <a:pt x="3675" y="163"/>
                              </a:lnTo>
                              <a:lnTo>
                                <a:pt x="3670" y="158"/>
                              </a:lnTo>
                              <a:lnTo>
                                <a:pt x="3665" y="155"/>
                              </a:lnTo>
                              <a:lnTo>
                                <a:pt x="3659" y="152"/>
                              </a:lnTo>
                              <a:lnTo>
                                <a:pt x="3654" y="150"/>
                              </a:lnTo>
                              <a:lnTo>
                                <a:pt x="3647" y="147"/>
                              </a:lnTo>
                              <a:lnTo>
                                <a:pt x="3641" y="147"/>
                              </a:lnTo>
                              <a:lnTo>
                                <a:pt x="3634" y="146"/>
                              </a:lnTo>
                              <a:lnTo>
                                <a:pt x="3628" y="147"/>
                              </a:lnTo>
                              <a:lnTo>
                                <a:pt x="3620" y="147"/>
                              </a:lnTo>
                              <a:lnTo>
                                <a:pt x="3614" y="150"/>
                              </a:lnTo>
                              <a:lnTo>
                                <a:pt x="3609" y="152"/>
                              </a:lnTo>
                              <a:lnTo>
                                <a:pt x="3603" y="155"/>
                              </a:lnTo>
                              <a:lnTo>
                                <a:pt x="3598" y="158"/>
                              </a:lnTo>
                              <a:lnTo>
                                <a:pt x="3593" y="162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0" y="176"/>
                              </a:lnTo>
                              <a:lnTo>
                                <a:pt x="3578" y="182"/>
                              </a:lnTo>
                              <a:lnTo>
                                <a:pt x="3575" y="188"/>
                              </a:lnTo>
                              <a:lnTo>
                                <a:pt x="3571" y="201"/>
                              </a:lnTo>
                              <a:lnTo>
                                <a:pt x="3570" y="216"/>
                              </a:lnTo>
                              <a:lnTo>
                                <a:pt x="3570" y="223"/>
                              </a:lnTo>
                              <a:lnTo>
                                <a:pt x="3571" y="231"/>
                              </a:lnTo>
                              <a:lnTo>
                                <a:pt x="3573" y="237"/>
                              </a:lnTo>
                              <a:lnTo>
                                <a:pt x="3575" y="244"/>
                              </a:lnTo>
                              <a:lnTo>
                                <a:pt x="3578" y="251"/>
                              </a:lnTo>
                              <a:lnTo>
                                <a:pt x="3580" y="256"/>
                              </a:lnTo>
                              <a:lnTo>
                                <a:pt x="3584" y="262"/>
                              </a:lnTo>
                              <a:lnTo>
                                <a:pt x="3589" y="267"/>
                              </a:lnTo>
                              <a:lnTo>
                                <a:pt x="3593" y="271"/>
                              </a:lnTo>
                              <a:lnTo>
                                <a:pt x="3598" y="276"/>
                              </a:lnTo>
                              <a:lnTo>
                                <a:pt x="3603" y="278"/>
                              </a:lnTo>
                              <a:lnTo>
                                <a:pt x="3609" y="282"/>
                              </a:lnTo>
                              <a:lnTo>
                                <a:pt x="3615" y="283"/>
                              </a:lnTo>
                              <a:lnTo>
                                <a:pt x="3621" y="286"/>
                              </a:lnTo>
                              <a:lnTo>
                                <a:pt x="3628" y="287"/>
                              </a:lnTo>
                              <a:lnTo>
                                <a:pt x="3635" y="287"/>
                              </a:lnTo>
                              <a:lnTo>
                                <a:pt x="3641" y="287"/>
                              </a:lnTo>
                              <a:lnTo>
                                <a:pt x="3647" y="286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8"/>
                              </a:lnTo>
                              <a:lnTo>
                                <a:pt x="3670" y="274"/>
                              </a:lnTo>
                              <a:lnTo>
                                <a:pt x="3675" y="269"/>
                              </a:lnTo>
                              <a:lnTo>
                                <a:pt x="3680" y="264"/>
                              </a:lnTo>
                              <a:lnTo>
                                <a:pt x="3680" y="283"/>
                              </a:lnTo>
                              <a:lnTo>
                                <a:pt x="3704" y="283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8"/>
                              </a:lnTo>
                              <a:lnTo>
                                <a:pt x="3655" y="171"/>
                              </a:lnTo>
                              <a:lnTo>
                                <a:pt x="3662" y="175"/>
                              </a:lnTo>
                              <a:lnTo>
                                <a:pt x="3670" y="181"/>
                              </a:lnTo>
                              <a:lnTo>
                                <a:pt x="3675" y="188"/>
                              </a:lnTo>
                              <a:lnTo>
                                <a:pt x="3679" y="196"/>
                              </a:lnTo>
                              <a:lnTo>
                                <a:pt x="3681" y="206"/>
                              </a:lnTo>
                              <a:lnTo>
                                <a:pt x="3682" y="216"/>
                              </a:lnTo>
                              <a:lnTo>
                                <a:pt x="3681" y="227"/>
                              </a:lnTo>
                              <a:lnTo>
                                <a:pt x="3679" y="236"/>
                              </a:lnTo>
                              <a:lnTo>
                                <a:pt x="3675" y="244"/>
                              </a:lnTo>
                              <a:lnTo>
                                <a:pt x="3670" y="252"/>
                              </a:lnTo>
                              <a:lnTo>
                                <a:pt x="3662" y="258"/>
                              </a:lnTo>
                              <a:lnTo>
                                <a:pt x="3655" y="262"/>
                              </a:lnTo>
                              <a:lnTo>
                                <a:pt x="3646" y="264"/>
                              </a:lnTo>
                              <a:lnTo>
                                <a:pt x="3637" y="266"/>
                              </a:lnTo>
                              <a:lnTo>
                                <a:pt x="3628" y="264"/>
                              </a:lnTo>
                              <a:lnTo>
                                <a:pt x="3620" y="262"/>
                              </a:lnTo>
                              <a:lnTo>
                                <a:pt x="3613" y="258"/>
                              </a:lnTo>
                              <a:lnTo>
                                <a:pt x="3606" y="252"/>
                              </a:lnTo>
                              <a:lnTo>
                                <a:pt x="3601" y="244"/>
                              </a:lnTo>
                              <a:lnTo>
                                <a:pt x="3596" y="236"/>
                              </a:lnTo>
                              <a:lnTo>
                                <a:pt x="3594" y="226"/>
                              </a:lnTo>
                              <a:lnTo>
                                <a:pt x="3594" y="216"/>
                              </a:lnTo>
                              <a:lnTo>
                                <a:pt x="3595" y="206"/>
                              </a:lnTo>
                              <a:lnTo>
                                <a:pt x="3598" y="196"/>
                              </a:lnTo>
                              <a:lnTo>
                                <a:pt x="3601" y="188"/>
                              </a:lnTo>
                              <a:lnTo>
                                <a:pt x="3606" y="181"/>
                              </a:lnTo>
                              <a:lnTo>
                                <a:pt x="3613" y="176"/>
                              </a:lnTo>
                              <a:lnTo>
                                <a:pt x="3620" y="171"/>
                              </a:lnTo>
                              <a:lnTo>
                                <a:pt x="3629" y="168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8"/>
                              </a:lnTo>
                              <a:lnTo>
                                <a:pt x="3839" y="163"/>
                              </a:lnTo>
                              <a:lnTo>
                                <a:pt x="3834" y="158"/>
                              </a:lnTo>
                              <a:lnTo>
                                <a:pt x="3829" y="155"/>
                              </a:lnTo>
                              <a:lnTo>
                                <a:pt x="3823" y="152"/>
                              </a:lnTo>
                              <a:lnTo>
                                <a:pt x="3818" y="150"/>
                              </a:lnTo>
                              <a:lnTo>
                                <a:pt x="3812" y="148"/>
                              </a:lnTo>
                              <a:lnTo>
                                <a:pt x="3806" y="147"/>
                              </a:lnTo>
                              <a:lnTo>
                                <a:pt x="3798" y="147"/>
                              </a:lnTo>
                              <a:lnTo>
                                <a:pt x="3792" y="147"/>
                              </a:lnTo>
                              <a:lnTo>
                                <a:pt x="3785" y="148"/>
                              </a:lnTo>
                              <a:lnTo>
                                <a:pt x="3778" y="150"/>
                              </a:lnTo>
                              <a:lnTo>
                                <a:pt x="3773" y="152"/>
                              </a:lnTo>
                              <a:lnTo>
                                <a:pt x="3767" y="155"/>
                              </a:lnTo>
                              <a:lnTo>
                                <a:pt x="3762" y="158"/>
                              </a:lnTo>
                              <a:lnTo>
                                <a:pt x="3757" y="162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5" y="177"/>
                              </a:lnTo>
                              <a:lnTo>
                                <a:pt x="3742" y="182"/>
                              </a:lnTo>
                              <a:lnTo>
                                <a:pt x="3740" y="188"/>
                              </a:lnTo>
                              <a:lnTo>
                                <a:pt x="3737" y="195"/>
                              </a:lnTo>
                              <a:lnTo>
                                <a:pt x="3736" y="202"/>
                              </a:lnTo>
                              <a:lnTo>
                                <a:pt x="3735" y="208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8"/>
                              </a:lnTo>
                              <a:lnTo>
                                <a:pt x="3740" y="244"/>
                              </a:lnTo>
                              <a:lnTo>
                                <a:pt x="3742" y="251"/>
                              </a:lnTo>
                              <a:lnTo>
                                <a:pt x="3746" y="257"/>
                              </a:lnTo>
                              <a:lnTo>
                                <a:pt x="3748" y="262"/>
                              </a:lnTo>
                              <a:lnTo>
                                <a:pt x="3753" y="267"/>
                              </a:lnTo>
                              <a:lnTo>
                                <a:pt x="3757" y="271"/>
                              </a:lnTo>
                              <a:lnTo>
                                <a:pt x="3762" y="276"/>
                              </a:lnTo>
                              <a:lnTo>
                                <a:pt x="3767" y="278"/>
                              </a:lnTo>
                              <a:lnTo>
                                <a:pt x="3773" y="282"/>
                              </a:lnTo>
                              <a:lnTo>
                                <a:pt x="3780" y="283"/>
                              </a:lnTo>
                              <a:lnTo>
                                <a:pt x="3786" y="286"/>
                              </a:lnTo>
                              <a:lnTo>
                                <a:pt x="3792" y="287"/>
                              </a:lnTo>
                              <a:lnTo>
                                <a:pt x="3798" y="287"/>
                              </a:lnTo>
                              <a:lnTo>
                                <a:pt x="3806" y="287"/>
                              </a:lnTo>
                              <a:lnTo>
                                <a:pt x="3812" y="286"/>
                              </a:lnTo>
                              <a:lnTo>
                                <a:pt x="3818" y="283"/>
                              </a:lnTo>
                              <a:lnTo>
                                <a:pt x="3824" y="281"/>
                              </a:lnTo>
                              <a:lnTo>
                                <a:pt x="3831" y="278"/>
                              </a:lnTo>
                              <a:lnTo>
                                <a:pt x="3836" y="274"/>
                              </a:lnTo>
                              <a:lnTo>
                                <a:pt x="3841" y="269"/>
                              </a:lnTo>
                              <a:lnTo>
                                <a:pt x="3844" y="264"/>
                              </a:lnTo>
                              <a:lnTo>
                                <a:pt x="3844" y="283"/>
                              </a:lnTo>
                              <a:lnTo>
                                <a:pt x="3868" y="283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8"/>
                              </a:lnTo>
                              <a:lnTo>
                                <a:pt x="3818" y="171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7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7"/>
                              </a:lnTo>
                              <a:lnTo>
                                <a:pt x="3843" y="237"/>
                              </a:lnTo>
                              <a:lnTo>
                                <a:pt x="3839" y="244"/>
                              </a:lnTo>
                              <a:lnTo>
                                <a:pt x="3834" y="252"/>
                              </a:lnTo>
                              <a:lnTo>
                                <a:pt x="3827" y="258"/>
                              </a:lnTo>
                              <a:lnTo>
                                <a:pt x="3819" y="262"/>
                              </a:lnTo>
                              <a:lnTo>
                                <a:pt x="3811" y="264"/>
                              </a:lnTo>
                              <a:lnTo>
                                <a:pt x="3802" y="266"/>
                              </a:lnTo>
                              <a:lnTo>
                                <a:pt x="3792" y="264"/>
                              </a:lnTo>
                              <a:lnTo>
                                <a:pt x="3785" y="262"/>
                              </a:lnTo>
                              <a:lnTo>
                                <a:pt x="3777" y="258"/>
                              </a:lnTo>
                              <a:lnTo>
                                <a:pt x="3771" y="252"/>
                              </a:lnTo>
                              <a:lnTo>
                                <a:pt x="3766" y="244"/>
                              </a:lnTo>
                              <a:lnTo>
                                <a:pt x="3761" y="236"/>
                              </a:lnTo>
                              <a:lnTo>
                                <a:pt x="3758" y="226"/>
                              </a:lnTo>
                              <a:lnTo>
                                <a:pt x="3758" y="216"/>
                              </a:lnTo>
                              <a:lnTo>
                                <a:pt x="3760" y="206"/>
                              </a:lnTo>
                              <a:lnTo>
                                <a:pt x="3762" y="197"/>
                              </a:lnTo>
                              <a:lnTo>
                                <a:pt x="3766" y="188"/>
                              </a:lnTo>
                              <a:lnTo>
                                <a:pt x="3771" y="181"/>
                              </a:lnTo>
                              <a:lnTo>
                                <a:pt x="3777" y="176"/>
                              </a:lnTo>
                              <a:lnTo>
                                <a:pt x="3785" y="171"/>
                              </a:lnTo>
                              <a:lnTo>
                                <a:pt x="3793" y="168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6" y="221"/>
                              </a:moveTo>
                              <a:lnTo>
                                <a:pt x="4026" y="217"/>
                              </a:lnTo>
                              <a:lnTo>
                                <a:pt x="4026" y="202"/>
                              </a:lnTo>
                              <a:lnTo>
                                <a:pt x="4022" y="188"/>
                              </a:lnTo>
                              <a:lnTo>
                                <a:pt x="4020" y="182"/>
                              </a:lnTo>
                              <a:lnTo>
                                <a:pt x="4016" y="176"/>
                              </a:lnTo>
                              <a:lnTo>
                                <a:pt x="4014" y="171"/>
                              </a:lnTo>
                              <a:lnTo>
                                <a:pt x="4010" y="166"/>
                              </a:lnTo>
                              <a:lnTo>
                                <a:pt x="4005" y="162"/>
                              </a:lnTo>
                              <a:lnTo>
                                <a:pt x="4000" y="158"/>
                              </a:lnTo>
                              <a:lnTo>
                                <a:pt x="3995" y="155"/>
                              </a:lnTo>
                              <a:lnTo>
                                <a:pt x="3989" y="152"/>
                              </a:lnTo>
                              <a:lnTo>
                                <a:pt x="3984" y="150"/>
                              </a:lnTo>
                              <a:lnTo>
                                <a:pt x="3978" y="148"/>
                              </a:lnTo>
                              <a:lnTo>
                                <a:pt x="3970" y="147"/>
                              </a:lnTo>
                              <a:lnTo>
                                <a:pt x="3963" y="147"/>
                              </a:lnTo>
                              <a:lnTo>
                                <a:pt x="3956" y="147"/>
                              </a:lnTo>
                              <a:lnTo>
                                <a:pt x="3949" y="148"/>
                              </a:lnTo>
                              <a:lnTo>
                                <a:pt x="3943" y="150"/>
                              </a:lnTo>
                              <a:lnTo>
                                <a:pt x="3937" y="152"/>
                              </a:lnTo>
                              <a:lnTo>
                                <a:pt x="3932" y="155"/>
                              </a:lnTo>
                              <a:lnTo>
                                <a:pt x="3927" y="158"/>
                              </a:lnTo>
                              <a:lnTo>
                                <a:pt x="3922" y="162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8"/>
                              </a:lnTo>
                              <a:lnTo>
                                <a:pt x="3900" y="202"/>
                              </a:lnTo>
                              <a:lnTo>
                                <a:pt x="3899" y="217"/>
                              </a:lnTo>
                              <a:lnTo>
                                <a:pt x="3899" y="224"/>
                              </a:lnTo>
                              <a:lnTo>
                                <a:pt x="3900" y="232"/>
                              </a:lnTo>
                              <a:lnTo>
                                <a:pt x="3902" y="238"/>
                              </a:lnTo>
                              <a:lnTo>
                                <a:pt x="3904" y="246"/>
                              </a:lnTo>
                              <a:lnTo>
                                <a:pt x="3907" y="252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7" y="267"/>
                              </a:lnTo>
                              <a:lnTo>
                                <a:pt x="3922" y="272"/>
                              </a:lnTo>
                              <a:lnTo>
                                <a:pt x="3927" y="276"/>
                              </a:lnTo>
                              <a:lnTo>
                                <a:pt x="3932" y="279"/>
                              </a:lnTo>
                              <a:lnTo>
                                <a:pt x="3938" y="282"/>
                              </a:lnTo>
                              <a:lnTo>
                                <a:pt x="3944" y="283"/>
                              </a:lnTo>
                              <a:lnTo>
                                <a:pt x="3950" y="286"/>
                              </a:lnTo>
                              <a:lnTo>
                                <a:pt x="3958" y="287"/>
                              </a:lnTo>
                              <a:lnTo>
                                <a:pt x="3964" y="287"/>
                              </a:lnTo>
                              <a:lnTo>
                                <a:pt x="3974" y="286"/>
                              </a:lnTo>
                              <a:lnTo>
                                <a:pt x="3983" y="284"/>
                              </a:lnTo>
                              <a:lnTo>
                                <a:pt x="3991" y="282"/>
                              </a:lnTo>
                              <a:lnTo>
                                <a:pt x="3999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8"/>
                              </a:lnTo>
                              <a:lnTo>
                                <a:pt x="4025" y="249"/>
                              </a:lnTo>
                              <a:lnTo>
                                <a:pt x="4006" y="238"/>
                              </a:lnTo>
                              <a:lnTo>
                                <a:pt x="4001" y="244"/>
                              </a:lnTo>
                              <a:lnTo>
                                <a:pt x="3996" y="251"/>
                              </a:lnTo>
                              <a:lnTo>
                                <a:pt x="3993" y="256"/>
                              </a:lnTo>
                              <a:lnTo>
                                <a:pt x="3988" y="259"/>
                              </a:lnTo>
                              <a:lnTo>
                                <a:pt x="3983" y="262"/>
                              </a:lnTo>
                              <a:lnTo>
                                <a:pt x="3978" y="264"/>
                              </a:lnTo>
                              <a:lnTo>
                                <a:pt x="3971" y="266"/>
                              </a:lnTo>
                              <a:lnTo>
                                <a:pt x="3965" y="266"/>
                              </a:lnTo>
                              <a:lnTo>
                                <a:pt x="3956" y="264"/>
                              </a:lnTo>
                              <a:lnTo>
                                <a:pt x="3949" y="263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9"/>
                              </a:lnTo>
                              <a:lnTo>
                                <a:pt x="3924" y="231"/>
                              </a:lnTo>
                              <a:lnTo>
                                <a:pt x="3923" y="221"/>
                              </a:lnTo>
                              <a:lnTo>
                                <a:pt x="4026" y="221"/>
                              </a:lnTo>
                              <a:close/>
                              <a:moveTo>
                                <a:pt x="3924" y="202"/>
                              </a:moveTo>
                              <a:lnTo>
                                <a:pt x="3927" y="195"/>
                              </a:lnTo>
                              <a:lnTo>
                                <a:pt x="3929" y="188"/>
                              </a:lnTo>
                              <a:lnTo>
                                <a:pt x="3933" y="182"/>
                              </a:lnTo>
                              <a:lnTo>
                                <a:pt x="3938" y="177"/>
                              </a:lnTo>
                              <a:lnTo>
                                <a:pt x="3944" y="173"/>
                              </a:lnTo>
                              <a:lnTo>
                                <a:pt x="3950" y="170"/>
                              </a:lnTo>
                              <a:lnTo>
                                <a:pt x="3956" y="168"/>
                              </a:lnTo>
                              <a:lnTo>
                                <a:pt x="3964" y="167"/>
                              </a:lnTo>
                              <a:lnTo>
                                <a:pt x="3970" y="168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7"/>
                              </a:lnTo>
                              <a:lnTo>
                                <a:pt x="3994" y="182"/>
                              </a:lnTo>
                              <a:lnTo>
                                <a:pt x="3998" y="187"/>
                              </a:lnTo>
                              <a:lnTo>
                                <a:pt x="4000" y="195"/>
                              </a:lnTo>
                              <a:lnTo>
                                <a:pt x="4003" y="202"/>
                              </a:lnTo>
                              <a:lnTo>
                                <a:pt x="3924" y="202"/>
                              </a:lnTo>
                              <a:close/>
                              <a:moveTo>
                                <a:pt x="4131" y="171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8"/>
                              </a:lnTo>
                              <a:lnTo>
                                <a:pt x="4100" y="147"/>
                              </a:lnTo>
                              <a:lnTo>
                                <a:pt x="4093" y="147"/>
                              </a:lnTo>
                              <a:lnTo>
                                <a:pt x="4086" y="147"/>
                              </a:lnTo>
                              <a:lnTo>
                                <a:pt x="4079" y="150"/>
                              </a:lnTo>
                              <a:lnTo>
                                <a:pt x="4072" y="153"/>
                              </a:lnTo>
                              <a:lnTo>
                                <a:pt x="4066" y="157"/>
                              </a:lnTo>
                              <a:lnTo>
                                <a:pt x="4061" y="163"/>
                              </a:lnTo>
                              <a:lnTo>
                                <a:pt x="4059" y="170"/>
                              </a:lnTo>
                              <a:lnTo>
                                <a:pt x="4056" y="176"/>
                              </a:lnTo>
                              <a:lnTo>
                                <a:pt x="4055" y="183"/>
                              </a:lnTo>
                              <a:lnTo>
                                <a:pt x="4056" y="190"/>
                              </a:lnTo>
                              <a:lnTo>
                                <a:pt x="4057" y="196"/>
                              </a:lnTo>
                              <a:lnTo>
                                <a:pt x="4060" y="201"/>
                              </a:lnTo>
                              <a:lnTo>
                                <a:pt x="4064" y="205"/>
                              </a:lnTo>
                              <a:lnTo>
                                <a:pt x="4069" y="210"/>
                              </a:lnTo>
                              <a:lnTo>
                                <a:pt x="4075" y="213"/>
                              </a:lnTo>
                              <a:lnTo>
                                <a:pt x="4084" y="218"/>
                              </a:lnTo>
                              <a:lnTo>
                                <a:pt x="4093" y="223"/>
                              </a:lnTo>
                              <a:lnTo>
                                <a:pt x="4105" y="228"/>
                              </a:lnTo>
                              <a:lnTo>
                                <a:pt x="4111" y="233"/>
                              </a:lnTo>
                              <a:lnTo>
                                <a:pt x="4113" y="236"/>
                              </a:lnTo>
                              <a:lnTo>
                                <a:pt x="4115" y="238"/>
                              </a:lnTo>
                              <a:lnTo>
                                <a:pt x="4115" y="242"/>
                              </a:lnTo>
                              <a:lnTo>
                                <a:pt x="4115" y="244"/>
                              </a:lnTo>
                              <a:lnTo>
                                <a:pt x="4115" y="249"/>
                              </a:lnTo>
                              <a:lnTo>
                                <a:pt x="4113" y="253"/>
                              </a:lnTo>
                              <a:lnTo>
                                <a:pt x="4112" y="257"/>
                              </a:lnTo>
                              <a:lnTo>
                                <a:pt x="4108" y="259"/>
                              </a:lnTo>
                              <a:lnTo>
                                <a:pt x="4106" y="262"/>
                              </a:lnTo>
                              <a:lnTo>
                                <a:pt x="4102" y="264"/>
                              </a:lnTo>
                              <a:lnTo>
                                <a:pt x="4098" y="266"/>
                              </a:lnTo>
                              <a:lnTo>
                                <a:pt x="4093" y="266"/>
                              </a:lnTo>
                              <a:lnTo>
                                <a:pt x="4089" y="266"/>
                              </a:lnTo>
                              <a:lnTo>
                                <a:pt x="4085" y="264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4"/>
                              </a:lnTo>
                              <a:lnTo>
                                <a:pt x="4067" y="244"/>
                              </a:lnTo>
                              <a:lnTo>
                                <a:pt x="4046" y="253"/>
                              </a:lnTo>
                              <a:lnTo>
                                <a:pt x="4050" y="261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8"/>
                              </a:lnTo>
                              <a:lnTo>
                                <a:pt x="4071" y="282"/>
                              </a:lnTo>
                              <a:lnTo>
                                <a:pt x="4077" y="284"/>
                              </a:lnTo>
                              <a:lnTo>
                                <a:pt x="4085" y="286"/>
                              </a:lnTo>
                              <a:lnTo>
                                <a:pt x="4093" y="287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18" y="279"/>
                              </a:lnTo>
                              <a:lnTo>
                                <a:pt x="4126" y="274"/>
                              </a:lnTo>
                              <a:lnTo>
                                <a:pt x="4131" y="268"/>
                              </a:lnTo>
                              <a:lnTo>
                                <a:pt x="4135" y="261"/>
                              </a:lnTo>
                              <a:lnTo>
                                <a:pt x="4137" y="252"/>
                              </a:lnTo>
                              <a:lnTo>
                                <a:pt x="4138" y="243"/>
                              </a:lnTo>
                              <a:lnTo>
                                <a:pt x="4137" y="234"/>
                              </a:lnTo>
                              <a:lnTo>
                                <a:pt x="4135" y="227"/>
                              </a:lnTo>
                              <a:lnTo>
                                <a:pt x="4130" y="220"/>
                              </a:lnTo>
                              <a:lnTo>
                                <a:pt x="4123" y="215"/>
                              </a:lnTo>
                              <a:lnTo>
                                <a:pt x="4115" y="208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7"/>
                              </a:lnTo>
                              <a:lnTo>
                                <a:pt x="4082" y="172"/>
                              </a:lnTo>
                              <a:lnTo>
                                <a:pt x="4087" y="168"/>
                              </a:lnTo>
                              <a:lnTo>
                                <a:pt x="4093" y="167"/>
                              </a:lnTo>
                              <a:lnTo>
                                <a:pt x="4098" y="168"/>
                              </a:lnTo>
                              <a:lnTo>
                                <a:pt x="4103" y="171"/>
                              </a:lnTo>
                              <a:lnTo>
                                <a:pt x="4108" y="175"/>
                              </a:lnTo>
                              <a:lnTo>
                                <a:pt x="4112" y="181"/>
                              </a:lnTo>
                              <a:lnTo>
                                <a:pt x="4131" y="171"/>
                              </a:lnTo>
                              <a:close/>
                              <a:moveTo>
                                <a:pt x="4270" y="150"/>
                              </a:moveTo>
                              <a:lnTo>
                                <a:pt x="4270" y="168"/>
                              </a:lnTo>
                              <a:lnTo>
                                <a:pt x="4265" y="163"/>
                              </a:lnTo>
                              <a:lnTo>
                                <a:pt x="4260" y="158"/>
                              </a:lnTo>
                              <a:lnTo>
                                <a:pt x="4255" y="155"/>
                              </a:lnTo>
                              <a:lnTo>
                                <a:pt x="4250" y="152"/>
                              </a:lnTo>
                              <a:lnTo>
                                <a:pt x="4244" y="150"/>
                              </a:lnTo>
                              <a:lnTo>
                                <a:pt x="4238" y="147"/>
                              </a:lnTo>
                              <a:lnTo>
                                <a:pt x="4232" y="147"/>
                              </a:lnTo>
                              <a:lnTo>
                                <a:pt x="4224" y="146"/>
                              </a:lnTo>
                              <a:lnTo>
                                <a:pt x="4218" y="147"/>
                              </a:lnTo>
                              <a:lnTo>
                                <a:pt x="4212" y="147"/>
                              </a:lnTo>
                              <a:lnTo>
                                <a:pt x="4206" y="150"/>
                              </a:lnTo>
                              <a:lnTo>
                                <a:pt x="4199" y="152"/>
                              </a:lnTo>
                              <a:lnTo>
                                <a:pt x="4193" y="155"/>
                              </a:lnTo>
                              <a:lnTo>
                                <a:pt x="4188" y="158"/>
                              </a:lnTo>
                              <a:lnTo>
                                <a:pt x="4183" y="162"/>
                              </a:lnTo>
                              <a:lnTo>
                                <a:pt x="4179" y="166"/>
                              </a:lnTo>
                              <a:lnTo>
                                <a:pt x="4174" y="171"/>
                              </a:lnTo>
                              <a:lnTo>
                                <a:pt x="4172" y="176"/>
                              </a:lnTo>
                              <a:lnTo>
                                <a:pt x="4168" y="182"/>
                              </a:lnTo>
                              <a:lnTo>
                                <a:pt x="4166" y="188"/>
                              </a:lnTo>
                              <a:lnTo>
                                <a:pt x="4162" y="201"/>
                              </a:lnTo>
                              <a:lnTo>
                                <a:pt x="4161" y="216"/>
                              </a:lnTo>
                              <a:lnTo>
                                <a:pt x="4161" y="223"/>
                              </a:lnTo>
                              <a:lnTo>
                                <a:pt x="4162" y="231"/>
                              </a:lnTo>
                              <a:lnTo>
                                <a:pt x="4163" y="237"/>
                              </a:lnTo>
                              <a:lnTo>
                                <a:pt x="4166" y="244"/>
                              </a:lnTo>
                              <a:lnTo>
                                <a:pt x="4168" y="251"/>
                              </a:lnTo>
                              <a:lnTo>
                                <a:pt x="4172" y="256"/>
                              </a:lnTo>
                              <a:lnTo>
                                <a:pt x="4176" y="262"/>
                              </a:lnTo>
                              <a:lnTo>
                                <a:pt x="4179" y="267"/>
                              </a:lnTo>
                              <a:lnTo>
                                <a:pt x="4183" y="271"/>
                              </a:lnTo>
                              <a:lnTo>
                                <a:pt x="4188" y="276"/>
                              </a:lnTo>
                              <a:lnTo>
                                <a:pt x="4194" y="278"/>
                              </a:lnTo>
                              <a:lnTo>
                                <a:pt x="4199" y="282"/>
                              </a:lnTo>
                              <a:lnTo>
                                <a:pt x="4206" y="283"/>
                              </a:lnTo>
                              <a:lnTo>
                                <a:pt x="4212" y="286"/>
                              </a:lnTo>
                              <a:lnTo>
                                <a:pt x="4218" y="287"/>
                              </a:lnTo>
                              <a:lnTo>
                                <a:pt x="4226" y="287"/>
                              </a:lnTo>
                              <a:lnTo>
                                <a:pt x="4232" y="287"/>
                              </a:lnTo>
                              <a:lnTo>
                                <a:pt x="4238" y="286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8"/>
                              </a:lnTo>
                              <a:lnTo>
                                <a:pt x="4262" y="274"/>
                              </a:lnTo>
                              <a:lnTo>
                                <a:pt x="4267" y="269"/>
                              </a:lnTo>
                              <a:lnTo>
                                <a:pt x="4270" y="264"/>
                              </a:lnTo>
                              <a:lnTo>
                                <a:pt x="4270" y="283"/>
                              </a:lnTo>
                              <a:lnTo>
                                <a:pt x="4294" y="283"/>
                              </a:lnTo>
                              <a:lnTo>
                                <a:pt x="4294" y="150"/>
                              </a:lnTo>
                              <a:lnTo>
                                <a:pt x="4270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8"/>
                              </a:lnTo>
                              <a:lnTo>
                                <a:pt x="4247" y="171"/>
                              </a:lnTo>
                              <a:lnTo>
                                <a:pt x="4254" y="175"/>
                              </a:lnTo>
                              <a:lnTo>
                                <a:pt x="4260" y="181"/>
                              </a:lnTo>
                              <a:lnTo>
                                <a:pt x="4265" y="188"/>
                              </a:lnTo>
                              <a:lnTo>
                                <a:pt x="4269" y="196"/>
                              </a:lnTo>
                              <a:lnTo>
                                <a:pt x="4272" y="206"/>
                              </a:lnTo>
                              <a:lnTo>
                                <a:pt x="4273" y="216"/>
                              </a:lnTo>
                              <a:lnTo>
                                <a:pt x="4272" y="227"/>
                              </a:lnTo>
                              <a:lnTo>
                                <a:pt x="4269" y="236"/>
                              </a:lnTo>
                              <a:lnTo>
                                <a:pt x="4265" y="244"/>
                              </a:lnTo>
                              <a:lnTo>
                                <a:pt x="4260" y="252"/>
                              </a:lnTo>
                              <a:lnTo>
                                <a:pt x="4254" y="258"/>
                              </a:lnTo>
                              <a:lnTo>
                                <a:pt x="4245" y="262"/>
                              </a:lnTo>
                              <a:lnTo>
                                <a:pt x="4238" y="264"/>
                              </a:lnTo>
                              <a:lnTo>
                                <a:pt x="4228" y="266"/>
                              </a:lnTo>
                              <a:lnTo>
                                <a:pt x="4219" y="264"/>
                              </a:lnTo>
                              <a:lnTo>
                                <a:pt x="4211" y="262"/>
                              </a:lnTo>
                              <a:lnTo>
                                <a:pt x="4203" y="258"/>
                              </a:lnTo>
                              <a:lnTo>
                                <a:pt x="4197" y="252"/>
                              </a:lnTo>
                              <a:lnTo>
                                <a:pt x="4192" y="244"/>
                              </a:lnTo>
                              <a:lnTo>
                                <a:pt x="4188" y="236"/>
                              </a:lnTo>
                              <a:lnTo>
                                <a:pt x="4186" y="226"/>
                              </a:lnTo>
                              <a:lnTo>
                                <a:pt x="4184" y="216"/>
                              </a:lnTo>
                              <a:lnTo>
                                <a:pt x="4186" y="206"/>
                              </a:lnTo>
                              <a:lnTo>
                                <a:pt x="4188" y="196"/>
                              </a:lnTo>
                              <a:lnTo>
                                <a:pt x="4192" y="188"/>
                              </a:lnTo>
                              <a:lnTo>
                                <a:pt x="4197" y="181"/>
                              </a:lnTo>
                              <a:lnTo>
                                <a:pt x="4203" y="176"/>
                              </a:lnTo>
                              <a:lnTo>
                                <a:pt x="4211" y="171"/>
                              </a:lnTo>
                              <a:lnTo>
                                <a:pt x="4219" y="168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2"/>
                              </a:moveTo>
                              <a:lnTo>
                                <a:pt x="4249" y="73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2"/>
                              </a:lnTo>
                              <a:close/>
                              <a:moveTo>
                                <a:pt x="4359" y="171"/>
                              </a:moveTo>
                              <a:lnTo>
                                <a:pt x="4383" y="171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1"/>
                              </a:lnTo>
                              <a:lnTo>
                                <a:pt x="4336" y="171"/>
                              </a:lnTo>
                              <a:lnTo>
                                <a:pt x="4336" y="283"/>
                              </a:lnTo>
                              <a:lnTo>
                                <a:pt x="4359" y="283"/>
                              </a:lnTo>
                              <a:lnTo>
                                <a:pt x="4359" y="171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2"/>
                              </a:lnTo>
                              <a:lnTo>
                                <a:pt x="4518" y="188"/>
                              </a:lnTo>
                              <a:lnTo>
                                <a:pt x="4516" y="182"/>
                              </a:lnTo>
                              <a:lnTo>
                                <a:pt x="4513" y="176"/>
                              </a:lnTo>
                              <a:lnTo>
                                <a:pt x="4510" y="171"/>
                              </a:lnTo>
                              <a:lnTo>
                                <a:pt x="4506" y="166"/>
                              </a:lnTo>
                              <a:lnTo>
                                <a:pt x="4501" y="162"/>
                              </a:lnTo>
                              <a:lnTo>
                                <a:pt x="4496" y="158"/>
                              </a:lnTo>
                              <a:lnTo>
                                <a:pt x="4491" y="155"/>
                              </a:lnTo>
                              <a:lnTo>
                                <a:pt x="4486" y="152"/>
                              </a:lnTo>
                              <a:lnTo>
                                <a:pt x="4480" y="150"/>
                              </a:lnTo>
                              <a:lnTo>
                                <a:pt x="4473" y="148"/>
                              </a:lnTo>
                              <a:lnTo>
                                <a:pt x="4466" y="147"/>
                              </a:lnTo>
                              <a:lnTo>
                                <a:pt x="4460" y="147"/>
                              </a:lnTo>
                              <a:lnTo>
                                <a:pt x="4452" y="147"/>
                              </a:lnTo>
                              <a:lnTo>
                                <a:pt x="4446" y="148"/>
                              </a:lnTo>
                              <a:lnTo>
                                <a:pt x="4440" y="150"/>
                              </a:lnTo>
                              <a:lnTo>
                                <a:pt x="4434" y="152"/>
                              </a:lnTo>
                              <a:lnTo>
                                <a:pt x="4427" y="155"/>
                              </a:lnTo>
                              <a:lnTo>
                                <a:pt x="4422" y="158"/>
                              </a:lnTo>
                              <a:lnTo>
                                <a:pt x="4417" y="162"/>
                              </a:lnTo>
                              <a:lnTo>
                                <a:pt x="4412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8"/>
                              </a:lnTo>
                              <a:lnTo>
                                <a:pt x="4396" y="202"/>
                              </a:lnTo>
                              <a:lnTo>
                                <a:pt x="4395" y="217"/>
                              </a:lnTo>
                              <a:lnTo>
                                <a:pt x="4395" y="224"/>
                              </a:lnTo>
                              <a:lnTo>
                                <a:pt x="4396" y="232"/>
                              </a:lnTo>
                              <a:lnTo>
                                <a:pt x="4397" y="238"/>
                              </a:lnTo>
                              <a:lnTo>
                                <a:pt x="4400" y="246"/>
                              </a:lnTo>
                              <a:lnTo>
                                <a:pt x="4402" y="252"/>
                              </a:lnTo>
                              <a:lnTo>
                                <a:pt x="4406" y="257"/>
                              </a:lnTo>
                              <a:lnTo>
                                <a:pt x="4409" y="262"/>
                              </a:lnTo>
                              <a:lnTo>
                                <a:pt x="4414" y="267"/>
                              </a:lnTo>
                              <a:lnTo>
                                <a:pt x="4417" y="272"/>
                              </a:lnTo>
                              <a:lnTo>
                                <a:pt x="4422" y="276"/>
                              </a:lnTo>
                              <a:lnTo>
                                <a:pt x="4429" y="279"/>
                              </a:lnTo>
                              <a:lnTo>
                                <a:pt x="4434" y="282"/>
                              </a:lnTo>
                              <a:lnTo>
                                <a:pt x="4440" y="283"/>
                              </a:lnTo>
                              <a:lnTo>
                                <a:pt x="4446" y="286"/>
                              </a:lnTo>
                              <a:lnTo>
                                <a:pt x="4454" y="287"/>
                              </a:lnTo>
                              <a:lnTo>
                                <a:pt x="4461" y="287"/>
                              </a:lnTo>
                              <a:lnTo>
                                <a:pt x="4470" y="286"/>
                              </a:lnTo>
                              <a:lnTo>
                                <a:pt x="4480" y="284"/>
                              </a:lnTo>
                              <a:lnTo>
                                <a:pt x="4487" y="282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8"/>
                              </a:lnTo>
                              <a:lnTo>
                                <a:pt x="4522" y="249"/>
                              </a:lnTo>
                              <a:lnTo>
                                <a:pt x="4502" y="238"/>
                              </a:lnTo>
                              <a:lnTo>
                                <a:pt x="4497" y="244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59"/>
                              </a:lnTo>
                              <a:lnTo>
                                <a:pt x="4478" y="262"/>
                              </a:lnTo>
                              <a:lnTo>
                                <a:pt x="4473" y="264"/>
                              </a:lnTo>
                              <a:lnTo>
                                <a:pt x="4467" y="266"/>
                              </a:lnTo>
                              <a:lnTo>
                                <a:pt x="4461" y="266"/>
                              </a:lnTo>
                              <a:lnTo>
                                <a:pt x="4452" y="264"/>
                              </a:lnTo>
                              <a:lnTo>
                                <a:pt x="4445" y="263"/>
                              </a:lnTo>
                              <a:lnTo>
                                <a:pt x="4437" y="258"/>
                              </a:lnTo>
                              <a:lnTo>
                                <a:pt x="4431" y="253"/>
                              </a:lnTo>
                              <a:lnTo>
                                <a:pt x="4426" y="247"/>
                              </a:lnTo>
                              <a:lnTo>
                                <a:pt x="4422" y="239"/>
                              </a:lnTo>
                              <a:lnTo>
                                <a:pt x="4420" y="231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2"/>
                              </a:moveTo>
                              <a:lnTo>
                                <a:pt x="4422" y="195"/>
                              </a:lnTo>
                              <a:lnTo>
                                <a:pt x="4425" y="188"/>
                              </a:lnTo>
                              <a:lnTo>
                                <a:pt x="4430" y="182"/>
                              </a:lnTo>
                              <a:lnTo>
                                <a:pt x="4435" y="177"/>
                              </a:lnTo>
                              <a:lnTo>
                                <a:pt x="4440" y="173"/>
                              </a:lnTo>
                              <a:lnTo>
                                <a:pt x="4446" y="170"/>
                              </a:lnTo>
                              <a:lnTo>
                                <a:pt x="4452" y="168"/>
                              </a:lnTo>
                              <a:lnTo>
                                <a:pt x="4460" y="167"/>
                              </a:lnTo>
                              <a:lnTo>
                                <a:pt x="4467" y="168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7"/>
                              </a:lnTo>
                              <a:lnTo>
                                <a:pt x="4490" y="182"/>
                              </a:lnTo>
                              <a:lnTo>
                                <a:pt x="4493" y="187"/>
                              </a:lnTo>
                              <a:lnTo>
                                <a:pt x="4497" y="195"/>
                              </a:lnTo>
                              <a:lnTo>
                                <a:pt x="4498" y="202"/>
                              </a:lnTo>
                              <a:lnTo>
                                <a:pt x="4421" y="202"/>
                              </a:lnTo>
                              <a:close/>
                              <a:moveTo>
                                <a:pt x="4503" y="82"/>
                              </a:moveTo>
                              <a:lnTo>
                                <a:pt x="4478" y="73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2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3"/>
                              </a:lnTo>
                              <a:lnTo>
                                <a:pt x="4577" y="283"/>
                              </a:lnTo>
                              <a:lnTo>
                                <a:pt x="4577" y="211"/>
                              </a:lnTo>
                              <a:lnTo>
                                <a:pt x="4578" y="201"/>
                              </a:lnTo>
                              <a:lnTo>
                                <a:pt x="4578" y="193"/>
                              </a:lnTo>
                              <a:lnTo>
                                <a:pt x="4581" y="187"/>
                              </a:lnTo>
                              <a:lnTo>
                                <a:pt x="4582" y="182"/>
                              </a:lnTo>
                              <a:lnTo>
                                <a:pt x="4587" y="176"/>
                              </a:lnTo>
                              <a:lnTo>
                                <a:pt x="4592" y="171"/>
                              </a:lnTo>
                              <a:lnTo>
                                <a:pt x="4599" y="168"/>
                              </a:lnTo>
                              <a:lnTo>
                                <a:pt x="4607" y="167"/>
                              </a:lnTo>
                              <a:lnTo>
                                <a:pt x="4612" y="168"/>
                              </a:lnTo>
                              <a:lnTo>
                                <a:pt x="4617" y="170"/>
                              </a:lnTo>
                              <a:lnTo>
                                <a:pt x="4622" y="172"/>
                              </a:lnTo>
                              <a:lnTo>
                                <a:pt x="4624" y="176"/>
                              </a:lnTo>
                              <a:lnTo>
                                <a:pt x="4628" y="182"/>
                              </a:lnTo>
                              <a:lnTo>
                                <a:pt x="4629" y="188"/>
                              </a:lnTo>
                              <a:lnTo>
                                <a:pt x="4630" y="196"/>
                              </a:lnTo>
                              <a:lnTo>
                                <a:pt x="4630" y="203"/>
                              </a:lnTo>
                              <a:lnTo>
                                <a:pt x="4630" y="283"/>
                              </a:lnTo>
                              <a:lnTo>
                                <a:pt x="4654" y="283"/>
                              </a:lnTo>
                              <a:lnTo>
                                <a:pt x="4654" y="210"/>
                              </a:lnTo>
                              <a:lnTo>
                                <a:pt x="4654" y="200"/>
                              </a:lnTo>
                              <a:lnTo>
                                <a:pt x="4655" y="191"/>
                              </a:lnTo>
                              <a:lnTo>
                                <a:pt x="4658" y="183"/>
                              </a:lnTo>
                              <a:lnTo>
                                <a:pt x="4660" y="177"/>
                              </a:lnTo>
                              <a:lnTo>
                                <a:pt x="4665" y="173"/>
                              </a:lnTo>
                              <a:lnTo>
                                <a:pt x="4669" y="170"/>
                              </a:lnTo>
                              <a:lnTo>
                                <a:pt x="4675" y="168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70"/>
                              </a:lnTo>
                              <a:lnTo>
                                <a:pt x="4698" y="172"/>
                              </a:lnTo>
                              <a:lnTo>
                                <a:pt x="4700" y="176"/>
                              </a:lnTo>
                              <a:lnTo>
                                <a:pt x="4703" y="181"/>
                              </a:lnTo>
                              <a:lnTo>
                                <a:pt x="4705" y="186"/>
                              </a:lnTo>
                              <a:lnTo>
                                <a:pt x="4706" y="193"/>
                              </a:lnTo>
                              <a:lnTo>
                                <a:pt x="4706" y="202"/>
                              </a:lnTo>
                              <a:lnTo>
                                <a:pt x="4706" y="283"/>
                              </a:lnTo>
                              <a:lnTo>
                                <a:pt x="4729" y="283"/>
                              </a:lnTo>
                              <a:lnTo>
                                <a:pt x="4729" y="198"/>
                              </a:lnTo>
                              <a:lnTo>
                                <a:pt x="4729" y="187"/>
                              </a:lnTo>
                              <a:lnTo>
                                <a:pt x="4728" y="178"/>
                              </a:lnTo>
                              <a:lnTo>
                                <a:pt x="4725" y="171"/>
                              </a:lnTo>
                              <a:lnTo>
                                <a:pt x="4721" y="165"/>
                              </a:lnTo>
                              <a:lnTo>
                                <a:pt x="4719" y="161"/>
                              </a:lnTo>
                              <a:lnTo>
                                <a:pt x="4715" y="157"/>
                              </a:lnTo>
                              <a:lnTo>
                                <a:pt x="4711" y="153"/>
                              </a:lnTo>
                              <a:lnTo>
                                <a:pt x="4706" y="151"/>
                              </a:lnTo>
                              <a:lnTo>
                                <a:pt x="4701" y="150"/>
                              </a:lnTo>
                              <a:lnTo>
                                <a:pt x="4696" y="147"/>
                              </a:lnTo>
                              <a:lnTo>
                                <a:pt x="4692" y="147"/>
                              </a:lnTo>
                              <a:lnTo>
                                <a:pt x="4685" y="146"/>
                              </a:lnTo>
                              <a:lnTo>
                                <a:pt x="4679" y="147"/>
                              </a:lnTo>
                              <a:lnTo>
                                <a:pt x="4674" y="148"/>
                              </a:lnTo>
                              <a:lnTo>
                                <a:pt x="4668" y="150"/>
                              </a:lnTo>
                              <a:lnTo>
                                <a:pt x="4663" y="152"/>
                              </a:lnTo>
                              <a:lnTo>
                                <a:pt x="4658" y="155"/>
                              </a:lnTo>
                              <a:lnTo>
                                <a:pt x="4654" y="158"/>
                              </a:lnTo>
                              <a:lnTo>
                                <a:pt x="4650" y="163"/>
                              </a:lnTo>
                              <a:lnTo>
                                <a:pt x="4647" y="168"/>
                              </a:lnTo>
                              <a:lnTo>
                                <a:pt x="4644" y="163"/>
                              </a:lnTo>
                              <a:lnTo>
                                <a:pt x="4640" y="158"/>
                              </a:lnTo>
                              <a:lnTo>
                                <a:pt x="4637" y="155"/>
                              </a:lnTo>
                              <a:lnTo>
                                <a:pt x="4632" y="152"/>
                              </a:lnTo>
                              <a:lnTo>
                                <a:pt x="4627" y="150"/>
                              </a:lnTo>
                              <a:lnTo>
                                <a:pt x="4622" y="148"/>
                              </a:lnTo>
                              <a:lnTo>
                                <a:pt x="4617" y="147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1"/>
                              </a:lnTo>
                              <a:lnTo>
                                <a:pt x="4584" y="156"/>
                              </a:lnTo>
                              <a:lnTo>
                                <a:pt x="4577" y="165"/>
                              </a:lnTo>
                              <a:lnTo>
                                <a:pt x="4577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200"/>
                              </a:lnTo>
                              <a:lnTo>
                                <a:pt x="4857" y="207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1"/>
                              </a:lnTo>
                              <a:lnTo>
                                <a:pt x="4856" y="237"/>
                              </a:lnTo>
                              <a:lnTo>
                                <a:pt x="4858" y="243"/>
                              </a:lnTo>
                              <a:lnTo>
                                <a:pt x="4860" y="248"/>
                              </a:lnTo>
                              <a:lnTo>
                                <a:pt x="4866" y="259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2"/>
                              </a:lnTo>
                              <a:lnTo>
                                <a:pt x="4907" y="286"/>
                              </a:lnTo>
                              <a:lnTo>
                                <a:pt x="4921" y="287"/>
                              </a:lnTo>
                              <a:lnTo>
                                <a:pt x="4933" y="286"/>
                              </a:lnTo>
                              <a:lnTo>
                                <a:pt x="4946" y="282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9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29"/>
                              </a:lnTo>
                              <a:lnTo>
                                <a:pt x="4984" y="223"/>
                              </a:lnTo>
                              <a:lnTo>
                                <a:pt x="4984" y="215"/>
                              </a:lnTo>
                              <a:lnTo>
                                <a:pt x="4983" y="207"/>
                              </a:lnTo>
                              <a:lnTo>
                                <a:pt x="4979" y="200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1"/>
                              </a:lnTo>
                              <a:lnTo>
                                <a:pt x="4961" y="176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3"/>
                              </a:lnTo>
                              <a:lnTo>
                                <a:pt x="4969" y="157"/>
                              </a:lnTo>
                              <a:lnTo>
                                <a:pt x="4973" y="152"/>
                              </a:lnTo>
                              <a:lnTo>
                                <a:pt x="4976" y="145"/>
                              </a:lnTo>
                              <a:lnTo>
                                <a:pt x="4978" y="139"/>
                              </a:lnTo>
                              <a:lnTo>
                                <a:pt x="4979" y="131"/>
                              </a:lnTo>
                              <a:lnTo>
                                <a:pt x="4981" y="125"/>
                              </a:lnTo>
                              <a:lnTo>
                                <a:pt x="4979" y="112"/>
                              </a:lnTo>
                              <a:lnTo>
                                <a:pt x="4976" y="101"/>
                              </a:lnTo>
                              <a:lnTo>
                                <a:pt x="4971" y="91"/>
                              </a:lnTo>
                              <a:lnTo>
                                <a:pt x="4963" y="82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6"/>
                              </a:lnTo>
                              <a:lnTo>
                                <a:pt x="4921" y="66"/>
                              </a:lnTo>
                              <a:lnTo>
                                <a:pt x="4908" y="66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7" y="82"/>
                              </a:lnTo>
                              <a:lnTo>
                                <a:pt x="4871" y="91"/>
                              </a:lnTo>
                              <a:lnTo>
                                <a:pt x="4865" y="101"/>
                              </a:lnTo>
                              <a:lnTo>
                                <a:pt x="4862" y="112"/>
                              </a:lnTo>
                              <a:lnTo>
                                <a:pt x="4861" y="125"/>
                              </a:lnTo>
                              <a:lnTo>
                                <a:pt x="4861" y="132"/>
                              </a:lnTo>
                              <a:lnTo>
                                <a:pt x="4862" y="139"/>
                              </a:lnTo>
                              <a:lnTo>
                                <a:pt x="4865" y="146"/>
                              </a:lnTo>
                              <a:lnTo>
                                <a:pt x="4867" y="152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7"/>
                              </a:moveTo>
                              <a:lnTo>
                                <a:pt x="4928" y="89"/>
                              </a:lnTo>
                              <a:lnTo>
                                <a:pt x="4934" y="90"/>
                              </a:lnTo>
                              <a:lnTo>
                                <a:pt x="4941" y="94"/>
                              </a:lnTo>
                              <a:lnTo>
                                <a:pt x="4947" y="99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7"/>
                              </a:lnTo>
                              <a:lnTo>
                                <a:pt x="4958" y="125"/>
                              </a:lnTo>
                              <a:lnTo>
                                <a:pt x="4957" y="132"/>
                              </a:lnTo>
                              <a:lnTo>
                                <a:pt x="4954" y="140"/>
                              </a:lnTo>
                              <a:lnTo>
                                <a:pt x="4952" y="146"/>
                              </a:lnTo>
                              <a:lnTo>
                                <a:pt x="4947" y="151"/>
                              </a:lnTo>
                              <a:lnTo>
                                <a:pt x="4941" y="156"/>
                              </a:lnTo>
                              <a:lnTo>
                                <a:pt x="4934" y="158"/>
                              </a:lnTo>
                              <a:lnTo>
                                <a:pt x="4928" y="161"/>
                              </a:lnTo>
                              <a:lnTo>
                                <a:pt x="4921" y="162"/>
                              </a:lnTo>
                              <a:lnTo>
                                <a:pt x="4913" y="161"/>
                              </a:lnTo>
                              <a:lnTo>
                                <a:pt x="4906" y="158"/>
                              </a:lnTo>
                              <a:lnTo>
                                <a:pt x="4900" y="156"/>
                              </a:lnTo>
                              <a:lnTo>
                                <a:pt x="4895" y="151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3" y="132"/>
                              </a:lnTo>
                              <a:lnTo>
                                <a:pt x="4883" y="124"/>
                              </a:lnTo>
                              <a:lnTo>
                                <a:pt x="4885" y="117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9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9"/>
                              </a:lnTo>
                              <a:lnTo>
                                <a:pt x="4921" y="87"/>
                              </a:lnTo>
                              <a:close/>
                              <a:moveTo>
                                <a:pt x="4920" y="182"/>
                              </a:moveTo>
                              <a:lnTo>
                                <a:pt x="4928" y="183"/>
                              </a:lnTo>
                              <a:lnTo>
                                <a:pt x="4936" y="186"/>
                              </a:lnTo>
                              <a:lnTo>
                                <a:pt x="4943" y="190"/>
                              </a:lnTo>
                              <a:lnTo>
                                <a:pt x="4949" y="195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1" y="223"/>
                              </a:lnTo>
                              <a:lnTo>
                                <a:pt x="4961" y="232"/>
                              </a:lnTo>
                              <a:lnTo>
                                <a:pt x="4958" y="239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4"/>
                              </a:lnTo>
                              <a:lnTo>
                                <a:pt x="4911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9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5"/>
                              </a:lnTo>
                              <a:lnTo>
                                <a:pt x="4882" y="207"/>
                              </a:lnTo>
                              <a:lnTo>
                                <a:pt x="4886" y="200"/>
                              </a:lnTo>
                              <a:lnTo>
                                <a:pt x="4891" y="195"/>
                              </a:lnTo>
                              <a:lnTo>
                                <a:pt x="4897" y="190"/>
                              </a:lnTo>
                              <a:lnTo>
                                <a:pt x="4903" y="186"/>
                              </a:lnTo>
                              <a:lnTo>
                                <a:pt x="4912" y="183"/>
                              </a:lnTo>
                              <a:lnTo>
                                <a:pt x="4920" y="182"/>
                              </a:lnTo>
                              <a:close/>
                              <a:moveTo>
                                <a:pt x="5090" y="91"/>
                              </a:moveTo>
                              <a:lnTo>
                                <a:pt x="5090" y="283"/>
                              </a:lnTo>
                              <a:lnTo>
                                <a:pt x="5114" y="283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1"/>
                              </a:lnTo>
                              <a:lnTo>
                                <a:pt x="5090" y="91"/>
                              </a:lnTo>
                              <a:close/>
                              <a:moveTo>
                                <a:pt x="5333" y="337"/>
                              </a:moveTo>
                              <a:lnTo>
                                <a:pt x="5357" y="337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7"/>
                              </a:lnTo>
                              <a:close/>
                              <a:moveTo>
                                <a:pt x="5587" y="91"/>
                              </a:moveTo>
                              <a:lnTo>
                                <a:pt x="5587" y="283"/>
                              </a:lnTo>
                              <a:lnTo>
                                <a:pt x="5611" y="283"/>
                              </a:lnTo>
                              <a:lnTo>
                                <a:pt x="5611" y="69"/>
                              </a:lnTo>
                              <a:lnTo>
                                <a:pt x="5565" y="69"/>
                              </a:lnTo>
                              <a:lnTo>
                                <a:pt x="5552" y="91"/>
                              </a:lnTo>
                              <a:lnTo>
                                <a:pt x="5587" y="91"/>
                              </a:lnTo>
                              <a:close/>
                              <a:moveTo>
                                <a:pt x="5770" y="66"/>
                              </a:moveTo>
                              <a:lnTo>
                                <a:pt x="5763" y="66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7"/>
                              </a:lnTo>
                              <a:lnTo>
                                <a:pt x="5712" y="105"/>
                              </a:lnTo>
                              <a:lnTo>
                                <a:pt x="5707" y="114"/>
                              </a:lnTo>
                              <a:lnTo>
                                <a:pt x="5703" y="122"/>
                              </a:lnTo>
                              <a:lnTo>
                                <a:pt x="5701" y="132"/>
                              </a:lnTo>
                              <a:lnTo>
                                <a:pt x="5698" y="142"/>
                              </a:lnTo>
                              <a:lnTo>
                                <a:pt x="5696" y="152"/>
                              </a:lnTo>
                              <a:lnTo>
                                <a:pt x="5694" y="163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7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7"/>
                              </a:lnTo>
                              <a:lnTo>
                                <a:pt x="5706" y="236"/>
                              </a:lnTo>
                              <a:lnTo>
                                <a:pt x="5709" y="244"/>
                              </a:lnTo>
                              <a:lnTo>
                                <a:pt x="5714" y="252"/>
                              </a:lnTo>
                              <a:lnTo>
                                <a:pt x="5719" y="259"/>
                              </a:lnTo>
                              <a:lnTo>
                                <a:pt x="5726" y="267"/>
                              </a:lnTo>
                              <a:lnTo>
                                <a:pt x="5733" y="272"/>
                              </a:lnTo>
                              <a:lnTo>
                                <a:pt x="5739" y="277"/>
                              </a:lnTo>
                              <a:lnTo>
                                <a:pt x="5747" y="281"/>
                              </a:lnTo>
                              <a:lnTo>
                                <a:pt x="5755" y="284"/>
                              </a:lnTo>
                              <a:lnTo>
                                <a:pt x="5763" y="286"/>
                              </a:lnTo>
                              <a:lnTo>
                                <a:pt x="5770" y="287"/>
                              </a:lnTo>
                              <a:lnTo>
                                <a:pt x="5778" y="286"/>
                              </a:lnTo>
                              <a:lnTo>
                                <a:pt x="5787" y="284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3"/>
                              </a:lnTo>
                              <a:lnTo>
                                <a:pt x="5814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6"/>
                              </a:lnTo>
                              <a:lnTo>
                                <a:pt x="5835" y="237"/>
                              </a:lnTo>
                              <a:lnTo>
                                <a:pt x="5839" y="228"/>
                              </a:lnTo>
                              <a:lnTo>
                                <a:pt x="5841" y="218"/>
                              </a:lnTo>
                              <a:lnTo>
                                <a:pt x="5844" y="208"/>
                              </a:lnTo>
                              <a:lnTo>
                                <a:pt x="5845" y="197"/>
                              </a:lnTo>
                              <a:lnTo>
                                <a:pt x="5846" y="187"/>
                              </a:lnTo>
                              <a:lnTo>
                                <a:pt x="5848" y="176"/>
                              </a:lnTo>
                              <a:lnTo>
                                <a:pt x="5846" y="163"/>
                              </a:lnTo>
                              <a:lnTo>
                                <a:pt x="5845" y="152"/>
                              </a:lnTo>
                              <a:lnTo>
                                <a:pt x="5844" y="142"/>
                              </a:lnTo>
                              <a:lnTo>
                                <a:pt x="5841" y="132"/>
                              </a:lnTo>
                              <a:lnTo>
                                <a:pt x="5838" y="122"/>
                              </a:lnTo>
                              <a:lnTo>
                                <a:pt x="5834" y="114"/>
                              </a:lnTo>
                              <a:lnTo>
                                <a:pt x="5830" y="105"/>
                              </a:lnTo>
                              <a:lnTo>
                                <a:pt x="5825" y="97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9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6"/>
                              </a:lnTo>
                              <a:lnTo>
                                <a:pt x="5770" y="66"/>
                              </a:lnTo>
                              <a:close/>
                              <a:moveTo>
                                <a:pt x="5770" y="87"/>
                              </a:moveTo>
                              <a:lnTo>
                                <a:pt x="5777" y="87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7"/>
                              </a:lnTo>
                              <a:lnTo>
                                <a:pt x="5800" y="102"/>
                              </a:lnTo>
                              <a:lnTo>
                                <a:pt x="5805" y="107"/>
                              </a:lnTo>
                              <a:lnTo>
                                <a:pt x="5809" y="112"/>
                              </a:lnTo>
                              <a:lnTo>
                                <a:pt x="5815" y="126"/>
                              </a:lnTo>
                              <a:lnTo>
                                <a:pt x="5820" y="141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3"/>
                              </a:lnTo>
                              <a:lnTo>
                                <a:pt x="5820" y="211"/>
                              </a:lnTo>
                              <a:lnTo>
                                <a:pt x="5815" y="226"/>
                              </a:lnTo>
                              <a:lnTo>
                                <a:pt x="5808" y="238"/>
                              </a:lnTo>
                              <a:lnTo>
                                <a:pt x="5804" y="244"/>
                              </a:lnTo>
                              <a:lnTo>
                                <a:pt x="5800" y="249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1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4"/>
                              </a:lnTo>
                              <a:lnTo>
                                <a:pt x="5765" y="264"/>
                              </a:lnTo>
                              <a:lnTo>
                                <a:pt x="5759" y="262"/>
                              </a:lnTo>
                              <a:lnTo>
                                <a:pt x="5754" y="261"/>
                              </a:lnTo>
                              <a:lnTo>
                                <a:pt x="5749" y="258"/>
                              </a:lnTo>
                              <a:lnTo>
                                <a:pt x="5744" y="254"/>
                              </a:lnTo>
                              <a:lnTo>
                                <a:pt x="5741" y="249"/>
                              </a:lnTo>
                              <a:lnTo>
                                <a:pt x="5737" y="244"/>
                              </a:lnTo>
                              <a:lnTo>
                                <a:pt x="5733" y="239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8" y="193"/>
                              </a:lnTo>
                              <a:lnTo>
                                <a:pt x="5718" y="176"/>
                              </a:lnTo>
                              <a:lnTo>
                                <a:pt x="5718" y="157"/>
                              </a:lnTo>
                              <a:lnTo>
                                <a:pt x="5722" y="141"/>
                              </a:lnTo>
                              <a:lnTo>
                                <a:pt x="5727" y="126"/>
                              </a:lnTo>
                              <a:lnTo>
                                <a:pt x="5733" y="112"/>
                              </a:lnTo>
                              <a:lnTo>
                                <a:pt x="5737" y="107"/>
                              </a:lnTo>
                              <a:lnTo>
                                <a:pt x="5741" y="102"/>
                              </a:lnTo>
                              <a:lnTo>
                                <a:pt x="5746" y="97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7"/>
                              </a:lnTo>
                              <a:lnTo>
                                <a:pt x="5770" y="87"/>
                              </a:lnTo>
                              <a:close/>
                              <a:moveTo>
                                <a:pt x="5949" y="66"/>
                              </a:moveTo>
                              <a:lnTo>
                                <a:pt x="5940" y="66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7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7"/>
                              </a:lnTo>
                              <a:lnTo>
                                <a:pt x="5889" y="105"/>
                              </a:lnTo>
                              <a:lnTo>
                                <a:pt x="5885" y="114"/>
                              </a:lnTo>
                              <a:lnTo>
                                <a:pt x="5880" y="122"/>
                              </a:lnTo>
                              <a:lnTo>
                                <a:pt x="5878" y="132"/>
                              </a:lnTo>
                              <a:lnTo>
                                <a:pt x="5875" y="142"/>
                              </a:lnTo>
                              <a:lnTo>
                                <a:pt x="5873" y="152"/>
                              </a:lnTo>
                              <a:lnTo>
                                <a:pt x="5871" y="163"/>
                              </a:lnTo>
                              <a:lnTo>
                                <a:pt x="5871" y="175"/>
                              </a:lnTo>
                              <a:lnTo>
                                <a:pt x="5871" y="186"/>
                              </a:lnTo>
                              <a:lnTo>
                                <a:pt x="5873" y="197"/>
                              </a:lnTo>
                              <a:lnTo>
                                <a:pt x="5874" y="207"/>
                              </a:lnTo>
                              <a:lnTo>
                                <a:pt x="5876" y="217"/>
                              </a:lnTo>
                              <a:lnTo>
                                <a:pt x="5879" y="227"/>
                              </a:lnTo>
                              <a:lnTo>
                                <a:pt x="5883" y="236"/>
                              </a:lnTo>
                              <a:lnTo>
                                <a:pt x="5888" y="244"/>
                              </a:lnTo>
                              <a:lnTo>
                                <a:pt x="5891" y="252"/>
                              </a:lnTo>
                              <a:lnTo>
                                <a:pt x="5898" y="259"/>
                              </a:lnTo>
                              <a:lnTo>
                                <a:pt x="5904" y="267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4"/>
                              </a:lnTo>
                              <a:lnTo>
                                <a:pt x="5940" y="286"/>
                              </a:lnTo>
                              <a:lnTo>
                                <a:pt x="5949" y="287"/>
                              </a:lnTo>
                              <a:lnTo>
                                <a:pt x="5956" y="286"/>
                              </a:lnTo>
                              <a:lnTo>
                                <a:pt x="5964" y="284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5" y="273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6"/>
                              </a:lnTo>
                              <a:lnTo>
                                <a:pt x="6012" y="237"/>
                              </a:lnTo>
                              <a:lnTo>
                                <a:pt x="6016" y="228"/>
                              </a:lnTo>
                              <a:lnTo>
                                <a:pt x="6020" y="218"/>
                              </a:lnTo>
                              <a:lnTo>
                                <a:pt x="6021" y="208"/>
                              </a:lnTo>
                              <a:lnTo>
                                <a:pt x="6023" y="197"/>
                              </a:lnTo>
                              <a:lnTo>
                                <a:pt x="6025" y="187"/>
                              </a:lnTo>
                              <a:lnTo>
                                <a:pt x="6025" y="176"/>
                              </a:lnTo>
                              <a:lnTo>
                                <a:pt x="6025" y="163"/>
                              </a:lnTo>
                              <a:lnTo>
                                <a:pt x="6023" y="152"/>
                              </a:lnTo>
                              <a:lnTo>
                                <a:pt x="6021" y="142"/>
                              </a:lnTo>
                              <a:lnTo>
                                <a:pt x="6018" y="132"/>
                              </a:lnTo>
                              <a:lnTo>
                                <a:pt x="6016" y="122"/>
                              </a:lnTo>
                              <a:lnTo>
                                <a:pt x="6012" y="114"/>
                              </a:lnTo>
                              <a:lnTo>
                                <a:pt x="6007" y="105"/>
                              </a:lnTo>
                              <a:lnTo>
                                <a:pt x="6002" y="97"/>
                              </a:lnTo>
                              <a:lnTo>
                                <a:pt x="5997" y="90"/>
                              </a:lnTo>
                              <a:lnTo>
                                <a:pt x="5991" y="84"/>
                              </a:lnTo>
                              <a:lnTo>
                                <a:pt x="5985" y="79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6"/>
                              </a:lnTo>
                              <a:lnTo>
                                <a:pt x="5949" y="66"/>
                              </a:lnTo>
                              <a:close/>
                              <a:moveTo>
                                <a:pt x="5947" y="87"/>
                              </a:moveTo>
                              <a:lnTo>
                                <a:pt x="5954" y="87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7"/>
                              </a:lnTo>
                              <a:lnTo>
                                <a:pt x="5978" y="102"/>
                              </a:lnTo>
                              <a:lnTo>
                                <a:pt x="5982" y="107"/>
                              </a:lnTo>
                              <a:lnTo>
                                <a:pt x="5986" y="112"/>
                              </a:lnTo>
                              <a:lnTo>
                                <a:pt x="5992" y="126"/>
                              </a:lnTo>
                              <a:lnTo>
                                <a:pt x="5997" y="141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3"/>
                              </a:lnTo>
                              <a:lnTo>
                                <a:pt x="5997" y="211"/>
                              </a:lnTo>
                              <a:lnTo>
                                <a:pt x="5992" y="226"/>
                              </a:lnTo>
                              <a:lnTo>
                                <a:pt x="5986" y="238"/>
                              </a:lnTo>
                              <a:lnTo>
                                <a:pt x="5982" y="244"/>
                              </a:lnTo>
                              <a:lnTo>
                                <a:pt x="5977" y="249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1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4"/>
                              </a:lnTo>
                              <a:lnTo>
                                <a:pt x="5942" y="264"/>
                              </a:lnTo>
                              <a:lnTo>
                                <a:pt x="5937" y="262"/>
                              </a:lnTo>
                              <a:lnTo>
                                <a:pt x="5932" y="261"/>
                              </a:lnTo>
                              <a:lnTo>
                                <a:pt x="5927" y="258"/>
                              </a:lnTo>
                              <a:lnTo>
                                <a:pt x="5922" y="254"/>
                              </a:lnTo>
                              <a:lnTo>
                                <a:pt x="5917" y="249"/>
                              </a:lnTo>
                              <a:lnTo>
                                <a:pt x="5914" y="244"/>
                              </a:lnTo>
                              <a:lnTo>
                                <a:pt x="5910" y="239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3"/>
                              </a:lnTo>
                              <a:lnTo>
                                <a:pt x="5895" y="176"/>
                              </a:lnTo>
                              <a:lnTo>
                                <a:pt x="5896" y="157"/>
                              </a:lnTo>
                              <a:lnTo>
                                <a:pt x="5899" y="141"/>
                              </a:lnTo>
                              <a:lnTo>
                                <a:pt x="5904" y="126"/>
                              </a:lnTo>
                              <a:lnTo>
                                <a:pt x="5910" y="112"/>
                              </a:lnTo>
                              <a:lnTo>
                                <a:pt x="5914" y="107"/>
                              </a:lnTo>
                              <a:lnTo>
                                <a:pt x="5917" y="102"/>
                              </a:lnTo>
                              <a:lnTo>
                                <a:pt x="5922" y="97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7"/>
                              </a:lnTo>
                              <a:lnTo>
                                <a:pt x="5947" y="87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200"/>
                              </a:lnTo>
                              <a:lnTo>
                                <a:pt x="6144" y="207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1"/>
                              </a:lnTo>
                              <a:lnTo>
                                <a:pt x="6143" y="237"/>
                              </a:lnTo>
                              <a:lnTo>
                                <a:pt x="6145" y="243"/>
                              </a:lnTo>
                              <a:lnTo>
                                <a:pt x="6147" y="248"/>
                              </a:lnTo>
                              <a:lnTo>
                                <a:pt x="6153" y="259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2"/>
                              </a:lnTo>
                              <a:lnTo>
                                <a:pt x="6194" y="286"/>
                              </a:lnTo>
                              <a:lnTo>
                                <a:pt x="6208" y="287"/>
                              </a:lnTo>
                              <a:lnTo>
                                <a:pt x="6220" y="286"/>
                              </a:lnTo>
                              <a:lnTo>
                                <a:pt x="6233" y="282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9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29"/>
                              </a:lnTo>
                              <a:lnTo>
                                <a:pt x="6271" y="223"/>
                              </a:lnTo>
                              <a:lnTo>
                                <a:pt x="6271" y="215"/>
                              </a:lnTo>
                              <a:lnTo>
                                <a:pt x="6270" y="207"/>
                              </a:lnTo>
                              <a:lnTo>
                                <a:pt x="6266" y="200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1"/>
                              </a:lnTo>
                              <a:lnTo>
                                <a:pt x="6248" y="176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3"/>
                              </a:lnTo>
                              <a:lnTo>
                                <a:pt x="6256" y="157"/>
                              </a:lnTo>
                              <a:lnTo>
                                <a:pt x="6260" y="152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5"/>
                              </a:lnTo>
                              <a:lnTo>
                                <a:pt x="6266" y="112"/>
                              </a:lnTo>
                              <a:lnTo>
                                <a:pt x="6263" y="101"/>
                              </a:lnTo>
                              <a:lnTo>
                                <a:pt x="6258" y="91"/>
                              </a:lnTo>
                              <a:lnTo>
                                <a:pt x="6250" y="82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6"/>
                              </a:lnTo>
                              <a:lnTo>
                                <a:pt x="6208" y="66"/>
                              </a:lnTo>
                              <a:lnTo>
                                <a:pt x="6195" y="66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2"/>
                              </a:lnTo>
                              <a:lnTo>
                                <a:pt x="6158" y="91"/>
                              </a:lnTo>
                              <a:lnTo>
                                <a:pt x="6152" y="101"/>
                              </a:lnTo>
                              <a:lnTo>
                                <a:pt x="6149" y="112"/>
                              </a:lnTo>
                              <a:lnTo>
                                <a:pt x="6148" y="125"/>
                              </a:lnTo>
                              <a:lnTo>
                                <a:pt x="6148" y="132"/>
                              </a:lnTo>
                              <a:lnTo>
                                <a:pt x="6149" y="139"/>
                              </a:lnTo>
                              <a:lnTo>
                                <a:pt x="6152" y="146"/>
                              </a:lnTo>
                              <a:lnTo>
                                <a:pt x="6154" y="152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7"/>
                              </a:moveTo>
                              <a:lnTo>
                                <a:pt x="6215" y="89"/>
                              </a:lnTo>
                              <a:lnTo>
                                <a:pt x="6221" y="90"/>
                              </a:lnTo>
                              <a:lnTo>
                                <a:pt x="6228" y="94"/>
                              </a:lnTo>
                              <a:lnTo>
                                <a:pt x="6234" y="99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7"/>
                              </a:lnTo>
                              <a:lnTo>
                                <a:pt x="6245" y="125"/>
                              </a:lnTo>
                              <a:lnTo>
                                <a:pt x="6244" y="132"/>
                              </a:lnTo>
                              <a:lnTo>
                                <a:pt x="6241" y="140"/>
                              </a:lnTo>
                              <a:lnTo>
                                <a:pt x="6239" y="146"/>
                              </a:lnTo>
                              <a:lnTo>
                                <a:pt x="6234" y="151"/>
                              </a:lnTo>
                              <a:lnTo>
                                <a:pt x="6228" y="156"/>
                              </a:lnTo>
                              <a:lnTo>
                                <a:pt x="6221" y="158"/>
                              </a:lnTo>
                              <a:lnTo>
                                <a:pt x="6215" y="161"/>
                              </a:lnTo>
                              <a:lnTo>
                                <a:pt x="6208" y="162"/>
                              </a:lnTo>
                              <a:lnTo>
                                <a:pt x="6200" y="161"/>
                              </a:lnTo>
                              <a:lnTo>
                                <a:pt x="6193" y="158"/>
                              </a:lnTo>
                              <a:lnTo>
                                <a:pt x="6187" y="156"/>
                              </a:lnTo>
                              <a:lnTo>
                                <a:pt x="6182" y="151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2"/>
                              </a:lnTo>
                              <a:lnTo>
                                <a:pt x="6170" y="124"/>
                              </a:lnTo>
                              <a:lnTo>
                                <a:pt x="6172" y="117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9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9"/>
                              </a:lnTo>
                              <a:lnTo>
                                <a:pt x="6208" y="87"/>
                              </a:lnTo>
                              <a:close/>
                              <a:moveTo>
                                <a:pt x="6206" y="182"/>
                              </a:moveTo>
                              <a:lnTo>
                                <a:pt x="6215" y="183"/>
                              </a:lnTo>
                              <a:lnTo>
                                <a:pt x="6223" y="186"/>
                              </a:lnTo>
                              <a:lnTo>
                                <a:pt x="6230" y="190"/>
                              </a:lnTo>
                              <a:lnTo>
                                <a:pt x="6236" y="195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3"/>
                              </a:lnTo>
                              <a:lnTo>
                                <a:pt x="6248" y="232"/>
                              </a:lnTo>
                              <a:lnTo>
                                <a:pt x="6245" y="239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4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9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5"/>
                              </a:lnTo>
                              <a:lnTo>
                                <a:pt x="6169" y="207"/>
                              </a:lnTo>
                              <a:lnTo>
                                <a:pt x="6173" y="200"/>
                              </a:lnTo>
                              <a:lnTo>
                                <a:pt x="6178" y="195"/>
                              </a:lnTo>
                              <a:lnTo>
                                <a:pt x="6184" y="190"/>
                              </a:lnTo>
                              <a:lnTo>
                                <a:pt x="6190" y="186"/>
                              </a:lnTo>
                              <a:lnTo>
                                <a:pt x="6199" y="183"/>
                              </a:lnTo>
                              <a:lnTo>
                                <a:pt x="6206" y="182"/>
                              </a:lnTo>
                              <a:close/>
                              <a:moveTo>
                                <a:pt x="6356" y="261"/>
                              </a:moveTo>
                              <a:lnTo>
                                <a:pt x="6400" y="211"/>
                              </a:lnTo>
                              <a:lnTo>
                                <a:pt x="6413" y="196"/>
                              </a:lnTo>
                              <a:lnTo>
                                <a:pt x="6423" y="183"/>
                              </a:lnTo>
                              <a:lnTo>
                                <a:pt x="6431" y="172"/>
                              </a:lnTo>
                              <a:lnTo>
                                <a:pt x="6437" y="162"/>
                              </a:lnTo>
                              <a:lnTo>
                                <a:pt x="6442" y="153"/>
                              </a:lnTo>
                              <a:lnTo>
                                <a:pt x="6444" y="146"/>
                              </a:lnTo>
                              <a:lnTo>
                                <a:pt x="6446" y="137"/>
                              </a:lnTo>
                              <a:lnTo>
                                <a:pt x="6446" y="129"/>
                              </a:lnTo>
                              <a:lnTo>
                                <a:pt x="6446" y="122"/>
                              </a:lnTo>
                              <a:lnTo>
                                <a:pt x="6444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4" y="94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1"/>
                              </a:lnTo>
                              <a:lnTo>
                                <a:pt x="6400" y="69"/>
                              </a:lnTo>
                              <a:lnTo>
                                <a:pt x="6393" y="68"/>
                              </a:lnTo>
                              <a:lnTo>
                                <a:pt x="6387" y="66"/>
                              </a:lnTo>
                              <a:lnTo>
                                <a:pt x="6380" y="66"/>
                              </a:lnTo>
                              <a:lnTo>
                                <a:pt x="6371" y="66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4"/>
                              </a:lnTo>
                              <a:lnTo>
                                <a:pt x="6341" y="77"/>
                              </a:lnTo>
                              <a:lnTo>
                                <a:pt x="6335" y="82"/>
                              </a:lnTo>
                              <a:lnTo>
                                <a:pt x="6329" y="89"/>
                              </a:lnTo>
                              <a:lnTo>
                                <a:pt x="6324" y="95"/>
                              </a:lnTo>
                              <a:lnTo>
                                <a:pt x="6320" y="102"/>
                              </a:lnTo>
                              <a:lnTo>
                                <a:pt x="6317" y="110"/>
                              </a:lnTo>
                              <a:lnTo>
                                <a:pt x="6315" y="120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4"/>
                              </a:lnTo>
                              <a:lnTo>
                                <a:pt x="6340" y="116"/>
                              </a:lnTo>
                              <a:lnTo>
                                <a:pt x="6341" y="111"/>
                              </a:lnTo>
                              <a:lnTo>
                                <a:pt x="6345" y="106"/>
                              </a:lnTo>
                              <a:lnTo>
                                <a:pt x="6347" y="102"/>
                              </a:lnTo>
                              <a:lnTo>
                                <a:pt x="6351" y="99"/>
                              </a:lnTo>
                              <a:lnTo>
                                <a:pt x="6355" y="95"/>
                              </a:lnTo>
                              <a:lnTo>
                                <a:pt x="6360" y="92"/>
                              </a:lnTo>
                              <a:lnTo>
                                <a:pt x="6363" y="90"/>
                              </a:lnTo>
                              <a:lnTo>
                                <a:pt x="6370" y="89"/>
                              </a:lnTo>
                              <a:lnTo>
                                <a:pt x="6375" y="87"/>
                              </a:lnTo>
                              <a:lnTo>
                                <a:pt x="6380" y="87"/>
                              </a:lnTo>
                              <a:lnTo>
                                <a:pt x="6388" y="89"/>
                              </a:lnTo>
                              <a:lnTo>
                                <a:pt x="6397" y="91"/>
                              </a:lnTo>
                              <a:lnTo>
                                <a:pt x="6405" y="95"/>
                              </a:lnTo>
                              <a:lnTo>
                                <a:pt x="6411" y="100"/>
                              </a:lnTo>
                              <a:lnTo>
                                <a:pt x="6416" y="105"/>
                              </a:lnTo>
                              <a:lnTo>
                                <a:pt x="6420" y="112"/>
                              </a:lnTo>
                              <a:lnTo>
                                <a:pt x="6422" y="120"/>
                              </a:lnTo>
                              <a:lnTo>
                                <a:pt x="6423" y="129"/>
                              </a:lnTo>
                              <a:lnTo>
                                <a:pt x="6422" y="135"/>
                              </a:lnTo>
                              <a:lnTo>
                                <a:pt x="6421" y="141"/>
                              </a:lnTo>
                              <a:lnTo>
                                <a:pt x="6418" y="147"/>
                              </a:lnTo>
                              <a:lnTo>
                                <a:pt x="6415" y="155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3"/>
                              </a:lnTo>
                              <a:lnTo>
                                <a:pt x="6446" y="283"/>
                              </a:lnTo>
                              <a:lnTo>
                                <a:pt x="6446" y="261"/>
                              </a:lnTo>
                              <a:lnTo>
                                <a:pt x="6356" y="261"/>
                              </a:lnTo>
                              <a:close/>
                              <a:moveTo>
                                <a:pt x="6681" y="190"/>
                              </a:moveTo>
                              <a:lnTo>
                                <a:pt x="6702" y="190"/>
                              </a:lnTo>
                              <a:lnTo>
                                <a:pt x="6717" y="188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7"/>
                              </a:lnTo>
                              <a:lnTo>
                                <a:pt x="6752" y="173"/>
                              </a:lnTo>
                              <a:lnTo>
                                <a:pt x="6756" y="168"/>
                              </a:lnTo>
                              <a:lnTo>
                                <a:pt x="6760" y="165"/>
                              </a:lnTo>
                              <a:lnTo>
                                <a:pt x="6762" y="160"/>
                              </a:lnTo>
                              <a:lnTo>
                                <a:pt x="6765" y="155"/>
                              </a:lnTo>
                              <a:lnTo>
                                <a:pt x="6767" y="148"/>
                              </a:lnTo>
                              <a:lnTo>
                                <a:pt x="6768" y="142"/>
                              </a:lnTo>
                              <a:lnTo>
                                <a:pt x="6770" y="136"/>
                              </a:lnTo>
                              <a:lnTo>
                                <a:pt x="6770" y="129"/>
                              </a:lnTo>
                              <a:lnTo>
                                <a:pt x="6770" y="122"/>
                              </a:lnTo>
                              <a:lnTo>
                                <a:pt x="6768" y="116"/>
                              </a:lnTo>
                              <a:lnTo>
                                <a:pt x="6767" y="110"/>
                              </a:lnTo>
                              <a:lnTo>
                                <a:pt x="6765" y="104"/>
                              </a:lnTo>
                              <a:lnTo>
                                <a:pt x="6762" y="99"/>
                              </a:lnTo>
                              <a:lnTo>
                                <a:pt x="6758" y="92"/>
                              </a:lnTo>
                              <a:lnTo>
                                <a:pt x="6755" y="89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7"/>
                              </a:lnTo>
                              <a:lnTo>
                                <a:pt x="6735" y="75"/>
                              </a:lnTo>
                              <a:lnTo>
                                <a:pt x="6729" y="73"/>
                              </a:lnTo>
                              <a:lnTo>
                                <a:pt x="6714" y="70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3"/>
                              </a:lnTo>
                              <a:lnTo>
                                <a:pt x="6681" y="283"/>
                              </a:lnTo>
                              <a:lnTo>
                                <a:pt x="6681" y="190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1"/>
                              </a:lnTo>
                              <a:lnTo>
                                <a:pt x="6699" y="91"/>
                              </a:lnTo>
                              <a:lnTo>
                                <a:pt x="6711" y="91"/>
                              </a:lnTo>
                              <a:lnTo>
                                <a:pt x="6720" y="94"/>
                              </a:lnTo>
                              <a:lnTo>
                                <a:pt x="6729" y="96"/>
                              </a:lnTo>
                              <a:lnTo>
                                <a:pt x="6735" y="101"/>
                              </a:lnTo>
                              <a:lnTo>
                                <a:pt x="6740" y="106"/>
                              </a:lnTo>
                              <a:lnTo>
                                <a:pt x="6743" y="112"/>
                              </a:lnTo>
                              <a:lnTo>
                                <a:pt x="6746" y="121"/>
                              </a:lnTo>
                              <a:lnTo>
                                <a:pt x="6746" y="129"/>
                              </a:lnTo>
                              <a:lnTo>
                                <a:pt x="6746" y="137"/>
                              </a:lnTo>
                              <a:lnTo>
                                <a:pt x="6743" y="145"/>
                              </a:lnTo>
                              <a:lnTo>
                                <a:pt x="6740" y="152"/>
                              </a:lnTo>
                              <a:lnTo>
                                <a:pt x="6735" y="157"/>
                              </a:lnTo>
                              <a:lnTo>
                                <a:pt x="6727" y="162"/>
                              </a:lnTo>
                              <a:lnTo>
                                <a:pt x="6720" y="165"/>
                              </a:lnTo>
                              <a:lnTo>
                                <a:pt x="6711" y="167"/>
                              </a:lnTo>
                              <a:lnTo>
                                <a:pt x="6700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3"/>
                              </a:lnTo>
                              <a:lnTo>
                                <a:pt x="6817" y="283"/>
                              </a:lnTo>
                              <a:lnTo>
                                <a:pt x="6817" y="212"/>
                              </a:lnTo>
                              <a:lnTo>
                                <a:pt x="6817" y="202"/>
                              </a:lnTo>
                              <a:lnTo>
                                <a:pt x="6818" y="193"/>
                              </a:lnTo>
                              <a:lnTo>
                                <a:pt x="6819" y="186"/>
                              </a:lnTo>
                              <a:lnTo>
                                <a:pt x="6822" y="181"/>
                              </a:lnTo>
                              <a:lnTo>
                                <a:pt x="6826" y="176"/>
                              </a:lnTo>
                              <a:lnTo>
                                <a:pt x="6831" y="172"/>
                              </a:lnTo>
                              <a:lnTo>
                                <a:pt x="6837" y="170"/>
                              </a:lnTo>
                              <a:lnTo>
                                <a:pt x="6843" y="168"/>
                              </a:lnTo>
                              <a:lnTo>
                                <a:pt x="6849" y="170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50"/>
                              </a:lnTo>
                              <a:lnTo>
                                <a:pt x="6857" y="147"/>
                              </a:lnTo>
                              <a:lnTo>
                                <a:pt x="6852" y="147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6"/>
                              </a:lnTo>
                              <a:lnTo>
                                <a:pt x="6817" y="165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8"/>
                              </a:lnTo>
                              <a:lnTo>
                                <a:pt x="6978" y="163"/>
                              </a:lnTo>
                              <a:lnTo>
                                <a:pt x="6973" y="158"/>
                              </a:lnTo>
                              <a:lnTo>
                                <a:pt x="6968" y="155"/>
                              </a:lnTo>
                              <a:lnTo>
                                <a:pt x="6961" y="152"/>
                              </a:lnTo>
                              <a:lnTo>
                                <a:pt x="6955" y="150"/>
                              </a:lnTo>
                              <a:lnTo>
                                <a:pt x="6949" y="147"/>
                              </a:lnTo>
                              <a:lnTo>
                                <a:pt x="6943" y="147"/>
                              </a:lnTo>
                              <a:lnTo>
                                <a:pt x="6937" y="146"/>
                              </a:lnTo>
                              <a:lnTo>
                                <a:pt x="6929" y="147"/>
                              </a:lnTo>
                              <a:lnTo>
                                <a:pt x="6923" y="147"/>
                              </a:lnTo>
                              <a:lnTo>
                                <a:pt x="6917" y="150"/>
                              </a:lnTo>
                              <a:lnTo>
                                <a:pt x="6910" y="152"/>
                              </a:lnTo>
                              <a:lnTo>
                                <a:pt x="6905" y="155"/>
                              </a:lnTo>
                              <a:lnTo>
                                <a:pt x="6900" y="158"/>
                              </a:lnTo>
                              <a:lnTo>
                                <a:pt x="6895" y="162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2"/>
                              </a:lnTo>
                              <a:lnTo>
                                <a:pt x="6878" y="188"/>
                              </a:lnTo>
                              <a:lnTo>
                                <a:pt x="6874" y="201"/>
                              </a:lnTo>
                              <a:lnTo>
                                <a:pt x="6873" y="216"/>
                              </a:lnTo>
                              <a:lnTo>
                                <a:pt x="6873" y="223"/>
                              </a:lnTo>
                              <a:lnTo>
                                <a:pt x="6874" y="231"/>
                              </a:lnTo>
                              <a:lnTo>
                                <a:pt x="6876" y="237"/>
                              </a:lnTo>
                              <a:lnTo>
                                <a:pt x="6878" y="244"/>
                              </a:lnTo>
                              <a:lnTo>
                                <a:pt x="6881" y="251"/>
                              </a:lnTo>
                              <a:lnTo>
                                <a:pt x="6883" y="256"/>
                              </a:lnTo>
                              <a:lnTo>
                                <a:pt x="6887" y="262"/>
                              </a:lnTo>
                              <a:lnTo>
                                <a:pt x="6890" y="267"/>
                              </a:lnTo>
                              <a:lnTo>
                                <a:pt x="6895" y="271"/>
                              </a:lnTo>
                              <a:lnTo>
                                <a:pt x="6900" y="276"/>
                              </a:lnTo>
                              <a:lnTo>
                                <a:pt x="6905" y="278"/>
                              </a:lnTo>
                              <a:lnTo>
                                <a:pt x="6912" y="282"/>
                              </a:lnTo>
                              <a:lnTo>
                                <a:pt x="6917" y="283"/>
                              </a:lnTo>
                              <a:lnTo>
                                <a:pt x="6923" y="286"/>
                              </a:lnTo>
                              <a:lnTo>
                                <a:pt x="6930" y="287"/>
                              </a:lnTo>
                              <a:lnTo>
                                <a:pt x="6937" y="287"/>
                              </a:lnTo>
                              <a:lnTo>
                                <a:pt x="6944" y="287"/>
                              </a:lnTo>
                              <a:lnTo>
                                <a:pt x="6950" y="286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8"/>
                              </a:lnTo>
                              <a:lnTo>
                                <a:pt x="6973" y="274"/>
                              </a:lnTo>
                              <a:lnTo>
                                <a:pt x="6978" y="269"/>
                              </a:lnTo>
                              <a:lnTo>
                                <a:pt x="6983" y="264"/>
                              </a:lnTo>
                              <a:lnTo>
                                <a:pt x="6983" y="283"/>
                              </a:lnTo>
                              <a:lnTo>
                                <a:pt x="7005" y="283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8"/>
                              </a:lnTo>
                              <a:lnTo>
                                <a:pt x="6958" y="171"/>
                              </a:lnTo>
                              <a:lnTo>
                                <a:pt x="6965" y="175"/>
                              </a:lnTo>
                              <a:lnTo>
                                <a:pt x="6971" y="181"/>
                              </a:lnTo>
                              <a:lnTo>
                                <a:pt x="6976" y="188"/>
                              </a:lnTo>
                              <a:lnTo>
                                <a:pt x="6981" y="196"/>
                              </a:lnTo>
                              <a:lnTo>
                                <a:pt x="6984" y="206"/>
                              </a:lnTo>
                              <a:lnTo>
                                <a:pt x="6984" y="216"/>
                              </a:lnTo>
                              <a:lnTo>
                                <a:pt x="6984" y="227"/>
                              </a:lnTo>
                              <a:lnTo>
                                <a:pt x="6981" y="236"/>
                              </a:lnTo>
                              <a:lnTo>
                                <a:pt x="6976" y="244"/>
                              </a:lnTo>
                              <a:lnTo>
                                <a:pt x="6971" y="252"/>
                              </a:lnTo>
                              <a:lnTo>
                                <a:pt x="6965" y="258"/>
                              </a:lnTo>
                              <a:lnTo>
                                <a:pt x="6958" y="262"/>
                              </a:lnTo>
                              <a:lnTo>
                                <a:pt x="6949" y="264"/>
                              </a:lnTo>
                              <a:lnTo>
                                <a:pt x="6939" y="266"/>
                              </a:lnTo>
                              <a:lnTo>
                                <a:pt x="6930" y="264"/>
                              </a:lnTo>
                              <a:lnTo>
                                <a:pt x="6922" y="262"/>
                              </a:lnTo>
                              <a:lnTo>
                                <a:pt x="6914" y="258"/>
                              </a:lnTo>
                              <a:lnTo>
                                <a:pt x="6908" y="252"/>
                              </a:lnTo>
                              <a:lnTo>
                                <a:pt x="6903" y="244"/>
                              </a:lnTo>
                              <a:lnTo>
                                <a:pt x="6899" y="236"/>
                              </a:lnTo>
                              <a:lnTo>
                                <a:pt x="6897" y="226"/>
                              </a:lnTo>
                              <a:lnTo>
                                <a:pt x="6895" y="216"/>
                              </a:lnTo>
                              <a:lnTo>
                                <a:pt x="6897" y="206"/>
                              </a:lnTo>
                              <a:lnTo>
                                <a:pt x="6899" y="196"/>
                              </a:lnTo>
                              <a:lnTo>
                                <a:pt x="6903" y="188"/>
                              </a:lnTo>
                              <a:lnTo>
                                <a:pt x="6909" y="181"/>
                              </a:lnTo>
                              <a:lnTo>
                                <a:pt x="6915" y="176"/>
                              </a:lnTo>
                              <a:lnTo>
                                <a:pt x="6923" y="171"/>
                              </a:lnTo>
                              <a:lnTo>
                                <a:pt x="6930" y="168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3"/>
                              </a:lnTo>
                              <a:lnTo>
                                <a:pt x="7069" y="283"/>
                              </a:lnTo>
                              <a:lnTo>
                                <a:pt x="7069" y="216"/>
                              </a:lnTo>
                              <a:lnTo>
                                <a:pt x="7069" y="206"/>
                              </a:lnTo>
                              <a:lnTo>
                                <a:pt x="7070" y="197"/>
                              </a:lnTo>
                              <a:lnTo>
                                <a:pt x="7071" y="190"/>
                              </a:lnTo>
                              <a:lnTo>
                                <a:pt x="7074" y="183"/>
                              </a:lnTo>
                              <a:lnTo>
                                <a:pt x="7079" y="177"/>
                              </a:lnTo>
                              <a:lnTo>
                                <a:pt x="7085" y="172"/>
                              </a:lnTo>
                              <a:lnTo>
                                <a:pt x="7094" y="168"/>
                              </a:lnTo>
                              <a:lnTo>
                                <a:pt x="7102" y="167"/>
                              </a:lnTo>
                              <a:lnTo>
                                <a:pt x="7110" y="168"/>
                              </a:lnTo>
                              <a:lnTo>
                                <a:pt x="7115" y="170"/>
                              </a:lnTo>
                              <a:lnTo>
                                <a:pt x="7120" y="172"/>
                              </a:lnTo>
                              <a:lnTo>
                                <a:pt x="7123" y="176"/>
                              </a:lnTo>
                              <a:lnTo>
                                <a:pt x="7126" y="181"/>
                              </a:lnTo>
                              <a:lnTo>
                                <a:pt x="7128" y="186"/>
                              </a:lnTo>
                              <a:lnTo>
                                <a:pt x="7130" y="193"/>
                              </a:lnTo>
                              <a:lnTo>
                                <a:pt x="7130" y="202"/>
                              </a:lnTo>
                              <a:lnTo>
                                <a:pt x="7130" y="283"/>
                              </a:lnTo>
                              <a:lnTo>
                                <a:pt x="7153" y="283"/>
                              </a:lnTo>
                              <a:lnTo>
                                <a:pt x="7153" y="201"/>
                              </a:lnTo>
                              <a:lnTo>
                                <a:pt x="7152" y="188"/>
                              </a:lnTo>
                              <a:lnTo>
                                <a:pt x="7151" y="180"/>
                              </a:lnTo>
                              <a:lnTo>
                                <a:pt x="7148" y="172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3" y="155"/>
                              </a:lnTo>
                              <a:lnTo>
                                <a:pt x="7130" y="152"/>
                              </a:lnTo>
                              <a:lnTo>
                                <a:pt x="7125" y="150"/>
                              </a:lnTo>
                              <a:lnTo>
                                <a:pt x="7118" y="148"/>
                              </a:lnTo>
                              <a:lnTo>
                                <a:pt x="7113" y="147"/>
                              </a:lnTo>
                              <a:lnTo>
                                <a:pt x="7107" y="147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7"/>
                              </a:lnTo>
                              <a:lnTo>
                                <a:pt x="7069" y="166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8"/>
                              </a:lnTo>
                              <a:lnTo>
                                <a:pt x="7290" y="163"/>
                              </a:lnTo>
                              <a:lnTo>
                                <a:pt x="7284" y="158"/>
                              </a:lnTo>
                              <a:lnTo>
                                <a:pt x="7279" y="155"/>
                              </a:lnTo>
                              <a:lnTo>
                                <a:pt x="7274" y="152"/>
                              </a:lnTo>
                              <a:lnTo>
                                <a:pt x="7268" y="150"/>
                              </a:lnTo>
                              <a:lnTo>
                                <a:pt x="7262" y="147"/>
                              </a:lnTo>
                              <a:lnTo>
                                <a:pt x="7256" y="147"/>
                              </a:lnTo>
                              <a:lnTo>
                                <a:pt x="7248" y="146"/>
                              </a:lnTo>
                              <a:lnTo>
                                <a:pt x="7242" y="147"/>
                              </a:lnTo>
                              <a:lnTo>
                                <a:pt x="7236" y="147"/>
                              </a:lnTo>
                              <a:lnTo>
                                <a:pt x="7229" y="150"/>
                              </a:lnTo>
                              <a:lnTo>
                                <a:pt x="7223" y="152"/>
                              </a:lnTo>
                              <a:lnTo>
                                <a:pt x="7217" y="155"/>
                              </a:lnTo>
                              <a:lnTo>
                                <a:pt x="7212" y="158"/>
                              </a:lnTo>
                              <a:lnTo>
                                <a:pt x="7207" y="162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2"/>
                              </a:lnTo>
                              <a:lnTo>
                                <a:pt x="7189" y="188"/>
                              </a:lnTo>
                              <a:lnTo>
                                <a:pt x="7186" y="201"/>
                              </a:lnTo>
                              <a:lnTo>
                                <a:pt x="7185" y="216"/>
                              </a:lnTo>
                              <a:lnTo>
                                <a:pt x="7186" y="223"/>
                              </a:lnTo>
                              <a:lnTo>
                                <a:pt x="7186" y="231"/>
                              </a:lnTo>
                              <a:lnTo>
                                <a:pt x="7187" y="237"/>
                              </a:lnTo>
                              <a:lnTo>
                                <a:pt x="7189" y="244"/>
                              </a:lnTo>
                              <a:lnTo>
                                <a:pt x="7192" y="251"/>
                              </a:lnTo>
                              <a:lnTo>
                                <a:pt x="7196" y="256"/>
                              </a:lnTo>
                              <a:lnTo>
                                <a:pt x="7199" y="262"/>
                              </a:lnTo>
                              <a:lnTo>
                                <a:pt x="7203" y="267"/>
                              </a:lnTo>
                              <a:lnTo>
                                <a:pt x="7207" y="271"/>
                              </a:lnTo>
                              <a:lnTo>
                                <a:pt x="7212" y="276"/>
                              </a:lnTo>
                              <a:lnTo>
                                <a:pt x="7218" y="278"/>
                              </a:lnTo>
                              <a:lnTo>
                                <a:pt x="7223" y="282"/>
                              </a:lnTo>
                              <a:lnTo>
                                <a:pt x="7229" y="283"/>
                              </a:lnTo>
                              <a:lnTo>
                                <a:pt x="7236" y="286"/>
                              </a:lnTo>
                              <a:lnTo>
                                <a:pt x="7242" y="287"/>
                              </a:lnTo>
                              <a:lnTo>
                                <a:pt x="7249" y="287"/>
                              </a:lnTo>
                              <a:lnTo>
                                <a:pt x="7256" y="287"/>
                              </a:lnTo>
                              <a:lnTo>
                                <a:pt x="7262" y="286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8"/>
                              </a:lnTo>
                              <a:lnTo>
                                <a:pt x="7285" y="274"/>
                              </a:lnTo>
                              <a:lnTo>
                                <a:pt x="7290" y="269"/>
                              </a:lnTo>
                              <a:lnTo>
                                <a:pt x="7295" y="264"/>
                              </a:lnTo>
                              <a:lnTo>
                                <a:pt x="7295" y="283"/>
                              </a:lnTo>
                              <a:lnTo>
                                <a:pt x="7318" y="283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8"/>
                              </a:lnTo>
                              <a:lnTo>
                                <a:pt x="7270" y="171"/>
                              </a:lnTo>
                              <a:lnTo>
                                <a:pt x="7278" y="175"/>
                              </a:lnTo>
                              <a:lnTo>
                                <a:pt x="7284" y="181"/>
                              </a:lnTo>
                              <a:lnTo>
                                <a:pt x="7289" y="188"/>
                              </a:lnTo>
                              <a:lnTo>
                                <a:pt x="7293" y="196"/>
                              </a:lnTo>
                              <a:lnTo>
                                <a:pt x="7295" y="206"/>
                              </a:lnTo>
                              <a:lnTo>
                                <a:pt x="7297" y="216"/>
                              </a:lnTo>
                              <a:lnTo>
                                <a:pt x="7295" y="227"/>
                              </a:lnTo>
                              <a:lnTo>
                                <a:pt x="7293" y="236"/>
                              </a:lnTo>
                              <a:lnTo>
                                <a:pt x="7289" y="244"/>
                              </a:lnTo>
                              <a:lnTo>
                                <a:pt x="7284" y="252"/>
                              </a:lnTo>
                              <a:lnTo>
                                <a:pt x="7278" y="258"/>
                              </a:lnTo>
                              <a:lnTo>
                                <a:pt x="7270" y="262"/>
                              </a:lnTo>
                              <a:lnTo>
                                <a:pt x="7262" y="264"/>
                              </a:lnTo>
                              <a:lnTo>
                                <a:pt x="7252" y="266"/>
                              </a:lnTo>
                              <a:lnTo>
                                <a:pt x="7243" y="264"/>
                              </a:lnTo>
                              <a:lnTo>
                                <a:pt x="7234" y="262"/>
                              </a:lnTo>
                              <a:lnTo>
                                <a:pt x="7227" y="258"/>
                              </a:lnTo>
                              <a:lnTo>
                                <a:pt x="7221" y="252"/>
                              </a:lnTo>
                              <a:lnTo>
                                <a:pt x="7216" y="244"/>
                              </a:lnTo>
                              <a:lnTo>
                                <a:pt x="7212" y="236"/>
                              </a:lnTo>
                              <a:lnTo>
                                <a:pt x="7209" y="226"/>
                              </a:lnTo>
                              <a:lnTo>
                                <a:pt x="7208" y="216"/>
                              </a:lnTo>
                              <a:lnTo>
                                <a:pt x="7209" y="206"/>
                              </a:lnTo>
                              <a:lnTo>
                                <a:pt x="7212" y="196"/>
                              </a:lnTo>
                              <a:lnTo>
                                <a:pt x="7216" y="188"/>
                              </a:lnTo>
                              <a:lnTo>
                                <a:pt x="7221" y="181"/>
                              </a:lnTo>
                              <a:lnTo>
                                <a:pt x="7227" y="176"/>
                              </a:lnTo>
                              <a:lnTo>
                                <a:pt x="7234" y="171"/>
                              </a:lnTo>
                              <a:lnTo>
                                <a:pt x="7243" y="168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1"/>
                              </a:moveTo>
                              <a:lnTo>
                                <a:pt x="7501" y="283"/>
                              </a:lnTo>
                              <a:lnTo>
                                <a:pt x="7525" y="283"/>
                              </a:lnTo>
                              <a:lnTo>
                                <a:pt x="7525" y="69"/>
                              </a:lnTo>
                              <a:lnTo>
                                <a:pt x="7477" y="69"/>
                              </a:lnTo>
                              <a:lnTo>
                                <a:pt x="7465" y="91"/>
                              </a:lnTo>
                              <a:lnTo>
                                <a:pt x="7501" y="91"/>
                              </a:lnTo>
                              <a:close/>
                              <a:moveTo>
                                <a:pt x="7684" y="66"/>
                              </a:moveTo>
                              <a:lnTo>
                                <a:pt x="7677" y="66"/>
                              </a:lnTo>
                              <a:lnTo>
                                <a:pt x="7668" y="68"/>
                              </a:lnTo>
                              <a:lnTo>
                                <a:pt x="7660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7"/>
                              </a:lnTo>
                              <a:lnTo>
                                <a:pt x="7624" y="105"/>
                              </a:lnTo>
                              <a:lnTo>
                                <a:pt x="7621" y="114"/>
                              </a:lnTo>
                              <a:lnTo>
                                <a:pt x="7617" y="122"/>
                              </a:lnTo>
                              <a:lnTo>
                                <a:pt x="7613" y="132"/>
                              </a:lnTo>
                              <a:lnTo>
                                <a:pt x="7611" y="142"/>
                              </a:lnTo>
                              <a:lnTo>
                                <a:pt x="7609" y="152"/>
                              </a:lnTo>
                              <a:lnTo>
                                <a:pt x="7608" y="163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8" y="197"/>
                              </a:lnTo>
                              <a:lnTo>
                                <a:pt x="7611" y="207"/>
                              </a:lnTo>
                              <a:lnTo>
                                <a:pt x="7612" y="217"/>
                              </a:lnTo>
                              <a:lnTo>
                                <a:pt x="7616" y="227"/>
                              </a:lnTo>
                              <a:lnTo>
                                <a:pt x="7619" y="236"/>
                              </a:lnTo>
                              <a:lnTo>
                                <a:pt x="7623" y="244"/>
                              </a:lnTo>
                              <a:lnTo>
                                <a:pt x="7628" y="252"/>
                              </a:lnTo>
                              <a:lnTo>
                                <a:pt x="7633" y="259"/>
                              </a:lnTo>
                              <a:lnTo>
                                <a:pt x="7639" y="267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4"/>
                              </a:lnTo>
                              <a:lnTo>
                                <a:pt x="7677" y="286"/>
                              </a:lnTo>
                              <a:lnTo>
                                <a:pt x="7684" y="287"/>
                              </a:lnTo>
                              <a:lnTo>
                                <a:pt x="7692" y="286"/>
                              </a:lnTo>
                              <a:lnTo>
                                <a:pt x="7699" y="284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3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6"/>
                              </a:lnTo>
                              <a:lnTo>
                                <a:pt x="7748" y="237"/>
                              </a:lnTo>
                              <a:lnTo>
                                <a:pt x="7751" y="228"/>
                              </a:lnTo>
                              <a:lnTo>
                                <a:pt x="7755" y="218"/>
                              </a:lnTo>
                              <a:lnTo>
                                <a:pt x="7758" y="208"/>
                              </a:lnTo>
                              <a:lnTo>
                                <a:pt x="7759" y="197"/>
                              </a:lnTo>
                              <a:lnTo>
                                <a:pt x="7760" y="187"/>
                              </a:lnTo>
                              <a:lnTo>
                                <a:pt x="7760" y="176"/>
                              </a:lnTo>
                              <a:lnTo>
                                <a:pt x="7760" y="163"/>
                              </a:lnTo>
                              <a:lnTo>
                                <a:pt x="7759" y="152"/>
                              </a:lnTo>
                              <a:lnTo>
                                <a:pt x="7756" y="142"/>
                              </a:lnTo>
                              <a:lnTo>
                                <a:pt x="7754" y="132"/>
                              </a:lnTo>
                              <a:lnTo>
                                <a:pt x="7751" y="122"/>
                              </a:lnTo>
                              <a:lnTo>
                                <a:pt x="7748" y="114"/>
                              </a:lnTo>
                              <a:lnTo>
                                <a:pt x="7743" y="105"/>
                              </a:lnTo>
                              <a:lnTo>
                                <a:pt x="7739" y="97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9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6"/>
                              </a:lnTo>
                              <a:lnTo>
                                <a:pt x="7684" y="66"/>
                              </a:lnTo>
                              <a:close/>
                              <a:moveTo>
                                <a:pt x="7684" y="87"/>
                              </a:moveTo>
                              <a:lnTo>
                                <a:pt x="7689" y="87"/>
                              </a:lnTo>
                              <a:lnTo>
                                <a:pt x="7694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7"/>
                              </a:lnTo>
                              <a:lnTo>
                                <a:pt x="7714" y="102"/>
                              </a:lnTo>
                              <a:lnTo>
                                <a:pt x="7718" y="107"/>
                              </a:lnTo>
                              <a:lnTo>
                                <a:pt x="7721" y="112"/>
                              </a:lnTo>
                              <a:lnTo>
                                <a:pt x="7728" y="126"/>
                              </a:lnTo>
                              <a:lnTo>
                                <a:pt x="7733" y="141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3"/>
                              </a:lnTo>
                              <a:lnTo>
                                <a:pt x="7733" y="211"/>
                              </a:lnTo>
                              <a:lnTo>
                                <a:pt x="7728" y="226"/>
                              </a:lnTo>
                              <a:lnTo>
                                <a:pt x="7721" y="238"/>
                              </a:lnTo>
                              <a:lnTo>
                                <a:pt x="7718" y="244"/>
                              </a:lnTo>
                              <a:lnTo>
                                <a:pt x="7714" y="249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1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4"/>
                              </a:lnTo>
                              <a:lnTo>
                                <a:pt x="7678" y="264"/>
                              </a:lnTo>
                              <a:lnTo>
                                <a:pt x="7673" y="262"/>
                              </a:lnTo>
                              <a:lnTo>
                                <a:pt x="7668" y="261"/>
                              </a:lnTo>
                              <a:lnTo>
                                <a:pt x="7663" y="258"/>
                              </a:lnTo>
                              <a:lnTo>
                                <a:pt x="7658" y="254"/>
                              </a:lnTo>
                              <a:lnTo>
                                <a:pt x="7653" y="249"/>
                              </a:lnTo>
                              <a:lnTo>
                                <a:pt x="7649" y="244"/>
                              </a:lnTo>
                              <a:lnTo>
                                <a:pt x="7645" y="239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3"/>
                              </a:lnTo>
                              <a:lnTo>
                                <a:pt x="7631" y="176"/>
                              </a:lnTo>
                              <a:lnTo>
                                <a:pt x="7632" y="157"/>
                              </a:lnTo>
                              <a:lnTo>
                                <a:pt x="7634" y="141"/>
                              </a:lnTo>
                              <a:lnTo>
                                <a:pt x="7639" y="126"/>
                              </a:lnTo>
                              <a:lnTo>
                                <a:pt x="7645" y="112"/>
                              </a:lnTo>
                              <a:lnTo>
                                <a:pt x="7649" y="107"/>
                              </a:lnTo>
                              <a:lnTo>
                                <a:pt x="7654" y="102"/>
                              </a:lnTo>
                              <a:lnTo>
                                <a:pt x="7658" y="97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7"/>
                              </a:lnTo>
                              <a:lnTo>
                                <a:pt x="768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45D3155" id="Group 6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">
              <v:rect id="Rectangle 7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8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9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shape id="Freeform 10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" fillcolor="#0071bc" stroked="f"/>
              <v:shape id="Freeform 14" o:spid="_x0000_s1034" style="position:absolute;left:2178;top:2129;width:195;height:186;visibility:visible;mso-wrap-style:square;v-text-anchor:top" coordsize="391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" path="m197,116l156,236r81,l197,116xm128,309r-24,65l,374,143,,251,,391,374r-104,l263,309r-135,xe" stroked="f">
                <v:path arrowok="t" o:connecttype="custom" o:connectlocs="98,58;78,117;118,117;98,58;64,154;52,186;0,186;71,0;125,0;195,186;143,186;131,154;64,154" o:connectangles="0,0,0,0,0,0,0,0,0,0,0,0,0"/>
                <o:lock v:ext="edit" verticies="t"/>
              </v:shape>
              <v:shape id="Freeform 15" o:spid="_x0000_s1035" style="position:absolute;left:2394;top:2129;width:187;height:186;visibility:visible;mso-wrap-style:square;v-text-anchor:top" coordsize="37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" path="m,l97,,276,229,276,r97,l373,374r-97,l97,146r,228l,374,,xe" stroked="f">
                <v:path arrowok="t" o:connecttype="custom" o:connectlocs="0,0;49,0;138,114;138,0;187,0;187,186;138,186;49,73;49,186;0,186;0,0" o:connectangles="0,0,0,0,0,0,0,0,0,0,0"/>
              </v:shape>
              <v:shape id="Freeform 16" o:spid="_x0000_s1036" style="position:absolute;left:2603;top:2129;width:195;height:186;visibility:visible;mso-wrap-style:square;v-text-anchor:top" coordsize="3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" path="m196,116l155,236r81,l196,116xm128,309r-26,65l,374,143,,249,,390,374r-103,l263,309r-135,xe" stroked="f">
                <v:path arrowok="t" o:connecttype="custom" o:connectlocs="98,58;78,117;118,117;98,58;64,154;51,186;0,186;72,0;125,0;195,186;144,186;132,154;64,154" o:connectangles="0,0,0,0,0,0,0,0,0,0,0,0,0"/>
                <o:lock v:ext="edit" verticies="t"/>
              </v:shape>
              <v:shape id="Freeform 17" o:spid="_x0000_s1037" style="position:absolute;left:2820;top:2129;width:106;height:186;visibility:visible;mso-wrap-style:square;v-text-anchor:top" coordsize="21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" path="m97,292r116,l213,374,,374,,,97,r,292xe" stroked="f">
                <v:path arrowok="t" o:connecttype="custom" o:connectlocs="48,145;106,145;106,186;0,186;0,0;48,0;48,145" o:connectangles="0,0,0,0,0,0,0"/>
              </v:shape>
              <v:shape id="Freeform 18" o:spid="_x0000_s1038" style="position:absolute;left:2909;top:2068;width:187;height:247;visibility:visible;mso-wrap-style:square;v-text-anchor:top" coordsize="37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" path="m188,102l154,69,234,r47,43l188,102xm,121r117,l187,223,255,121r119,l233,316r,179l136,495r,-179l,121xe" stroked="f">
                <v:path arrowok="t" o:connecttype="custom" o:connectlocs="94,51;77,34;117,0;141,21;94,51;0,60;59,60;94,111;128,60;187,60;117,158;117,247;68,247;68,158;0,60" o:connectangles="0,0,0,0,0,0,0,0,0,0,0,0,0,0,0"/>
                <o:lock v:ext="edit" verticies="t"/>
              </v:shape>
              <v:shape id="Freeform 19" o:spid="_x0000_s1039" style="position:absolute;left:3099;top:2129;width:170;height:186;visibility:visible;mso-wrap-style:square;v-text-anchor:top" coordsize="34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" path="m320,292r,82l,374,177,82,30,82,30,,340,,163,292r157,xe" stroked="f">
                <v:path arrowok="t" o:connecttype="custom" o:connectlocs="160,145;160,186;0,186;89,41;15,41;15,0;170,0;82,145;160,145" o:connectangles="0,0,0,0,0,0,0,0,0"/>
              </v:shape>
              <v:shape id="Freeform 20" o:spid="_x0000_s1040" style="position:absolute;left:3278;top:2129;width:195;height:186;visibility:visible;mso-wrap-style:square;v-text-anchor:top" coordsize="39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" path="m197,116l156,236r81,l197,116xm129,309r-27,65l,374,144,,251,,392,374r-105,l263,309r-134,xe" stroked="f">
                <v:path arrowok="t" o:connecttype="custom" o:connectlocs="98,58;78,117;118,117;98,58;64,154;51,186;0,186;72,0;125,0;195,186;143,186;131,154;64,154" o:connectangles="0,0,0,0,0,0,0,0,0,0,0,0,0"/>
                <o:lock v:ext="edit" verticies="t"/>
              </v:shape>
              <v:shape id="Freeform 21" o:spid="_x0000_s1041" style="position:absolute;left:6643;top:1371;width:3880;height:179;visibility:visible;mso-wrap-style:square;v-text-anchor:top" coordsize="776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xm1197,171r24,l1221,150r-24,l1197,101r-23,l1174,150r-15,l1159,171r15,l1174,283r23,l1197,171xm1264,150r-22,l1242,283r22,l1264,150xm1253,82r-6,3l1242,87r-4,5l1237,99r1,3l1238,106r1,3l1242,111r2,1l1247,115r3,l1253,116r6,-1l1265,111r3,-5l1269,100r-1,-8l1265,87r-6,-2l1253,82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    <v:path arrowok="t" o:connecttype="custom" o:connectlocs="76,139;55,44;102,94;164,111;202,114;191,96;444,78;412,134;463,86;531,144;528,84;688,83;648,127;710,75;784,81;783,109;1022,75;1068,41;1160,74;1181,88;1233,78;1271,98;1633,82;1633,135;1729,141;1719,179;1817,73;1824,84;1893,74;1906,84;1995,76;2001,122;2043,74;2047,144;2097,78;2135,98;2180,142;2220,142;2247,94;2352,91;2434,93;2486,46;2443,70;2460,91;2857,126;2891,45;2880,45;3004,123;2987,127;3080,134;3076,51;3103,91;3223,61;3212,65;3341,95;3409,75;3479,142;3523,142;3640,78;3648,142;3751,46;3876,114;3850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39"/>
    <w:rsid w:val="0000044B"/>
    <w:rsid w:val="00001C9A"/>
    <w:rsid w:val="00002857"/>
    <w:rsid w:val="00002DDA"/>
    <w:rsid w:val="0000403F"/>
    <w:rsid w:val="00006A93"/>
    <w:rsid w:val="00012BC2"/>
    <w:rsid w:val="00013757"/>
    <w:rsid w:val="00014904"/>
    <w:rsid w:val="0001683E"/>
    <w:rsid w:val="00016AA5"/>
    <w:rsid w:val="00016F9F"/>
    <w:rsid w:val="000171C5"/>
    <w:rsid w:val="000171CD"/>
    <w:rsid w:val="000207B9"/>
    <w:rsid w:val="00020D9A"/>
    <w:rsid w:val="0002212C"/>
    <w:rsid w:val="00026950"/>
    <w:rsid w:val="00026DC4"/>
    <w:rsid w:val="000302A6"/>
    <w:rsid w:val="00031A2E"/>
    <w:rsid w:val="00035A2B"/>
    <w:rsid w:val="00036709"/>
    <w:rsid w:val="000370D3"/>
    <w:rsid w:val="000408A4"/>
    <w:rsid w:val="00040CEA"/>
    <w:rsid w:val="00041D8C"/>
    <w:rsid w:val="00042640"/>
    <w:rsid w:val="00043BF4"/>
    <w:rsid w:val="00045A7A"/>
    <w:rsid w:val="00047A6C"/>
    <w:rsid w:val="000507CF"/>
    <w:rsid w:val="00055EBE"/>
    <w:rsid w:val="00060DD8"/>
    <w:rsid w:val="00061682"/>
    <w:rsid w:val="000633FC"/>
    <w:rsid w:val="000657C6"/>
    <w:rsid w:val="00066E38"/>
    <w:rsid w:val="00067394"/>
    <w:rsid w:val="0007031E"/>
    <w:rsid w:val="0007050D"/>
    <w:rsid w:val="00070DF8"/>
    <w:rsid w:val="00073558"/>
    <w:rsid w:val="00073A99"/>
    <w:rsid w:val="00074BF6"/>
    <w:rsid w:val="0007692E"/>
    <w:rsid w:val="000771E3"/>
    <w:rsid w:val="00082045"/>
    <w:rsid w:val="00082547"/>
    <w:rsid w:val="00082749"/>
    <w:rsid w:val="000843A5"/>
    <w:rsid w:val="0008507E"/>
    <w:rsid w:val="0008521C"/>
    <w:rsid w:val="00087487"/>
    <w:rsid w:val="00087A80"/>
    <w:rsid w:val="00090B9E"/>
    <w:rsid w:val="00092C15"/>
    <w:rsid w:val="0009303F"/>
    <w:rsid w:val="00093BCB"/>
    <w:rsid w:val="000A3200"/>
    <w:rsid w:val="000A5AAC"/>
    <w:rsid w:val="000B090E"/>
    <w:rsid w:val="000B3CB8"/>
    <w:rsid w:val="000B470E"/>
    <w:rsid w:val="000B5125"/>
    <w:rsid w:val="000B544B"/>
    <w:rsid w:val="000B5EAC"/>
    <w:rsid w:val="000B6F63"/>
    <w:rsid w:val="000B7488"/>
    <w:rsid w:val="000B7652"/>
    <w:rsid w:val="000C07E9"/>
    <w:rsid w:val="000C2CA9"/>
    <w:rsid w:val="000C6700"/>
    <w:rsid w:val="000D19F9"/>
    <w:rsid w:val="000D267F"/>
    <w:rsid w:val="000D3E4F"/>
    <w:rsid w:val="000F11C8"/>
    <w:rsid w:val="000F53DF"/>
    <w:rsid w:val="000F5B28"/>
    <w:rsid w:val="000F6917"/>
    <w:rsid w:val="000F6E26"/>
    <w:rsid w:val="000F6F36"/>
    <w:rsid w:val="000F7753"/>
    <w:rsid w:val="000F7F50"/>
    <w:rsid w:val="00101622"/>
    <w:rsid w:val="00101C34"/>
    <w:rsid w:val="00102EAC"/>
    <w:rsid w:val="00104388"/>
    <w:rsid w:val="00106C6F"/>
    <w:rsid w:val="00107529"/>
    <w:rsid w:val="0010766F"/>
    <w:rsid w:val="0010796E"/>
    <w:rsid w:val="001171CC"/>
    <w:rsid w:val="00117984"/>
    <w:rsid w:val="00120DF6"/>
    <w:rsid w:val="00121123"/>
    <w:rsid w:val="00121D14"/>
    <w:rsid w:val="0012377A"/>
    <w:rsid w:val="00123848"/>
    <w:rsid w:val="00123E91"/>
    <w:rsid w:val="00125D2F"/>
    <w:rsid w:val="00127216"/>
    <w:rsid w:val="0012777D"/>
    <w:rsid w:val="00130931"/>
    <w:rsid w:val="00131E21"/>
    <w:rsid w:val="00133417"/>
    <w:rsid w:val="00135967"/>
    <w:rsid w:val="00137535"/>
    <w:rsid w:val="001404AB"/>
    <w:rsid w:val="00142A45"/>
    <w:rsid w:val="0014432B"/>
    <w:rsid w:val="001453D8"/>
    <w:rsid w:val="00145FEE"/>
    <w:rsid w:val="00146931"/>
    <w:rsid w:val="001578BA"/>
    <w:rsid w:val="00161FAB"/>
    <w:rsid w:val="00165362"/>
    <w:rsid w:val="001658A9"/>
    <w:rsid w:val="0016606A"/>
    <w:rsid w:val="00170938"/>
    <w:rsid w:val="00170C0F"/>
    <w:rsid w:val="00171121"/>
    <w:rsid w:val="0017143B"/>
    <w:rsid w:val="0017145A"/>
    <w:rsid w:val="0017231D"/>
    <w:rsid w:val="00174391"/>
    <w:rsid w:val="00174EEE"/>
    <w:rsid w:val="00175ABA"/>
    <w:rsid w:val="00176CFE"/>
    <w:rsid w:val="0017753D"/>
    <w:rsid w:val="0017763E"/>
    <w:rsid w:val="001810DC"/>
    <w:rsid w:val="00182418"/>
    <w:rsid w:val="00183259"/>
    <w:rsid w:val="00185D0B"/>
    <w:rsid w:val="00186D8E"/>
    <w:rsid w:val="001876AB"/>
    <w:rsid w:val="001903B8"/>
    <w:rsid w:val="00191EB3"/>
    <w:rsid w:val="00197A07"/>
    <w:rsid w:val="001A1D88"/>
    <w:rsid w:val="001A3851"/>
    <w:rsid w:val="001A5270"/>
    <w:rsid w:val="001A532E"/>
    <w:rsid w:val="001A5571"/>
    <w:rsid w:val="001A5758"/>
    <w:rsid w:val="001A59BF"/>
    <w:rsid w:val="001A6821"/>
    <w:rsid w:val="001B1CC6"/>
    <w:rsid w:val="001B5506"/>
    <w:rsid w:val="001B579F"/>
    <w:rsid w:val="001B5D69"/>
    <w:rsid w:val="001B607F"/>
    <w:rsid w:val="001C0063"/>
    <w:rsid w:val="001C1F2F"/>
    <w:rsid w:val="001C21F4"/>
    <w:rsid w:val="001C3B2C"/>
    <w:rsid w:val="001C4AB9"/>
    <w:rsid w:val="001C5644"/>
    <w:rsid w:val="001C6AAC"/>
    <w:rsid w:val="001C7758"/>
    <w:rsid w:val="001C7FEF"/>
    <w:rsid w:val="001D02CC"/>
    <w:rsid w:val="001D11FD"/>
    <w:rsid w:val="001D1530"/>
    <w:rsid w:val="001D2496"/>
    <w:rsid w:val="001D369A"/>
    <w:rsid w:val="001D5F9E"/>
    <w:rsid w:val="001D5FDB"/>
    <w:rsid w:val="001D7172"/>
    <w:rsid w:val="001D7686"/>
    <w:rsid w:val="001E11DD"/>
    <w:rsid w:val="001E249C"/>
    <w:rsid w:val="001E4EFB"/>
    <w:rsid w:val="001F1D88"/>
    <w:rsid w:val="001F691A"/>
    <w:rsid w:val="001F6C45"/>
    <w:rsid w:val="002002A3"/>
    <w:rsid w:val="00203B05"/>
    <w:rsid w:val="00203B48"/>
    <w:rsid w:val="00203B5E"/>
    <w:rsid w:val="002070FB"/>
    <w:rsid w:val="00210B17"/>
    <w:rsid w:val="00210E73"/>
    <w:rsid w:val="00212AE2"/>
    <w:rsid w:val="00213729"/>
    <w:rsid w:val="00213ECF"/>
    <w:rsid w:val="00214968"/>
    <w:rsid w:val="00216AF2"/>
    <w:rsid w:val="00222071"/>
    <w:rsid w:val="0022219E"/>
    <w:rsid w:val="00222B76"/>
    <w:rsid w:val="00223B39"/>
    <w:rsid w:val="00225A5C"/>
    <w:rsid w:val="0022766F"/>
    <w:rsid w:val="00227AD7"/>
    <w:rsid w:val="0023054D"/>
    <w:rsid w:val="00233086"/>
    <w:rsid w:val="0023363B"/>
    <w:rsid w:val="002338CE"/>
    <w:rsid w:val="00234585"/>
    <w:rsid w:val="00236EE0"/>
    <w:rsid w:val="002406FA"/>
    <w:rsid w:val="002461C3"/>
    <w:rsid w:val="002464F8"/>
    <w:rsid w:val="00246793"/>
    <w:rsid w:val="00246917"/>
    <w:rsid w:val="002472F5"/>
    <w:rsid w:val="00247354"/>
    <w:rsid w:val="00247E8D"/>
    <w:rsid w:val="00251388"/>
    <w:rsid w:val="00254D66"/>
    <w:rsid w:val="0026186F"/>
    <w:rsid w:val="002630D4"/>
    <w:rsid w:val="00263486"/>
    <w:rsid w:val="002636CE"/>
    <w:rsid w:val="00265A44"/>
    <w:rsid w:val="00270064"/>
    <w:rsid w:val="00270CE3"/>
    <w:rsid w:val="002733A3"/>
    <w:rsid w:val="00273EA6"/>
    <w:rsid w:val="00274A90"/>
    <w:rsid w:val="002805A9"/>
    <w:rsid w:val="0028179A"/>
    <w:rsid w:val="00285689"/>
    <w:rsid w:val="0028701D"/>
    <w:rsid w:val="0029071A"/>
    <w:rsid w:val="00293514"/>
    <w:rsid w:val="002956A8"/>
    <w:rsid w:val="0029746B"/>
    <w:rsid w:val="002A27D9"/>
    <w:rsid w:val="002A2E87"/>
    <w:rsid w:val="002A3A03"/>
    <w:rsid w:val="002A6710"/>
    <w:rsid w:val="002B2E47"/>
    <w:rsid w:val="002B56A8"/>
    <w:rsid w:val="002B5926"/>
    <w:rsid w:val="002B5CC3"/>
    <w:rsid w:val="002B6288"/>
    <w:rsid w:val="002B67E8"/>
    <w:rsid w:val="002C2BAC"/>
    <w:rsid w:val="002C363D"/>
    <w:rsid w:val="002C4EAA"/>
    <w:rsid w:val="002C666C"/>
    <w:rsid w:val="002D4DB4"/>
    <w:rsid w:val="002D6A6C"/>
    <w:rsid w:val="002D6AA2"/>
    <w:rsid w:val="002E4CA7"/>
    <w:rsid w:val="002E5E99"/>
    <w:rsid w:val="002E6E86"/>
    <w:rsid w:val="002E6F00"/>
    <w:rsid w:val="002F0636"/>
    <w:rsid w:val="002F0CAA"/>
    <w:rsid w:val="002F19E2"/>
    <w:rsid w:val="002F510A"/>
    <w:rsid w:val="003047BF"/>
    <w:rsid w:val="003057B2"/>
    <w:rsid w:val="00306DD9"/>
    <w:rsid w:val="00311A7C"/>
    <w:rsid w:val="00312162"/>
    <w:rsid w:val="00312165"/>
    <w:rsid w:val="003175B7"/>
    <w:rsid w:val="0032007F"/>
    <w:rsid w:val="00321E61"/>
    <w:rsid w:val="0032347E"/>
    <w:rsid w:val="003248C3"/>
    <w:rsid w:val="0032577C"/>
    <w:rsid w:val="0032589E"/>
    <w:rsid w:val="00327644"/>
    <w:rsid w:val="003276BE"/>
    <w:rsid w:val="003301A3"/>
    <w:rsid w:val="00335604"/>
    <w:rsid w:val="00336825"/>
    <w:rsid w:val="00337C71"/>
    <w:rsid w:val="00340993"/>
    <w:rsid w:val="00340A26"/>
    <w:rsid w:val="00341577"/>
    <w:rsid w:val="00342F7F"/>
    <w:rsid w:val="003460CB"/>
    <w:rsid w:val="00346D76"/>
    <w:rsid w:val="00354A44"/>
    <w:rsid w:val="00355C29"/>
    <w:rsid w:val="00357702"/>
    <w:rsid w:val="00361733"/>
    <w:rsid w:val="0036199B"/>
    <w:rsid w:val="003634AF"/>
    <w:rsid w:val="0036370A"/>
    <w:rsid w:val="00366A08"/>
    <w:rsid w:val="0036777B"/>
    <w:rsid w:val="00371845"/>
    <w:rsid w:val="0037363B"/>
    <w:rsid w:val="0037459C"/>
    <w:rsid w:val="00374EF6"/>
    <w:rsid w:val="003757F0"/>
    <w:rsid w:val="00376CF4"/>
    <w:rsid w:val="00377ED2"/>
    <w:rsid w:val="0038007D"/>
    <w:rsid w:val="00380823"/>
    <w:rsid w:val="0038282A"/>
    <w:rsid w:val="00385470"/>
    <w:rsid w:val="00391917"/>
    <w:rsid w:val="00391D8D"/>
    <w:rsid w:val="00391E86"/>
    <w:rsid w:val="00393900"/>
    <w:rsid w:val="00393979"/>
    <w:rsid w:val="003955AF"/>
    <w:rsid w:val="00395DCC"/>
    <w:rsid w:val="00397580"/>
    <w:rsid w:val="003A1794"/>
    <w:rsid w:val="003A34B3"/>
    <w:rsid w:val="003A45C8"/>
    <w:rsid w:val="003A55A7"/>
    <w:rsid w:val="003A5771"/>
    <w:rsid w:val="003A5965"/>
    <w:rsid w:val="003A5DC7"/>
    <w:rsid w:val="003B05D1"/>
    <w:rsid w:val="003B3198"/>
    <w:rsid w:val="003B3260"/>
    <w:rsid w:val="003B3765"/>
    <w:rsid w:val="003B7187"/>
    <w:rsid w:val="003C092E"/>
    <w:rsid w:val="003C094F"/>
    <w:rsid w:val="003C1B23"/>
    <w:rsid w:val="003C2DCF"/>
    <w:rsid w:val="003C3817"/>
    <w:rsid w:val="003C7FE7"/>
    <w:rsid w:val="003D0499"/>
    <w:rsid w:val="003D21DB"/>
    <w:rsid w:val="003D388F"/>
    <w:rsid w:val="003D6494"/>
    <w:rsid w:val="003D7C0D"/>
    <w:rsid w:val="003E183B"/>
    <w:rsid w:val="003E2AD7"/>
    <w:rsid w:val="003E3B40"/>
    <w:rsid w:val="003E47F3"/>
    <w:rsid w:val="003E7D31"/>
    <w:rsid w:val="003F06AA"/>
    <w:rsid w:val="003F432E"/>
    <w:rsid w:val="003F43E5"/>
    <w:rsid w:val="003F526A"/>
    <w:rsid w:val="003F5C51"/>
    <w:rsid w:val="003F5CC1"/>
    <w:rsid w:val="003F5D15"/>
    <w:rsid w:val="00401D42"/>
    <w:rsid w:val="00402910"/>
    <w:rsid w:val="00403019"/>
    <w:rsid w:val="00403938"/>
    <w:rsid w:val="00405244"/>
    <w:rsid w:val="004065C6"/>
    <w:rsid w:val="004124F0"/>
    <w:rsid w:val="00412FFB"/>
    <w:rsid w:val="00413AF7"/>
    <w:rsid w:val="004153B8"/>
    <w:rsid w:val="00415ADE"/>
    <w:rsid w:val="00416817"/>
    <w:rsid w:val="00417433"/>
    <w:rsid w:val="00417D45"/>
    <w:rsid w:val="004222A3"/>
    <w:rsid w:val="0042259B"/>
    <w:rsid w:val="00426019"/>
    <w:rsid w:val="0042770B"/>
    <w:rsid w:val="004323BD"/>
    <w:rsid w:val="00433C60"/>
    <w:rsid w:val="00434936"/>
    <w:rsid w:val="0043790B"/>
    <w:rsid w:val="00437B90"/>
    <w:rsid w:val="004403B3"/>
    <w:rsid w:val="004409C1"/>
    <w:rsid w:val="00441FA9"/>
    <w:rsid w:val="004436EE"/>
    <w:rsid w:val="0045547F"/>
    <w:rsid w:val="00455E2F"/>
    <w:rsid w:val="00456CCF"/>
    <w:rsid w:val="00457776"/>
    <w:rsid w:val="0045777C"/>
    <w:rsid w:val="00461AA0"/>
    <w:rsid w:val="00462BD9"/>
    <w:rsid w:val="00463075"/>
    <w:rsid w:val="00471810"/>
    <w:rsid w:val="00474248"/>
    <w:rsid w:val="00485A84"/>
    <w:rsid w:val="00486ABD"/>
    <w:rsid w:val="00487978"/>
    <w:rsid w:val="00487F69"/>
    <w:rsid w:val="00491236"/>
    <w:rsid w:val="0049203F"/>
    <w:rsid w:val="004920AD"/>
    <w:rsid w:val="004942F4"/>
    <w:rsid w:val="004943E1"/>
    <w:rsid w:val="00495108"/>
    <w:rsid w:val="00495989"/>
    <w:rsid w:val="00497031"/>
    <w:rsid w:val="004A1FAE"/>
    <w:rsid w:val="004A2C67"/>
    <w:rsid w:val="004A492E"/>
    <w:rsid w:val="004B0F65"/>
    <w:rsid w:val="004B13D2"/>
    <w:rsid w:val="004B4671"/>
    <w:rsid w:val="004B6B61"/>
    <w:rsid w:val="004C0099"/>
    <w:rsid w:val="004C26A0"/>
    <w:rsid w:val="004C3F2E"/>
    <w:rsid w:val="004C52C6"/>
    <w:rsid w:val="004C63CF"/>
    <w:rsid w:val="004D05B3"/>
    <w:rsid w:val="004D21CF"/>
    <w:rsid w:val="004D6743"/>
    <w:rsid w:val="004E479E"/>
    <w:rsid w:val="004E759A"/>
    <w:rsid w:val="004E75C9"/>
    <w:rsid w:val="004E7E1E"/>
    <w:rsid w:val="004F3483"/>
    <w:rsid w:val="004F78E6"/>
    <w:rsid w:val="00500130"/>
    <w:rsid w:val="00501608"/>
    <w:rsid w:val="005019A7"/>
    <w:rsid w:val="00501B16"/>
    <w:rsid w:val="005024A7"/>
    <w:rsid w:val="0050484A"/>
    <w:rsid w:val="0050641C"/>
    <w:rsid w:val="0050756B"/>
    <w:rsid w:val="00511C14"/>
    <w:rsid w:val="00512D99"/>
    <w:rsid w:val="0051469C"/>
    <w:rsid w:val="00514883"/>
    <w:rsid w:val="005237CD"/>
    <w:rsid w:val="00531DBB"/>
    <w:rsid w:val="005320B3"/>
    <w:rsid w:val="0053225A"/>
    <w:rsid w:val="00532C1D"/>
    <w:rsid w:val="0053545A"/>
    <w:rsid w:val="005357DB"/>
    <w:rsid w:val="005374DA"/>
    <w:rsid w:val="005416EE"/>
    <w:rsid w:val="00543277"/>
    <w:rsid w:val="00544B6D"/>
    <w:rsid w:val="005455AF"/>
    <w:rsid w:val="00545C39"/>
    <w:rsid w:val="00550D6E"/>
    <w:rsid w:val="005523EC"/>
    <w:rsid w:val="00552BD8"/>
    <w:rsid w:val="00553DAA"/>
    <w:rsid w:val="005566EC"/>
    <w:rsid w:val="00557B94"/>
    <w:rsid w:val="00560026"/>
    <w:rsid w:val="005646B3"/>
    <w:rsid w:val="005655D7"/>
    <w:rsid w:val="005670BE"/>
    <w:rsid w:val="00570ABA"/>
    <w:rsid w:val="0057104A"/>
    <w:rsid w:val="00572A70"/>
    <w:rsid w:val="00573D5F"/>
    <w:rsid w:val="0057433C"/>
    <w:rsid w:val="00574630"/>
    <w:rsid w:val="00574740"/>
    <w:rsid w:val="00576430"/>
    <w:rsid w:val="00576E3A"/>
    <w:rsid w:val="005859A8"/>
    <w:rsid w:val="005878E1"/>
    <w:rsid w:val="005900E3"/>
    <w:rsid w:val="00590723"/>
    <w:rsid w:val="00593318"/>
    <w:rsid w:val="00596EEF"/>
    <w:rsid w:val="005A0668"/>
    <w:rsid w:val="005A0817"/>
    <w:rsid w:val="005A26D1"/>
    <w:rsid w:val="005A37E0"/>
    <w:rsid w:val="005A65C5"/>
    <w:rsid w:val="005A7879"/>
    <w:rsid w:val="005A7AC3"/>
    <w:rsid w:val="005B0A5A"/>
    <w:rsid w:val="005B4F27"/>
    <w:rsid w:val="005B6F95"/>
    <w:rsid w:val="005B72C7"/>
    <w:rsid w:val="005C1BB9"/>
    <w:rsid w:val="005C2AA4"/>
    <w:rsid w:val="005C4003"/>
    <w:rsid w:val="005C51E8"/>
    <w:rsid w:val="005C5354"/>
    <w:rsid w:val="005C676E"/>
    <w:rsid w:val="005C69D6"/>
    <w:rsid w:val="005D0714"/>
    <w:rsid w:val="005D0716"/>
    <w:rsid w:val="005D35F2"/>
    <w:rsid w:val="005D36C7"/>
    <w:rsid w:val="005D7869"/>
    <w:rsid w:val="005E3EC9"/>
    <w:rsid w:val="005E519B"/>
    <w:rsid w:val="005F1821"/>
    <w:rsid w:val="005F1E2F"/>
    <w:rsid w:val="005F2451"/>
    <w:rsid w:val="005F3DE2"/>
    <w:rsid w:val="005F4667"/>
    <w:rsid w:val="005F603D"/>
    <w:rsid w:val="005F6782"/>
    <w:rsid w:val="005F699D"/>
    <w:rsid w:val="005F7379"/>
    <w:rsid w:val="005F79FB"/>
    <w:rsid w:val="00600E0E"/>
    <w:rsid w:val="006012B3"/>
    <w:rsid w:val="00604406"/>
    <w:rsid w:val="006047C1"/>
    <w:rsid w:val="006052D8"/>
    <w:rsid w:val="00605F4A"/>
    <w:rsid w:val="00607822"/>
    <w:rsid w:val="00610355"/>
    <w:rsid w:val="006103AA"/>
    <w:rsid w:val="00611583"/>
    <w:rsid w:val="00612634"/>
    <w:rsid w:val="006133FC"/>
    <w:rsid w:val="00613BBF"/>
    <w:rsid w:val="00613D4C"/>
    <w:rsid w:val="00613EF0"/>
    <w:rsid w:val="00614585"/>
    <w:rsid w:val="00614A9F"/>
    <w:rsid w:val="00615EB2"/>
    <w:rsid w:val="006171E2"/>
    <w:rsid w:val="006177EB"/>
    <w:rsid w:val="006220ED"/>
    <w:rsid w:val="00622B80"/>
    <w:rsid w:val="00624989"/>
    <w:rsid w:val="006257C0"/>
    <w:rsid w:val="006303F0"/>
    <w:rsid w:val="0063068A"/>
    <w:rsid w:val="00630CF8"/>
    <w:rsid w:val="00631512"/>
    <w:rsid w:val="00633794"/>
    <w:rsid w:val="00633A27"/>
    <w:rsid w:val="0063661A"/>
    <w:rsid w:val="006370C9"/>
    <w:rsid w:val="00637A81"/>
    <w:rsid w:val="0064139A"/>
    <w:rsid w:val="006502A4"/>
    <w:rsid w:val="00652756"/>
    <w:rsid w:val="006538B5"/>
    <w:rsid w:val="00656651"/>
    <w:rsid w:val="00656A12"/>
    <w:rsid w:val="0066101B"/>
    <w:rsid w:val="006616AC"/>
    <w:rsid w:val="00661C54"/>
    <w:rsid w:val="006626A5"/>
    <w:rsid w:val="00666BE7"/>
    <w:rsid w:val="00666FF0"/>
    <w:rsid w:val="00667E3D"/>
    <w:rsid w:val="006724D0"/>
    <w:rsid w:val="00672CB6"/>
    <w:rsid w:val="00673280"/>
    <w:rsid w:val="0067442E"/>
    <w:rsid w:val="00674BE6"/>
    <w:rsid w:val="00674D43"/>
    <w:rsid w:val="00675702"/>
    <w:rsid w:val="006814AC"/>
    <w:rsid w:val="00684601"/>
    <w:rsid w:val="00684E36"/>
    <w:rsid w:val="00685440"/>
    <w:rsid w:val="0068614B"/>
    <w:rsid w:val="006861E3"/>
    <w:rsid w:val="00686231"/>
    <w:rsid w:val="006879E0"/>
    <w:rsid w:val="00687BBE"/>
    <w:rsid w:val="00690F0D"/>
    <w:rsid w:val="006929F3"/>
    <w:rsid w:val="00696C16"/>
    <w:rsid w:val="006A50B6"/>
    <w:rsid w:val="006A79D4"/>
    <w:rsid w:val="006B1345"/>
    <w:rsid w:val="006B1FB1"/>
    <w:rsid w:val="006B3399"/>
    <w:rsid w:val="006B5A01"/>
    <w:rsid w:val="006B610C"/>
    <w:rsid w:val="006B6B22"/>
    <w:rsid w:val="006C09DD"/>
    <w:rsid w:val="006C2E9D"/>
    <w:rsid w:val="006C75E5"/>
    <w:rsid w:val="006C7A42"/>
    <w:rsid w:val="006D08B9"/>
    <w:rsid w:val="006D6521"/>
    <w:rsid w:val="006D7932"/>
    <w:rsid w:val="006E024F"/>
    <w:rsid w:val="006E0595"/>
    <w:rsid w:val="006E381E"/>
    <w:rsid w:val="006E4E81"/>
    <w:rsid w:val="006E5112"/>
    <w:rsid w:val="006F05E3"/>
    <w:rsid w:val="006F1B5E"/>
    <w:rsid w:val="006F7CA8"/>
    <w:rsid w:val="00701DA6"/>
    <w:rsid w:val="00702D2D"/>
    <w:rsid w:val="0070619B"/>
    <w:rsid w:val="00707951"/>
    <w:rsid w:val="00707F7D"/>
    <w:rsid w:val="007146C8"/>
    <w:rsid w:val="0071669A"/>
    <w:rsid w:val="00717EC5"/>
    <w:rsid w:val="00722FE7"/>
    <w:rsid w:val="0072356C"/>
    <w:rsid w:val="007243C8"/>
    <w:rsid w:val="00726E4F"/>
    <w:rsid w:val="007318A9"/>
    <w:rsid w:val="007326B5"/>
    <w:rsid w:val="00732745"/>
    <w:rsid w:val="007338EE"/>
    <w:rsid w:val="00733AC3"/>
    <w:rsid w:val="0073435F"/>
    <w:rsid w:val="00737B80"/>
    <w:rsid w:val="00741D13"/>
    <w:rsid w:val="00742725"/>
    <w:rsid w:val="00743982"/>
    <w:rsid w:val="007460F1"/>
    <w:rsid w:val="00746BD9"/>
    <w:rsid w:val="00750C6C"/>
    <w:rsid w:val="0075439D"/>
    <w:rsid w:val="00754742"/>
    <w:rsid w:val="0075481D"/>
    <w:rsid w:val="00756FB7"/>
    <w:rsid w:val="0076005F"/>
    <w:rsid w:val="007608AF"/>
    <w:rsid w:val="00763254"/>
    <w:rsid w:val="007640A3"/>
    <w:rsid w:val="007651A6"/>
    <w:rsid w:val="00766670"/>
    <w:rsid w:val="00766AD8"/>
    <w:rsid w:val="0076719B"/>
    <w:rsid w:val="00776326"/>
    <w:rsid w:val="007764C0"/>
    <w:rsid w:val="00777139"/>
    <w:rsid w:val="0078195F"/>
    <w:rsid w:val="00783F7F"/>
    <w:rsid w:val="0078586F"/>
    <w:rsid w:val="007909AA"/>
    <w:rsid w:val="0079299A"/>
    <w:rsid w:val="00793148"/>
    <w:rsid w:val="00793D06"/>
    <w:rsid w:val="00794B22"/>
    <w:rsid w:val="007A15DA"/>
    <w:rsid w:val="007A28FC"/>
    <w:rsid w:val="007A57F2"/>
    <w:rsid w:val="007B1333"/>
    <w:rsid w:val="007B24C8"/>
    <w:rsid w:val="007B45C5"/>
    <w:rsid w:val="007B7E54"/>
    <w:rsid w:val="007C044D"/>
    <w:rsid w:val="007C1691"/>
    <w:rsid w:val="007C234D"/>
    <w:rsid w:val="007C36A2"/>
    <w:rsid w:val="007C3BA7"/>
    <w:rsid w:val="007C4CFC"/>
    <w:rsid w:val="007C55AD"/>
    <w:rsid w:val="007D0ACE"/>
    <w:rsid w:val="007D3631"/>
    <w:rsid w:val="007D5951"/>
    <w:rsid w:val="007D6250"/>
    <w:rsid w:val="007D7EC1"/>
    <w:rsid w:val="007E23A3"/>
    <w:rsid w:val="007E257D"/>
    <w:rsid w:val="007E2D9F"/>
    <w:rsid w:val="007E39B1"/>
    <w:rsid w:val="007E3E1C"/>
    <w:rsid w:val="007F1A39"/>
    <w:rsid w:val="007F1FEE"/>
    <w:rsid w:val="007F4AEB"/>
    <w:rsid w:val="007F6239"/>
    <w:rsid w:val="007F75B2"/>
    <w:rsid w:val="007F7F00"/>
    <w:rsid w:val="008043C4"/>
    <w:rsid w:val="00807E1E"/>
    <w:rsid w:val="00807EB8"/>
    <w:rsid w:val="008124B8"/>
    <w:rsid w:val="00813976"/>
    <w:rsid w:val="00813DFB"/>
    <w:rsid w:val="00815588"/>
    <w:rsid w:val="008157C0"/>
    <w:rsid w:val="00820E8E"/>
    <w:rsid w:val="008221FB"/>
    <w:rsid w:val="008242CC"/>
    <w:rsid w:val="00825070"/>
    <w:rsid w:val="00827A91"/>
    <w:rsid w:val="00830309"/>
    <w:rsid w:val="00831B1B"/>
    <w:rsid w:val="008354B4"/>
    <w:rsid w:val="008358E0"/>
    <w:rsid w:val="00840938"/>
    <w:rsid w:val="00840F99"/>
    <w:rsid w:val="00841D76"/>
    <w:rsid w:val="008434E7"/>
    <w:rsid w:val="00846BC4"/>
    <w:rsid w:val="00847A8C"/>
    <w:rsid w:val="00850AAD"/>
    <w:rsid w:val="008514B8"/>
    <w:rsid w:val="0085193E"/>
    <w:rsid w:val="00852098"/>
    <w:rsid w:val="0085235F"/>
    <w:rsid w:val="00852368"/>
    <w:rsid w:val="008538A7"/>
    <w:rsid w:val="00856098"/>
    <w:rsid w:val="00861D0E"/>
    <w:rsid w:val="00861F45"/>
    <w:rsid w:val="0086334D"/>
    <w:rsid w:val="00863D68"/>
    <w:rsid w:val="00866BA8"/>
    <w:rsid w:val="00867569"/>
    <w:rsid w:val="00867807"/>
    <w:rsid w:val="0087060D"/>
    <w:rsid w:val="00872214"/>
    <w:rsid w:val="008727FA"/>
    <w:rsid w:val="00872B8E"/>
    <w:rsid w:val="008804D0"/>
    <w:rsid w:val="0088129D"/>
    <w:rsid w:val="00887972"/>
    <w:rsid w:val="008914B7"/>
    <w:rsid w:val="00891D95"/>
    <w:rsid w:val="008945F2"/>
    <w:rsid w:val="008A1027"/>
    <w:rsid w:val="008A18A9"/>
    <w:rsid w:val="008A6342"/>
    <w:rsid w:val="008A6A3B"/>
    <w:rsid w:val="008A750A"/>
    <w:rsid w:val="008B225C"/>
    <w:rsid w:val="008B7891"/>
    <w:rsid w:val="008C00A5"/>
    <w:rsid w:val="008C0108"/>
    <w:rsid w:val="008C384C"/>
    <w:rsid w:val="008C45BF"/>
    <w:rsid w:val="008C502E"/>
    <w:rsid w:val="008D0F11"/>
    <w:rsid w:val="008D136D"/>
    <w:rsid w:val="008D2561"/>
    <w:rsid w:val="008D5298"/>
    <w:rsid w:val="008D6F55"/>
    <w:rsid w:val="008E15B5"/>
    <w:rsid w:val="008E68EB"/>
    <w:rsid w:val="008E7E4F"/>
    <w:rsid w:val="008F0222"/>
    <w:rsid w:val="008F35E4"/>
    <w:rsid w:val="008F73B4"/>
    <w:rsid w:val="008F7E5F"/>
    <w:rsid w:val="009015C7"/>
    <w:rsid w:val="00906ECF"/>
    <w:rsid w:val="0090741A"/>
    <w:rsid w:val="00911AC8"/>
    <w:rsid w:val="00916073"/>
    <w:rsid w:val="009168C2"/>
    <w:rsid w:val="00917CA6"/>
    <w:rsid w:val="0092081A"/>
    <w:rsid w:val="00920D32"/>
    <w:rsid w:val="00927ADE"/>
    <w:rsid w:val="00927DD9"/>
    <w:rsid w:val="00930B3C"/>
    <w:rsid w:val="00931A52"/>
    <w:rsid w:val="00931B1D"/>
    <w:rsid w:val="00933883"/>
    <w:rsid w:val="00936D58"/>
    <w:rsid w:val="009372DF"/>
    <w:rsid w:val="00937610"/>
    <w:rsid w:val="009405D2"/>
    <w:rsid w:val="00941335"/>
    <w:rsid w:val="009416A7"/>
    <w:rsid w:val="00942BAF"/>
    <w:rsid w:val="00942D88"/>
    <w:rsid w:val="00943AD2"/>
    <w:rsid w:val="00944126"/>
    <w:rsid w:val="009544CC"/>
    <w:rsid w:val="00956495"/>
    <w:rsid w:val="00960BF2"/>
    <w:rsid w:val="00961ECD"/>
    <w:rsid w:val="0096328A"/>
    <w:rsid w:val="009678FC"/>
    <w:rsid w:val="009701AB"/>
    <w:rsid w:val="00971D38"/>
    <w:rsid w:val="00973287"/>
    <w:rsid w:val="009740BF"/>
    <w:rsid w:val="00976B5B"/>
    <w:rsid w:val="00976D97"/>
    <w:rsid w:val="0098149A"/>
    <w:rsid w:val="00982C53"/>
    <w:rsid w:val="00984434"/>
    <w:rsid w:val="00984499"/>
    <w:rsid w:val="00985EE5"/>
    <w:rsid w:val="009873F0"/>
    <w:rsid w:val="00987FFE"/>
    <w:rsid w:val="0099050D"/>
    <w:rsid w:val="00991E8D"/>
    <w:rsid w:val="00992601"/>
    <w:rsid w:val="009950AF"/>
    <w:rsid w:val="009958A1"/>
    <w:rsid w:val="00995DA7"/>
    <w:rsid w:val="009A38F9"/>
    <w:rsid w:val="009A3ACE"/>
    <w:rsid w:val="009A4753"/>
    <w:rsid w:val="009A4B79"/>
    <w:rsid w:val="009A5942"/>
    <w:rsid w:val="009A5C79"/>
    <w:rsid w:val="009B16D4"/>
    <w:rsid w:val="009B3B40"/>
    <w:rsid w:val="009B4969"/>
    <w:rsid w:val="009B55B1"/>
    <w:rsid w:val="009B68A7"/>
    <w:rsid w:val="009C15DC"/>
    <w:rsid w:val="009C4150"/>
    <w:rsid w:val="009C6103"/>
    <w:rsid w:val="009C7AA7"/>
    <w:rsid w:val="009C7BF5"/>
    <w:rsid w:val="009D055A"/>
    <w:rsid w:val="009D0BD5"/>
    <w:rsid w:val="009D4881"/>
    <w:rsid w:val="009E0621"/>
    <w:rsid w:val="009E1BCE"/>
    <w:rsid w:val="009E52CF"/>
    <w:rsid w:val="009E617C"/>
    <w:rsid w:val="009F0332"/>
    <w:rsid w:val="009F116F"/>
    <w:rsid w:val="009F276D"/>
    <w:rsid w:val="009F491A"/>
    <w:rsid w:val="009F5F23"/>
    <w:rsid w:val="009F7FD8"/>
    <w:rsid w:val="00A001F0"/>
    <w:rsid w:val="00A01EEF"/>
    <w:rsid w:val="00A0276F"/>
    <w:rsid w:val="00A02E15"/>
    <w:rsid w:val="00A041BC"/>
    <w:rsid w:val="00A0458C"/>
    <w:rsid w:val="00A05534"/>
    <w:rsid w:val="00A07E96"/>
    <w:rsid w:val="00A1071A"/>
    <w:rsid w:val="00A10F29"/>
    <w:rsid w:val="00A13C0B"/>
    <w:rsid w:val="00A14819"/>
    <w:rsid w:val="00A15B50"/>
    <w:rsid w:val="00A15BC6"/>
    <w:rsid w:val="00A15C6C"/>
    <w:rsid w:val="00A2003A"/>
    <w:rsid w:val="00A20BED"/>
    <w:rsid w:val="00A2262B"/>
    <w:rsid w:val="00A23096"/>
    <w:rsid w:val="00A233AA"/>
    <w:rsid w:val="00A33E60"/>
    <w:rsid w:val="00A35F83"/>
    <w:rsid w:val="00A37A32"/>
    <w:rsid w:val="00A40856"/>
    <w:rsid w:val="00A4248F"/>
    <w:rsid w:val="00A431FA"/>
    <w:rsid w:val="00A4343D"/>
    <w:rsid w:val="00A438DA"/>
    <w:rsid w:val="00A448C7"/>
    <w:rsid w:val="00A45C7B"/>
    <w:rsid w:val="00A46E13"/>
    <w:rsid w:val="00A502F1"/>
    <w:rsid w:val="00A53140"/>
    <w:rsid w:val="00A55C4E"/>
    <w:rsid w:val="00A56C80"/>
    <w:rsid w:val="00A63DD4"/>
    <w:rsid w:val="00A65A70"/>
    <w:rsid w:val="00A662D0"/>
    <w:rsid w:val="00A70A83"/>
    <w:rsid w:val="00A73918"/>
    <w:rsid w:val="00A74120"/>
    <w:rsid w:val="00A75F37"/>
    <w:rsid w:val="00A761CF"/>
    <w:rsid w:val="00A7683E"/>
    <w:rsid w:val="00A774B2"/>
    <w:rsid w:val="00A7774A"/>
    <w:rsid w:val="00A81EB3"/>
    <w:rsid w:val="00A826E6"/>
    <w:rsid w:val="00A8291E"/>
    <w:rsid w:val="00A860F4"/>
    <w:rsid w:val="00A873BA"/>
    <w:rsid w:val="00A904D9"/>
    <w:rsid w:val="00A92693"/>
    <w:rsid w:val="00A93025"/>
    <w:rsid w:val="00A9504A"/>
    <w:rsid w:val="00A950C7"/>
    <w:rsid w:val="00A961DA"/>
    <w:rsid w:val="00A969A9"/>
    <w:rsid w:val="00A97AD4"/>
    <w:rsid w:val="00A97CA2"/>
    <w:rsid w:val="00AA1B32"/>
    <w:rsid w:val="00AA3711"/>
    <w:rsid w:val="00AA439D"/>
    <w:rsid w:val="00AA4ECF"/>
    <w:rsid w:val="00AA6E75"/>
    <w:rsid w:val="00AB22E1"/>
    <w:rsid w:val="00AB2399"/>
    <w:rsid w:val="00AB410C"/>
    <w:rsid w:val="00AB594C"/>
    <w:rsid w:val="00AB5CFD"/>
    <w:rsid w:val="00AB73C1"/>
    <w:rsid w:val="00AB7ADF"/>
    <w:rsid w:val="00AC4564"/>
    <w:rsid w:val="00AC60CC"/>
    <w:rsid w:val="00AC6A14"/>
    <w:rsid w:val="00AC72CC"/>
    <w:rsid w:val="00AD09C9"/>
    <w:rsid w:val="00AD5C35"/>
    <w:rsid w:val="00AD6519"/>
    <w:rsid w:val="00AD6CA9"/>
    <w:rsid w:val="00AD6D62"/>
    <w:rsid w:val="00AE3964"/>
    <w:rsid w:val="00AE59AB"/>
    <w:rsid w:val="00AE5C88"/>
    <w:rsid w:val="00AE63EF"/>
    <w:rsid w:val="00AF40A6"/>
    <w:rsid w:val="00AF63B0"/>
    <w:rsid w:val="00AF66FA"/>
    <w:rsid w:val="00AF78C1"/>
    <w:rsid w:val="00B00C1D"/>
    <w:rsid w:val="00B01408"/>
    <w:rsid w:val="00B06174"/>
    <w:rsid w:val="00B07CA2"/>
    <w:rsid w:val="00B10B53"/>
    <w:rsid w:val="00B1299C"/>
    <w:rsid w:val="00B13907"/>
    <w:rsid w:val="00B15E58"/>
    <w:rsid w:val="00B16369"/>
    <w:rsid w:val="00B1677F"/>
    <w:rsid w:val="00B16FC6"/>
    <w:rsid w:val="00B179C6"/>
    <w:rsid w:val="00B20108"/>
    <w:rsid w:val="00B20F58"/>
    <w:rsid w:val="00B2435B"/>
    <w:rsid w:val="00B24C95"/>
    <w:rsid w:val="00B26AFC"/>
    <w:rsid w:val="00B26BED"/>
    <w:rsid w:val="00B26C4E"/>
    <w:rsid w:val="00B31464"/>
    <w:rsid w:val="00B328D3"/>
    <w:rsid w:val="00B33194"/>
    <w:rsid w:val="00B33880"/>
    <w:rsid w:val="00B342F4"/>
    <w:rsid w:val="00B351F5"/>
    <w:rsid w:val="00B365F7"/>
    <w:rsid w:val="00B403FC"/>
    <w:rsid w:val="00B435ED"/>
    <w:rsid w:val="00B468DA"/>
    <w:rsid w:val="00B4790F"/>
    <w:rsid w:val="00B52F87"/>
    <w:rsid w:val="00B54330"/>
    <w:rsid w:val="00B54C52"/>
    <w:rsid w:val="00B57649"/>
    <w:rsid w:val="00B60120"/>
    <w:rsid w:val="00B60BBA"/>
    <w:rsid w:val="00B61E39"/>
    <w:rsid w:val="00B66166"/>
    <w:rsid w:val="00B70ECD"/>
    <w:rsid w:val="00B70FF6"/>
    <w:rsid w:val="00B7235B"/>
    <w:rsid w:val="00B72D2F"/>
    <w:rsid w:val="00B75E48"/>
    <w:rsid w:val="00B8043F"/>
    <w:rsid w:val="00B80695"/>
    <w:rsid w:val="00B817AE"/>
    <w:rsid w:val="00B83EC6"/>
    <w:rsid w:val="00B868B8"/>
    <w:rsid w:val="00B920DD"/>
    <w:rsid w:val="00B92E7A"/>
    <w:rsid w:val="00BA0F08"/>
    <w:rsid w:val="00BA439F"/>
    <w:rsid w:val="00BA5834"/>
    <w:rsid w:val="00BA6370"/>
    <w:rsid w:val="00BA6BD0"/>
    <w:rsid w:val="00BB06CA"/>
    <w:rsid w:val="00BB6268"/>
    <w:rsid w:val="00BC1564"/>
    <w:rsid w:val="00BC6747"/>
    <w:rsid w:val="00BC6921"/>
    <w:rsid w:val="00BC748B"/>
    <w:rsid w:val="00BD1AEF"/>
    <w:rsid w:val="00BD40CD"/>
    <w:rsid w:val="00BD6F1C"/>
    <w:rsid w:val="00BD71CC"/>
    <w:rsid w:val="00BE0028"/>
    <w:rsid w:val="00BE1CA4"/>
    <w:rsid w:val="00BE1D3B"/>
    <w:rsid w:val="00BE206D"/>
    <w:rsid w:val="00BE210B"/>
    <w:rsid w:val="00BE3335"/>
    <w:rsid w:val="00BE550F"/>
    <w:rsid w:val="00BE5C4A"/>
    <w:rsid w:val="00BE6D51"/>
    <w:rsid w:val="00BE7C44"/>
    <w:rsid w:val="00BF029D"/>
    <w:rsid w:val="00BF34CC"/>
    <w:rsid w:val="00BF37CC"/>
    <w:rsid w:val="00BF62F1"/>
    <w:rsid w:val="00C00155"/>
    <w:rsid w:val="00C007B6"/>
    <w:rsid w:val="00C0255B"/>
    <w:rsid w:val="00C04EC7"/>
    <w:rsid w:val="00C0500E"/>
    <w:rsid w:val="00C051D5"/>
    <w:rsid w:val="00C054BF"/>
    <w:rsid w:val="00C05AE7"/>
    <w:rsid w:val="00C0711F"/>
    <w:rsid w:val="00C10B92"/>
    <w:rsid w:val="00C13B2D"/>
    <w:rsid w:val="00C14FA3"/>
    <w:rsid w:val="00C17B2C"/>
    <w:rsid w:val="00C2080D"/>
    <w:rsid w:val="00C2278C"/>
    <w:rsid w:val="00C232B3"/>
    <w:rsid w:val="00C2354F"/>
    <w:rsid w:val="00C24B18"/>
    <w:rsid w:val="00C26525"/>
    <w:rsid w:val="00C269D4"/>
    <w:rsid w:val="00C26D85"/>
    <w:rsid w:val="00C30A81"/>
    <w:rsid w:val="00C3197B"/>
    <w:rsid w:val="00C35652"/>
    <w:rsid w:val="00C36AD6"/>
    <w:rsid w:val="00C4160D"/>
    <w:rsid w:val="00C42CB8"/>
    <w:rsid w:val="00C439CF"/>
    <w:rsid w:val="00C45B06"/>
    <w:rsid w:val="00C50BEB"/>
    <w:rsid w:val="00C510FD"/>
    <w:rsid w:val="00C5191D"/>
    <w:rsid w:val="00C51B65"/>
    <w:rsid w:val="00C52C3F"/>
    <w:rsid w:val="00C54720"/>
    <w:rsid w:val="00C558B2"/>
    <w:rsid w:val="00C5698F"/>
    <w:rsid w:val="00C576EC"/>
    <w:rsid w:val="00C57B79"/>
    <w:rsid w:val="00C60451"/>
    <w:rsid w:val="00C60AE0"/>
    <w:rsid w:val="00C61158"/>
    <w:rsid w:val="00C63561"/>
    <w:rsid w:val="00C63A88"/>
    <w:rsid w:val="00C65FAA"/>
    <w:rsid w:val="00C6637E"/>
    <w:rsid w:val="00C67D2D"/>
    <w:rsid w:val="00C743A0"/>
    <w:rsid w:val="00C74A84"/>
    <w:rsid w:val="00C7537C"/>
    <w:rsid w:val="00C7577F"/>
    <w:rsid w:val="00C8406E"/>
    <w:rsid w:val="00C864A9"/>
    <w:rsid w:val="00C86BDB"/>
    <w:rsid w:val="00C874BC"/>
    <w:rsid w:val="00C91009"/>
    <w:rsid w:val="00C91BB8"/>
    <w:rsid w:val="00C950A2"/>
    <w:rsid w:val="00C95A4D"/>
    <w:rsid w:val="00C96221"/>
    <w:rsid w:val="00C969E1"/>
    <w:rsid w:val="00C97062"/>
    <w:rsid w:val="00CA1B47"/>
    <w:rsid w:val="00CA2A0A"/>
    <w:rsid w:val="00CA2CFD"/>
    <w:rsid w:val="00CA4B6F"/>
    <w:rsid w:val="00CB088B"/>
    <w:rsid w:val="00CB19EA"/>
    <w:rsid w:val="00CB1D8D"/>
    <w:rsid w:val="00CB2709"/>
    <w:rsid w:val="00CB5EA3"/>
    <w:rsid w:val="00CB6F89"/>
    <w:rsid w:val="00CC098E"/>
    <w:rsid w:val="00CC2897"/>
    <w:rsid w:val="00CC410E"/>
    <w:rsid w:val="00CD07B7"/>
    <w:rsid w:val="00CD0981"/>
    <w:rsid w:val="00CD547F"/>
    <w:rsid w:val="00CD64C4"/>
    <w:rsid w:val="00CD7418"/>
    <w:rsid w:val="00CE0364"/>
    <w:rsid w:val="00CE07E7"/>
    <w:rsid w:val="00CE1C49"/>
    <w:rsid w:val="00CE1CC5"/>
    <w:rsid w:val="00CE1E87"/>
    <w:rsid w:val="00CE228C"/>
    <w:rsid w:val="00CE3027"/>
    <w:rsid w:val="00CE3CED"/>
    <w:rsid w:val="00CE615B"/>
    <w:rsid w:val="00CE6C12"/>
    <w:rsid w:val="00CE75DD"/>
    <w:rsid w:val="00CF1CFF"/>
    <w:rsid w:val="00CF1E81"/>
    <w:rsid w:val="00CF27B5"/>
    <w:rsid w:val="00CF344C"/>
    <w:rsid w:val="00CF37D7"/>
    <w:rsid w:val="00CF3C2E"/>
    <w:rsid w:val="00CF4669"/>
    <w:rsid w:val="00CF545B"/>
    <w:rsid w:val="00CF5795"/>
    <w:rsid w:val="00CF707A"/>
    <w:rsid w:val="00D03A5E"/>
    <w:rsid w:val="00D03F01"/>
    <w:rsid w:val="00D0656D"/>
    <w:rsid w:val="00D11FF5"/>
    <w:rsid w:val="00D13375"/>
    <w:rsid w:val="00D16B34"/>
    <w:rsid w:val="00D175AA"/>
    <w:rsid w:val="00D20BD0"/>
    <w:rsid w:val="00D21345"/>
    <w:rsid w:val="00D25B5F"/>
    <w:rsid w:val="00D26769"/>
    <w:rsid w:val="00D27B3D"/>
    <w:rsid w:val="00D27D69"/>
    <w:rsid w:val="00D33100"/>
    <w:rsid w:val="00D33DFC"/>
    <w:rsid w:val="00D432E3"/>
    <w:rsid w:val="00D43488"/>
    <w:rsid w:val="00D4470F"/>
    <w:rsid w:val="00D448C2"/>
    <w:rsid w:val="00D573FE"/>
    <w:rsid w:val="00D60BAF"/>
    <w:rsid w:val="00D62931"/>
    <w:rsid w:val="00D657AC"/>
    <w:rsid w:val="00D666C3"/>
    <w:rsid w:val="00D718B9"/>
    <w:rsid w:val="00D71C1C"/>
    <w:rsid w:val="00D74DBA"/>
    <w:rsid w:val="00D806A3"/>
    <w:rsid w:val="00D80EFF"/>
    <w:rsid w:val="00D80F3C"/>
    <w:rsid w:val="00D819D0"/>
    <w:rsid w:val="00D83BC6"/>
    <w:rsid w:val="00D83EE9"/>
    <w:rsid w:val="00D85B40"/>
    <w:rsid w:val="00D86734"/>
    <w:rsid w:val="00D87206"/>
    <w:rsid w:val="00D875B2"/>
    <w:rsid w:val="00D9542B"/>
    <w:rsid w:val="00D95EA7"/>
    <w:rsid w:val="00D97040"/>
    <w:rsid w:val="00DA0096"/>
    <w:rsid w:val="00DA05BA"/>
    <w:rsid w:val="00DA10C1"/>
    <w:rsid w:val="00DA1298"/>
    <w:rsid w:val="00DA3AE5"/>
    <w:rsid w:val="00DA3ED4"/>
    <w:rsid w:val="00DA56DA"/>
    <w:rsid w:val="00DA6EE0"/>
    <w:rsid w:val="00DA7A94"/>
    <w:rsid w:val="00DB0771"/>
    <w:rsid w:val="00DB0CC6"/>
    <w:rsid w:val="00DB2214"/>
    <w:rsid w:val="00DB3CBA"/>
    <w:rsid w:val="00DB4709"/>
    <w:rsid w:val="00DB4E76"/>
    <w:rsid w:val="00DB60A2"/>
    <w:rsid w:val="00DB7C60"/>
    <w:rsid w:val="00DC4BEF"/>
    <w:rsid w:val="00DC4DBF"/>
    <w:rsid w:val="00DC5E7F"/>
    <w:rsid w:val="00DC6E28"/>
    <w:rsid w:val="00DD0AD6"/>
    <w:rsid w:val="00DD1DC3"/>
    <w:rsid w:val="00DD1EAE"/>
    <w:rsid w:val="00DD1F40"/>
    <w:rsid w:val="00DD2662"/>
    <w:rsid w:val="00DD4CB4"/>
    <w:rsid w:val="00DD6C3A"/>
    <w:rsid w:val="00DE0ACA"/>
    <w:rsid w:val="00DE3DA2"/>
    <w:rsid w:val="00DE4A84"/>
    <w:rsid w:val="00DE4D6D"/>
    <w:rsid w:val="00DE4E56"/>
    <w:rsid w:val="00DE6BE6"/>
    <w:rsid w:val="00DF091E"/>
    <w:rsid w:val="00DF1DE4"/>
    <w:rsid w:val="00DF47FE"/>
    <w:rsid w:val="00E00CD4"/>
    <w:rsid w:val="00E014D6"/>
    <w:rsid w:val="00E017FD"/>
    <w:rsid w:val="00E0186F"/>
    <w:rsid w:val="00E1074D"/>
    <w:rsid w:val="00E1126E"/>
    <w:rsid w:val="00E11D10"/>
    <w:rsid w:val="00E12C71"/>
    <w:rsid w:val="00E13EE8"/>
    <w:rsid w:val="00E165D2"/>
    <w:rsid w:val="00E20705"/>
    <w:rsid w:val="00E21F33"/>
    <w:rsid w:val="00E2204B"/>
    <w:rsid w:val="00E23803"/>
    <w:rsid w:val="00E2448E"/>
    <w:rsid w:val="00E26081"/>
    <w:rsid w:val="00E260AC"/>
    <w:rsid w:val="00E26704"/>
    <w:rsid w:val="00E26A5C"/>
    <w:rsid w:val="00E26E70"/>
    <w:rsid w:val="00E2757D"/>
    <w:rsid w:val="00E309BB"/>
    <w:rsid w:val="00E316C8"/>
    <w:rsid w:val="00E3189B"/>
    <w:rsid w:val="00E31980"/>
    <w:rsid w:val="00E330F7"/>
    <w:rsid w:val="00E3719D"/>
    <w:rsid w:val="00E41272"/>
    <w:rsid w:val="00E41331"/>
    <w:rsid w:val="00E4152F"/>
    <w:rsid w:val="00E41970"/>
    <w:rsid w:val="00E421D3"/>
    <w:rsid w:val="00E424B7"/>
    <w:rsid w:val="00E42E00"/>
    <w:rsid w:val="00E46082"/>
    <w:rsid w:val="00E52B7F"/>
    <w:rsid w:val="00E564C0"/>
    <w:rsid w:val="00E571BD"/>
    <w:rsid w:val="00E620E4"/>
    <w:rsid w:val="00E63873"/>
    <w:rsid w:val="00E6423C"/>
    <w:rsid w:val="00E64284"/>
    <w:rsid w:val="00E64DE8"/>
    <w:rsid w:val="00E700E6"/>
    <w:rsid w:val="00E70818"/>
    <w:rsid w:val="00E754BF"/>
    <w:rsid w:val="00E77C6D"/>
    <w:rsid w:val="00E83BCC"/>
    <w:rsid w:val="00E8434E"/>
    <w:rsid w:val="00E843B7"/>
    <w:rsid w:val="00E910B6"/>
    <w:rsid w:val="00E9181E"/>
    <w:rsid w:val="00E92F26"/>
    <w:rsid w:val="00E9349A"/>
    <w:rsid w:val="00E93830"/>
    <w:rsid w:val="00E93E0E"/>
    <w:rsid w:val="00EA0A2C"/>
    <w:rsid w:val="00EA1DBD"/>
    <w:rsid w:val="00EA3AFD"/>
    <w:rsid w:val="00EA65C0"/>
    <w:rsid w:val="00EA7AF3"/>
    <w:rsid w:val="00EA7B94"/>
    <w:rsid w:val="00EA7F86"/>
    <w:rsid w:val="00EB01C0"/>
    <w:rsid w:val="00EB1ED3"/>
    <w:rsid w:val="00EB2E1B"/>
    <w:rsid w:val="00EB3C89"/>
    <w:rsid w:val="00EB4B5C"/>
    <w:rsid w:val="00EB630F"/>
    <w:rsid w:val="00EB6F45"/>
    <w:rsid w:val="00EC12DA"/>
    <w:rsid w:val="00EC2D51"/>
    <w:rsid w:val="00EC6D60"/>
    <w:rsid w:val="00EC7AEF"/>
    <w:rsid w:val="00ED01DB"/>
    <w:rsid w:val="00ED055F"/>
    <w:rsid w:val="00ED3B49"/>
    <w:rsid w:val="00ED6FE8"/>
    <w:rsid w:val="00ED7B69"/>
    <w:rsid w:val="00EE227D"/>
    <w:rsid w:val="00EE3D9D"/>
    <w:rsid w:val="00EE484C"/>
    <w:rsid w:val="00EE4F33"/>
    <w:rsid w:val="00EF0152"/>
    <w:rsid w:val="00EF05BD"/>
    <w:rsid w:val="00EF3A5B"/>
    <w:rsid w:val="00EF3B9E"/>
    <w:rsid w:val="00EF788F"/>
    <w:rsid w:val="00F0005E"/>
    <w:rsid w:val="00F00922"/>
    <w:rsid w:val="00F00AEE"/>
    <w:rsid w:val="00F03815"/>
    <w:rsid w:val="00F0500E"/>
    <w:rsid w:val="00F068AE"/>
    <w:rsid w:val="00F12768"/>
    <w:rsid w:val="00F12A9A"/>
    <w:rsid w:val="00F13564"/>
    <w:rsid w:val="00F13F05"/>
    <w:rsid w:val="00F169B0"/>
    <w:rsid w:val="00F174C2"/>
    <w:rsid w:val="00F220C4"/>
    <w:rsid w:val="00F23E34"/>
    <w:rsid w:val="00F26395"/>
    <w:rsid w:val="00F271A0"/>
    <w:rsid w:val="00F30003"/>
    <w:rsid w:val="00F32DA4"/>
    <w:rsid w:val="00F3675B"/>
    <w:rsid w:val="00F40D9B"/>
    <w:rsid w:val="00F41E59"/>
    <w:rsid w:val="00F42BCA"/>
    <w:rsid w:val="00F4347E"/>
    <w:rsid w:val="00F45237"/>
    <w:rsid w:val="00F46655"/>
    <w:rsid w:val="00F50BF2"/>
    <w:rsid w:val="00F50CEF"/>
    <w:rsid w:val="00F515A6"/>
    <w:rsid w:val="00F51BBA"/>
    <w:rsid w:val="00F5305C"/>
    <w:rsid w:val="00F5445D"/>
    <w:rsid w:val="00F55946"/>
    <w:rsid w:val="00F56F25"/>
    <w:rsid w:val="00F578B6"/>
    <w:rsid w:val="00F61A0A"/>
    <w:rsid w:val="00F61E35"/>
    <w:rsid w:val="00F62444"/>
    <w:rsid w:val="00F62E57"/>
    <w:rsid w:val="00F6357F"/>
    <w:rsid w:val="00F6479D"/>
    <w:rsid w:val="00F6760A"/>
    <w:rsid w:val="00F70CF6"/>
    <w:rsid w:val="00F72354"/>
    <w:rsid w:val="00F7297B"/>
    <w:rsid w:val="00F73A45"/>
    <w:rsid w:val="00F74BE5"/>
    <w:rsid w:val="00F74C26"/>
    <w:rsid w:val="00F77F8B"/>
    <w:rsid w:val="00F81280"/>
    <w:rsid w:val="00F81F79"/>
    <w:rsid w:val="00F82B3B"/>
    <w:rsid w:val="00F84060"/>
    <w:rsid w:val="00F907FA"/>
    <w:rsid w:val="00F90C0B"/>
    <w:rsid w:val="00F91278"/>
    <w:rsid w:val="00F91A68"/>
    <w:rsid w:val="00F91C80"/>
    <w:rsid w:val="00F92017"/>
    <w:rsid w:val="00F92950"/>
    <w:rsid w:val="00F93F26"/>
    <w:rsid w:val="00F95B02"/>
    <w:rsid w:val="00F96F6C"/>
    <w:rsid w:val="00F97CCA"/>
    <w:rsid w:val="00FA2E2F"/>
    <w:rsid w:val="00FA3ABC"/>
    <w:rsid w:val="00FA3D9D"/>
    <w:rsid w:val="00FB0388"/>
    <w:rsid w:val="00FB109A"/>
    <w:rsid w:val="00FB11E5"/>
    <w:rsid w:val="00FB1415"/>
    <w:rsid w:val="00FB5889"/>
    <w:rsid w:val="00FB6173"/>
    <w:rsid w:val="00FB687C"/>
    <w:rsid w:val="00FB6BCB"/>
    <w:rsid w:val="00FB7E0F"/>
    <w:rsid w:val="00FC0B20"/>
    <w:rsid w:val="00FC5D0B"/>
    <w:rsid w:val="00FD2E7E"/>
    <w:rsid w:val="00FD3187"/>
    <w:rsid w:val="00FD5E47"/>
    <w:rsid w:val="00FD63F3"/>
    <w:rsid w:val="00FD6B25"/>
    <w:rsid w:val="00FD6D15"/>
    <w:rsid w:val="00FD6DEA"/>
    <w:rsid w:val="00FE0B91"/>
    <w:rsid w:val="00FE0C2F"/>
    <w:rsid w:val="00FE14B7"/>
    <w:rsid w:val="00FE4662"/>
    <w:rsid w:val="00FF04D9"/>
    <w:rsid w:val="00FF2D6A"/>
    <w:rsid w:val="00FF301C"/>
    <w:rsid w:val="00FF3DA2"/>
    <w:rsid w:val="00FF465A"/>
    <w:rsid w:val="00FF79E3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7D29D45"/>
  <w15:docId w15:val="{9254F918-8816-4AC9-A73A-D5EE998E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Textpoznpodarou">
    <w:name w:val="footnote text"/>
    <w:aliases w:val="Text pozn. pod čarou_martin_ang"/>
    <w:basedOn w:val="Normln"/>
    <w:link w:val="TextpoznpodarouChar"/>
    <w:uiPriority w:val="99"/>
    <w:qFormat/>
    <w:rsid w:val="007F6239"/>
    <w:pPr>
      <w:spacing w:line="240" w:lineRule="auto"/>
      <w:jc w:val="left"/>
    </w:pPr>
    <w:rPr>
      <w:szCs w:val="20"/>
      <w:lang w:eastAsia="cs-CZ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7F6239"/>
    <w:rPr>
      <w:rFonts w:ascii="Arial" w:hAnsi="Arial"/>
    </w:rPr>
  </w:style>
  <w:style w:type="character" w:styleId="Znakapoznpodarou">
    <w:name w:val="footnote reference"/>
    <w:rsid w:val="007F6239"/>
    <w:rPr>
      <w:rFonts w:cs="Times New Roman"/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C65FAA"/>
    <w:pPr>
      <w:spacing w:after="240" w:line="240" w:lineRule="auto"/>
    </w:pPr>
    <w:rPr>
      <w:rFonts w:eastAsia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5FAA"/>
    <w:rPr>
      <w:rFonts w:ascii="Arial" w:eastAsia="Times New Roman" w:hAnsi="Arial"/>
    </w:rPr>
  </w:style>
  <w:style w:type="character" w:customStyle="1" w:styleId="odkaz-style-wrapper">
    <w:name w:val="odkaz-style-wrapper"/>
    <w:basedOn w:val="Standardnpsmoodstavce"/>
    <w:rsid w:val="00614585"/>
  </w:style>
  <w:style w:type="character" w:styleId="Odkaznakoment">
    <w:name w:val="annotation reference"/>
    <w:basedOn w:val="Standardnpsmoodstavce"/>
    <w:uiPriority w:val="99"/>
    <w:semiHidden/>
    <w:unhideWhenUsed/>
    <w:rsid w:val="009015C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15C7"/>
    <w:pPr>
      <w:spacing w:after="0"/>
    </w:pPr>
    <w:rPr>
      <w:rFonts w:eastAsia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15C7"/>
    <w:rPr>
      <w:rFonts w:ascii="Arial" w:eastAsia="Times New Roman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C6E28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B5A01"/>
    <w:rPr>
      <w:rFonts w:ascii="Arial" w:hAnsi="Arial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C4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metodicka&#8211;poznamka-k-vladni-financni-statistice-2020-covid-19-0104202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bojnikova31519\AppData\Local\Temp\Anal&#253;za%20CZ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zabojnikova31519\Documents\Anal&#253;za\Sektorov&#233;%20&#250;&#269;ty\2021Q4\grafy_sektorove_uct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nal&#253;za\Sektorov&#233;%20&#250;&#269;ty\2021Q4\grafy_sektorove_uct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zabojnikova31519\Documents\Anal&#253;za\Sektorov&#233;%20&#250;&#269;ty\2021Q4\grafy_sektorove_uct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zabojnikova31519\Documents\Anal&#253;za\Sektorov&#233;%20&#250;&#269;ty\2021Q4\grafy_sektorove_uct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zabojnikova31519\Documents\Anal&#253;za\Sektorov&#233;%20&#250;&#269;ty\2021Q4\grafy_sektorove_ucty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696006416751094E-2"/>
          <c:y val="3.9316672295395698E-2"/>
          <c:w val="0.84196935157041541"/>
          <c:h val="0.753162501407182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NP!$C$7</c:f>
              <c:strCache>
                <c:ptCount val="1"/>
                <c:pt idx="0">
                  <c:v>HPH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multiLvlStrRef>
              <c:f>NP!$A$12:$B$39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NP!$C$12:$C$39</c:f>
              <c:numCache>
                <c:formatCode>0.0</c:formatCode>
                <c:ptCount val="28"/>
                <c:pt idx="0">
                  <c:v>46.219000000000001</c:v>
                </c:pt>
                <c:pt idx="1">
                  <c:v>41.719000000000001</c:v>
                </c:pt>
                <c:pt idx="2">
                  <c:v>43.966000000000001</c:v>
                </c:pt>
                <c:pt idx="3">
                  <c:v>44.445999999999998</c:v>
                </c:pt>
                <c:pt idx="4">
                  <c:v>35.908999999999999</c:v>
                </c:pt>
                <c:pt idx="5">
                  <c:v>38.994999999999997</c:v>
                </c:pt>
                <c:pt idx="6">
                  <c:v>17.914999999999999</c:v>
                </c:pt>
                <c:pt idx="7">
                  <c:v>15.045999999999999</c:v>
                </c:pt>
                <c:pt idx="8">
                  <c:v>30.613</c:v>
                </c:pt>
                <c:pt idx="9">
                  <c:v>40.911000000000001</c:v>
                </c:pt>
                <c:pt idx="10">
                  <c:v>61.198999999999998</c:v>
                </c:pt>
                <c:pt idx="11">
                  <c:v>49.415999999999997</c:v>
                </c:pt>
                <c:pt idx="12">
                  <c:v>37.04</c:v>
                </c:pt>
                <c:pt idx="13">
                  <c:v>30.673999999999999</c:v>
                </c:pt>
                <c:pt idx="14">
                  <c:v>28.23</c:v>
                </c:pt>
                <c:pt idx="15">
                  <c:v>35.655000000000001</c:v>
                </c:pt>
                <c:pt idx="16">
                  <c:v>45.645000000000003</c:v>
                </c:pt>
                <c:pt idx="17">
                  <c:v>56.261000000000003</c:v>
                </c:pt>
                <c:pt idx="18">
                  <c:v>69.802000000000007</c:v>
                </c:pt>
                <c:pt idx="19">
                  <c:v>64.924999999999997</c:v>
                </c:pt>
                <c:pt idx="20">
                  <c:v>29.85</c:v>
                </c:pt>
                <c:pt idx="21">
                  <c:v>-83.007999999999996</c:v>
                </c:pt>
                <c:pt idx="22">
                  <c:v>-23.879000000000001</c:v>
                </c:pt>
                <c:pt idx="23">
                  <c:v>-20.170999999999999</c:v>
                </c:pt>
                <c:pt idx="24" formatCode="General">
                  <c:v>3.964</c:v>
                </c:pt>
                <c:pt idx="25" formatCode="General">
                  <c:v>116.759</c:v>
                </c:pt>
                <c:pt idx="26" formatCode="General">
                  <c:v>55.423999999999999</c:v>
                </c:pt>
                <c:pt idx="27" formatCode="General">
                  <c:v>45.862000000000002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89-45AC-980C-F19894EB90CF}"/>
            </c:ext>
          </c:extLst>
        </c:ser>
        <c:ser>
          <c:idx val="1"/>
          <c:order val="1"/>
          <c:tx>
            <c:strRef>
              <c:f>NP!$D$7</c:f>
              <c:strCache>
                <c:ptCount val="1"/>
                <c:pt idx="0">
                  <c:v>Náhrady zaměstnancům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multiLvlStrRef>
              <c:f>NP!$A$12:$B$39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NP!$D$12:$D$39</c:f>
              <c:numCache>
                <c:formatCode>0.0</c:formatCode>
                <c:ptCount val="28"/>
                <c:pt idx="0">
                  <c:v>16.056999999999999</c:v>
                </c:pt>
                <c:pt idx="1">
                  <c:v>18.773</c:v>
                </c:pt>
                <c:pt idx="2">
                  <c:v>17.21</c:v>
                </c:pt>
                <c:pt idx="3">
                  <c:v>22.323</c:v>
                </c:pt>
                <c:pt idx="4">
                  <c:v>21.411999999999999</c:v>
                </c:pt>
                <c:pt idx="5">
                  <c:v>19.292000000000002</c:v>
                </c:pt>
                <c:pt idx="6">
                  <c:v>22.242999999999999</c:v>
                </c:pt>
                <c:pt idx="7">
                  <c:v>19.733000000000001</c:v>
                </c:pt>
                <c:pt idx="8">
                  <c:v>27.047000000000001</c:v>
                </c:pt>
                <c:pt idx="9">
                  <c:v>37.268999999999998</c:v>
                </c:pt>
                <c:pt idx="10">
                  <c:v>35.341999999999999</c:v>
                </c:pt>
                <c:pt idx="11">
                  <c:v>32.363999999999997</c:v>
                </c:pt>
                <c:pt idx="12">
                  <c:v>35.039000000000001</c:v>
                </c:pt>
                <c:pt idx="13">
                  <c:v>36.268000000000001</c:v>
                </c:pt>
                <c:pt idx="14">
                  <c:v>33.268999999999998</c:v>
                </c:pt>
                <c:pt idx="15">
                  <c:v>40.823</c:v>
                </c:pt>
                <c:pt idx="16">
                  <c:v>32.991</c:v>
                </c:pt>
                <c:pt idx="17">
                  <c:v>32.084000000000003</c:v>
                </c:pt>
                <c:pt idx="18">
                  <c:v>27.997</c:v>
                </c:pt>
                <c:pt idx="19">
                  <c:v>27.196000000000002</c:v>
                </c:pt>
                <c:pt idx="20">
                  <c:v>14.134</c:v>
                </c:pt>
                <c:pt idx="21">
                  <c:v>-23.033999999999999</c:v>
                </c:pt>
                <c:pt idx="22">
                  <c:v>-9.5709999999999997</c:v>
                </c:pt>
                <c:pt idx="23">
                  <c:v>1.4470000000000001</c:v>
                </c:pt>
                <c:pt idx="24" formatCode="General">
                  <c:v>-5.3999999999999999E-2</c:v>
                </c:pt>
                <c:pt idx="25" formatCode="General">
                  <c:v>44.801000000000002</c:v>
                </c:pt>
                <c:pt idx="26" formatCode="General">
                  <c:v>43.381</c:v>
                </c:pt>
                <c:pt idx="27" formatCode="General">
                  <c:v>34.5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89-45AC-980C-F19894EB90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4"/>
        <c:overlap val="-27"/>
        <c:axId val="779606304"/>
        <c:axId val="779603392"/>
      </c:barChart>
      <c:lineChart>
        <c:grouping val="standard"/>
        <c:varyColors val="0"/>
        <c:ser>
          <c:idx val="2"/>
          <c:order val="2"/>
          <c:tx>
            <c:strRef>
              <c:f>NP!$E$7</c:f>
              <c:strCache>
                <c:ptCount val="1"/>
                <c:pt idx="0">
                  <c:v>Míra zisku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cat>
            <c:multiLvlStrRef>
              <c:f>NP!$A$12:$B$39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NP!$E$12:$E$39</c:f>
              <c:numCache>
                <c:formatCode>0.0</c:formatCode>
                <c:ptCount val="28"/>
                <c:pt idx="0">
                  <c:v>49.642790131515667</c:v>
                </c:pt>
                <c:pt idx="1">
                  <c:v>49.533088971584796</c:v>
                </c:pt>
                <c:pt idx="2">
                  <c:v>50.222962470140999</c:v>
                </c:pt>
                <c:pt idx="3">
                  <c:v>49.596718599200329</c:v>
                </c:pt>
                <c:pt idx="4">
                  <c:v>49.45189137119781</c:v>
                </c:pt>
                <c:pt idx="5">
                  <c:v>49.222412858410927</c:v>
                </c:pt>
                <c:pt idx="6">
                  <c:v>48.045899046386289</c:v>
                </c:pt>
                <c:pt idx="7">
                  <c:v>47.975095617646204</c:v>
                </c:pt>
                <c:pt idx="8">
                  <c:v>47.279835644640315</c:v>
                </c:pt>
                <c:pt idx="9">
                  <c:v>47.638837924271847</c:v>
                </c:pt>
                <c:pt idx="10">
                  <c:v>47.42946236296504</c:v>
                </c:pt>
                <c:pt idx="11">
                  <c:v>47.082189880682016</c:v>
                </c:pt>
                <c:pt idx="12">
                  <c:v>45.609347073861841</c:v>
                </c:pt>
                <c:pt idx="13">
                  <c:v>45.178710096618616</c:v>
                </c:pt>
                <c:pt idx="14">
                  <c:v>44.996228988909948</c:v>
                </c:pt>
                <c:pt idx="15">
                  <c:v>44.290926483002671</c:v>
                </c:pt>
                <c:pt idx="16">
                  <c:v>44.47600419034702</c:v>
                </c:pt>
                <c:pt idx="17">
                  <c:v>45.218707431512037</c:v>
                </c:pt>
                <c:pt idx="18">
                  <c:v>45.146517566797925</c:v>
                </c:pt>
                <c:pt idx="19">
                  <c:v>45.315772383632151</c:v>
                </c:pt>
                <c:pt idx="20">
                  <c:v>44.502491659639539</c:v>
                </c:pt>
                <c:pt idx="21" formatCode="General">
                  <c:v>43.778311397292804</c:v>
                </c:pt>
                <c:pt idx="22" formatCode="General">
                  <c:v>45.761829033849004</c:v>
                </c:pt>
                <c:pt idx="23" formatCode="General">
                  <c:v>45.82014277999891</c:v>
                </c:pt>
                <c:pt idx="24" formatCode="General">
                  <c:v>46.89898134081259</c:v>
                </c:pt>
                <c:pt idx="25" formatCode="General">
                  <c:v>46.054789336472965</c:v>
                </c:pt>
                <c:pt idx="26" formatCode="General">
                  <c:v>44.647413348342006</c:v>
                </c:pt>
                <c:pt idx="27" formatCode="General">
                  <c:v>43.901484708768663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589-45AC-980C-F19894EB90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7215184"/>
        <c:axId val="787196880"/>
      </c:lineChart>
      <c:catAx>
        <c:axId val="77960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779603392"/>
        <c:crosses val="autoZero"/>
        <c:auto val="1"/>
        <c:lblAlgn val="ctr"/>
        <c:lblOffset val="100"/>
        <c:noMultiLvlLbl val="0"/>
      </c:catAx>
      <c:valAx>
        <c:axId val="779603392"/>
        <c:scaling>
          <c:orientation val="minMax"/>
          <c:max val="120"/>
          <c:min val="-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HPH, </a:t>
                </a:r>
                <a:r>
                  <a:rPr lang="cs-CZ"/>
                  <a:t>ná</a:t>
                </a:r>
                <a:r>
                  <a:rPr lang="en-US"/>
                  <a:t>hrady</a:t>
                </a:r>
                <a:r>
                  <a:rPr lang="cs-CZ"/>
                  <a:t> zaměstnancům (mld. korun)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779606304"/>
        <c:crosses val="autoZero"/>
        <c:crossBetween val="between"/>
        <c:majorUnit val="30"/>
      </c:valAx>
      <c:valAx>
        <c:axId val="787196880"/>
        <c:scaling>
          <c:orientation val="minMax"/>
          <c:min val="43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/>
                  <a:t>Míra zisku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787215184"/>
        <c:crosses val="max"/>
        <c:crossBetween val="between"/>
      </c:valAx>
      <c:catAx>
        <c:axId val="7872151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871968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1322821681864235E-2"/>
          <c:y val="0.89978976697061808"/>
          <c:w val="0.84271572104018899"/>
          <c:h val="7.87647754137115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478765619723061E-2"/>
          <c:y val="3.9316672295395698E-2"/>
          <c:w val="0.83534806653157723"/>
          <c:h val="0.764568557919621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'NP2'!$C$6</c:f>
              <c:strCache>
                <c:ptCount val="1"/>
                <c:pt idx="0">
                  <c:v>Tvorba hrubého fixního kapitálu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multiLvlStrRef>
              <c:f>'NP2'!$A$11:$B$38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'NP2'!$C$11:$C$38</c:f>
              <c:numCache>
                <c:formatCode>General</c:formatCode>
                <c:ptCount val="28"/>
                <c:pt idx="0">
                  <c:v>14.896000000000001</c:v>
                </c:pt>
                <c:pt idx="1">
                  <c:v>19.86</c:v>
                </c:pt>
                <c:pt idx="2">
                  <c:v>15.653</c:v>
                </c:pt>
                <c:pt idx="3">
                  <c:v>5.8860000000000001</c:v>
                </c:pt>
                <c:pt idx="4">
                  <c:v>3.5840000000000001</c:v>
                </c:pt>
                <c:pt idx="5">
                  <c:v>4.2910000000000004</c:v>
                </c:pt>
                <c:pt idx="6">
                  <c:v>5.6639999999999997</c:v>
                </c:pt>
                <c:pt idx="7">
                  <c:v>13.547000000000001</c:v>
                </c:pt>
                <c:pt idx="8">
                  <c:v>8.5790000000000006</c:v>
                </c:pt>
                <c:pt idx="9">
                  <c:v>16.106000000000002</c:v>
                </c:pt>
                <c:pt idx="10">
                  <c:v>18.687000000000001</c:v>
                </c:pt>
                <c:pt idx="11">
                  <c:v>26.071999999999999</c:v>
                </c:pt>
                <c:pt idx="12">
                  <c:v>6.3949999999999996</c:v>
                </c:pt>
                <c:pt idx="13">
                  <c:v>8.6140000000000008</c:v>
                </c:pt>
                <c:pt idx="14">
                  <c:v>7.9569999999999999</c:v>
                </c:pt>
                <c:pt idx="15">
                  <c:v>16.013000000000002</c:v>
                </c:pt>
                <c:pt idx="16">
                  <c:v>17.695</c:v>
                </c:pt>
                <c:pt idx="17">
                  <c:v>13.617000000000001</c:v>
                </c:pt>
                <c:pt idx="18">
                  <c:v>25.163</c:v>
                </c:pt>
                <c:pt idx="19">
                  <c:v>32.338999999999999</c:v>
                </c:pt>
                <c:pt idx="20">
                  <c:v>-5.85</c:v>
                </c:pt>
                <c:pt idx="21">
                  <c:v>-9.8729999999999993</c:v>
                </c:pt>
                <c:pt idx="22">
                  <c:v>-23.033000000000001</c:v>
                </c:pt>
                <c:pt idx="23">
                  <c:v>-44.615000000000002</c:v>
                </c:pt>
                <c:pt idx="24">
                  <c:v>-8.3840000000000003</c:v>
                </c:pt>
                <c:pt idx="25">
                  <c:v>5.9269999999999996</c:v>
                </c:pt>
                <c:pt idx="26">
                  <c:v>2.7010000000000001</c:v>
                </c:pt>
                <c:pt idx="27">
                  <c:v>12.518000000000001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4E-4194-8078-C4F0B9A6A2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9"/>
        <c:overlap val="-27"/>
        <c:axId val="787223504"/>
        <c:axId val="787224752"/>
      </c:barChart>
      <c:lineChart>
        <c:grouping val="standard"/>
        <c:varyColors val="0"/>
        <c:ser>
          <c:idx val="1"/>
          <c:order val="1"/>
          <c:tx>
            <c:strRef>
              <c:f>'NP2'!$D$6</c:f>
              <c:strCache>
                <c:ptCount val="1"/>
                <c:pt idx="0">
                  <c:v>Míra investic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cat>
            <c:multiLvlStrRef>
              <c:f>'NP2'!$A$11:$B$38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'NP2'!$D$11:$D$38</c:f>
              <c:numCache>
                <c:formatCode>General</c:formatCode>
                <c:ptCount val="28"/>
                <c:pt idx="0">
                  <c:v>29.512425479446442</c:v>
                </c:pt>
                <c:pt idx="1">
                  <c:v>29.178252114877967</c:v>
                </c:pt>
                <c:pt idx="2">
                  <c:v>28.67667320811708</c:v>
                </c:pt>
                <c:pt idx="3">
                  <c:v>26.848410552754782</c:v>
                </c:pt>
                <c:pt idx="4">
                  <c:v>28.450965136526989</c:v>
                </c:pt>
                <c:pt idx="5">
                  <c:v>28.65738506722904</c:v>
                </c:pt>
                <c:pt idx="6">
                  <c:v>28.71622772396001</c:v>
                </c:pt>
                <c:pt idx="7">
                  <c:v>27.944147616127996</c:v>
                </c:pt>
                <c:pt idx="8">
                  <c:v>29.103113490357885</c:v>
                </c:pt>
                <c:pt idx="9">
                  <c:v>28.765346076090974</c:v>
                </c:pt>
                <c:pt idx="10">
                  <c:v>28.8229682731594</c:v>
                </c:pt>
                <c:pt idx="11">
                  <c:v>29.162870267873899</c:v>
                </c:pt>
                <c:pt idx="12">
                  <c:v>28.435524367562277</c:v>
                </c:pt>
                <c:pt idx="13">
                  <c:v>28.854179322877322</c:v>
                </c:pt>
                <c:pt idx="14">
                  <c:v>28.878599676020961</c:v>
                </c:pt>
                <c:pt idx="15">
                  <c:v>29.800140609849485</c:v>
                </c:pt>
                <c:pt idx="16">
                  <c:v>29.459581876243064</c:v>
                </c:pt>
                <c:pt idx="17">
                  <c:v>28.223641592250644</c:v>
                </c:pt>
                <c:pt idx="18">
                  <c:v>30.000428682536086</c:v>
                </c:pt>
                <c:pt idx="19">
                  <c:v>30.911158349116221</c:v>
                </c:pt>
                <c:pt idx="20">
                  <c:v>27.774813955260758</c:v>
                </c:pt>
                <c:pt idx="21">
                  <c:v>29.628361936646648</c:v>
                </c:pt>
                <c:pt idx="22">
                  <c:v>27.802129779674495</c:v>
                </c:pt>
                <c:pt idx="23">
                  <c:v>26.635380903546711</c:v>
                </c:pt>
                <c:pt idx="24">
                  <c:v>26.407108215496084</c:v>
                </c:pt>
                <c:pt idx="25">
                  <c:v>26.620389837318609</c:v>
                </c:pt>
                <c:pt idx="26">
                  <c:v>26.317245907790443</c:v>
                </c:pt>
                <c:pt idx="27">
                  <c:v>26.679520982849947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04E-4194-8078-C4F0B9A6A2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7212272"/>
        <c:axId val="787206864"/>
      </c:lineChart>
      <c:catAx>
        <c:axId val="787223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787224752"/>
        <c:crosses val="autoZero"/>
        <c:auto val="1"/>
        <c:lblAlgn val="ctr"/>
        <c:lblOffset val="100"/>
        <c:noMultiLvlLbl val="0"/>
      </c:catAx>
      <c:valAx>
        <c:axId val="787224752"/>
        <c:scaling>
          <c:orientation val="minMax"/>
          <c:max val="40"/>
          <c:min val="-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Tvorba HFK (mld. korun)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787223504"/>
        <c:crosses val="autoZero"/>
        <c:crossBetween val="between"/>
      </c:valAx>
      <c:valAx>
        <c:axId val="787206864"/>
        <c:scaling>
          <c:orientation val="minMax"/>
          <c:max val="31"/>
          <c:min val="25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Míra investic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787212272"/>
        <c:crosses val="max"/>
        <c:crossBetween val="between"/>
        <c:majorUnit val="1"/>
      </c:valAx>
      <c:catAx>
        <c:axId val="7872122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872068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4501013171225936E-2"/>
          <c:y val="0.92549279522683781"/>
          <c:w val="0.85512390239783864"/>
          <c:h val="5.30617471574918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800869638635598E-2"/>
          <c:y val="4.5653594771241833E-2"/>
          <c:w val="0.89171162613981758"/>
          <c:h val="0.67538431372549024"/>
        </c:manualLayout>
      </c:layout>
      <c:barChart>
        <c:barDir val="col"/>
        <c:grouping val="stacked"/>
        <c:varyColors val="0"/>
        <c:ser>
          <c:idx val="3"/>
          <c:order val="0"/>
          <c:tx>
            <c:strRef>
              <c:f>VI!$F$6</c:f>
              <c:strCache>
                <c:ptCount val="1"/>
                <c:pt idx="0">
                  <c:v>Fondy sociálního zabezpečení (zdravotní pojišťovny)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multiLvlStrRef>
              <c:f>VI!$A$11:$B$38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VI!$F$11:$F$38</c:f>
              <c:numCache>
                <c:formatCode>General</c:formatCode>
                <c:ptCount val="28"/>
                <c:pt idx="0">
                  <c:v>2.39</c:v>
                </c:pt>
                <c:pt idx="1">
                  <c:v>0.93700000000000006</c:v>
                </c:pt>
                <c:pt idx="2">
                  <c:v>1.048</c:v>
                </c:pt>
                <c:pt idx="3">
                  <c:v>-2.4620000000000002</c:v>
                </c:pt>
                <c:pt idx="4">
                  <c:v>1.337</c:v>
                </c:pt>
                <c:pt idx="5">
                  <c:v>1.087</c:v>
                </c:pt>
                <c:pt idx="6">
                  <c:v>3.8919999999999999</c:v>
                </c:pt>
                <c:pt idx="7">
                  <c:v>-1.43</c:v>
                </c:pt>
                <c:pt idx="8">
                  <c:v>0.34899999999999998</c:v>
                </c:pt>
                <c:pt idx="9">
                  <c:v>4.6449999999999996</c:v>
                </c:pt>
                <c:pt idx="10">
                  <c:v>6.37</c:v>
                </c:pt>
                <c:pt idx="11">
                  <c:v>-3.1819999999999999</c:v>
                </c:pt>
                <c:pt idx="12">
                  <c:v>3.45</c:v>
                </c:pt>
                <c:pt idx="13">
                  <c:v>4.9660000000000002</c:v>
                </c:pt>
                <c:pt idx="14">
                  <c:v>6.6139999999999999</c:v>
                </c:pt>
                <c:pt idx="15">
                  <c:v>1.6160000000000001</c:v>
                </c:pt>
                <c:pt idx="16">
                  <c:v>3.3359999999999999</c:v>
                </c:pt>
                <c:pt idx="17">
                  <c:v>4.9089999999999998</c:v>
                </c:pt>
                <c:pt idx="18">
                  <c:v>5.3339999999999996</c:v>
                </c:pt>
                <c:pt idx="19">
                  <c:v>-2.1880000000000002</c:v>
                </c:pt>
                <c:pt idx="20">
                  <c:v>-4.07</c:v>
                </c:pt>
                <c:pt idx="21">
                  <c:v>-1.4410000000000001</c:v>
                </c:pt>
                <c:pt idx="22">
                  <c:v>4.4909999999999997</c:v>
                </c:pt>
                <c:pt idx="23">
                  <c:v>-10.641</c:v>
                </c:pt>
                <c:pt idx="24">
                  <c:v>4.1230000000000002</c:v>
                </c:pt>
                <c:pt idx="25">
                  <c:v>9.0670000000000002</c:v>
                </c:pt>
                <c:pt idx="26">
                  <c:v>-12.22</c:v>
                </c:pt>
                <c:pt idx="27">
                  <c:v>-9.9600000000000009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39-4305-937C-EE8E5256CE52}"/>
            </c:ext>
          </c:extLst>
        </c:ser>
        <c:ser>
          <c:idx val="2"/>
          <c:order val="2"/>
          <c:tx>
            <c:strRef>
              <c:f>VI!$E$6</c:f>
              <c:strCache>
                <c:ptCount val="1"/>
                <c:pt idx="0">
                  <c:v>Místní vládní instituce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multiLvlStrRef>
              <c:f>VI!$A$11:$B$38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VI!$E$11:$E$38</c:f>
              <c:numCache>
                <c:formatCode>General</c:formatCode>
                <c:ptCount val="28"/>
                <c:pt idx="0">
                  <c:v>12.942</c:v>
                </c:pt>
                <c:pt idx="1">
                  <c:v>19.292000000000002</c:v>
                </c:pt>
                <c:pt idx="2">
                  <c:v>-2.6890000000000001</c:v>
                </c:pt>
                <c:pt idx="3">
                  <c:v>-3.556</c:v>
                </c:pt>
                <c:pt idx="4">
                  <c:v>17.620999999999999</c:v>
                </c:pt>
                <c:pt idx="5">
                  <c:v>26.577999999999999</c:v>
                </c:pt>
                <c:pt idx="6">
                  <c:v>9.0079999999999991</c:v>
                </c:pt>
                <c:pt idx="7">
                  <c:v>-3.5289999999999999</c:v>
                </c:pt>
                <c:pt idx="8">
                  <c:v>16.695</c:v>
                </c:pt>
                <c:pt idx="9">
                  <c:v>26.521000000000001</c:v>
                </c:pt>
                <c:pt idx="10">
                  <c:v>5.6349999999999998</c:v>
                </c:pt>
                <c:pt idx="11">
                  <c:v>-6.9260000000000002</c:v>
                </c:pt>
                <c:pt idx="12">
                  <c:v>15.24</c:v>
                </c:pt>
                <c:pt idx="13">
                  <c:v>24.675000000000001</c:v>
                </c:pt>
                <c:pt idx="14">
                  <c:v>-5.1619999999999999</c:v>
                </c:pt>
                <c:pt idx="15">
                  <c:v>-11.194000000000001</c:v>
                </c:pt>
                <c:pt idx="16">
                  <c:v>20.981000000000002</c:v>
                </c:pt>
                <c:pt idx="17">
                  <c:v>28.152000000000001</c:v>
                </c:pt>
                <c:pt idx="18">
                  <c:v>-1.296</c:v>
                </c:pt>
                <c:pt idx="19">
                  <c:v>-10.241</c:v>
                </c:pt>
                <c:pt idx="20">
                  <c:v>14.45</c:v>
                </c:pt>
                <c:pt idx="21">
                  <c:v>14.35</c:v>
                </c:pt>
                <c:pt idx="22">
                  <c:v>14.858000000000001</c:v>
                </c:pt>
                <c:pt idx="23">
                  <c:v>-17.312000000000001</c:v>
                </c:pt>
                <c:pt idx="24">
                  <c:v>9.9459999999999997</c:v>
                </c:pt>
                <c:pt idx="25">
                  <c:v>33.209000000000003</c:v>
                </c:pt>
                <c:pt idx="26">
                  <c:v>9.6969999999999992</c:v>
                </c:pt>
                <c:pt idx="27">
                  <c:v>-18.257999999999999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39-4305-937C-EE8E5256CE52}"/>
            </c:ext>
          </c:extLst>
        </c:ser>
        <c:ser>
          <c:idx val="1"/>
          <c:order val="3"/>
          <c:tx>
            <c:strRef>
              <c:f>VI!$D$6</c:f>
              <c:strCache>
                <c:ptCount val="1"/>
                <c:pt idx="0">
                  <c:v>Ústřední vládní instituce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multiLvlStrRef>
              <c:f>VI!$A$11:$B$38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VI!$D$11:$D$38</c:f>
              <c:numCache>
                <c:formatCode>General</c:formatCode>
                <c:ptCount val="28"/>
                <c:pt idx="0">
                  <c:v>-32.365000000000002</c:v>
                </c:pt>
                <c:pt idx="1">
                  <c:v>-9.8119999999999994</c:v>
                </c:pt>
                <c:pt idx="2">
                  <c:v>10.430999999999999</c:v>
                </c:pt>
                <c:pt idx="3">
                  <c:v>-25.934999999999999</c:v>
                </c:pt>
                <c:pt idx="4">
                  <c:v>-21.896999999999998</c:v>
                </c:pt>
                <c:pt idx="5">
                  <c:v>2.395</c:v>
                </c:pt>
                <c:pt idx="6">
                  <c:v>13.132</c:v>
                </c:pt>
                <c:pt idx="7">
                  <c:v>-14.051</c:v>
                </c:pt>
                <c:pt idx="8">
                  <c:v>-15.212999999999999</c:v>
                </c:pt>
                <c:pt idx="9">
                  <c:v>10.332000000000001</c:v>
                </c:pt>
                <c:pt idx="10">
                  <c:v>20.634</c:v>
                </c:pt>
                <c:pt idx="11">
                  <c:v>10.872999999999999</c:v>
                </c:pt>
                <c:pt idx="12">
                  <c:v>-16.704000000000001</c:v>
                </c:pt>
                <c:pt idx="13">
                  <c:v>11.66</c:v>
                </c:pt>
                <c:pt idx="14">
                  <c:v>14.561999999999999</c:v>
                </c:pt>
                <c:pt idx="15">
                  <c:v>-1.431</c:v>
                </c:pt>
                <c:pt idx="16">
                  <c:v>-26.315000000000001</c:v>
                </c:pt>
                <c:pt idx="17">
                  <c:v>-6.0869999999999997</c:v>
                </c:pt>
                <c:pt idx="18">
                  <c:v>12.068</c:v>
                </c:pt>
                <c:pt idx="19">
                  <c:v>-11.944000000000001</c:v>
                </c:pt>
                <c:pt idx="20">
                  <c:v>-60.658000000000001</c:v>
                </c:pt>
                <c:pt idx="21">
                  <c:v>-111.324</c:v>
                </c:pt>
                <c:pt idx="22">
                  <c:v>-62.37</c:v>
                </c:pt>
                <c:pt idx="23">
                  <c:v>-109.54900000000001</c:v>
                </c:pt>
                <c:pt idx="24">
                  <c:v>-155.851</c:v>
                </c:pt>
                <c:pt idx="25">
                  <c:v>-99.76</c:v>
                </c:pt>
                <c:pt idx="26">
                  <c:v>-52.381</c:v>
                </c:pt>
                <c:pt idx="27">
                  <c:v>-77.010000000000005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39-4305-937C-EE8E5256CE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overlap val="100"/>
        <c:axId val="1836024223"/>
        <c:axId val="1836025471"/>
      </c:barChart>
      <c:lineChart>
        <c:grouping val="standard"/>
        <c:varyColors val="0"/>
        <c:ser>
          <c:idx val="0"/>
          <c:order val="1"/>
          <c:tx>
            <c:strRef>
              <c:f>VI!$C$6</c:f>
              <c:strCache>
                <c:ptCount val="1"/>
                <c:pt idx="0">
                  <c:v>Celkem</c:v>
                </c:pt>
              </c:strCache>
            </c:strRef>
          </c:tx>
          <c:spPr>
            <a:ln w="28575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multiLvlStrRef>
              <c:f>VI!$A$11:$B$38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VI!$C$11:$C$38</c:f>
              <c:numCache>
                <c:formatCode>General</c:formatCode>
                <c:ptCount val="28"/>
                <c:pt idx="0">
                  <c:v>-17.033000000000001</c:v>
                </c:pt>
                <c:pt idx="1">
                  <c:v>10.417</c:v>
                </c:pt>
                <c:pt idx="2">
                  <c:v>8.7899999999999991</c:v>
                </c:pt>
                <c:pt idx="3">
                  <c:v>-31.952999999999999</c:v>
                </c:pt>
                <c:pt idx="4">
                  <c:v>-2.9390000000000001</c:v>
                </c:pt>
                <c:pt idx="5">
                  <c:v>30.06</c:v>
                </c:pt>
                <c:pt idx="6">
                  <c:v>26.032</c:v>
                </c:pt>
                <c:pt idx="7">
                  <c:v>-19.010000000000002</c:v>
                </c:pt>
                <c:pt idx="8">
                  <c:v>1.831</c:v>
                </c:pt>
                <c:pt idx="9">
                  <c:v>41.497999999999998</c:v>
                </c:pt>
                <c:pt idx="10">
                  <c:v>32.639000000000003</c:v>
                </c:pt>
                <c:pt idx="11">
                  <c:v>0.76500000000000001</c:v>
                </c:pt>
                <c:pt idx="12">
                  <c:v>1.986</c:v>
                </c:pt>
                <c:pt idx="13">
                  <c:v>41.301000000000002</c:v>
                </c:pt>
                <c:pt idx="14">
                  <c:v>16.013999999999999</c:v>
                </c:pt>
                <c:pt idx="15">
                  <c:v>-11.009</c:v>
                </c:pt>
                <c:pt idx="16">
                  <c:v>-1.998</c:v>
                </c:pt>
                <c:pt idx="17">
                  <c:v>26.974</c:v>
                </c:pt>
                <c:pt idx="18">
                  <c:v>16.106000000000002</c:v>
                </c:pt>
                <c:pt idx="19">
                  <c:v>-24.373000000000001</c:v>
                </c:pt>
                <c:pt idx="20">
                  <c:v>-50.277999999999999</c:v>
                </c:pt>
                <c:pt idx="21">
                  <c:v>-98.415000000000006</c:v>
                </c:pt>
                <c:pt idx="22">
                  <c:v>-43.021000000000001</c:v>
                </c:pt>
                <c:pt idx="23">
                  <c:v>-137.50200000000001</c:v>
                </c:pt>
                <c:pt idx="24">
                  <c:v>-141.78200000000001</c:v>
                </c:pt>
                <c:pt idx="25">
                  <c:v>-57.484000000000002</c:v>
                </c:pt>
                <c:pt idx="26">
                  <c:v>-54.904000000000003</c:v>
                </c:pt>
                <c:pt idx="27">
                  <c:v>-105.22799999999999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839-4305-937C-EE8E5256CE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36024223"/>
        <c:axId val="1836025471"/>
      </c:lineChart>
      <c:catAx>
        <c:axId val="18360242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836025471"/>
        <c:crosses val="autoZero"/>
        <c:auto val="1"/>
        <c:lblAlgn val="ctr"/>
        <c:lblOffset val="100"/>
        <c:noMultiLvlLbl val="0"/>
      </c:catAx>
      <c:valAx>
        <c:axId val="1836025471"/>
        <c:scaling>
          <c:orientation val="minMax"/>
          <c:max val="50"/>
          <c:min val="-1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836024223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1584979736575483E-2"/>
          <c:y val="0.84149411764705884"/>
          <c:w val="0.88776300236406624"/>
          <c:h val="0.14605490196078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ysClr val="windowText" lastClr="000000"/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462564167430897E-2"/>
          <c:y val="4.5653594771241833E-2"/>
          <c:w val="0.90775933128840824"/>
          <c:h val="0.676025163398692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'VI2'!$C$5</c:f>
              <c:strCache>
                <c:ptCount val="1"/>
                <c:pt idx="0">
                  <c:v>Dlouhodobé dluhové cenné papíry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multiLvlStrRef>
              <c:f>'VI2'!$A$10:$B$37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'VI2'!$C$10:$C$37</c:f>
              <c:numCache>
                <c:formatCode>General</c:formatCode>
                <c:ptCount val="28"/>
                <c:pt idx="0">
                  <c:v>18.847999999999999</c:v>
                </c:pt>
                <c:pt idx="1">
                  <c:v>17.466999999999999</c:v>
                </c:pt>
                <c:pt idx="2">
                  <c:v>-6.7460000000000004</c:v>
                </c:pt>
                <c:pt idx="3">
                  <c:v>48.031999999999996</c:v>
                </c:pt>
                <c:pt idx="4">
                  <c:v>37.271000000000001</c:v>
                </c:pt>
                <c:pt idx="5">
                  <c:v>69.44</c:v>
                </c:pt>
                <c:pt idx="6">
                  <c:v>83.290999999999997</c:v>
                </c:pt>
                <c:pt idx="7">
                  <c:v>24.291</c:v>
                </c:pt>
                <c:pt idx="8">
                  <c:v>101.614</c:v>
                </c:pt>
                <c:pt idx="9">
                  <c:v>9.9260000000000002</c:v>
                </c:pt>
                <c:pt idx="10">
                  <c:v>-29.707000000000001</c:v>
                </c:pt>
                <c:pt idx="11">
                  <c:v>-30.15</c:v>
                </c:pt>
                <c:pt idx="12">
                  <c:v>-187.25800000000001</c:v>
                </c:pt>
                <c:pt idx="13">
                  <c:v>-61.563000000000002</c:v>
                </c:pt>
                <c:pt idx="14">
                  <c:v>-37.698</c:v>
                </c:pt>
                <c:pt idx="15">
                  <c:v>-8.4459999999999997</c:v>
                </c:pt>
                <c:pt idx="16">
                  <c:v>159.285</c:v>
                </c:pt>
                <c:pt idx="17">
                  <c:v>100.34699999999999</c:v>
                </c:pt>
                <c:pt idx="18">
                  <c:v>88.245999999999995</c:v>
                </c:pt>
                <c:pt idx="19">
                  <c:v>41.860999999999997</c:v>
                </c:pt>
                <c:pt idx="20">
                  <c:v>-24.57</c:v>
                </c:pt>
                <c:pt idx="21">
                  <c:v>303.31900000000002</c:v>
                </c:pt>
                <c:pt idx="22">
                  <c:v>288.69200000000001</c:v>
                </c:pt>
                <c:pt idx="23">
                  <c:v>396.11</c:v>
                </c:pt>
                <c:pt idx="24">
                  <c:v>539.68100000000004</c:v>
                </c:pt>
                <c:pt idx="25">
                  <c:v>310.03300000000002</c:v>
                </c:pt>
                <c:pt idx="26">
                  <c:v>298.214</c:v>
                </c:pt>
                <c:pt idx="27">
                  <c:v>336.67399999999998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B7-4511-9E20-B2A47CA551EF}"/>
            </c:ext>
          </c:extLst>
        </c:ser>
        <c:ser>
          <c:idx val="1"/>
          <c:order val="1"/>
          <c:tx>
            <c:strRef>
              <c:f>'VI2'!$D$5</c:f>
              <c:strCache>
                <c:ptCount val="1"/>
                <c:pt idx="0">
                  <c:v>Krátkodobé dluhové cenné papíry</c:v>
                </c:pt>
              </c:strCache>
            </c:strRef>
          </c:tx>
          <c:spPr>
            <a:solidFill>
              <a:srgbClr val="FE9090"/>
            </a:solidFill>
            <a:ln>
              <a:noFill/>
            </a:ln>
            <a:effectLst/>
          </c:spPr>
          <c:invertIfNegative val="0"/>
          <c:cat>
            <c:multiLvlStrRef>
              <c:f>'VI2'!$A$10:$B$37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'VI2'!$D$10:$D$37</c:f>
              <c:numCache>
                <c:formatCode>General</c:formatCode>
                <c:ptCount val="28"/>
                <c:pt idx="0">
                  <c:v>-16.446999999999999</c:v>
                </c:pt>
                <c:pt idx="1">
                  <c:v>-9.6340000000000003</c:v>
                </c:pt>
                <c:pt idx="2">
                  <c:v>13.411</c:v>
                </c:pt>
                <c:pt idx="3">
                  <c:v>-22.658000000000001</c:v>
                </c:pt>
                <c:pt idx="4">
                  <c:v>-2.016</c:v>
                </c:pt>
                <c:pt idx="5">
                  <c:v>-30.206</c:v>
                </c:pt>
                <c:pt idx="6">
                  <c:v>-86.369</c:v>
                </c:pt>
                <c:pt idx="7">
                  <c:v>-79.730999999999995</c:v>
                </c:pt>
                <c:pt idx="8">
                  <c:v>-8.9580000000000002</c:v>
                </c:pt>
                <c:pt idx="9">
                  <c:v>89.825000000000003</c:v>
                </c:pt>
                <c:pt idx="10">
                  <c:v>-17.864999999999998</c:v>
                </c:pt>
                <c:pt idx="11">
                  <c:v>39.607999999999997</c:v>
                </c:pt>
                <c:pt idx="12">
                  <c:v>110.06399999999999</c:v>
                </c:pt>
                <c:pt idx="13">
                  <c:v>-73.570999999999998</c:v>
                </c:pt>
                <c:pt idx="14">
                  <c:v>42.71</c:v>
                </c:pt>
                <c:pt idx="15">
                  <c:v>-40.204999999999998</c:v>
                </c:pt>
                <c:pt idx="16">
                  <c:v>-178.68899999999999</c:v>
                </c:pt>
                <c:pt idx="17">
                  <c:v>-72.613</c:v>
                </c:pt>
                <c:pt idx="18">
                  <c:v>-42.478000000000002</c:v>
                </c:pt>
                <c:pt idx="19">
                  <c:v>0.13200000000000001</c:v>
                </c:pt>
                <c:pt idx="20">
                  <c:v>65.55</c:v>
                </c:pt>
                <c:pt idx="21">
                  <c:v>130.24100000000001</c:v>
                </c:pt>
                <c:pt idx="22">
                  <c:v>100.735</c:v>
                </c:pt>
                <c:pt idx="23">
                  <c:v>19.956</c:v>
                </c:pt>
                <c:pt idx="24">
                  <c:v>-42.252000000000002</c:v>
                </c:pt>
                <c:pt idx="25">
                  <c:v>-110.548</c:v>
                </c:pt>
                <c:pt idx="26">
                  <c:v>-85.460999999999999</c:v>
                </c:pt>
                <c:pt idx="27">
                  <c:v>9.3879999999999999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B7-4511-9E20-B2A47CA551EF}"/>
            </c:ext>
          </c:extLst>
        </c:ser>
        <c:ser>
          <c:idx val="2"/>
          <c:order val="2"/>
          <c:tx>
            <c:strRef>
              <c:f>'VI2'!$E$5</c:f>
              <c:strCache>
                <c:ptCount val="1"/>
                <c:pt idx="0">
                  <c:v>Dlouhodobé půjčky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multiLvlStrRef>
              <c:f>'VI2'!$A$10:$B$37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'VI2'!$E$10:$E$37</c:f>
              <c:numCache>
                <c:formatCode>General</c:formatCode>
                <c:ptCount val="28"/>
                <c:pt idx="0">
                  <c:v>-16.625</c:v>
                </c:pt>
                <c:pt idx="1">
                  <c:v>-18.791</c:v>
                </c:pt>
                <c:pt idx="2">
                  <c:v>-15.385999999999999</c:v>
                </c:pt>
                <c:pt idx="3">
                  <c:v>-3.4649999999999999</c:v>
                </c:pt>
                <c:pt idx="4">
                  <c:v>-6.1390000000000002</c:v>
                </c:pt>
                <c:pt idx="5">
                  <c:v>-4.306</c:v>
                </c:pt>
                <c:pt idx="6">
                  <c:v>-5.09</c:v>
                </c:pt>
                <c:pt idx="7">
                  <c:v>-22.616</c:v>
                </c:pt>
                <c:pt idx="8">
                  <c:v>-22.443000000000001</c:v>
                </c:pt>
                <c:pt idx="9">
                  <c:v>-21.582999999999998</c:v>
                </c:pt>
                <c:pt idx="10">
                  <c:v>-23.733000000000001</c:v>
                </c:pt>
                <c:pt idx="11">
                  <c:v>-12.262</c:v>
                </c:pt>
                <c:pt idx="12">
                  <c:v>-12.497999999999999</c:v>
                </c:pt>
                <c:pt idx="13">
                  <c:v>-10.695</c:v>
                </c:pt>
                <c:pt idx="14">
                  <c:v>-8.8230000000000004</c:v>
                </c:pt>
                <c:pt idx="15">
                  <c:v>-11.949</c:v>
                </c:pt>
                <c:pt idx="16">
                  <c:v>-9.83</c:v>
                </c:pt>
                <c:pt idx="17">
                  <c:v>-9.6769999999999996</c:v>
                </c:pt>
                <c:pt idx="18">
                  <c:v>-6.806</c:v>
                </c:pt>
                <c:pt idx="19">
                  <c:v>-2.5350000000000001</c:v>
                </c:pt>
                <c:pt idx="20">
                  <c:v>1.1910000000000001</c:v>
                </c:pt>
                <c:pt idx="21">
                  <c:v>2.137</c:v>
                </c:pt>
                <c:pt idx="22">
                  <c:v>8.7710000000000008</c:v>
                </c:pt>
                <c:pt idx="23">
                  <c:v>1.512</c:v>
                </c:pt>
                <c:pt idx="24">
                  <c:v>50.615000000000002</c:v>
                </c:pt>
                <c:pt idx="25">
                  <c:v>47.738999999999997</c:v>
                </c:pt>
                <c:pt idx="26">
                  <c:v>46.26</c:v>
                </c:pt>
                <c:pt idx="27">
                  <c:v>50.176000000000002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B7-4511-9E20-B2A47CA551EF}"/>
            </c:ext>
          </c:extLst>
        </c:ser>
        <c:ser>
          <c:idx val="3"/>
          <c:order val="3"/>
          <c:tx>
            <c:strRef>
              <c:f>'VI2'!$F$5</c:f>
              <c:strCache>
                <c:ptCount val="1"/>
                <c:pt idx="0">
                  <c:v>Krátkodobé půjčky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'VI2'!$A$10:$B$37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'VI2'!$F$10:$F$37</c:f>
              <c:numCache>
                <c:formatCode>General</c:formatCode>
                <c:ptCount val="28"/>
                <c:pt idx="0">
                  <c:v>5.234</c:v>
                </c:pt>
                <c:pt idx="1">
                  <c:v>12.789</c:v>
                </c:pt>
                <c:pt idx="2">
                  <c:v>11.449</c:v>
                </c:pt>
                <c:pt idx="3">
                  <c:v>1.895</c:v>
                </c:pt>
                <c:pt idx="4">
                  <c:v>-3.3530000000000002</c:v>
                </c:pt>
                <c:pt idx="5">
                  <c:v>-12.811</c:v>
                </c:pt>
                <c:pt idx="6">
                  <c:v>-10.784000000000001</c:v>
                </c:pt>
                <c:pt idx="7">
                  <c:v>-5.4210000000000003</c:v>
                </c:pt>
                <c:pt idx="8">
                  <c:v>-2.968</c:v>
                </c:pt>
                <c:pt idx="9">
                  <c:v>-1.4670000000000001</c:v>
                </c:pt>
                <c:pt idx="10">
                  <c:v>0.63</c:v>
                </c:pt>
                <c:pt idx="11">
                  <c:v>1.002</c:v>
                </c:pt>
                <c:pt idx="12">
                  <c:v>1.8140000000000001</c:v>
                </c:pt>
                <c:pt idx="13">
                  <c:v>53.356999999999999</c:v>
                </c:pt>
                <c:pt idx="14">
                  <c:v>50.372</c:v>
                </c:pt>
                <c:pt idx="15">
                  <c:v>42.76</c:v>
                </c:pt>
                <c:pt idx="16">
                  <c:v>34.055</c:v>
                </c:pt>
                <c:pt idx="17">
                  <c:v>-27.446000000000002</c:v>
                </c:pt>
                <c:pt idx="18">
                  <c:v>-33.340000000000003</c:v>
                </c:pt>
                <c:pt idx="19">
                  <c:v>-30.263000000000002</c:v>
                </c:pt>
                <c:pt idx="20">
                  <c:v>5.1239999999999997</c:v>
                </c:pt>
                <c:pt idx="21">
                  <c:v>7.8109999999999999</c:v>
                </c:pt>
                <c:pt idx="22">
                  <c:v>-13.019</c:v>
                </c:pt>
                <c:pt idx="23">
                  <c:v>-14.334</c:v>
                </c:pt>
                <c:pt idx="24">
                  <c:v>76.912000000000006</c:v>
                </c:pt>
                <c:pt idx="25">
                  <c:v>0.82799999999999996</c:v>
                </c:pt>
                <c:pt idx="26">
                  <c:v>-4.3040000000000003</c:v>
                </c:pt>
                <c:pt idx="27">
                  <c:v>15.855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2B7-4511-9E20-B2A47CA551EF}"/>
            </c:ext>
          </c:extLst>
        </c:ser>
        <c:ser>
          <c:idx val="4"/>
          <c:order val="4"/>
          <c:tx>
            <c:strRef>
              <c:f>'VI2'!$G$5</c:f>
              <c:strCache>
                <c:ptCount val="1"/>
                <c:pt idx="0">
                  <c:v>Oběživo a vklady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multiLvlStrRef>
              <c:f>'VI2'!$A$10:$B$37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'VI2'!$G$10:$G$37</c:f>
              <c:numCache>
                <c:formatCode>General</c:formatCode>
                <c:ptCount val="28"/>
                <c:pt idx="0">
                  <c:v>5.4</c:v>
                </c:pt>
                <c:pt idx="1">
                  <c:v>8.2270000000000003</c:v>
                </c:pt>
                <c:pt idx="2">
                  <c:v>-1.0999999999999999E-2</c:v>
                </c:pt>
                <c:pt idx="3">
                  <c:v>-6.6449999999999996</c:v>
                </c:pt>
                <c:pt idx="4">
                  <c:v>-2.9249999999999998</c:v>
                </c:pt>
                <c:pt idx="5">
                  <c:v>0.24399999999999999</c:v>
                </c:pt>
                <c:pt idx="6">
                  <c:v>3.173</c:v>
                </c:pt>
                <c:pt idx="7">
                  <c:v>2.1669999999999998</c:v>
                </c:pt>
                <c:pt idx="8">
                  <c:v>-0.40899999999999997</c:v>
                </c:pt>
                <c:pt idx="9">
                  <c:v>-3.468</c:v>
                </c:pt>
                <c:pt idx="10">
                  <c:v>-1.865</c:v>
                </c:pt>
                <c:pt idx="11">
                  <c:v>-3.258</c:v>
                </c:pt>
                <c:pt idx="12">
                  <c:v>-2.6560000000000001</c:v>
                </c:pt>
                <c:pt idx="13">
                  <c:v>-1.3320000000000001</c:v>
                </c:pt>
                <c:pt idx="14">
                  <c:v>-7.0730000000000004</c:v>
                </c:pt>
                <c:pt idx="15">
                  <c:v>2.7650000000000001</c:v>
                </c:pt>
                <c:pt idx="16">
                  <c:v>-2.7530000000000001</c:v>
                </c:pt>
                <c:pt idx="17">
                  <c:v>-3.827</c:v>
                </c:pt>
                <c:pt idx="18">
                  <c:v>0.35099999999999998</c:v>
                </c:pt>
                <c:pt idx="19">
                  <c:v>-3.5339999999999998</c:v>
                </c:pt>
                <c:pt idx="20">
                  <c:v>6.2709999999999999</c:v>
                </c:pt>
                <c:pt idx="21">
                  <c:v>4.931</c:v>
                </c:pt>
                <c:pt idx="22">
                  <c:v>3.0760000000000001</c:v>
                </c:pt>
                <c:pt idx="23">
                  <c:v>5.7610000000000001</c:v>
                </c:pt>
                <c:pt idx="24">
                  <c:v>-1.653</c:v>
                </c:pt>
                <c:pt idx="25">
                  <c:v>3.8149999999999999</c:v>
                </c:pt>
                <c:pt idx="26">
                  <c:v>5.4320000000000004</c:v>
                </c:pt>
                <c:pt idx="27">
                  <c:v>5.226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2B7-4511-9E20-B2A47CA55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overlap val="100"/>
        <c:axId val="1700462447"/>
        <c:axId val="1700462863"/>
      </c:barChart>
      <c:lineChart>
        <c:grouping val="standard"/>
        <c:varyColors val="0"/>
        <c:ser>
          <c:idx val="5"/>
          <c:order val="5"/>
          <c:tx>
            <c:strRef>
              <c:f>'VI2'!$H$5</c:f>
              <c:strCache>
                <c:ptCount val="1"/>
                <c:pt idx="0">
                  <c:v>Celkem</c:v>
                </c:pt>
              </c:strCache>
            </c:strRef>
          </c:tx>
          <c:spPr>
            <a:ln w="28575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multiLvlStrRef>
              <c:f>'VI2'!$A$10:$B$37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'VI2'!$H$10:$H$37</c:f>
              <c:numCache>
                <c:formatCode>General</c:formatCode>
                <c:ptCount val="28"/>
                <c:pt idx="0">
                  <c:v>-3.59</c:v>
                </c:pt>
                <c:pt idx="1">
                  <c:v>10.058</c:v>
                </c:pt>
                <c:pt idx="2">
                  <c:v>2.7170000000000001</c:v>
                </c:pt>
                <c:pt idx="3">
                  <c:v>17.158999999999999</c:v>
                </c:pt>
                <c:pt idx="4">
                  <c:v>22.838000000000001</c:v>
                </c:pt>
                <c:pt idx="5">
                  <c:v>22.361000000000001</c:v>
                </c:pt>
                <c:pt idx="6">
                  <c:v>-15.779</c:v>
                </c:pt>
                <c:pt idx="7">
                  <c:v>-81.31</c:v>
                </c:pt>
                <c:pt idx="8">
                  <c:v>66.835999999999999</c:v>
                </c:pt>
                <c:pt idx="9">
                  <c:v>73.233000000000004</c:v>
                </c:pt>
                <c:pt idx="10">
                  <c:v>-72.540000000000006</c:v>
                </c:pt>
                <c:pt idx="11">
                  <c:v>-5.0599999999999996</c:v>
                </c:pt>
                <c:pt idx="12">
                  <c:v>-90.534000000000006</c:v>
                </c:pt>
                <c:pt idx="13">
                  <c:v>-93.804000000000002</c:v>
                </c:pt>
                <c:pt idx="14">
                  <c:v>39.488</c:v>
                </c:pt>
                <c:pt idx="15">
                  <c:v>-15.074999999999999</c:v>
                </c:pt>
                <c:pt idx="16">
                  <c:v>2.0680000000000001</c:v>
                </c:pt>
                <c:pt idx="17">
                  <c:v>-13.215999999999999</c:v>
                </c:pt>
                <c:pt idx="18">
                  <c:v>5.9729999999999999</c:v>
                </c:pt>
                <c:pt idx="19">
                  <c:v>5.6609999999999996</c:v>
                </c:pt>
                <c:pt idx="20">
                  <c:v>53.566000000000003</c:v>
                </c:pt>
                <c:pt idx="21">
                  <c:v>448.43900000000002</c:v>
                </c:pt>
                <c:pt idx="22">
                  <c:v>388.255</c:v>
                </c:pt>
                <c:pt idx="23">
                  <c:v>409.005</c:v>
                </c:pt>
                <c:pt idx="24">
                  <c:v>623.303</c:v>
                </c:pt>
                <c:pt idx="25">
                  <c:v>251.86699999999999</c:v>
                </c:pt>
                <c:pt idx="26">
                  <c:v>260.14100000000002</c:v>
                </c:pt>
                <c:pt idx="27">
                  <c:v>417.31900000000002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2B7-4511-9E20-B2A47CA55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0462447"/>
        <c:axId val="1700462863"/>
      </c:lineChart>
      <c:catAx>
        <c:axId val="17004624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700462863"/>
        <c:crosses val="autoZero"/>
        <c:auto val="1"/>
        <c:lblAlgn val="ctr"/>
        <c:lblOffset val="100"/>
        <c:noMultiLvlLbl val="0"/>
      </c:catAx>
      <c:valAx>
        <c:axId val="1700462863"/>
        <c:scaling>
          <c:orientation val="minMax"/>
          <c:max val="7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7004624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9426925025329276E-2"/>
          <c:y val="0.86288660130718953"/>
          <c:w val="0.89207911178655863"/>
          <c:h val="0.112211437908496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ysClr val="windowText" lastClr="000000"/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616957953394123"/>
          <c:y val="4.5653594771241833E-2"/>
          <c:w val="0.80265725261735887"/>
          <c:h val="0.726622549019607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Dom!$C$4</c:f>
              <c:strCache>
                <c:ptCount val="1"/>
                <c:pt idx="0">
                  <c:v>Výdaje na tvorbu hrubého fixního kapitálu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Dom!$A$9:$B$36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Dom!$C$9:$C$36</c:f>
              <c:numCache>
                <c:formatCode>General</c:formatCode>
                <c:ptCount val="28"/>
                <c:pt idx="0">
                  <c:v>1.768</c:v>
                </c:pt>
                <c:pt idx="1">
                  <c:v>1.7310000000000001</c:v>
                </c:pt>
                <c:pt idx="2">
                  <c:v>1.1080000000000001</c:v>
                </c:pt>
                <c:pt idx="3">
                  <c:v>0.75900000000000001</c:v>
                </c:pt>
                <c:pt idx="4">
                  <c:v>0.42799999999999999</c:v>
                </c:pt>
                <c:pt idx="5">
                  <c:v>4.4530000000000003</c:v>
                </c:pt>
                <c:pt idx="6">
                  <c:v>2.6150000000000002</c:v>
                </c:pt>
                <c:pt idx="7">
                  <c:v>10.651999999999999</c:v>
                </c:pt>
                <c:pt idx="8">
                  <c:v>-3.9460000000000002</c:v>
                </c:pt>
                <c:pt idx="9">
                  <c:v>-5.0069999999999997</c:v>
                </c:pt>
                <c:pt idx="10">
                  <c:v>-2.9910000000000001</c:v>
                </c:pt>
                <c:pt idx="11">
                  <c:v>-9.234</c:v>
                </c:pt>
                <c:pt idx="12">
                  <c:v>9.016</c:v>
                </c:pt>
                <c:pt idx="13">
                  <c:v>10.769</c:v>
                </c:pt>
                <c:pt idx="14">
                  <c:v>14.337999999999999</c:v>
                </c:pt>
                <c:pt idx="15">
                  <c:v>14.686</c:v>
                </c:pt>
                <c:pt idx="16">
                  <c:v>7.1550000000000002</c:v>
                </c:pt>
                <c:pt idx="17">
                  <c:v>7.4320000000000004</c:v>
                </c:pt>
                <c:pt idx="18">
                  <c:v>8.4429999999999996</c:v>
                </c:pt>
                <c:pt idx="19">
                  <c:v>8.8279999999999994</c:v>
                </c:pt>
                <c:pt idx="20">
                  <c:v>-0.67200000000000004</c:v>
                </c:pt>
                <c:pt idx="21">
                  <c:v>-2.8000000000000001E-2</c:v>
                </c:pt>
                <c:pt idx="22">
                  <c:v>-3.9</c:v>
                </c:pt>
                <c:pt idx="23">
                  <c:v>2.4790000000000001</c:v>
                </c:pt>
                <c:pt idx="24">
                  <c:v>1.8620000000000001</c:v>
                </c:pt>
                <c:pt idx="25">
                  <c:v>14.332000000000001</c:v>
                </c:pt>
                <c:pt idx="26">
                  <c:v>11.598000000000001</c:v>
                </c:pt>
                <c:pt idx="27">
                  <c:v>14.118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36-482D-A9EE-8F59B2686E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2043804271"/>
        <c:axId val="2043808015"/>
      </c:barChart>
      <c:lineChart>
        <c:grouping val="standard"/>
        <c:varyColors val="0"/>
        <c:ser>
          <c:idx val="1"/>
          <c:order val="1"/>
          <c:tx>
            <c:strRef>
              <c:f>Dom!$D$4</c:f>
              <c:strCache>
                <c:ptCount val="1"/>
                <c:pt idx="0">
                  <c:v>Míra úspor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cat>
            <c:multiLvlStrRef>
              <c:f>Dom!$A$9:$B$36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Dom!$D$9:$D$36</c:f>
              <c:numCache>
                <c:formatCode>0.0</c:formatCode>
                <c:ptCount val="28"/>
                <c:pt idx="0">
                  <c:v>12.386978013064365</c:v>
                </c:pt>
                <c:pt idx="1">
                  <c:v>11.929687936410923</c:v>
                </c:pt>
                <c:pt idx="2">
                  <c:v>12.515966514435023</c:v>
                </c:pt>
                <c:pt idx="3">
                  <c:v>11.323431417532584</c:v>
                </c:pt>
                <c:pt idx="4">
                  <c:v>11.486436531840962</c:v>
                </c:pt>
                <c:pt idx="5">
                  <c:v>11.58546209363835</c:v>
                </c:pt>
                <c:pt idx="6">
                  <c:v>11.557471472103874</c:v>
                </c:pt>
                <c:pt idx="7">
                  <c:v>10.813784247909517</c:v>
                </c:pt>
                <c:pt idx="8">
                  <c:v>11.533564453882628</c:v>
                </c:pt>
                <c:pt idx="9">
                  <c:v>11.584366570370769</c:v>
                </c:pt>
                <c:pt idx="10">
                  <c:v>11.448326419577166</c:v>
                </c:pt>
                <c:pt idx="11">
                  <c:v>11.799303614537804</c:v>
                </c:pt>
                <c:pt idx="12">
                  <c:v>11.950000284347793</c:v>
                </c:pt>
                <c:pt idx="13">
                  <c:v>12.433776292087254</c:v>
                </c:pt>
                <c:pt idx="14">
                  <c:v>11.38925425817086</c:v>
                </c:pt>
                <c:pt idx="15">
                  <c:v>12.681156462029605</c:v>
                </c:pt>
                <c:pt idx="16">
                  <c:v>12.964650825631349</c:v>
                </c:pt>
                <c:pt idx="17">
                  <c:v>13.27974545759022</c:v>
                </c:pt>
                <c:pt idx="18">
                  <c:v>12.863745892093364</c:v>
                </c:pt>
                <c:pt idx="19">
                  <c:v>13.421907504380886</c:v>
                </c:pt>
                <c:pt idx="20">
                  <c:v>17.080711800977031</c:v>
                </c:pt>
                <c:pt idx="21">
                  <c:v>22.331401004168605</c:v>
                </c:pt>
                <c:pt idx="22" formatCode="General">
                  <c:v>19.821967714912507</c:v>
                </c:pt>
                <c:pt idx="23" formatCode="General">
                  <c:v>25.478188453778223</c:v>
                </c:pt>
                <c:pt idx="24" formatCode="General">
                  <c:v>24.8640211380145</c:v>
                </c:pt>
                <c:pt idx="25" formatCode="General">
                  <c:v>21.131952676475375</c:v>
                </c:pt>
                <c:pt idx="26" formatCode="General">
                  <c:v>16.480827642749034</c:v>
                </c:pt>
                <c:pt idx="27" formatCode="General">
                  <c:v>18.39643626957896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B36-482D-A9EE-8F59B2686E82}"/>
            </c:ext>
          </c:extLst>
        </c:ser>
        <c:ser>
          <c:idx val="2"/>
          <c:order val="2"/>
          <c:tx>
            <c:strRef>
              <c:f>Dom!$E$4</c:f>
              <c:strCache>
                <c:ptCount val="1"/>
                <c:pt idx="0">
                  <c:v>Míra investic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multiLvlStrRef>
              <c:f>Dom!$A$9:$B$36</c:f>
              <c:multiLvlStrCache>
                <c:ptCount val="2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Dom!$E$9:$E$36</c:f>
              <c:numCache>
                <c:formatCode>0.0</c:formatCode>
                <c:ptCount val="28"/>
                <c:pt idx="0">
                  <c:v>8.7565346655939713</c:v>
                </c:pt>
                <c:pt idx="1">
                  <c:v>8.6938806357593261</c:v>
                </c:pt>
                <c:pt idx="2">
                  <c:v>8.650329691322149</c:v>
                </c:pt>
                <c:pt idx="3">
                  <c:v>8.6978726715879002</c:v>
                </c:pt>
                <c:pt idx="4">
                  <c:v>9.1217095852365695</c:v>
                </c:pt>
                <c:pt idx="5">
                  <c:v>9.2767874651450875</c:v>
                </c:pt>
                <c:pt idx="6">
                  <c:v>9.1037816651396266</c:v>
                </c:pt>
                <c:pt idx="7">
                  <c:v>9.064885198794487</c:v>
                </c:pt>
                <c:pt idx="8">
                  <c:v>7.9975417454520015</c:v>
                </c:pt>
                <c:pt idx="9">
                  <c:v>7.6837846082072812</c:v>
                </c:pt>
                <c:pt idx="10">
                  <c:v>7.6832488863896655</c:v>
                </c:pt>
                <c:pt idx="11">
                  <c:v>7.7499938673058137</c:v>
                </c:pt>
                <c:pt idx="12">
                  <c:v>8.5039893995143334</c:v>
                </c:pt>
                <c:pt idx="13">
                  <c:v>8.8876373561106092</c:v>
                </c:pt>
                <c:pt idx="14">
                  <c:v>9.2106358535488919</c:v>
                </c:pt>
                <c:pt idx="15">
                  <c:v>9.3727801954652712</c:v>
                </c:pt>
                <c:pt idx="16">
                  <c:v>9.4689095696483214</c:v>
                </c:pt>
                <c:pt idx="17">
                  <c:v>9.4775705434145525</c:v>
                </c:pt>
                <c:pt idx="18">
                  <c:v>9.5591344021455793</c:v>
                </c:pt>
                <c:pt idx="19">
                  <c:v>9.3920047549265746</c:v>
                </c:pt>
                <c:pt idx="20">
                  <c:v>9.0253550842029924</c:v>
                </c:pt>
                <c:pt idx="21">
                  <c:v>8.9564788405517728</c:v>
                </c:pt>
                <c:pt idx="22" formatCode="General">
                  <c:v>8.8075251620764465</c:v>
                </c:pt>
                <c:pt idx="23" formatCode="General">
                  <c:v>8.9183333313304907</c:v>
                </c:pt>
                <c:pt idx="24" formatCode="General">
                  <c:v>9.2440450429605683</c:v>
                </c:pt>
                <c:pt idx="25" formatCode="General">
                  <c:v>9.4912023801222603</c:v>
                </c:pt>
                <c:pt idx="26" formatCode="General">
                  <c:v>9.7650310748169495</c:v>
                </c:pt>
                <c:pt idx="27" formatCode="General">
                  <c:v>10.026268141974422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B36-482D-A9EE-8F59B2686E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122767"/>
        <c:axId val="161119023"/>
      </c:lineChart>
      <c:catAx>
        <c:axId val="20438042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2043808015"/>
        <c:crosses val="autoZero"/>
        <c:auto val="1"/>
        <c:lblAlgn val="ctr"/>
        <c:lblOffset val="100"/>
        <c:noMultiLvlLbl val="0"/>
      </c:catAx>
      <c:valAx>
        <c:axId val="2043808015"/>
        <c:scaling>
          <c:orientation val="minMax"/>
          <c:max val="15"/>
          <c:min val="-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Meziroční změna výdajů na tvorbu hrubého fixního kapitálu (mld. korun)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2043804271"/>
        <c:crosses val="autoZero"/>
        <c:crossBetween val="between"/>
      </c:valAx>
      <c:valAx>
        <c:axId val="161119023"/>
        <c:scaling>
          <c:orientation val="minMax"/>
          <c:min val="5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Míra investic, míra úspor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61122767"/>
        <c:crosses val="max"/>
        <c:crossBetween val="between"/>
      </c:valAx>
      <c:catAx>
        <c:axId val="16112276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111902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E6586-87EC-4F2A-AAAC-B8CD5105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2</TotalTime>
  <Pages>11</Pages>
  <Words>4002</Words>
  <Characters>23616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27563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Zábojníková</dc:creator>
  <cp:lastModifiedBy>Mgr. Karolína Zábojníková</cp:lastModifiedBy>
  <cp:revision>3</cp:revision>
  <dcterms:created xsi:type="dcterms:W3CDTF">2022-04-14T11:48:00Z</dcterms:created>
  <dcterms:modified xsi:type="dcterms:W3CDTF">2022-04-21T09:22:00Z</dcterms:modified>
</cp:coreProperties>
</file>