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drawings/drawing16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D3" w:rsidRPr="00D96547" w:rsidRDefault="006F17D3" w:rsidP="006F17D3">
      <w:pPr>
        <w:pStyle w:val="Nadpis1"/>
        <w:spacing w:before="240" w:after="120" w:line="264" w:lineRule="auto"/>
      </w:pPr>
      <w:bookmarkStart w:id="0" w:name="_Toc444112496"/>
      <w:bookmarkStart w:id="1" w:name="_Toc525303571"/>
      <w:r w:rsidRPr="00D96547">
        <w:t>Kapitola F ICT ve vzdělávání a digitální dovednosti</w:t>
      </w:r>
      <w:bookmarkEnd w:id="1"/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 xml:space="preserve">Pro studenty jsou v současné době moderní informační a komunikační technologie (dále jen ICT) naprostou samozřejmostí – většina z nich nikdy nežila bez internetu, a proto si život </w:t>
      </w:r>
      <w:proofErr w:type="spellStart"/>
      <w:r w:rsidRPr="00D96547">
        <w:rPr>
          <w:i/>
          <w:sz w:val="20"/>
        </w:rPr>
        <w:t>offline</w:t>
      </w:r>
      <w:proofErr w:type="spellEnd"/>
      <w:r w:rsidRPr="00D96547">
        <w:rPr>
          <w:i/>
          <w:sz w:val="20"/>
        </w:rPr>
        <w:t xml:space="preserve"> nedokáže ani představit.</w:t>
      </w:r>
      <w:r w:rsidRPr="00D96547">
        <w:rPr>
          <w:rStyle w:val="Znakapoznpodarou"/>
          <w:i/>
          <w:sz w:val="20"/>
        </w:rPr>
        <w:footnoteReference w:id="1"/>
      </w:r>
      <w:r w:rsidRPr="00D96547">
        <w:rPr>
          <w:i/>
          <w:sz w:val="20"/>
        </w:rPr>
        <w:t xml:space="preserve"> </w:t>
      </w:r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 xml:space="preserve">Nejen adekvátní znalosti, ale i vzdělávání v oblasti ICT se ovšem netýká pouze mladé generace. Každodenní i občasný kontakt s informačními technologiemi v pracovním i mimopracovním životě vytváří tlak na osvojování počítačových a digitálních dovedností téměř u každého. Práce s počítačem či internetem dávno nepatří do světa vysoce vzdělaných a nadšených jedinců, ale stává se rutinní součástí každodenního života většiny z nás. </w:t>
      </w:r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>Pro vývoj v oblasti informačních technologií je důležitá dostatečná základna odborníků, kteří svými znalostmi a dovednostmi přispívají k inovativním řešením. Odborné znalosti z oblasti ICT je možné získat studiem v rámci formálního vzdělávání, ale též v průběhu dalšího (neformálního) vzdělávání či samostudia, příp.</w:t>
      </w:r>
      <w:r w:rsidR="00E76B4E">
        <w:rPr>
          <w:i/>
          <w:sz w:val="20"/>
        </w:rPr>
        <w:t> </w:t>
      </w:r>
      <w:r w:rsidRPr="00D96547">
        <w:rPr>
          <w:i/>
          <w:sz w:val="20"/>
        </w:rPr>
        <w:t xml:space="preserve">i samotnou praxí. </w:t>
      </w:r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>O přístupu k ICT mezi patnáctiletými žáky doma a ve škole přináší informace pravidelné mezinárodní šetření PISA (</w:t>
      </w:r>
      <w:proofErr w:type="spellStart"/>
      <w:r w:rsidRPr="00D96547">
        <w:rPr>
          <w:i/>
          <w:sz w:val="20"/>
        </w:rPr>
        <w:t>Programme</w:t>
      </w:r>
      <w:proofErr w:type="spellEnd"/>
      <w:r w:rsidRPr="00D96547">
        <w:rPr>
          <w:i/>
          <w:sz w:val="20"/>
        </w:rPr>
        <w:t xml:space="preserve"> </w:t>
      </w:r>
      <w:proofErr w:type="spellStart"/>
      <w:r w:rsidRPr="00D96547">
        <w:rPr>
          <w:i/>
          <w:sz w:val="20"/>
        </w:rPr>
        <w:t>for</w:t>
      </w:r>
      <w:proofErr w:type="spellEnd"/>
      <w:r w:rsidRPr="00D96547">
        <w:rPr>
          <w:i/>
          <w:sz w:val="20"/>
        </w:rPr>
        <w:t xml:space="preserve"> International Student </w:t>
      </w:r>
      <w:proofErr w:type="spellStart"/>
      <w:r w:rsidRPr="00D96547">
        <w:rPr>
          <w:i/>
          <w:sz w:val="20"/>
        </w:rPr>
        <w:t>Assesment</w:t>
      </w:r>
      <w:proofErr w:type="spellEnd"/>
      <w:r w:rsidRPr="00D96547">
        <w:rPr>
          <w:i/>
          <w:sz w:val="20"/>
        </w:rPr>
        <w:t>) organizované OECD. Národní šetření o ICT, které zajišťuje ČSÚ, mj. zkoumá, k čemu studenti starší 16 let používají internet nebo do jaké míry Češi disponují vybranými počítačovými dovednostmi.</w:t>
      </w:r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>Počty studentů a absolventů ICT oborů v různých členěních pochází ze systému Sdružených informací matrik studentů (SIMS) spadajícím pod MŠMT. ICT specialisty mapuje Výběrové šetření pracovních sil (VŠPS), které provádí ČSÚ. Data o mzdách specialistů v ICT oborech vychází ze speciálního zpracování dat získaných v rámci Strukturální mzdové statistiky zaměstnanců.</w:t>
      </w:r>
    </w:p>
    <w:p w:rsidR="006F17D3" w:rsidRPr="00D96547" w:rsidRDefault="006F17D3" w:rsidP="006F17D3">
      <w:pPr>
        <w:pStyle w:val="Nadpis2"/>
        <w:spacing w:before="240" w:after="120" w:line="264" w:lineRule="auto"/>
      </w:pPr>
      <w:bookmarkStart w:id="2" w:name="_Toc525303572"/>
      <w:r w:rsidRPr="00D96547">
        <w:t>F. 1 Počítače a informační systémy na školách</w:t>
      </w:r>
      <w:r w:rsidRPr="00D96547">
        <w:rPr>
          <w:rStyle w:val="Znakapoznpodarou"/>
          <w:i/>
          <w:sz w:val="24"/>
        </w:rPr>
        <w:footnoteReference w:id="2"/>
      </w:r>
      <w:bookmarkEnd w:id="2"/>
    </w:p>
    <w:p w:rsidR="006F17D3" w:rsidRPr="00D96547" w:rsidRDefault="006F17D3" w:rsidP="007445D0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 xml:space="preserve">Počítače ve školách se již dávno nenachází výhradně v počítačových učebnách nebo kabinetech vyučujících. Stále častěji mají školy k dispozici např. jazykové učebny či učebny pro výuku přírodních věd vybavené multimediálními a digitálními technologiemi. Zatímco dříve žáci/studenti přednášeli své referáty pouze ústně, s rozvojem počítačů ve školách je mohou obohatit vizuálně a interaktivně prostřednictvím různých mediálních a prezentačních programů. Prezentace představují i častý způsob zapojení studentů do výuky a slouží také jako vizuální podpora výkladu vyučujících. </w:t>
      </w:r>
    </w:p>
    <w:p w:rsidR="006F17D3" w:rsidRPr="00D96547" w:rsidRDefault="006F17D3" w:rsidP="007445D0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>Rozvoj internetu umožnil přesun části administrativy a komunikace mezi učitelem a žákem/studentem, resp</w:t>
      </w:r>
      <w:r w:rsidR="007445D0">
        <w:rPr>
          <w:i/>
          <w:sz w:val="20"/>
        </w:rPr>
        <w:t>. </w:t>
      </w:r>
      <w:r w:rsidRPr="00D96547">
        <w:rPr>
          <w:i/>
          <w:sz w:val="20"/>
        </w:rPr>
        <w:t xml:space="preserve">rodičem do elektronické podoby. Dochází tak k pružnější interakci zúčastněných subjektů. Na druhou stranu ne pro všechny vyučující je ovládání informačních systémů snadné a jejich zavedení a používání je pro ně časově náročné. Informační systémy na školách slouží zejména pro přehled hodnocení studenta, zadávání domácích úkolů, zasílání omluvenek, přehledu o suplování, zápisy do třídní knihy, zadávání docházky aj. </w:t>
      </w:r>
    </w:p>
    <w:p w:rsidR="006F17D3" w:rsidRPr="00D96547" w:rsidRDefault="006F17D3" w:rsidP="007445D0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  <w:rPr>
          <w:b/>
        </w:rPr>
      </w:pPr>
      <w:r w:rsidRPr="00D96547">
        <w:rPr>
          <w:b/>
        </w:rPr>
        <w:t xml:space="preserve">Připojení k internetu </w:t>
      </w:r>
      <w:r w:rsidRPr="00D96547">
        <w:t xml:space="preserve">je v českých školách téměř samozřejmostí. Stupně škol se liší v rychlosti internetu. Zatímco pětina (20 %) mateřských škol má internet s rychlostí vyšší než 30 </w:t>
      </w:r>
      <w:proofErr w:type="spellStart"/>
      <w:r w:rsidRPr="00D96547">
        <w:t>Mb</w:t>
      </w:r>
      <w:proofErr w:type="spellEnd"/>
      <w:r w:rsidRPr="00D96547">
        <w:t xml:space="preserve">/s, mezi středními a vyššími odbornými školami je takových již více jak polovina (54 %).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Lines="80" w:after="192" w:line="264" w:lineRule="auto"/>
        <w:ind w:left="284" w:hanging="284"/>
        <w:jc w:val="both"/>
      </w:pPr>
      <w:r w:rsidRPr="00D96547">
        <w:rPr>
          <w:b/>
        </w:rPr>
        <w:t xml:space="preserve">Webovými stránkami </w:t>
      </w:r>
      <w:r w:rsidRPr="00D96547">
        <w:t>disponovaly ve školním roce 2016/2017 téměř všechny střední a vyšší odborné školy (99 %). V případě základních škol se jejich počet s vlastními webovými stránkami za posledních pět let téměř zdvojnásobil, a to z 51 % ve školním roce 2011/2012 na 96 % ve školním roce 2016/2017. I v případě mateřských škol se jich již většina prezentuje prostřednictvím internetu – ve školním roce 2016/2017 jich mělo vlastní webové stránky již 87 %. </w:t>
      </w:r>
    </w:p>
    <w:p w:rsidR="006F17D3" w:rsidRPr="00D96547" w:rsidRDefault="006F17D3" w:rsidP="007445D0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lastRenderedPageBreak/>
        <w:t xml:space="preserve">Ve školním roce 2016/17 provozovala většina škol v České republice </w:t>
      </w:r>
      <w:r w:rsidRPr="00D96547">
        <w:rPr>
          <w:b/>
        </w:rPr>
        <w:t xml:space="preserve">školní informační systém - </w:t>
      </w:r>
      <w:r w:rsidRPr="00D96547">
        <w:t>95 % základních a 99 % středních škol. Pro porovnání v roce 2011/2012</w:t>
      </w:r>
      <w:r w:rsidRPr="00D96547">
        <w:rPr>
          <w:b/>
        </w:rPr>
        <w:t xml:space="preserve"> </w:t>
      </w:r>
      <w:r w:rsidRPr="00D96547">
        <w:t>existovalo sice již 93 % středních škol s těmito systémy, mezi základními školami však činil tento podíl pouze 36 %.</w:t>
      </w: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3" w:name="_Toc524332619"/>
      <w:r w:rsidRPr="0083434D">
        <w:rPr>
          <w:color w:val="FFFFFF" w:themeColor="background1"/>
          <w:sz w:val="4"/>
          <w:szCs w:val="4"/>
        </w:rPr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Školy v Česku s připojením k internetu rychlostí alespoň 31 </w:t>
      </w:r>
      <w:proofErr w:type="spellStart"/>
      <w:r w:rsidRPr="0083434D">
        <w:rPr>
          <w:color w:val="FFFFFF" w:themeColor="background1"/>
          <w:sz w:val="4"/>
          <w:szCs w:val="4"/>
        </w:rPr>
        <w:t>Mbit</w:t>
      </w:r>
      <w:proofErr w:type="spellEnd"/>
      <w:r w:rsidRPr="0083434D">
        <w:rPr>
          <w:color w:val="FFFFFF" w:themeColor="background1"/>
          <w:sz w:val="4"/>
          <w:szCs w:val="4"/>
        </w:rPr>
        <w:t>/s ve školním roce 2016/2017</w:t>
      </w:r>
      <w:bookmarkEnd w:id="3"/>
    </w:p>
    <w:p w:rsidR="0083434D" w:rsidRPr="006E65BC" w:rsidRDefault="0083434D" w:rsidP="0083434D">
      <w:pPr>
        <w:pStyle w:val="Titulek"/>
        <w:spacing w:after="0"/>
        <w:jc w:val="both"/>
        <w:rPr>
          <w:color w:val="FFFFFF" w:themeColor="background1"/>
          <w:sz w:val="4"/>
          <w:szCs w:val="4"/>
        </w:rPr>
      </w:pPr>
      <w:bookmarkStart w:id="4" w:name="_Toc524332620"/>
      <w:r w:rsidRPr="006E65BC">
        <w:rPr>
          <w:color w:val="FFFFFF" w:themeColor="background1"/>
          <w:sz w:val="4"/>
          <w:szCs w:val="4"/>
        </w:rPr>
        <w:t>Graf F</w:t>
      </w:r>
      <w:r w:rsidRPr="006E65BC">
        <w:rPr>
          <w:color w:val="FFFFFF" w:themeColor="background1"/>
          <w:sz w:val="4"/>
          <w:szCs w:val="4"/>
        </w:rPr>
        <w:fldChar w:fldCharType="begin"/>
      </w:r>
      <w:r w:rsidRPr="006E65BC">
        <w:rPr>
          <w:color w:val="FFFFFF" w:themeColor="background1"/>
          <w:sz w:val="4"/>
          <w:szCs w:val="4"/>
        </w:rPr>
        <w:instrText xml:space="preserve"> SEQ Graf_F \* ARABIC </w:instrText>
      </w:r>
      <w:r w:rsidRPr="006E65BC">
        <w:rPr>
          <w:color w:val="FFFFFF" w:themeColor="background1"/>
          <w:sz w:val="4"/>
          <w:szCs w:val="4"/>
        </w:rPr>
        <w:fldChar w:fldCharType="separate"/>
      </w:r>
      <w:r w:rsidRPr="006E65BC">
        <w:rPr>
          <w:noProof/>
          <w:color w:val="FFFFFF" w:themeColor="background1"/>
          <w:sz w:val="4"/>
          <w:szCs w:val="4"/>
        </w:rPr>
        <w:t>2</w:t>
      </w:r>
      <w:r w:rsidRPr="006E65BC">
        <w:rPr>
          <w:color w:val="FFFFFF" w:themeColor="background1"/>
          <w:sz w:val="4"/>
          <w:szCs w:val="4"/>
        </w:rPr>
        <w:fldChar w:fldCharType="end"/>
      </w:r>
      <w:r w:rsidRPr="006E65BC">
        <w:rPr>
          <w:color w:val="FFFFFF" w:themeColor="background1"/>
          <w:sz w:val="4"/>
          <w:szCs w:val="4"/>
        </w:rPr>
        <w:t xml:space="preserve"> Základní a střední školy v Česku s vlastními web</w:t>
      </w:r>
      <w:r w:rsidR="006E65BC" w:rsidRPr="006E65BC">
        <w:rPr>
          <w:color w:val="FFFFFF" w:themeColor="background1"/>
          <w:sz w:val="4"/>
          <w:szCs w:val="4"/>
        </w:rPr>
        <w:t>.</w:t>
      </w:r>
      <w:r w:rsidRPr="006E65BC">
        <w:rPr>
          <w:color w:val="FFFFFF" w:themeColor="background1"/>
          <w:sz w:val="4"/>
          <w:szCs w:val="4"/>
        </w:rPr>
        <w:t xml:space="preserve"> </w:t>
      </w:r>
      <w:proofErr w:type="gramStart"/>
      <w:r w:rsidRPr="006E65BC">
        <w:rPr>
          <w:color w:val="FFFFFF" w:themeColor="background1"/>
          <w:sz w:val="4"/>
          <w:szCs w:val="4"/>
        </w:rPr>
        <w:t>stránkami</w:t>
      </w:r>
      <w:proofErr w:type="gramEnd"/>
      <w:r w:rsidRPr="006E65BC">
        <w:rPr>
          <w:color w:val="FFFFFF" w:themeColor="background1"/>
          <w:sz w:val="4"/>
          <w:szCs w:val="4"/>
        </w:rPr>
        <w:t xml:space="preserve"> a školním informačním systémem</w:t>
      </w:r>
      <w:bookmarkEnd w:id="4"/>
    </w:p>
    <w:p w:rsidR="006F17D3" w:rsidRPr="00D96547" w:rsidRDefault="006F17D3" w:rsidP="0083434D">
      <w:pPr>
        <w:keepNext/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0D778899" wp14:editId="3DC01892">
            <wp:extent cx="2880000" cy="2700000"/>
            <wp:effectExtent l="0" t="0" r="0" b="24765"/>
            <wp:docPr id="153" name="Graf 1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D96547">
        <w:rPr>
          <w:noProof/>
        </w:rPr>
        <w:drawing>
          <wp:inline distT="0" distB="0" distL="0" distR="0" wp14:anchorId="0D7B5B5B" wp14:editId="506C5C05">
            <wp:extent cx="3204000" cy="2700000"/>
            <wp:effectExtent l="0" t="0" r="0" b="5715"/>
            <wp:docPr id="154" name="Graf 1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F17D3" w:rsidRPr="00D96547" w:rsidRDefault="006F17D3" w:rsidP="006F17D3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after="80" w:line="264" w:lineRule="auto"/>
        <w:ind w:left="284" w:hanging="284"/>
        <w:jc w:val="both"/>
        <w:rPr>
          <w:rFonts w:ascii="Arial" w:hAnsi="Arial"/>
          <w:sz w:val="20"/>
        </w:rPr>
      </w:pPr>
      <w:r w:rsidRPr="00D96547">
        <w:rPr>
          <w:rFonts w:ascii="Arial" w:hAnsi="Arial"/>
          <w:sz w:val="20"/>
        </w:rPr>
        <w:t xml:space="preserve">Možnost přístupu k informačním technologiím ve školách v České republice se za poslední roky příliš nezměnil. Ve školním roce 2017/2018 připadalo na 100 studentů středních škol 25 počítačů, v předchozím školním roce pro srovnání 24 počítačů. Na základních školách se jejich počet meziročně dokonce téměř nezměnil. V současné době je naprostá většina těchto počítačů s připojením na internet.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V čase však roste počet </w:t>
      </w:r>
      <w:r w:rsidRPr="00D96547">
        <w:rPr>
          <w:b/>
        </w:rPr>
        <w:t>přenosných počítačů</w:t>
      </w:r>
      <w:r w:rsidRPr="00D96547">
        <w:t>. V roce 2017 například na 2. stupni základních škol připadlo na 100 žáků 3,2 notebo</w:t>
      </w:r>
      <w:r>
        <w:t>o</w:t>
      </w:r>
      <w:r w:rsidRPr="00D96547">
        <w:t xml:space="preserve">ků v porovnání s 2,6 v roce 2015. I nejvyšší </w:t>
      </w:r>
      <w:r w:rsidRPr="00D96547">
        <w:rPr>
          <w:b/>
        </w:rPr>
        <w:t xml:space="preserve">počet </w:t>
      </w:r>
      <w:proofErr w:type="spellStart"/>
      <w:r w:rsidRPr="00D96547">
        <w:rPr>
          <w:b/>
        </w:rPr>
        <w:t>tabletů</w:t>
      </w:r>
      <w:proofErr w:type="spellEnd"/>
      <w:r w:rsidRPr="00D96547">
        <w:t xml:space="preserve"> připadal v roce 2017 na žáky 2. stupně základních škol, téměř 4 tablety na 100 žáků, tj. téměř třikrát tolik než před dvěma roky.</w:t>
      </w: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5" w:name="_Toc524332621"/>
      <w:r w:rsidRPr="0083434D">
        <w:rPr>
          <w:color w:val="FFFFFF" w:themeColor="background1"/>
          <w:sz w:val="4"/>
          <w:szCs w:val="4"/>
        </w:rPr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3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Počet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r w:rsidRPr="0083434D">
        <w:rPr>
          <w:color w:val="FFFFFF" w:themeColor="background1"/>
          <w:sz w:val="4"/>
          <w:szCs w:val="4"/>
        </w:rPr>
        <w:t xml:space="preserve">přenosných počítačů s přístupem na </w:t>
      </w:r>
      <w:proofErr w:type="gramStart"/>
      <w:r w:rsidRPr="0083434D">
        <w:rPr>
          <w:color w:val="FFFFFF" w:themeColor="background1"/>
          <w:sz w:val="4"/>
          <w:szCs w:val="4"/>
        </w:rPr>
        <w:t xml:space="preserve">internet </w:t>
      </w:r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na</w:t>
      </w:r>
      <w:proofErr w:type="spellEnd"/>
      <w:proofErr w:type="gramEnd"/>
      <w:r w:rsidRPr="0083434D">
        <w:rPr>
          <w:color w:val="FFFFFF" w:themeColor="background1"/>
          <w:sz w:val="4"/>
          <w:szCs w:val="4"/>
          <w:lang w:val="en-US"/>
        </w:rPr>
        <w:t xml:space="preserve"> 100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žáků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daném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typu</w:t>
      </w:r>
      <w:proofErr w:type="spellEnd"/>
      <w:r w:rsidRPr="0083434D">
        <w:rPr>
          <w:color w:val="FFFFFF" w:themeColor="background1"/>
          <w:sz w:val="4"/>
          <w:szCs w:val="4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škol</w:t>
      </w:r>
      <w:proofErr w:type="spellEnd"/>
      <w:r w:rsidRPr="0083434D">
        <w:rPr>
          <w:color w:val="FFFFFF" w:themeColor="background1"/>
          <w:sz w:val="4"/>
          <w:szCs w:val="4"/>
        </w:rPr>
        <w:t xml:space="preserve"> v Česku</w:t>
      </w:r>
      <w:bookmarkEnd w:id="5"/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6" w:name="_Toc524332622"/>
      <w:r w:rsidRPr="0083434D">
        <w:rPr>
          <w:color w:val="FFFFFF" w:themeColor="background1"/>
          <w:sz w:val="4"/>
          <w:szCs w:val="4"/>
        </w:rPr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4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Počet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tabletů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na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100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žáků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daném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typu</w:t>
      </w:r>
      <w:proofErr w:type="spellEnd"/>
      <w:r w:rsidRPr="0083434D">
        <w:rPr>
          <w:color w:val="FFFFFF" w:themeColor="background1"/>
          <w:sz w:val="4"/>
          <w:szCs w:val="4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škol</w:t>
      </w:r>
      <w:proofErr w:type="spellEnd"/>
      <w:r w:rsidRPr="0083434D">
        <w:rPr>
          <w:color w:val="FFFFFF" w:themeColor="background1"/>
          <w:sz w:val="4"/>
          <w:szCs w:val="4"/>
        </w:rPr>
        <w:t xml:space="preserve"> v Česku</w:t>
      </w:r>
      <w:bookmarkEnd w:id="6"/>
    </w:p>
    <w:p w:rsidR="006F17D3" w:rsidRPr="00D96547" w:rsidRDefault="006F17D3" w:rsidP="006F17D3">
      <w:pPr>
        <w:tabs>
          <w:tab w:val="num" w:pos="284"/>
        </w:tabs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6812FADD" wp14:editId="3B2EE254">
            <wp:extent cx="3024000" cy="2520000"/>
            <wp:effectExtent l="0" t="0" r="5080" b="0"/>
            <wp:docPr id="155" name="Graf 1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D96547">
        <w:rPr>
          <w:noProof/>
          <w:lang w:eastAsia="en-US"/>
        </w:rPr>
        <w:t xml:space="preserve"> </w:t>
      </w:r>
      <w:r w:rsidRPr="00D96547">
        <w:rPr>
          <w:noProof/>
        </w:rPr>
        <w:drawing>
          <wp:inline distT="0" distB="0" distL="0" distR="0" wp14:anchorId="10AD7587" wp14:editId="69827AAE">
            <wp:extent cx="3024000" cy="2520000"/>
            <wp:effectExtent l="0" t="0" r="5080" b="0"/>
            <wp:docPr id="156" name="Graf 1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>V </w:t>
      </w:r>
      <w:r w:rsidRPr="00D96547">
        <w:rPr>
          <w:b/>
        </w:rPr>
        <w:t xml:space="preserve">absolutním vyjádření počet počítačů </w:t>
      </w:r>
      <w:r w:rsidRPr="00D96547">
        <w:t xml:space="preserve">– stolních, přenosných nebo </w:t>
      </w:r>
      <w:proofErr w:type="spellStart"/>
      <w:r w:rsidRPr="00D96547">
        <w:t>tabletů</w:t>
      </w:r>
      <w:proofErr w:type="spellEnd"/>
      <w:r w:rsidRPr="00D96547">
        <w:t xml:space="preserve"> –</w:t>
      </w:r>
      <w:r w:rsidRPr="00D96547">
        <w:rPr>
          <w:b/>
        </w:rPr>
        <w:t xml:space="preserve"> </w:t>
      </w:r>
      <w:r w:rsidRPr="00D96547">
        <w:t xml:space="preserve">dostupných žákům/studentům základních a středních škol dosáhl v roce 2017 v Česku celkem 262 tisíc. Tři čtvrtiny z nich (200 tisíc) stále tvořily stolní počítače. Na základních školách byl jejich podíl o cca 10 procentních bodů nižší (70 %) než v případě středních škol (80 %). Počet </w:t>
      </w:r>
      <w:proofErr w:type="spellStart"/>
      <w:r w:rsidRPr="00D96547">
        <w:t>tabletů</w:t>
      </w:r>
      <w:proofErr w:type="spellEnd"/>
      <w:r w:rsidRPr="00D96547">
        <w:t xml:space="preserve"> a notebooků na základních školách dosáhl v obou případech 21 tisíc.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rPr>
          <w:b/>
        </w:rPr>
        <w:t xml:space="preserve">Stáří počítačů </w:t>
      </w:r>
      <w:r w:rsidRPr="00D96547">
        <w:t>dostupných žákům českých základních a středních škol se pohybuje nejčastěji v rozmezí 3 až 9 let. Jak již bylo uvedeno výše, nejčastěji jsou žákům na všech typech škol dostupné stolní počítače</w:t>
      </w:r>
      <w:r w:rsidRPr="00D96547">
        <w:rPr>
          <w:b/>
        </w:rPr>
        <w:t xml:space="preserve">, </w:t>
      </w:r>
      <w:r w:rsidRPr="00D96547">
        <w:t xml:space="preserve">které jsou zároveň nejstarší. Jen 14 % (28 tisíc) z nich je mladších dvou let. Relativně </w:t>
      </w:r>
      <w:r w:rsidRPr="00D96547">
        <w:lastRenderedPageBreak/>
        <w:t xml:space="preserve">„nejmladším“ zařízením (stáří do 2 let) jsou na základních a středních školách v ČR tablety (34 % ze všech </w:t>
      </w:r>
      <w:proofErr w:type="spellStart"/>
      <w:r w:rsidRPr="00D96547">
        <w:t>tabletů</w:t>
      </w:r>
      <w:proofErr w:type="spellEnd"/>
      <w:r w:rsidRPr="00D96547">
        <w:t xml:space="preserve">). Zbytek </w:t>
      </w:r>
      <w:proofErr w:type="spellStart"/>
      <w:r w:rsidRPr="00D96547">
        <w:t>tabletů</w:t>
      </w:r>
      <w:proofErr w:type="spellEnd"/>
      <w:r w:rsidRPr="00D96547">
        <w:t xml:space="preserve"> tvoří ty, jež byly pro studijní potřeby pořízeny před 3 až 9 lety.</w:t>
      </w: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7" w:name="_Toc524332623"/>
      <w:r w:rsidRPr="0083434D">
        <w:rPr>
          <w:color w:val="FFFFFF" w:themeColor="background1"/>
          <w:sz w:val="4"/>
          <w:szCs w:val="4"/>
        </w:rPr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5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Počítače dostupné žákům škol v Česku podle jejich typu v roce 2017</w:t>
      </w:r>
      <w:bookmarkEnd w:id="7"/>
    </w:p>
    <w:p w:rsidR="0083434D" w:rsidRPr="006E65BC" w:rsidRDefault="0083434D" w:rsidP="0083434D">
      <w:pPr>
        <w:pStyle w:val="Titulek"/>
        <w:keepNext/>
        <w:spacing w:after="0"/>
        <w:jc w:val="both"/>
        <w:rPr>
          <w:color w:val="FFFFFF" w:themeColor="background1"/>
        </w:rPr>
      </w:pPr>
      <w:bookmarkStart w:id="8" w:name="_Toc524332624"/>
      <w:r w:rsidRPr="0083434D">
        <w:rPr>
          <w:color w:val="FFFFFF" w:themeColor="background1"/>
          <w:sz w:val="4"/>
          <w:szCs w:val="4"/>
        </w:rPr>
        <w:t xml:space="preserve">Graf </w:t>
      </w:r>
      <w:r w:rsidRPr="006E65BC">
        <w:rPr>
          <w:color w:val="FFFFFF" w:themeColor="background1"/>
          <w:sz w:val="4"/>
          <w:szCs w:val="4"/>
        </w:rPr>
        <w:t>F</w:t>
      </w:r>
      <w:r w:rsidRPr="006E65BC">
        <w:rPr>
          <w:color w:val="FFFFFF" w:themeColor="background1"/>
          <w:sz w:val="4"/>
          <w:szCs w:val="4"/>
        </w:rPr>
        <w:fldChar w:fldCharType="begin"/>
      </w:r>
      <w:r w:rsidRPr="006E65BC">
        <w:rPr>
          <w:color w:val="FFFFFF" w:themeColor="background1"/>
          <w:sz w:val="4"/>
          <w:szCs w:val="4"/>
        </w:rPr>
        <w:instrText xml:space="preserve"> SEQ Graf_F \* ARABIC </w:instrText>
      </w:r>
      <w:r w:rsidRPr="006E65BC">
        <w:rPr>
          <w:color w:val="FFFFFF" w:themeColor="background1"/>
          <w:sz w:val="4"/>
          <w:szCs w:val="4"/>
        </w:rPr>
        <w:fldChar w:fldCharType="separate"/>
      </w:r>
      <w:r w:rsidRPr="006E65BC">
        <w:rPr>
          <w:noProof/>
          <w:color w:val="FFFFFF" w:themeColor="background1"/>
          <w:sz w:val="4"/>
          <w:szCs w:val="4"/>
        </w:rPr>
        <w:t>6</w:t>
      </w:r>
      <w:r w:rsidRPr="006E65BC">
        <w:rPr>
          <w:color w:val="FFFFFF" w:themeColor="background1"/>
          <w:sz w:val="4"/>
          <w:szCs w:val="4"/>
        </w:rPr>
        <w:fldChar w:fldCharType="end"/>
      </w:r>
      <w:r w:rsidRPr="006E65BC">
        <w:rPr>
          <w:color w:val="FFFFFF" w:themeColor="background1"/>
          <w:sz w:val="4"/>
          <w:szCs w:val="4"/>
        </w:rPr>
        <w:t xml:space="preserve">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Stáří</w:t>
      </w:r>
      <w:proofErr w:type="spellEnd"/>
      <w:r w:rsidRPr="006E65B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počítačů</w:t>
      </w:r>
      <w:proofErr w:type="spellEnd"/>
      <w:r w:rsidRPr="006E65B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dostupných</w:t>
      </w:r>
      <w:proofErr w:type="spellEnd"/>
      <w:r w:rsidRPr="006E65B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žákům</w:t>
      </w:r>
      <w:proofErr w:type="spellEnd"/>
      <w:r w:rsidRPr="006E65B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proofErr w:type="gramStart"/>
      <w:r w:rsidRPr="006E65BC">
        <w:rPr>
          <w:color w:val="FFFFFF" w:themeColor="background1"/>
          <w:sz w:val="4"/>
          <w:szCs w:val="4"/>
          <w:lang w:val="en-US"/>
        </w:rPr>
        <w:t>zákl</w:t>
      </w:r>
      <w:proofErr w:type="spellEnd"/>
      <w:r w:rsidR="006E65BC" w:rsidRPr="006E65BC">
        <w:rPr>
          <w:color w:val="FFFFFF" w:themeColor="background1"/>
          <w:sz w:val="4"/>
          <w:szCs w:val="4"/>
          <w:lang w:val="en-US"/>
        </w:rPr>
        <w:t>.</w:t>
      </w:r>
      <w:r w:rsidRPr="006E65BC">
        <w:rPr>
          <w:color w:val="FFFFFF" w:themeColor="background1"/>
          <w:sz w:val="4"/>
          <w:szCs w:val="4"/>
          <w:lang w:val="en-US"/>
        </w:rPr>
        <w:t xml:space="preserve"> a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středních</w:t>
      </w:r>
      <w:proofErr w:type="spellEnd"/>
      <w:proofErr w:type="gramEnd"/>
      <w:r w:rsidRPr="006E65B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škol</w:t>
      </w:r>
      <w:proofErr w:type="spellEnd"/>
      <w:r w:rsidRPr="006E65BC">
        <w:rPr>
          <w:color w:val="FFFFFF" w:themeColor="background1"/>
          <w:sz w:val="4"/>
          <w:szCs w:val="4"/>
          <w:lang w:val="en-US"/>
        </w:rPr>
        <w:t xml:space="preserve"> </w:t>
      </w:r>
      <w:r w:rsidRPr="006E65BC">
        <w:rPr>
          <w:color w:val="FFFFFF" w:themeColor="background1"/>
          <w:sz w:val="4"/>
          <w:szCs w:val="4"/>
        </w:rPr>
        <w:t xml:space="preserve">v Česku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podle</w:t>
      </w:r>
      <w:proofErr w:type="spellEnd"/>
      <w:r w:rsidRPr="006E65B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jejich</w:t>
      </w:r>
      <w:proofErr w:type="spellEnd"/>
      <w:r w:rsidRPr="006E65BC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typu</w:t>
      </w:r>
      <w:proofErr w:type="spellEnd"/>
      <w:r w:rsidRPr="006E65BC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6E65BC">
        <w:rPr>
          <w:color w:val="FFFFFF" w:themeColor="background1"/>
          <w:sz w:val="4"/>
          <w:szCs w:val="4"/>
          <w:lang w:val="en-US"/>
        </w:rPr>
        <w:t>roce</w:t>
      </w:r>
      <w:proofErr w:type="spellEnd"/>
      <w:r w:rsidRPr="006E65BC">
        <w:rPr>
          <w:color w:val="FFFFFF" w:themeColor="background1"/>
          <w:sz w:val="4"/>
          <w:szCs w:val="4"/>
          <w:lang w:val="en-US"/>
        </w:rPr>
        <w:t xml:space="preserve"> 2017</w:t>
      </w:r>
      <w:bookmarkEnd w:id="8"/>
    </w:p>
    <w:p w:rsidR="006F17D3" w:rsidRPr="00D96547" w:rsidRDefault="006F17D3" w:rsidP="006F17D3">
      <w:pPr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4DA95FB8" wp14:editId="75C9EF01">
            <wp:extent cx="2880000" cy="2700000"/>
            <wp:effectExtent l="0" t="0" r="0" b="5715"/>
            <wp:docPr id="157" name="Graf 1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D96547">
        <w:rPr>
          <w:noProof/>
          <w:lang w:eastAsia="en-US"/>
        </w:rPr>
        <w:t xml:space="preserve"> </w:t>
      </w:r>
      <w:r w:rsidRPr="00D96547">
        <w:rPr>
          <w:noProof/>
        </w:rPr>
        <w:drawing>
          <wp:inline distT="0" distB="0" distL="0" distR="0" wp14:anchorId="5EE2FF69" wp14:editId="456D3756">
            <wp:extent cx="3132000" cy="2736000"/>
            <wp:effectExtent l="0" t="0" r="0" b="7620"/>
            <wp:docPr id="158" name="Graf 1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F17D3" w:rsidRPr="00D96547" w:rsidRDefault="006F17D3" w:rsidP="006F17D3">
      <w:pPr>
        <w:pStyle w:val="Nadpis2"/>
        <w:spacing w:before="240" w:after="120" w:line="264" w:lineRule="auto"/>
      </w:pPr>
      <w:bookmarkStart w:id="9" w:name="_Toc525303573"/>
      <w:r w:rsidRPr="00D96547">
        <w:t>F. 2 Přístup 15letých žáků k vybraným ICT ve škole a doma</w:t>
      </w:r>
      <w:bookmarkEnd w:id="9"/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>Internet významným způsobem ovlivňuje růst a chování dětí. Rozvoj internetu mj. značně podnítil digitální dovednosti žáků, umožňuje bleskový přístup k informacím či nabízí nepřeberné množství podnětů týkajících se zájmů dětí. Jeho používání však s sebou přináší i řadu hrozeb v podobě sledování nevhodného materiálu, kontaktu s cizími lidmi, možnosti zneužívání údajů, vystavení agresivním marketingovým kampaním apod., přičemž děti bývají v tomto ohledu zranitelnější než dospělí. Děti tak mohou být v ohrožení, když např. neúmyslně nechají šířit své osobní údaje. Řešení rizik, kterým čelí děti na internetu, se stává politickou prioritou pro stále více vlád.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>V roce 2015 bylo ve školách provedeno mezinárodní šetření PISA (OECD)</w:t>
      </w:r>
      <w:r w:rsidRPr="00D96547">
        <w:rPr>
          <w:rStyle w:val="Znakapoznpodarou"/>
        </w:rPr>
        <w:footnoteReference w:id="3"/>
      </w:r>
      <w:r w:rsidRPr="00D96547">
        <w:t>, které bylo mimo jiné zaměřeno na to, zda mají patnáctiletí žáci ve škole</w:t>
      </w:r>
      <w:r w:rsidRPr="00D96547">
        <w:rPr>
          <w:b/>
        </w:rPr>
        <w:t xml:space="preserve"> přístup k internetu</w:t>
      </w:r>
      <w:r w:rsidRPr="00D96547">
        <w:t xml:space="preserve"> a zda tuto možnost využívají. Čeští žáci se za rok 2015 umístili na sedmém místě</w:t>
      </w:r>
      <w:r w:rsidRPr="00D96547">
        <w:rPr>
          <w:b/>
        </w:rPr>
        <w:t xml:space="preserve"> evropského žebříčku</w:t>
      </w:r>
      <w:r w:rsidRPr="00D96547">
        <w:t xml:space="preserve"> – 78 % patnáctiletých mělo ve škole přístup k internetu a využívalo jej. Průměr za EU byl 71 %.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Z šetření PISA provedeného na 15letých žácích v ČR dále vyplývá, že téměř všichni (97 %) doma využívají internet. Ve škole je to 78 % – opět údaje za rok 2015. Stolní počítače má k dispozici a využívá je stejný podíl žáků doma i ve škole (66 %). Notebooky jsou využívány 15letými žáky výrazně častěji doma (76 %) než ve škole (18 %). Stejně je tomu u </w:t>
      </w:r>
      <w:proofErr w:type="spellStart"/>
      <w:r w:rsidRPr="00D96547">
        <w:t>tabletů</w:t>
      </w:r>
      <w:proofErr w:type="spellEnd"/>
      <w:r w:rsidRPr="00D96547">
        <w:t xml:space="preserve"> (doma jej v roce 2015 využívalo 50 %, ve škole 13 %).</w:t>
      </w: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0" w:name="_Toc524332625"/>
      <w:r w:rsidRPr="0083434D">
        <w:rPr>
          <w:color w:val="FFFFFF" w:themeColor="background1"/>
          <w:sz w:val="4"/>
          <w:szCs w:val="4"/>
        </w:rPr>
        <w:lastRenderedPageBreak/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7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Patnáctiletí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žáci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zemích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EU,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kteří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mají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na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školních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počítačích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přístup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na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internet</w:t>
      </w:r>
      <w:r w:rsidRPr="0083434D">
        <w:rPr>
          <w:color w:val="FFFFFF" w:themeColor="background1"/>
          <w:sz w:val="4"/>
          <w:szCs w:val="4"/>
        </w:rPr>
        <w:t xml:space="preserve"> v roce </w:t>
      </w:r>
      <w:r w:rsidRPr="0083434D">
        <w:rPr>
          <w:color w:val="FFFFFF" w:themeColor="background1"/>
          <w:sz w:val="4"/>
          <w:szCs w:val="4"/>
          <w:lang w:val="en-US"/>
        </w:rPr>
        <w:t>2015</w:t>
      </w:r>
      <w:bookmarkEnd w:id="10"/>
    </w:p>
    <w:p w:rsidR="006F17D3" w:rsidRPr="00D96547" w:rsidRDefault="006F17D3" w:rsidP="006F17D3">
      <w:pPr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09F0B011" wp14:editId="719F3D23">
            <wp:extent cx="5972810" cy="3180715"/>
            <wp:effectExtent l="0" t="0" r="8890" b="635"/>
            <wp:docPr id="159" name="Graf 1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F17D3" w:rsidRPr="00D96547" w:rsidRDefault="006F17D3" w:rsidP="006F17D3">
      <w:pPr>
        <w:pStyle w:val="Nadpis2"/>
        <w:spacing w:before="240" w:after="120" w:line="264" w:lineRule="auto"/>
      </w:pPr>
      <w:bookmarkStart w:id="11" w:name="_Toc525303574"/>
      <w:r w:rsidRPr="00D96547">
        <w:t xml:space="preserve">F. 3 Jak a k čemu </w:t>
      </w:r>
      <w:proofErr w:type="gramStart"/>
      <w:r w:rsidRPr="00D96547">
        <w:t>používají</w:t>
      </w:r>
      <w:proofErr w:type="gramEnd"/>
      <w:r w:rsidRPr="00D96547">
        <w:t xml:space="preserve"> internet </w:t>
      </w:r>
      <w:proofErr w:type="gramStart"/>
      <w:r w:rsidRPr="00D96547">
        <w:t>16letí</w:t>
      </w:r>
      <w:proofErr w:type="gramEnd"/>
      <w:r w:rsidRPr="00D96547">
        <w:t xml:space="preserve"> a starší studenti</w:t>
      </w:r>
      <w:bookmarkEnd w:id="11"/>
    </w:p>
    <w:p w:rsidR="006F17D3" w:rsidRPr="00D96547" w:rsidRDefault="006F17D3" w:rsidP="006F17D3">
      <w:pPr>
        <w:autoSpaceDE w:val="0"/>
        <w:autoSpaceDN w:val="0"/>
        <w:adjustRightInd w:val="0"/>
        <w:spacing w:after="80" w:line="264" w:lineRule="auto"/>
        <w:jc w:val="both"/>
        <w:rPr>
          <w:i/>
        </w:rPr>
      </w:pPr>
      <w:r w:rsidRPr="00D96547">
        <w:rPr>
          <w:i/>
        </w:rPr>
        <w:t xml:space="preserve">Život bez internetu si dnes umí představit asi málokdo. </w:t>
      </w:r>
      <w:proofErr w:type="spellStart"/>
      <w:r w:rsidRPr="00D96547">
        <w:rPr>
          <w:i/>
        </w:rPr>
        <w:t>Mileniálové</w:t>
      </w:r>
      <w:proofErr w:type="spellEnd"/>
      <w:r w:rsidRPr="00D96547">
        <w:rPr>
          <w:i/>
        </w:rPr>
        <w:t xml:space="preserve"> neboli generace Y (narození mezi lety 1985–2000) vyrůstali v prostředí prudkého rozvoje informačních a komunikačních technologií, což výrazně ovlivňuje jejich styl života. Prostřednictvím internetu komunikují, baví se, navazují vztahy, nakupují nebo se vzdělávají. Klíčovou roli však hrají i školní systémy a to, do jaké míry poskytují studentům dovednosti potřebné k zapojení se do digitální společnosti a digitalizací ovlivněného pracovního života.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Téměř všichni </w:t>
      </w:r>
      <w:r w:rsidRPr="00D96547">
        <w:rPr>
          <w:b/>
        </w:rPr>
        <w:t xml:space="preserve">studenti 16letí a starší </w:t>
      </w:r>
      <w:r w:rsidRPr="00D96547">
        <w:t xml:space="preserve">(99,5 %) používali v letech 2015 až 2017 v Česku </w:t>
      </w:r>
      <w:r w:rsidRPr="00D96547">
        <w:rPr>
          <w:b/>
        </w:rPr>
        <w:t>internet</w:t>
      </w:r>
      <w:r w:rsidRPr="00D96547">
        <w:t xml:space="preserve">. Více než 80 % studentů ve stejném období používalo </w:t>
      </w:r>
      <w:r w:rsidRPr="00D96547">
        <w:rPr>
          <w:b/>
        </w:rPr>
        <w:t>internet v mobilu</w:t>
      </w:r>
      <w:r w:rsidRPr="00D96547">
        <w:rPr>
          <w:rStyle w:val="Znakapoznpodarou"/>
        </w:rPr>
        <w:footnoteReference w:id="4"/>
      </w:r>
      <w:r w:rsidRPr="00D96547">
        <w:t xml:space="preserve">.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V letech 2015 až 2017 studenti </w:t>
      </w:r>
      <w:r w:rsidRPr="00D96547">
        <w:rPr>
          <w:b/>
        </w:rPr>
        <w:t xml:space="preserve">využívali internet </w:t>
      </w:r>
      <w:r w:rsidRPr="00D96547">
        <w:t xml:space="preserve">v průměru </w:t>
      </w:r>
      <w:r w:rsidRPr="00D96547">
        <w:rPr>
          <w:b/>
        </w:rPr>
        <w:t>nejčastěji</w:t>
      </w:r>
      <w:r w:rsidRPr="00D96547">
        <w:t xml:space="preserve"> ke sledování dění na sociálních sítích (94 %), velmi často na něm sledují zpravodajské informace (84 %) či hrají on-line hry (63 %).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>Zaměříme-li se na používání internetu studenty</w:t>
      </w:r>
      <w:r w:rsidRPr="00D96547">
        <w:rPr>
          <w:b/>
        </w:rPr>
        <w:t xml:space="preserve"> ke vzdělávacím aktivitám</w:t>
      </w:r>
      <w:r w:rsidRPr="00D96547">
        <w:t xml:space="preserve">, ukazuje se, že 39 % z nich v letech 2015 až 2017 používalo on-line </w:t>
      </w:r>
      <w:r w:rsidRPr="00D96547">
        <w:rPr>
          <w:b/>
        </w:rPr>
        <w:t>výukové materiály</w:t>
      </w:r>
      <w:r w:rsidRPr="00D96547">
        <w:t xml:space="preserve"> a 31 % studentů komunikovalo v průměru v posledních třech letech s lektorem či ostatními studenty prostřednictvím </w:t>
      </w:r>
      <w:r w:rsidRPr="00D96547">
        <w:rPr>
          <w:b/>
        </w:rPr>
        <w:t>výukových portálů</w:t>
      </w:r>
      <w:r w:rsidRPr="00D96547">
        <w:t xml:space="preserve">. Přibližně 7 % studentů se účastnilo </w:t>
      </w:r>
      <w:r w:rsidRPr="00D96547">
        <w:rPr>
          <w:b/>
        </w:rPr>
        <w:t>on-line kurzu</w:t>
      </w:r>
      <w:r w:rsidRPr="00D96547">
        <w:t>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V mezinárodním srovnání používání výukových materiálů na internetu jsou čeští studenti v roce 2017 na desáté příčce, tedy </w:t>
      </w:r>
      <w:r w:rsidRPr="00D96547">
        <w:rPr>
          <w:b/>
        </w:rPr>
        <w:t>nad evropským průměrem</w:t>
      </w:r>
      <w:r w:rsidRPr="00D96547">
        <w:t>. V komunikaci s lektorem či ostatními studenty on-line jsme však obsadili až čtrnáctou příčku evropského žebříčku a jsme přesně na průměru EU28.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Zřejmě příliš nepřekvapí, že </w:t>
      </w:r>
      <w:r w:rsidRPr="00D96547">
        <w:rPr>
          <w:b/>
        </w:rPr>
        <w:t xml:space="preserve">aktivita studentů (16+) na internetu </w:t>
      </w:r>
      <w:r w:rsidRPr="00D96547">
        <w:t>je vyšší, než</w:t>
      </w:r>
      <w:r w:rsidRPr="00D96547">
        <w:rPr>
          <w:b/>
        </w:rPr>
        <w:t xml:space="preserve"> </w:t>
      </w:r>
      <w:r w:rsidRPr="00D96547">
        <w:t>aktivita dospělých</w:t>
      </w:r>
      <w:r w:rsidRPr="00D96547">
        <w:rPr>
          <w:b/>
        </w:rPr>
        <w:t xml:space="preserve"> jednotlivců</w:t>
      </w:r>
      <w:r w:rsidRPr="00D96547">
        <w:t xml:space="preserve"> </w:t>
      </w:r>
      <w:r w:rsidRPr="00D96547">
        <w:rPr>
          <w:b/>
        </w:rPr>
        <w:t>(16+) celkem</w:t>
      </w:r>
      <w:r w:rsidRPr="00D96547">
        <w:t xml:space="preserve">. Nejvýraznější rozdíly nacházíme v případě </w:t>
      </w:r>
      <w:r w:rsidRPr="00D96547">
        <w:rPr>
          <w:b/>
        </w:rPr>
        <w:t>účasti v sociálních sítích</w:t>
      </w:r>
      <w:r w:rsidRPr="00D96547">
        <w:t xml:space="preserve"> (94 % studentů a 41 % jednotlivců celkem) a v </w:t>
      </w:r>
      <w:r w:rsidRPr="00D96547">
        <w:rPr>
          <w:b/>
        </w:rPr>
        <w:t>hraní on-line her</w:t>
      </w:r>
      <w:r w:rsidRPr="00D96547">
        <w:t xml:space="preserve"> (63 % studentů, 19 % jednotlivců celkem). Jedinou oblastí, kde jednotlivci obecně předčili studenty, je používání </w:t>
      </w:r>
      <w:r w:rsidRPr="00D96547">
        <w:rPr>
          <w:b/>
        </w:rPr>
        <w:t>internetového bankovnictví</w:t>
      </w:r>
      <w:r w:rsidRPr="00D96547">
        <w:t xml:space="preserve"> (34 % studentů, 48 % jednotlivců celkem).</w:t>
      </w:r>
    </w:p>
    <w:p w:rsidR="0083434D" w:rsidRDefault="0083434D" w:rsidP="0083434D">
      <w:pPr>
        <w:pStyle w:val="Titulek"/>
        <w:keepNext/>
        <w:jc w:val="both"/>
        <w:sectPr w:rsidR="0083434D" w:rsidSect="000D1DF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1906" w:h="16838" w:code="9"/>
          <w:pgMar w:top="1134" w:right="1134" w:bottom="1418" w:left="1134" w:header="680" w:footer="680" w:gutter="0"/>
          <w:pgNumType w:start="77"/>
          <w:cols w:space="708"/>
          <w:docGrid w:linePitch="360"/>
        </w:sectPr>
      </w:pP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2" w:name="_Toc524332626"/>
      <w:r w:rsidRPr="0083434D">
        <w:rPr>
          <w:color w:val="FFFFFF" w:themeColor="background1"/>
          <w:sz w:val="4"/>
          <w:szCs w:val="4"/>
        </w:rPr>
        <w:lastRenderedPageBreak/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8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Používání internetu k vybraným </w:t>
      </w:r>
      <w:proofErr w:type="gramStart"/>
      <w:r w:rsidRPr="0083434D">
        <w:rPr>
          <w:color w:val="FFFFFF" w:themeColor="background1"/>
          <w:sz w:val="4"/>
          <w:szCs w:val="4"/>
        </w:rPr>
        <w:t>činnostem  studenty</w:t>
      </w:r>
      <w:proofErr w:type="gramEnd"/>
      <w:r w:rsidRPr="0083434D">
        <w:rPr>
          <w:color w:val="FFFFFF" w:themeColor="background1"/>
          <w:sz w:val="4"/>
          <w:szCs w:val="4"/>
        </w:rPr>
        <w:t xml:space="preserve">  a jednotlivci celkem v Česku; průměry za roky 2015 až 2017</w:t>
      </w:r>
      <w:bookmarkEnd w:id="12"/>
    </w:p>
    <w:p w:rsidR="0083434D" w:rsidRDefault="006F17D3" w:rsidP="006F17D3">
      <w:pPr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04F95411" wp14:editId="6C1AB676">
            <wp:extent cx="2991600" cy="3020400"/>
            <wp:effectExtent l="0" t="0" r="0" b="8890"/>
            <wp:docPr id="160" name="Graf 1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3" w:name="_Toc524332627"/>
      <w:r w:rsidRPr="0083434D">
        <w:rPr>
          <w:color w:val="FFFFFF" w:themeColor="background1"/>
          <w:sz w:val="4"/>
          <w:szCs w:val="4"/>
        </w:rPr>
        <w:lastRenderedPageBreak/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9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Používání internetu na mobilním telefonu studenty a jednotlivci celkem v Česku podle způsobu připojení</w:t>
      </w:r>
      <w:bookmarkEnd w:id="13"/>
    </w:p>
    <w:p w:rsidR="006F17D3" w:rsidRPr="00D96547" w:rsidRDefault="006F17D3" w:rsidP="006F17D3">
      <w:pPr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57D6C61A" wp14:editId="657AA963">
            <wp:extent cx="3056400" cy="3049200"/>
            <wp:effectExtent l="0" t="0" r="0" b="0"/>
            <wp:docPr id="161" name="Graf 1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83434D" w:rsidRDefault="0083434D" w:rsidP="006F17D3">
      <w:pPr>
        <w:pStyle w:val="Nadpis2"/>
        <w:spacing w:before="240" w:after="120" w:line="264" w:lineRule="auto"/>
        <w:sectPr w:rsidR="0083434D" w:rsidSect="0083434D">
          <w:type w:val="continuous"/>
          <w:pgSz w:w="11906" w:h="16838" w:code="9"/>
          <w:pgMar w:top="1134" w:right="1134" w:bottom="1418" w:left="1134" w:header="680" w:footer="680" w:gutter="0"/>
          <w:cols w:num="2" w:space="708"/>
          <w:docGrid w:linePitch="360"/>
        </w:sectPr>
      </w:pPr>
    </w:p>
    <w:p w:rsidR="006F17D3" w:rsidRPr="00D96547" w:rsidRDefault="006F17D3" w:rsidP="006F17D3">
      <w:pPr>
        <w:pStyle w:val="Nadpis2"/>
        <w:spacing w:before="240" w:after="120" w:line="264" w:lineRule="auto"/>
      </w:pPr>
      <w:bookmarkStart w:id="14" w:name="_Toc525303575"/>
      <w:r w:rsidRPr="00D96547">
        <w:lastRenderedPageBreak/>
        <w:t>F. 4 Počítačové a digitální dovednosti</w:t>
      </w:r>
      <w:bookmarkEnd w:id="14"/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 xml:space="preserve">Nejen přístup k internetu a ostatním ICT, ale především motivace a schopnost efektivně používat aplikace a služby nabízené prostřednictvím těchto technologií (Digital </w:t>
      </w:r>
      <w:proofErr w:type="spellStart"/>
      <w:r w:rsidRPr="00D96547">
        <w:rPr>
          <w:i/>
          <w:sz w:val="20"/>
        </w:rPr>
        <w:t>Skills</w:t>
      </w:r>
      <w:proofErr w:type="spellEnd"/>
      <w:r w:rsidRPr="00D96547">
        <w:rPr>
          <w:i/>
          <w:sz w:val="20"/>
        </w:rPr>
        <w:t>) jsou v současnosti považovány za jeden z klíčových faktorů ekonomického, sociálního a politického rozvoje společnosti. Schopnost práce s digitálními technologiemi patří mezi osm klíčových schopností, které jsou ve společnosti založené na znalostech naprosto nezbytné</w:t>
      </w:r>
      <w:r w:rsidRPr="00D96547">
        <w:rPr>
          <w:rStyle w:val="Znakapoznpodarou"/>
          <w:i/>
          <w:sz w:val="20"/>
        </w:rPr>
        <w:footnoteReference w:id="5"/>
      </w:r>
      <w:r w:rsidRPr="00D96547">
        <w:rPr>
          <w:i/>
          <w:sz w:val="20"/>
        </w:rPr>
        <w:t>. Stranou nezůstává ani bezpečný pohyb v internetovém prostředí.</w:t>
      </w:r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 xml:space="preserve">V souvislosti s proměnou pracovního trhu je počítačová gramotnost vyžadována od celé řady zaměstnanců. Nejen od specialistů jako jsou např. vývojáři, tvůrci webových stránek, datoví analytici, ale i od zaměstnanců jiných odvětví, kteří pracují s informačními technologiemi v oblasti vyhledávání informací nebo používají počítačové programy. Rozvoj internetu </w:t>
      </w:r>
      <w:r w:rsidR="004F3D06">
        <w:rPr>
          <w:i/>
          <w:sz w:val="20"/>
        </w:rPr>
        <w:t>napomohl ke</w:t>
      </w:r>
      <w:r w:rsidRPr="00D96547">
        <w:rPr>
          <w:i/>
          <w:sz w:val="20"/>
        </w:rPr>
        <w:t xml:space="preserve"> vzniku nových povolání vyžadujících doplňkové ICT dovednosti, jako jsou schopnost komunikovat na sociálních sítích, prodávat zboží v e-</w:t>
      </w:r>
      <w:proofErr w:type="spellStart"/>
      <w:r w:rsidRPr="00D96547">
        <w:rPr>
          <w:i/>
          <w:sz w:val="20"/>
        </w:rPr>
        <w:t>shopech</w:t>
      </w:r>
      <w:proofErr w:type="spellEnd"/>
      <w:r w:rsidRPr="00D96547">
        <w:rPr>
          <w:i/>
          <w:sz w:val="20"/>
        </w:rPr>
        <w:t xml:space="preserve"> aj.</w:t>
      </w:r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 xml:space="preserve">Nízká digitální gramotnost může mít dopad nejen na možnosti pracovního uplatnění, ale také na vzdělávání, tvůrčí činnosti, občanskou angažovanost, sebejistotu a orientaci v užívání digitálních médií. Překlenutí této „digitální propasti“ pomůže znevýhodněným skupinám k zapojení do digitální společnosti za rovnějších podmínek.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V Česku tři pětiny osob starších 16 let (60 %) v roce 2017 uvedly, že v posledních 12 měsících </w:t>
      </w:r>
      <w:r w:rsidRPr="00D96547">
        <w:rPr>
          <w:b/>
        </w:rPr>
        <w:t xml:space="preserve">kopírovaly </w:t>
      </w:r>
      <w:r w:rsidRPr="00D96547">
        <w:t>či přesouvaly soubory nebo složky v rámci počítače, čtvrtina lidí pracovala s grafickým </w:t>
      </w:r>
      <w:r w:rsidRPr="00D96547">
        <w:rPr>
          <w:b/>
        </w:rPr>
        <w:t>programem na úpravu fotografií</w:t>
      </w:r>
      <w:r w:rsidRPr="00D96547">
        <w:t xml:space="preserve"> a 4 % jednotlivců uvedla, že </w:t>
      </w:r>
      <w:r w:rsidRPr="00D96547">
        <w:rPr>
          <w:b/>
        </w:rPr>
        <w:t>programovala</w:t>
      </w:r>
      <w:r w:rsidRPr="00D96547">
        <w:t>. Všechny tyto dovednosti jsou spíše doménou mužů (nejvýrazněji v případě programování) a mladé generace. Výše zmíněné dovednosti rovněž využívají častěji studenti a také lidé s vyšším stupněm dokončeného vzdělání.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ČSÚ dále zjišťoval, kolik obyvatel České republiky používá obvyklé </w:t>
      </w:r>
      <w:r w:rsidRPr="00D96547">
        <w:rPr>
          <w:b/>
        </w:rPr>
        <w:t>kancelářské počítačové programy</w:t>
      </w:r>
      <w:r w:rsidRPr="00D96547">
        <w:t xml:space="preserve">. Nejvíce jednotlivců starších 16 let uvedlo, že používá </w:t>
      </w:r>
      <w:r w:rsidRPr="00D96547">
        <w:rPr>
          <w:b/>
        </w:rPr>
        <w:t>textový editor</w:t>
      </w:r>
      <w:r w:rsidRPr="00D96547">
        <w:t xml:space="preserve"> (např. MS Word) – v roce 2017 jich byla více než polovina (54 %). Více než třetina (41 %) ve stejném roce použila </w:t>
      </w:r>
      <w:r w:rsidRPr="00D96547">
        <w:rPr>
          <w:b/>
        </w:rPr>
        <w:t>tabulkový editor</w:t>
      </w:r>
      <w:r w:rsidRPr="00D96547">
        <w:t xml:space="preserve"> (např.</w:t>
      </w:r>
      <w:r w:rsidR="00E76B4E">
        <w:t> </w:t>
      </w:r>
      <w:r w:rsidRPr="00D96547">
        <w:t xml:space="preserve">MS Excel) a čtvrtina osob (25 %) uvedla, že používá </w:t>
      </w:r>
      <w:r w:rsidRPr="00D96547">
        <w:rPr>
          <w:b/>
        </w:rPr>
        <w:t>prezentační software</w:t>
      </w:r>
      <w:r w:rsidRPr="00D96547">
        <w:t xml:space="preserve"> (např. MS PowerPoint). Všechny tyto kancelářské programy používají </w:t>
      </w:r>
      <w:r w:rsidRPr="00D96547">
        <w:rPr>
          <w:b/>
        </w:rPr>
        <w:t>častěji</w:t>
      </w:r>
      <w:r w:rsidRPr="00D96547">
        <w:t xml:space="preserve"> </w:t>
      </w:r>
      <w:r w:rsidRPr="00D96547">
        <w:rPr>
          <w:b/>
        </w:rPr>
        <w:t>muži</w:t>
      </w:r>
      <w:r w:rsidRPr="00D96547">
        <w:t xml:space="preserve"> než </w:t>
      </w:r>
      <w:r w:rsidRPr="00D96547">
        <w:rPr>
          <w:b/>
        </w:rPr>
        <w:t>ženy</w:t>
      </w:r>
      <w:r w:rsidRPr="00D96547">
        <w:t xml:space="preserve">. S rostoucím </w:t>
      </w:r>
      <w:r w:rsidRPr="00D96547">
        <w:rPr>
          <w:b/>
        </w:rPr>
        <w:t>věkem</w:t>
      </w:r>
      <w:r w:rsidRPr="00D96547">
        <w:t xml:space="preserve"> klesá podíl lidí, kteří daný software používají, s rostoucí úrovní </w:t>
      </w:r>
      <w:r w:rsidRPr="00D96547">
        <w:rPr>
          <w:b/>
        </w:rPr>
        <w:t>vzdělání</w:t>
      </w:r>
      <w:r w:rsidRPr="00D96547">
        <w:t xml:space="preserve"> naopak podíl takových lidí roste.</w:t>
      </w:r>
    </w:p>
    <w:p w:rsidR="0083434D" w:rsidRDefault="0083434D" w:rsidP="0083434D">
      <w:pPr>
        <w:pStyle w:val="Titulek"/>
        <w:keepNext/>
        <w:jc w:val="both"/>
        <w:sectPr w:rsidR="0083434D" w:rsidSect="006D0F31">
          <w:type w:val="continuous"/>
          <w:pgSz w:w="11906" w:h="16838" w:code="9"/>
          <w:pgMar w:top="1134" w:right="1134" w:bottom="1418" w:left="1134" w:header="680" w:footer="680" w:gutter="0"/>
          <w:cols w:space="708"/>
          <w:docGrid w:linePitch="360"/>
        </w:sectPr>
      </w:pPr>
    </w:p>
    <w:p w:rsidR="0083434D" w:rsidRPr="006E65BC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5" w:name="_Toc524332628"/>
      <w:r w:rsidRPr="006E65BC">
        <w:rPr>
          <w:color w:val="FFFFFF" w:themeColor="background1"/>
          <w:sz w:val="4"/>
          <w:szCs w:val="4"/>
        </w:rPr>
        <w:lastRenderedPageBreak/>
        <w:t>Graf F</w:t>
      </w:r>
      <w:r w:rsidRPr="006E65BC">
        <w:rPr>
          <w:color w:val="FFFFFF" w:themeColor="background1"/>
          <w:sz w:val="4"/>
          <w:szCs w:val="4"/>
        </w:rPr>
        <w:fldChar w:fldCharType="begin"/>
      </w:r>
      <w:r w:rsidRPr="006E65BC">
        <w:rPr>
          <w:color w:val="FFFFFF" w:themeColor="background1"/>
          <w:sz w:val="4"/>
          <w:szCs w:val="4"/>
        </w:rPr>
        <w:instrText xml:space="preserve"> SEQ Graf_F \* ARABIC </w:instrText>
      </w:r>
      <w:r w:rsidRPr="006E65BC">
        <w:rPr>
          <w:color w:val="FFFFFF" w:themeColor="background1"/>
          <w:sz w:val="4"/>
          <w:szCs w:val="4"/>
        </w:rPr>
        <w:fldChar w:fldCharType="separate"/>
      </w:r>
      <w:r w:rsidRPr="006E65BC">
        <w:rPr>
          <w:noProof/>
          <w:color w:val="FFFFFF" w:themeColor="background1"/>
          <w:sz w:val="4"/>
          <w:szCs w:val="4"/>
        </w:rPr>
        <w:t>10</w:t>
      </w:r>
      <w:r w:rsidRPr="006E65BC">
        <w:rPr>
          <w:color w:val="FFFFFF" w:themeColor="background1"/>
          <w:sz w:val="4"/>
          <w:szCs w:val="4"/>
        </w:rPr>
        <w:fldChar w:fldCharType="end"/>
      </w:r>
      <w:r w:rsidRPr="006E65BC">
        <w:rPr>
          <w:color w:val="FFFFFF" w:themeColor="background1"/>
          <w:sz w:val="4"/>
          <w:szCs w:val="4"/>
        </w:rPr>
        <w:t xml:space="preserve"> Jednotlivci v Česku, kteří v roce 2017 použili textový editor</w:t>
      </w:r>
      <w:bookmarkEnd w:id="15"/>
    </w:p>
    <w:p w:rsidR="0083434D" w:rsidRDefault="006F17D3" w:rsidP="006F17D3">
      <w:pPr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2DC121EB" wp14:editId="653EFDE0">
            <wp:extent cx="2952000" cy="2700000"/>
            <wp:effectExtent l="0" t="0" r="1270" b="5715"/>
            <wp:docPr id="162" name="Graf 1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6" w:name="_Toc524332629"/>
      <w:r w:rsidRPr="0083434D">
        <w:rPr>
          <w:color w:val="FFFFFF" w:themeColor="background1"/>
          <w:sz w:val="4"/>
          <w:szCs w:val="4"/>
        </w:rPr>
        <w:lastRenderedPageBreak/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11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Jednotlivci v Česku, kteří v roce 2017 programovali</w:t>
      </w:r>
      <w:bookmarkEnd w:id="16"/>
    </w:p>
    <w:p w:rsidR="006F17D3" w:rsidRPr="00D96547" w:rsidRDefault="006F17D3" w:rsidP="006F17D3">
      <w:pPr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3C9E5B7C" wp14:editId="2228671C">
            <wp:extent cx="3132000" cy="2700000"/>
            <wp:effectExtent l="0" t="0" r="0" b="5715"/>
            <wp:docPr id="163" name="Graf 1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3434D" w:rsidRDefault="0083434D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  <w:sectPr w:rsidR="0083434D" w:rsidSect="0083434D">
          <w:type w:val="continuous"/>
          <w:pgSz w:w="11906" w:h="16838" w:code="9"/>
          <w:pgMar w:top="1134" w:right="1134" w:bottom="1418" w:left="1134" w:header="680" w:footer="680" w:gutter="0"/>
          <w:cols w:num="2" w:space="708"/>
          <w:docGrid w:linePitch="360"/>
        </w:sectPr>
      </w:pP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lastRenderedPageBreak/>
        <w:t>V</w:t>
      </w:r>
      <w:r w:rsidRPr="00D96547">
        <w:rPr>
          <w:b/>
        </w:rPr>
        <w:t> mezinárodním srovnání</w:t>
      </w:r>
      <w:r w:rsidRPr="00D96547">
        <w:t xml:space="preserve"> podílu jednotlivců používajících </w:t>
      </w:r>
      <w:r w:rsidRPr="00D96547">
        <w:rPr>
          <w:b/>
        </w:rPr>
        <w:t>tabulkové procesory</w:t>
      </w:r>
      <w:r w:rsidRPr="00D96547">
        <w:t xml:space="preserve"> se Češi umístili v první polovině evropského žebříčku, </w:t>
      </w:r>
      <w:r w:rsidRPr="00D96547">
        <w:rPr>
          <w:b/>
        </w:rPr>
        <w:t>nad průměrem EU28</w:t>
      </w:r>
      <w:r w:rsidRPr="00D96547">
        <w:t>. Pokud by se ale hodnotila jen pokročilá znalost tabulkového procesoru (např. používání výpočtů, tvorba grafů, používání filtrů apod.), byli by Češi pod průměrem evropské osmadvacítky.</w:t>
      </w: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7" w:name="_Toc524332630"/>
      <w:r w:rsidRPr="0083434D">
        <w:rPr>
          <w:color w:val="FFFFFF" w:themeColor="background1"/>
          <w:sz w:val="4"/>
          <w:szCs w:val="4"/>
        </w:rPr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12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Jednotlivci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zemích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EU,</w:t>
      </w:r>
      <w:r w:rsidRPr="0083434D">
        <w:rPr>
          <w:color w:val="FFFFFF" w:themeColor="background1"/>
          <w:sz w:val="4"/>
          <w:szCs w:val="4"/>
        </w:rPr>
        <w:t xml:space="preserve"> k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teří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r w:rsidRPr="0083434D">
        <w:rPr>
          <w:color w:val="FFFFFF" w:themeColor="background1"/>
          <w:sz w:val="4"/>
          <w:szCs w:val="4"/>
        </w:rPr>
        <w:t>v roce 2017 p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oužili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83434D">
        <w:rPr>
          <w:color w:val="FFFFFF" w:themeColor="background1"/>
          <w:sz w:val="4"/>
          <w:szCs w:val="4"/>
          <w:lang w:val="en-US"/>
        </w:rPr>
        <w:t>tabulkový</w:t>
      </w:r>
      <w:proofErr w:type="spellEnd"/>
      <w:r w:rsidRPr="0083434D">
        <w:rPr>
          <w:color w:val="FFFFFF" w:themeColor="background1"/>
          <w:sz w:val="4"/>
          <w:szCs w:val="4"/>
          <w:lang w:val="en-US"/>
        </w:rPr>
        <w:t xml:space="preserve"> editor</w:t>
      </w:r>
      <w:bookmarkEnd w:id="17"/>
    </w:p>
    <w:p w:rsidR="006F17D3" w:rsidRPr="00D96547" w:rsidRDefault="006F17D3" w:rsidP="006F17D3">
      <w:pPr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03086675" wp14:editId="744F3C57">
            <wp:extent cx="5972810" cy="3240000"/>
            <wp:effectExtent l="0" t="0" r="8890" b="0"/>
            <wp:docPr id="164" name="Graf 1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6F17D3" w:rsidRPr="00D96547" w:rsidRDefault="006F17D3" w:rsidP="006F17D3">
      <w:pPr>
        <w:pStyle w:val="Nadpis2"/>
        <w:spacing w:before="240" w:after="120" w:line="264" w:lineRule="auto"/>
      </w:pPr>
      <w:bookmarkStart w:id="18" w:name="_Toc525303576"/>
      <w:r w:rsidRPr="00D96547">
        <w:t>F. 5 Studenti a absolventi ICT oborů</w:t>
      </w:r>
      <w:bookmarkEnd w:id="18"/>
      <w:r w:rsidRPr="00D96547">
        <w:t xml:space="preserve"> </w:t>
      </w:r>
    </w:p>
    <w:p w:rsidR="006F17D3" w:rsidRPr="00D96547" w:rsidRDefault="006F17D3" w:rsidP="006F17D3">
      <w:pPr>
        <w:autoSpaceDE w:val="0"/>
        <w:autoSpaceDN w:val="0"/>
        <w:adjustRightInd w:val="0"/>
        <w:spacing w:after="80" w:line="264" w:lineRule="auto"/>
        <w:jc w:val="both"/>
      </w:pPr>
      <w:r w:rsidRPr="00D96547">
        <w:rPr>
          <w:i/>
        </w:rPr>
        <w:t xml:space="preserve">Budoucnost ICT odvětví a možnosti, které nabízí, si uvědomuje řada studentů při výběru školy. Kromě motivujícího peněžitého ohodnocení, které patří k těm vyšším v národním hospodářství, bývají uchazeči často lákáni na </w:t>
      </w:r>
      <w:proofErr w:type="spellStart"/>
      <w:r w:rsidRPr="00D96547">
        <w:rPr>
          <w:i/>
        </w:rPr>
        <w:t>home</w:t>
      </w:r>
      <w:proofErr w:type="spellEnd"/>
      <w:r w:rsidRPr="00D96547">
        <w:rPr>
          <w:i/>
        </w:rPr>
        <w:t xml:space="preserve"> </w:t>
      </w:r>
      <w:proofErr w:type="spellStart"/>
      <w:r w:rsidRPr="00D96547">
        <w:rPr>
          <w:i/>
        </w:rPr>
        <w:t>office</w:t>
      </w:r>
      <w:proofErr w:type="spellEnd"/>
      <w:r w:rsidRPr="00D96547">
        <w:rPr>
          <w:i/>
        </w:rPr>
        <w:t>, pružnou pracovní dobu, zakázkovou práci a další výhody. Ačkoliv by se mohlo zdát, že zájemců o informatiku je spoustu, a trh je již nasycen, informatici jsou stále žádaní a firmy v současnosti při nízké nezaměstnanosti obtížně hledají ICT pracovníky.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lastRenderedPageBreak/>
        <w:t xml:space="preserve">V roce 2016 studovalo </w:t>
      </w:r>
      <w:r w:rsidRPr="00D96547">
        <w:rPr>
          <w:b/>
        </w:rPr>
        <w:t xml:space="preserve">ICT obory </w:t>
      </w:r>
      <w:r w:rsidRPr="00D96547">
        <w:t>na vysokých školách v ČR více než 17 tisíc studentů, což je 5,5 % celkového počtu všech studentů</w:t>
      </w:r>
      <w:r w:rsidRPr="00D96547">
        <w:rPr>
          <w:rStyle w:val="Znakapoznpodarou"/>
        </w:rPr>
        <w:footnoteReference w:id="6"/>
      </w:r>
      <w:r w:rsidRPr="00D96547">
        <w:t xml:space="preserve">. </w:t>
      </w:r>
      <w:r w:rsidR="004F3D06">
        <w:t>16</w:t>
      </w:r>
      <w:r w:rsidRPr="00D96547">
        <w:t xml:space="preserve"> % z celkového</w:t>
      </w:r>
      <w:r w:rsidRPr="00D96547">
        <w:rPr>
          <w:b/>
        </w:rPr>
        <w:t xml:space="preserve"> </w:t>
      </w:r>
      <w:r w:rsidRPr="00D96547">
        <w:t>počtu studentů ICT oborů</w:t>
      </w:r>
      <w:r w:rsidRPr="00D96547">
        <w:rPr>
          <w:b/>
        </w:rPr>
        <w:t xml:space="preserve"> </w:t>
      </w:r>
      <w:r w:rsidRPr="00D96547">
        <w:t xml:space="preserve">tvořily </w:t>
      </w:r>
      <w:r w:rsidRPr="00D96547">
        <w:rPr>
          <w:b/>
        </w:rPr>
        <w:t>ženy</w:t>
      </w:r>
      <w:r w:rsidRPr="00D96547">
        <w:t xml:space="preserve">, čtvrtina (25 %) všech těchto studentů měla </w:t>
      </w:r>
      <w:r w:rsidRPr="00D96547">
        <w:rPr>
          <w:b/>
        </w:rPr>
        <w:t>cizí státní občanství</w:t>
      </w:r>
      <w:r w:rsidRPr="00D96547">
        <w:t>.</w:t>
      </w: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9" w:name="_Toc524332631"/>
      <w:r w:rsidRPr="0083434D">
        <w:rPr>
          <w:color w:val="FFFFFF" w:themeColor="background1"/>
          <w:sz w:val="4"/>
          <w:szCs w:val="4"/>
        </w:rPr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13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Studenti ICT oborů na VŠ celkem v Česku</w:t>
      </w:r>
      <w:bookmarkEnd w:id="19"/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0" w:name="_Toc524332632"/>
      <w:r w:rsidRPr="0083434D">
        <w:rPr>
          <w:color w:val="FFFFFF" w:themeColor="background1"/>
          <w:sz w:val="4"/>
          <w:szCs w:val="4"/>
        </w:rPr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14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Studenti ICT oborů na VŠ podle pohlaví v Česku</w:t>
      </w:r>
      <w:bookmarkEnd w:id="20"/>
    </w:p>
    <w:p w:rsidR="006F17D3" w:rsidRPr="00D96547" w:rsidRDefault="006F17D3" w:rsidP="006F17D3">
      <w:pPr>
        <w:autoSpaceDE w:val="0"/>
        <w:autoSpaceDN w:val="0"/>
        <w:adjustRightInd w:val="0"/>
        <w:spacing w:after="100" w:line="264" w:lineRule="auto"/>
        <w:jc w:val="both"/>
      </w:pPr>
      <w:r w:rsidRPr="00D96547">
        <w:rPr>
          <w:noProof/>
        </w:rPr>
        <w:drawing>
          <wp:inline distT="0" distB="0" distL="0" distR="0" wp14:anchorId="1ECACB66" wp14:editId="64E9C0EC">
            <wp:extent cx="3200400" cy="2714400"/>
            <wp:effectExtent l="0" t="0" r="0" b="10160"/>
            <wp:docPr id="165" name="Graf 1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Pr="00D96547">
        <w:rPr>
          <w:noProof/>
        </w:rPr>
        <w:t xml:space="preserve"> </w:t>
      </w:r>
      <w:r w:rsidRPr="00D96547">
        <w:rPr>
          <w:noProof/>
        </w:rPr>
        <w:drawing>
          <wp:inline distT="0" distB="0" distL="0" distR="0" wp14:anchorId="769B18C3" wp14:editId="3711FAC9">
            <wp:extent cx="2858400" cy="2754000"/>
            <wp:effectExtent l="0" t="0" r="0" b="27305"/>
            <wp:docPr id="166" name="Graf 1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Největší podíl vysokoškolských studentů ICT studovalo </w:t>
      </w:r>
      <w:r w:rsidRPr="00D96547">
        <w:rPr>
          <w:b/>
        </w:rPr>
        <w:t>v bakalářských oborech</w:t>
      </w:r>
      <w:r w:rsidRPr="00D96547">
        <w:t xml:space="preserve"> (68 %), více než čtvrtina (27 %) pak v magisterských a 5 % v rámci doktorského studia.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Ve srovnání s ostatními </w:t>
      </w:r>
      <w:r w:rsidRPr="00D96547">
        <w:rPr>
          <w:b/>
        </w:rPr>
        <w:t>zeměmi EU28</w:t>
      </w:r>
      <w:r w:rsidRPr="00D96547">
        <w:t xml:space="preserve"> bylo v ČR v roce 2015 v populaci ve věku 20–29 let nadprůměrně více studentů ICT oborů vysokoškolského vzdělávání (1,4 %, průměr EU28 byl 1,2 %). Nejvyšší podíly studentů těchto oborů na výše uvedené populaci vykazovaly univerzity ve Finsku, Irsku a Řecku, nejmenší naopak ve Francii či v Portugalsku.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V roce 2016 vyšlo z vysokých škol téměř 3 500 </w:t>
      </w:r>
      <w:r w:rsidRPr="00D96547">
        <w:rPr>
          <w:b/>
        </w:rPr>
        <w:t>absolventů ICT oborů</w:t>
      </w:r>
      <w:r w:rsidRPr="00D96547">
        <w:t>. Představují 4,5 % ze všech absolventů bakalářského a magisterského studia. 85 % z  absolventů ICT oborů činili muži.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>Nejvyšší podíl absolventů ICT oborů mezi absolventy vysokých škol (bakalářský a magisterský stupeň) se nacházel v Irsku a Finsku, nejnižší naopak v Belgii a Portugalsku. Česká republika se nachází zhruba uprostřed srovnání.</w:t>
      </w:r>
    </w:p>
    <w:p w:rsidR="006F17D3" w:rsidRPr="00D96547" w:rsidRDefault="006F17D3" w:rsidP="006F17D3">
      <w:pPr>
        <w:pStyle w:val="Nadpis2"/>
        <w:spacing w:before="240" w:after="120" w:line="264" w:lineRule="auto"/>
      </w:pPr>
      <w:bookmarkStart w:id="21" w:name="_Toc525303577"/>
      <w:r w:rsidRPr="00D96547">
        <w:t>F. 6 ICT specialisté</w:t>
      </w:r>
      <w:bookmarkEnd w:id="21"/>
      <w:r w:rsidRPr="00D96547">
        <w:t xml:space="preserve"> </w:t>
      </w:r>
    </w:p>
    <w:p w:rsidR="006F17D3" w:rsidRPr="00D96547" w:rsidRDefault="006F17D3" w:rsidP="006F17D3">
      <w:pPr>
        <w:pStyle w:val="Zkladntext"/>
        <w:spacing w:before="0" w:after="80" w:line="264" w:lineRule="auto"/>
        <w:rPr>
          <w:i/>
          <w:sz w:val="20"/>
        </w:rPr>
      </w:pPr>
      <w:r w:rsidRPr="00D96547">
        <w:rPr>
          <w:i/>
          <w:sz w:val="20"/>
        </w:rPr>
        <w:t>Vývoj nových technologií a digitalizace postupující do stále většího spektra oblastí působí změny ve výrobních metodách. Tvůrci politik a výzkumní pracovníci tak mají zájem sledovat vývoj zaměstnanosti ICT specialistů, která přispívá ke komp</w:t>
      </w:r>
      <w:r w:rsidR="00FA28A2">
        <w:rPr>
          <w:i/>
          <w:sz w:val="20"/>
        </w:rPr>
        <w:t xml:space="preserve">arativní výhodě země v rozvoji </w:t>
      </w:r>
      <w:r w:rsidRPr="00D96547">
        <w:rPr>
          <w:i/>
          <w:sz w:val="20"/>
        </w:rPr>
        <w:t xml:space="preserve">ICT a </w:t>
      </w:r>
      <w:r w:rsidR="00FA28A2">
        <w:rPr>
          <w:i/>
          <w:sz w:val="20"/>
        </w:rPr>
        <w:t xml:space="preserve">navazujících </w:t>
      </w:r>
      <w:r w:rsidRPr="00D96547">
        <w:rPr>
          <w:i/>
          <w:sz w:val="20"/>
        </w:rPr>
        <w:t>služeb.</w:t>
      </w:r>
      <w:r w:rsidR="004C1E47">
        <w:rPr>
          <w:i/>
          <w:sz w:val="20"/>
        </w:rPr>
        <w:t xml:space="preserve"> Specialisté v ICT je sice mladý</w:t>
      </w:r>
      <w:r w:rsidRPr="00D96547">
        <w:rPr>
          <w:i/>
          <w:sz w:val="20"/>
        </w:rPr>
        <w:t xml:space="preserve"> o</w:t>
      </w:r>
      <w:r w:rsidR="004C1E47">
        <w:rPr>
          <w:i/>
          <w:sz w:val="20"/>
        </w:rPr>
        <w:t>bor</w:t>
      </w:r>
      <w:r w:rsidRPr="00D96547">
        <w:rPr>
          <w:i/>
          <w:sz w:val="20"/>
        </w:rPr>
        <w:t>, nicméně v posledních letech vykazovalo nejdynamičtější vývoj. Dá se předpokládat, že poptávka po ICT odbornících bude přetrvávat i nadále.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V roce 2016 pracovalo v ČR téměř </w:t>
      </w:r>
      <w:r w:rsidRPr="00D96547">
        <w:rPr>
          <w:b/>
        </w:rPr>
        <w:t>72 tisíc specialistů v oblasti ICT</w:t>
      </w:r>
      <w:r w:rsidRPr="00D96547">
        <w:rPr>
          <w:rStyle w:val="Znakapoznpodarou"/>
          <w:b/>
        </w:rPr>
        <w:footnoteReference w:id="7"/>
      </w:r>
      <w:r w:rsidRPr="00D96547">
        <w:t xml:space="preserve">. Ze zhruba dvou třetin šlo o Analytiky a vývojáře softwaru a počítačových aplikací. Třetinu pak představovali Specialisté v oblasti databází a počítačových sítí.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lastRenderedPageBreak/>
        <w:t xml:space="preserve">Jen desetinu specialistů v oblasti ICT tvořily v roce 2016 </w:t>
      </w:r>
      <w:r w:rsidRPr="00D96547">
        <w:rPr>
          <w:b/>
        </w:rPr>
        <w:t>ženy</w:t>
      </w:r>
      <w:r w:rsidRPr="00D96547">
        <w:t xml:space="preserve">. Polovina specialistů v oblasti ICT mělo v roce 2016 magisterské nebo doktorské vzdělání a z hlediska věku převažovala skupina ve věku </w:t>
      </w:r>
      <w:r w:rsidR="00E76B4E">
        <w:br/>
      </w:r>
      <w:r w:rsidRPr="00D96547">
        <w:t>30–39</w:t>
      </w:r>
      <w:r w:rsidR="00E76B4E">
        <w:t> </w:t>
      </w:r>
      <w:r w:rsidRPr="00D96547">
        <w:t>let (28 %), následovaná věkovou skupinou 40–49 let (podíl 18 %).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Nejvíce ICT specialistů </w:t>
      </w:r>
      <w:r w:rsidRPr="00D96547">
        <w:rPr>
          <w:b/>
        </w:rPr>
        <w:t>ze zemí EU</w:t>
      </w:r>
      <w:r w:rsidRPr="00D96547">
        <w:t xml:space="preserve"> připadajících na 100 zaměstnaných bylo za rok 2015 ve Finsku, Švédsku, Nizozemsku či Velké Británii. Nejméně naopak v Řecku. Česká republika je v počtech ICT specialistů (resp. v jejich podílu na zaměstnané populaci) mírně pod průměrem EU28, v případě </w:t>
      </w:r>
      <w:r w:rsidR="00E76B4E">
        <w:br/>
      </w:r>
      <w:r w:rsidRPr="00D96547">
        <w:t>žen – specialistek v ICT jsme však až na samém konci evropského žebříčku.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Průměrná </w:t>
      </w:r>
      <w:r w:rsidRPr="00D96547">
        <w:rPr>
          <w:b/>
        </w:rPr>
        <w:t>hrubá měsíční mzda ICT specialistů</w:t>
      </w:r>
      <w:r w:rsidRPr="00D96547">
        <w:rPr>
          <w:rStyle w:val="Znakapoznpodarou"/>
          <w:b/>
        </w:rPr>
        <w:footnoteReference w:id="8"/>
      </w:r>
      <w:r w:rsidRPr="00D96547">
        <w:t xml:space="preserve"> přesáhla v roce 2016 v ČR 53 tisíc Kč a tvořila 183 % průměrné mzdy v ČR. Muži pracující v ICT oborech pobírali v průměru měsíčně o téměř 10 tisíc Kč více než ženy pracující v těchto oborech. Zřejmě nepřekvapí, že větší výdělky mají ICT specialisté v soukromé sféře (pobírající mzdy) než ICT specialisté působící ve státním sektoru (pobírající platy) a výdělky ICT specialistů rostou s úrovní jejich nejvyššího ukončeného vzdělání. Nejvyšší průměrnou mzdu pobírají ICT specialisté ve „střední“ věkové kategorii 35–44 let.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 xml:space="preserve">Z hlediska vybraných profesí v ICT oboru mají </w:t>
      </w:r>
      <w:r w:rsidRPr="00D96547">
        <w:rPr>
          <w:b/>
        </w:rPr>
        <w:t>nejvyšší příjmy</w:t>
      </w:r>
      <w:r w:rsidRPr="00D96547">
        <w:t xml:space="preserve"> přesahující 61 tis. Kč </w:t>
      </w:r>
      <w:r w:rsidRPr="00D96547">
        <w:rPr>
          <w:b/>
        </w:rPr>
        <w:t>Specialisté v oblasti bezpečnosti dat</w:t>
      </w:r>
      <w:r w:rsidRPr="00D96547">
        <w:t xml:space="preserve">. Více než 58 tis. Kč hrubého pak v roce 2016 pobírali Systémoví analytici nebo Vývojáři softwaru. Relativně nejnižší výdělky v ICT oboru pak měli Systémoví administrátoři a správci sítí nebo Návrháři a správci databází (necelých 50 tis. Kč).    </w:t>
      </w:r>
    </w:p>
    <w:p w:rsidR="006F17D3" w:rsidRPr="00D96547" w:rsidRDefault="006F17D3" w:rsidP="006F17D3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D96547">
        <w:t>Co se týče příjmů ICT specialistů ve vybraných odvětvích (dle klasifikace CZ-NACE), nejvyšší příjmy pobírali v roce 2016 ICT specialisté působící v</w:t>
      </w:r>
      <w:r w:rsidRPr="00D96547">
        <w:rPr>
          <w:b/>
        </w:rPr>
        <w:t> Peněžnictví a pojišťovnictví</w:t>
      </w:r>
      <w:r w:rsidRPr="00D96547">
        <w:t xml:space="preserve"> (více než 64 tis. Kč), případně v odvětví nazvaném </w:t>
      </w:r>
      <w:r w:rsidRPr="00D96547">
        <w:rPr>
          <w:b/>
        </w:rPr>
        <w:t>Informační a komunikační činnosti</w:t>
      </w:r>
      <w:r w:rsidRPr="00D96547">
        <w:t xml:space="preserve"> (téměř 58 tis. Kč). Na opačném konci žebříčku pak byli ICT specialisté působící v odvětví Veřejná správa, jejich příjmy v roce 2016 činily průměrně necelých 37 tis. Kč.</w:t>
      </w:r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2" w:name="_Toc524332633"/>
      <w:r w:rsidRPr="0083434D">
        <w:rPr>
          <w:color w:val="FFFFFF" w:themeColor="background1"/>
          <w:sz w:val="4"/>
          <w:szCs w:val="4"/>
        </w:rPr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 w:rsidRPr="0083434D">
        <w:rPr>
          <w:noProof/>
          <w:color w:val="FFFFFF" w:themeColor="background1"/>
          <w:sz w:val="4"/>
          <w:szCs w:val="4"/>
        </w:rPr>
        <w:t>15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ICT specialisté v Česku</w:t>
      </w:r>
      <w:bookmarkEnd w:id="22"/>
    </w:p>
    <w:p w:rsidR="0083434D" w:rsidRPr="0083434D" w:rsidRDefault="0083434D" w:rsidP="0083434D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3" w:name="_Toc524332634"/>
      <w:r w:rsidRPr="0083434D">
        <w:rPr>
          <w:color w:val="FFFFFF" w:themeColor="background1"/>
          <w:sz w:val="4"/>
          <w:szCs w:val="4"/>
        </w:rPr>
        <w:t>Graf F</w:t>
      </w:r>
      <w:r w:rsidRPr="0083434D">
        <w:rPr>
          <w:color w:val="FFFFFF" w:themeColor="background1"/>
          <w:sz w:val="4"/>
          <w:szCs w:val="4"/>
        </w:rPr>
        <w:fldChar w:fldCharType="begin"/>
      </w:r>
      <w:r w:rsidRPr="0083434D">
        <w:rPr>
          <w:color w:val="FFFFFF" w:themeColor="background1"/>
          <w:sz w:val="4"/>
          <w:szCs w:val="4"/>
        </w:rPr>
        <w:instrText xml:space="preserve"> SEQ Graf_F \* ARABIC </w:instrText>
      </w:r>
      <w:r w:rsidRPr="0083434D">
        <w:rPr>
          <w:color w:val="FFFFFF" w:themeColor="background1"/>
          <w:sz w:val="4"/>
          <w:szCs w:val="4"/>
        </w:rPr>
        <w:fldChar w:fldCharType="separate"/>
      </w:r>
      <w:r w:rsidRPr="0083434D">
        <w:rPr>
          <w:noProof/>
          <w:color w:val="FFFFFF" w:themeColor="background1"/>
          <w:sz w:val="4"/>
          <w:szCs w:val="4"/>
        </w:rPr>
        <w:t>16</w:t>
      </w:r>
      <w:r w:rsidRPr="0083434D">
        <w:rPr>
          <w:color w:val="FFFFFF" w:themeColor="background1"/>
          <w:sz w:val="4"/>
          <w:szCs w:val="4"/>
        </w:rPr>
        <w:fldChar w:fldCharType="end"/>
      </w:r>
      <w:r w:rsidRPr="0083434D">
        <w:rPr>
          <w:color w:val="FFFFFF" w:themeColor="background1"/>
          <w:sz w:val="4"/>
          <w:szCs w:val="4"/>
        </w:rPr>
        <w:t xml:space="preserve"> Průměrná hrubá měsíční mzda ICT specialistů v Česku podle pohlaví</w:t>
      </w:r>
      <w:bookmarkEnd w:id="23"/>
    </w:p>
    <w:p w:rsidR="006F17D3" w:rsidRPr="00D96547" w:rsidRDefault="006F17D3" w:rsidP="006F17D3">
      <w:pPr>
        <w:autoSpaceDE w:val="0"/>
        <w:autoSpaceDN w:val="0"/>
        <w:adjustRightInd w:val="0"/>
        <w:spacing w:after="100" w:line="264" w:lineRule="auto"/>
        <w:ind w:left="284"/>
        <w:jc w:val="both"/>
        <w:rPr>
          <w:noProof/>
        </w:rPr>
      </w:pPr>
      <w:r w:rsidRPr="00D96547">
        <w:rPr>
          <w:noProof/>
        </w:rPr>
        <w:drawing>
          <wp:inline distT="0" distB="0" distL="0" distR="0" wp14:anchorId="47CEB3EE" wp14:editId="5FD9932A">
            <wp:extent cx="3132000" cy="2736000"/>
            <wp:effectExtent l="0" t="0" r="0" b="7620"/>
            <wp:docPr id="167" name="Graf 16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Pr="00D96547">
        <w:rPr>
          <w:noProof/>
        </w:rPr>
        <w:t xml:space="preserve"> </w:t>
      </w:r>
      <w:r w:rsidRPr="00D96547">
        <w:rPr>
          <w:noProof/>
        </w:rPr>
        <w:drawing>
          <wp:inline distT="0" distB="0" distL="0" distR="0" wp14:anchorId="38EFAD11" wp14:editId="5DCF33D9">
            <wp:extent cx="2676525" cy="2809875"/>
            <wp:effectExtent l="0" t="0" r="0" b="9525"/>
            <wp:docPr id="168" name="Graf 16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8353D1" w:rsidRDefault="008353D1">
      <w:pPr>
        <w:spacing w:after="0" w:line="240" w:lineRule="auto"/>
        <w:rPr>
          <w:b/>
          <w:bCs/>
          <w:color w:val="009BB4"/>
          <w:sz w:val="28"/>
          <w:szCs w:val="28"/>
        </w:rPr>
      </w:pPr>
      <w:bookmarkStart w:id="24" w:name="_GoBack"/>
      <w:bookmarkEnd w:id="24"/>
    </w:p>
    <w:bookmarkEnd w:id="0"/>
    <w:sectPr w:rsidR="008353D1" w:rsidSect="000D1DFA"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D30" w:rsidRDefault="00151D30" w:rsidP="00E71A58">
      <w:r>
        <w:separator/>
      </w:r>
    </w:p>
  </w:endnote>
  <w:endnote w:type="continuationSeparator" w:id="0">
    <w:p w:rsidR="00151D30" w:rsidRDefault="00151D3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932443" w:rsidRDefault="00151D3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17F4A895" wp14:editId="1FF41647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0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D1DFA">
      <w:rPr>
        <w:szCs w:val="16"/>
      </w:rPr>
      <w:t>78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932443" w:rsidRDefault="00151D3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2075378" wp14:editId="1E1A0CD8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02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D1DFA">
      <w:rPr>
        <w:rStyle w:val="ZpatChar"/>
        <w:szCs w:val="16"/>
      </w:rPr>
      <w:t>77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DFA" w:rsidRDefault="000D1D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D30" w:rsidRDefault="00151D30" w:rsidP="00E71A58">
      <w:r>
        <w:separator/>
      </w:r>
    </w:p>
  </w:footnote>
  <w:footnote w:type="continuationSeparator" w:id="0">
    <w:p w:rsidR="00151D30" w:rsidRDefault="00151D30" w:rsidP="00E71A58">
      <w:r>
        <w:continuationSeparator/>
      </w:r>
    </w:p>
  </w:footnote>
  <w:footnote w:id="1">
    <w:p w:rsidR="00151D30" w:rsidRPr="003456C7" w:rsidRDefault="00151D30" w:rsidP="005C23A9">
      <w:pPr>
        <w:pStyle w:val="Textpoznpodarou"/>
        <w:jc w:val="both"/>
        <w:rPr>
          <w:rFonts w:ascii="Arial" w:hAnsi="Arial" w:cs="Arial"/>
          <w:sz w:val="18"/>
        </w:rPr>
      </w:pPr>
      <w:r w:rsidRPr="003456C7">
        <w:rPr>
          <w:rStyle w:val="Znakapoznpodarou"/>
          <w:rFonts w:ascii="Arial" w:hAnsi="Arial" w:cs="Arial"/>
          <w:sz w:val="18"/>
        </w:rPr>
        <w:footnoteRef/>
      </w:r>
      <w:r w:rsidRPr="003456C7">
        <w:rPr>
          <w:rFonts w:ascii="Arial" w:hAnsi="Arial" w:cs="Arial"/>
          <w:sz w:val="18"/>
        </w:rPr>
        <w:t xml:space="preserve"> Podle výsledků šetření PISA organizovaného OECD bylo zjištěno, že v roce 2012 nemělo přístup k internetu méně než 0,5 % 15letých respondentů (průměr za země OECD s dostupnými daty). </w:t>
      </w:r>
    </w:p>
  </w:footnote>
  <w:footnote w:id="2">
    <w:p w:rsidR="00151D30" w:rsidRDefault="00151D30" w:rsidP="005C23A9">
      <w:pPr>
        <w:pStyle w:val="Zkladntext"/>
        <w:spacing w:before="60"/>
      </w:pPr>
      <w:r w:rsidRPr="003456C7">
        <w:rPr>
          <w:rStyle w:val="Znakapoznpodarou"/>
          <w:rFonts w:cs="Arial"/>
          <w:sz w:val="18"/>
          <w:szCs w:val="20"/>
        </w:rPr>
        <w:footnoteRef/>
      </w:r>
      <w:r w:rsidRPr="003456C7">
        <w:rPr>
          <w:rFonts w:cs="Arial"/>
          <w:sz w:val="18"/>
          <w:szCs w:val="20"/>
        </w:rPr>
        <w:t xml:space="preserve"> Údaje o vybavenosti škol informačními technologiemi, tedy zda je škola připojena k internetu, jakou využívá rychlost připojení nebo zda má vlastní webové stránky či školní informační systém</w:t>
      </w:r>
      <w:r>
        <w:rPr>
          <w:rFonts w:cs="Arial"/>
          <w:sz w:val="18"/>
          <w:szCs w:val="20"/>
        </w:rPr>
        <w:t>,</w:t>
      </w:r>
      <w:r w:rsidRPr="003456C7">
        <w:rPr>
          <w:rFonts w:cs="Arial"/>
          <w:sz w:val="18"/>
          <w:szCs w:val="20"/>
        </w:rPr>
        <w:t xml:space="preserve"> pochází od České školní inspekce. Dalším datovým zdrojem použitým v této podkapitole je Ministerstvo školství, mládeže a tělovýchovy ČR (MŠMT), které sleduje počet a stáří počítačů používaných na jednotlivých školách. Oba zmíněné datové zdroje zahrnují mateřské, základní, střední a vyšší odborné školy.</w:t>
      </w:r>
    </w:p>
  </w:footnote>
  <w:footnote w:id="3">
    <w:p w:rsidR="00151D30" w:rsidRPr="004538A8" w:rsidRDefault="00151D30" w:rsidP="006F17D3">
      <w:pPr>
        <w:pStyle w:val="Textpoznpodarou"/>
        <w:jc w:val="both"/>
        <w:rPr>
          <w:rFonts w:ascii="Arial" w:hAnsi="Arial" w:cs="Arial"/>
          <w:sz w:val="18"/>
        </w:rPr>
      </w:pPr>
      <w:r w:rsidRPr="004538A8">
        <w:rPr>
          <w:rStyle w:val="Znakapoznpodarou"/>
          <w:rFonts w:ascii="Arial" w:hAnsi="Arial" w:cs="Arial"/>
          <w:sz w:val="18"/>
        </w:rPr>
        <w:footnoteRef/>
      </w:r>
      <w:r w:rsidRPr="004538A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Š</w:t>
      </w:r>
      <w:r w:rsidRPr="004538A8">
        <w:rPr>
          <w:rFonts w:ascii="Arial" w:hAnsi="Arial" w:cs="Arial"/>
          <w:sz w:val="18"/>
        </w:rPr>
        <w:t>etření proběhlo v roce 2015 a účastnilo se ho více než 0,5 milionu 15letýc</w:t>
      </w:r>
      <w:r>
        <w:rPr>
          <w:rFonts w:ascii="Arial" w:hAnsi="Arial" w:cs="Arial"/>
          <w:sz w:val="18"/>
        </w:rPr>
        <w:t>h</w:t>
      </w:r>
      <w:r w:rsidRPr="004538A8">
        <w:rPr>
          <w:rFonts w:ascii="Arial" w:hAnsi="Arial" w:cs="Arial"/>
          <w:sz w:val="18"/>
        </w:rPr>
        <w:t xml:space="preserve"> studentů, reprezentujících 28 milionů 15letých v 72 zemích. Šetření spočívalo ve vyplnění mezinárodně srovnatelného testu, který trval 2 hodiny. Předmětem zkoušky byly přírodní vědy, matematika, čtení, </w:t>
      </w:r>
      <w:r>
        <w:rPr>
          <w:rFonts w:ascii="Arial" w:hAnsi="Arial" w:cs="Arial"/>
          <w:sz w:val="18"/>
        </w:rPr>
        <w:t xml:space="preserve">týmové </w:t>
      </w:r>
      <w:r w:rsidRPr="004538A8">
        <w:rPr>
          <w:rFonts w:ascii="Arial" w:hAnsi="Arial" w:cs="Arial"/>
          <w:sz w:val="18"/>
        </w:rPr>
        <w:t xml:space="preserve">řešení </w:t>
      </w:r>
      <w:r>
        <w:rPr>
          <w:rFonts w:ascii="Arial" w:hAnsi="Arial" w:cs="Arial"/>
          <w:sz w:val="18"/>
        </w:rPr>
        <w:t>úkolů</w:t>
      </w:r>
      <w:r w:rsidRPr="004538A8">
        <w:rPr>
          <w:rFonts w:ascii="Arial" w:hAnsi="Arial" w:cs="Arial"/>
          <w:sz w:val="18"/>
        </w:rPr>
        <w:t xml:space="preserve"> a finanční gramotnost. </w:t>
      </w:r>
    </w:p>
  </w:footnote>
  <w:footnote w:id="4">
    <w:p w:rsidR="00151D30" w:rsidRDefault="00151D30" w:rsidP="006F17D3">
      <w:pPr>
        <w:pStyle w:val="Textpoznpodarou"/>
        <w:jc w:val="both"/>
      </w:pPr>
      <w:r w:rsidRPr="00871A2A">
        <w:rPr>
          <w:rStyle w:val="Znakapoznpodarou"/>
          <w:rFonts w:ascii="Arial" w:hAnsi="Arial" w:cs="Arial"/>
          <w:sz w:val="18"/>
          <w:szCs w:val="18"/>
        </w:rPr>
        <w:footnoteRef/>
      </w:r>
      <w:r w:rsidRPr="00871A2A">
        <w:rPr>
          <w:rFonts w:ascii="Arial" w:hAnsi="Arial" w:cs="Arial"/>
          <w:sz w:val="18"/>
          <w:szCs w:val="18"/>
        </w:rPr>
        <w:t xml:space="preserve"> Údaje o využívání internetu ve vztahu k veřejné správě ze strany jednotlivců vycházejí z výsledků získaných v rámci Výběrového šetření o využívání ICT v domácnostech (VŠIT) každoročně pořádaného Českým statistickým úřadem již od</w:t>
      </w:r>
      <w:r>
        <w:rPr>
          <w:rFonts w:ascii="Arial" w:hAnsi="Arial" w:cs="Arial"/>
          <w:sz w:val="18"/>
          <w:szCs w:val="18"/>
        </w:rPr>
        <w:t> </w:t>
      </w:r>
      <w:r w:rsidRPr="00871A2A">
        <w:rPr>
          <w:rFonts w:ascii="Arial" w:hAnsi="Arial" w:cs="Arial"/>
          <w:sz w:val="18"/>
          <w:szCs w:val="18"/>
        </w:rPr>
        <w:t>roku 2002.  Toto šetření je prováděno formou osobního rozhovoru na výběrovém vzorku cca 10 tis. jednotlivců 16letých a starších.</w:t>
      </w:r>
    </w:p>
  </w:footnote>
  <w:footnote w:id="5">
    <w:p w:rsidR="00151D30" w:rsidRPr="00B36C38" w:rsidRDefault="00151D30" w:rsidP="006F17D3">
      <w:pPr>
        <w:pStyle w:val="Textpoznpodarou"/>
        <w:jc w:val="both"/>
        <w:rPr>
          <w:rFonts w:ascii="Arial" w:hAnsi="Arial" w:cs="Arial"/>
          <w:sz w:val="18"/>
        </w:rPr>
      </w:pPr>
      <w:r w:rsidRPr="00B36C38">
        <w:rPr>
          <w:rStyle w:val="Znakapoznpodarou"/>
          <w:rFonts w:ascii="Arial" w:hAnsi="Arial" w:cs="Arial"/>
          <w:sz w:val="18"/>
        </w:rPr>
        <w:footnoteRef/>
      </w:r>
      <w:r w:rsidRPr="00B36C38">
        <w:rPr>
          <w:rFonts w:ascii="Arial" w:hAnsi="Arial" w:cs="Arial"/>
          <w:sz w:val="18"/>
        </w:rPr>
        <w:t xml:space="preserve"> Evropský referenční rámec klíčových kompetencí celoživotního vzdělávání z roku 2006 definoval 8 klíčových kompetencí, které byly v roce 2018 aktualizovány a zahrnují také digitální kompetence. Ty obsahují sebejisté, kritické a</w:t>
      </w:r>
      <w:r>
        <w:rPr>
          <w:rFonts w:ascii="Arial" w:hAnsi="Arial" w:cs="Arial"/>
          <w:sz w:val="18"/>
        </w:rPr>
        <w:t> </w:t>
      </w:r>
      <w:r w:rsidRPr="00B36C38">
        <w:rPr>
          <w:rFonts w:ascii="Arial" w:hAnsi="Arial" w:cs="Arial"/>
          <w:sz w:val="18"/>
        </w:rPr>
        <w:t xml:space="preserve">odpovědné využívání a zapojení se do digitálních technologií v rámci studia, práce a pro společnost. To znamená informační a datovou gramotnost, komunikaci a spolupráci, tvorbu digitálního obsahu (včetně programování), počítačovou bezpečnost, řešení úkolů. Více informací </w:t>
      </w:r>
      <w:proofErr w:type="gramStart"/>
      <w:r w:rsidRPr="00B36C38">
        <w:rPr>
          <w:rFonts w:ascii="Arial" w:hAnsi="Arial" w:cs="Arial"/>
          <w:sz w:val="18"/>
        </w:rPr>
        <w:t>na</w:t>
      </w:r>
      <w:proofErr w:type="gramEnd"/>
      <w:r w:rsidRPr="00B36C38">
        <w:rPr>
          <w:rFonts w:ascii="Arial" w:hAnsi="Arial" w:cs="Arial"/>
          <w:sz w:val="18"/>
        </w:rPr>
        <w:t xml:space="preserve">: </w:t>
      </w:r>
      <w:hyperlink r:id="rId1" w:history="1">
        <w:r w:rsidRPr="00B36C38">
          <w:rPr>
            <w:rStyle w:val="Hypertextovodkaz"/>
            <w:rFonts w:ascii="Arial" w:hAnsi="Arial" w:cs="Arial"/>
            <w:sz w:val="18"/>
          </w:rPr>
          <w:t>https://ec.europa.eu/education/sites/education/files/annex-recommendation-key-competences-lifelong-learning.pdf</w:t>
        </w:r>
      </w:hyperlink>
    </w:p>
  </w:footnote>
  <w:footnote w:id="6">
    <w:p w:rsidR="00151D30" w:rsidRPr="00DE4C9D" w:rsidRDefault="00151D30" w:rsidP="006F17D3">
      <w:pPr>
        <w:pStyle w:val="Textpoznpodarou"/>
        <w:jc w:val="both"/>
        <w:rPr>
          <w:rFonts w:ascii="Arial" w:hAnsi="Arial" w:cs="Arial"/>
        </w:rPr>
      </w:pPr>
      <w:r w:rsidRPr="00DE4C9D">
        <w:rPr>
          <w:rStyle w:val="Znakapoznpodarou"/>
          <w:rFonts w:ascii="Arial" w:hAnsi="Arial" w:cs="Arial"/>
          <w:sz w:val="18"/>
        </w:rPr>
        <w:footnoteRef/>
      </w:r>
      <w:r w:rsidRPr="00DE4C9D">
        <w:rPr>
          <w:rFonts w:ascii="Arial" w:hAnsi="Arial" w:cs="Arial"/>
          <w:sz w:val="18"/>
        </w:rPr>
        <w:t xml:space="preserve"> Počty studentů a absolventů ICT vychází z mezinárodní klasifikace vzdělávání (ISCED-D 2013). Třída 06 klasifikace CZ-ISCED 2013 Informační a komunikační technologie (ICT) zahrnuje následující podrobně vymezené obory: Používání počítačů (0611), Návrhy a správa databází a sítí (0612), Vývoj a analýzy softwaru a aplikací (0613), Informační a</w:t>
      </w:r>
      <w:r>
        <w:rPr>
          <w:rFonts w:ascii="Arial" w:hAnsi="Arial" w:cs="Arial"/>
          <w:sz w:val="18"/>
        </w:rPr>
        <w:t> </w:t>
      </w:r>
      <w:r w:rsidRPr="00DE4C9D">
        <w:rPr>
          <w:rFonts w:ascii="Arial" w:hAnsi="Arial" w:cs="Arial"/>
          <w:sz w:val="18"/>
        </w:rPr>
        <w:t xml:space="preserve">komunikační technologie (ICT) – obory jinde nezařazené (0619), </w:t>
      </w:r>
      <w:r w:rsidRPr="00DE4C9D">
        <w:rPr>
          <w:rFonts w:ascii="Arial" w:hAnsi="Arial" w:cs="Arial"/>
          <w:sz w:val="18"/>
        </w:rPr>
        <w:tab/>
        <w:t xml:space="preserve">Interdisciplinární programy a kvalifikace zahrnující ICT (0688). Univerzitní vzdělávání za Českou republiku prezentované v této kapitole patří pod terciární vzdělávání a zahrnuje bakalářské (ISCED </w:t>
      </w:r>
      <w:proofErr w:type="spellStart"/>
      <w:r w:rsidRPr="00DE4C9D">
        <w:rPr>
          <w:rFonts w:ascii="Arial" w:hAnsi="Arial" w:cs="Arial"/>
          <w:sz w:val="18"/>
        </w:rPr>
        <w:t>level</w:t>
      </w:r>
      <w:proofErr w:type="spellEnd"/>
      <w:r w:rsidRPr="00DE4C9D">
        <w:rPr>
          <w:rFonts w:ascii="Arial" w:hAnsi="Arial" w:cs="Arial"/>
          <w:sz w:val="18"/>
        </w:rPr>
        <w:t xml:space="preserve"> 6), magisterské (ISCED </w:t>
      </w:r>
      <w:proofErr w:type="spellStart"/>
      <w:r w:rsidRPr="00DE4C9D">
        <w:rPr>
          <w:rFonts w:ascii="Arial" w:hAnsi="Arial" w:cs="Arial"/>
          <w:sz w:val="18"/>
        </w:rPr>
        <w:t>level</w:t>
      </w:r>
      <w:proofErr w:type="spellEnd"/>
      <w:r w:rsidRPr="00DE4C9D">
        <w:rPr>
          <w:rFonts w:ascii="Arial" w:hAnsi="Arial" w:cs="Arial"/>
          <w:sz w:val="18"/>
        </w:rPr>
        <w:t xml:space="preserve"> 7) a doktorské (ISCED </w:t>
      </w:r>
      <w:proofErr w:type="spellStart"/>
      <w:r w:rsidRPr="00DE4C9D">
        <w:rPr>
          <w:rFonts w:ascii="Arial" w:hAnsi="Arial" w:cs="Arial"/>
          <w:sz w:val="18"/>
        </w:rPr>
        <w:t>level</w:t>
      </w:r>
      <w:proofErr w:type="spellEnd"/>
      <w:r w:rsidRPr="00DE4C9D">
        <w:rPr>
          <w:rFonts w:ascii="Arial" w:hAnsi="Arial" w:cs="Arial"/>
          <w:sz w:val="18"/>
        </w:rPr>
        <w:t xml:space="preserve"> 8) studijní programy všech veřejných a soukromých univerzit.</w:t>
      </w:r>
    </w:p>
  </w:footnote>
  <w:footnote w:id="7">
    <w:p w:rsidR="00151D30" w:rsidRPr="00BE3615" w:rsidRDefault="00151D30" w:rsidP="005C23A9">
      <w:pPr>
        <w:pStyle w:val="Textpoznpodarou"/>
        <w:spacing w:before="60"/>
        <w:jc w:val="both"/>
        <w:rPr>
          <w:rFonts w:ascii="Arial" w:hAnsi="Arial" w:cs="Arial"/>
          <w:highlight w:val="cyan"/>
        </w:rPr>
      </w:pPr>
      <w:r w:rsidRPr="00BE3615">
        <w:rPr>
          <w:rStyle w:val="Znakapoznpodarou"/>
          <w:rFonts w:ascii="Arial" w:hAnsi="Arial" w:cs="Arial"/>
          <w:sz w:val="18"/>
        </w:rPr>
        <w:footnoteRef/>
      </w:r>
      <w:r w:rsidRPr="00BE3615">
        <w:rPr>
          <w:rFonts w:ascii="Arial" w:hAnsi="Arial" w:cs="Arial"/>
          <w:sz w:val="18"/>
        </w:rPr>
        <w:t xml:space="preserve"> Data o počtu ICT specialistů pochází z Výběrového šetření pracovních sil (VŠPS) organizovaného Českým statistickým úřadem. Prezentovány jsou roční průměry za dané roky.</w:t>
      </w:r>
    </w:p>
  </w:footnote>
  <w:footnote w:id="8">
    <w:p w:rsidR="00151D30" w:rsidRDefault="00151D30" w:rsidP="008353D1">
      <w:pPr>
        <w:pStyle w:val="Textpoznpodarou"/>
        <w:jc w:val="both"/>
      </w:pPr>
      <w:r w:rsidRPr="00893EBF">
        <w:rPr>
          <w:rStyle w:val="Znakapoznpodarou"/>
          <w:rFonts w:ascii="Arial" w:hAnsi="Arial" w:cs="Arial"/>
          <w:sz w:val="18"/>
        </w:rPr>
        <w:footnoteRef/>
      </w:r>
      <w:r w:rsidRPr="00893EBF">
        <w:rPr>
          <w:rFonts w:ascii="Arial" w:hAnsi="Arial" w:cs="Arial"/>
          <w:sz w:val="18"/>
        </w:rPr>
        <w:t xml:space="preserve"> Data o mzdách specialistů v ICT oborech vychází ze speciálního zpracování dat získaných v rámci Strukturální mzdové statistiky zaměstnanců, která pochází ze spojení dvou databází. Jednak výběrového šetření Informačního systému o</w:t>
      </w:r>
      <w:r>
        <w:rPr>
          <w:rFonts w:ascii="Arial" w:hAnsi="Arial" w:cs="Arial"/>
          <w:sz w:val="18"/>
        </w:rPr>
        <w:t> </w:t>
      </w:r>
      <w:r w:rsidRPr="00893EBF">
        <w:rPr>
          <w:rFonts w:ascii="Arial" w:hAnsi="Arial" w:cs="Arial"/>
          <w:sz w:val="18"/>
        </w:rPr>
        <w:t>průměrném výdělku (ISPV), spadajícího pod Ministerstvo práce a sociálních věcí, které mapuje mzdovou sféru. Jednak databáze z administrativních zdrojů dat Platového informačního systému spadajícího pod Ministerstvo financí, které plně pokrývá platovou sféru.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6F5416" w:rsidRDefault="00151D30" w:rsidP="00EF25CC">
    <w:pPr>
      <w:pStyle w:val="Zhlav"/>
    </w:pPr>
    <w:r>
      <w:t>Rozvoj informační společnosti v České republice a zemích EU</w:t>
    </w:r>
  </w:p>
  <w:p w:rsidR="00151D30" w:rsidRPr="00EF25CC" w:rsidRDefault="00151D30" w:rsidP="00EF25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6F5416" w:rsidRDefault="00151D30" w:rsidP="00937AE2">
    <w:pPr>
      <w:pStyle w:val="Zhlav"/>
    </w:pPr>
    <w:r>
      <w:t>Rozvoj informační společnosti v České republice a zemích EU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DFA" w:rsidRDefault="000D1D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4135D"/>
    <w:multiLevelType w:val="hybridMultilevel"/>
    <w:tmpl w:val="FD5658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7F750D5"/>
    <w:multiLevelType w:val="hybridMultilevel"/>
    <w:tmpl w:val="5D747D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D7D2D59"/>
    <w:multiLevelType w:val="hybridMultilevel"/>
    <w:tmpl w:val="CD607F88"/>
    <w:lvl w:ilvl="0" w:tplc="08DC1D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EEF0B92"/>
    <w:multiLevelType w:val="hybridMultilevel"/>
    <w:tmpl w:val="338AA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E85D3C"/>
    <w:multiLevelType w:val="hybridMultilevel"/>
    <w:tmpl w:val="26643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733F88"/>
    <w:multiLevelType w:val="hybridMultilevel"/>
    <w:tmpl w:val="0F7A41B8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FD3662"/>
    <w:multiLevelType w:val="hybridMultilevel"/>
    <w:tmpl w:val="1DEEB002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787561"/>
    <w:multiLevelType w:val="hybridMultilevel"/>
    <w:tmpl w:val="CC78A5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19"/>
  </w:num>
  <w:num w:numId="14">
    <w:abstractNumId w:val="22"/>
  </w:num>
  <w:num w:numId="15">
    <w:abstractNumId w:val="14"/>
  </w:num>
  <w:num w:numId="16">
    <w:abstractNumId w:val="11"/>
  </w:num>
  <w:num w:numId="17">
    <w:abstractNumId w:val="15"/>
  </w:num>
  <w:num w:numId="18">
    <w:abstractNumId w:val="13"/>
  </w:num>
  <w:num w:numId="19">
    <w:abstractNumId w:val="17"/>
  </w:num>
  <w:num w:numId="20">
    <w:abstractNumId w:val="10"/>
  </w:num>
  <w:num w:numId="21">
    <w:abstractNumId w:val="12"/>
  </w:num>
  <w:num w:numId="22">
    <w:abstractNumId w:val="21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74"/>
    <w:rsid w:val="0000209D"/>
    <w:rsid w:val="00004D5A"/>
    <w:rsid w:val="000056D5"/>
    <w:rsid w:val="0000661F"/>
    <w:rsid w:val="0000767A"/>
    <w:rsid w:val="00010702"/>
    <w:rsid w:val="000234D6"/>
    <w:rsid w:val="00023D29"/>
    <w:rsid w:val="00026389"/>
    <w:rsid w:val="00031AE0"/>
    <w:rsid w:val="00031DF9"/>
    <w:rsid w:val="000322EF"/>
    <w:rsid w:val="00033FCD"/>
    <w:rsid w:val="00041CEC"/>
    <w:rsid w:val="0004694F"/>
    <w:rsid w:val="000522E4"/>
    <w:rsid w:val="00060678"/>
    <w:rsid w:val="000610E1"/>
    <w:rsid w:val="00062EC5"/>
    <w:rsid w:val="00062F22"/>
    <w:rsid w:val="000712B3"/>
    <w:rsid w:val="000738F5"/>
    <w:rsid w:val="00080DC7"/>
    <w:rsid w:val="0008263E"/>
    <w:rsid w:val="00082C19"/>
    <w:rsid w:val="00085395"/>
    <w:rsid w:val="00085ADD"/>
    <w:rsid w:val="00087634"/>
    <w:rsid w:val="00087F2B"/>
    <w:rsid w:val="00090B26"/>
    <w:rsid w:val="000974D1"/>
    <w:rsid w:val="0009799E"/>
    <w:rsid w:val="000A1183"/>
    <w:rsid w:val="000A256D"/>
    <w:rsid w:val="000A3A2C"/>
    <w:rsid w:val="000C233D"/>
    <w:rsid w:val="000C2E06"/>
    <w:rsid w:val="000C3408"/>
    <w:rsid w:val="000C6AFD"/>
    <w:rsid w:val="000D1DFA"/>
    <w:rsid w:val="000D5447"/>
    <w:rsid w:val="000D5637"/>
    <w:rsid w:val="000E6FBD"/>
    <w:rsid w:val="000F1E6B"/>
    <w:rsid w:val="00100F5C"/>
    <w:rsid w:val="00104C4C"/>
    <w:rsid w:val="0012192F"/>
    <w:rsid w:val="00125D69"/>
    <w:rsid w:val="001310B8"/>
    <w:rsid w:val="001374A5"/>
    <w:rsid w:val="001405FA"/>
    <w:rsid w:val="001425C3"/>
    <w:rsid w:val="00151D30"/>
    <w:rsid w:val="001532F4"/>
    <w:rsid w:val="0016256B"/>
    <w:rsid w:val="00163793"/>
    <w:rsid w:val="001706D6"/>
    <w:rsid w:val="001714F2"/>
    <w:rsid w:val="001719E8"/>
    <w:rsid w:val="00184B08"/>
    <w:rsid w:val="00185010"/>
    <w:rsid w:val="001964E7"/>
    <w:rsid w:val="001A552F"/>
    <w:rsid w:val="001B2CA9"/>
    <w:rsid w:val="001B3110"/>
    <w:rsid w:val="001B4729"/>
    <w:rsid w:val="001B6C09"/>
    <w:rsid w:val="001B7B0A"/>
    <w:rsid w:val="001C05CD"/>
    <w:rsid w:val="001C4EA2"/>
    <w:rsid w:val="001C550B"/>
    <w:rsid w:val="001D68B2"/>
    <w:rsid w:val="001F4597"/>
    <w:rsid w:val="001F71F0"/>
    <w:rsid w:val="002118B9"/>
    <w:rsid w:val="00215A2F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56F55"/>
    <w:rsid w:val="00263723"/>
    <w:rsid w:val="00271465"/>
    <w:rsid w:val="00272ECF"/>
    <w:rsid w:val="00285412"/>
    <w:rsid w:val="00286B82"/>
    <w:rsid w:val="002A16D4"/>
    <w:rsid w:val="002A230C"/>
    <w:rsid w:val="002C354E"/>
    <w:rsid w:val="002C43BD"/>
    <w:rsid w:val="002D0E59"/>
    <w:rsid w:val="002E02A1"/>
    <w:rsid w:val="002E4E4C"/>
    <w:rsid w:val="002E53B8"/>
    <w:rsid w:val="00304771"/>
    <w:rsid w:val="003052D4"/>
    <w:rsid w:val="00306C5B"/>
    <w:rsid w:val="0031346B"/>
    <w:rsid w:val="00320135"/>
    <w:rsid w:val="003209D6"/>
    <w:rsid w:val="00321924"/>
    <w:rsid w:val="003258E2"/>
    <w:rsid w:val="0032656E"/>
    <w:rsid w:val="00332190"/>
    <w:rsid w:val="00344668"/>
    <w:rsid w:val="003462D9"/>
    <w:rsid w:val="00346BD2"/>
    <w:rsid w:val="00360C86"/>
    <w:rsid w:val="0036231A"/>
    <w:rsid w:val="003657F3"/>
    <w:rsid w:val="003818DC"/>
    <w:rsid w:val="00384327"/>
    <w:rsid w:val="00385D98"/>
    <w:rsid w:val="003A2B4D"/>
    <w:rsid w:val="003A478C"/>
    <w:rsid w:val="003A5525"/>
    <w:rsid w:val="003A6B38"/>
    <w:rsid w:val="003B009D"/>
    <w:rsid w:val="003B3A31"/>
    <w:rsid w:val="003B5A32"/>
    <w:rsid w:val="003C3490"/>
    <w:rsid w:val="003C6AB3"/>
    <w:rsid w:val="003D5166"/>
    <w:rsid w:val="003D561C"/>
    <w:rsid w:val="003D6920"/>
    <w:rsid w:val="003D7360"/>
    <w:rsid w:val="003E4C91"/>
    <w:rsid w:val="003F313C"/>
    <w:rsid w:val="003F4B2C"/>
    <w:rsid w:val="003F551C"/>
    <w:rsid w:val="003F7D23"/>
    <w:rsid w:val="00407C13"/>
    <w:rsid w:val="00410638"/>
    <w:rsid w:val="00427DBA"/>
    <w:rsid w:val="00432A58"/>
    <w:rsid w:val="00434617"/>
    <w:rsid w:val="00440900"/>
    <w:rsid w:val="004441A0"/>
    <w:rsid w:val="00447AC3"/>
    <w:rsid w:val="0045371C"/>
    <w:rsid w:val="0045583D"/>
    <w:rsid w:val="00460FB3"/>
    <w:rsid w:val="00471EB7"/>
    <w:rsid w:val="00476240"/>
    <w:rsid w:val="00476439"/>
    <w:rsid w:val="00476ABC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021D"/>
    <w:rsid w:val="004B1417"/>
    <w:rsid w:val="004B2A0F"/>
    <w:rsid w:val="004B55B7"/>
    <w:rsid w:val="004B6468"/>
    <w:rsid w:val="004B680F"/>
    <w:rsid w:val="004C17F9"/>
    <w:rsid w:val="004C1E47"/>
    <w:rsid w:val="004C302C"/>
    <w:rsid w:val="004C384C"/>
    <w:rsid w:val="004C3867"/>
    <w:rsid w:val="004C4CD0"/>
    <w:rsid w:val="004C70DC"/>
    <w:rsid w:val="004D0211"/>
    <w:rsid w:val="004D0794"/>
    <w:rsid w:val="004D41FF"/>
    <w:rsid w:val="004D79D3"/>
    <w:rsid w:val="004F06F5"/>
    <w:rsid w:val="004F1191"/>
    <w:rsid w:val="004F33A0"/>
    <w:rsid w:val="004F3D06"/>
    <w:rsid w:val="00502A16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BB"/>
    <w:rsid w:val="00532CE7"/>
    <w:rsid w:val="0053324C"/>
    <w:rsid w:val="00534A28"/>
    <w:rsid w:val="00536744"/>
    <w:rsid w:val="00541508"/>
    <w:rsid w:val="0055599F"/>
    <w:rsid w:val="00556D68"/>
    <w:rsid w:val="005647BF"/>
    <w:rsid w:val="0057364B"/>
    <w:rsid w:val="00574773"/>
    <w:rsid w:val="00580DC8"/>
    <w:rsid w:val="00583F46"/>
    <w:rsid w:val="00583FFD"/>
    <w:rsid w:val="0058579A"/>
    <w:rsid w:val="005911BE"/>
    <w:rsid w:val="00593152"/>
    <w:rsid w:val="00597C39"/>
    <w:rsid w:val="005A10F2"/>
    <w:rsid w:val="005A21E0"/>
    <w:rsid w:val="005A27BE"/>
    <w:rsid w:val="005A28FF"/>
    <w:rsid w:val="005A3DF8"/>
    <w:rsid w:val="005A5549"/>
    <w:rsid w:val="005B121D"/>
    <w:rsid w:val="005C06ED"/>
    <w:rsid w:val="005C23A9"/>
    <w:rsid w:val="005D09AA"/>
    <w:rsid w:val="005D5802"/>
    <w:rsid w:val="005D7890"/>
    <w:rsid w:val="005E7C78"/>
    <w:rsid w:val="005F3EB1"/>
    <w:rsid w:val="005F5469"/>
    <w:rsid w:val="00604022"/>
    <w:rsid w:val="00604307"/>
    <w:rsid w:val="0060487F"/>
    <w:rsid w:val="00604EAD"/>
    <w:rsid w:val="006104FB"/>
    <w:rsid w:val="00612A2F"/>
    <w:rsid w:val="00616E05"/>
    <w:rsid w:val="00623647"/>
    <w:rsid w:val="00624093"/>
    <w:rsid w:val="006404A7"/>
    <w:rsid w:val="006451E4"/>
    <w:rsid w:val="00645B33"/>
    <w:rsid w:val="00650694"/>
    <w:rsid w:val="006516CB"/>
    <w:rsid w:val="00655739"/>
    <w:rsid w:val="00657E87"/>
    <w:rsid w:val="00664803"/>
    <w:rsid w:val="00665BA4"/>
    <w:rsid w:val="00667AF2"/>
    <w:rsid w:val="006710C9"/>
    <w:rsid w:val="00674D89"/>
    <w:rsid w:val="00675E37"/>
    <w:rsid w:val="0068174E"/>
    <w:rsid w:val="00681D9E"/>
    <w:rsid w:val="00681DCE"/>
    <w:rsid w:val="0068260E"/>
    <w:rsid w:val="0068503B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6C48"/>
    <w:rsid w:val="006C7CA6"/>
    <w:rsid w:val="006D0F31"/>
    <w:rsid w:val="006D3E8A"/>
    <w:rsid w:val="006D61F6"/>
    <w:rsid w:val="006E279A"/>
    <w:rsid w:val="006E313B"/>
    <w:rsid w:val="006E65BC"/>
    <w:rsid w:val="006F17D3"/>
    <w:rsid w:val="006F48ED"/>
    <w:rsid w:val="006F5416"/>
    <w:rsid w:val="00703765"/>
    <w:rsid w:val="00706AD4"/>
    <w:rsid w:val="007140BE"/>
    <w:rsid w:val="00715110"/>
    <w:rsid w:val="007211F5"/>
    <w:rsid w:val="00725BB5"/>
    <w:rsid w:val="00726D5A"/>
    <w:rsid w:val="00730AE8"/>
    <w:rsid w:val="00741493"/>
    <w:rsid w:val="007445D0"/>
    <w:rsid w:val="00752180"/>
    <w:rsid w:val="00755202"/>
    <w:rsid w:val="00755D3A"/>
    <w:rsid w:val="007578D3"/>
    <w:rsid w:val="007609C6"/>
    <w:rsid w:val="0076175D"/>
    <w:rsid w:val="00761AD2"/>
    <w:rsid w:val="00763A84"/>
    <w:rsid w:val="0076521E"/>
    <w:rsid w:val="007661E9"/>
    <w:rsid w:val="007745AC"/>
    <w:rsid w:val="00776169"/>
    <w:rsid w:val="00776527"/>
    <w:rsid w:val="00780EF1"/>
    <w:rsid w:val="007847E4"/>
    <w:rsid w:val="00790764"/>
    <w:rsid w:val="0079453C"/>
    <w:rsid w:val="00794677"/>
    <w:rsid w:val="00797FE8"/>
    <w:rsid w:val="007B0363"/>
    <w:rsid w:val="007B1818"/>
    <w:rsid w:val="007B2E26"/>
    <w:rsid w:val="007B6689"/>
    <w:rsid w:val="007D40DF"/>
    <w:rsid w:val="007D726B"/>
    <w:rsid w:val="007E7E61"/>
    <w:rsid w:val="007F0845"/>
    <w:rsid w:val="007F6C9B"/>
    <w:rsid w:val="00804C7B"/>
    <w:rsid w:val="00807C82"/>
    <w:rsid w:val="00813E24"/>
    <w:rsid w:val="00816905"/>
    <w:rsid w:val="00821FF6"/>
    <w:rsid w:val="0082256C"/>
    <w:rsid w:val="00825C4D"/>
    <w:rsid w:val="0083143E"/>
    <w:rsid w:val="00831CDE"/>
    <w:rsid w:val="00834304"/>
    <w:rsid w:val="0083434D"/>
    <w:rsid w:val="00834FAA"/>
    <w:rsid w:val="008353D1"/>
    <w:rsid w:val="00836086"/>
    <w:rsid w:val="00837E52"/>
    <w:rsid w:val="0084708F"/>
    <w:rsid w:val="008477C8"/>
    <w:rsid w:val="0085114D"/>
    <w:rsid w:val="00852217"/>
    <w:rsid w:val="00855408"/>
    <w:rsid w:val="00856D65"/>
    <w:rsid w:val="008603EE"/>
    <w:rsid w:val="00861B41"/>
    <w:rsid w:val="00863434"/>
    <w:rsid w:val="00865330"/>
    <w:rsid w:val="00865E4C"/>
    <w:rsid w:val="008701E4"/>
    <w:rsid w:val="00872D1B"/>
    <w:rsid w:val="00875A32"/>
    <w:rsid w:val="00876086"/>
    <w:rsid w:val="008873D4"/>
    <w:rsid w:val="0089085D"/>
    <w:rsid w:val="00893E85"/>
    <w:rsid w:val="00894031"/>
    <w:rsid w:val="008A2396"/>
    <w:rsid w:val="008B2FEB"/>
    <w:rsid w:val="008B309E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1C09"/>
    <w:rsid w:val="008F1E34"/>
    <w:rsid w:val="008F3B39"/>
    <w:rsid w:val="008F3FC9"/>
    <w:rsid w:val="008F4FFD"/>
    <w:rsid w:val="008F585B"/>
    <w:rsid w:val="009003A8"/>
    <w:rsid w:val="00902500"/>
    <w:rsid w:val="00902EFF"/>
    <w:rsid w:val="00906401"/>
    <w:rsid w:val="0091155E"/>
    <w:rsid w:val="00912A92"/>
    <w:rsid w:val="009171D1"/>
    <w:rsid w:val="0091728D"/>
    <w:rsid w:val="009172CA"/>
    <w:rsid w:val="0092180B"/>
    <w:rsid w:val="00921F14"/>
    <w:rsid w:val="00924AC8"/>
    <w:rsid w:val="0092597A"/>
    <w:rsid w:val="00927894"/>
    <w:rsid w:val="00932443"/>
    <w:rsid w:val="00937AE2"/>
    <w:rsid w:val="009404B5"/>
    <w:rsid w:val="0094427A"/>
    <w:rsid w:val="00945EE9"/>
    <w:rsid w:val="00955F38"/>
    <w:rsid w:val="0096077C"/>
    <w:rsid w:val="00974923"/>
    <w:rsid w:val="00976E82"/>
    <w:rsid w:val="00980D3D"/>
    <w:rsid w:val="00987A30"/>
    <w:rsid w:val="00990989"/>
    <w:rsid w:val="00992CF3"/>
    <w:rsid w:val="009968D6"/>
    <w:rsid w:val="009A19F9"/>
    <w:rsid w:val="009A1CAB"/>
    <w:rsid w:val="009A60D1"/>
    <w:rsid w:val="009A754C"/>
    <w:rsid w:val="009B08EC"/>
    <w:rsid w:val="009B6FD3"/>
    <w:rsid w:val="009C0729"/>
    <w:rsid w:val="009C0B75"/>
    <w:rsid w:val="009C1750"/>
    <w:rsid w:val="009C2E29"/>
    <w:rsid w:val="009C554B"/>
    <w:rsid w:val="009C719E"/>
    <w:rsid w:val="009D3ACD"/>
    <w:rsid w:val="009E5273"/>
    <w:rsid w:val="009E5DDB"/>
    <w:rsid w:val="009F30E8"/>
    <w:rsid w:val="009F4CA7"/>
    <w:rsid w:val="00A10D66"/>
    <w:rsid w:val="00A14114"/>
    <w:rsid w:val="00A16413"/>
    <w:rsid w:val="00A23E43"/>
    <w:rsid w:val="00A30F65"/>
    <w:rsid w:val="00A351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616B"/>
    <w:rsid w:val="00AA2659"/>
    <w:rsid w:val="00AA2996"/>
    <w:rsid w:val="00AA52BF"/>
    <w:rsid w:val="00AA559A"/>
    <w:rsid w:val="00AB2AF1"/>
    <w:rsid w:val="00AB437F"/>
    <w:rsid w:val="00AB5C19"/>
    <w:rsid w:val="00AD306C"/>
    <w:rsid w:val="00AE09B3"/>
    <w:rsid w:val="00AE1A83"/>
    <w:rsid w:val="00AF1FF8"/>
    <w:rsid w:val="00B00913"/>
    <w:rsid w:val="00B01593"/>
    <w:rsid w:val="00B06238"/>
    <w:rsid w:val="00B10A4D"/>
    <w:rsid w:val="00B1686C"/>
    <w:rsid w:val="00B17E71"/>
    <w:rsid w:val="00B17FDE"/>
    <w:rsid w:val="00B2379C"/>
    <w:rsid w:val="00B2687D"/>
    <w:rsid w:val="00B32DDB"/>
    <w:rsid w:val="00B34528"/>
    <w:rsid w:val="00B402FC"/>
    <w:rsid w:val="00B42F2D"/>
    <w:rsid w:val="00B44912"/>
    <w:rsid w:val="00B46604"/>
    <w:rsid w:val="00B51564"/>
    <w:rsid w:val="00B530CD"/>
    <w:rsid w:val="00B549A5"/>
    <w:rsid w:val="00B55F5E"/>
    <w:rsid w:val="00B5752E"/>
    <w:rsid w:val="00B63A11"/>
    <w:rsid w:val="00B64C24"/>
    <w:rsid w:val="00B6608F"/>
    <w:rsid w:val="00B679FB"/>
    <w:rsid w:val="00B70408"/>
    <w:rsid w:val="00B76D1E"/>
    <w:rsid w:val="00B80EC6"/>
    <w:rsid w:val="00B92D1D"/>
    <w:rsid w:val="00B938C5"/>
    <w:rsid w:val="00B95940"/>
    <w:rsid w:val="00BB46F3"/>
    <w:rsid w:val="00BB4CB1"/>
    <w:rsid w:val="00BB4F98"/>
    <w:rsid w:val="00BC5164"/>
    <w:rsid w:val="00BC6B60"/>
    <w:rsid w:val="00BC7154"/>
    <w:rsid w:val="00BD366B"/>
    <w:rsid w:val="00BD6D50"/>
    <w:rsid w:val="00BE0024"/>
    <w:rsid w:val="00BE18B9"/>
    <w:rsid w:val="00BE2495"/>
    <w:rsid w:val="00BF1578"/>
    <w:rsid w:val="00C02DB3"/>
    <w:rsid w:val="00C21F94"/>
    <w:rsid w:val="00C27913"/>
    <w:rsid w:val="00C3376C"/>
    <w:rsid w:val="00C33B68"/>
    <w:rsid w:val="00C36A79"/>
    <w:rsid w:val="00C405D4"/>
    <w:rsid w:val="00C42E6C"/>
    <w:rsid w:val="00C4513B"/>
    <w:rsid w:val="00C54697"/>
    <w:rsid w:val="00C60393"/>
    <w:rsid w:val="00C73885"/>
    <w:rsid w:val="00C747B1"/>
    <w:rsid w:val="00C81AF4"/>
    <w:rsid w:val="00C82191"/>
    <w:rsid w:val="00C90CF4"/>
    <w:rsid w:val="00C92EB6"/>
    <w:rsid w:val="00C93389"/>
    <w:rsid w:val="00C957FA"/>
    <w:rsid w:val="00CA321C"/>
    <w:rsid w:val="00CB4930"/>
    <w:rsid w:val="00CC2E7D"/>
    <w:rsid w:val="00CD10A5"/>
    <w:rsid w:val="00CD2076"/>
    <w:rsid w:val="00CD488F"/>
    <w:rsid w:val="00CE15A4"/>
    <w:rsid w:val="00CE670B"/>
    <w:rsid w:val="00CF51EC"/>
    <w:rsid w:val="00CF73AE"/>
    <w:rsid w:val="00CF7C1A"/>
    <w:rsid w:val="00D040DD"/>
    <w:rsid w:val="00D1205B"/>
    <w:rsid w:val="00D13986"/>
    <w:rsid w:val="00D235B7"/>
    <w:rsid w:val="00D25F28"/>
    <w:rsid w:val="00D27973"/>
    <w:rsid w:val="00D50F46"/>
    <w:rsid w:val="00D66223"/>
    <w:rsid w:val="00D67EDA"/>
    <w:rsid w:val="00D8084C"/>
    <w:rsid w:val="00DA7C0C"/>
    <w:rsid w:val="00DB2EC8"/>
    <w:rsid w:val="00DC3CB6"/>
    <w:rsid w:val="00DC5B3B"/>
    <w:rsid w:val="00DD129F"/>
    <w:rsid w:val="00DF42FF"/>
    <w:rsid w:val="00DF75BB"/>
    <w:rsid w:val="00E01C0E"/>
    <w:rsid w:val="00E03F9A"/>
    <w:rsid w:val="00E04694"/>
    <w:rsid w:val="00E051F2"/>
    <w:rsid w:val="00E1152B"/>
    <w:rsid w:val="00E12B1E"/>
    <w:rsid w:val="00E17262"/>
    <w:rsid w:val="00E253A2"/>
    <w:rsid w:val="00E270A5"/>
    <w:rsid w:val="00E278A7"/>
    <w:rsid w:val="00E27D82"/>
    <w:rsid w:val="00E3309D"/>
    <w:rsid w:val="00E34F40"/>
    <w:rsid w:val="00E40AE2"/>
    <w:rsid w:val="00E50156"/>
    <w:rsid w:val="00E53470"/>
    <w:rsid w:val="00E539F6"/>
    <w:rsid w:val="00E607E7"/>
    <w:rsid w:val="00E6519D"/>
    <w:rsid w:val="00E67696"/>
    <w:rsid w:val="00E67CFF"/>
    <w:rsid w:val="00E67E74"/>
    <w:rsid w:val="00E71A58"/>
    <w:rsid w:val="00E72A7A"/>
    <w:rsid w:val="00E75C94"/>
    <w:rsid w:val="00E76B4E"/>
    <w:rsid w:val="00E93820"/>
    <w:rsid w:val="00EA0C68"/>
    <w:rsid w:val="00EA32BC"/>
    <w:rsid w:val="00EB4511"/>
    <w:rsid w:val="00EB6DB2"/>
    <w:rsid w:val="00EC03D7"/>
    <w:rsid w:val="00EC4DC9"/>
    <w:rsid w:val="00ED62C6"/>
    <w:rsid w:val="00ED64C1"/>
    <w:rsid w:val="00EE3446"/>
    <w:rsid w:val="00EE3E78"/>
    <w:rsid w:val="00EE4B1B"/>
    <w:rsid w:val="00EF150D"/>
    <w:rsid w:val="00EF1F5A"/>
    <w:rsid w:val="00EF25CC"/>
    <w:rsid w:val="00EF302A"/>
    <w:rsid w:val="00EF47BF"/>
    <w:rsid w:val="00F04811"/>
    <w:rsid w:val="00F0488C"/>
    <w:rsid w:val="00F10A64"/>
    <w:rsid w:val="00F10F11"/>
    <w:rsid w:val="00F15AAA"/>
    <w:rsid w:val="00F15BEF"/>
    <w:rsid w:val="00F15E55"/>
    <w:rsid w:val="00F24407"/>
    <w:rsid w:val="00F24FAA"/>
    <w:rsid w:val="00F26DD0"/>
    <w:rsid w:val="00F3364D"/>
    <w:rsid w:val="00F34076"/>
    <w:rsid w:val="00F348FA"/>
    <w:rsid w:val="00F40A62"/>
    <w:rsid w:val="00F437CC"/>
    <w:rsid w:val="00F43A6B"/>
    <w:rsid w:val="00F47067"/>
    <w:rsid w:val="00F525EB"/>
    <w:rsid w:val="00F5355C"/>
    <w:rsid w:val="00F556CA"/>
    <w:rsid w:val="00F63DDE"/>
    <w:rsid w:val="00F63FB7"/>
    <w:rsid w:val="00F649D2"/>
    <w:rsid w:val="00F6602B"/>
    <w:rsid w:val="00F73A0C"/>
    <w:rsid w:val="00F756DB"/>
    <w:rsid w:val="00F85066"/>
    <w:rsid w:val="00F9030B"/>
    <w:rsid w:val="00F90BD6"/>
    <w:rsid w:val="00FA28A2"/>
    <w:rsid w:val="00FA5D4D"/>
    <w:rsid w:val="00FA6197"/>
    <w:rsid w:val="00FB0EE2"/>
    <w:rsid w:val="00FB542E"/>
    <w:rsid w:val="00FC0E5F"/>
    <w:rsid w:val="00FC1A95"/>
    <w:rsid w:val="00FC56DE"/>
    <w:rsid w:val="00FC684B"/>
    <w:rsid w:val="00FD3265"/>
    <w:rsid w:val="00FE2F78"/>
    <w:rsid w:val="00FE5959"/>
    <w:rsid w:val="00FF3C27"/>
    <w:rsid w:val="00FF4CC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CE15A4"/>
    <w:pPr>
      <w:spacing w:before="120"/>
    </w:pPr>
    <w:rPr>
      <w:b/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CE15A4"/>
    <w:pPr>
      <w:spacing w:before="60"/>
      <w:ind w:left="198"/>
    </w:pPr>
    <w:rPr>
      <w:b/>
      <w:noProof/>
    </w:rPr>
  </w:style>
  <w:style w:type="paragraph" w:styleId="Obsah3">
    <w:name w:val="toc 3"/>
    <w:basedOn w:val="Obsahpoloky"/>
    <w:next w:val="Obsahpoloky"/>
    <w:autoRedefine/>
    <w:uiPriority w:val="39"/>
    <w:unhideWhenUsed/>
    <w:rsid w:val="00CE15A4"/>
    <w:pPr>
      <w:ind w:left="400"/>
    </w:pPr>
    <w:rPr>
      <w:noProof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471EB7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471EB7"/>
    <w:rPr>
      <w:rFonts w:ascii="Arial" w:eastAsia="Times New Roman" w:hAnsi="Arial"/>
      <w:sz w:val="15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71EB7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1EB7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uiPriority w:val="99"/>
    <w:semiHidden/>
    <w:unhideWhenUsed/>
    <w:rsid w:val="00471EB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1E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E6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E6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E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E6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B309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81D9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681D9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8353D1"/>
    <w:pPr>
      <w:spacing w:line="360" w:lineRule="auto"/>
      <w:ind w:firstLine="709"/>
      <w:jc w:val="both"/>
    </w:pPr>
    <w:rPr>
      <w:rFonts w:ascii="Arial" w:eastAsiaTheme="minorHAnsi" w:hAnsi="Arial" w:cstheme="minorBidi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6C6C4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C42E6C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CE15A4"/>
    <w:pPr>
      <w:spacing w:before="120"/>
    </w:pPr>
    <w:rPr>
      <w:b/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CE15A4"/>
    <w:pPr>
      <w:spacing w:before="60"/>
      <w:ind w:left="198"/>
    </w:pPr>
    <w:rPr>
      <w:b/>
      <w:noProof/>
    </w:rPr>
  </w:style>
  <w:style w:type="paragraph" w:styleId="Obsah3">
    <w:name w:val="toc 3"/>
    <w:basedOn w:val="Obsahpoloky"/>
    <w:next w:val="Obsahpoloky"/>
    <w:autoRedefine/>
    <w:uiPriority w:val="39"/>
    <w:unhideWhenUsed/>
    <w:rsid w:val="00CE15A4"/>
    <w:pPr>
      <w:ind w:left="400"/>
    </w:pPr>
    <w:rPr>
      <w:noProof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471EB7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471EB7"/>
    <w:rPr>
      <w:rFonts w:ascii="Arial" w:eastAsia="Times New Roman" w:hAnsi="Arial"/>
      <w:sz w:val="15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71EB7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1EB7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uiPriority w:val="99"/>
    <w:semiHidden/>
    <w:unhideWhenUsed/>
    <w:rsid w:val="00471EB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1E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E6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E6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E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E6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B309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81D9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681D9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8353D1"/>
    <w:pPr>
      <w:spacing w:line="360" w:lineRule="auto"/>
      <w:ind w:firstLine="709"/>
      <w:jc w:val="both"/>
    </w:pPr>
    <w:rPr>
      <w:rFonts w:ascii="Arial" w:eastAsiaTheme="minorHAnsi" w:hAnsi="Arial" w:cstheme="minorBidi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6C6C4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C42E6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26" Type="http://schemas.openxmlformats.org/officeDocument/2006/relationships/chart" Target="charts/chart1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5" Type="http://schemas.openxmlformats.org/officeDocument/2006/relationships/chart" Target="charts/chart1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chart" Target="charts/chart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chart" Target="charts/chart10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9.xml"/><Relationship Id="rId28" Type="http://schemas.openxmlformats.org/officeDocument/2006/relationships/chart" Target="charts/chart14.xml"/><Relationship Id="rId10" Type="http://schemas.openxmlformats.org/officeDocument/2006/relationships/chart" Target="charts/chart2.xml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8.xml"/><Relationship Id="rId27" Type="http://schemas.openxmlformats.org/officeDocument/2006/relationships/chart" Target="charts/chart13.xml"/><Relationship Id="rId30" Type="http://schemas.openxmlformats.org/officeDocument/2006/relationships/chart" Target="charts/chart1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education/sites/education/files/annex-recommendation-key-competences-lifelong-learning.pd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veda%20IT_2017-08-14.dotx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F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800"/>
              <a:t>Graf F1 Školy v Česku s připojením </a:t>
            </a:r>
          </a:p>
          <a:p>
            <a:pPr>
              <a:defRPr/>
            </a:pPr>
            <a:r>
              <a:rPr lang="cs-CZ" sz="800"/>
              <a:t>k internetu rychlostí alespoň 31 Mbit/s </a:t>
            </a:r>
          </a:p>
          <a:p>
            <a:pPr>
              <a:defRPr/>
            </a:pPr>
            <a:r>
              <a:rPr lang="cs-CZ" sz="800"/>
              <a:t>ve školním roce 2016/2017 (%)*</a:t>
            </a:r>
          </a:p>
        </c:rich>
      </c:tx>
      <c:layout>
        <c:manualLayout>
          <c:xMode val="edge"/>
          <c:yMode val="edge"/>
          <c:x val="0.15638333333333335"/>
          <c:y val="1.881481481481481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5089173228346456"/>
          <c:y val="0.1638148148148148"/>
          <c:w val="0.70947083333333327"/>
          <c:h val="0.66296296296296298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F_CZ!$C$3</c:f>
              <c:strCache>
                <c:ptCount val="1"/>
                <c:pt idx="0">
                  <c:v> z toho s rychlostí více než 100 Mbit/s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numFmt formatCode="0%" sourceLinked="0"/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F_CZ!$A$4:$A$6</c:f>
              <c:strCache>
                <c:ptCount val="3"/>
                <c:pt idx="0">
                  <c:v>střední školy 
a vyšší odborné školy</c:v>
                </c:pt>
                <c:pt idx="1">
                  <c:v>základní školy</c:v>
                </c:pt>
                <c:pt idx="2">
                  <c:v>mateřské školy</c:v>
                </c:pt>
              </c:strCache>
            </c:strRef>
          </c:cat>
          <c:val>
            <c:numRef>
              <c:f>F_CZ!$C$4:$C$6</c:f>
              <c:numCache>
                <c:formatCode>General</c:formatCode>
                <c:ptCount val="3"/>
                <c:pt idx="0">
                  <c:v>0.11599999999999999</c:v>
                </c:pt>
                <c:pt idx="1">
                  <c:v>5.5999999999999994E-2</c:v>
                </c:pt>
                <c:pt idx="2">
                  <c:v>3.6000000000000004E-2</c:v>
                </c:pt>
              </c:numCache>
            </c:numRef>
          </c:val>
        </c:ser>
        <c:ser>
          <c:idx val="0"/>
          <c:order val="1"/>
          <c:tx>
            <c:strRef>
              <c:f>F_CZ!$B$3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numFmt formatCode="0%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F_CZ!$A$4:$A$6</c:f>
              <c:strCache>
                <c:ptCount val="3"/>
                <c:pt idx="0">
                  <c:v>střední školy 
a vyšší odborné školy</c:v>
                </c:pt>
                <c:pt idx="1">
                  <c:v>základní školy</c:v>
                </c:pt>
                <c:pt idx="2">
                  <c:v>mateřské školy</c:v>
                </c:pt>
              </c:strCache>
            </c:strRef>
          </c:cat>
          <c:val>
            <c:numRef>
              <c:f>F_CZ!$B$4:$B$6</c:f>
              <c:numCache>
                <c:formatCode>General</c:formatCode>
                <c:ptCount val="3"/>
                <c:pt idx="0">
                  <c:v>0.54100000000000004</c:v>
                </c:pt>
                <c:pt idx="1">
                  <c:v>0.33</c:v>
                </c:pt>
                <c:pt idx="2">
                  <c:v>0.20200000000000001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287744"/>
        <c:axId val="48161344"/>
      </c:barChart>
      <c:catAx>
        <c:axId val="48287744"/>
        <c:scaling>
          <c:orientation val="minMax"/>
        </c:scaling>
        <c:delete val="0"/>
        <c:axPos val="l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8161344"/>
        <c:crosses val="autoZero"/>
        <c:auto val="1"/>
        <c:lblAlgn val="ctr"/>
        <c:lblOffset val="100"/>
        <c:noMultiLvlLbl val="0"/>
      </c:catAx>
      <c:valAx>
        <c:axId val="481613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8287744"/>
        <c:crosses val="autoZero"/>
        <c:crossBetween val="between"/>
      </c:valAx>
      <c:spPr>
        <a:ln>
          <a:solidFill>
            <a:srgbClr val="969696"/>
          </a:solidFill>
        </a:ln>
      </c:spPr>
    </c:plotArea>
    <c:legend>
      <c:legendPos val="r"/>
      <c:layout>
        <c:manualLayout>
          <c:xMode val="edge"/>
          <c:yMode val="edge"/>
          <c:x val="0.65841805555555555"/>
          <c:y val="0.18265185185185187"/>
          <c:w val="0.23456805555555554"/>
          <c:h val="0.42999259259259259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5991869918699196E-2"/>
          <c:y val="0.15256000000000003"/>
          <c:w val="0.79910636856368567"/>
          <c:h val="0.69932222222222218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F_CZ!$C$118</c:f>
              <c:strCache>
                <c:ptCount val="1"/>
                <c:pt idx="0">
                  <c:v> % uživatelů internetu</c:v>
                </c:pt>
              </c:strCache>
            </c:strRef>
          </c:tx>
          <c:spPr>
            <a:solidFill>
              <a:srgbClr val="47E5FF"/>
            </a:solidFill>
            <a:ln w="19050">
              <a:noFill/>
            </a:ln>
          </c:spPr>
          <c:invertIfNegative val="0"/>
          <c:dLbls>
            <c:numFmt formatCode="0%" sourceLinked="0"/>
            <c:txPr>
              <a:bodyPr rot="0" vert="horz"/>
              <a:lstStyle/>
              <a:p>
                <a:pPr>
                  <a:defRPr b="1" i="0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F_CZ!$A$119:$A$126</c:f>
              <c:strCache>
                <c:ptCount val="8"/>
                <c:pt idx="0">
                  <c:v>  55+</c:v>
                </c:pt>
                <c:pt idx="1">
                  <c:v>  35-54</c:v>
                </c:pt>
                <c:pt idx="2">
                  <c:v>  16-34</c:v>
                </c:pt>
                <c:pt idx="4">
                  <c:v> ženy</c:v>
                </c:pt>
                <c:pt idx="5">
                  <c:v> muži</c:v>
                </c:pt>
                <c:pt idx="7">
                  <c:v>Celkem</c:v>
                </c:pt>
              </c:strCache>
            </c:strRef>
          </c:cat>
          <c:val>
            <c:numRef>
              <c:f>F_CZ!$C$119:$C$126</c:f>
              <c:numCache>
                <c:formatCode>0%</c:formatCode>
                <c:ptCount val="8"/>
                <c:pt idx="0">
                  <c:v>0.52636758300278896</c:v>
                </c:pt>
                <c:pt idx="1">
                  <c:v>0.66782724048877151</c:v>
                </c:pt>
                <c:pt idx="2">
                  <c:v>0.82117398355776461</c:v>
                </c:pt>
                <c:pt idx="4">
                  <c:v>0.66800000000000004</c:v>
                </c:pt>
                <c:pt idx="5">
                  <c:v>0.69799999999999995</c:v>
                </c:pt>
                <c:pt idx="7">
                  <c:v>0.68300000000000005</c:v>
                </c:pt>
              </c:numCache>
            </c:numRef>
          </c:val>
        </c:ser>
        <c:ser>
          <c:idx val="0"/>
          <c:order val="1"/>
          <c:tx>
            <c:strRef>
              <c:f>F_CZ!$B$118</c:f>
              <c:strCache>
                <c:ptCount val="1"/>
                <c:pt idx="0">
                  <c:v> % jednotlivců celkem</c:v>
                </c:pt>
              </c:strCache>
            </c:strRef>
          </c:tx>
          <c:spPr>
            <a:solidFill>
              <a:srgbClr val="009BB4"/>
            </a:solidFill>
            <a:ln w="19050">
              <a:noFill/>
            </a:ln>
          </c:spPr>
          <c:invertIfNegative val="0"/>
          <c:dLbls>
            <c:numFmt formatCode="0%" sourceLinked="0"/>
            <c:txPr>
              <a:bodyPr rot="0" vert="horz"/>
              <a:lstStyle/>
              <a:p>
                <a:pPr>
                  <a:defRPr b="1" i="0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F_CZ!$A$119:$A$126</c:f>
              <c:strCache>
                <c:ptCount val="8"/>
                <c:pt idx="0">
                  <c:v>  55+</c:v>
                </c:pt>
                <c:pt idx="1">
                  <c:v>  35-54</c:v>
                </c:pt>
                <c:pt idx="2">
                  <c:v>  16-34</c:v>
                </c:pt>
                <c:pt idx="4">
                  <c:v> ženy</c:v>
                </c:pt>
                <c:pt idx="5">
                  <c:v> muži</c:v>
                </c:pt>
                <c:pt idx="7">
                  <c:v>Celkem</c:v>
                </c:pt>
              </c:strCache>
            </c:strRef>
          </c:cat>
          <c:val>
            <c:numRef>
              <c:f>F_CZ!$B$119:$B$126</c:f>
              <c:numCache>
                <c:formatCode>0%</c:formatCode>
                <c:ptCount val="8"/>
                <c:pt idx="0">
                  <c:v>0.2676165397645302</c:v>
                </c:pt>
                <c:pt idx="1">
                  <c:v>0.63249225076412996</c:v>
                </c:pt>
                <c:pt idx="2">
                  <c:v>0.80204055396276386</c:v>
                </c:pt>
                <c:pt idx="4">
                  <c:v>0.50900000000000001</c:v>
                </c:pt>
                <c:pt idx="5">
                  <c:v>0.57100000000000006</c:v>
                </c:pt>
                <c:pt idx="7">
                  <c:v>0.53900000000000003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223561216"/>
        <c:axId val="49208064"/>
      </c:barChart>
      <c:catAx>
        <c:axId val="223561216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9208064"/>
        <c:crosses val="autoZero"/>
        <c:auto val="1"/>
        <c:lblAlgn val="ctr"/>
        <c:lblOffset val="140"/>
        <c:noMultiLvlLbl val="0"/>
      </c:catAx>
      <c:valAx>
        <c:axId val="49208064"/>
        <c:scaling>
          <c:orientation val="minMax"/>
          <c:max val="1.1000000000000001"/>
          <c:min val="0"/>
        </c:scaling>
        <c:delete val="0"/>
        <c:axPos val="b"/>
        <c:majorGridlines>
          <c:spPr>
            <a:ln w="12700">
              <a:noFill/>
              <a:prstDash val="dash"/>
            </a:ln>
          </c:spPr>
        </c:majorGridlines>
        <c:numFmt formatCode="0%" sourceLinked="1"/>
        <c:majorTickMark val="none"/>
        <c:minorTickMark val="none"/>
        <c:tickLblPos val="none"/>
        <c:spPr>
          <a:ln w="9525">
            <a:noFill/>
          </a:ln>
        </c:spPr>
        <c:crossAx val="223561216"/>
        <c:crosses val="autoZero"/>
        <c:crossBetween val="between"/>
        <c:majorUnit val="1"/>
        <c:minorUnit val="2.0000000000000011E-2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r"/>
      <c:legendEntry>
        <c:idx val="0"/>
        <c:txPr>
          <a:bodyPr/>
          <a:lstStyle/>
          <a:p>
            <a:pPr>
              <a:defRPr i="0"/>
            </a:pPr>
            <a:endParaRPr lang="cs-CZ"/>
          </a:p>
        </c:txPr>
      </c:legendEntry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0.68419173441734416"/>
          <c:y val="0.19571185185185186"/>
          <c:w val="0.25988008130081303"/>
          <c:h val="0.32165037037037036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9040549169859525E-2"/>
          <c:y val="0.13788703703703706"/>
          <c:w val="0.81551787994891445"/>
          <c:h val="0.72457370370370366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F_CZ!$C$130</c:f>
              <c:strCache>
                <c:ptCount val="1"/>
                <c:pt idx="0">
                  <c:v> % uživatelů internetu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numFmt formatCode="0.0%" sourceLinked="0"/>
            <c:txPr>
              <a:bodyPr rot="0" vert="horz"/>
              <a:lstStyle/>
              <a:p>
                <a:pPr>
                  <a:defRPr b="1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F_CZ!$A$131:$A$138</c:f>
              <c:strCache>
                <c:ptCount val="8"/>
                <c:pt idx="0">
                  <c:v>  55+</c:v>
                </c:pt>
                <c:pt idx="1">
                  <c:v>  35-54</c:v>
                </c:pt>
                <c:pt idx="2">
                  <c:v>  16-34</c:v>
                </c:pt>
                <c:pt idx="4">
                  <c:v> ženy</c:v>
                </c:pt>
                <c:pt idx="5">
                  <c:v> muži</c:v>
                </c:pt>
                <c:pt idx="7">
                  <c:v>Celkem</c:v>
                </c:pt>
              </c:strCache>
            </c:strRef>
          </c:cat>
          <c:val>
            <c:numRef>
              <c:f>F_CZ!$C$131:$C$138</c:f>
              <c:numCache>
                <c:formatCode>0%</c:formatCode>
                <c:ptCount val="8"/>
                <c:pt idx="0">
                  <c:v>1.6674907606770546E-2</c:v>
                </c:pt>
                <c:pt idx="1">
                  <c:v>3.9302593919453351E-2</c:v>
                </c:pt>
                <c:pt idx="2">
                  <c:v>8.9125621279546902E-2</c:v>
                </c:pt>
                <c:pt idx="4">
                  <c:v>1.2999999999999999E-2</c:v>
                </c:pt>
                <c:pt idx="5">
                  <c:v>8.5999999999999993E-2</c:v>
                </c:pt>
                <c:pt idx="7">
                  <c:v>0.05</c:v>
                </c:pt>
              </c:numCache>
            </c:numRef>
          </c:val>
        </c:ser>
        <c:ser>
          <c:idx val="0"/>
          <c:order val="1"/>
          <c:tx>
            <c:strRef>
              <c:f>F_CZ!$B$130</c:f>
              <c:strCache>
                <c:ptCount val="1"/>
                <c:pt idx="0">
                  <c:v> % jednotlivců celkem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numFmt formatCode="0.0%" sourceLinked="0"/>
            <c:spPr>
              <a:noFill/>
            </c:spPr>
            <c:txPr>
              <a:bodyPr rot="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F_CZ!$A$131:$A$138</c:f>
              <c:strCache>
                <c:ptCount val="8"/>
                <c:pt idx="0">
                  <c:v>  55+</c:v>
                </c:pt>
                <c:pt idx="1">
                  <c:v>  35-54</c:v>
                </c:pt>
                <c:pt idx="2">
                  <c:v>  16-34</c:v>
                </c:pt>
                <c:pt idx="4">
                  <c:v> ženy</c:v>
                </c:pt>
                <c:pt idx="5">
                  <c:v> muži</c:v>
                </c:pt>
                <c:pt idx="7">
                  <c:v>Celkem</c:v>
                </c:pt>
              </c:strCache>
            </c:strRef>
          </c:cat>
          <c:val>
            <c:numRef>
              <c:f>F_CZ!$B$131:$B$138</c:f>
              <c:numCache>
                <c:formatCode>0%</c:formatCode>
                <c:ptCount val="8"/>
                <c:pt idx="0">
                  <c:v>8.3997151173253182E-3</c:v>
                </c:pt>
                <c:pt idx="1">
                  <c:v>3.7133157332662856E-2</c:v>
                </c:pt>
                <c:pt idx="2">
                  <c:v>8.7750286944772327E-2</c:v>
                </c:pt>
                <c:pt idx="4">
                  <c:v>9.4370539476613304E-3</c:v>
                </c:pt>
                <c:pt idx="5">
                  <c:v>7.0999999999999994E-2</c:v>
                </c:pt>
                <c:pt idx="7">
                  <c:v>3.9E-2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23561728"/>
        <c:axId val="49152576"/>
      </c:barChart>
      <c:catAx>
        <c:axId val="2235617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9152576"/>
        <c:crosses val="autoZero"/>
        <c:auto val="1"/>
        <c:lblAlgn val="ctr"/>
        <c:lblOffset val="100"/>
        <c:noMultiLvlLbl val="0"/>
      </c:catAx>
      <c:valAx>
        <c:axId val="49152576"/>
        <c:scaling>
          <c:orientation val="minMax"/>
          <c:max val="0.30000000000000016"/>
        </c:scaling>
        <c:delete val="0"/>
        <c:axPos val="b"/>
        <c:numFmt formatCode="0%" sourceLinked="1"/>
        <c:majorTickMark val="none"/>
        <c:minorTickMark val="none"/>
        <c:tickLblPos val="none"/>
        <c:crossAx val="223561728"/>
        <c:crossesAt val="1"/>
        <c:crossBetween val="between"/>
        <c:majorUnit val="0.1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5230970625798215"/>
          <c:y val="0.20511925925925925"/>
          <c:w val="0.39092145593869732"/>
          <c:h val="0.24168740740740741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949831649831689E-2"/>
          <c:y val="9.8363888888888917E-2"/>
          <c:w val="0.87383612754766582"/>
          <c:h val="0.4984262345679014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F_CZ!$B$150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8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</c:dPt>
          <c:dPt>
            <c:idx val="16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</c:dPt>
          <c:dLbls>
            <c:txPr>
              <a:bodyPr rot="-5400000" vert="horz"/>
              <a:lstStyle/>
              <a:p>
                <a:pPr>
                  <a:defRPr sz="8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F_CZ!$A$151:$A$178</c:f>
              <c:strCache>
                <c:ptCount val="28"/>
                <c:pt idx="0">
                  <c:v>Nizozemsko</c:v>
                </c:pt>
                <c:pt idx="1">
                  <c:v>Dánsko</c:v>
                </c:pt>
                <c:pt idx="2">
                  <c:v>Finsko</c:v>
                </c:pt>
                <c:pt idx="3">
                  <c:v>Švédsko</c:v>
                </c:pt>
                <c:pt idx="4">
                  <c:v>Velká Británie</c:v>
                </c:pt>
                <c:pt idx="5">
                  <c:v>Rakousko</c:v>
                </c:pt>
                <c:pt idx="6">
                  <c:v>Belgie</c:v>
                </c:pt>
                <c:pt idx="7">
                  <c:v>Slovinsko</c:v>
                </c:pt>
                <c:pt idx="8">
                  <c:v>Česko</c:v>
                </c:pt>
                <c:pt idx="9">
                  <c:v>Estonsko</c:v>
                </c:pt>
                <c:pt idx="10">
                  <c:v>Slovensko</c:v>
                </c:pt>
                <c:pt idx="11">
                  <c:v>Litva</c:v>
                </c:pt>
                <c:pt idx="12">
                  <c:v>Francie</c:v>
                </c:pt>
                <c:pt idx="13">
                  <c:v>Německo</c:v>
                </c:pt>
                <c:pt idx="14">
                  <c:v>Malta</c:v>
                </c:pt>
                <c:pt idx="15">
                  <c:v>Řecko</c:v>
                </c:pt>
                <c:pt idx="16">
                  <c:v>EU28</c:v>
                </c:pt>
                <c:pt idx="17">
                  <c:v>Portugalsko</c:v>
                </c:pt>
                <c:pt idx="18">
                  <c:v>Španělsko</c:v>
                </c:pt>
                <c:pt idx="19">
                  <c:v>Maďarsko</c:v>
                </c:pt>
                <c:pt idx="20">
                  <c:v>Irsko</c:v>
                </c:pt>
                <c:pt idx="21">
                  <c:v>Chorvatsko</c:v>
                </c:pt>
                <c:pt idx="22">
                  <c:v>Lotyšsko</c:v>
                </c:pt>
                <c:pt idx="23">
                  <c:v>Itálie</c:v>
                </c:pt>
                <c:pt idx="24">
                  <c:v>Polsko</c:v>
                </c:pt>
                <c:pt idx="25">
                  <c:v>Kypr</c:v>
                </c:pt>
                <c:pt idx="26">
                  <c:v>Bulharsko</c:v>
                </c:pt>
                <c:pt idx="27">
                  <c:v>Rumunsko</c:v>
                </c:pt>
              </c:strCache>
            </c:strRef>
          </c:cat>
          <c:val>
            <c:numRef>
              <c:f>F_CZ!$B$151:$B$178</c:f>
              <c:numCache>
                <c:formatCode>0%</c:formatCode>
                <c:ptCount val="28"/>
                <c:pt idx="0">
                  <c:v>0.56506100000000004</c:v>
                </c:pt>
                <c:pt idx="1">
                  <c:v>0.56348100000000001</c:v>
                </c:pt>
                <c:pt idx="2">
                  <c:v>0.51280700000000001</c:v>
                </c:pt>
                <c:pt idx="3">
                  <c:v>0.50621799999999995</c:v>
                </c:pt>
                <c:pt idx="4">
                  <c:v>0.49471900000000002</c:v>
                </c:pt>
                <c:pt idx="5">
                  <c:v>0.464283</c:v>
                </c:pt>
                <c:pt idx="6">
                  <c:v>0.45071</c:v>
                </c:pt>
                <c:pt idx="7">
                  <c:v>0.44696999999999998</c:v>
                </c:pt>
                <c:pt idx="8">
                  <c:v>0.44459599999999999</c:v>
                </c:pt>
                <c:pt idx="9">
                  <c:v>0.42618800000000001</c:v>
                </c:pt>
                <c:pt idx="10">
                  <c:v>0.41619499999999998</c:v>
                </c:pt>
                <c:pt idx="11">
                  <c:v>0.40876600000000002</c:v>
                </c:pt>
                <c:pt idx="12">
                  <c:v>0.40287899999999999</c:v>
                </c:pt>
                <c:pt idx="13">
                  <c:v>0.400422</c:v>
                </c:pt>
                <c:pt idx="14">
                  <c:v>0.38656099999999999</c:v>
                </c:pt>
                <c:pt idx="15">
                  <c:v>0.386347</c:v>
                </c:pt>
                <c:pt idx="16">
                  <c:v>0.38333400000000001</c:v>
                </c:pt>
                <c:pt idx="17">
                  <c:v>0.38005499999999998</c:v>
                </c:pt>
                <c:pt idx="18">
                  <c:v>0.35819400000000001</c:v>
                </c:pt>
                <c:pt idx="19">
                  <c:v>0.346086</c:v>
                </c:pt>
                <c:pt idx="20">
                  <c:v>0.34395700000000001</c:v>
                </c:pt>
                <c:pt idx="21">
                  <c:v>0.32145200000000002</c:v>
                </c:pt>
                <c:pt idx="22">
                  <c:v>0.30892599999999998</c:v>
                </c:pt>
                <c:pt idx="23">
                  <c:v>0.30704500000000001</c:v>
                </c:pt>
                <c:pt idx="24">
                  <c:v>0.28087699999999999</c:v>
                </c:pt>
                <c:pt idx="25">
                  <c:v>0.235231</c:v>
                </c:pt>
                <c:pt idx="26">
                  <c:v>0.163741</c:v>
                </c:pt>
                <c:pt idx="27">
                  <c:v>0.13734299999999999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23560704"/>
        <c:axId val="49154304"/>
      </c:barChart>
      <c:barChart>
        <c:barDir val="col"/>
        <c:grouping val="clustered"/>
        <c:varyColors val="0"/>
        <c:ser>
          <c:idx val="1"/>
          <c:order val="1"/>
          <c:tx>
            <c:strRef>
              <c:f>F_CZ!$C$150</c:f>
              <c:strCache>
                <c:ptCount val="1"/>
                <c:pt idx="0">
                  <c:v> z toho s pokročilými znalostmi</c:v>
                </c:pt>
              </c:strCache>
            </c:strRef>
          </c:tx>
          <c:spPr>
            <a:solidFill>
              <a:srgbClr val="47E5FF"/>
            </a:solidFill>
            <a:ln w="28575">
              <a:noFill/>
            </a:ln>
          </c:spPr>
          <c:invertIfNegative val="0"/>
          <c:dLbls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val>
            <c:numRef>
              <c:f>F_CZ!$C$151:$C$178</c:f>
              <c:numCache>
                <c:formatCode>0%</c:formatCode>
                <c:ptCount val="28"/>
                <c:pt idx="0">
                  <c:v>0.35907299999999998</c:v>
                </c:pt>
                <c:pt idx="1">
                  <c:v>0.29679800000000001</c:v>
                </c:pt>
                <c:pt idx="2">
                  <c:v>0.33694000000000002</c:v>
                </c:pt>
                <c:pt idx="3">
                  <c:v>0.27637</c:v>
                </c:pt>
                <c:pt idx="4">
                  <c:v>0.33529999999999999</c:v>
                </c:pt>
                <c:pt idx="5">
                  <c:v>0.32829000000000003</c:v>
                </c:pt>
                <c:pt idx="6">
                  <c:v>0.21964500000000001</c:v>
                </c:pt>
                <c:pt idx="7">
                  <c:v>0.32390600000000003</c:v>
                </c:pt>
                <c:pt idx="8">
                  <c:v>0.188024</c:v>
                </c:pt>
                <c:pt idx="9">
                  <c:v>0.27877299999999999</c:v>
                </c:pt>
                <c:pt idx="10">
                  <c:v>0.215028</c:v>
                </c:pt>
                <c:pt idx="11">
                  <c:v>0.256411</c:v>
                </c:pt>
                <c:pt idx="12">
                  <c:v>0.267876</c:v>
                </c:pt>
                <c:pt idx="13">
                  <c:v>0.33147900000000002</c:v>
                </c:pt>
                <c:pt idx="14">
                  <c:v>0.313413</c:v>
                </c:pt>
                <c:pt idx="15">
                  <c:v>0.178812</c:v>
                </c:pt>
                <c:pt idx="16">
                  <c:v>0.25299700000000003</c:v>
                </c:pt>
                <c:pt idx="17">
                  <c:v>0.32069599999999998</c:v>
                </c:pt>
                <c:pt idx="18">
                  <c:v>0.22451699999999999</c:v>
                </c:pt>
                <c:pt idx="19">
                  <c:v>0.23792099999999999</c:v>
                </c:pt>
                <c:pt idx="20">
                  <c:v>0.19538</c:v>
                </c:pt>
                <c:pt idx="21">
                  <c:v>0.12981400000000001</c:v>
                </c:pt>
                <c:pt idx="22">
                  <c:v>0.208256</c:v>
                </c:pt>
                <c:pt idx="23">
                  <c:v>0.20390800000000001</c:v>
                </c:pt>
                <c:pt idx="24">
                  <c:v>0.13125999999999999</c:v>
                </c:pt>
                <c:pt idx="25">
                  <c:v>0.12402000000000001</c:v>
                </c:pt>
                <c:pt idx="26">
                  <c:v>9.1411999999999993E-2</c:v>
                </c:pt>
                <c:pt idx="27">
                  <c:v>8.4201999999999999E-2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1"/>
        <c:axId val="224404992"/>
        <c:axId val="49154880"/>
      </c:barChart>
      <c:catAx>
        <c:axId val="223560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9154304"/>
        <c:crosses val="autoZero"/>
        <c:auto val="1"/>
        <c:lblAlgn val="ctr"/>
        <c:lblOffset val="100"/>
        <c:noMultiLvlLbl val="0"/>
      </c:catAx>
      <c:valAx>
        <c:axId val="49154304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223560704"/>
        <c:crosses val="autoZero"/>
        <c:crossBetween val="between"/>
        <c:majorUnit val="0.1"/>
        <c:minorUnit val="5.0000000000000024E-2"/>
      </c:valAx>
      <c:valAx>
        <c:axId val="49154880"/>
        <c:scaling>
          <c:orientation val="minMax"/>
          <c:max val="1"/>
        </c:scaling>
        <c:delete val="0"/>
        <c:axPos val="r"/>
        <c:numFmt formatCode="0%" sourceLinked="1"/>
        <c:majorTickMark val="none"/>
        <c:minorTickMark val="none"/>
        <c:tickLblPos val="nextTo"/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cs-CZ"/>
          </a:p>
        </c:txPr>
        <c:crossAx val="224404992"/>
        <c:crosses val="max"/>
        <c:crossBetween val="between"/>
        <c:majorUnit val="0.1"/>
      </c:valAx>
      <c:catAx>
        <c:axId val="224404992"/>
        <c:scaling>
          <c:orientation val="minMax"/>
        </c:scaling>
        <c:delete val="1"/>
        <c:axPos val="b"/>
        <c:majorTickMark val="out"/>
        <c:minorTickMark val="none"/>
        <c:tickLblPos val="none"/>
        <c:crossAx val="49154880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65125821827744923"/>
          <c:y val="0.18348734567901237"/>
          <c:w val="0.25578911900065748"/>
          <c:h val="0.1163820987654321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chemeClr val="bg1"/>
    </a:solidFill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3813516798106587E-2"/>
          <c:y val="0.12033132287897068"/>
          <c:w val="0.8730388219544849"/>
          <c:h val="0.60925498305474179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F_CZ!$A$182</c:f>
              <c:strCache>
                <c:ptCount val="1"/>
                <c:pt idx="0">
                  <c:v>  tis. osob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.0" sourceLinked="0"/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F_CZ!$B$181:$M$181</c:f>
              <c:strCach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strCache>
            </c:strRef>
          </c:cat>
          <c:val>
            <c:numRef>
              <c:f>F_CZ!$B$182:$M$182</c:f>
              <c:numCache>
                <c:formatCode>#,##0.0</c:formatCode>
                <c:ptCount val="12"/>
                <c:pt idx="0">
                  <c:v>13.815</c:v>
                </c:pt>
                <c:pt idx="1">
                  <c:v>15.494</c:v>
                </c:pt>
                <c:pt idx="2">
                  <c:v>17.245000000000001</c:v>
                </c:pt>
                <c:pt idx="3">
                  <c:v>18.135000000000002</c:v>
                </c:pt>
                <c:pt idx="4">
                  <c:v>18.951000000000001</c:v>
                </c:pt>
                <c:pt idx="5">
                  <c:v>19.762</c:v>
                </c:pt>
                <c:pt idx="6">
                  <c:v>19.734999999999999</c:v>
                </c:pt>
                <c:pt idx="7">
                  <c:v>19.594999999999999</c:v>
                </c:pt>
                <c:pt idx="8">
                  <c:v>19.260999999999999</c:v>
                </c:pt>
                <c:pt idx="9">
                  <c:v>18.175000000000001</c:v>
                </c:pt>
                <c:pt idx="10">
                  <c:v>17.757000000000001</c:v>
                </c:pt>
                <c:pt idx="11">
                  <c:v>17.251000000000001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24407040"/>
        <c:axId val="49156608"/>
      </c:barChart>
      <c:lineChart>
        <c:grouping val="standard"/>
        <c:varyColors val="0"/>
        <c:ser>
          <c:idx val="0"/>
          <c:order val="1"/>
          <c:tx>
            <c:strRef>
              <c:f>F_CZ!$A$183</c:f>
              <c:strCache>
                <c:ptCount val="1"/>
                <c:pt idx="0">
                  <c:v>  % studentů VŠ celkem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dLbls>
            <c:dLbl>
              <c:idx val="0"/>
              <c:layout>
                <c:manualLayout>
                  <c:x val="-5.6513347763347772E-2"/>
                  <c:y val="-5.9531652639917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7016064257028116E-2"/>
                  <c:y val="5.7791716928025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1266398929049535E-2"/>
                  <c:y val="4.6119593313803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7.7016064257028116E-2"/>
                  <c:y val="4.0283531506691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7.2765729585006697E-2"/>
                  <c:y val="-6.4765581021310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7.2765729585006697E-2"/>
                  <c:y val="3.444746969958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6.8515394912985278E-2"/>
                  <c:y val="5.7791716928025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8.1266398929049535E-2"/>
                  <c:y val="6.9463840542248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%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F_CZ!$B$181:$M$181</c:f>
              <c:strCache>
                <c:ptCount val="12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  <c:pt idx="8">
                  <c:v>2013</c:v>
                </c:pt>
                <c:pt idx="9">
                  <c:v>2014</c:v>
                </c:pt>
                <c:pt idx="10">
                  <c:v>2015</c:v>
                </c:pt>
                <c:pt idx="11">
                  <c:v>2016</c:v>
                </c:pt>
              </c:strCache>
            </c:strRef>
          </c:cat>
          <c:val>
            <c:numRef>
              <c:f>F_CZ!$B$183:$M$183</c:f>
              <c:numCache>
                <c:formatCode>0.0%</c:formatCode>
                <c:ptCount val="12"/>
                <c:pt idx="0">
                  <c:v>4.8000000000000001E-2</c:v>
                </c:pt>
                <c:pt idx="1">
                  <c:v>4.9000000000000002E-2</c:v>
                </c:pt>
                <c:pt idx="2">
                  <c:v>0.05</c:v>
                </c:pt>
                <c:pt idx="3">
                  <c:v>4.9000000000000002E-2</c:v>
                </c:pt>
                <c:pt idx="4">
                  <c:v>4.9000000000000002E-2</c:v>
                </c:pt>
                <c:pt idx="5">
                  <c:v>0.05</c:v>
                </c:pt>
                <c:pt idx="6">
                  <c:v>0.05</c:v>
                </c:pt>
                <c:pt idx="7">
                  <c:v>5.0999999999999997E-2</c:v>
                </c:pt>
                <c:pt idx="8">
                  <c:v>5.1999999999999998E-2</c:v>
                </c:pt>
                <c:pt idx="9">
                  <c:v>5.1999999999999998E-2</c:v>
                </c:pt>
                <c:pt idx="10">
                  <c:v>5.3999999999999999E-2</c:v>
                </c:pt>
                <c:pt idx="11">
                  <c:v>5.5404072999999998E-2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4515072"/>
        <c:axId val="49157184"/>
      </c:lineChart>
      <c:catAx>
        <c:axId val="224407040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49156608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49156608"/>
        <c:scaling>
          <c:orientation val="minMax"/>
          <c:max val="35"/>
          <c:min val="0"/>
        </c:scaling>
        <c:delete val="0"/>
        <c:axPos val="l"/>
        <c:majorGridlines>
          <c:spPr>
            <a:ln w="12700">
              <a:noFill/>
              <a:prstDash val="dash"/>
            </a:ln>
          </c:spPr>
        </c:majorGridlines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224407040"/>
        <c:crosses val="autoZero"/>
        <c:crossBetween val="between"/>
        <c:majorUnit val="1"/>
        <c:minorUnit val="2.0000000000000011E-2"/>
      </c:valAx>
      <c:valAx>
        <c:axId val="49157184"/>
        <c:scaling>
          <c:orientation val="minMax"/>
          <c:max val="7.5000000000000011E-2"/>
          <c:min val="0"/>
        </c:scaling>
        <c:delete val="0"/>
        <c:axPos val="r"/>
        <c:numFmt formatCode="0.0%" sourceLinked="1"/>
        <c:majorTickMark val="none"/>
        <c:minorTickMark val="none"/>
        <c:tickLblPos val="nextTo"/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cs-CZ"/>
          </a:p>
        </c:txPr>
        <c:crossAx val="224515072"/>
        <c:crosses val="max"/>
        <c:crossBetween val="between"/>
      </c:valAx>
      <c:catAx>
        <c:axId val="224515072"/>
        <c:scaling>
          <c:orientation val="minMax"/>
        </c:scaling>
        <c:delete val="1"/>
        <c:axPos val="b"/>
        <c:numFmt formatCode="@" sourceLinked="1"/>
        <c:majorTickMark val="out"/>
        <c:minorTickMark val="none"/>
        <c:tickLblPos val="none"/>
        <c:crossAx val="49157184"/>
        <c:crosses val="autoZero"/>
        <c:auto val="1"/>
        <c:lblAlgn val="ctr"/>
        <c:lblOffset val="100"/>
        <c:noMultiLvlLbl val="0"/>
      </c:cat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6.0853748326639895E-2"/>
          <c:y val="0.14783922124676943"/>
          <c:w val="0.79692464789083484"/>
          <c:h val="6.1097132973320874E-2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824872286079186"/>
          <c:y val="0.2023738280470776"/>
          <c:w val="0.85430459770114942"/>
          <c:h val="0.64058937671145932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F_CZ!$A$188</c:f>
              <c:strCache>
                <c:ptCount val="1"/>
                <c:pt idx="0">
                  <c:v> muži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numFmt formatCode="0%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F_CZ!$B$187:$E$187</c:f>
              <c:numCache>
                <c:formatCode>0</c:formatCode>
                <c:ptCount val="4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F_CZ!$B$188:$E$188</c:f>
              <c:numCache>
                <c:formatCode>0.0%</c:formatCode>
                <c:ptCount val="4"/>
                <c:pt idx="0">
                  <c:v>0.88900000000000001</c:v>
                </c:pt>
                <c:pt idx="1">
                  <c:v>0.88600000000000001</c:v>
                </c:pt>
                <c:pt idx="2">
                  <c:v>0.85399999999999998</c:v>
                </c:pt>
                <c:pt idx="3">
                  <c:v>0.84299999999999997</c:v>
                </c:pt>
              </c:numCache>
            </c:numRef>
          </c:val>
        </c:ser>
        <c:ser>
          <c:idx val="2"/>
          <c:order val="1"/>
          <c:tx>
            <c:strRef>
              <c:f>F_CZ!$A$189</c:f>
              <c:strCache>
                <c:ptCount val="1"/>
                <c:pt idx="0">
                  <c:v> ženy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numFmt formatCode="0%" sourceLinked="0"/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F_CZ!$B$187:$E$187</c:f>
              <c:numCache>
                <c:formatCode>0</c:formatCode>
                <c:ptCount val="4"/>
                <c:pt idx="0">
                  <c:v>2005</c:v>
                </c:pt>
                <c:pt idx="1">
                  <c:v>2010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F_CZ!$B$189:$E$189</c:f>
              <c:numCache>
                <c:formatCode>0.0%</c:formatCode>
                <c:ptCount val="4"/>
                <c:pt idx="0">
                  <c:v>0.111</c:v>
                </c:pt>
                <c:pt idx="1">
                  <c:v>0.114</c:v>
                </c:pt>
                <c:pt idx="2">
                  <c:v>0.14599999999999999</c:v>
                </c:pt>
                <c:pt idx="3">
                  <c:v>0.157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224514048"/>
        <c:axId val="49158912"/>
      </c:barChart>
      <c:catAx>
        <c:axId val="224514048"/>
        <c:scaling>
          <c:orientation val="minMax"/>
        </c:scaling>
        <c:delete val="0"/>
        <c:axPos val="l"/>
        <c:numFmt formatCode="0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9158912"/>
        <c:crosses val="autoZero"/>
        <c:auto val="1"/>
        <c:lblAlgn val="ctr"/>
        <c:lblOffset val="100"/>
        <c:noMultiLvlLbl val="0"/>
      </c:catAx>
      <c:valAx>
        <c:axId val="49158912"/>
        <c:scaling>
          <c:orientation val="minMax"/>
          <c:max val="1"/>
          <c:min val="0"/>
        </c:scaling>
        <c:delete val="0"/>
        <c:axPos val="b"/>
        <c:numFmt formatCode="0.0%" sourceLinked="1"/>
        <c:majorTickMark val="none"/>
        <c:minorTickMark val="none"/>
        <c:tickLblPos val="none"/>
        <c:crossAx val="224514048"/>
        <c:crosses val="autoZero"/>
        <c:crossBetween val="between"/>
        <c:majorUnit val="0.25"/>
        <c:minorUnit val="5.0000000000000024E-2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11419955300127715"/>
          <c:y val="0.13357996481874398"/>
          <c:w val="0.84930619412515962"/>
          <c:h val="4.9957020836733583E-2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800" b="1"/>
              <a:t>Graf F15 ICT specialisté v Česku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2.0602668568868002E-2"/>
          <c:y val="0.11496772555845665"/>
          <c:w val="0.95528767560664107"/>
          <c:h val="0.73139904264577893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F_CZ!$A$216</c:f>
              <c:strCache>
                <c:ptCount val="1"/>
                <c:pt idx="0">
                  <c:v> tis. osob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F_CZ!$B$215:$J$215</c:f>
              <c:numCache>
                <c:formatCode>General</c:formatCode>
                <c:ptCount val="9"/>
                <c:pt idx="0">
                  <c:v>1995</c:v>
                </c:pt>
                <c:pt idx="1">
                  <c:v>2000</c:v>
                </c:pt>
                <c:pt idx="2">
                  <c:v>2005</c:v>
                </c:pt>
                <c:pt idx="3">
                  <c:v>2010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F_CZ!$B$216:$J$216</c:f>
              <c:numCache>
                <c:formatCode>0.0</c:formatCode>
                <c:ptCount val="9"/>
                <c:pt idx="0">
                  <c:v>25.885470125000026</c:v>
                </c:pt>
                <c:pt idx="1">
                  <c:v>34.737062725000023</c:v>
                </c:pt>
                <c:pt idx="2">
                  <c:v>36.799999999999997</c:v>
                </c:pt>
                <c:pt idx="3">
                  <c:v>48.9</c:v>
                </c:pt>
                <c:pt idx="4">
                  <c:v>53.203000000000003</c:v>
                </c:pt>
                <c:pt idx="5">
                  <c:v>57.369</c:v>
                </c:pt>
                <c:pt idx="6">
                  <c:v>63.414999999999999</c:v>
                </c:pt>
                <c:pt idx="7">
                  <c:v>66.572999999999993</c:v>
                </c:pt>
                <c:pt idx="8">
                  <c:v>71.926000000000002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0"/>
        <c:overlap val="100"/>
        <c:axId val="48947200"/>
        <c:axId val="224633408"/>
      </c:barChart>
      <c:lineChart>
        <c:grouping val="standard"/>
        <c:varyColors val="0"/>
        <c:ser>
          <c:idx val="0"/>
          <c:order val="1"/>
          <c:tx>
            <c:strRef>
              <c:f>F_CZ!$A$217</c:f>
              <c:strCache>
                <c:ptCount val="1"/>
                <c:pt idx="0">
                  <c:v> % zaměstnané populace v ČR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5"/>
            <c:spPr>
              <a:solidFill>
                <a:srgbClr val="ABF3FF"/>
              </a:solidFill>
              <a:ln w="12700">
                <a:solidFill>
                  <a:srgbClr val="47E5FF"/>
                </a:solidFill>
              </a:ln>
            </c:spPr>
          </c:marker>
          <c:dLbls>
            <c:numFmt formatCode="0.00%" sourceLinked="0"/>
            <c:txPr>
              <a:bodyPr/>
              <a:lstStyle/>
              <a:p>
                <a:pPr>
                  <a:defRPr sz="800"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F_CZ!$B$215:$J$215</c:f>
              <c:numCache>
                <c:formatCode>General</c:formatCode>
                <c:ptCount val="9"/>
                <c:pt idx="0">
                  <c:v>1995</c:v>
                </c:pt>
                <c:pt idx="1">
                  <c:v>2000</c:v>
                </c:pt>
                <c:pt idx="2">
                  <c:v>2005</c:v>
                </c:pt>
                <c:pt idx="3">
                  <c:v>2010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</c:numCache>
            </c:numRef>
          </c:cat>
          <c:val>
            <c:numRef>
              <c:f>F_CZ!$B$217:$J$217</c:f>
              <c:numCache>
                <c:formatCode>0.0%</c:formatCode>
                <c:ptCount val="9"/>
                <c:pt idx="0">
                  <c:v>5.2161336244368698E-3</c:v>
                </c:pt>
                <c:pt idx="1">
                  <c:v>7.3414999287982566E-3</c:v>
                </c:pt>
                <c:pt idx="2">
                  <c:v>7.7297221101102756E-3</c:v>
                </c:pt>
                <c:pt idx="3">
                  <c:v>1.0006851305772686E-2</c:v>
                </c:pt>
                <c:pt idx="4">
                  <c:v>1.0879841179635476E-2</c:v>
                </c:pt>
                <c:pt idx="5">
                  <c:v>1.1572621147061859E-2</c:v>
                </c:pt>
                <c:pt idx="6">
                  <c:v>1.2725421584858804E-2</c:v>
                </c:pt>
                <c:pt idx="7">
                  <c:v>1.3204057329926744E-2</c:v>
                </c:pt>
                <c:pt idx="8">
                  <c:v>1.3967450520178308E-2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4517632"/>
        <c:axId val="224633984"/>
      </c:lineChart>
      <c:catAx>
        <c:axId val="48947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cs-CZ"/>
          </a:p>
        </c:txPr>
        <c:crossAx val="22463340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24633408"/>
        <c:scaling>
          <c:orientation val="minMax"/>
          <c:max val="100"/>
          <c:min val="0"/>
        </c:scaling>
        <c:delete val="0"/>
        <c:axPos val="l"/>
        <c:majorGridlines>
          <c:spPr>
            <a:ln w="12700">
              <a:noFill/>
              <a:prstDash val="dash"/>
            </a:ln>
          </c:spPr>
        </c:majorGridlines>
        <c:numFmt formatCode="0.0" sourceLinked="1"/>
        <c:majorTickMark val="none"/>
        <c:minorTickMark val="none"/>
        <c:tickLblPos val="none"/>
        <c:spPr>
          <a:ln w="9525">
            <a:noFill/>
          </a:ln>
        </c:spPr>
        <c:crossAx val="48947200"/>
        <c:crosses val="autoZero"/>
        <c:crossBetween val="between"/>
        <c:majorUnit val="20"/>
        <c:minorUnit val="10"/>
      </c:valAx>
      <c:valAx>
        <c:axId val="224633984"/>
        <c:scaling>
          <c:orientation val="minMax"/>
          <c:max val="1.8000000000000023E-2"/>
          <c:min val="0"/>
        </c:scaling>
        <c:delete val="0"/>
        <c:axPos val="r"/>
        <c:numFmt formatCode="0.0%" sourceLinked="1"/>
        <c:majorTickMark val="none"/>
        <c:minorTickMark val="none"/>
        <c:tickLblPos val="none"/>
        <c:crossAx val="224517632"/>
        <c:crosses val="max"/>
        <c:crossBetween val="between"/>
        <c:majorUnit val="1.0000000000000041E-3"/>
        <c:minorUnit val="1.0000000000000036E-4"/>
      </c:valAx>
      <c:catAx>
        <c:axId val="2245176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24633984"/>
        <c:crosses val="autoZero"/>
        <c:auto val="0"/>
        <c:lblAlgn val="ctr"/>
        <c:lblOffset val="100"/>
        <c:noMultiLvlLbl val="0"/>
      </c:catAx>
      <c:spPr>
        <a:noFill/>
        <a:ln w="12700">
          <a:solidFill>
            <a:srgbClr val="A6A6A6"/>
          </a:solidFill>
        </a:ln>
      </c:spPr>
    </c:plotArea>
    <c:legend>
      <c:legendPos val="t"/>
      <c:layout>
        <c:manualLayout>
          <c:xMode val="edge"/>
          <c:yMode val="edge"/>
          <c:x val="3.2439335887611748E-2"/>
          <c:y val="0.13618835219031042"/>
          <c:w val="0.61142241379310347"/>
          <c:h val="0.11095118944009283"/>
        </c:manualLayout>
      </c:layout>
      <c:overlay val="0"/>
      <c:spPr>
        <a:noFill/>
        <a:ln w="9525"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cs-CZ" sz="800"/>
              <a:t>Graf F16 Průměrná hrubá měsíční mzda ICT specialistů v Česku podle pohlaví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2.8070165098249292E-2"/>
          <c:y val="0.24341528865680301"/>
          <c:w val="0.9323176883780333"/>
          <c:h val="0.5054953582825645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F_CZ!$A$226</c:f>
              <c:strCache>
                <c:ptCount val="1"/>
                <c:pt idx="0">
                  <c:v> tis. Kč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3"/>
            <c:invertIfNegative val="0"/>
            <c:bubble3D val="0"/>
            <c:spPr>
              <a:solidFill>
                <a:srgbClr val="ABF3FF"/>
              </a:solidFill>
            </c:spPr>
          </c:dPt>
          <c:dPt>
            <c:idx val="4"/>
            <c:invertIfNegative val="0"/>
            <c:bubble3D val="0"/>
            <c:spPr>
              <a:solidFill>
                <a:srgbClr val="ABF3FF"/>
              </a:solidFill>
            </c:spPr>
          </c:dPt>
          <c:dPt>
            <c:idx val="5"/>
            <c:invertIfNegative val="0"/>
            <c:bubble3D val="0"/>
            <c:spPr>
              <a:solidFill>
                <a:srgbClr val="ABF3FF"/>
              </a:solidFill>
            </c:spPr>
          </c:dPt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F_CZ!$B$224:$G$225</c:f>
              <c:multiLvlStrCache>
                <c:ptCount val="6"/>
                <c:lvl>
                  <c:pt idx="0">
                    <c:v>2014</c:v>
                  </c:pt>
                  <c:pt idx="1">
                    <c:v>2015</c:v>
                  </c:pt>
                  <c:pt idx="2">
                    <c:v>2016</c:v>
                  </c:pt>
                  <c:pt idx="3">
                    <c:v>2014</c:v>
                  </c:pt>
                  <c:pt idx="4">
                    <c:v>2015</c:v>
                  </c:pt>
                  <c:pt idx="5">
                    <c:v>2016</c:v>
                  </c:pt>
                </c:lvl>
                <c:lvl>
                  <c:pt idx="0">
                    <c:v>muži</c:v>
                  </c:pt>
                  <c:pt idx="3">
                    <c:v>ženy</c:v>
                  </c:pt>
                </c:lvl>
              </c:multiLvlStrCache>
            </c:multiLvlStrRef>
          </c:cat>
          <c:val>
            <c:numRef>
              <c:f>F_CZ!$B$226:$G$226</c:f>
              <c:numCache>
                <c:formatCode>#,##0.0</c:formatCode>
                <c:ptCount val="6"/>
                <c:pt idx="0">
                  <c:v>50.206460899999996</c:v>
                </c:pt>
                <c:pt idx="1">
                  <c:v>52.296331700000003</c:v>
                </c:pt>
                <c:pt idx="2">
                  <c:v>54.325000000000003</c:v>
                </c:pt>
                <c:pt idx="3">
                  <c:v>42.380536399999997</c:v>
                </c:pt>
                <c:pt idx="4">
                  <c:v>43.700932299999998</c:v>
                </c:pt>
                <c:pt idx="5">
                  <c:v>45.369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48947712"/>
        <c:axId val="224635712"/>
      </c:barChart>
      <c:scatterChart>
        <c:scatterStyle val="lineMarker"/>
        <c:varyColors val="0"/>
        <c:ser>
          <c:idx val="1"/>
          <c:order val="1"/>
          <c:tx>
            <c:strRef>
              <c:f>F_CZ!$A$227</c:f>
              <c:strCache>
                <c:ptCount val="1"/>
                <c:pt idx="0">
                  <c:v> % průměrné mzdy mužů a žen v ČR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5"/>
            <c:spPr>
              <a:solidFill>
                <a:srgbClr val="47E5FF"/>
              </a:solidFill>
              <a:ln>
                <a:noFill/>
              </a:ln>
            </c:spPr>
          </c:marker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xVal>
            <c:multiLvlStrRef>
              <c:f>[IS2018_Grafy_Shrnutí_F1.xlsx]F_CZ!$B$224:$G$225</c:f>
              <c:multiLvlStrCache>
                <c:ptCount val="6"/>
                <c:lvl>
                  <c:pt idx="0">
                    <c:v>2014</c:v>
                  </c:pt>
                  <c:pt idx="1">
                    <c:v>2015</c:v>
                  </c:pt>
                  <c:pt idx="2">
                    <c:v>2016</c:v>
                  </c:pt>
                  <c:pt idx="3">
                    <c:v>2014</c:v>
                  </c:pt>
                  <c:pt idx="4">
                    <c:v>2015</c:v>
                  </c:pt>
                  <c:pt idx="5">
                    <c:v>2016</c:v>
                  </c:pt>
                </c:lvl>
                <c:lvl>
                  <c:pt idx="0">
                    <c:v>muži</c:v>
                  </c:pt>
                  <c:pt idx="3">
                    <c:v>ženy</c:v>
                  </c:pt>
                </c:lvl>
              </c:multiLvlStrCache>
            </c:multiLvlStrRef>
          </c:xVal>
          <c:yVal>
            <c:numRef>
              <c:f>F_CZ!$B$227:$G$227</c:f>
              <c:numCache>
                <c:formatCode>0%</c:formatCode>
                <c:ptCount val="6"/>
                <c:pt idx="0">
                  <c:v>1.6892588035395848</c:v>
                </c:pt>
                <c:pt idx="1">
                  <c:v>1.6956206374424487</c:v>
                </c:pt>
                <c:pt idx="2">
                  <c:v>1.690571273417564</c:v>
                </c:pt>
                <c:pt idx="3">
                  <c:v>1.826511071844158</c:v>
                </c:pt>
                <c:pt idx="4">
                  <c:v>1.8137682535070971</c:v>
                </c:pt>
                <c:pt idx="5">
                  <c:v>1.794464418779417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4636864"/>
        <c:axId val="224636288"/>
      </c:scatterChart>
      <c:catAx>
        <c:axId val="48947712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24635712"/>
        <c:crosses val="autoZero"/>
        <c:auto val="1"/>
        <c:lblAlgn val="ctr"/>
        <c:lblOffset val="100"/>
        <c:noMultiLvlLbl val="0"/>
      </c:catAx>
      <c:valAx>
        <c:axId val="224635712"/>
        <c:scaling>
          <c:orientation val="minMax"/>
          <c:max val="80"/>
          <c:min val="0"/>
        </c:scaling>
        <c:delete val="0"/>
        <c:axPos val="l"/>
        <c:numFmt formatCode="#,##0.0" sourceLinked="1"/>
        <c:majorTickMark val="none"/>
        <c:minorTickMark val="none"/>
        <c:tickLblPos val="none"/>
        <c:crossAx val="48947712"/>
        <c:crosses val="autoZero"/>
        <c:crossBetween val="between"/>
        <c:majorUnit val="10"/>
        <c:minorUnit val="1"/>
      </c:valAx>
      <c:valAx>
        <c:axId val="224636288"/>
        <c:scaling>
          <c:orientation val="minMax"/>
          <c:max val="2.2999999999999998"/>
          <c:min val="0"/>
        </c:scaling>
        <c:delete val="0"/>
        <c:axPos val="r"/>
        <c:numFmt formatCode="0%" sourceLinked="1"/>
        <c:majorTickMark val="none"/>
        <c:minorTickMark val="none"/>
        <c:tickLblPos val="none"/>
        <c:crossAx val="224636864"/>
        <c:crosses val="max"/>
        <c:crossBetween val="midCat"/>
        <c:majorUnit val="1"/>
        <c:minorUnit val="0.1"/>
      </c:valAx>
      <c:valAx>
        <c:axId val="224636864"/>
        <c:scaling>
          <c:orientation val="minMax"/>
        </c:scaling>
        <c:delete val="1"/>
        <c:axPos val="b"/>
        <c:majorTickMark val="out"/>
        <c:minorTickMark val="none"/>
        <c:tickLblPos val="none"/>
        <c:crossAx val="224636288"/>
        <c:crosses val="autoZero"/>
        <c:crossBetween val="midCat"/>
      </c:valAx>
      <c:spPr>
        <a:ln w="12700">
          <a:solidFill>
            <a:schemeClr val="bg1">
              <a:lumMod val="50000"/>
            </a:schemeClr>
          </a:solidFill>
        </a:ln>
      </c:spPr>
    </c:plotArea>
    <c:legend>
      <c:legendPos val="t"/>
      <c:layout>
        <c:manualLayout>
          <c:xMode val="edge"/>
          <c:yMode val="edge"/>
          <c:x val="2.5809067688378033E-2"/>
          <c:y val="0.14310777487670437"/>
          <c:w val="0.9277701149425287"/>
          <c:h val="6.9811792863359451E-2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3946405228758169E-2"/>
          <c:y val="0.11418814065135591"/>
          <c:w val="0.94296568627450983"/>
          <c:h val="0.508776177500973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F_CZ!$C$41</c:f>
              <c:strCache>
                <c:ptCount val="1"/>
                <c:pt idx="0">
                  <c:v> ve školním roce 2011/2012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9.9084967320261521E-4"/>
                  <c:y val="9.575396825396828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9.07142857142856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F_CZ!$A$42:$B$45</c:f>
              <c:multiLvlStrCache>
                <c:ptCount val="4"/>
                <c:lvl>
                  <c:pt idx="0">
                    <c:v>webové 
stránky</c:v>
                  </c:pt>
                  <c:pt idx="1">
                    <c:v>školní informační systém</c:v>
                  </c:pt>
                  <c:pt idx="2">
                    <c:v>webové 
stránky</c:v>
                  </c:pt>
                  <c:pt idx="3">
                    <c:v>školní informační systém</c:v>
                  </c:pt>
                </c:lvl>
                <c:lvl>
                  <c:pt idx="0">
                    <c:v>základní školy</c:v>
                  </c:pt>
                  <c:pt idx="2">
                    <c:v>střední a vyšší odborné školy</c:v>
                  </c:pt>
                </c:lvl>
              </c:multiLvlStrCache>
            </c:multiLvlStrRef>
          </c:cat>
          <c:val>
            <c:numRef>
              <c:f>F_CZ!$C$42:$C$45</c:f>
              <c:numCache>
                <c:formatCode>0%</c:formatCode>
                <c:ptCount val="4"/>
                <c:pt idx="0">
                  <c:v>0.51028806584362096</c:v>
                </c:pt>
                <c:pt idx="1">
                  <c:v>0.35831863609641301</c:v>
                </c:pt>
                <c:pt idx="2">
                  <c:v>0.96893667861409793</c:v>
                </c:pt>
                <c:pt idx="3">
                  <c:v>0.92712066905615298</c:v>
                </c:pt>
              </c:numCache>
            </c:numRef>
          </c:val>
        </c:ser>
        <c:ser>
          <c:idx val="1"/>
          <c:order val="1"/>
          <c:tx>
            <c:strRef>
              <c:f>F_CZ!$D$41</c:f>
              <c:strCache>
                <c:ptCount val="1"/>
                <c:pt idx="0">
                  <c:v> ve školním roce 2016/2017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9022111409629909E-17"/>
                  <c:y val="9.07142857142856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8.06349206349206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F_CZ!$A$42:$B$45</c:f>
              <c:multiLvlStrCache>
                <c:ptCount val="4"/>
                <c:lvl>
                  <c:pt idx="0">
                    <c:v>webové 
stránky</c:v>
                  </c:pt>
                  <c:pt idx="1">
                    <c:v>školní informační systém</c:v>
                  </c:pt>
                  <c:pt idx="2">
                    <c:v>webové 
stránky</c:v>
                  </c:pt>
                  <c:pt idx="3">
                    <c:v>školní informační systém</c:v>
                  </c:pt>
                </c:lvl>
                <c:lvl>
                  <c:pt idx="0">
                    <c:v>základní školy</c:v>
                  </c:pt>
                  <c:pt idx="2">
                    <c:v>střední a vyšší odborné školy</c:v>
                  </c:pt>
                </c:lvl>
              </c:multiLvlStrCache>
            </c:multiLvlStrRef>
          </c:cat>
          <c:val>
            <c:numRef>
              <c:f>F_CZ!$D$42:$D$45</c:f>
              <c:numCache>
                <c:formatCode>0%</c:formatCode>
                <c:ptCount val="4"/>
                <c:pt idx="0">
                  <c:v>0.96389629270656596</c:v>
                </c:pt>
                <c:pt idx="1">
                  <c:v>0.94475405863823592</c:v>
                </c:pt>
                <c:pt idx="2">
                  <c:v>0.99264164827078705</c:v>
                </c:pt>
                <c:pt idx="3">
                  <c:v>0.98896247240618096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7"/>
        <c:axId val="48291328"/>
        <c:axId val="48163072"/>
      </c:barChart>
      <c:catAx>
        <c:axId val="48291328"/>
        <c:scaling>
          <c:orientation val="minMax"/>
        </c:scaling>
        <c:delete val="0"/>
        <c:axPos val="b"/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8163072"/>
        <c:crosses val="autoZero"/>
        <c:auto val="1"/>
        <c:lblAlgn val="ctr"/>
        <c:lblOffset val="40"/>
        <c:noMultiLvlLbl val="0"/>
      </c:catAx>
      <c:valAx>
        <c:axId val="48163072"/>
        <c:scaling>
          <c:orientation val="minMax"/>
          <c:max val="1.25"/>
        </c:scaling>
        <c:delete val="0"/>
        <c:axPos val="l"/>
        <c:numFmt formatCode="0%" sourceLinked="1"/>
        <c:majorTickMark val="none"/>
        <c:minorTickMark val="none"/>
        <c:tickLblPos val="none"/>
        <c:spPr>
          <a:ln w="9525">
            <a:noFill/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48291328"/>
        <c:crosses val="autoZero"/>
        <c:crossBetween val="between"/>
        <c:majorUnit val="0.25"/>
        <c:minorUnit val="1.0000000000000005E-2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5.3031210986267167E-2"/>
          <c:y val="0.13877669650966654"/>
          <c:w val="0.87621722846441952"/>
          <c:h val="7.4817063492063504E-2"/>
        </c:manualLayout>
      </c:layout>
      <c:overlay val="0"/>
      <c:spPr>
        <a:noFill/>
        <a:ln w="9525"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5568121693121684E-2"/>
          <c:y val="0.16446071428571427"/>
          <c:w val="0.96330919312169339"/>
          <c:h val="0.60814880952381012"/>
        </c:manualLayout>
      </c:layout>
      <c:barChart>
        <c:barDir val="col"/>
        <c:grouping val="clustered"/>
        <c:varyColors val="0"/>
        <c:ser>
          <c:idx val="4"/>
          <c:order val="0"/>
          <c:tx>
            <c:strRef>
              <c:f>F_CZ!$B$48</c:f>
              <c:strCache>
                <c:ptCount val="1"/>
                <c:pt idx="0">
                  <c:v> 2015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dLbl>
              <c:idx val="3"/>
              <c:layout>
                <c:manualLayout>
                  <c:x val="0"/>
                  <c:y val="1.583571428571429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F_CZ!$A$49:$A$52</c:f>
              <c:strCache>
                <c:ptCount val="4"/>
                <c:pt idx="0">
                  <c:v>1. stupeň ZŠ</c:v>
                </c:pt>
                <c:pt idx="1">
                  <c:v>2. stupeň ZŠ</c:v>
                </c:pt>
                <c:pt idx="2">
                  <c:v>střední školy</c:v>
                </c:pt>
                <c:pt idx="3">
                  <c:v>vyšší odborné školy</c:v>
                </c:pt>
              </c:strCache>
            </c:strRef>
          </c:cat>
          <c:val>
            <c:numRef>
              <c:f>F_CZ!$B$49:$B$52</c:f>
              <c:numCache>
                <c:formatCode>#,##0.0</c:formatCode>
                <c:ptCount val="4"/>
                <c:pt idx="0">
                  <c:v>1.8</c:v>
                </c:pt>
                <c:pt idx="1">
                  <c:v>2.6</c:v>
                </c:pt>
                <c:pt idx="2">
                  <c:v>2.2000000000000002</c:v>
                </c:pt>
                <c:pt idx="3">
                  <c:v>3</c:v>
                </c:pt>
              </c:numCache>
            </c:numRef>
          </c:val>
        </c:ser>
        <c:ser>
          <c:idx val="0"/>
          <c:order val="1"/>
          <c:tx>
            <c:strRef>
              <c:f>F_CZ!$C$48</c:f>
              <c:strCache>
                <c:ptCount val="1"/>
                <c:pt idx="0">
                  <c:v> 2016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F_CZ!$A$49:$A$52</c:f>
              <c:strCache>
                <c:ptCount val="4"/>
                <c:pt idx="0">
                  <c:v>1. stupeň ZŠ</c:v>
                </c:pt>
                <c:pt idx="1">
                  <c:v>2. stupeň ZŠ</c:v>
                </c:pt>
                <c:pt idx="2">
                  <c:v>střední školy</c:v>
                </c:pt>
                <c:pt idx="3">
                  <c:v>vyšší odborné školy</c:v>
                </c:pt>
              </c:strCache>
            </c:strRef>
          </c:cat>
          <c:val>
            <c:numRef>
              <c:f>F_CZ!$C$49:$C$52</c:f>
              <c:numCache>
                <c:formatCode>#,##0.0</c:formatCode>
                <c:ptCount val="4"/>
                <c:pt idx="0">
                  <c:v>2.2000000000000002</c:v>
                </c:pt>
                <c:pt idx="1">
                  <c:v>3.1</c:v>
                </c:pt>
                <c:pt idx="2">
                  <c:v>2.6</c:v>
                </c:pt>
                <c:pt idx="3">
                  <c:v>3.4</c:v>
                </c:pt>
              </c:numCache>
            </c:numRef>
          </c:val>
        </c:ser>
        <c:ser>
          <c:idx val="2"/>
          <c:order val="2"/>
          <c:tx>
            <c:strRef>
              <c:f>F_CZ!$D$48</c:f>
              <c:strCache>
                <c:ptCount val="1"/>
                <c:pt idx="0">
                  <c:v> 2017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F_CZ!$A$49:$A$52</c:f>
              <c:strCache>
                <c:ptCount val="4"/>
                <c:pt idx="0">
                  <c:v>1. stupeň ZŠ</c:v>
                </c:pt>
                <c:pt idx="1">
                  <c:v>2. stupeň ZŠ</c:v>
                </c:pt>
                <c:pt idx="2">
                  <c:v>střední školy</c:v>
                </c:pt>
                <c:pt idx="3">
                  <c:v>vyšší odborné školy</c:v>
                </c:pt>
              </c:strCache>
            </c:strRef>
          </c:cat>
          <c:val>
            <c:numRef>
              <c:f>F_CZ!$D$49:$D$52</c:f>
              <c:numCache>
                <c:formatCode>#,##0.0</c:formatCode>
                <c:ptCount val="4"/>
                <c:pt idx="0">
                  <c:v>2.4</c:v>
                </c:pt>
                <c:pt idx="1">
                  <c:v>3.2</c:v>
                </c:pt>
                <c:pt idx="2">
                  <c:v>2.6</c:v>
                </c:pt>
                <c:pt idx="3">
                  <c:v>3.9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0"/>
        <c:axId val="48682496"/>
        <c:axId val="48164800"/>
      </c:barChart>
      <c:catAx>
        <c:axId val="48682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8164800"/>
        <c:crosses val="autoZero"/>
        <c:auto val="1"/>
        <c:lblAlgn val="ctr"/>
        <c:lblOffset val="40"/>
        <c:noMultiLvlLbl val="0"/>
      </c:catAx>
      <c:valAx>
        <c:axId val="48164800"/>
        <c:scaling>
          <c:orientation val="minMax"/>
          <c:max val="5"/>
          <c:min val="0"/>
        </c:scaling>
        <c:delete val="0"/>
        <c:axPos val="l"/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48682496"/>
        <c:crosses val="autoZero"/>
        <c:crossBetween val="between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19543617724867721"/>
          <c:y val="0.19654761904761903"/>
          <c:w val="0.64272552910052938"/>
          <c:h val="7.4817063492063504E-2"/>
        </c:manualLayout>
      </c:layout>
      <c:overlay val="0"/>
      <c:spPr>
        <a:noFill/>
        <a:ln w="9525"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5568121693121684E-2"/>
          <c:y val="0.16446071428571427"/>
          <c:w val="0.96330919312169339"/>
          <c:h val="0.60814880952381012"/>
        </c:manualLayout>
      </c:layout>
      <c:barChart>
        <c:barDir val="col"/>
        <c:grouping val="clustered"/>
        <c:varyColors val="0"/>
        <c:ser>
          <c:idx val="4"/>
          <c:order val="0"/>
          <c:tx>
            <c:strRef>
              <c:f>F_CZ!$B$55</c:f>
              <c:strCache>
                <c:ptCount val="1"/>
                <c:pt idx="0">
                  <c:v> 2015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dLbl>
              <c:idx val="3"/>
              <c:layout>
                <c:manualLayout>
                  <c:x val="0"/>
                  <c:y val="1.583571428571429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F_CZ!$A$56:$A$59</c:f>
              <c:strCache>
                <c:ptCount val="4"/>
                <c:pt idx="0">
                  <c:v>1. stupeň ZŠ</c:v>
                </c:pt>
                <c:pt idx="1">
                  <c:v>2. stupeň ZŠ</c:v>
                </c:pt>
                <c:pt idx="2">
                  <c:v>střední školy</c:v>
                </c:pt>
                <c:pt idx="3">
                  <c:v>vyšší odborné školy</c:v>
                </c:pt>
              </c:strCache>
            </c:strRef>
          </c:cat>
          <c:val>
            <c:numRef>
              <c:f>F_CZ!$B$56:$B$59</c:f>
              <c:numCache>
                <c:formatCode>#,##0.0</c:formatCode>
                <c:ptCount val="4"/>
                <c:pt idx="0">
                  <c:v>0.92305795135539004</c:v>
                </c:pt>
                <c:pt idx="1">
                  <c:v>1.3794655483345144</c:v>
                </c:pt>
                <c:pt idx="2">
                  <c:v>0.92516943644972616</c:v>
                </c:pt>
                <c:pt idx="3">
                  <c:v>0.46800613249414991</c:v>
                </c:pt>
              </c:numCache>
            </c:numRef>
          </c:val>
        </c:ser>
        <c:ser>
          <c:idx val="0"/>
          <c:order val="1"/>
          <c:tx>
            <c:strRef>
              <c:f>F_CZ!$C$55</c:f>
              <c:strCache>
                <c:ptCount val="1"/>
                <c:pt idx="0">
                  <c:v> 2016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F_CZ!$A$56:$A$59</c:f>
              <c:strCache>
                <c:ptCount val="4"/>
                <c:pt idx="0">
                  <c:v>1. stupeň ZŠ</c:v>
                </c:pt>
                <c:pt idx="1">
                  <c:v>2. stupeň ZŠ</c:v>
                </c:pt>
                <c:pt idx="2">
                  <c:v>střední školy</c:v>
                </c:pt>
                <c:pt idx="3">
                  <c:v>vyšší odborné školy</c:v>
                </c:pt>
              </c:strCache>
            </c:strRef>
          </c:cat>
          <c:val>
            <c:numRef>
              <c:f>F_CZ!$C$56:$C$59</c:f>
              <c:numCache>
                <c:formatCode>#,##0.0</c:formatCode>
                <c:ptCount val="4"/>
                <c:pt idx="0">
                  <c:v>2.1</c:v>
                </c:pt>
                <c:pt idx="1">
                  <c:v>3.5</c:v>
                </c:pt>
                <c:pt idx="2">
                  <c:v>1.6</c:v>
                </c:pt>
                <c:pt idx="3">
                  <c:v>1.1000000000000001</c:v>
                </c:pt>
              </c:numCache>
            </c:numRef>
          </c:val>
        </c:ser>
        <c:ser>
          <c:idx val="2"/>
          <c:order val="2"/>
          <c:tx>
            <c:strRef>
              <c:f>F_CZ!$D$55</c:f>
              <c:strCache>
                <c:ptCount val="1"/>
                <c:pt idx="0">
                  <c:v> 2017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F_CZ!$A$56:$A$59</c:f>
              <c:strCache>
                <c:ptCount val="4"/>
                <c:pt idx="0">
                  <c:v>1. stupeň ZŠ</c:v>
                </c:pt>
                <c:pt idx="1">
                  <c:v>2. stupeň ZŠ</c:v>
                </c:pt>
                <c:pt idx="2">
                  <c:v>střední školy</c:v>
                </c:pt>
                <c:pt idx="3">
                  <c:v>vyšší odborné školy</c:v>
                </c:pt>
              </c:strCache>
            </c:strRef>
          </c:cat>
          <c:val>
            <c:numRef>
              <c:f>F_CZ!$D$56:$D$59</c:f>
              <c:numCache>
                <c:formatCode>#,##0.0</c:formatCode>
                <c:ptCount val="4"/>
                <c:pt idx="0">
                  <c:v>2.4441591873531134</c:v>
                </c:pt>
                <c:pt idx="1">
                  <c:v>3.7256463161619706</c:v>
                </c:pt>
                <c:pt idx="2">
                  <c:v>1.900198085568221</c:v>
                </c:pt>
                <c:pt idx="3">
                  <c:v>1.069134550371873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0"/>
        <c:axId val="48451584"/>
        <c:axId val="48165952"/>
      </c:barChart>
      <c:catAx>
        <c:axId val="48451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8165952"/>
        <c:crosses val="autoZero"/>
        <c:auto val="1"/>
        <c:lblAlgn val="ctr"/>
        <c:lblOffset val="40"/>
        <c:noMultiLvlLbl val="0"/>
      </c:catAx>
      <c:valAx>
        <c:axId val="48165952"/>
        <c:scaling>
          <c:orientation val="minMax"/>
          <c:max val="5"/>
          <c:min val="0"/>
        </c:scaling>
        <c:delete val="0"/>
        <c:axPos val="l"/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48451584"/>
        <c:crosses val="autoZero"/>
        <c:crossBetween val="between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19543617724867721"/>
          <c:y val="0.19654761904761903"/>
          <c:w val="0.64272552910052938"/>
          <c:h val="7.4817063492063504E-2"/>
        </c:manualLayout>
      </c:layout>
      <c:overlay val="0"/>
      <c:spPr>
        <a:noFill/>
        <a:ln w="9525"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F5 Počítače dostupné žákům škol </a:t>
            </a:r>
          </a:p>
          <a:p>
            <a:pPr>
              <a:defRPr sz="800" b="1"/>
            </a:pPr>
            <a:r>
              <a:rPr lang="cs-CZ" sz="800" b="1"/>
              <a:t>v Česku podle jejich typu v roce 2017 (%)</a:t>
            </a:r>
            <a:endParaRPr lang="en-US" sz="800" b="1"/>
          </a:p>
        </c:rich>
      </c:tx>
      <c:layout>
        <c:manualLayout>
          <c:xMode val="edge"/>
          <c:yMode val="edge"/>
          <c:x val="0.13906711399895244"/>
          <c:y val="9.2124113668099299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9326963095086422"/>
          <c:y val="0.2023738280470776"/>
          <c:w val="0.7783366600133067"/>
          <c:h val="0.65440799376167424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F_CZ!$A$12</c:f>
              <c:strCache>
                <c:ptCount val="1"/>
                <c:pt idx="0">
                  <c:v> stolní počítače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numFmt formatCode="0%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F_CZ!$B$11:$D$11</c:f>
              <c:strCache>
                <c:ptCount val="3"/>
                <c:pt idx="0">
                  <c:v>střední školy</c:v>
                </c:pt>
                <c:pt idx="1">
                  <c:v>2. stupeň ZŠ</c:v>
                </c:pt>
                <c:pt idx="2">
                  <c:v>1. stupeň ZŠ</c:v>
                </c:pt>
              </c:strCache>
            </c:strRef>
          </c:cat>
          <c:val>
            <c:numRef>
              <c:f>F_CZ!$B$12:$D$12</c:f>
              <c:numCache>
                <c:formatCode>0.0%</c:formatCode>
                <c:ptCount val="3"/>
                <c:pt idx="0">
                  <c:v>0.82</c:v>
                </c:pt>
                <c:pt idx="1">
                  <c:v>0.76</c:v>
                </c:pt>
                <c:pt idx="2">
                  <c:v>0.74</c:v>
                </c:pt>
              </c:numCache>
            </c:numRef>
          </c:val>
        </c:ser>
        <c:ser>
          <c:idx val="2"/>
          <c:order val="1"/>
          <c:tx>
            <c:strRef>
              <c:f>F_CZ!$A$13</c:f>
              <c:strCache>
                <c:ptCount val="1"/>
                <c:pt idx="0">
                  <c:v> přenosné počítače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numFmt formatCode="0%" sourceLinked="0"/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F_CZ!$B$11:$D$11</c:f>
              <c:strCache>
                <c:ptCount val="3"/>
                <c:pt idx="0">
                  <c:v>střední školy</c:v>
                </c:pt>
                <c:pt idx="1">
                  <c:v>2. stupeň ZŠ</c:v>
                </c:pt>
                <c:pt idx="2">
                  <c:v>1. stupeň ZŠ</c:v>
                </c:pt>
              </c:strCache>
            </c:strRef>
          </c:cat>
          <c:val>
            <c:numRef>
              <c:f>F_CZ!$B$13:$D$13</c:f>
              <c:numCache>
                <c:formatCode>0.0%</c:formatCode>
                <c:ptCount val="3"/>
                <c:pt idx="0">
                  <c:v>0.11</c:v>
                </c:pt>
                <c:pt idx="1">
                  <c:v>0.11</c:v>
                </c:pt>
                <c:pt idx="2">
                  <c:v>0.13</c:v>
                </c:pt>
              </c:numCache>
            </c:numRef>
          </c:val>
        </c:ser>
        <c:ser>
          <c:idx val="1"/>
          <c:order val="2"/>
          <c:tx>
            <c:strRef>
              <c:f>F_CZ!$A$14</c:f>
              <c:strCache>
                <c:ptCount val="1"/>
                <c:pt idx="0">
                  <c:v> tablety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F_CZ!$B$11:$D$11</c:f>
              <c:strCache>
                <c:ptCount val="3"/>
                <c:pt idx="0">
                  <c:v>střední školy</c:v>
                </c:pt>
                <c:pt idx="1">
                  <c:v>2. stupeň ZŠ</c:v>
                </c:pt>
                <c:pt idx="2">
                  <c:v>1. stupeň ZŠ</c:v>
                </c:pt>
              </c:strCache>
            </c:strRef>
          </c:cat>
          <c:val>
            <c:numRef>
              <c:f>F_CZ!$B$14:$D$14</c:f>
              <c:numCache>
                <c:formatCode>0%</c:formatCode>
                <c:ptCount val="3"/>
                <c:pt idx="0">
                  <c:v>0.08</c:v>
                </c:pt>
                <c:pt idx="1">
                  <c:v>0.13</c:v>
                </c:pt>
                <c:pt idx="2">
                  <c:v>0.13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48453120"/>
        <c:axId val="48168256"/>
      </c:barChart>
      <c:catAx>
        <c:axId val="48453120"/>
        <c:scaling>
          <c:orientation val="minMax"/>
        </c:scaling>
        <c:delete val="0"/>
        <c:axPos val="l"/>
        <c:numFmt formatCode="0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8168256"/>
        <c:crosses val="autoZero"/>
        <c:auto val="1"/>
        <c:lblAlgn val="ctr"/>
        <c:lblOffset val="100"/>
        <c:noMultiLvlLbl val="0"/>
      </c:catAx>
      <c:valAx>
        <c:axId val="48168256"/>
        <c:scaling>
          <c:orientation val="minMax"/>
          <c:max val="1"/>
          <c:min val="0"/>
        </c:scaling>
        <c:delete val="0"/>
        <c:axPos val="b"/>
        <c:numFmt formatCode="0.0%" sourceLinked="1"/>
        <c:majorTickMark val="none"/>
        <c:minorTickMark val="none"/>
        <c:tickLblPos val="none"/>
        <c:crossAx val="48453120"/>
        <c:crosses val="autoZero"/>
        <c:crossBetween val="between"/>
        <c:majorUnit val="0.25"/>
        <c:minorUnit val="5.0000000000000024E-2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0.18852026143790851"/>
          <c:y val="0.11515514208512413"/>
          <c:w val="0.77837254901960784"/>
          <c:h val="6.8381843570353443E-2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5568121693121684E-2"/>
          <c:y val="0.28037341269841271"/>
          <c:w val="0.94231051587301606"/>
          <c:h val="0.4922361111111111"/>
        </c:manualLayout>
      </c:layout>
      <c:barChart>
        <c:barDir val="col"/>
        <c:grouping val="percentStacked"/>
        <c:varyColors val="0"/>
        <c:ser>
          <c:idx val="4"/>
          <c:order val="0"/>
          <c:tx>
            <c:strRef>
              <c:f>F_CZ!$B$17</c:f>
              <c:strCache>
                <c:ptCount val="1"/>
                <c:pt idx="0">
                  <c:v> do 2 let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dLbl>
              <c:idx val="3"/>
              <c:layout>
                <c:manualLayout>
                  <c:x val="0"/>
                  <c:y val="1.58357142857142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F_CZ!$A$18:$A$21</c:f>
              <c:strCache>
                <c:ptCount val="4"/>
                <c:pt idx="0">
                  <c:v>Počítače celkem</c:v>
                </c:pt>
                <c:pt idx="1">
                  <c:v>stolní</c:v>
                </c:pt>
                <c:pt idx="2">
                  <c:v>přenosné</c:v>
                </c:pt>
                <c:pt idx="3">
                  <c:v>tablety</c:v>
                </c:pt>
              </c:strCache>
            </c:strRef>
          </c:cat>
          <c:val>
            <c:numRef>
              <c:f>F_CZ!$B$18:$B$21</c:f>
              <c:numCache>
                <c:formatCode>0%</c:formatCode>
                <c:ptCount val="4"/>
                <c:pt idx="0">
                  <c:v>0.16953866017778221</c:v>
                </c:pt>
                <c:pt idx="1">
                  <c:v>0.13931623931623932</c:v>
                </c:pt>
                <c:pt idx="2">
                  <c:v>0.20181100950331723</c:v>
                </c:pt>
                <c:pt idx="3">
                  <c:v>0.33716305788775963</c:v>
                </c:pt>
              </c:numCache>
            </c:numRef>
          </c:val>
        </c:ser>
        <c:ser>
          <c:idx val="0"/>
          <c:order val="1"/>
          <c:tx>
            <c:strRef>
              <c:f>F_CZ!$C$17</c:f>
              <c:strCache>
                <c:ptCount val="1"/>
                <c:pt idx="0">
                  <c:v> 3 až 9 let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F_CZ!$A$18:$A$21</c:f>
              <c:strCache>
                <c:ptCount val="4"/>
                <c:pt idx="0">
                  <c:v>Počítače celkem</c:v>
                </c:pt>
                <c:pt idx="1">
                  <c:v>stolní</c:v>
                </c:pt>
                <c:pt idx="2">
                  <c:v>přenosné</c:v>
                </c:pt>
                <c:pt idx="3">
                  <c:v>tablety</c:v>
                </c:pt>
              </c:strCache>
            </c:strRef>
          </c:cat>
          <c:val>
            <c:numRef>
              <c:f>F_CZ!$C$18:$C$21</c:f>
              <c:numCache>
                <c:formatCode>0%</c:formatCode>
                <c:ptCount val="4"/>
                <c:pt idx="0">
                  <c:v>0.76559414166803552</c:v>
                </c:pt>
                <c:pt idx="1">
                  <c:v>0.77894922071392658</c:v>
                </c:pt>
                <c:pt idx="2">
                  <c:v>0.77655250732173819</c:v>
                </c:pt>
                <c:pt idx="3">
                  <c:v>0.66283694211224042</c:v>
                </c:pt>
              </c:numCache>
            </c:numRef>
          </c:val>
        </c:ser>
        <c:ser>
          <c:idx val="2"/>
          <c:order val="2"/>
          <c:tx>
            <c:strRef>
              <c:f>F_CZ!$D$17</c:f>
              <c:strCache>
                <c:ptCount val="1"/>
                <c:pt idx="0">
                  <c:v> 10 a více let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Lbls>
            <c:dLbl>
              <c:idx val="0"/>
              <c:layout>
                <c:manualLayout>
                  <c:x val="-1.924856511688737E-17"/>
                  <c:y val="5.1757936507936505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1997354497354498E-3"/>
                  <c:y val="-8.9273809523809523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3.6984126984126986E-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F_CZ!$A$18:$A$21</c:f>
              <c:strCache>
                <c:ptCount val="4"/>
                <c:pt idx="0">
                  <c:v>Počítače celkem</c:v>
                </c:pt>
                <c:pt idx="1">
                  <c:v>stolní</c:v>
                </c:pt>
                <c:pt idx="2">
                  <c:v>přenosné</c:v>
                </c:pt>
                <c:pt idx="3">
                  <c:v>tablety</c:v>
                </c:pt>
              </c:strCache>
            </c:strRef>
          </c:cat>
          <c:val>
            <c:numRef>
              <c:f>F_CZ!$D$18:$D$21</c:f>
              <c:numCache>
                <c:formatCode>0%</c:formatCode>
                <c:ptCount val="4"/>
                <c:pt idx="0">
                  <c:v>6.4867198154182321E-2</c:v>
                </c:pt>
                <c:pt idx="1">
                  <c:v>8.1734539969834097E-2</c:v>
                </c:pt>
                <c:pt idx="2">
                  <c:v>2.1636483174944716E-2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0"/>
        <c:overlap val="100"/>
        <c:axId val="48453632"/>
        <c:axId val="49201728"/>
      </c:barChart>
      <c:catAx>
        <c:axId val="48453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9201728"/>
        <c:crosses val="autoZero"/>
        <c:auto val="1"/>
        <c:lblAlgn val="ctr"/>
        <c:lblOffset val="40"/>
        <c:noMultiLvlLbl val="0"/>
      </c:catAx>
      <c:valAx>
        <c:axId val="49201728"/>
        <c:scaling>
          <c:orientation val="minMax"/>
          <c:max val="1"/>
          <c:min val="0"/>
        </c:scaling>
        <c:delete val="0"/>
        <c:axPos val="l"/>
        <c:numFmt formatCode="0%" sourceLinked="1"/>
        <c:majorTickMark val="none"/>
        <c:minorTickMark val="none"/>
        <c:tickLblPos val="none"/>
        <c:spPr>
          <a:ln w="9525">
            <a:noFill/>
          </a:ln>
        </c:spPr>
        <c:crossAx val="48453632"/>
        <c:crosses val="autoZero"/>
        <c:crossBetween val="between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2.3247023809523811E-2"/>
          <c:y val="0.17134920634920636"/>
          <c:w val="0.9499804894179894"/>
          <c:h val="7.481706349206349E-2"/>
        </c:manualLayout>
      </c:layout>
      <c:overlay val="0"/>
      <c:spPr>
        <a:noFill/>
        <a:ln w="9525"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949831649831689E-2"/>
          <c:y val="0.17283919753086427"/>
          <c:w val="0.90411750841750838"/>
          <c:h val="0.5337040123456794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F_CZ!$B$64</c:f>
              <c:strCache>
                <c:ptCount val="1"/>
                <c:pt idx="0">
                  <c:v> mají přístup na internet a používají ho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</c:dPt>
          <c:dPt>
            <c:idx val="10"/>
            <c:invertIfNegative val="0"/>
            <c:bubble3D val="0"/>
            <c:spPr>
              <a:solidFill>
                <a:srgbClr val="009BB4"/>
              </a:solidFill>
              <a:ln w="15875">
                <a:solidFill>
                  <a:srgbClr val="C00000"/>
                </a:solidFill>
              </a:ln>
            </c:spPr>
          </c:dPt>
          <c:dLbls>
            <c:dLbl>
              <c:idx val="27"/>
              <c:numFmt formatCode="0%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8"/>
              <c:numFmt formatCode="0%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 rot="-5400000" vert="horz"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F_CZ!$A$65:$A$89</c:f>
              <c:strCache>
                <c:ptCount val="25"/>
                <c:pt idx="0">
                  <c:v>Velká Británie</c:v>
                </c:pt>
                <c:pt idx="1">
                  <c:v>Nizozemsko</c:v>
                </c:pt>
                <c:pt idx="2">
                  <c:v>Finsko</c:v>
                </c:pt>
                <c:pt idx="3">
                  <c:v>Bulharsko</c:v>
                </c:pt>
                <c:pt idx="4">
                  <c:v>Rakousko</c:v>
                </c:pt>
                <c:pt idx="5">
                  <c:v>Slovensko</c:v>
                </c:pt>
                <c:pt idx="6">
                  <c:v>Česko</c:v>
                </c:pt>
                <c:pt idx="7">
                  <c:v>Francie</c:v>
                </c:pt>
                <c:pt idx="8">
                  <c:v>Švédsko</c:v>
                </c:pt>
                <c:pt idx="9">
                  <c:v>Slovinsko</c:v>
                </c:pt>
                <c:pt idx="10">
                  <c:v>EU28</c:v>
                </c:pt>
                <c:pt idx="11">
                  <c:v>Lucembursko</c:v>
                </c:pt>
                <c:pt idx="12">
                  <c:v>Litva</c:v>
                </c:pt>
                <c:pt idx="13">
                  <c:v>Maďarsko</c:v>
                </c:pt>
                <c:pt idx="14">
                  <c:v>Řecko</c:v>
                </c:pt>
                <c:pt idx="15">
                  <c:v>Španělsko</c:v>
                </c:pt>
                <c:pt idx="16">
                  <c:v>Portugalsko</c:v>
                </c:pt>
                <c:pt idx="17">
                  <c:v>Irsko</c:v>
                </c:pt>
                <c:pt idx="18">
                  <c:v>Belgie</c:v>
                </c:pt>
                <c:pt idx="19">
                  <c:v>Chorvatsko</c:v>
                </c:pt>
                <c:pt idx="20">
                  <c:v>Dánsko</c:v>
                </c:pt>
                <c:pt idx="21">
                  <c:v>Estonsko</c:v>
                </c:pt>
                <c:pt idx="22">
                  <c:v>Itálie</c:v>
                </c:pt>
                <c:pt idx="23">
                  <c:v>Polsko</c:v>
                </c:pt>
                <c:pt idx="24">
                  <c:v>Lotyšsko</c:v>
                </c:pt>
              </c:strCache>
            </c:strRef>
          </c:cat>
          <c:val>
            <c:numRef>
              <c:f>F_CZ!$B$65:$B$89</c:f>
              <c:numCache>
                <c:formatCode>0.0%</c:formatCode>
                <c:ptCount val="25"/>
                <c:pt idx="0">
                  <c:v>0.90110331852583425</c:v>
                </c:pt>
                <c:pt idx="1">
                  <c:v>0.86282694443380692</c:v>
                </c:pt>
                <c:pt idx="2">
                  <c:v>0.82068165662763293</c:v>
                </c:pt>
                <c:pt idx="3">
                  <c:v>0.80597365945437449</c:v>
                </c:pt>
                <c:pt idx="4">
                  <c:v>0.79679018865710172</c:v>
                </c:pt>
                <c:pt idx="5">
                  <c:v>0.7820071494770291</c:v>
                </c:pt>
                <c:pt idx="6">
                  <c:v>0.77626877265665462</c:v>
                </c:pt>
                <c:pt idx="7">
                  <c:v>0.75321768411608969</c:v>
                </c:pt>
                <c:pt idx="8">
                  <c:v>0.7358393911304093</c:v>
                </c:pt>
                <c:pt idx="9">
                  <c:v>0.72220815396302873</c:v>
                </c:pt>
                <c:pt idx="10">
                  <c:v>0.71399589575032529</c:v>
                </c:pt>
                <c:pt idx="11">
                  <c:v>0.70998003992015968</c:v>
                </c:pt>
                <c:pt idx="12">
                  <c:v>0.70140149589717526</c:v>
                </c:pt>
                <c:pt idx="13">
                  <c:v>0.69198243412797988</c:v>
                </c:pt>
                <c:pt idx="14">
                  <c:v>0.68494187859083422</c:v>
                </c:pt>
                <c:pt idx="15">
                  <c:v>0.67960793441435852</c:v>
                </c:pt>
                <c:pt idx="16">
                  <c:v>0.65154980504911886</c:v>
                </c:pt>
                <c:pt idx="17">
                  <c:v>0.65098523452581791</c:v>
                </c:pt>
                <c:pt idx="18">
                  <c:v>0.65005763803315175</c:v>
                </c:pt>
                <c:pt idx="19">
                  <c:v>0.60080113709781624</c:v>
                </c:pt>
                <c:pt idx="20">
                  <c:v>0.58052441431710677</c:v>
                </c:pt>
                <c:pt idx="21">
                  <c:v>0.57761453701913779</c:v>
                </c:pt>
                <c:pt idx="22">
                  <c:v>0.57172651878184833</c:v>
                </c:pt>
                <c:pt idx="23">
                  <c:v>0.54528482214940399</c:v>
                </c:pt>
                <c:pt idx="24">
                  <c:v>0.51502321770008197</c:v>
                </c:pt>
              </c:numCache>
            </c:numRef>
          </c:val>
        </c:ser>
        <c:ser>
          <c:idx val="1"/>
          <c:order val="1"/>
          <c:tx>
            <c:strRef>
              <c:f>F_CZ!$C$64</c:f>
              <c:strCache>
                <c:ptCount val="1"/>
                <c:pt idx="0">
                  <c:v> mají přístup na internet, ale nepoužívají ho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</c:dPt>
          <c:dPt>
            <c:idx val="10"/>
            <c:invertIfNegative val="0"/>
            <c:bubble3D val="0"/>
            <c:spPr>
              <a:solidFill>
                <a:srgbClr val="47E5FF"/>
              </a:solidFill>
              <a:ln w="15875">
                <a:solidFill>
                  <a:srgbClr val="C00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2.743827160493828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3518518518518518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3.919753086419753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F_CZ!$A$65:$A$89</c:f>
              <c:strCache>
                <c:ptCount val="25"/>
                <c:pt idx="0">
                  <c:v>Velká Británie</c:v>
                </c:pt>
                <c:pt idx="1">
                  <c:v>Nizozemsko</c:v>
                </c:pt>
                <c:pt idx="2">
                  <c:v>Finsko</c:v>
                </c:pt>
                <c:pt idx="3">
                  <c:v>Bulharsko</c:v>
                </c:pt>
                <c:pt idx="4">
                  <c:v>Rakousko</c:v>
                </c:pt>
                <c:pt idx="5">
                  <c:v>Slovensko</c:v>
                </c:pt>
                <c:pt idx="6">
                  <c:v>Česko</c:v>
                </c:pt>
                <c:pt idx="7">
                  <c:v>Francie</c:v>
                </c:pt>
                <c:pt idx="8">
                  <c:v>Švédsko</c:v>
                </c:pt>
                <c:pt idx="9">
                  <c:v>Slovinsko</c:v>
                </c:pt>
                <c:pt idx="10">
                  <c:v>EU28</c:v>
                </c:pt>
                <c:pt idx="11">
                  <c:v>Lucembursko</c:v>
                </c:pt>
                <c:pt idx="12">
                  <c:v>Litva</c:v>
                </c:pt>
                <c:pt idx="13">
                  <c:v>Maďarsko</c:v>
                </c:pt>
                <c:pt idx="14">
                  <c:v>Řecko</c:v>
                </c:pt>
                <c:pt idx="15">
                  <c:v>Španělsko</c:v>
                </c:pt>
                <c:pt idx="16">
                  <c:v>Portugalsko</c:v>
                </c:pt>
                <c:pt idx="17">
                  <c:v>Irsko</c:v>
                </c:pt>
                <c:pt idx="18">
                  <c:v>Belgie</c:v>
                </c:pt>
                <c:pt idx="19">
                  <c:v>Chorvatsko</c:v>
                </c:pt>
                <c:pt idx="20">
                  <c:v>Dánsko</c:v>
                </c:pt>
                <c:pt idx="21">
                  <c:v>Estonsko</c:v>
                </c:pt>
                <c:pt idx="22">
                  <c:v>Itálie</c:v>
                </c:pt>
                <c:pt idx="23">
                  <c:v>Polsko</c:v>
                </c:pt>
                <c:pt idx="24">
                  <c:v>Lotyšsko</c:v>
                </c:pt>
              </c:strCache>
            </c:strRef>
          </c:cat>
          <c:val>
            <c:numRef>
              <c:f>F_CZ!$C$65:$C$89</c:f>
              <c:numCache>
                <c:formatCode>0.0%</c:formatCode>
                <c:ptCount val="25"/>
                <c:pt idx="0">
                  <c:v>6.6235841221710501E-2</c:v>
                </c:pt>
                <c:pt idx="1">
                  <c:v>7.6190840905733873E-2</c:v>
                </c:pt>
                <c:pt idx="2">
                  <c:v>0.11307942683976206</c:v>
                </c:pt>
                <c:pt idx="3">
                  <c:v>8.9070383990421609E-2</c:v>
                </c:pt>
                <c:pt idx="4">
                  <c:v>0.14342927559193733</c:v>
                </c:pt>
                <c:pt idx="5">
                  <c:v>0.11531841652323579</c:v>
                </c:pt>
                <c:pt idx="6">
                  <c:v>0.12753754531330916</c:v>
                </c:pt>
                <c:pt idx="7">
                  <c:v>0.16093951981378121</c:v>
                </c:pt>
                <c:pt idx="8">
                  <c:v>0.1705981363126311</c:v>
                </c:pt>
                <c:pt idx="9">
                  <c:v>0.17713345150671056</c:v>
                </c:pt>
                <c:pt idx="10">
                  <c:v>0.18405696848739192</c:v>
                </c:pt>
                <c:pt idx="11">
                  <c:v>0.19660678642714571</c:v>
                </c:pt>
                <c:pt idx="12">
                  <c:v>0.23800014523273547</c:v>
                </c:pt>
                <c:pt idx="13">
                  <c:v>0.2029987452948557</c:v>
                </c:pt>
                <c:pt idx="14">
                  <c:v>0.23408898588161939</c:v>
                </c:pt>
                <c:pt idx="15">
                  <c:v>0.20656373651951276</c:v>
                </c:pt>
                <c:pt idx="16">
                  <c:v>0.29326493715829138</c:v>
                </c:pt>
                <c:pt idx="17">
                  <c:v>0.27200473051705248</c:v>
                </c:pt>
                <c:pt idx="18">
                  <c:v>0.1966251937830425</c:v>
                </c:pt>
                <c:pt idx="19">
                  <c:v>0.23367360124047035</c:v>
                </c:pt>
                <c:pt idx="20">
                  <c:v>0.33496592051845503</c:v>
                </c:pt>
                <c:pt idx="21">
                  <c:v>0.32630968490237772</c:v>
                </c:pt>
                <c:pt idx="22">
                  <c:v>0.25044771853353759</c:v>
                </c:pt>
                <c:pt idx="23">
                  <c:v>0.28917937028066676</c:v>
                </c:pt>
                <c:pt idx="24">
                  <c:v>0.40016388964763727</c:v>
                </c:pt>
              </c:numCache>
            </c:numRef>
          </c:val>
        </c:ser>
        <c:ser>
          <c:idx val="2"/>
          <c:order val="2"/>
          <c:tx>
            <c:strRef>
              <c:f>F_CZ!$D$64</c:f>
              <c:strCache>
                <c:ptCount val="1"/>
                <c:pt idx="0">
                  <c:v> nemají přístup na internet</c:v>
                </c:pt>
              </c:strCache>
            </c:strRef>
          </c:tx>
          <c:spPr>
            <a:solidFill>
              <a:srgbClr val="ABF3FF"/>
            </a:solidFill>
          </c:spPr>
          <c:invertIfNegative val="0"/>
          <c:dPt>
            <c:idx val="6"/>
            <c:invertIfNegative val="0"/>
            <c:bubble3D val="0"/>
            <c:spPr>
              <a:solidFill>
                <a:srgbClr val="ABF3FF"/>
              </a:solidFill>
              <a:ln w="15875">
                <a:solidFill>
                  <a:srgbClr val="C00000"/>
                </a:solidFill>
              </a:ln>
            </c:spPr>
          </c:dPt>
          <c:dPt>
            <c:idx val="10"/>
            <c:invertIfNegative val="0"/>
            <c:bubble3D val="0"/>
            <c:spPr>
              <a:solidFill>
                <a:srgbClr val="ABF3FF"/>
              </a:solidFill>
              <a:ln w="15875">
                <a:solidFill>
                  <a:srgbClr val="C00000"/>
                </a:solidFill>
              </a:ln>
            </c:spPr>
          </c:dPt>
          <c:dLbls>
            <c:numFmt formatCode="0%" sourceLinked="0"/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F_CZ!$A$65:$A$89</c:f>
              <c:strCache>
                <c:ptCount val="25"/>
                <c:pt idx="0">
                  <c:v>Velká Británie</c:v>
                </c:pt>
                <c:pt idx="1">
                  <c:v>Nizozemsko</c:v>
                </c:pt>
                <c:pt idx="2">
                  <c:v>Finsko</c:v>
                </c:pt>
                <c:pt idx="3">
                  <c:v>Bulharsko</c:v>
                </c:pt>
                <c:pt idx="4">
                  <c:v>Rakousko</c:v>
                </c:pt>
                <c:pt idx="5">
                  <c:v>Slovensko</c:v>
                </c:pt>
                <c:pt idx="6">
                  <c:v>Česko</c:v>
                </c:pt>
                <c:pt idx="7">
                  <c:v>Francie</c:v>
                </c:pt>
                <c:pt idx="8">
                  <c:v>Švédsko</c:v>
                </c:pt>
                <c:pt idx="9">
                  <c:v>Slovinsko</c:v>
                </c:pt>
                <c:pt idx="10">
                  <c:v>EU28</c:v>
                </c:pt>
                <c:pt idx="11">
                  <c:v>Lucembursko</c:v>
                </c:pt>
                <c:pt idx="12">
                  <c:v>Litva</c:v>
                </c:pt>
                <c:pt idx="13">
                  <c:v>Maďarsko</c:v>
                </c:pt>
                <c:pt idx="14">
                  <c:v>Řecko</c:v>
                </c:pt>
                <c:pt idx="15">
                  <c:v>Španělsko</c:v>
                </c:pt>
                <c:pt idx="16">
                  <c:v>Portugalsko</c:v>
                </c:pt>
                <c:pt idx="17">
                  <c:v>Irsko</c:v>
                </c:pt>
                <c:pt idx="18">
                  <c:v>Belgie</c:v>
                </c:pt>
                <c:pt idx="19">
                  <c:v>Chorvatsko</c:v>
                </c:pt>
                <c:pt idx="20">
                  <c:v>Dánsko</c:v>
                </c:pt>
                <c:pt idx="21">
                  <c:v>Estonsko</c:v>
                </c:pt>
                <c:pt idx="22">
                  <c:v>Itálie</c:v>
                </c:pt>
                <c:pt idx="23">
                  <c:v>Polsko</c:v>
                </c:pt>
                <c:pt idx="24">
                  <c:v>Lotyšsko</c:v>
                </c:pt>
              </c:strCache>
            </c:strRef>
          </c:cat>
          <c:val>
            <c:numRef>
              <c:f>F_CZ!$D$65:$D$89</c:f>
              <c:numCache>
                <c:formatCode>0.0%</c:formatCode>
                <c:ptCount val="25"/>
                <c:pt idx="0">
                  <c:v>3.2660840252455275E-2</c:v>
                </c:pt>
                <c:pt idx="1">
                  <c:v>6.0982214660459215E-2</c:v>
                </c:pt>
                <c:pt idx="2">
                  <c:v>6.6238916532605038E-2</c:v>
                </c:pt>
                <c:pt idx="3">
                  <c:v>0.10495595655520397</c:v>
                </c:pt>
                <c:pt idx="4">
                  <c:v>5.9780535750960893E-2</c:v>
                </c:pt>
                <c:pt idx="5">
                  <c:v>0.10267443399973521</c:v>
                </c:pt>
                <c:pt idx="6">
                  <c:v>9.619368203003624E-2</c:v>
                </c:pt>
                <c:pt idx="7">
                  <c:v>8.5842796070129082E-2</c:v>
                </c:pt>
                <c:pt idx="8">
                  <c:v>9.3562472556959542E-2</c:v>
                </c:pt>
                <c:pt idx="9">
                  <c:v>0.10065839453026083</c:v>
                </c:pt>
                <c:pt idx="10">
                  <c:v>0.10194713576228279</c:v>
                </c:pt>
                <c:pt idx="11">
                  <c:v>9.3413173652694609E-2</c:v>
                </c:pt>
                <c:pt idx="12">
                  <c:v>6.0598358870089318E-2</c:v>
                </c:pt>
                <c:pt idx="13">
                  <c:v>0.10501882057716436</c:v>
                </c:pt>
                <c:pt idx="14">
                  <c:v>8.0969135527546421E-2</c:v>
                </c:pt>
                <c:pt idx="15">
                  <c:v>0.11382832906612875</c:v>
                </c:pt>
                <c:pt idx="16">
                  <c:v>5.518525779258969E-2</c:v>
                </c:pt>
                <c:pt idx="17">
                  <c:v>7.7010034957129686E-2</c:v>
                </c:pt>
                <c:pt idx="18">
                  <c:v>0.1533171681838057</c:v>
                </c:pt>
                <c:pt idx="19">
                  <c:v>0.16552526166171341</c:v>
                </c:pt>
                <c:pt idx="20">
                  <c:v>8.4509665164438155E-2</c:v>
                </c:pt>
                <c:pt idx="21">
                  <c:v>9.6075778078484428E-2</c:v>
                </c:pt>
                <c:pt idx="22">
                  <c:v>0.17782576268461411</c:v>
                </c:pt>
                <c:pt idx="23">
                  <c:v>0.16553580756992925</c:v>
                </c:pt>
                <c:pt idx="24">
                  <c:v>8.48128926522808E-2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100"/>
        <c:axId val="48452096"/>
        <c:axId val="49203456"/>
      </c:barChart>
      <c:catAx>
        <c:axId val="48452096"/>
        <c:scaling>
          <c:orientation val="minMax"/>
        </c:scaling>
        <c:delete val="0"/>
        <c:axPos val="b"/>
        <c:numFmt formatCode="#,##0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9203456"/>
        <c:crosses val="autoZero"/>
        <c:auto val="1"/>
        <c:lblAlgn val="ctr"/>
        <c:lblOffset val="100"/>
        <c:noMultiLvlLbl val="0"/>
      </c:catAx>
      <c:valAx>
        <c:axId val="49203456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48452096"/>
        <c:crosses val="autoZero"/>
        <c:crossBetween val="between"/>
        <c:majorUnit val="0.1"/>
        <c:minorUnit val="5.0000000000000024E-2"/>
      </c:val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t"/>
      <c:layout>
        <c:manualLayout>
          <c:xMode val="edge"/>
          <c:yMode val="edge"/>
          <c:x val="6.6699539776462841E-2"/>
          <c:y val="8.6999074074074062E-2"/>
          <c:w val="0.90208744247205785"/>
          <c:h val="5.8191049382716062E-2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chemeClr val="bg1"/>
    </a:solidFill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100246913580299"/>
          <c:y val="0.17899831950358547"/>
          <c:w val="0.65689104885628169"/>
          <c:h val="0.5962990901847555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F_CZ!$B$93</c:f>
              <c:strCache>
                <c:ptCount val="1"/>
                <c:pt idx="0">
                  <c:v> jednotlivci (16+) celkem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F_CZ!$A$94:$A$98</c:f>
              <c:strCache>
                <c:ptCount val="5"/>
                <c:pt idx="0">
                  <c:v>internetové bankovnictví</c:v>
                </c:pt>
                <c:pt idx="1">
                  <c:v>nakupování on-line</c:v>
                </c:pt>
                <c:pt idx="2">
                  <c:v> hraní her </c:v>
                </c:pt>
                <c:pt idx="3">
                  <c:v>čtení on-line zpráv</c:v>
                </c:pt>
                <c:pt idx="4">
                  <c:v>účast v sociální sítích</c:v>
                </c:pt>
              </c:strCache>
            </c:strRef>
          </c:cat>
          <c:val>
            <c:numRef>
              <c:f>F_CZ!$B$94:$B$98</c:f>
              <c:numCache>
                <c:formatCode>###0.0%</c:formatCode>
                <c:ptCount val="5"/>
                <c:pt idx="0">
                  <c:v>0.48017399758345397</c:v>
                </c:pt>
                <c:pt idx="1">
                  <c:v>0.27366655669474466</c:v>
                </c:pt>
                <c:pt idx="2">
                  <c:v>0.19366293388150299</c:v>
                </c:pt>
                <c:pt idx="3">
                  <c:v>0.66186212923015331</c:v>
                </c:pt>
                <c:pt idx="4">
                  <c:v>0.41020998649582369</c:v>
                </c:pt>
              </c:numCache>
            </c:numRef>
          </c:val>
        </c:ser>
        <c:ser>
          <c:idx val="1"/>
          <c:order val="1"/>
          <c:tx>
            <c:strRef>
              <c:f>F_CZ!$C$93</c:f>
              <c:strCache>
                <c:ptCount val="1"/>
                <c:pt idx="0">
                  <c:v> studenti (16+)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dLbl>
              <c:idx val="1"/>
              <c:layout>
                <c:manualLayout>
                  <c:x val="-0.10940800612608259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F_CZ!$A$94:$A$98</c:f>
              <c:strCache>
                <c:ptCount val="5"/>
                <c:pt idx="0">
                  <c:v>internetové bankovnictví</c:v>
                </c:pt>
                <c:pt idx="1">
                  <c:v>nakupování on-line</c:v>
                </c:pt>
                <c:pt idx="2">
                  <c:v> hraní her </c:v>
                </c:pt>
                <c:pt idx="3">
                  <c:v>čtení on-line zpráv</c:v>
                </c:pt>
                <c:pt idx="4">
                  <c:v>účast v sociální sítích</c:v>
                </c:pt>
              </c:strCache>
            </c:strRef>
          </c:cat>
          <c:val>
            <c:numRef>
              <c:f>F_CZ!$C$94:$C$98</c:f>
              <c:numCache>
                <c:formatCode>###0.0%</c:formatCode>
                <c:ptCount val="5"/>
                <c:pt idx="0">
                  <c:v>0.34191760358565693</c:v>
                </c:pt>
                <c:pt idx="1">
                  <c:v>0.37522565127173635</c:v>
                </c:pt>
                <c:pt idx="2">
                  <c:v>0.63214397413143131</c:v>
                </c:pt>
                <c:pt idx="3">
                  <c:v>0.83536049428433612</c:v>
                </c:pt>
                <c:pt idx="4">
                  <c:v>0.93808200552249632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9"/>
        <c:axId val="49225216"/>
        <c:axId val="219635008"/>
      </c:barChart>
      <c:catAx>
        <c:axId val="492252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196350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19635008"/>
        <c:scaling>
          <c:orientation val="minMax"/>
          <c:max val="1.2"/>
          <c:min val="0"/>
        </c:scaling>
        <c:delete val="0"/>
        <c:axPos val="b"/>
        <c:numFmt formatCode="###0.0%" sourceLinked="1"/>
        <c:majorTickMark val="none"/>
        <c:minorTickMark val="none"/>
        <c:tickLblPos val="none"/>
        <c:spPr>
          <a:ln w="9525">
            <a:noFill/>
          </a:ln>
        </c:spPr>
        <c:crossAx val="49225216"/>
        <c:crosses val="autoZero"/>
        <c:crossBetween val="between"/>
        <c:majorUnit val="0.2"/>
        <c:minorUnit val="1.0000000000000005E-2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68276610824240447"/>
          <c:y val="0.4965014991555099"/>
          <c:w val="0.24608674657507573"/>
          <c:h val="0.25070963326718337"/>
        </c:manualLayout>
      </c:layout>
      <c:overlay val="0"/>
      <c:spPr>
        <a:ln>
          <a:solidFill>
            <a:schemeClr val="bg1">
              <a:lumMod val="65000"/>
            </a:schemeClr>
          </a:solidFill>
        </a:ln>
      </c:spPr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3946405228758169E-2"/>
          <c:y val="0.17630399559781113"/>
          <c:w val="0.96792647058823533"/>
          <c:h val="0.481390357983552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F_CZ!$C$101</c:f>
              <c:strCache>
                <c:ptCount val="1"/>
                <c:pt idx="0">
                  <c:v> studenti (16+)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9.9084967320261521E-4"/>
                  <c:y val="0.1268140177106579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0.1373042707346151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F_CZ!$A$102:$B$110</c:f>
              <c:multiLvlStrCache>
                <c:ptCount val="9"/>
                <c:lvl>
                  <c:pt idx="0">
                    <c:v>2015</c:v>
                  </c:pt>
                  <c:pt idx="1">
                    <c:v>2016</c:v>
                  </c:pt>
                  <c:pt idx="2">
                    <c:v>2017</c:v>
                  </c:pt>
                  <c:pt idx="3">
                    <c:v>2015</c:v>
                  </c:pt>
                  <c:pt idx="4">
                    <c:v>2016</c:v>
                  </c:pt>
                  <c:pt idx="5">
                    <c:v>2017</c:v>
                  </c:pt>
                  <c:pt idx="6">
                    <c:v>2015</c:v>
                  </c:pt>
                  <c:pt idx="7">
                    <c:v>2016</c:v>
                  </c:pt>
                  <c:pt idx="8">
                    <c:v>2017</c:v>
                  </c:pt>
                </c:lvl>
                <c:lvl>
                  <c:pt idx="0">
                    <c:v>Celkem</c:v>
                  </c:pt>
                  <c:pt idx="3">
                    <c:v>přes mobilní sítě</c:v>
                  </c:pt>
                  <c:pt idx="6">
                    <c:v>přes Wi-Fi</c:v>
                  </c:pt>
                </c:lvl>
              </c:multiLvlStrCache>
            </c:multiLvlStrRef>
          </c:cat>
          <c:val>
            <c:numRef>
              <c:f>F_CZ!$C$102:$C$110</c:f>
              <c:numCache>
                <c:formatCode>0%</c:formatCode>
                <c:ptCount val="9"/>
                <c:pt idx="0">
                  <c:v>0.8006743372342342</c:v>
                </c:pt>
                <c:pt idx="1">
                  <c:v>0.82151458679550771</c:v>
                </c:pt>
                <c:pt idx="2">
                  <c:v>0.86955212055851971</c:v>
                </c:pt>
                <c:pt idx="3">
                  <c:v>0.51938510959587425</c:v>
                </c:pt>
                <c:pt idx="4">
                  <c:v>0.54562499129937836</c:v>
                </c:pt>
                <c:pt idx="5">
                  <c:v>0.59190008601820909</c:v>
                </c:pt>
                <c:pt idx="6">
                  <c:v>0.54853386103365964</c:v>
                </c:pt>
                <c:pt idx="7">
                  <c:v>0.68413689365525099</c:v>
                </c:pt>
                <c:pt idx="8">
                  <c:v>0.82579575338088607</c:v>
                </c:pt>
              </c:numCache>
            </c:numRef>
          </c:val>
        </c:ser>
        <c:ser>
          <c:idx val="1"/>
          <c:order val="1"/>
          <c:tx>
            <c:strRef>
              <c:f>F_CZ!$D$101</c:f>
              <c:strCache>
                <c:ptCount val="1"/>
                <c:pt idx="0">
                  <c:v> jednotlivci (16+) celkem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9.5110557048149362E-18"/>
                  <c:y val="0.1373042707346152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8044222819259745E-17"/>
                  <c:y val="0.1272248886714968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F_CZ!$A$102:$B$110</c:f>
              <c:multiLvlStrCache>
                <c:ptCount val="9"/>
                <c:lvl>
                  <c:pt idx="0">
                    <c:v>2015</c:v>
                  </c:pt>
                  <c:pt idx="1">
                    <c:v>2016</c:v>
                  </c:pt>
                  <c:pt idx="2">
                    <c:v>2017</c:v>
                  </c:pt>
                  <c:pt idx="3">
                    <c:v>2015</c:v>
                  </c:pt>
                  <c:pt idx="4">
                    <c:v>2016</c:v>
                  </c:pt>
                  <c:pt idx="5">
                    <c:v>2017</c:v>
                  </c:pt>
                  <c:pt idx="6">
                    <c:v>2015</c:v>
                  </c:pt>
                  <c:pt idx="7">
                    <c:v>2016</c:v>
                  </c:pt>
                  <c:pt idx="8">
                    <c:v>2017</c:v>
                  </c:pt>
                </c:lvl>
                <c:lvl>
                  <c:pt idx="0">
                    <c:v>Celkem</c:v>
                  </c:pt>
                  <c:pt idx="3">
                    <c:v>přes mobilní sítě</c:v>
                  </c:pt>
                  <c:pt idx="6">
                    <c:v>přes Wi-Fi</c:v>
                  </c:pt>
                </c:lvl>
              </c:multiLvlStrCache>
            </c:multiLvlStrRef>
          </c:cat>
          <c:val>
            <c:numRef>
              <c:f>F_CZ!$D$102:$D$110</c:f>
              <c:numCache>
                <c:formatCode>0%</c:formatCode>
                <c:ptCount val="9"/>
                <c:pt idx="0">
                  <c:v>0.36999594668693847</c:v>
                </c:pt>
                <c:pt idx="1">
                  <c:v>0.41214370282827539</c:v>
                </c:pt>
                <c:pt idx="2">
                  <c:v>0.50371415082770532</c:v>
                </c:pt>
                <c:pt idx="3">
                  <c:v>0.26937485913091186</c:v>
                </c:pt>
                <c:pt idx="4">
                  <c:v>0.30604783268458574</c:v>
                </c:pt>
                <c:pt idx="5">
                  <c:v>0.3604229854876751</c:v>
                </c:pt>
                <c:pt idx="6">
                  <c:v>0.234908637887426</c:v>
                </c:pt>
                <c:pt idx="7">
                  <c:v>0.30791327381295841</c:v>
                </c:pt>
                <c:pt idx="8">
                  <c:v>0.46328989424958633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7"/>
        <c:axId val="223438336"/>
        <c:axId val="49206336"/>
      </c:barChart>
      <c:catAx>
        <c:axId val="223438336"/>
        <c:scaling>
          <c:orientation val="minMax"/>
        </c:scaling>
        <c:delete val="0"/>
        <c:axPos val="b"/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9206336"/>
        <c:crosses val="autoZero"/>
        <c:auto val="1"/>
        <c:lblAlgn val="ctr"/>
        <c:lblOffset val="40"/>
        <c:noMultiLvlLbl val="0"/>
      </c:catAx>
      <c:valAx>
        <c:axId val="49206336"/>
        <c:scaling>
          <c:orientation val="minMax"/>
          <c:max val="1"/>
        </c:scaling>
        <c:delete val="0"/>
        <c:axPos val="l"/>
        <c:numFmt formatCode="0%" sourceLinked="1"/>
        <c:majorTickMark val="none"/>
        <c:minorTickMark val="none"/>
        <c:tickLblPos val="none"/>
        <c:spPr>
          <a:ln w="9525">
            <a:noFill/>
          </a:ln>
        </c:spPr>
        <c:txPr>
          <a:bodyPr/>
          <a:lstStyle/>
          <a:p>
            <a:pPr>
              <a:defRPr>
                <a:solidFill>
                  <a:sysClr val="windowText" lastClr="000000"/>
                </a:solidFill>
              </a:defRPr>
            </a:pPr>
            <a:endParaRPr lang="cs-CZ"/>
          </a:p>
        </c:txPr>
        <c:crossAx val="223438336"/>
        <c:crosses val="autoZero"/>
        <c:crossBetween val="between"/>
        <c:majorUnit val="0.25"/>
        <c:minorUnit val="1.0000000000000005E-2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31147058823529417"/>
          <c:y val="0.21834979059032131"/>
          <c:w val="0.45591503267973865"/>
          <c:h val="0.12658371801534651"/>
        </c:manualLayout>
      </c:layout>
      <c:overlay val="0"/>
      <c:spPr>
        <a:noFill/>
        <a:ln w="9525"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0.03748</cdr:x>
      <cdr:y>0.87254</cdr:y>
    </cdr:from>
    <cdr:to>
      <cdr:x>0.90069</cdr:x>
      <cdr:y>0.93956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07950" y="2355850"/>
          <a:ext cx="2486036" cy="1809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* podíl z celkového počtu škol daného stupně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0.09371</cdr:x>
      <cdr:y>0.92193</cdr:y>
    </cdr:from>
    <cdr:to>
      <cdr:x>0.99424</cdr:x>
      <cdr:y>0.98896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69875" y="2489200"/>
          <a:ext cx="2593533" cy="1809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Česká školní inspekce, 2018</a:t>
          </a:r>
          <a:endParaRPr lang="en-US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pPr algn="r"/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</cdr:x>
      <cdr:y>0.86783</cdr:y>
    </cdr:from>
    <cdr:to>
      <cdr:x>0.98538</cdr:x>
      <cdr:y>0.99162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343151"/>
          <a:ext cx="2908842" cy="33422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0.03227</cdr:x>
      <cdr:y>0.02469</cdr:y>
    </cdr:from>
    <cdr:to>
      <cdr:x>0.98735</cdr:x>
      <cdr:y>0.15169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95250" y="66676"/>
          <a:ext cx="2819400" cy="342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F10 Jednotlivci v Česku, kteří  v roce 2017 použili textový editor (%) 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0.04359</cdr:x>
      <cdr:y>0.86078</cdr:y>
    </cdr:from>
    <cdr:to>
      <cdr:x>0.9917</cdr:x>
      <cdr:y>0.9913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36524" y="2324101"/>
          <a:ext cx="2969480" cy="35241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0.01521</cdr:x>
      <cdr:y>0.01411</cdr:y>
    </cdr:from>
    <cdr:to>
      <cdr:x>0.9823</cdr:x>
      <cdr:y>0.13758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47626" y="38099"/>
          <a:ext cx="3028950" cy="3333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F11 Jednotlivci v Česku, kteří v roce 2017 programovali (%)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0.23732</cdr:x>
      <cdr:y>0.91509</cdr:y>
    </cdr:from>
    <cdr:to>
      <cdr:x>0.96898</cdr:x>
      <cdr:y>0.98227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409700" y="2635461"/>
          <a:ext cx="4346025" cy="1934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Eurostat 2018</a:t>
          </a:r>
        </a:p>
      </cdr:txBody>
    </cdr:sp>
  </cdr:relSizeAnchor>
  <cdr:relSizeAnchor xmlns:cdr="http://schemas.openxmlformats.org/drawingml/2006/chartDrawing">
    <cdr:from>
      <cdr:x>0.05793</cdr:x>
      <cdr:y>0.02646</cdr:y>
    </cdr:from>
    <cdr:to>
      <cdr:x>0.98005</cdr:x>
      <cdr:y>0.09995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352425" y="85725"/>
          <a:ext cx="5610225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 rtl="0"/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F1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Jednotlivci v zemích EU,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k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teří 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v roce 2017 p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oužili tabulkový editor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*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;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(%)**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0.03131</cdr:x>
      <cdr:y>0.80257</cdr:y>
    </cdr:from>
    <cdr:to>
      <cdr:x>0.764</cdr:x>
      <cdr:y>0.92944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190500" y="2600324"/>
          <a:ext cx="4457700" cy="411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např. MS Excel nebo OpenOffice Calc</a:t>
          </a:r>
        </a:p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** podíl z celkového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počtu jednotlivců ve věku 16 až 74 let v dané  zemi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</cdr:x>
      <cdr:y>0.89082</cdr:y>
    </cdr:from>
    <cdr:to>
      <cdr:x>0.8771</cdr:x>
      <cdr:y>0.97056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417683"/>
          <a:ext cx="2807071" cy="21641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</a:t>
          </a:r>
        </a:p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0.02806</cdr:x>
      <cdr:y>3.68461E-7</cdr:y>
    </cdr:from>
    <cdr:to>
      <cdr:x>0.90558</cdr:x>
      <cdr:y>0.07019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89799" y="1"/>
          <a:ext cx="2808415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 rtl="0"/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F13 Studenti ICT oborů na VŠ celkem  v Česku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pPr algn="ctr"/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0.05167</cdr:x>
      <cdr:y>0.89066</cdr:y>
    </cdr:from>
    <cdr:to>
      <cdr:x>0.99978</cdr:x>
      <cdr:y>0.96709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47674" y="2452872"/>
          <a:ext cx="2709826" cy="2104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</a:t>
          </a:r>
        </a:p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</cdr:x>
      <cdr:y>0</cdr:y>
    </cdr:from>
    <cdr:to>
      <cdr:x>1</cdr:x>
      <cdr:y>0.12782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0"/>
          <a:ext cx="3132000" cy="3524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F14 Studenti ICT oborů na VŠ podle pohlaví </a:t>
          </a:r>
        </a:p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v Česku (%)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0.06082</cdr:x>
      <cdr:y>0.92224</cdr:y>
    </cdr:from>
    <cdr:to>
      <cdr:x>0.96102</cdr:x>
      <cdr:y>0.99478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90501" y="2543173"/>
          <a:ext cx="2819400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ČSÚ, Výběrové šetření pracovních</a:t>
          </a:r>
          <a:r>
            <a:rPr lang="cs-CZ" sz="800" i="1" baseline="0">
              <a:latin typeface="Arial" panose="020B0604020202020204" pitchFamily="34" charset="0"/>
              <a:cs typeface="Arial" panose="020B0604020202020204" pitchFamily="34" charset="0"/>
            </a:rPr>
            <a:t> sil, 2018</a:t>
          </a:r>
          <a:endParaRPr lang="cs-CZ" sz="800" i="1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0.01521</cdr:x>
      <cdr:y>0.88136</cdr:y>
    </cdr:from>
    <cdr:to>
      <cdr:x>0.97014</cdr:x>
      <cdr:y>0.99954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0710" y="2476500"/>
          <a:ext cx="2555894" cy="33207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ČSÚ</a:t>
          </a:r>
          <a:r>
            <a:rPr lang="cs-CZ" sz="800" i="1" baseline="0">
              <a:latin typeface="Arial" panose="020B0604020202020204" pitchFamily="34" charset="0"/>
              <a:cs typeface="Arial" panose="020B0604020202020204" pitchFamily="34" charset="0"/>
            </a:rPr>
            <a:t>, Strukturální mzdová statistika zaměstnanců, 2018</a:t>
          </a:r>
          <a:endParaRPr lang="cs-CZ" sz="800" i="1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0.13891</cdr:x>
      <cdr:y>0.91848</cdr:y>
    </cdr:from>
    <cdr:to>
      <cdr:x>0.98647</cdr:x>
      <cdr:y>0.9903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00050" y="2314576"/>
          <a:ext cx="2440984" cy="1809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Česká školní inspekce, 2018</a:t>
          </a:r>
          <a:endParaRPr lang="en-US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pPr algn="r"/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</cdr:x>
      <cdr:y>0</cdr:y>
    </cdr:from>
    <cdr:to>
      <cdr:x>1</cdr:x>
      <cdr:y>0.12359</cdr:y>
    </cdr:to>
    <cdr:sp macro="" textlink="">
      <cdr:nvSpPr>
        <cdr:cNvPr id="4" name="TextovéPole 1"/>
        <cdr:cNvSpPr txBox="1"/>
      </cdr:nvSpPr>
      <cdr:spPr>
        <a:xfrm xmlns:a="http://schemas.openxmlformats.org/drawingml/2006/main">
          <a:off x="0" y="0"/>
          <a:ext cx="3060000" cy="4762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800" b="1">
              <a:latin typeface="Arial" pitchFamily="34" charset="0"/>
              <a:cs typeface="Arial" pitchFamily="34" charset="0"/>
            </a:rPr>
            <a:t>Graf F2 Základní a střední školy v Česku s vlastními webovými stránkami a školním informačním</a:t>
          </a:r>
          <a:r>
            <a:rPr lang="cs-CZ" sz="800" b="1" baseline="0">
              <a:latin typeface="Arial" pitchFamily="34" charset="0"/>
              <a:cs typeface="Arial" pitchFamily="34" charset="0"/>
            </a:rPr>
            <a:t> systémem (%)*</a:t>
          </a:r>
          <a:endParaRPr lang="cs-CZ" sz="800" b="1"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0.01245</cdr:x>
      <cdr:y>0.85423</cdr:y>
    </cdr:from>
    <cdr:to>
      <cdr:x>0.82488</cdr:x>
      <cdr:y>0.92604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38099" y="2152651"/>
          <a:ext cx="2486025" cy="1809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* podíl z celkového počtu škol daného typu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0.08989</cdr:x>
      <cdr:y>0.902</cdr:y>
    </cdr:from>
    <cdr:to>
      <cdr:x>0.97451</cdr:x>
      <cdr:y>0.97707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71830" y="2273039"/>
          <a:ext cx="2675091" cy="18917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MŠMT ČR,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0.04095</cdr:x>
      <cdr:y>0.0378</cdr:y>
    </cdr:from>
    <cdr:to>
      <cdr:x>0.97644</cdr:x>
      <cdr:y>0.18899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123833" y="95256"/>
          <a:ext cx="2828922" cy="38099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F3 Počet 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přenosných počítačů s přístupem  </a:t>
          </a:r>
        </a:p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na internet 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na 100 žáků v daném typu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škol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v Česku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0.08989</cdr:x>
      <cdr:y>0.902</cdr:y>
    </cdr:from>
    <cdr:to>
      <cdr:x>0.97451</cdr:x>
      <cdr:y>0.97707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71830" y="2273039"/>
          <a:ext cx="2675091" cy="18917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MŠMT ČR,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0.04095</cdr:x>
      <cdr:y>0.0378</cdr:y>
    </cdr:from>
    <cdr:to>
      <cdr:x>0.97644</cdr:x>
      <cdr:y>0.20791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123827" y="95243"/>
          <a:ext cx="2828801" cy="42863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4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Počet tabletů na 100 žáků v daném typu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škol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</a:p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v Česku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0.04359</cdr:x>
      <cdr:y>0.91487</cdr:y>
    </cdr:from>
    <cdr:to>
      <cdr:x>0.9917</cdr:x>
      <cdr:y>0.9913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36525" y="2470150"/>
          <a:ext cx="2969467" cy="2063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MŠMT ČR, 2018</a:t>
          </a:r>
          <a:endParaRPr lang="cs-CZ" sz="4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0.08989</cdr:x>
      <cdr:y>0.902</cdr:y>
    </cdr:from>
    <cdr:to>
      <cdr:x>0.97451</cdr:x>
      <cdr:y>0.97707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71830" y="2273039"/>
          <a:ext cx="2675091" cy="18917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MŠMT ČR, 2018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0.04095</cdr:x>
      <cdr:y>0.01393</cdr:y>
    </cdr:from>
    <cdr:to>
      <cdr:x>0.97644</cdr:x>
      <cdr:y>0.18899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128248" y="38100"/>
          <a:ext cx="2929786" cy="47889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F6 Stáří počítačů dostupných žákům základních </a:t>
          </a:r>
          <a:endParaRPr lang="cs-CZ" sz="800" b="1" i="0" baseline="0">
            <a:effectLst/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a středních škol 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v Česku 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podle jejich typu v roce 2017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(%)</a:t>
          </a:r>
          <a:endParaRPr lang="cs-CZ" sz="1100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0.23732</cdr:x>
      <cdr:y>0.91509</cdr:y>
    </cdr:from>
    <cdr:to>
      <cdr:x>0.96898</cdr:x>
      <cdr:y>0.98227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409700" y="2635461"/>
          <a:ext cx="4346025" cy="1934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OECD 2015,</a:t>
          </a:r>
          <a:r>
            <a:rPr lang="cs-CZ" sz="800" i="1" baseline="0">
              <a:latin typeface="Arial" panose="020B0604020202020204" pitchFamily="34" charset="0"/>
              <a:cs typeface="Arial" panose="020B0604020202020204" pitchFamily="34" charset="0"/>
            </a:rPr>
            <a:t> šetření PISA</a:t>
          </a:r>
          <a:endParaRPr lang="cs-CZ" sz="800" i="1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0.05323</cdr:x>
      <cdr:y>0.90546</cdr:y>
    </cdr:from>
    <cdr:to>
      <cdr:x>0.62154</cdr:x>
      <cdr:y>0.99072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323850" y="2933701"/>
          <a:ext cx="3457575" cy="27622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z celkového počtu patnáctiletých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žáků v dané zemi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0.01409</cdr:x>
      <cdr:y>0.02058</cdr:y>
    </cdr:from>
    <cdr:to>
      <cdr:x>0.97849</cdr:x>
      <cdr:y>0.07938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85725" y="66675"/>
          <a:ext cx="5867400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7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Patnáctiletí žáci v zemích EU, kteří m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ěli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na školních počítačích přístup na internet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v roce </a:t>
          </a:r>
          <a:r>
            <a:rPr lang="en-US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2015</a:t>
          </a: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(%)*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</cdr:x>
      <cdr:y>0.89362</cdr:y>
    </cdr:from>
    <cdr:to>
      <cdr:x>1</cdr:x>
      <cdr:y>0.98524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400301"/>
          <a:ext cx="3657601" cy="24610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</cdr:x>
      <cdr:y>0.78788</cdr:y>
    </cdr:from>
    <cdr:to>
      <cdr:x>0.90208</cdr:x>
      <cdr:y>0.88068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0" y="2228851"/>
          <a:ext cx="2895600" cy="26252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z celkového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počtu studentů resp. jednotlivců ve věku 16 a více let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0.00521</cdr:x>
      <cdr:y>0.02128</cdr:y>
    </cdr:from>
    <cdr:to>
      <cdr:x>1</cdr:x>
      <cdr:y>0.19865</cdr:y>
    </cdr:to>
    <cdr:sp macro="" textlink="">
      <cdr:nvSpPr>
        <cdr:cNvPr id="4" name="TextovéPole 3"/>
        <cdr:cNvSpPr txBox="1"/>
      </cdr:nvSpPr>
      <cdr:spPr>
        <a:xfrm xmlns:a="http://schemas.openxmlformats.org/drawingml/2006/main">
          <a:off x="16724" y="60200"/>
          <a:ext cx="3193201" cy="5017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b="1" i="0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Graf F8 Používání internetu k vybraným činnostem  studenty  a jednotlivci celkem v Česku; průměry za roky 2015 až 2017 (%)*</a:t>
          </a:r>
          <a:endParaRPr lang="cs-CZ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0.00311</cdr:x>
      <cdr:y>0.88132</cdr:y>
    </cdr:from>
    <cdr:to>
      <cdr:x>0.98647</cdr:x>
      <cdr:y>0.97839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9525" y="2162175"/>
          <a:ext cx="3009073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</cdr:x>
      <cdr:y>0.02016</cdr:y>
    </cdr:from>
    <cdr:to>
      <cdr:x>1</cdr:x>
      <cdr:y>0.16631</cdr:y>
    </cdr:to>
    <cdr:sp macro="" textlink="">
      <cdr:nvSpPr>
        <cdr:cNvPr id="4" name="TextovéPole 1"/>
        <cdr:cNvSpPr txBox="1"/>
      </cdr:nvSpPr>
      <cdr:spPr>
        <a:xfrm xmlns:a="http://schemas.openxmlformats.org/drawingml/2006/main">
          <a:off x="0" y="50800"/>
          <a:ext cx="3060000" cy="3683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cs-CZ" sz="800" b="1">
              <a:latin typeface="Arial" pitchFamily="34" charset="0"/>
              <a:cs typeface="Arial" pitchFamily="34" charset="0"/>
            </a:rPr>
            <a:t>Graf F9 Používání internetu na mobilním telefonu studenty a jednotlivci celkem  v Česku podle způsobu připojení (%)*</a:t>
          </a:r>
        </a:p>
      </cdr:txBody>
    </cdr:sp>
  </cdr:relSizeAnchor>
  <cdr:relSizeAnchor xmlns:cdr="http://schemas.openxmlformats.org/drawingml/2006/chartDrawing">
    <cdr:from>
      <cdr:x>0.0249</cdr:x>
      <cdr:y>0.81144</cdr:y>
    </cdr:from>
    <cdr:to>
      <cdr:x>1</cdr:x>
      <cdr:y>0.88132</cdr:y>
    </cdr:to>
    <cdr:sp macro="" textlink="">
      <cdr:nvSpPr>
        <cdr:cNvPr id="3" name="TextovéPole 2"/>
        <cdr:cNvSpPr txBox="1"/>
      </cdr:nvSpPr>
      <cdr:spPr>
        <a:xfrm xmlns:a="http://schemas.openxmlformats.org/drawingml/2006/main">
          <a:off x="76200" y="1990724"/>
          <a:ext cx="2983800" cy="1714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</a:t>
          </a:r>
          <a:r>
            <a:rPr lang="cs-CZ" sz="800" u="sng">
              <a:latin typeface="Arial" panose="020B0604020202020204" pitchFamily="34" charset="0"/>
              <a:cs typeface="Arial" panose="020B0604020202020204" pitchFamily="34" charset="0"/>
            </a:rPr>
            <a:t>z uživatelů internetu </a:t>
          </a:r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mezi studenty a jednotlivci celkem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B12BB-60AB-48F9-A02F-36385B9C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0</TotalTime>
  <Pages>8</Pages>
  <Words>2611</Words>
  <Characters>15409</Characters>
  <Application>Microsoft Office Word</Application>
  <DocSecurity>0</DocSecurity>
  <Lines>128</Lines>
  <Paragraphs>35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17985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2</cp:revision>
  <cp:lastPrinted>2018-08-29T08:06:00Z</cp:lastPrinted>
  <dcterms:created xsi:type="dcterms:W3CDTF">2018-09-21T13:57:00Z</dcterms:created>
  <dcterms:modified xsi:type="dcterms:W3CDTF">2018-09-21T13:57:00Z</dcterms:modified>
</cp:coreProperties>
</file>