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D7" w:rsidRDefault="003477D7" w:rsidP="00E00D53">
      <w:pPr>
        <w:pStyle w:val="Nadpis1"/>
      </w:pPr>
      <w:bookmarkStart w:id="0" w:name="_GoBack"/>
      <w:bookmarkEnd w:id="0"/>
      <w:r>
        <w:t>Metodika užívaná ČSÚ od roku 2018</w:t>
      </w:r>
    </w:p>
    <w:p w:rsidR="003477D7" w:rsidRDefault="003477D7" w:rsidP="003477D7">
      <w:pPr>
        <w:pStyle w:val="Nadpis2"/>
      </w:pPr>
      <w:r>
        <w:t>Základní metodické poznámky</w:t>
      </w:r>
    </w:p>
    <w:p w:rsidR="003477D7" w:rsidRDefault="003477D7" w:rsidP="003477D7">
      <w:pPr>
        <w:spacing w:before="120"/>
        <w:rPr>
          <w:rFonts w:cs="Arial"/>
        </w:rPr>
      </w:pPr>
      <w:r>
        <w:rPr>
          <w:rFonts w:cs="Arial"/>
        </w:rPr>
        <w:t>Podrobné úmrtnostní tabulky jsou založeny na III. hlavních souborech demografických událostí. Vstupní pravděpodobnosti úmrtí jsou vypočteny nepřímou metodou, tj. odvozeny z pozorovaných specifických měr úmrtnosti (</w:t>
      </w:r>
      <w:r>
        <w:rPr>
          <w:rFonts w:cs="Arial"/>
          <w:iCs/>
        </w:rPr>
        <w:t>viz níže</w:t>
      </w:r>
      <w:r>
        <w:rPr>
          <w:rFonts w:cs="Arial"/>
        </w:rPr>
        <w:t xml:space="preserve">). </w:t>
      </w:r>
    </w:p>
    <w:p w:rsidR="003477D7" w:rsidRDefault="003477D7" w:rsidP="003477D7">
      <w:pPr>
        <w:pStyle w:val="Nadpis3"/>
      </w:pPr>
      <w:bookmarkStart w:id="1" w:name="_Toc444112497"/>
      <w:r>
        <w:t>Ukazatele úmrtnostních tabulek</w:t>
      </w:r>
    </w:p>
    <w:p w:rsidR="003477D7" w:rsidRPr="00704A5B" w:rsidRDefault="003477D7" w:rsidP="003477D7"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očet zemřelých (</w:t>
      </w:r>
      <w:proofErr w:type="spellStart"/>
      <w:r w:rsidRPr="00704A5B">
        <w:rPr>
          <w:rFonts w:cs="Arial"/>
          <w:b/>
          <w:iCs/>
        </w:rPr>
        <w:t>D</w:t>
      </w:r>
      <w:r w:rsidRPr="00704A5B">
        <w:rPr>
          <w:rFonts w:cs="Arial"/>
          <w:b/>
          <w:iCs/>
          <w:vertAlign w:val="subscript"/>
        </w:rPr>
        <w:t>x</w:t>
      </w:r>
      <w:proofErr w:type="spellEnd"/>
      <w:r w:rsidRPr="00704A5B">
        <w:rPr>
          <w:rFonts w:cs="Arial"/>
          <w:b/>
          <w:iCs/>
        </w:rPr>
        <w:t>)</w:t>
      </w:r>
      <w:r w:rsidRPr="00704A5B">
        <w:rPr>
          <w:rFonts w:cs="Arial"/>
          <w:b/>
        </w:rPr>
        <w:t xml:space="preserve"> </w:t>
      </w:r>
      <w:r>
        <w:rPr>
          <w:rFonts w:cs="Arial"/>
        </w:rPr>
        <w:t>uvádí absolutní počet zemřelých ve věku x během daného období.</w:t>
      </w:r>
    </w:p>
    <w:p w:rsidR="003477D7" w:rsidRDefault="003477D7" w:rsidP="003477D7">
      <w:pPr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očet obyvatel (</w:t>
      </w:r>
      <w:proofErr w:type="spellStart"/>
      <w:r w:rsidRPr="00704A5B">
        <w:rPr>
          <w:rFonts w:cs="Arial"/>
          <w:b/>
          <w:iCs/>
        </w:rPr>
        <w:t>P</w:t>
      </w:r>
      <w:r w:rsidRPr="00704A5B">
        <w:rPr>
          <w:rFonts w:cs="Arial"/>
          <w:b/>
          <w:iCs/>
          <w:vertAlign w:val="subscript"/>
        </w:rPr>
        <w:t>x</w:t>
      </w:r>
      <w:proofErr w:type="spellEnd"/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uvádí střední stav obyvatel ve věku x</w:t>
      </w:r>
      <w:r w:rsidR="00C543D8">
        <w:rPr>
          <w:rFonts w:cs="Arial"/>
        </w:rPr>
        <w:t>, resp. v případě víceletých období uvádí součet středních stavů v příslušných letech</w:t>
      </w:r>
      <w:r>
        <w:rPr>
          <w:rFonts w:cs="Arial"/>
        </w:rPr>
        <w:t xml:space="preserve">. </w:t>
      </w:r>
      <w:r w:rsidR="00C543D8">
        <w:rPr>
          <w:rFonts w:cs="Arial"/>
        </w:rPr>
        <w:t>S</w:t>
      </w:r>
      <w:r>
        <w:rPr>
          <w:rFonts w:cs="Arial"/>
        </w:rPr>
        <w:t xml:space="preserve">třední stav </w:t>
      </w:r>
      <w:r w:rsidR="00C543D8">
        <w:rPr>
          <w:rFonts w:cs="Arial"/>
        </w:rPr>
        <w:t xml:space="preserve">je </w:t>
      </w:r>
      <w:r>
        <w:rPr>
          <w:rFonts w:cs="Arial"/>
        </w:rPr>
        <w:t>definován jako bilancovaný počet obyvatel k 1. 7. daného roku.</w:t>
      </w:r>
    </w:p>
    <w:p w:rsidR="003477D7" w:rsidRDefault="003477D7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ravděpodobnost úmrtí (</w:t>
      </w:r>
      <w:proofErr w:type="spellStart"/>
      <w:r w:rsidRPr="00704A5B">
        <w:rPr>
          <w:rFonts w:cs="Arial"/>
          <w:b/>
          <w:iCs/>
        </w:rPr>
        <w:t>q</w:t>
      </w:r>
      <w:r w:rsidRPr="00704A5B">
        <w:rPr>
          <w:rFonts w:cs="Arial"/>
          <w:b/>
          <w:iCs/>
          <w:vertAlign w:val="subscript"/>
        </w:rPr>
        <w:t>x</w:t>
      </w:r>
      <w:proofErr w:type="spellEnd"/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vyjadřuje pravděpodobnost, že osoba dožívající se přesného věku x let v daném období (tj. před dosažením věku x+1) zemře:</w:t>
      </w:r>
    </w:p>
    <w:p w:rsidR="00F5627F" w:rsidRDefault="00E466CD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Cs w:val="20"/>
                </w:rPr>
                <m:t>q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Cs w:val="20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 w:cs="Arial"/>
                  <w:szCs w:val="20"/>
                </w:rPr>
                <m:t>1+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0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0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Cs w:val="20"/>
                    </w:rPr>
                    <m:t>x</m:t>
                  </m:r>
                </m:sub>
              </m:sSub>
            </m:den>
          </m:f>
        </m:oMath>
      </m:oMathPara>
    </w:p>
    <w:p w:rsidR="003477D7" w:rsidRPr="005D1303" w:rsidRDefault="003477D7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iCs/>
        </w:rPr>
      </w:pPr>
      <w:r>
        <w:rPr>
          <w:rFonts w:cs="Arial"/>
          <w:iCs/>
        </w:rPr>
        <w:t xml:space="preserve">kde </w:t>
      </w:r>
      <w:proofErr w:type="spellStart"/>
      <w:r>
        <w:rPr>
          <w:rFonts w:cs="Arial"/>
          <w:iCs/>
        </w:rPr>
        <w:t>m</w:t>
      </w:r>
      <w:r w:rsidRPr="00C37FA8">
        <w:rPr>
          <w:rFonts w:cs="Arial"/>
          <w:iCs/>
          <w:vertAlign w:val="subscript"/>
        </w:rPr>
        <w:t>x</w:t>
      </w:r>
      <w:proofErr w:type="spellEnd"/>
      <w:r>
        <w:rPr>
          <w:rFonts w:cs="Arial"/>
          <w:iCs/>
        </w:rPr>
        <w:t xml:space="preserve"> označuje míru úmrtnosti v daném věku a parametr </w:t>
      </w:r>
      <w:proofErr w:type="spellStart"/>
      <w:r>
        <w:rPr>
          <w:rFonts w:cs="Arial"/>
          <w:iCs/>
        </w:rPr>
        <w:t>a</w:t>
      </w:r>
      <w:r w:rsidRPr="00C37FA8">
        <w:rPr>
          <w:rFonts w:cs="Arial"/>
          <w:iCs/>
          <w:vertAlign w:val="subscript"/>
        </w:rPr>
        <w:t>x</w:t>
      </w:r>
      <w:proofErr w:type="spellEnd"/>
      <w:r>
        <w:rPr>
          <w:rFonts w:cs="Arial"/>
          <w:iCs/>
        </w:rPr>
        <w:t xml:space="preserve"> vyčísluje průměrný počet člověkoroků prožitých v daném věkovém intervalu zemřelými jedinci (viz níže).</w:t>
      </w:r>
    </w:p>
    <w:p w:rsidR="003477D7" w:rsidRDefault="003477D7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704A5B">
        <w:rPr>
          <w:rFonts w:cs="Arial"/>
          <w:b/>
          <w:iCs/>
        </w:rPr>
        <w:t>abulkový počet dožívajících</w:t>
      </w:r>
      <w:r w:rsidRPr="00704A5B">
        <w:rPr>
          <w:rFonts w:cs="Arial"/>
          <w:b/>
          <w:iCs/>
          <w:vertAlign w:val="subscript"/>
        </w:rPr>
        <w:t xml:space="preserve"> </w:t>
      </w:r>
      <w:r w:rsidRPr="00704A5B">
        <w:rPr>
          <w:rFonts w:cs="Arial"/>
          <w:b/>
          <w:iCs/>
        </w:rPr>
        <w:t>(</w:t>
      </w:r>
      <w:proofErr w:type="spellStart"/>
      <w:r w:rsidRPr="00704A5B">
        <w:rPr>
          <w:rFonts w:cs="Arial"/>
          <w:b/>
          <w:iCs/>
        </w:rPr>
        <w:t>l</w:t>
      </w:r>
      <w:r w:rsidRPr="00704A5B">
        <w:rPr>
          <w:rFonts w:cs="Arial"/>
          <w:b/>
          <w:iCs/>
          <w:vertAlign w:val="subscript"/>
        </w:rPr>
        <w:t>x</w:t>
      </w:r>
      <w:proofErr w:type="spellEnd"/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je hypotetický počet osob, které se dožijí věku x let ze 100</w:t>
      </w:r>
      <w:r>
        <w:rPr>
          <w:rFonts w:cs="Arial" w:hint="eastAsia"/>
        </w:rPr>
        <w:t> 000</w:t>
      </w:r>
      <w:r>
        <w:rPr>
          <w:rFonts w:cs="Arial"/>
        </w:rPr>
        <w:t xml:space="preserve"> živě narozených (kořen tabulky </w:t>
      </w:r>
      <w:r w:rsidRPr="00155321">
        <w:rPr>
          <w:rFonts w:cs="Arial"/>
          <w:iCs/>
        </w:rPr>
        <w:t>l</w:t>
      </w:r>
      <w:r w:rsidRPr="00155321">
        <w:rPr>
          <w:rFonts w:cs="Arial"/>
          <w:iCs/>
          <w:vertAlign w:val="subscript"/>
        </w:rPr>
        <w:t>0</w:t>
      </w:r>
      <w:r w:rsidRPr="00155321">
        <w:rPr>
          <w:rFonts w:cs="Arial"/>
          <w:iCs/>
        </w:rPr>
        <w:t xml:space="preserve"> = 100 000</w:t>
      </w:r>
      <w:r>
        <w:rPr>
          <w:rFonts w:cs="Arial"/>
        </w:rPr>
        <w:t>) při zachování řádu úmrtnosti sledovaného období:</w:t>
      </w:r>
    </w:p>
    <w:p w:rsidR="00F5627F" w:rsidRDefault="00E466CD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Cs w:val="20"/>
                </w:rPr>
                <m:t>l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Cs w:val="20"/>
                </w:rPr>
                <m:t>x+1</m:t>
              </m:r>
            </m:sub>
          </m:sSub>
          <m:r>
            <w:rPr>
              <w:rFonts w:ascii="Cambria Math" w:hAnsi="Cambria Math" w:cs="Arial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Cs w:val="20"/>
            </w:rPr>
            <m:t>∙</m:t>
          </m:r>
          <m:d>
            <m:dPr>
              <m:ctrlPr>
                <w:rPr>
                  <w:rFonts w:ascii="Cambria Math" w:hAnsi="Cambria Math" w:cs="Arial"/>
                  <w:i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Cs w:val="20"/>
                </w:rPr>
                <m:t>1-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Cambria Math" w:cs="Arial"/>
                      <w:szCs w:val="20"/>
                    </w:rPr>
                    <m:t>x</m:t>
                  </m:r>
                </m:sub>
              </m:sSub>
            </m:e>
          </m:d>
        </m:oMath>
      </m:oMathPara>
    </w:p>
    <w:p w:rsidR="003477D7" w:rsidRDefault="003477D7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zemřelých (</w:t>
      </w:r>
      <w:proofErr w:type="spellStart"/>
      <w:r w:rsidRPr="00213C0A">
        <w:rPr>
          <w:rFonts w:cs="Arial"/>
          <w:b/>
          <w:iCs/>
        </w:rPr>
        <w:t>d</w:t>
      </w:r>
      <w:r w:rsidRPr="00213C0A">
        <w:rPr>
          <w:rFonts w:cs="Arial"/>
          <w:b/>
          <w:iCs/>
          <w:vertAlign w:val="subscript"/>
        </w:rPr>
        <w:t>x</w:t>
      </w:r>
      <w:proofErr w:type="spellEnd"/>
      <w:r w:rsidRPr="00213C0A">
        <w:rPr>
          <w:rFonts w:cs="Arial"/>
          <w:b/>
          <w:iCs/>
        </w:rPr>
        <w:t>)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vyjadřuje hypotetický počet zemřelých osob v dokončeném věku x let; je počítán jako rozdíl dvou po sobě jdoucích tabulkových počtů dožívajících:</w:t>
      </w:r>
    </w:p>
    <w:p w:rsidR="00F5627F" w:rsidRPr="00B21224" w:rsidRDefault="00E466CD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Cs w:val="20"/>
                </w:rPr>
                <m:t>d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Cs w:val="2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Cs w:val="20"/>
                </w:rPr>
                <m:t>x+1</m:t>
              </m:r>
            </m:sub>
          </m:sSub>
        </m:oMath>
      </m:oMathPara>
    </w:p>
    <w:p w:rsidR="003477D7" w:rsidRDefault="003477D7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žijících (</w:t>
      </w:r>
      <w:proofErr w:type="spellStart"/>
      <w:r w:rsidRPr="00213C0A">
        <w:rPr>
          <w:rFonts w:cs="Arial"/>
          <w:b/>
          <w:iCs/>
        </w:rPr>
        <w:t>L</w:t>
      </w:r>
      <w:r w:rsidRPr="00213C0A">
        <w:rPr>
          <w:rFonts w:cs="Arial"/>
          <w:b/>
          <w:iCs/>
          <w:vertAlign w:val="subscript"/>
        </w:rPr>
        <w:t>x</w:t>
      </w:r>
      <w:proofErr w:type="spellEnd"/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je hypotetický počet člověkoroků prožitých mezi přesnými věky x a x+1:</w:t>
      </w:r>
    </w:p>
    <w:p w:rsidR="003477D7" w:rsidRPr="00B21224" w:rsidRDefault="00E466CD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="Arial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-(1-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)∙</m:t>
        </m:r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w:rPr>
                <w:rFonts w:ascii="Cambria Math" w:hAnsi="Cambria Math" w:cs="Arial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Cs w:val="20"/>
              </w:rPr>
              <m:t>x</m:t>
            </m:r>
          </m:sub>
        </m:sSub>
      </m:oMath>
      <w:r w:rsidR="003477D7">
        <w:rPr>
          <w:rFonts w:cs="Arial"/>
          <w:sz w:val="24"/>
        </w:rPr>
        <w:tab/>
      </w:r>
    </w:p>
    <w:p w:rsidR="003477D7" w:rsidRDefault="003477D7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cs="Arial"/>
        </w:rPr>
      </w:pPr>
      <w:r>
        <w:rPr>
          <w:rFonts w:cs="Arial"/>
          <w:b/>
          <w:iCs/>
        </w:rPr>
        <w:t>P</w:t>
      </w:r>
      <w:r w:rsidRPr="00213C0A">
        <w:rPr>
          <w:rFonts w:cs="Arial"/>
          <w:b/>
          <w:iCs/>
        </w:rPr>
        <w:t>omocný ukazatel (</w:t>
      </w:r>
      <w:proofErr w:type="spellStart"/>
      <w:r w:rsidRPr="00213C0A">
        <w:rPr>
          <w:rFonts w:cs="Arial"/>
          <w:b/>
          <w:iCs/>
        </w:rPr>
        <w:t>T</w:t>
      </w:r>
      <w:r w:rsidRPr="00213C0A">
        <w:rPr>
          <w:rFonts w:cs="Arial"/>
          <w:b/>
          <w:iCs/>
          <w:vertAlign w:val="subscript"/>
        </w:rPr>
        <w:t>x</w:t>
      </w:r>
      <w:proofErr w:type="spellEnd"/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vyjadřuje počet let života, které má tabulková populace (nikoliv jednotlivec) v</w:t>
      </w:r>
      <w:r>
        <w:rPr>
          <w:rFonts w:cs="Arial" w:hint="eastAsia"/>
        </w:rPr>
        <w:t> </w:t>
      </w:r>
      <w:r>
        <w:rPr>
          <w:rFonts w:cs="Arial"/>
        </w:rPr>
        <w:t xml:space="preserve">daném věku x ještě před sebou, a je dán kumulací počtu žijících </w:t>
      </w:r>
      <w:proofErr w:type="spellStart"/>
      <w:r>
        <w:rPr>
          <w:rFonts w:cs="Arial"/>
          <w:i/>
          <w:iCs/>
        </w:rPr>
        <w:t>L</w:t>
      </w:r>
      <w:r>
        <w:rPr>
          <w:rFonts w:cs="Arial"/>
          <w:i/>
          <w:iCs/>
          <w:vertAlign w:val="subscript"/>
        </w:rPr>
        <w:t>x</w:t>
      </w:r>
      <w:proofErr w:type="spellEnd"/>
      <w:r>
        <w:rPr>
          <w:rFonts w:cs="Arial"/>
        </w:rPr>
        <w:t xml:space="preserve"> od věku x do nejvyššího věku tabulky:</w:t>
      </w:r>
    </w:p>
    <w:p w:rsidR="00C84C6C" w:rsidRDefault="00E466CD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x</m:t>
              </m:r>
            </m:sub>
          </m:sSub>
          <m:r>
            <w:rPr>
              <w:rFonts w:ascii="Cambria Math" w:hAnsi="Cambria Math" w:cs="Arial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</w:rPr>
              </m:ctrlPr>
            </m:naryPr>
            <m:sub>
              <m:r>
                <w:rPr>
                  <w:rFonts w:ascii="Cambria Math" w:hAnsi="Cambria Math" w:cs="Arial"/>
                </w:rPr>
                <m:t>x</m:t>
              </m:r>
            </m:sub>
            <m:sup>
              <m:r>
                <w:rPr>
                  <w:rFonts w:ascii="Cambria Math" w:hAnsi="Cambria Math" w:cs="Arial"/>
                </w:rPr>
                <m:t>105+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</m:sSub>
            </m:e>
          </m:nary>
        </m:oMath>
      </m:oMathPara>
    </w:p>
    <w:p w:rsidR="003477D7" w:rsidRDefault="003477D7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S</w:t>
      </w:r>
      <w:r w:rsidRPr="00213C0A">
        <w:rPr>
          <w:rFonts w:cs="Arial"/>
          <w:b/>
          <w:iCs/>
        </w:rPr>
        <w:t>třední délka života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neboli</w:t>
      </w:r>
      <w:r>
        <w:rPr>
          <w:rFonts w:cs="Arial"/>
          <w:i/>
          <w:iCs/>
        </w:rPr>
        <w:t xml:space="preserve"> </w:t>
      </w:r>
      <w:r w:rsidRPr="00213C0A">
        <w:rPr>
          <w:rFonts w:cs="Arial"/>
          <w:b/>
          <w:iCs/>
        </w:rPr>
        <w:t>naděje dožití (e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udává průměrný počet let, který prožije právě x-letá osoba při zachování úmrtnostních poměrů daného období. Jedná se o syntetický ukazatel, který odráží úmrtnostní poměry ve všech věkových skupinách.</w:t>
      </w:r>
    </w:p>
    <w:p w:rsidR="003477D7" w:rsidRPr="00C37FA8" w:rsidRDefault="00E466CD" w:rsidP="003477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</w:pPr>
      <m:oMath>
        <m:sSub>
          <m:sSubPr>
            <m:ctrlPr>
              <w:rPr>
                <w:rFonts w:ascii="Cambria Math" w:hAnsi="Cambria Math" w:cs="Arial"/>
                <w:i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="Arial"/>
                <w:szCs w:val="20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 w:cs="Arial"/>
                <w:szCs w:val="20"/>
              </w:rPr>
              <m:t>x</m:t>
            </m:r>
          </m:sub>
        </m:sSub>
        <m:r>
          <w:rPr>
            <w:rFonts w:ascii="Cambria Math" w:hAnsi="Cambria Math" w:cs="Arial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0"/>
                  </w:rPr>
                  <m:t>x</m:t>
                </m:r>
              </m:sub>
            </m:sSub>
          </m:den>
        </m:f>
      </m:oMath>
      <w:r w:rsidR="003477D7" w:rsidRPr="00C37FA8">
        <w:rPr>
          <w:sz w:val="24"/>
        </w:rPr>
        <w:tab/>
      </w:r>
    </w:p>
    <w:p w:rsidR="003477D7" w:rsidRDefault="003477D7" w:rsidP="003477D7">
      <w:pPr>
        <w:spacing w:after="0" w:line="240" w:lineRule="auto"/>
        <w:rPr>
          <w:rFonts w:eastAsia="MS Gothic"/>
          <w:b/>
          <w:bCs/>
          <w:sz w:val="24"/>
        </w:rPr>
      </w:pPr>
    </w:p>
    <w:p w:rsidR="002A3C4F" w:rsidRDefault="002A3C4F">
      <w:pPr>
        <w:spacing w:after="0" w:line="240" w:lineRule="auto"/>
        <w:rPr>
          <w:rFonts w:eastAsia="MS Gothic"/>
          <w:b/>
          <w:bCs/>
          <w:sz w:val="28"/>
          <w:szCs w:val="26"/>
        </w:rPr>
      </w:pPr>
      <w:r>
        <w:br w:type="page"/>
      </w:r>
    </w:p>
    <w:p w:rsidR="003477D7" w:rsidRDefault="003477D7" w:rsidP="003477D7">
      <w:pPr>
        <w:pStyle w:val="Nadpis2"/>
      </w:pPr>
      <w:r w:rsidRPr="00C84C6C">
        <w:lastRenderedPageBreak/>
        <w:t>Podrobný postup konstrukce úmrtnostní tabulky</w:t>
      </w:r>
    </w:p>
    <w:p w:rsidR="003477D7" w:rsidRDefault="003477D7" w:rsidP="003477D7">
      <w:pPr>
        <w:pStyle w:val="Nadpis3"/>
        <w:numPr>
          <w:ilvl w:val="0"/>
          <w:numId w:val="22"/>
        </w:numPr>
        <w:spacing w:before="120" w:after="120"/>
        <w:ind w:left="425" w:hanging="425"/>
      </w:pPr>
      <w:r>
        <w:t>Zpracování vstupních dat</w:t>
      </w:r>
    </w:p>
    <w:p w:rsidR="003477D7" w:rsidRPr="00B6362E" w:rsidRDefault="003477D7" w:rsidP="003477D7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Výpočet pozorovaných měr úmrtnosti</w:t>
      </w:r>
    </w:p>
    <w:p w:rsidR="003477D7" w:rsidRDefault="003477D7" w:rsidP="003477D7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Z empirických dat je</w:t>
      </w:r>
      <w:r w:rsidRPr="002B5138">
        <w:rPr>
          <w:rFonts w:cs="Arial"/>
          <w:color w:val="FF0000"/>
        </w:rPr>
        <w:t xml:space="preserve"> </w:t>
      </w:r>
      <w:r>
        <w:rPr>
          <w:rFonts w:cs="Arial"/>
        </w:rPr>
        <w:t>vypočtena tzv. reálná (pozorovaná) míra úmrtnosti (</w:t>
      </w:r>
      <w:proofErr w:type="spellStart"/>
      <w:r w:rsidR="00A23C81">
        <w:rPr>
          <w:rFonts w:cs="Arial"/>
        </w:rPr>
        <w:t>m</w:t>
      </w:r>
      <w:r w:rsidR="00A23C81">
        <w:rPr>
          <w:rFonts w:cs="Arial"/>
          <w:vertAlign w:val="subscript"/>
        </w:rPr>
        <w:t>x</w:t>
      </w:r>
      <w:proofErr w:type="spellEnd"/>
      <w:r w:rsidRPr="007E18EC">
        <w:rPr>
          <w:rFonts w:cs="Arial"/>
        </w:rPr>
        <w:t>)</w:t>
      </w:r>
      <w:r>
        <w:rPr>
          <w:rFonts w:cs="Arial"/>
        </w:rPr>
        <w:t>, jakožto podíl zemřelých a středního stavu obyvatel v daném věku, pohlaví a územní jednotce:</w:t>
      </w:r>
    </w:p>
    <w:p w:rsidR="00C84C6C" w:rsidRPr="005242E5" w:rsidRDefault="00E466CD" w:rsidP="003477D7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rPr>
          <w:rFonts w:cs="Arial"/>
        </w:rPr>
      </w:pPr>
      <m:oMathPara>
        <m:oMath>
          <m:sPre>
            <m:sPrePr>
              <m:ctrlPr>
                <w:rPr>
                  <w:rFonts w:ascii="Cambria Math" w:hAnsi="Cambria Math" w:cs="Arial"/>
                  <w:i/>
                </w:rPr>
              </m:ctrlPr>
            </m:sPrePr>
            <m:sub>
              <m:r>
                <w:rPr>
                  <w:rFonts w:ascii="Cambria Math" w:hAnsi="Cambria Math" w:cs="Arial"/>
                </w:rPr>
                <m:t>t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ČR</m:t>
                  </m:r>
                </m:sup>
              </m:sSubSup>
            </m:e>
          </m:sPre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Pre>
                <m:sPrePr>
                  <m:ctrlPr>
                    <w:rPr>
                      <w:rFonts w:ascii="Cambria Math" w:hAnsi="Cambria Math" w:cs="Arial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Arial"/>
                    </w:rPr>
                    <m:t>t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sub>
                    <m:sup/>
                  </m:sSubSup>
                </m:e>
              </m:sPre>
            </m:num>
            <m:den>
              <m:sPre>
                <m:sPrePr>
                  <m:ctrlPr>
                    <w:rPr>
                      <w:rFonts w:ascii="Cambria Math" w:hAnsi="Cambria Math" w:cs="Arial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Arial"/>
                    </w:rPr>
                    <m:t>1.7.(t)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sub>
                    <m:sup/>
                  </m:sSubSup>
                </m:e>
              </m:sPre>
            </m:den>
          </m:f>
        </m:oMath>
      </m:oMathPara>
    </w:p>
    <w:p w:rsidR="005242E5" w:rsidRPr="00910547" w:rsidRDefault="00E466CD" w:rsidP="003477D7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rPr>
          <w:rFonts w:cs="Arial"/>
        </w:rPr>
      </w:pPr>
      <m:oMathPara>
        <m:oMath>
          <m:sPre>
            <m:sPrePr>
              <m:ctrlPr>
                <w:rPr>
                  <w:rFonts w:ascii="Cambria Math" w:hAnsi="Cambria Math" w:cs="Arial"/>
                  <w:i/>
                </w:rPr>
              </m:ctrlPr>
            </m:sPrePr>
            <m:sub>
              <m:r>
                <w:rPr>
                  <w:rFonts w:ascii="Cambria Math" w:hAnsi="Cambria Math" w:cs="Arial"/>
                </w:rPr>
                <m:t>t-1,t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oblast,kraj</m:t>
                  </m:r>
                </m:sup>
              </m:sSubSup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Pre>
                    <m:sPre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</w:rPr>
                        <m:t>t-1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sub>
                        <m:sup/>
                      </m:sSubSup>
                      <m:r>
                        <w:rPr>
                          <w:rFonts w:ascii="Cambria Math" w:hAnsi="Cambria Math" w:cs="Arial"/>
                        </w:rPr>
                        <m:t>+</m:t>
                      </m:r>
                      <m:sPre>
                        <m:sPre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Arial"/>
                            </w:rPr>
                            <m:t>t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sub>
                            <m:sup/>
                          </m:sSubSup>
                        </m:e>
                      </m:sPre>
                    </m:e>
                  </m:sPre>
                </m:num>
                <m:den>
                  <m:sPre>
                    <m:sPre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</w:rPr>
                        <m:t>1.7.(t-1)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sub>
                        <m:sup/>
                      </m:sSubSup>
                      <m:r>
                        <w:rPr>
                          <w:rFonts w:ascii="Cambria Math" w:hAnsi="Cambria Math" w:cs="Arial"/>
                        </w:rPr>
                        <m:t>+</m:t>
                      </m:r>
                      <m:sPre>
                        <m:sPre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Arial"/>
                            </w:rPr>
                            <m:t>1.7.(t)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sub>
                            <m:sup/>
                          </m:sSubSup>
                        </m:e>
                      </m:sPre>
                    </m:e>
                  </m:sPre>
                </m:den>
              </m:f>
            </m:e>
          </m:sPre>
        </m:oMath>
      </m:oMathPara>
    </w:p>
    <w:p w:rsidR="003477D7" w:rsidRDefault="00E466CD" w:rsidP="002A3C4F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rPr>
          <w:rFonts w:cs="Arial"/>
        </w:rPr>
      </w:pPr>
      <m:oMathPara>
        <m:oMath>
          <m:sPre>
            <m:sPrePr>
              <m:ctrlPr>
                <w:rPr>
                  <w:rFonts w:ascii="Cambria Math" w:hAnsi="Cambria Math" w:cs="Arial"/>
                  <w:i/>
                </w:rPr>
              </m:ctrlPr>
            </m:sPrePr>
            <m:sub>
              <m:r>
                <w:rPr>
                  <w:rFonts w:ascii="Cambria Math" w:hAnsi="Cambria Math" w:cs="Arial"/>
                </w:rPr>
                <m:t>t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okres</m:t>
                  </m:r>
                </m:sup>
              </m:sSubSup>
            </m:e>
          </m:sPre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t</m:t>
                  </m:r>
                </m:sub>
                <m:sup/>
                <m:e>
                  <m:sPre>
                    <m:sPre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sub>
                        <m:sup/>
                      </m:sSubSup>
                    </m:e>
                  </m:sPre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t</m:t>
                  </m:r>
                </m:sub>
                <m:sup/>
                <m:e>
                  <m:sPre>
                    <m:sPre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</w:rPr>
                        <m:t>1.7.(t)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sub>
                        <m:sup/>
                      </m:sSubSup>
                    </m:e>
                  </m:sPre>
                </m:e>
              </m:nary>
            </m:den>
          </m:f>
        </m:oMath>
      </m:oMathPara>
    </w:p>
    <w:p w:rsidR="003477D7" w:rsidRPr="00B6362E" w:rsidRDefault="003477D7" w:rsidP="003477D7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Vyrovnání pozorovaných měr úmrtnosti</w:t>
      </w:r>
    </w:p>
    <w:p w:rsidR="003477D7" w:rsidRPr="00B6362E" w:rsidRDefault="003477D7" w:rsidP="00A92970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</w:pPr>
      <w:r>
        <w:t>Pro ošetření možných náhodných fluktuací reálných (pozorovaných) měr úmrtnosti, které jsou obzvláště běžné ve věcích s nízkou úmrtností nebo s nízkými počty žijících, jsou míry úmrtnosti vyhlazeny metodou zobecněných adaptivních modelů v kombinaci s tzv. P-</w:t>
      </w:r>
      <w:proofErr w:type="spellStart"/>
      <w:r>
        <w:t>spliny</w:t>
      </w:r>
      <w:proofErr w:type="spellEnd"/>
      <w:r>
        <w:t>, někdy označováno jako metoda P-GAM (</w:t>
      </w:r>
      <w:proofErr w:type="spellStart"/>
      <w:r>
        <w:t>Eilers</w:t>
      </w:r>
      <w:proofErr w:type="spellEnd"/>
      <w:r>
        <w:t xml:space="preserve"> a Marx, 1996). </w:t>
      </w:r>
      <w:r w:rsidRPr="001D231C">
        <w:t>Prediktorem je věk, predikovanou hodnotou poč</w:t>
      </w:r>
      <w:r>
        <w:t>e</w:t>
      </w:r>
      <w:r w:rsidRPr="001D231C">
        <w:t>t zemřelých</w:t>
      </w:r>
      <w:r>
        <w:t>,</w:t>
      </w:r>
      <w:r w:rsidRPr="001D231C">
        <w:t xml:space="preserve"> počet obyvatel je použit jako offset. U počtů zemřelých se p</w:t>
      </w:r>
      <w:r>
        <w:t xml:space="preserve">ředpokládá </w:t>
      </w:r>
      <w:proofErr w:type="spellStart"/>
      <w:r>
        <w:t>Poissonovo</w:t>
      </w:r>
      <w:proofErr w:type="spellEnd"/>
      <w:r>
        <w:t xml:space="preserve"> rozdělení</w:t>
      </w:r>
      <w:r w:rsidRPr="001D231C">
        <w:t xml:space="preserve">. </w:t>
      </w:r>
      <w:r>
        <w:t>M</w:t>
      </w:r>
      <w:r w:rsidRPr="001D231C">
        <w:t xml:space="preserve">íra vyhlazení </w:t>
      </w:r>
      <w:r>
        <w:t xml:space="preserve">je </w:t>
      </w:r>
      <w:r w:rsidRPr="001D231C">
        <w:t>„adaptována“ na počty zemřelých v daném věku</w:t>
      </w:r>
      <w:r>
        <w:t xml:space="preserve">, tzn. </w:t>
      </w:r>
      <w:r w:rsidRPr="001D231C">
        <w:t>nižší počty zemřelých jsou vyhlazovány více než vysoké počty zemřelých, kde je tak zachována vý</w:t>
      </w:r>
      <w:r>
        <w:t>znamnost původního jevu/trendu.</w:t>
      </w:r>
    </w:p>
    <w:p w:rsidR="003477D7" w:rsidRPr="005E0E2D" w:rsidRDefault="003477D7" w:rsidP="003477D7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Modelování úmrtnosti ve vysokém věku</w:t>
      </w:r>
    </w:p>
    <w:p w:rsidR="003477D7" w:rsidRDefault="003477D7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5E0E2D">
        <w:t xml:space="preserve">S ohledem na nízké počty zemřelých ve vysokém věku a nižší spolehlivost údajů o středním stavu nejstarší populace </w:t>
      </w:r>
      <w:r>
        <w:t>jsou</w:t>
      </w:r>
      <w:r w:rsidRPr="005E0E2D">
        <w:t xml:space="preserve"> </w:t>
      </w:r>
      <w:r>
        <w:t xml:space="preserve">vyrovnané pozorované míry </w:t>
      </w:r>
      <w:r w:rsidRPr="005E0E2D">
        <w:t>úmrtnost</w:t>
      </w:r>
      <w:r>
        <w:t>i</w:t>
      </w:r>
      <w:r w:rsidRPr="005E0E2D">
        <w:t xml:space="preserve"> v nejvyšších věcích </w:t>
      </w:r>
      <w:r>
        <w:t xml:space="preserve">nahrazeny </w:t>
      </w:r>
      <w:r w:rsidRPr="005E0E2D">
        <w:t>model</w:t>
      </w:r>
      <w:r>
        <w:t>ovými hodnotami</w:t>
      </w:r>
      <w:r w:rsidRPr="005E0E2D">
        <w:t>.</w:t>
      </w:r>
      <w:r>
        <w:t xml:space="preserve"> Úmrtnostní modely přitom obecně pracují se spojitou definicí míry úmrtnosti, tzv.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mortality (někdy překládáno jako síla úmrtnosti), značenou</w:t>
      </w:r>
      <w:r w:rsidR="00A23C81">
        <w:t xml:space="preserve"> </w:t>
      </w:r>
      <w:r w:rsidR="00A23C81" w:rsidRPr="00A23C81">
        <w:rPr>
          <w:lang w:val="en-GB"/>
        </w:rPr>
        <w:t>µ</w:t>
      </w:r>
      <w:r w:rsidR="00A23C81" w:rsidRPr="00A23C81">
        <w:rPr>
          <w:vertAlign w:val="subscript"/>
          <w:lang w:val="en-GB"/>
        </w:rPr>
        <w:t>x</w:t>
      </w:r>
      <w:r>
        <w:t>. V praxi se předpokládá, že při monotónním nárůstu funkce úmrtnosti s věkem přibližně platí následující vztah mezi sílou a mírou úmrtnosti v daném věku (Thatcher a kol., 1998):</w:t>
      </w:r>
    </w:p>
    <w:p w:rsidR="00910547" w:rsidRDefault="00E466CD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+0,5</m:t>
          </m:r>
        </m:oMath>
      </m:oMathPara>
    </w:p>
    <w:p w:rsidR="003477D7" w:rsidRDefault="003477D7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Zde zvolený model je založen na </w:t>
      </w:r>
      <w:r w:rsidRPr="005E0E2D">
        <w:t>logistické křivce, která zohledňuje zpomalení nárůstu úmrtnosti s</w:t>
      </w:r>
      <w:r>
        <w:t> </w:t>
      </w:r>
      <w:r w:rsidRPr="005E0E2D">
        <w:t>věkem</w:t>
      </w:r>
      <w:r>
        <w:t xml:space="preserve">. Konkrétně jde o model, který poprvé použil </w:t>
      </w:r>
      <w:proofErr w:type="spellStart"/>
      <w:r w:rsidRPr="005E0E2D">
        <w:t>Kannis</w:t>
      </w:r>
      <w:r>
        <w:t>to</w:t>
      </w:r>
      <w:proofErr w:type="spellEnd"/>
      <w:r w:rsidRPr="005E0E2D">
        <w:t xml:space="preserve"> (Thatcher a kol.</w:t>
      </w:r>
      <w:r>
        <w:t>,</w:t>
      </w:r>
      <w:r w:rsidRPr="005E0E2D">
        <w:t xml:space="preserve"> 1998).</w:t>
      </w:r>
      <w:r>
        <w:t xml:space="preserve"> </w:t>
      </w:r>
      <w:r w:rsidRPr="00C6752D">
        <w:t xml:space="preserve">Výpočtový program </w:t>
      </w:r>
      <w:r>
        <w:t xml:space="preserve">tak </w:t>
      </w:r>
      <w:r w:rsidRPr="00C6752D">
        <w:t>model</w:t>
      </w:r>
      <w:r>
        <w:t>uje</w:t>
      </w:r>
      <w:r w:rsidRPr="00C6752D">
        <w:t xml:space="preserve"> věkově specifickou úmrtnost pomocí funkc</w:t>
      </w:r>
      <w:r>
        <w:t>e:</w:t>
      </w:r>
    </w:p>
    <w:p w:rsidR="00910547" w:rsidRDefault="00E466CD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βx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1+α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βx</m:t>
                  </m:r>
                </m:sup>
              </m:sSup>
            </m:den>
          </m:f>
          <m:r>
            <w:rPr>
              <w:rFonts w:ascii="Cambria Math" w:hAnsi="Cambria Math"/>
            </w:rPr>
            <m:t>+c</m:t>
          </m:r>
        </m:oMath>
      </m:oMathPara>
    </w:p>
    <w:p w:rsidR="003477D7" w:rsidRDefault="003477D7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C6752D">
        <w:t>kde</w:t>
      </w:r>
      <w:r w:rsidR="00A23C81">
        <w:t xml:space="preserve"> </w:t>
      </w:r>
      <w:r w:rsidR="00A23C81" w:rsidRPr="00A23C81">
        <w:rPr>
          <w:lang w:val="en-GB"/>
        </w:rPr>
        <w:t>x</w:t>
      </w:r>
      <w:r w:rsidRPr="00C6752D">
        <w:t xml:space="preserve"> je věk a</w:t>
      </w:r>
      <w:r w:rsidR="00A23C81">
        <w:t xml:space="preserve"> </w:t>
      </w:r>
      <w:r w:rsidR="00A23C81" w:rsidRPr="00A23C81">
        <w:rPr>
          <w:lang w:val="en-GB"/>
        </w:rPr>
        <w:t xml:space="preserve">α, β </w:t>
      </w:r>
      <w:r w:rsidRPr="00A23C81">
        <w:t>jsou</w:t>
      </w:r>
      <w:r w:rsidRPr="00C6752D">
        <w:t xml:space="preserve"> jednotlivé parametry</w:t>
      </w:r>
      <w:r w:rsidR="00A23C81">
        <w:t>,</w:t>
      </w:r>
      <w:r w:rsidRPr="00C6752D">
        <w:t xml:space="preserve"> </w:t>
      </w:r>
      <w:r w:rsidR="00A23C81">
        <w:t xml:space="preserve">c </w:t>
      </w:r>
      <w:r w:rsidRPr="00C6752D">
        <w:t>je konstanta</w:t>
      </w:r>
      <w:r>
        <w:t xml:space="preserve">. Parametry funkce jsou odhadnuty metodou maximální věrohodnosti. Výchozí odhad parametrů je založen na předpokladu </w:t>
      </w:r>
      <w:proofErr w:type="spellStart"/>
      <w:r>
        <w:t>Poissonova</w:t>
      </w:r>
      <w:proofErr w:type="spellEnd"/>
      <w:r>
        <w:t xml:space="preserve"> rozdělení počtů zemřelých</w:t>
      </w:r>
      <w:r w:rsidR="00A23C81">
        <w:t xml:space="preserve"> (D)</w:t>
      </w:r>
      <w:r>
        <w:t xml:space="preserve"> ve věku</w:t>
      </w:r>
      <w:r w:rsidR="00A23C81">
        <w:t xml:space="preserve"> x</w:t>
      </w:r>
      <w:r>
        <w:t xml:space="preserve">. Na základě těchto předpokladů je pak maximalizován logaritmus </w:t>
      </w:r>
      <w:proofErr w:type="spellStart"/>
      <w:r>
        <w:t>věrohodnostní</w:t>
      </w:r>
      <w:proofErr w:type="spellEnd"/>
      <w:r>
        <w:t xml:space="preserve"> funkce</w:t>
      </w:r>
      <w:r w:rsidR="00A23C81">
        <w:t xml:space="preserve"> (L)</w:t>
      </w:r>
      <w:r>
        <w:t xml:space="preserve"> ve tvaru:</w:t>
      </w:r>
    </w:p>
    <w:p w:rsidR="00910547" w:rsidRDefault="00E466CD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L</m:t>
              </m:r>
            </m:e>
          </m:func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e>
                  </m:d>
                </m:e>
              </m:func>
            </m:e>
          </m:nary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</m:oMath>
      </m:oMathPara>
    </w:p>
    <w:p w:rsidR="003477D7" w:rsidRPr="005E0E2D" w:rsidRDefault="003477D7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Při optimalizaci (záporného logaritmu) </w:t>
      </w:r>
      <w:proofErr w:type="spellStart"/>
      <w:r>
        <w:t>věrohodnostní</w:t>
      </w:r>
      <w:proofErr w:type="spellEnd"/>
      <w:r>
        <w:t xml:space="preserve"> funkce program pracuje s vlastními počátečními hodnotami parametrů. Pro odhad parametrů je nastaveno věkové rozpětí 70–90 let.</w:t>
      </w:r>
    </w:p>
    <w:p w:rsidR="003477D7" w:rsidRDefault="003477D7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t xml:space="preserve">Při přechodu z vyrovnaných na modelové hodnoty </w:t>
      </w:r>
      <w:r>
        <w:t xml:space="preserve">se </w:t>
      </w:r>
      <w:r w:rsidRPr="006C1EDE">
        <w:t xml:space="preserve">předpokládá, že věk, od kterého modelové hodnoty charakterizují úmrtnost lépe než vyrovnané hodnoty, je vyšší než 75 let. Pro hladký průběh nahrazení </w:t>
      </w:r>
      <w:r w:rsidRPr="006C1EDE">
        <w:lastRenderedPageBreak/>
        <w:t xml:space="preserve">vyrovnaných hodnot modelovými hodnotami </w:t>
      </w:r>
      <w:r>
        <w:t xml:space="preserve">se </w:t>
      </w:r>
      <w:r w:rsidRPr="006C1EDE">
        <w:t xml:space="preserve">nejprve hledá věk y vyšší než 75 let, kde je pozorován nejnižší rozdíl mezi vyrovnanou a modelovou mírou úmrtnosti, tzn. </w:t>
      </w:r>
      <w:r>
        <w:t xml:space="preserve">takový </w:t>
      </w:r>
      <w:r w:rsidRPr="006C1EDE">
        <w:t>věk</w:t>
      </w:r>
      <w:r w:rsidR="00A23C81">
        <w:t xml:space="preserve"> y</w:t>
      </w:r>
      <w:r w:rsidRPr="006C1EDE">
        <w:t>, pro který platí:</w:t>
      </w:r>
    </w:p>
    <w:p w:rsidR="00910547" w:rsidRDefault="00E466CD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vyrovn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model</m:t>
                  </m:r>
                </m:sup>
              </m:sSubSup>
            </m:e>
          </m:d>
          <m:r>
            <w:rPr>
              <w:rFonts w:ascii="Cambria Math" w:hAnsi="Cambria Math"/>
            </w:rPr>
            <m:t>=min,    y≥75</m:t>
          </m:r>
        </m:oMath>
      </m:oMathPara>
    </w:p>
    <w:p w:rsidR="003477D7" w:rsidRDefault="003477D7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t>Po nalezení věku</w:t>
      </w:r>
      <w:r w:rsidR="00A23C81">
        <w:t xml:space="preserve"> y</w:t>
      </w:r>
      <w:r w:rsidRPr="006C1EDE">
        <w:t xml:space="preserve"> </w:t>
      </w:r>
      <w:r w:rsidR="004B5050">
        <w:t>je</w:t>
      </w:r>
      <w:r w:rsidR="00CB6CA0">
        <w:t xml:space="preserve"> p</w:t>
      </w:r>
      <w:r w:rsidRPr="006C1EDE">
        <w:t>rovede</w:t>
      </w:r>
      <w:r w:rsidR="00CB6CA0">
        <w:t>na</w:t>
      </w:r>
      <w:r w:rsidRPr="006C1EDE">
        <w:t xml:space="preserve"> postupn</w:t>
      </w:r>
      <w:r w:rsidR="00CB6CA0">
        <w:t>á</w:t>
      </w:r>
      <w:r w:rsidRPr="006C1EDE">
        <w:t xml:space="preserve"> graduac</w:t>
      </w:r>
      <w:r w:rsidR="00CB6CA0">
        <w:t>e</w:t>
      </w:r>
      <w:r w:rsidRPr="006C1EDE">
        <w:t xml:space="preserve"> vyrovnaných </w:t>
      </w:r>
      <w:r w:rsidR="00CB6CA0">
        <w:t xml:space="preserve">měr </w:t>
      </w:r>
      <w:r w:rsidRPr="006C1EDE">
        <w:t>na modelové hodnoty pro věky</w:t>
      </w:r>
      <w:r w:rsidR="00A23C81">
        <w:t xml:space="preserve"> </w:t>
      </w:r>
      <w:r w:rsidR="00A23C81" w:rsidRPr="00AC5542">
        <w:rPr>
          <w:i/>
          <w:lang w:val="en-GB"/>
        </w:rPr>
        <w:t>x </w:t>
      </w:r>
      <w:r w:rsidR="00A23C81" w:rsidRPr="00AC5542">
        <w:rPr>
          <w:rFonts w:ascii="Cambria Math" w:hAnsi="Cambria Math" w:cs="Cambria Math"/>
          <w:i/>
          <w:lang w:val="en-GB"/>
        </w:rPr>
        <w:t>∈ </w:t>
      </w:r>
      <w:r w:rsidR="00A23C81" w:rsidRPr="00AC5542">
        <w:rPr>
          <w:i/>
          <w:lang w:val="en-GB"/>
        </w:rPr>
        <w:t>[(y</w:t>
      </w:r>
      <w:r w:rsidR="00A23C81">
        <w:rPr>
          <w:i/>
          <w:lang w:val="en-GB"/>
        </w:rPr>
        <w:t> </w:t>
      </w:r>
      <w:r w:rsidR="00A23C81" w:rsidRPr="00AC5542">
        <w:rPr>
          <w:i/>
          <w:lang w:val="en-GB"/>
        </w:rPr>
        <w:t>-</w:t>
      </w:r>
      <w:r w:rsidR="00A23C81">
        <w:rPr>
          <w:i/>
          <w:lang w:val="en-GB"/>
        </w:rPr>
        <w:t> </w:t>
      </w:r>
      <w:r w:rsidR="00A23C81" w:rsidRPr="00AC5542">
        <w:rPr>
          <w:i/>
          <w:lang w:val="en-GB"/>
        </w:rPr>
        <w:t>4), (y</w:t>
      </w:r>
      <w:r w:rsidR="00A23C81">
        <w:rPr>
          <w:i/>
          <w:lang w:val="en-GB"/>
        </w:rPr>
        <w:t> </w:t>
      </w:r>
      <w:r w:rsidR="00A23C81" w:rsidRPr="00AC5542">
        <w:rPr>
          <w:i/>
          <w:lang w:val="en-GB"/>
        </w:rPr>
        <w:t>+</w:t>
      </w:r>
      <w:r w:rsidR="00A23C81">
        <w:rPr>
          <w:i/>
          <w:lang w:val="en-GB"/>
        </w:rPr>
        <w:t> </w:t>
      </w:r>
      <w:r w:rsidR="00A23C81" w:rsidRPr="00AC5542">
        <w:rPr>
          <w:i/>
          <w:lang w:val="en-GB"/>
        </w:rPr>
        <w:t xml:space="preserve">4)] </w:t>
      </w:r>
      <w:r w:rsidRPr="006C1EDE">
        <w:t>dle vztahu:</w:t>
      </w:r>
    </w:p>
    <w:p w:rsidR="00E22D40" w:rsidRDefault="00E466CD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grad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x-y+5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vyrovn</m:t>
              </m:r>
            </m:sup>
          </m:sSub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x-y+5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model</m:t>
              </m:r>
            </m:sup>
          </m:sSubSup>
        </m:oMath>
      </m:oMathPara>
    </w:p>
    <w:p w:rsidR="003477D7" w:rsidRDefault="003477D7" w:rsidP="003477D7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 w:firstLine="0"/>
      </w:pPr>
      <w:r>
        <w:t>Pro výpočet úmrtnostní tabulky je použita následující kombinace hodnot věkově specifických měr úmrtnosti:</w:t>
      </w:r>
    </w:p>
    <w:p w:rsidR="003477D7" w:rsidRDefault="003477D7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0:</w:t>
      </w:r>
      <w:r>
        <w:tab/>
      </w:r>
      <w:r>
        <w:tab/>
      </w:r>
      <w:r>
        <w:tab/>
        <w:t>reálné (pozorované) hodnoty,</w:t>
      </w:r>
    </w:p>
    <w:p w:rsidR="003477D7" w:rsidRDefault="003477D7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1 až</w:t>
      </w:r>
      <w:r w:rsidR="00A23C81">
        <w:t xml:space="preserve"> (y – 5)</w:t>
      </w:r>
      <w:r>
        <w:t>:</w:t>
      </w:r>
      <w:r>
        <w:tab/>
      </w:r>
      <w:r>
        <w:tab/>
        <w:t>vyrovnané hodnoty,</w:t>
      </w:r>
    </w:p>
    <w:p w:rsidR="003477D7" w:rsidRDefault="003477D7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</w:t>
      </w:r>
      <w:r w:rsidR="00A23C81">
        <w:t xml:space="preserve"> (y – 4) </w:t>
      </w:r>
      <w:r>
        <w:t>až</w:t>
      </w:r>
      <w:r w:rsidR="00A23C81">
        <w:t xml:space="preserve"> (y + 4)</w:t>
      </w:r>
      <m:oMath>
        <m:r>
          <w:rPr>
            <w:rFonts w:ascii="Cambria Math" w:hAnsi="Cambria Math"/>
          </w:rPr>
          <m:t>:</m:t>
        </m:r>
      </m:oMath>
      <w:r w:rsidR="00491B26">
        <w:tab/>
      </w:r>
      <w:r>
        <w:t>graduace mezi vyrovnanými a modelovými hodnotami,</w:t>
      </w:r>
    </w:p>
    <w:p w:rsidR="003477D7" w:rsidRPr="00FC405A" w:rsidRDefault="003477D7" w:rsidP="003477D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</w:t>
      </w:r>
      <w:r w:rsidR="00A23C81">
        <w:t xml:space="preserve"> (y + 5)</w:t>
      </w:r>
      <w:r>
        <w:t xml:space="preserve"> a vyšší:</w:t>
      </w:r>
      <w:r>
        <w:tab/>
      </w:r>
      <w:r>
        <w:tab/>
        <w:t>modelové hodnoty.</w:t>
      </w:r>
    </w:p>
    <w:p w:rsidR="003477D7" w:rsidRPr="00F85066" w:rsidRDefault="003477D7" w:rsidP="003477D7">
      <w:pPr>
        <w:pStyle w:val="Nadpis3"/>
        <w:numPr>
          <w:ilvl w:val="0"/>
          <w:numId w:val="22"/>
        </w:numPr>
        <w:spacing w:before="240" w:after="120"/>
        <w:ind w:left="426" w:hanging="426"/>
        <w:rPr>
          <w:i/>
        </w:rPr>
      </w:pPr>
      <w:r w:rsidRPr="00FC405A">
        <w:t>Převod reálných vyrovnaných dat na tabu</w:t>
      </w:r>
      <w:r>
        <w:t>lkové</w:t>
      </w:r>
    </w:p>
    <w:bookmarkEnd w:id="1"/>
    <w:p w:rsidR="003477D7" w:rsidRDefault="003477D7" w:rsidP="003477D7">
      <w:pPr>
        <w:spacing w:after="120"/>
        <w:rPr>
          <w:rFonts w:cs="Arial"/>
          <w:iCs/>
        </w:rPr>
      </w:pPr>
      <w:r w:rsidRPr="00650584">
        <w:rPr>
          <w:rFonts w:cs="Arial"/>
          <w:iCs/>
        </w:rPr>
        <w:t xml:space="preserve">Základem pro výpočet úmrtnostní tabulky nepřímou metodou je převod </w:t>
      </w:r>
      <w:r>
        <w:rPr>
          <w:rFonts w:cs="Arial"/>
          <w:iCs/>
        </w:rPr>
        <w:t xml:space="preserve">věkově specifických měr </w:t>
      </w:r>
      <w:r w:rsidRPr="00650584">
        <w:rPr>
          <w:rFonts w:cs="Arial"/>
          <w:iCs/>
        </w:rPr>
        <w:t>úmrtnost</w:t>
      </w:r>
      <w:r>
        <w:rPr>
          <w:rFonts w:cs="Arial"/>
          <w:iCs/>
        </w:rPr>
        <w:t>i</w:t>
      </w:r>
      <w:r w:rsidRPr="00650584">
        <w:rPr>
          <w:rFonts w:cs="Arial"/>
          <w:iCs/>
        </w:rPr>
        <w:t xml:space="preserve"> </w:t>
      </w:r>
      <w:r>
        <w:rPr>
          <w:rFonts w:cs="Arial"/>
          <w:iCs/>
        </w:rPr>
        <w:t>(</w:t>
      </w:r>
      <w:proofErr w:type="spellStart"/>
      <w:r w:rsidR="00A23C81">
        <w:rPr>
          <w:rFonts w:cs="Arial"/>
          <w:iCs/>
        </w:rPr>
        <w:t>m</w:t>
      </w:r>
      <w:r w:rsidR="00A23C81">
        <w:rPr>
          <w:rFonts w:cs="Arial"/>
          <w:iCs/>
          <w:vertAlign w:val="subscript"/>
        </w:rPr>
        <w:t>x</w:t>
      </w:r>
      <w:proofErr w:type="spellEnd"/>
      <w:r>
        <w:rPr>
          <w:rFonts w:cs="Arial"/>
          <w:iCs/>
        </w:rPr>
        <w:t>)</w:t>
      </w:r>
      <w:r w:rsidRPr="00650584">
        <w:rPr>
          <w:rFonts w:cs="Arial"/>
          <w:iCs/>
        </w:rPr>
        <w:t xml:space="preserve"> na pravděpodobnosti úmrtí </w:t>
      </w:r>
      <w:r>
        <w:rPr>
          <w:rFonts w:cs="Arial"/>
          <w:iCs/>
        </w:rPr>
        <w:t>(</w:t>
      </w:r>
      <w:proofErr w:type="spellStart"/>
      <w:r w:rsidR="00A23C81">
        <w:rPr>
          <w:rFonts w:cs="Arial"/>
          <w:iCs/>
        </w:rPr>
        <w:t>q</w:t>
      </w:r>
      <w:r w:rsidR="00A23C81">
        <w:rPr>
          <w:rFonts w:cs="Arial"/>
          <w:iCs/>
          <w:vertAlign w:val="subscript"/>
        </w:rPr>
        <w:t>x</w:t>
      </w:r>
      <w:proofErr w:type="spellEnd"/>
      <w:r>
        <w:rPr>
          <w:rFonts w:cs="Arial"/>
          <w:iCs/>
        </w:rPr>
        <w:t>)</w:t>
      </w:r>
      <w:r w:rsidRPr="00650584">
        <w:rPr>
          <w:rFonts w:cs="Arial"/>
          <w:iCs/>
        </w:rPr>
        <w:t>. Za předpokladu rovnosti reálné a tabulkové míry úmrtnosti a za předpokladu stability měr úmrtnosti v hypotetické tabulkové kohortě používáme následující převodní rovnici (</w:t>
      </w:r>
      <w:proofErr w:type="spellStart"/>
      <w:r w:rsidRPr="00650584">
        <w:rPr>
          <w:rFonts w:cs="Arial"/>
          <w:iCs/>
        </w:rPr>
        <w:t>Chiang</w:t>
      </w:r>
      <w:proofErr w:type="spellEnd"/>
      <w:r>
        <w:rPr>
          <w:rFonts w:cs="Arial"/>
          <w:iCs/>
        </w:rPr>
        <w:t>,</w:t>
      </w:r>
      <w:r w:rsidRPr="00650584">
        <w:rPr>
          <w:rFonts w:cs="Arial"/>
          <w:iCs/>
        </w:rPr>
        <w:t xml:space="preserve"> 1984):</w:t>
      </w:r>
    </w:p>
    <w:p w:rsidR="00491B26" w:rsidRDefault="00E466CD" w:rsidP="003477D7">
      <w:pPr>
        <w:spacing w:after="120"/>
        <w:rPr>
          <w:rFonts w:cs="Arial"/>
          <w:iCs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q</m:t>
              </m:r>
            </m:e>
            <m:sub>
              <m:r>
                <w:rPr>
                  <w:rFonts w:ascii="Cambria Math" w:hAnsi="Cambria Math" w:cs="Arial"/>
                </w:rPr>
                <m:t>x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 w:cs="Arial"/>
                </w:rPr>
                <m:t>1+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</w:rPr>
                <m:t>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</m:sSub>
            </m:den>
          </m:f>
        </m:oMath>
      </m:oMathPara>
    </w:p>
    <w:p w:rsidR="00B46FE8" w:rsidRDefault="003477D7" w:rsidP="003477D7">
      <w:pPr>
        <w:spacing w:after="120"/>
        <w:rPr>
          <w:rFonts w:cs="Arial"/>
          <w:iCs/>
        </w:rPr>
      </w:pPr>
      <w:r w:rsidRPr="00650584">
        <w:rPr>
          <w:rFonts w:cs="Arial"/>
          <w:iCs/>
        </w:rPr>
        <w:t>Parametr</w:t>
      </w:r>
      <w:r w:rsidR="00A23C81">
        <w:rPr>
          <w:rFonts w:cs="Arial"/>
          <w:iCs/>
        </w:rPr>
        <w:t xml:space="preserve"> </w:t>
      </w:r>
      <w:proofErr w:type="spellStart"/>
      <w:r w:rsidR="00A23C81">
        <w:rPr>
          <w:rFonts w:cs="Arial"/>
          <w:iCs/>
        </w:rPr>
        <w:t>a</w:t>
      </w:r>
      <w:r w:rsidR="00A23C81">
        <w:rPr>
          <w:rFonts w:cs="Arial"/>
          <w:iCs/>
          <w:vertAlign w:val="subscript"/>
        </w:rPr>
        <w:t>x</w:t>
      </w:r>
      <w:proofErr w:type="spellEnd"/>
      <w:r w:rsidRPr="00650584">
        <w:rPr>
          <w:rFonts w:cs="Arial"/>
          <w:iCs/>
        </w:rPr>
        <w:t xml:space="preserve"> vyčísluje průměrný počet člověkoroků prožitých v daném věkovém intervalu zemřelými jedinci. S</w:t>
      </w:r>
      <w:r w:rsidR="00B46FE8">
        <w:rPr>
          <w:rFonts w:cs="Arial"/>
          <w:iCs/>
        </w:rPr>
        <w:t> </w:t>
      </w:r>
      <w:r w:rsidRPr="00650584">
        <w:rPr>
          <w:rFonts w:cs="Arial"/>
          <w:iCs/>
        </w:rPr>
        <w:t xml:space="preserve">ohledem na obecně platný předpoklad rovnoměrného rozložení přesného věku zemřelých </w:t>
      </w:r>
      <w:r>
        <w:rPr>
          <w:rFonts w:cs="Arial"/>
          <w:iCs/>
        </w:rPr>
        <w:t xml:space="preserve">je </w:t>
      </w:r>
      <w:r w:rsidRPr="00650584">
        <w:rPr>
          <w:rFonts w:cs="Arial"/>
          <w:iCs/>
        </w:rPr>
        <w:t>použ</w:t>
      </w:r>
      <w:r>
        <w:rPr>
          <w:rFonts w:cs="Arial"/>
          <w:iCs/>
        </w:rPr>
        <w:t>ita</w:t>
      </w:r>
      <w:r w:rsidRPr="00650584">
        <w:rPr>
          <w:rFonts w:cs="Arial"/>
          <w:iCs/>
        </w:rPr>
        <w:t xml:space="preserve"> hodnota 0,5 pro všechny věky s výjimkou věku 0 a posledního (otevřeného) věkového intervalu. </w:t>
      </w:r>
    </w:p>
    <w:p w:rsidR="003477D7" w:rsidRDefault="00CB6CA0" w:rsidP="003477D7">
      <w:pPr>
        <w:spacing w:after="120"/>
        <w:rPr>
          <w:rFonts w:cs="Arial"/>
          <w:iCs/>
        </w:rPr>
      </w:pPr>
      <w:r>
        <w:rPr>
          <w:rFonts w:cs="Arial"/>
          <w:iCs/>
        </w:rPr>
        <w:t>Pro o</w:t>
      </w:r>
      <w:r w:rsidR="003477D7" w:rsidRPr="00650584">
        <w:rPr>
          <w:rFonts w:cs="Arial"/>
          <w:iCs/>
        </w:rPr>
        <w:t>dhad průměrného věku zemřelých kojenců (</w:t>
      </w:r>
      <w:r w:rsidR="00A23C81">
        <w:rPr>
          <w:rFonts w:cs="Arial"/>
          <w:iCs/>
        </w:rPr>
        <w:t>a</w:t>
      </w:r>
      <w:r w:rsidR="00A23C81">
        <w:rPr>
          <w:rFonts w:cs="Arial"/>
          <w:iCs/>
          <w:vertAlign w:val="subscript"/>
        </w:rPr>
        <w:t>0</w:t>
      </w:r>
      <w:r w:rsidR="003477D7" w:rsidRPr="00650584">
        <w:rPr>
          <w:rFonts w:cs="Arial"/>
          <w:iCs/>
        </w:rPr>
        <w:t>)</w:t>
      </w:r>
      <w:r>
        <w:rPr>
          <w:rFonts w:cs="Arial"/>
          <w:iCs/>
        </w:rPr>
        <w:t xml:space="preserve"> byl od roku 1986 </w:t>
      </w:r>
      <w:r w:rsidR="003477D7">
        <w:rPr>
          <w:rFonts w:cs="Arial"/>
          <w:iCs/>
        </w:rPr>
        <w:t xml:space="preserve">využit </w:t>
      </w:r>
      <w:r w:rsidR="003477D7" w:rsidRPr="00650584">
        <w:rPr>
          <w:rFonts w:cs="Arial"/>
          <w:iCs/>
        </w:rPr>
        <w:t>nejpřesnější</w:t>
      </w:r>
      <w:r w:rsidR="003477D7">
        <w:rPr>
          <w:rFonts w:cs="Arial"/>
          <w:iCs/>
        </w:rPr>
        <w:t xml:space="preserve"> způsob výpočtu, kdy </w:t>
      </w:r>
      <w:r>
        <w:rPr>
          <w:rFonts w:cs="Arial"/>
          <w:iCs/>
        </w:rPr>
        <w:t>byla</w:t>
      </w:r>
      <w:r w:rsidR="003477D7">
        <w:rPr>
          <w:rFonts w:cs="Arial"/>
          <w:iCs/>
        </w:rPr>
        <w:t xml:space="preserve"> h</w:t>
      </w:r>
      <w:r w:rsidR="003477D7" w:rsidRPr="00650584">
        <w:rPr>
          <w:rFonts w:cs="Arial"/>
          <w:iCs/>
        </w:rPr>
        <w:t xml:space="preserve">odnota </w:t>
      </w:r>
      <w:r w:rsidR="00A23C81">
        <w:rPr>
          <w:rFonts w:cs="Arial"/>
          <w:iCs/>
        </w:rPr>
        <w:t>a</w:t>
      </w:r>
      <w:r w:rsidR="00A23C81">
        <w:rPr>
          <w:rFonts w:cs="Arial"/>
          <w:iCs/>
          <w:vertAlign w:val="subscript"/>
        </w:rPr>
        <w:t>0</w:t>
      </w:r>
      <w:r w:rsidR="003477D7" w:rsidRPr="00650584">
        <w:rPr>
          <w:rFonts w:cs="Arial"/>
          <w:iCs/>
        </w:rPr>
        <w:t xml:space="preserve"> </w:t>
      </w:r>
      <w:r>
        <w:rPr>
          <w:rFonts w:cs="Arial"/>
          <w:iCs/>
        </w:rPr>
        <w:t>získá</w:t>
      </w:r>
      <w:r w:rsidR="003477D7" w:rsidRPr="00650584">
        <w:rPr>
          <w:rFonts w:cs="Arial"/>
          <w:iCs/>
        </w:rPr>
        <w:t xml:space="preserve">na </w:t>
      </w:r>
      <w:r>
        <w:rPr>
          <w:rFonts w:cs="Arial"/>
          <w:iCs/>
        </w:rPr>
        <w:t xml:space="preserve">přímo </w:t>
      </w:r>
      <w:r w:rsidR="003477D7" w:rsidRPr="00650584">
        <w:rPr>
          <w:rFonts w:cs="Arial"/>
          <w:iCs/>
        </w:rPr>
        <w:t>z reálných individuálních dat</w:t>
      </w:r>
      <w:r w:rsidR="003477D7">
        <w:rPr>
          <w:rFonts w:cs="Arial"/>
          <w:iCs/>
        </w:rPr>
        <w:t xml:space="preserve"> </w:t>
      </w:r>
      <w:r w:rsidR="003477D7" w:rsidRPr="00650584">
        <w:rPr>
          <w:rFonts w:cs="Arial"/>
          <w:iCs/>
        </w:rPr>
        <w:t xml:space="preserve">jakožto pozorovaný podíl průměrného věku zemřelých kojenců </w:t>
      </w:r>
      <w:r w:rsidR="003477D7">
        <w:rPr>
          <w:rFonts w:cs="Arial"/>
          <w:iCs/>
        </w:rPr>
        <w:t xml:space="preserve">(ve dnech) </w:t>
      </w:r>
      <w:r w:rsidR="003477D7" w:rsidRPr="00650584">
        <w:rPr>
          <w:rFonts w:cs="Arial"/>
          <w:iCs/>
        </w:rPr>
        <w:t xml:space="preserve">na celkovém trvání kalendářního roku </w:t>
      </w:r>
      <w:r w:rsidRPr="00650584">
        <w:rPr>
          <w:rFonts w:cs="Arial"/>
          <w:iCs/>
        </w:rPr>
        <w:t>(</w:t>
      </w:r>
      <w:proofErr w:type="spellStart"/>
      <w:r w:rsidRPr="00650584">
        <w:rPr>
          <w:rFonts w:cs="Arial"/>
          <w:iCs/>
        </w:rPr>
        <w:t>Andreev</w:t>
      </w:r>
      <w:proofErr w:type="spellEnd"/>
      <w:r w:rsidRPr="00650584">
        <w:rPr>
          <w:rFonts w:cs="Arial"/>
          <w:iCs/>
        </w:rPr>
        <w:t xml:space="preserve"> a </w:t>
      </w:r>
      <w:proofErr w:type="spellStart"/>
      <w:r w:rsidRPr="00650584">
        <w:rPr>
          <w:rFonts w:cs="Arial"/>
          <w:iCs/>
        </w:rPr>
        <w:t>Kingkade</w:t>
      </w:r>
      <w:proofErr w:type="spellEnd"/>
      <w:r>
        <w:rPr>
          <w:rFonts w:cs="Arial"/>
          <w:iCs/>
        </w:rPr>
        <w:t>,</w:t>
      </w:r>
      <w:r w:rsidRPr="00650584">
        <w:rPr>
          <w:rFonts w:cs="Arial"/>
          <w:iCs/>
        </w:rPr>
        <w:t xml:space="preserve"> 2015)</w:t>
      </w:r>
      <w:r w:rsidR="003477D7" w:rsidRPr="00650584">
        <w:rPr>
          <w:rFonts w:cs="Arial"/>
          <w:iCs/>
        </w:rPr>
        <w:t>:</w:t>
      </w:r>
    </w:p>
    <w:p w:rsidR="00491B26" w:rsidRDefault="00E466CD" w:rsidP="003477D7">
      <w:pPr>
        <w:spacing w:after="120"/>
        <w:rPr>
          <w:rFonts w:cs="Arial"/>
          <w:iCs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iCs/>
                </w:rPr>
              </m:ctrlPr>
            </m:sSubSupPr>
            <m:e>
              <m:r>
                <w:rPr>
                  <w:rFonts w:ascii="Cambria Math" w:hAnsi="Cambria Math" w:cs="Arial"/>
                </w:rPr>
                <m:t>a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  <m:sup>
              <m:r>
                <w:rPr>
                  <w:rFonts w:ascii="Cambria Math" w:hAnsi="Cambria Math" w:cs="Arial"/>
                </w:rPr>
                <m:t>poz</m:t>
              </m:r>
            </m:sup>
          </m:sSubSup>
          <m:r>
            <w:rPr>
              <w:rFonts w:ascii="Cambria Math" w:hAnsi="Cambria Math" w:cs="Arial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</w:rPr>
                                <m:t>i,0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Arial"/>
                            </w:rPr>
                            <m:t>(dny)</m:t>
                          </m:r>
                        </m:sup>
                      </m:sSub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i,0</m:t>
                          </m:r>
                        </m:sub>
                      </m:sSub>
                    </m:e>
                  </m:nary>
                </m:den>
              </m:f>
            </m:e>
          </m:d>
          <m:r>
            <w:rPr>
              <w:rFonts w:ascii="Cambria Math" w:hAnsi="Cambria Math" w:cs="Arial"/>
            </w:rPr>
            <m:t>/365</m:t>
          </m:r>
        </m:oMath>
      </m:oMathPara>
    </w:p>
    <w:p w:rsidR="00CB6CA0" w:rsidRDefault="003477D7" w:rsidP="003477D7">
      <w:pPr>
        <w:rPr>
          <w:rFonts w:cs="Arial"/>
          <w:iCs/>
        </w:rPr>
      </w:pPr>
      <w:r>
        <w:rPr>
          <w:rFonts w:cs="Arial"/>
          <w:iCs/>
        </w:rPr>
        <w:t>kde</w:t>
      </w:r>
      <w:r w:rsidR="00863C96">
        <w:rPr>
          <w:rFonts w:cs="Arial"/>
          <w:iCs/>
        </w:rPr>
        <w:t xml:space="preserve"> D</w:t>
      </w:r>
      <w:r w:rsidR="00863C96">
        <w:rPr>
          <w:rFonts w:cs="Arial"/>
          <w:iCs/>
          <w:vertAlign w:val="subscript"/>
        </w:rPr>
        <w:t>i,0</w:t>
      </w:r>
      <w:r w:rsidR="00491B26">
        <w:rPr>
          <w:rFonts w:cs="Arial"/>
          <w:iCs/>
        </w:rPr>
        <w:t xml:space="preserve"> </w:t>
      </w:r>
      <w:r w:rsidRPr="005D08AF">
        <w:rPr>
          <w:rFonts w:cs="Arial"/>
          <w:iCs/>
        </w:rPr>
        <w:t>je individuální úmrtí v kojeneckém věku a</w:t>
      </w:r>
      <w:r w:rsidR="00491B26">
        <w:rPr>
          <w:rFonts w:cs="Arial"/>
          <w:iCs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  <w:iCs/>
              </w:rPr>
            </m:ctrlPr>
          </m:sSubSupPr>
          <m:e>
            <m:r>
              <w:rPr>
                <w:rFonts w:ascii="Cambria Math" w:hAnsi="Cambria Math" w:cs="Arial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D</m:t>
                </m:r>
              </m:e>
              <m:sub>
                <m:r>
                  <w:rPr>
                    <w:rFonts w:ascii="Cambria Math" w:hAnsi="Cambria Math" w:cs="Arial"/>
                  </w:rPr>
                  <m:t>i,0</m:t>
                </m:r>
              </m:sub>
            </m:sSub>
          </m:sub>
          <m:sup>
            <m:r>
              <w:rPr>
                <w:rFonts w:ascii="Cambria Math" w:hAnsi="Cambria Math" w:cs="Arial"/>
              </w:rPr>
              <m:t>(dny)</m:t>
            </m:r>
          </m:sup>
        </m:sSubSup>
      </m:oMath>
      <w:r w:rsidR="00491B26">
        <w:rPr>
          <w:rFonts w:cs="Arial"/>
          <w:iCs/>
        </w:rPr>
        <w:t xml:space="preserve"> </w:t>
      </w:r>
      <w:r w:rsidRPr="005D08AF">
        <w:rPr>
          <w:rFonts w:cs="Arial"/>
          <w:iCs/>
        </w:rPr>
        <w:t xml:space="preserve">individuální </w:t>
      </w:r>
      <w:r>
        <w:rPr>
          <w:rFonts w:cs="Arial"/>
          <w:iCs/>
        </w:rPr>
        <w:t xml:space="preserve">věk zemřelého kojence ve dnech. </w:t>
      </w:r>
      <w:r w:rsidR="00CB6CA0">
        <w:rPr>
          <w:rFonts w:cs="Arial"/>
          <w:iCs/>
        </w:rPr>
        <w:t xml:space="preserve">Při zpracování úmrtnostních tabulek za ČR </w:t>
      </w:r>
      <w:r w:rsidR="004B5050">
        <w:rPr>
          <w:rFonts w:cs="Arial"/>
          <w:iCs/>
        </w:rPr>
        <w:t>pro roky</w:t>
      </w:r>
      <w:r w:rsidR="00CB6CA0">
        <w:rPr>
          <w:rFonts w:cs="Arial"/>
          <w:iCs/>
        </w:rPr>
        <w:t xml:space="preserve"> 1920 až 1985 byl ve vazbě na nedostatečný detail dostupných dat o zemřelých kojencích parametr</w:t>
      </w:r>
      <w:r w:rsidR="00863C96">
        <w:rPr>
          <w:rFonts w:cs="Arial"/>
          <w:iCs/>
        </w:rPr>
        <w:t xml:space="preserve"> a</w:t>
      </w:r>
      <w:r w:rsidR="00863C96">
        <w:rPr>
          <w:rFonts w:cs="Arial"/>
          <w:iCs/>
          <w:vertAlign w:val="subscript"/>
        </w:rPr>
        <w:t>0</w:t>
      </w:r>
      <w:r w:rsidR="00CB6CA0">
        <w:rPr>
          <w:rFonts w:cs="Arial"/>
          <w:iCs/>
        </w:rPr>
        <w:t xml:space="preserve"> nastaven defaultně</w:t>
      </w:r>
      <w:r w:rsidR="00CB6CA0" w:rsidRPr="005D08AF">
        <w:rPr>
          <w:rFonts w:cs="Arial"/>
          <w:iCs/>
        </w:rPr>
        <w:t xml:space="preserve"> </w:t>
      </w:r>
      <w:r w:rsidR="00CB6CA0">
        <w:rPr>
          <w:rFonts w:cs="Arial"/>
          <w:iCs/>
        </w:rPr>
        <w:t xml:space="preserve">v hodnotě </w:t>
      </w:r>
      <w:r w:rsidR="00CB6CA0" w:rsidRPr="005D08AF">
        <w:rPr>
          <w:rFonts w:cs="Arial"/>
          <w:iCs/>
        </w:rPr>
        <w:t>0,1</w:t>
      </w:r>
      <w:r w:rsidR="00CB6CA0">
        <w:rPr>
          <w:rFonts w:cs="Arial"/>
          <w:iCs/>
        </w:rPr>
        <w:t xml:space="preserve">. </w:t>
      </w:r>
    </w:p>
    <w:p w:rsidR="003477D7" w:rsidRPr="00650584" w:rsidRDefault="00B46FE8" w:rsidP="003477D7">
      <w:pPr>
        <w:rPr>
          <w:rFonts w:cs="Arial"/>
          <w:iCs/>
        </w:rPr>
      </w:pPr>
      <w:r>
        <w:rPr>
          <w:rFonts w:cs="Arial"/>
          <w:iCs/>
        </w:rPr>
        <w:t>V</w:t>
      </w:r>
      <w:r w:rsidR="003477D7">
        <w:rPr>
          <w:rFonts w:cs="Arial"/>
          <w:iCs/>
        </w:rPr>
        <w:t> případě nižších územních celků se vždy uvád</w:t>
      </w:r>
      <w:r w:rsidR="004B5050">
        <w:rPr>
          <w:rFonts w:cs="Arial"/>
          <w:iCs/>
        </w:rPr>
        <w:t>ěla</w:t>
      </w:r>
      <w:r w:rsidR="003477D7">
        <w:rPr>
          <w:rFonts w:cs="Arial"/>
          <w:iCs/>
        </w:rPr>
        <w:t xml:space="preserve"> hodnota </w:t>
      </w:r>
      <w:r w:rsidR="004B5050" w:rsidRPr="005D08AF">
        <w:rPr>
          <w:rFonts w:cs="Arial"/>
          <w:iCs/>
        </w:rPr>
        <w:t>a</w:t>
      </w:r>
      <w:r w:rsidR="004B5050">
        <w:rPr>
          <w:rFonts w:cs="Arial"/>
          <w:iCs/>
          <w:vertAlign w:val="subscript"/>
        </w:rPr>
        <w:t>0</w:t>
      </w:r>
      <w:r w:rsidR="004B5050">
        <w:rPr>
          <w:rFonts w:cs="Arial"/>
          <w:iCs/>
        </w:rPr>
        <w:t xml:space="preserve"> </w:t>
      </w:r>
      <w:r w:rsidR="003477D7">
        <w:rPr>
          <w:rFonts w:cs="Arial"/>
          <w:iCs/>
        </w:rPr>
        <w:t>vypočtená z dat za celou ČR v daném období.</w:t>
      </w:r>
      <w:r w:rsidR="003477D7" w:rsidRPr="005D08AF">
        <w:rPr>
          <w:rFonts w:cs="Arial"/>
          <w:iCs/>
        </w:rPr>
        <w:t xml:space="preserve"> </w:t>
      </w:r>
    </w:p>
    <w:p w:rsidR="003477D7" w:rsidRDefault="003477D7" w:rsidP="003477D7">
      <w:pPr>
        <w:spacing w:after="120"/>
        <w:rPr>
          <w:rFonts w:cs="Arial"/>
          <w:iCs/>
        </w:rPr>
      </w:pPr>
      <w:r>
        <w:rPr>
          <w:rFonts w:cs="Arial"/>
          <w:iCs/>
        </w:rPr>
        <w:t xml:space="preserve">U poslední otevřené věkové skupiny (zde 105+) je parametr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>
        <w:rPr>
          <w:rFonts w:cs="Arial"/>
          <w:iCs/>
        </w:rPr>
        <w:t xml:space="preserve"> vypočten jako (viz např. Preston a kol., 2000):</w:t>
      </w:r>
    </w:p>
    <w:p w:rsidR="00491B26" w:rsidRDefault="00E466CD" w:rsidP="003477D7">
      <w:pPr>
        <w:spacing w:after="120"/>
        <w:rPr>
          <w:rFonts w:cs="Arial"/>
          <w:iCs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a</m:t>
              </m:r>
            </m:e>
            <m:sub>
              <m:r>
                <w:rPr>
                  <w:rFonts w:ascii="Cambria Math" w:hAnsi="Cambria Math" w:cs="Arial"/>
                </w:rPr>
                <m:t>105+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</w:rPr>
                    <m:t>105+</m:t>
                  </m:r>
                </m:sub>
              </m:sSub>
            </m:den>
          </m:f>
        </m:oMath>
      </m:oMathPara>
    </w:p>
    <w:p w:rsidR="003477D7" w:rsidRDefault="003477D7" w:rsidP="003477D7">
      <w:pPr>
        <w:rPr>
          <w:rFonts w:cs="Arial"/>
          <w:iCs/>
        </w:rPr>
      </w:pPr>
      <w:r>
        <w:rPr>
          <w:rFonts w:cs="Arial"/>
          <w:iCs/>
        </w:rPr>
        <w:t>Další postup výpočtu úmrtnostních tabulek navazuje na vypočtené hodnoty</w:t>
      </w:r>
      <w:r w:rsidR="00863C96">
        <w:rPr>
          <w:rFonts w:cs="Arial"/>
          <w:iCs/>
        </w:rPr>
        <w:t xml:space="preserve"> </w:t>
      </w:r>
      <w:proofErr w:type="spellStart"/>
      <w:r w:rsidR="00863C96">
        <w:rPr>
          <w:rFonts w:cs="Arial"/>
          <w:iCs/>
        </w:rPr>
        <w:t>q</w:t>
      </w:r>
      <w:r w:rsidR="00863C96">
        <w:rPr>
          <w:rFonts w:cs="Arial"/>
          <w:iCs/>
          <w:vertAlign w:val="subscript"/>
        </w:rPr>
        <w:t>x</w:t>
      </w:r>
      <w:proofErr w:type="spellEnd"/>
      <w:r>
        <w:rPr>
          <w:rFonts w:cs="Arial"/>
          <w:iCs/>
        </w:rPr>
        <w:t xml:space="preserve"> (viz Ukazatele úmrtnostních tabulek).</w:t>
      </w:r>
    </w:p>
    <w:sectPr w:rsidR="003477D7" w:rsidSect="003148A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CD" w:rsidRDefault="00E466CD" w:rsidP="00E71A58">
      <w:r>
        <w:separator/>
      </w:r>
    </w:p>
  </w:endnote>
  <w:endnote w:type="continuationSeparator" w:id="0">
    <w:p w:rsidR="00E466CD" w:rsidRDefault="00E466C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91CCC1D" wp14:editId="10CF66A7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FA1E0A4" wp14:editId="0033FAD4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284876"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CD" w:rsidRDefault="00E466CD" w:rsidP="00E71A58">
      <w:r>
        <w:separator/>
      </w:r>
    </w:p>
  </w:footnote>
  <w:footnote w:type="continuationSeparator" w:id="0">
    <w:p w:rsidR="00E466CD" w:rsidRDefault="00E466C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Default="00284876" w:rsidP="001E7E48">
    <w:pPr>
      <w:pStyle w:val="Zhlav"/>
    </w:pPr>
    <w:r>
      <w:t xml:space="preserve">Úmrtnostní tabulky </w:t>
    </w:r>
    <w:r w:rsidR="007D39CB">
      <w:t>v časové řadě</w:t>
    </w:r>
  </w:p>
  <w:p w:rsidR="00B36C57" w:rsidRPr="00B36C57" w:rsidRDefault="00B36C57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in </w:t>
    </w:r>
    <w:proofErr w:type="spellStart"/>
    <w:r>
      <w:rPr>
        <w:i/>
      </w:rPr>
      <w:t>Time</w:t>
    </w:r>
    <w:proofErr w:type="spellEnd"/>
    <w:r>
      <w:rPr>
        <w:i/>
      </w:rPr>
      <w:t xml:space="preserve"> </w:t>
    </w:r>
    <w:proofErr w:type="spellStart"/>
    <w:r>
      <w:rPr>
        <w:i/>
      </w:rPr>
      <w:t>Series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57" w:rsidRDefault="00284876" w:rsidP="00937AE2">
    <w:pPr>
      <w:pStyle w:val="Zhlav"/>
    </w:pPr>
    <w:r>
      <w:t xml:space="preserve">Úmrtnostní tabulky </w:t>
    </w:r>
    <w:r w:rsidR="007D39CB">
      <w:t>v časové řadě</w:t>
    </w:r>
  </w:p>
  <w:p w:rsidR="00284876" w:rsidRPr="00937AE2" w:rsidRDefault="00B36C57" w:rsidP="00937AE2">
    <w:pPr>
      <w:pStyle w:val="Zhlav"/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in </w:t>
    </w:r>
    <w:proofErr w:type="spellStart"/>
    <w:r>
      <w:rPr>
        <w:i/>
      </w:rPr>
      <w:t>Time</w:t>
    </w:r>
    <w:proofErr w:type="spellEnd"/>
    <w:r>
      <w:rPr>
        <w:i/>
      </w:rPr>
      <w:t xml:space="preserve"> </w:t>
    </w:r>
    <w:proofErr w:type="spellStart"/>
    <w:r>
      <w:rPr>
        <w:i/>
      </w:rPr>
      <w:t>Series</w:t>
    </w:r>
    <w:proofErr w:type="spellEnd"/>
    <w:r w:rsidR="007D39C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C08FC"/>
    <w:multiLevelType w:val="hybridMultilevel"/>
    <w:tmpl w:val="BD0600CC"/>
    <w:lvl w:ilvl="0" w:tplc="C99CE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4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5"/>
  </w:num>
  <w:num w:numId="21">
    <w:abstractNumId w:val="10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67BA8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46CA"/>
    <w:rsid w:val="000A7ED2"/>
    <w:rsid w:val="000B02B7"/>
    <w:rsid w:val="000C3408"/>
    <w:rsid w:val="000C6AFD"/>
    <w:rsid w:val="000D5637"/>
    <w:rsid w:val="000E6FBD"/>
    <w:rsid w:val="000F2482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D76C7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0642"/>
    <w:rsid w:val="002436BA"/>
    <w:rsid w:val="00244A15"/>
    <w:rsid w:val="00247319"/>
    <w:rsid w:val="0024799E"/>
    <w:rsid w:val="00251EC0"/>
    <w:rsid w:val="00253C0F"/>
    <w:rsid w:val="002603F7"/>
    <w:rsid w:val="00270A33"/>
    <w:rsid w:val="00271465"/>
    <w:rsid w:val="00284876"/>
    <w:rsid w:val="00285412"/>
    <w:rsid w:val="0029097D"/>
    <w:rsid w:val="002A16D4"/>
    <w:rsid w:val="002A230C"/>
    <w:rsid w:val="002A3C4F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148A4"/>
    <w:rsid w:val="003209D6"/>
    <w:rsid w:val="0032656E"/>
    <w:rsid w:val="00332190"/>
    <w:rsid w:val="00344668"/>
    <w:rsid w:val="003462D9"/>
    <w:rsid w:val="003477D7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B7305"/>
    <w:rsid w:val="003C3490"/>
    <w:rsid w:val="003D3BEB"/>
    <w:rsid w:val="003D6920"/>
    <w:rsid w:val="003E4C91"/>
    <w:rsid w:val="003F313C"/>
    <w:rsid w:val="003F551C"/>
    <w:rsid w:val="003F7325"/>
    <w:rsid w:val="00407C13"/>
    <w:rsid w:val="00410638"/>
    <w:rsid w:val="00432A58"/>
    <w:rsid w:val="00434617"/>
    <w:rsid w:val="00440900"/>
    <w:rsid w:val="004441A0"/>
    <w:rsid w:val="00465AC8"/>
    <w:rsid w:val="00476240"/>
    <w:rsid w:val="0047642B"/>
    <w:rsid w:val="00476439"/>
    <w:rsid w:val="00477325"/>
    <w:rsid w:val="0047735C"/>
    <w:rsid w:val="004776BC"/>
    <w:rsid w:val="004811FC"/>
    <w:rsid w:val="0048139F"/>
    <w:rsid w:val="00481E40"/>
    <w:rsid w:val="00484ECE"/>
    <w:rsid w:val="004915CB"/>
    <w:rsid w:val="00491B26"/>
    <w:rsid w:val="004A1719"/>
    <w:rsid w:val="004A3212"/>
    <w:rsid w:val="004A61C5"/>
    <w:rsid w:val="004A77DF"/>
    <w:rsid w:val="004B1417"/>
    <w:rsid w:val="004B5050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0EF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2E5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7742A"/>
    <w:rsid w:val="00583FFD"/>
    <w:rsid w:val="005911BE"/>
    <w:rsid w:val="00593152"/>
    <w:rsid w:val="005A10F2"/>
    <w:rsid w:val="005A21E0"/>
    <w:rsid w:val="005A28FF"/>
    <w:rsid w:val="005A3DF8"/>
    <w:rsid w:val="005A4474"/>
    <w:rsid w:val="005A5549"/>
    <w:rsid w:val="005B121D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0E9C"/>
    <w:rsid w:val="006D3E8A"/>
    <w:rsid w:val="006D61F6"/>
    <w:rsid w:val="006E279A"/>
    <w:rsid w:val="006E313B"/>
    <w:rsid w:val="00704A5B"/>
    <w:rsid w:val="00706AD4"/>
    <w:rsid w:val="00711B58"/>
    <w:rsid w:val="007140BE"/>
    <w:rsid w:val="007211F5"/>
    <w:rsid w:val="00725BB5"/>
    <w:rsid w:val="00730AE8"/>
    <w:rsid w:val="007340E6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39CB"/>
    <w:rsid w:val="007D40DF"/>
    <w:rsid w:val="007E7E61"/>
    <w:rsid w:val="007F0845"/>
    <w:rsid w:val="00807C82"/>
    <w:rsid w:val="00816905"/>
    <w:rsid w:val="00821FF6"/>
    <w:rsid w:val="0083143E"/>
    <w:rsid w:val="00831CDE"/>
    <w:rsid w:val="00834304"/>
    <w:rsid w:val="00834FAA"/>
    <w:rsid w:val="00836086"/>
    <w:rsid w:val="008466CA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3C96"/>
    <w:rsid w:val="00865E4C"/>
    <w:rsid w:val="008701E4"/>
    <w:rsid w:val="00875A32"/>
    <w:rsid w:val="00876086"/>
    <w:rsid w:val="00883086"/>
    <w:rsid w:val="00884704"/>
    <w:rsid w:val="008873D4"/>
    <w:rsid w:val="00892F55"/>
    <w:rsid w:val="00893E85"/>
    <w:rsid w:val="00894031"/>
    <w:rsid w:val="008A32D0"/>
    <w:rsid w:val="008A36AF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10C5"/>
    <w:rsid w:val="00902500"/>
    <w:rsid w:val="00902EFF"/>
    <w:rsid w:val="00910547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7AE2"/>
    <w:rsid w:val="0094427A"/>
    <w:rsid w:val="00956240"/>
    <w:rsid w:val="00961E3D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C81"/>
    <w:rsid w:val="00A23E43"/>
    <w:rsid w:val="00A26D8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2970"/>
    <w:rsid w:val="00AA2996"/>
    <w:rsid w:val="00AA3FE9"/>
    <w:rsid w:val="00AA52BF"/>
    <w:rsid w:val="00AA559A"/>
    <w:rsid w:val="00AB2AF1"/>
    <w:rsid w:val="00AC1083"/>
    <w:rsid w:val="00AD306C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36C57"/>
    <w:rsid w:val="00B402FC"/>
    <w:rsid w:val="00B46604"/>
    <w:rsid w:val="00B46FE8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4655"/>
    <w:rsid w:val="00BD6D50"/>
    <w:rsid w:val="00BE18B9"/>
    <w:rsid w:val="00BE2495"/>
    <w:rsid w:val="00BE3108"/>
    <w:rsid w:val="00BE6B7B"/>
    <w:rsid w:val="00BF1578"/>
    <w:rsid w:val="00C21F94"/>
    <w:rsid w:val="00C27913"/>
    <w:rsid w:val="00C33B68"/>
    <w:rsid w:val="00C36A79"/>
    <w:rsid w:val="00C405D4"/>
    <w:rsid w:val="00C446ED"/>
    <w:rsid w:val="00C4513B"/>
    <w:rsid w:val="00C543D8"/>
    <w:rsid w:val="00C54697"/>
    <w:rsid w:val="00C55411"/>
    <w:rsid w:val="00C6752D"/>
    <w:rsid w:val="00C73885"/>
    <w:rsid w:val="00C747B1"/>
    <w:rsid w:val="00C82191"/>
    <w:rsid w:val="00C84C6C"/>
    <w:rsid w:val="00C8621D"/>
    <w:rsid w:val="00C90CF4"/>
    <w:rsid w:val="00C92EB6"/>
    <w:rsid w:val="00C93389"/>
    <w:rsid w:val="00C96CCE"/>
    <w:rsid w:val="00CB2C9B"/>
    <w:rsid w:val="00CB4930"/>
    <w:rsid w:val="00CB6CA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594D"/>
    <w:rsid w:val="00D66223"/>
    <w:rsid w:val="00D8084C"/>
    <w:rsid w:val="00D922F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0D53"/>
    <w:rsid w:val="00E01C0E"/>
    <w:rsid w:val="00E037DD"/>
    <w:rsid w:val="00E03F9A"/>
    <w:rsid w:val="00E04694"/>
    <w:rsid w:val="00E12B1E"/>
    <w:rsid w:val="00E17262"/>
    <w:rsid w:val="00E22D40"/>
    <w:rsid w:val="00E253A2"/>
    <w:rsid w:val="00E3309D"/>
    <w:rsid w:val="00E466C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D4F0D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5627F"/>
    <w:rsid w:val="00F63DDE"/>
    <w:rsid w:val="00F63FB7"/>
    <w:rsid w:val="00F649D2"/>
    <w:rsid w:val="00F6602B"/>
    <w:rsid w:val="00F66749"/>
    <w:rsid w:val="00F73A0C"/>
    <w:rsid w:val="00F756DB"/>
    <w:rsid w:val="00F82157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unhideWhenUsed/>
    <w:rsid w:val="00C84C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unhideWhenUsed/>
    <w:rsid w:val="00C84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3EE2-D42D-4531-9560-26E9B348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32</TotalTime>
  <Pages>3</Pages>
  <Words>1076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5</cp:revision>
  <cp:lastPrinted>2018-10-08T09:06:00Z</cp:lastPrinted>
  <dcterms:created xsi:type="dcterms:W3CDTF">2018-10-09T07:59:00Z</dcterms:created>
  <dcterms:modified xsi:type="dcterms:W3CDTF">2018-10-12T09:44:00Z</dcterms:modified>
</cp:coreProperties>
</file>