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28" w:rsidRPr="009110F7" w:rsidRDefault="00C62828" w:rsidP="00C62828">
      <w:pPr>
        <w:pStyle w:val="Nadpis11"/>
      </w:pPr>
      <w:bookmarkStart w:id="0" w:name="_Toc525046021"/>
      <w:r w:rsidRPr="009110F7">
        <w:t>2. Souhrnná výkonnost</w:t>
      </w:r>
      <w:bookmarkEnd w:id="0"/>
    </w:p>
    <w:tbl>
      <w:tblPr>
        <w:tblW w:w="9644" w:type="dxa"/>
        <w:tblInd w:w="-20" w:type="dxa"/>
        <w:tblCellMar>
          <w:left w:w="0" w:type="dxa"/>
          <w:right w:w="0" w:type="dxa"/>
        </w:tblCellMar>
        <w:tblLook w:val="00A0"/>
      </w:tblPr>
      <w:tblGrid>
        <w:gridCol w:w="1889"/>
        <w:gridCol w:w="250"/>
        <w:gridCol w:w="7505"/>
      </w:tblGrid>
      <w:tr w:rsidR="00FE2C7E" w:rsidRPr="009110F7" w:rsidTr="001F1E33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Marginlie"/>
            </w:pPr>
            <w:r>
              <w:t>Meziroční dynamika růst</w:t>
            </w:r>
            <w:r w:rsidR="00677591">
              <w:t>u</w:t>
            </w:r>
            <w:r>
              <w:t xml:space="preserve"> HDP ve 2. čtvrtletí výrazně zpomalila.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Pr="00B83E07" w:rsidRDefault="00FE2C7E" w:rsidP="00B83E07">
            <w:pPr>
              <w:spacing w:after="220"/>
              <w:rPr>
                <w:spacing w:val="-2"/>
              </w:rPr>
            </w:pPr>
            <w:r w:rsidRPr="00B83E07">
              <w:rPr>
                <w:spacing w:val="-2"/>
              </w:rPr>
              <w:t>Vysoké meziroční tempo hospodářského růstu, které charakterizovalo českou ekonomiku v minulém roce, se</w:t>
            </w:r>
            <w:r w:rsidR="00AA2AF4" w:rsidRPr="00B83E07">
              <w:rPr>
                <w:spacing w:val="-2"/>
              </w:rPr>
              <w:t xml:space="preserve"> v 1. polovině roku 2018</w:t>
            </w:r>
            <w:r w:rsidRPr="00B83E07">
              <w:rPr>
                <w:spacing w:val="-2"/>
              </w:rPr>
              <w:t xml:space="preserve"> neudrželo. Mírné zpomalení přišlo již v 1. čtvrtletí, kdy růst hrubého domácího produktu (HDP) dosáhl 4,1</w:t>
            </w:r>
            <w:r w:rsidR="007B0E83">
              <w:rPr>
                <w:spacing w:val="-2"/>
              </w:rPr>
              <w:t> %</w:t>
            </w:r>
            <w:r w:rsidRPr="00B83E07">
              <w:rPr>
                <w:rStyle w:val="Znakapoznpodarou"/>
                <w:rFonts w:cs="Arial"/>
                <w:spacing w:val="-2"/>
              </w:rPr>
              <w:footnoteReference w:id="1"/>
            </w:r>
            <w:r w:rsidRPr="00B83E07">
              <w:rPr>
                <w:spacing w:val="-2"/>
              </w:rPr>
              <w:t>. Definitivně to potvrdil meziroční přírůstek ve 2. čtvrtletí 2018. Ten dosáhl 2,4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 xml:space="preserve">, což je nejnižší hodnota od konce roku 2016. Pozitivně </w:t>
            </w:r>
            <w:r w:rsidR="00B83E07">
              <w:rPr>
                <w:spacing w:val="-2"/>
              </w:rPr>
              <w:t>na růst HDP působila spotřeba i</w:t>
            </w:r>
            <w:r w:rsidR="00B83E07" w:rsidRPr="00B83E07">
              <w:rPr>
                <w:spacing w:val="-2"/>
              </w:rPr>
              <w:t> </w:t>
            </w:r>
            <w:r w:rsidRPr="00B83E07">
              <w:rPr>
                <w:spacing w:val="-2"/>
              </w:rPr>
              <w:t xml:space="preserve">investiční výdaje, stejně tak bilance zahraničního obchodu. Výrazně se však projevil negativní vliv změny zásob. Mezičtvrtletní dynamika HDP je v posledních čtvrtletích poměrně stabilní. Po mimořádně vysokých čtvrtletních přírůstcích v 1. pololetí 2017, jejichž </w:t>
            </w:r>
            <w:r w:rsidR="00171FEA" w:rsidRPr="00B83E07">
              <w:rPr>
                <w:spacing w:val="-2"/>
              </w:rPr>
              <w:t>impul</w:t>
            </w:r>
            <w:r w:rsidR="00171FEA">
              <w:rPr>
                <w:spacing w:val="-2"/>
              </w:rPr>
              <w:t>z</w:t>
            </w:r>
            <w:r w:rsidR="00171FEA" w:rsidRPr="00B83E07">
              <w:rPr>
                <w:spacing w:val="-2"/>
              </w:rPr>
              <w:t xml:space="preserve"> </w:t>
            </w:r>
            <w:r w:rsidRPr="00B83E07">
              <w:rPr>
                <w:spacing w:val="-2"/>
              </w:rPr>
              <w:t>se následně promítl do výrazného meziročního tempa, se dynamika vrátila na nižší úroveň. Oproti 1. čtvrtletí tak HDP ve 2. kvartálu vzrostl o 0,7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>. Meziroční růst hrubé přidané hodnoty (HPH) ve 2. čtvrtletí kopíroval HDP, když dosáhl 4,2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>. Mezičtvrtletní přírůstek HPH naopak lehce zaostával (0,5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>). Zpracovatelský průmysl si svou významnou úlohu v růstu HPH zachoval, příspěvek služeb však tentokrát v dynamice výrazně dominoval</w:t>
            </w:r>
            <w:r w:rsidR="00B83E07" w:rsidRPr="00B83E07">
              <w:rPr>
                <w:spacing w:val="-2"/>
              </w:rPr>
              <w:t>.</w:t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Marginlie"/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Pr="0041745D" w:rsidRDefault="00FE2C7E" w:rsidP="00FE2C7E">
            <w:pPr>
              <w:spacing w:after="0"/>
              <w:rPr>
                <w:b/>
              </w:rPr>
            </w:pPr>
            <w:r w:rsidRPr="0041745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Graf </w:t>
            </w:r>
            <w:proofErr w:type="gramStart"/>
            <w:r w:rsidRPr="0041745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č. </w:t>
            </w:r>
            <w:r w:rsidRPr="0066301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1  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HDP</w:t>
            </w:r>
            <w:proofErr w:type="gramEnd"/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 xml:space="preserve"> (objemové indexy, očištěno o sezónní a kalendářní vlivy, v</w:t>
            </w:r>
            <w:r w:rsidR="007B0E83">
              <w:rPr>
                <w:rFonts w:cs="Arial"/>
                <w:b/>
                <w:sz w:val="18"/>
                <w:szCs w:val="18"/>
                <w:lang w:eastAsia="en-US"/>
              </w:rPr>
              <w:t> %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spacing w:after="0"/>
            </w:pPr>
            <w:r w:rsidRPr="00465E90">
              <w:rPr>
                <w:noProof/>
              </w:rPr>
              <w:drawing>
                <wp:inline distT="0" distB="0" distL="0" distR="0">
                  <wp:extent cx="4735830" cy="3430829"/>
                  <wp:effectExtent l="0" t="0" r="0" b="0"/>
                  <wp:docPr id="2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Pr="009110F7" w:rsidRDefault="00FE2C7E" w:rsidP="00B83E07">
            <w:pPr>
              <w:spacing w:after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Zdroj: ČSÚ, </w:t>
            </w:r>
            <w:proofErr w:type="spellStart"/>
            <w:r>
              <w:rPr>
                <w:sz w:val="14"/>
                <w:szCs w:val="14"/>
              </w:rPr>
              <w:t>Eurostat</w:t>
            </w:r>
            <w:proofErr w:type="spellEnd"/>
          </w:p>
        </w:tc>
      </w:tr>
      <w:tr w:rsidR="00FE2C7E" w:rsidRPr="009110F7" w:rsidTr="001F1E33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Marginlie"/>
            </w:pPr>
            <w:r>
              <w:t>K menšímu zpomalení došlo i v Evropské unii.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Default="00FE2C7E" w:rsidP="00B83E07">
            <w:pPr>
              <w:spacing w:after="0"/>
            </w:pPr>
            <w:r>
              <w:t>Meziroční dynamika růstu HDP v Evropské unii rovněž mírně zpomalila. Celkový přírůstek dosáhl 2,1</w:t>
            </w:r>
            <w:r w:rsidR="007B0E83">
              <w:t> %</w:t>
            </w:r>
            <w:r w:rsidRPr="009110F7">
              <w:rPr>
                <w:rStyle w:val="Znakapoznpodarou"/>
                <w:spacing w:val="-2"/>
              </w:rPr>
              <w:footnoteReference w:id="2"/>
            </w:r>
            <w:r>
              <w:t xml:space="preserve"> a u většiny zemí EU se zmírnil. Nejvyšších meziročních přírůstků dosáhly ve 2. čtvrtletí ekonomiky Malty (5,7</w:t>
            </w:r>
            <w:r w:rsidR="007B0E83">
              <w:t> %</w:t>
            </w:r>
            <w:r>
              <w:t>), Polska (5,0</w:t>
            </w:r>
            <w:r w:rsidR="007B0E83">
              <w:t> %</w:t>
            </w:r>
            <w:r>
              <w:t>) a Maďarska (4,6</w:t>
            </w:r>
            <w:r w:rsidR="007B0E83">
              <w:t> %</w:t>
            </w:r>
            <w:r>
              <w:t xml:space="preserve">). U této trojice zemí rovněž došlo k nejvyššímu meziročnímu nárůstu domácí spotřeby, Maďarsko a Malta se umístily v první trojici zemí s nejvyšším přírůstkem investiční aktivity. Na opačné straně srovnání se </w:t>
            </w:r>
            <w:r w:rsidR="00171FEA">
              <w:t xml:space="preserve">octly </w:t>
            </w:r>
            <w:r>
              <w:t>Dánsko (přírůstek HDP 0,6 %), Itálie (1,2</w:t>
            </w:r>
            <w:r w:rsidR="007B0E83">
              <w:t> %</w:t>
            </w:r>
            <w:r>
              <w:t>) a Velká Británie (1,3</w:t>
            </w:r>
            <w:r w:rsidR="007B0E83">
              <w:t> %</w:t>
            </w:r>
            <w:r>
              <w:t>). Mezičtvrtletní tempo</w:t>
            </w:r>
            <w:r w:rsidR="00AA2AF4">
              <w:t xml:space="preserve"> růstu HDP v EU</w:t>
            </w:r>
            <w:r>
              <w:t xml:space="preserve"> se udrželo na hodnotě předchozího čtvrtletí (0,4</w:t>
            </w:r>
            <w:r w:rsidR="007B0E83">
              <w:t> %</w:t>
            </w:r>
            <w:r>
              <w:t>). Nejvyššího mezičtvrtletního přírůstku dosáhla Malta (1,9</w:t>
            </w:r>
            <w:r w:rsidR="007B0E83">
              <w:t> %</w:t>
            </w:r>
            <w:r>
              <w:t xml:space="preserve">), kterou tento </w:t>
            </w:r>
            <w:r w:rsidR="00171FEA">
              <w:t xml:space="preserve">impulz </w:t>
            </w:r>
            <w:r>
              <w:t>dostal na vrchol i v meziročním pohledu. Shodně o 1,4</w:t>
            </w:r>
            <w:r w:rsidR="007B0E83">
              <w:t> %</w:t>
            </w:r>
            <w:r>
              <w:t xml:space="preserve"> se </w:t>
            </w:r>
            <w:proofErr w:type="spellStart"/>
            <w:r w:rsidR="00171FEA">
              <w:t>mezičtvrtletně</w:t>
            </w:r>
            <w:proofErr w:type="spellEnd"/>
            <w:r w:rsidR="00171FEA">
              <w:t xml:space="preserve"> </w:t>
            </w:r>
            <w:r>
              <w:t xml:space="preserve">zvýšil HDP v Estonsku a Rumunsku. </w:t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Marginlie"/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Pr="0041745D" w:rsidRDefault="00FE2C7E" w:rsidP="00FE2C7E">
            <w:pPr>
              <w:spacing w:after="0"/>
              <w:rPr>
                <w:b/>
                <w:sz w:val="18"/>
                <w:szCs w:val="18"/>
              </w:rPr>
            </w:pPr>
            <w:r w:rsidRPr="0041745D">
              <w:rPr>
                <w:b/>
                <w:spacing w:val="-4"/>
                <w:sz w:val="18"/>
                <w:szCs w:val="18"/>
                <w:lang w:eastAsia="en-US"/>
              </w:rPr>
              <w:t xml:space="preserve">Graf </w:t>
            </w:r>
            <w:proofErr w:type="gramStart"/>
            <w:r w:rsidRPr="0041745D">
              <w:rPr>
                <w:b/>
                <w:spacing w:val="-4"/>
                <w:sz w:val="18"/>
                <w:szCs w:val="18"/>
                <w:lang w:eastAsia="en-US"/>
              </w:rPr>
              <w:t xml:space="preserve">č. 2  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HDP</w:t>
            </w:r>
            <w:proofErr w:type="gramEnd"/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 xml:space="preserve"> (objemové indexy, očištěno o sezónní a kalendářní vlivy, meziročně v %, pravá osa) a indikátory důvěry (2005</w:t>
            </w:r>
            <w:r w:rsidR="00BB15C3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=</w:t>
            </w:r>
            <w:r w:rsidR="00BB15C3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100, levá osa)</w:t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spacing w:after="0"/>
            </w:pPr>
            <w:r w:rsidRPr="00465E90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23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  <w:tr w:rsidR="00FE2C7E" w:rsidRPr="009110F7" w:rsidTr="001F1E33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Marginlie"/>
            </w:pPr>
            <w:r>
              <w:t>Výdaje na domácí spotřebu rostly poměrně silným tempem, i když mírněji než v minulém roce.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Default="00FE2C7E" w:rsidP="00AA2AF4">
            <w:r>
              <w:t>Meziroční růst celkových výdajů na konečnou spotřebu ve 2. čtvrtletí zpomalil na 3,3 %, což zároveň znamenalo redukci příspěvku spotřeby k celkovému růstu HDP na 1,8</w:t>
            </w:r>
            <w:r w:rsidR="00EA4402">
              <w:t> p. b.</w:t>
            </w:r>
            <w:r w:rsidRPr="009110F7">
              <w:rPr>
                <w:rStyle w:val="Znakapoznpodarou"/>
              </w:rPr>
              <w:footnoteReference w:id="3"/>
            </w:r>
            <w:r>
              <w:t xml:space="preserve"> Na výsledném tempu se projevila vysoká srovnávací základna minulého roku</w:t>
            </w:r>
            <w:r w:rsidR="00AA2AF4">
              <w:t>. O</w:t>
            </w:r>
            <w:r>
              <w:t>proti 1. čtvrtletí se však výrazně zpomalila i mezičtvrtletní dynamika (1,2</w:t>
            </w:r>
            <w:r w:rsidR="007B0E83">
              <w:t> %</w:t>
            </w:r>
            <w:r>
              <w:t xml:space="preserve"> a 0,5</w:t>
            </w:r>
            <w:r w:rsidR="007B0E83">
              <w:t> %</w:t>
            </w:r>
            <w:r>
              <w:t xml:space="preserve"> v 1. a 2</w:t>
            </w:r>
            <w:r w:rsidR="001057C2">
              <w:t xml:space="preserve">. </w:t>
            </w:r>
            <w:r>
              <w:t>čtvrtletí). Ke zpomalení došlo u spotřeby domácností i vládních institucí. Výdaje domácností ve 2. čtvrtletí vzrostly meziročně o 3,5</w:t>
            </w:r>
            <w:r w:rsidR="007B0E83">
              <w:t> %</w:t>
            </w:r>
            <w:r>
              <w:t xml:space="preserve"> (nejméně od konce roku 2016) a přispěly k celkovému růstu HDP 1,3</w:t>
            </w:r>
            <w:r w:rsidR="00EA4402">
              <w:t> p. </w:t>
            </w:r>
            <w:proofErr w:type="spellStart"/>
            <w:r w:rsidR="00EA4402">
              <w:t>b</w:t>
            </w:r>
            <w:proofErr w:type="spellEnd"/>
            <w:r w:rsidR="00EA4402">
              <w:t>.</w:t>
            </w:r>
            <w:r>
              <w:t xml:space="preserve"> Mezičtvrtletní přírůstek dosáhl 0,7</w:t>
            </w:r>
            <w:r w:rsidR="007B0E83">
              <w:t> %</w:t>
            </w:r>
            <w:r>
              <w:t>. Pohled na vývoj spotřeby podle trvanlivosti</w:t>
            </w:r>
            <w:r w:rsidRPr="009110F7">
              <w:rPr>
                <w:rStyle w:val="Znakapoznpodarou"/>
              </w:rPr>
              <w:footnoteReference w:id="4"/>
            </w:r>
            <w:r>
              <w:t xml:space="preserve"> ukazuje, že s výjimkou zboží střednědobé spotřeby (6,8</w:t>
            </w:r>
            <w:r w:rsidR="007B0E83">
              <w:t> %</w:t>
            </w:r>
            <w:r>
              <w:t>) došlo k mírnému zpomalení meziroční dynamiky u všech segmentů. Poměrně silné tempo si však udržely výdaje na netrvanlivé statky (3,3</w:t>
            </w:r>
            <w:r w:rsidR="007B0E83">
              <w:t> %</w:t>
            </w:r>
            <w:r>
              <w:t>) i služby (3,4</w:t>
            </w:r>
            <w:r w:rsidR="007B0E83">
              <w:t> %</w:t>
            </w:r>
            <w:r>
              <w:t>). Po mimořádně silném mezičtvrtletním i</w:t>
            </w:r>
            <w:r w:rsidR="007E4C70">
              <w:t> </w:t>
            </w:r>
            <w:r>
              <w:t>meziročním přírůstku v 1. čtvrtletí došlo k útlumu dynamiky u spotřebních výdajů vládních institucí. Ve 2. čtvrtletí tedy meziroční tempo kleslo na 2,6</w:t>
            </w:r>
            <w:r w:rsidR="007B0E83">
              <w:t> %</w:t>
            </w:r>
            <w:r>
              <w:t xml:space="preserve"> a</w:t>
            </w:r>
            <w:r w:rsidR="007E4C70">
              <w:t> </w:t>
            </w:r>
            <w:proofErr w:type="spellStart"/>
            <w:r>
              <w:t>mezičtvrtletně</w:t>
            </w:r>
            <w:proofErr w:type="spellEnd"/>
            <w:r>
              <w:t xml:space="preserve"> zde spotřeba </w:t>
            </w:r>
            <w:r w:rsidR="00EA4402">
              <w:t>v</w:t>
            </w:r>
            <w:r>
              <w:t>zrostla o 0,2</w:t>
            </w:r>
            <w:r w:rsidR="007B0E83">
              <w:t> %</w:t>
            </w:r>
            <w:r>
              <w:t>.</w:t>
            </w:r>
          </w:p>
        </w:tc>
      </w:tr>
      <w:tr w:rsidR="00FE2C7E" w:rsidRPr="009110F7" w:rsidTr="001F1E33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Marginlie"/>
            </w:pPr>
            <w:r>
              <w:t>Objem vyplacených mezd a platů se opět zvýšil o</w:t>
            </w:r>
            <w:r w:rsidR="003370C5">
              <w:t> </w:t>
            </w:r>
            <w:r>
              <w:t>více než 10</w:t>
            </w:r>
            <w:r w:rsidR="007B0E83">
              <w:t> %</w:t>
            </w:r>
            <w:r>
              <w:t>. I díky mírnému růstu cen se navýšení z výrazné části promítá do reálných příjmů.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Pr="00B83E07" w:rsidRDefault="00FE2C7E" w:rsidP="00AA2AF4">
            <w:pPr>
              <w:rPr>
                <w:spacing w:val="-2"/>
              </w:rPr>
            </w:pPr>
            <w:r w:rsidRPr="00B83E07">
              <w:rPr>
                <w:spacing w:val="-2"/>
              </w:rPr>
              <w:t>Zmírnění ekonomického růstu se zatím neprojevilo ve vývoji objemu mezd a platů. Ten ve 2. čtvrtletí celkově meziročně vzrostl o 10,2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>, což je jen o 0,3</w:t>
            </w:r>
            <w:r w:rsidR="00EA4402">
              <w:rPr>
                <w:spacing w:val="-2"/>
              </w:rPr>
              <w:t> p. b.</w:t>
            </w:r>
            <w:r w:rsidRPr="00B83E07">
              <w:rPr>
                <w:spacing w:val="-2"/>
              </w:rPr>
              <w:t xml:space="preserve"> </w:t>
            </w:r>
            <w:proofErr w:type="gramStart"/>
            <w:r w:rsidRPr="00B83E07">
              <w:rPr>
                <w:spacing w:val="-2"/>
              </w:rPr>
              <w:t>méně</w:t>
            </w:r>
            <w:proofErr w:type="gramEnd"/>
            <w:r w:rsidRPr="00B83E07">
              <w:rPr>
                <w:spacing w:val="-2"/>
              </w:rPr>
              <w:t xml:space="preserve"> než v předchozím kvartálu. Reálné navýšení mzdových prostředků dosáhlo 7,4</w:t>
            </w:r>
            <w:r w:rsidR="007B0E83">
              <w:rPr>
                <w:spacing w:val="-2"/>
              </w:rPr>
              <w:t> %</w:t>
            </w:r>
            <w:r w:rsidRPr="00B83E07">
              <w:rPr>
                <w:rStyle w:val="Znakapoznpodarou"/>
                <w:spacing w:val="-2"/>
              </w:rPr>
              <w:footnoteReference w:id="5"/>
            </w:r>
            <w:r w:rsidRPr="00B83E07">
              <w:rPr>
                <w:spacing w:val="-2"/>
              </w:rPr>
              <w:t>, takže se mírně snížilo oproti předchozímu období, stále však jde o mimořádně vysokou hodnotu. Růst celkové zaměstnanosti</w:t>
            </w:r>
            <w:r w:rsidRPr="00B83E07">
              <w:rPr>
                <w:rStyle w:val="Znakapoznpodarou"/>
                <w:spacing w:val="-2"/>
              </w:rPr>
              <w:footnoteReference w:id="6"/>
            </w:r>
            <w:r w:rsidRPr="00B83E07">
              <w:rPr>
                <w:spacing w:val="-2"/>
              </w:rPr>
              <w:t xml:space="preserve"> dosáhl 1,9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 xml:space="preserve"> v meziročním vyjádření a 0,6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 xml:space="preserve"> </w:t>
            </w:r>
            <w:proofErr w:type="spellStart"/>
            <w:r w:rsidRPr="00B83E07">
              <w:rPr>
                <w:spacing w:val="-2"/>
              </w:rPr>
              <w:t>mezičtvrtletně</w:t>
            </w:r>
            <w:proofErr w:type="spellEnd"/>
            <w:r w:rsidRPr="00B83E07">
              <w:rPr>
                <w:spacing w:val="-2"/>
              </w:rPr>
              <w:t>. Většina z nárůstu vyplacených mzdových prostředků se tak promítla do zvýšení průměrné mzdy. Zpracovatelský průmysl jako odvětví s největším počtem zaměstnanců celkovou dynamiku mezd z velké části ovlivňuje. Ve 2. čtvrtletí zde vzrostla zaměstnanost o 2,1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 xml:space="preserve">, což se promítlo i do vysokého nárůstu objemu mezd </w:t>
            </w:r>
            <w:r w:rsidRPr="00B83E07">
              <w:rPr>
                <w:spacing w:val="-2"/>
              </w:rPr>
              <w:lastRenderedPageBreak/>
              <w:t>a</w:t>
            </w:r>
            <w:r w:rsidR="00B83E07" w:rsidRPr="00B83E07">
              <w:rPr>
                <w:spacing w:val="-2"/>
              </w:rPr>
              <w:t> </w:t>
            </w:r>
            <w:r w:rsidRPr="00B83E07">
              <w:rPr>
                <w:spacing w:val="-2"/>
              </w:rPr>
              <w:t>platů o 9,1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 xml:space="preserve">. Nejvýraznějšího přírůstku dosáhl objem mezd a platů v odvětvích s dominancí </w:t>
            </w:r>
            <w:r w:rsidR="00F03F8D" w:rsidRPr="00F03F8D">
              <w:rPr>
                <w:spacing w:val="-2"/>
              </w:rPr>
              <w:t>veřejných institucí</w:t>
            </w:r>
            <w:r w:rsidR="00771972">
              <w:rPr>
                <w:rStyle w:val="Znakapoznpodarou"/>
                <w:spacing w:val="-2"/>
              </w:rPr>
              <w:footnoteReference w:id="7"/>
            </w:r>
            <w:r w:rsidR="00686DED" w:rsidRPr="00B83E07">
              <w:rPr>
                <w:spacing w:val="-2"/>
              </w:rPr>
              <w:t xml:space="preserve"> </w:t>
            </w:r>
            <w:r w:rsidRPr="00B83E07">
              <w:rPr>
                <w:spacing w:val="-2"/>
              </w:rPr>
              <w:t>(13,6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>). Stály za tím nárůst tarif</w:t>
            </w:r>
            <w:r w:rsidR="00AA2AF4" w:rsidRPr="00B83E07">
              <w:rPr>
                <w:spacing w:val="-2"/>
              </w:rPr>
              <w:t>ů</w:t>
            </w:r>
            <w:r w:rsidRPr="00B83E07">
              <w:rPr>
                <w:spacing w:val="-2"/>
              </w:rPr>
              <w:t xml:space="preserve"> spolu s navýšením </w:t>
            </w:r>
            <w:r w:rsidR="00AA2AF4" w:rsidRPr="00B83E07">
              <w:rPr>
                <w:spacing w:val="-2"/>
              </w:rPr>
              <w:t>počtu zaměstnaných osob</w:t>
            </w:r>
            <w:r w:rsidRPr="00B83E07">
              <w:rPr>
                <w:spacing w:val="-2"/>
              </w:rPr>
              <w:t xml:space="preserve"> o 2,7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>. Stejné meziroční dyna</w:t>
            </w:r>
            <w:r w:rsidR="00B83E07">
              <w:rPr>
                <w:spacing w:val="-2"/>
              </w:rPr>
              <w:t>miky mezd a platů dosáhly ve 2.</w:t>
            </w:r>
            <w:r w:rsidR="00B83E07" w:rsidRPr="00B83E07">
              <w:rPr>
                <w:spacing w:val="-2"/>
              </w:rPr>
              <w:t> </w:t>
            </w:r>
            <w:r w:rsidRPr="00B83E07">
              <w:rPr>
                <w:spacing w:val="-2"/>
              </w:rPr>
              <w:t>čtvrtletí i činnosti v oblasti nemovitostí, u nic</w:t>
            </w:r>
            <w:r w:rsidR="00B83E07">
              <w:rPr>
                <w:spacing w:val="-2"/>
              </w:rPr>
              <w:t>hž výslednému tempu napomohlo i</w:t>
            </w:r>
            <w:r w:rsidR="00B83E07" w:rsidRPr="00B83E07">
              <w:rPr>
                <w:spacing w:val="-2"/>
              </w:rPr>
              <w:t> </w:t>
            </w:r>
            <w:r w:rsidRPr="00B83E07">
              <w:rPr>
                <w:spacing w:val="-2"/>
              </w:rPr>
              <w:t>zvýšení celkové zaměstnanosti o 2,8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>. Nejvyššího růstu zaměstnanosti (4,6</w:t>
            </w:r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>) dosáhly informační a komunikační činnosti. Navzd</w:t>
            </w:r>
            <w:r w:rsidR="00B83E07">
              <w:rPr>
                <w:spacing w:val="-2"/>
              </w:rPr>
              <w:t>ory 11,1% nárůstu objemu mezd a</w:t>
            </w:r>
            <w:r w:rsidR="00B83E07" w:rsidRPr="00B83E07">
              <w:rPr>
                <w:spacing w:val="-2"/>
              </w:rPr>
              <w:t> </w:t>
            </w:r>
            <w:r w:rsidRPr="00B83E07">
              <w:rPr>
                <w:spacing w:val="-2"/>
              </w:rPr>
              <w:t xml:space="preserve">platů </w:t>
            </w:r>
            <w:r w:rsidR="0051475D" w:rsidRPr="00B83E07">
              <w:rPr>
                <w:spacing w:val="-2"/>
              </w:rPr>
              <w:t>ta</w:t>
            </w:r>
            <w:r w:rsidR="0051475D">
              <w:rPr>
                <w:spacing w:val="-2"/>
              </w:rPr>
              <w:t>m</w:t>
            </w:r>
            <w:r w:rsidR="0051475D" w:rsidRPr="00B83E07">
              <w:rPr>
                <w:spacing w:val="-2"/>
              </w:rPr>
              <w:t xml:space="preserve"> </w:t>
            </w:r>
            <w:r w:rsidRPr="00B83E07">
              <w:rPr>
                <w:spacing w:val="-2"/>
              </w:rPr>
              <w:t xml:space="preserve">průměrná mzda rostla pomaleji než ve zbytku </w:t>
            </w:r>
            <w:r w:rsidR="00AA2AF4" w:rsidRPr="00B83E07">
              <w:rPr>
                <w:spacing w:val="-2"/>
              </w:rPr>
              <w:t>hospodářství</w:t>
            </w:r>
            <w:r w:rsidR="00B83E07">
              <w:rPr>
                <w:spacing w:val="-2"/>
              </w:rPr>
              <w:t>. Jde však o</w:t>
            </w:r>
            <w:r w:rsidR="00B83E07" w:rsidRPr="00B83E07">
              <w:rPr>
                <w:spacing w:val="-2"/>
              </w:rPr>
              <w:t> </w:t>
            </w:r>
            <w:r w:rsidRPr="00B83E07">
              <w:rPr>
                <w:spacing w:val="-2"/>
              </w:rPr>
              <w:t xml:space="preserve">odvětví s druhou nejvyšší průměrnou mzdou v ekonomice, kde je výsledkem nižšího relativního růstu poměrně vysoké absolutní navýšení. Pokles zaměstnanosti navzdory oživení v odvětví probíhal u </w:t>
            </w:r>
            <w:proofErr w:type="gramStart"/>
            <w:r w:rsidRPr="00B83E07">
              <w:rPr>
                <w:spacing w:val="-2"/>
              </w:rPr>
              <w:t xml:space="preserve">stavebnictví </w:t>
            </w:r>
            <w:r w:rsidR="003370C5" w:rsidRPr="00B83E07">
              <w:rPr>
                <w:spacing w:val="-2"/>
              </w:rPr>
              <w:t>(</w:t>
            </w:r>
            <w:r w:rsidR="003370C5">
              <w:rPr>
                <w:spacing w:val="-2"/>
              </w:rPr>
              <w:t>–</w:t>
            </w:r>
            <w:r w:rsidRPr="00B83E07">
              <w:rPr>
                <w:spacing w:val="-2"/>
              </w:rPr>
              <w:t>0,7</w:t>
            </w:r>
            <w:proofErr w:type="gramEnd"/>
            <w:r w:rsidR="007B0E83">
              <w:rPr>
                <w:spacing w:val="-2"/>
              </w:rPr>
              <w:t> %</w:t>
            </w:r>
            <w:r w:rsidRPr="00B83E07">
              <w:rPr>
                <w:spacing w:val="-2"/>
              </w:rPr>
              <w:t>). Výsledný nárůst objemu mezd byl rovněž nejnižší v celé ekonomice (7,1 %).</w:t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Marginlie"/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Pr="0041745D" w:rsidRDefault="00FE2C7E" w:rsidP="00FE2C7E">
            <w:pPr>
              <w:spacing w:after="0"/>
              <w:rPr>
                <w:b/>
                <w:sz w:val="18"/>
                <w:szCs w:val="18"/>
              </w:rPr>
            </w:pPr>
            <w:r w:rsidRPr="0041745D">
              <w:rPr>
                <w:b/>
                <w:sz w:val="18"/>
                <w:szCs w:val="18"/>
              </w:rPr>
              <w:t xml:space="preserve">Graf </w:t>
            </w:r>
            <w:proofErr w:type="gramStart"/>
            <w:r w:rsidRPr="0041745D">
              <w:rPr>
                <w:b/>
                <w:sz w:val="18"/>
                <w:szCs w:val="18"/>
              </w:rPr>
              <w:t xml:space="preserve">č. 3  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Příspěvky</w:t>
            </w:r>
            <w:proofErr w:type="gramEnd"/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 xml:space="preserve"> výdajových složek k reálné změně HDP* (objemové indexy, meziroční růst, příspěvky v p. b., HDP v</w:t>
            </w:r>
            <w:r w:rsidR="007B0E83">
              <w:rPr>
                <w:rFonts w:cs="Arial"/>
                <w:b/>
                <w:sz w:val="18"/>
                <w:szCs w:val="18"/>
                <w:lang w:eastAsia="en-US"/>
              </w:rPr>
              <w:t> %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spacing w:after="0"/>
            </w:pPr>
            <w:r w:rsidRPr="00465E90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24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  <w:p w:rsidR="00FE2C7E" w:rsidRPr="009110F7" w:rsidRDefault="00FE2C7E" w:rsidP="009657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*po vyloučení dovozu pro konečné užití</w:t>
            </w:r>
          </w:p>
        </w:tc>
      </w:tr>
      <w:tr w:rsidR="00FE2C7E" w:rsidRPr="009110F7" w:rsidTr="001F1E33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Marginlie"/>
            </w:pPr>
            <w:r>
              <w:t>Investiční aktivita nepolevuje. Ve zvýšené míře se na ní podílely investice do infrastruktury i</w:t>
            </w:r>
            <w:r w:rsidR="00DF3643">
              <w:t> </w:t>
            </w:r>
            <w:r>
              <w:t>obydlí.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Default="00FE2C7E" w:rsidP="00771972">
            <w:r>
              <w:t xml:space="preserve">Vysoké meziroční tempo </w:t>
            </w:r>
            <w:r w:rsidR="00AA2AF4">
              <w:t xml:space="preserve">růstu </w:t>
            </w:r>
            <w:r>
              <w:t>výdajů na tvorbu hrubého kapitálu, které v minulých obdobích výrazně podporovalo celkový hospodářský růst, poměrně výrazně pokleslo na hodnotu 2,4</w:t>
            </w:r>
            <w:r w:rsidR="007B0E83">
              <w:t> %</w:t>
            </w:r>
            <w:r>
              <w:t xml:space="preserve">. Důvodem je zejména změna zásob, jejíž výrazně negativní působení převážilo i 7,8% nárůst </w:t>
            </w:r>
            <w:r w:rsidR="00771972">
              <w:t>investic do f</w:t>
            </w:r>
            <w:r>
              <w:t>ixního kapitálu</w:t>
            </w:r>
            <w:r w:rsidR="00771972">
              <w:t>.</w:t>
            </w:r>
            <w:r>
              <w:t xml:space="preserve"> Výsledný příspěvek tvorby hrubého kapitálu k růstu HDP činil jen 0,1</w:t>
            </w:r>
            <w:r w:rsidR="00EA4402">
              <w:t> p. b.</w:t>
            </w:r>
            <w:r>
              <w:t>, ačkoli samotná investiční aktivita přidala 1,4</w:t>
            </w:r>
            <w:r w:rsidR="00EA4402">
              <w:t> p. b.</w:t>
            </w:r>
            <w:r>
              <w:t xml:space="preserve"> Věcné členění investiční aktivity</w:t>
            </w:r>
            <w:r w:rsidRPr="009110F7">
              <w:rPr>
                <w:rStyle w:val="Znakapoznpodarou"/>
              </w:rPr>
              <w:footnoteReference w:id="8"/>
            </w:r>
            <w:r>
              <w:t xml:space="preserve"> ukázalo, že ve 2. čtvrtletí pokračoval vysoký meziroční růst investic do obydlí (13,0</w:t>
            </w:r>
            <w:r w:rsidR="007B0E83">
              <w:t> %</w:t>
            </w:r>
            <w:r>
              <w:t>). Tento nárůst nepřímo ukazuje na stále vysokou investiční aktivitu domácností. K mírnému zpomalení došlo u investic do ICT a ostatních strojů a zařízení (7,9</w:t>
            </w:r>
            <w:r w:rsidR="007B0E83">
              <w:t> %</w:t>
            </w:r>
            <w:r>
              <w:t>). Naopak investiční výdaje na dopravní prostředky a zařízení navázaly na vysoké tempo růstu v 1. čtvrtletí a dále zrychlily na 13,9</w:t>
            </w:r>
            <w:r w:rsidR="007B0E83">
              <w:t> %</w:t>
            </w:r>
            <w:r>
              <w:t>. Investice do ostatních budov a staveb výrazněji nezabrzdila ani vysoká základna stejného období minulého roku a ty vzrostly o 10,7</w:t>
            </w:r>
            <w:r w:rsidR="007B0E83">
              <w:t> %</w:t>
            </w:r>
            <w:r>
              <w:t>.</w:t>
            </w:r>
          </w:p>
        </w:tc>
      </w:tr>
      <w:tr w:rsidR="00FE2C7E" w:rsidRPr="009110F7" w:rsidTr="001F1E33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FE2C7E" w:rsidRDefault="00AA2AF4" w:rsidP="00AA2AF4">
            <w:pPr>
              <w:pStyle w:val="Marginlie"/>
            </w:pPr>
            <w:r>
              <w:lastRenderedPageBreak/>
              <w:t>Přebytek b</w:t>
            </w:r>
            <w:r w:rsidR="00FE2C7E">
              <w:t>ilance zahraničního obchodu se</w:t>
            </w:r>
            <w:r w:rsidR="00FD4D12">
              <w:t> </w:t>
            </w:r>
            <w:r w:rsidR="00FE2C7E">
              <w:t>snížil.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Default="00FE2C7E" w:rsidP="00AA2AF4">
            <w:r>
              <w:t>Celkový přebytek obchodu se zbožím a službami v 1. pololetí dosáhl 185,4 mld. korun</w:t>
            </w:r>
            <w:r w:rsidRPr="009110F7">
              <w:rPr>
                <w:rStyle w:val="Znakapoznpodarou"/>
              </w:rPr>
              <w:footnoteReference w:id="9"/>
            </w:r>
            <w:r>
              <w:t xml:space="preserve"> a meziročně se snížil o 6,8 mld. Pokles byl rovnoměrně rozdělen mezi jednotlivá čtvrtletí. Ve 2. kvartálu činil přebytek 93,2 mld. korun a snížil se meziročně o</w:t>
            </w:r>
            <w:r w:rsidR="00FD4D12">
              <w:t> </w:t>
            </w:r>
            <w:r>
              <w:t xml:space="preserve">3,7 mld. Pokles přebytku se opět týkal pouze obchodu se </w:t>
            </w:r>
            <w:proofErr w:type="gramStart"/>
            <w:r>
              <w:t xml:space="preserve">zbožím </w:t>
            </w:r>
            <w:r w:rsidR="00FD4D12">
              <w:t>(–</w:t>
            </w:r>
            <w:r>
              <w:t>6,0</w:t>
            </w:r>
            <w:proofErr w:type="gramEnd"/>
            <w:r>
              <w:t xml:space="preserve"> mld.</w:t>
            </w:r>
            <w:r w:rsidR="00AA2AF4">
              <w:t xml:space="preserve"> korun</w:t>
            </w:r>
            <w:r>
              <w:t xml:space="preserve">), u služeb došlo k meziročnímu nárůstu </w:t>
            </w:r>
            <w:r w:rsidR="00FD4D12">
              <w:t>o </w:t>
            </w:r>
            <w:r>
              <w:t>2,3 mld. Směnné relace ve 2.</w:t>
            </w:r>
            <w:r w:rsidR="00FD4D12">
              <w:t> </w:t>
            </w:r>
            <w:r>
              <w:t>čtvrtletí mírně poklesly a dosáhly 100,3</w:t>
            </w:r>
            <w:r w:rsidR="007B0E83">
              <w:t> %</w:t>
            </w:r>
            <w:r>
              <w:t>.</w:t>
            </w:r>
          </w:p>
        </w:tc>
      </w:tr>
      <w:tr w:rsidR="00FE2C7E" w:rsidRPr="009110F7" w:rsidTr="001F1E33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Marginlie"/>
            </w:pPr>
            <w:r>
              <w:t>Růst HPH nejsilněji ovlivňovala odvětví služeb.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Default="00FE2C7E" w:rsidP="007E4C70">
            <w:r>
              <w:t>Vývoji hrubé přidané hodnoty v roce 2017 dominoval zpracovatelský průmysl, kterému sekundovala odvětví služeb podporovaná růstem domácí spotřeby. Ve 2. čtvrtletí</w:t>
            </w:r>
            <w:r w:rsidR="00A445A8">
              <w:t xml:space="preserve"> 2018</w:t>
            </w:r>
            <w:r>
              <w:t xml:space="preserve"> však došlo k výraznému zpomalení meziročního růstu HPH ve</w:t>
            </w:r>
            <w:r w:rsidR="007E4C70">
              <w:t> </w:t>
            </w:r>
            <w:r>
              <w:t>zpracovatelském průmyslu na 2,8</w:t>
            </w:r>
            <w:r w:rsidR="007B0E83">
              <w:t> %</w:t>
            </w:r>
            <w:r>
              <w:t xml:space="preserve"> (7,0</w:t>
            </w:r>
            <w:r w:rsidR="007B0E83">
              <w:t> %</w:t>
            </w:r>
            <w:r>
              <w:t xml:space="preserve"> v 1.</w:t>
            </w:r>
            <w:r w:rsidR="00FD4D12">
              <w:t> </w:t>
            </w:r>
            <w:r>
              <w:t>čtvrtletí) a zredukoval se i</w:t>
            </w:r>
            <w:r w:rsidR="007E4C70">
              <w:t> </w:t>
            </w:r>
            <w:r>
              <w:t>příspěvek k celkovému růstu HPH (0,8</w:t>
            </w:r>
            <w:r w:rsidR="00EA4402">
              <w:t> p. b.</w:t>
            </w:r>
            <w:r>
              <w:t>, nejméně od 3. čtvrtletí 2016). Celkový příspěvek služeb ve 2. čtvrtletí dosáhl 1,5</w:t>
            </w:r>
            <w:r w:rsidR="00EA4402">
              <w:t> p. b.</w:t>
            </w:r>
            <w:r>
              <w:t xml:space="preserve"> Nejvýrazněji přispíval</w:t>
            </w:r>
            <w:r w:rsidR="00FD4D12">
              <w:t>y</w:t>
            </w:r>
            <w:r>
              <w:t xml:space="preserve"> obchod, doprava, ubytování a pohostinství (0,7</w:t>
            </w:r>
            <w:r w:rsidR="00EA4402">
              <w:t> p. b.</w:t>
            </w:r>
            <w:r>
              <w:t>), kde HPH vzrostla o 3,4</w:t>
            </w:r>
            <w:r w:rsidR="007B0E83">
              <w:t> %</w:t>
            </w:r>
            <w:r>
              <w:t xml:space="preserve"> (oproti 1.</w:t>
            </w:r>
            <w:r w:rsidR="007E4C70">
              <w:t> </w:t>
            </w:r>
            <w:r>
              <w:t>čtvrtletí však došlo ke zpomalení). Nižší úroveň meziročního růstu byla společná většině odvětví služeb. Silné růstové tempo si zachoval</w:t>
            </w:r>
            <w:r w:rsidR="00AA2AF4">
              <w:t>y</w:t>
            </w:r>
            <w:r>
              <w:t xml:space="preserve"> informační a komunikační činnosti (4,6</w:t>
            </w:r>
            <w:r w:rsidR="007B0E83">
              <w:t> %</w:t>
            </w:r>
            <w:r>
              <w:t>, příspěvek 0,2</w:t>
            </w:r>
            <w:r w:rsidR="00EA4402">
              <w:t> p. b.</w:t>
            </w:r>
            <w:r>
              <w:t>). Stejného příspěvku k růstu HPH dosáhly profesní, vědecké, technické a administrativní činnosti (růst HPH dosáhl 2,9</w:t>
            </w:r>
            <w:r w:rsidR="007B0E83">
              <w:t> %</w:t>
            </w:r>
            <w:r>
              <w:t>) a</w:t>
            </w:r>
            <w:r w:rsidR="007E4C70">
              <w:t> </w:t>
            </w:r>
            <w:r>
              <w:t>odvětví s </w:t>
            </w:r>
            <w:r w:rsidR="00F03F8D" w:rsidRPr="00F03F8D">
              <w:t xml:space="preserve">dominancí </w:t>
            </w:r>
            <w:r w:rsidR="00F03F8D" w:rsidRPr="00F03F8D">
              <w:rPr>
                <w:spacing w:val="-2"/>
              </w:rPr>
              <w:t>veřejných institucí</w:t>
            </w:r>
            <w:r w:rsidRPr="00F03F8D">
              <w:t xml:space="preserve"> (</w:t>
            </w:r>
            <w:r>
              <w:t>zde růst HPH mírně zrychlil na 1,6</w:t>
            </w:r>
            <w:r w:rsidR="007B0E83">
              <w:t> %</w:t>
            </w:r>
            <w:r>
              <w:t>). Na</w:t>
            </w:r>
            <w:r w:rsidR="007E4C70">
              <w:t> </w:t>
            </w:r>
            <w:r>
              <w:t>rozdíl od zbytku ekonomiky příliš nepolevoval růst HPH u stavebnictví (5,0</w:t>
            </w:r>
            <w:r w:rsidR="007B0E83">
              <w:t> %</w:t>
            </w:r>
            <w:r>
              <w:t>), což se ukázalo i příspěvkem ve výši 0,3</w:t>
            </w:r>
            <w:r w:rsidR="00EA4402">
              <w:t> p. b.</w:t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Marginlie"/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Default="00FE2C7E" w:rsidP="00FE2C7E">
            <w:pPr>
              <w:spacing w:after="0"/>
            </w:pPr>
            <w:r w:rsidRPr="00A85DE1">
              <w:rPr>
                <w:b/>
                <w:sz w:val="18"/>
                <w:szCs w:val="18"/>
              </w:rPr>
              <w:t xml:space="preserve">Graf </w:t>
            </w:r>
            <w:proofErr w:type="gramStart"/>
            <w:r w:rsidRPr="00A85DE1">
              <w:rPr>
                <w:b/>
                <w:sz w:val="18"/>
                <w:szCs w:val="18"/>
              </w:rPr>
              <w:t xml:space="preserve">č. 4  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Příspěvky</w:t>
            </w:r>
            <w:proofErr w:type="gramEnd"/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 xml:space="preserve"> odvětví k reálné změně HPH (objemové indexy, meziroční příspěvky v p. b., HPH v</w:t>
            </w:r>
            <w:r w:rsidR="007B0E83">
              <w:rPr>
                <w:rFonts w:cs="Arial"/>
                <w:b/>
                <w:sz w:val="18"/>
                <w:szCs w:val="18"/>
                <w:lang w:eastAsia="en-US"/>
              </w:rPr>
              <w:t> %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spacing w:after="0"/>
            </w:pPr>
            <w:r w:rsidRPr="00A66C1D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26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FE2C7E" w:rsidRPr="009110F7" w:rsidTr="001F1E33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FE2C7E" w:rsidRPr="009110F7" w:rsidRDefault="00FE2C7E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FE2C7E" w:rsidRDefault="00FE2C7E" w:rsidP="00965797">
            <w:pPr>
              <w:rPr>
                <w:sz w:val="14"/>
                <w:szCs w:val="14"/>
              </w:rPr>
            </w:pPr>
            <w:r w:rsidRPr="00A85DE1">
              <w:rPr>
                <w:sz w:val="14"/>
                <w:szCs w:val="14"/>
              </w:rPr>
              <w:t>Zdroj: ČSÚ</w:t>
            </w:r>
          </w:p>
          <w:p w:rsidR="00B83E07" w:rsidRPr="009110F7" w:rsidRDefault="00B83E07" w:rsidP="00965797">
            <w:pPr>
              <w:rPr>
                <w:sz w:val="14"/>
                <w:szCs w:val="14"/>
              </w:rPr>
            </w:pPr>
          </w:p>
        </w:tc>
      </w:tr>
    </w:tbl>
    <w:p w:rsidR="00A50D73" w:rsidRPr="009110F7" w:rsidRDefault="00A50D73" w:rsidP="00E1444C">
      <w:pPr>
        <w:rPr>
          <w:sz w:val="2"/>
          <w:szCs w:val="2"/>
        </w:rPr>
      </w:pPr>
    </w:p>
    <w:sectPr w:rsidR="00A50D73" w:rsidRPr="009110F7" w:rsidSect="001F1E33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DE760D" w15:done="0"/>
  <w15:commentEx w15:paraId="3B519ED9" w15:done="0"/>
  <w15:commentEx w15:paraId="588A2EF8" w15:done="0"/>
  <w15:commentEx w15:paraId="4BDBDFCE" w15:done="0"/>
  <w15:commentEx w15:paraId="4D4FFA55" w15:done="0"/>
  <w15:commentEx w15:paraId="420266E6" w15:done="0"/>
  <w15:commentEx w15:paraId="2F6E1997" w15:done="0"/>
  <w15:commentEx w15:paraId="1361B781" w15:done="0"/>
  <w15:commentEx w15:paraId="6AB9BB51" w15:done="0"/>
  <w15:commentEx w15:paraId="76A98BA5" w15:done="0"/>
  <w15:commentEx w15:paraId="0F376D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E760D" w16cid:durableId="1F49FDD6"/>
  <w16cid:commentId w16cid:paraId="3B519ED9" w16cid:durableId="1F4A0B4B"/>
  <w16cid:commentId w16cid:paraId="588A2EF8" w16cid:durableId="1F4A0D4D"/>
  <w16cid:commentId w16cid:paraId="4BDBDFCE" w16cid:durableId="1F4A116C"/>
  <w16cid:commentId w16cid:paraId="4D4FFA55" w16cid:durableId="1F4A4EB7"/>
  <w16cid:commentId w16cid:paraId="420266E6" w16cid:durableId="1F4A80EA"/>
  <w16cid:commentId w16cid:paraId="2F6E1997" w16cid:durableId="1F4A86F8"/>
  <w16cid:commentId w16cid:paraId="1361B781" w16cid:durableId="1F4A88EC"/>
  <w16cid:commentId w16cid:paraId="6AB9BB51" w16cid:durableId="1F4B66E4"/>
  <w16cid:commentId w16cid:paraId="76A98BA5" w16cid:durableId="1F4B67FD"/>
  <w16cid:commentId w16cid:paraId="0F376D82" w16cid:durableId="1F4B72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07" w:rsidRDefault="002B3807" w:rsidP="00E71A58">
      <w:r>
        <w:separator/>
      </w:r>
    </w:p>
  </w:endnote>
  <w:endnote w:type="continuationSeparator" w:id="0">
    <w:p w:rsidR="002B3807" w:rsidRDefault="002B3807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932443" w:rsidRDefault="00077FF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35BF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F735BF" w:rsidRPr="00932443">
      <w:rPr>
        <w:szCs w:val="16"/>
      </w:rPr>
      <w:fldChar w:fldCharType="separate"/>
    </w:r>
    <w:r w:rsidR="001F1E33">
      <w:rPr>
        <w:szCs w:val="16"/>
      </w:rPr>
      <w:t>8</w:t>
    </w:r>
    <w:r w:rsidR="00F735BF" w:rsidRPr="00932443">
      <w:rPr>
        <w:szCs w:val="16"/>
      </w:rPr>
      <w:fldChar w:fldCharType="end"/>
    </w:r>
    <w:r w:rsidRPr="00932443">
      <w:rPr>
        <w:szCs w:val="16"/>
      </w:rPr>
      <w:tab/>
    </w:r>
    <w:r>
      <w:t>1. pololetí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932443" w:rsidRDefault="00077FF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t>1. pololetí 2018</w:t>
    </w:r>
    <w:r w:rsidRPr="00932443">
      <w:rPr>
        <w:szCs w:val="16"/>
      </w:rPr>
      <w:tab/>
    </w:r>
    <w:r w:rsidR="00F735BF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F735BF" w:rsidRPr="00932443">
      <w:rPr>
        <w:rStyle w:val="ZpatChar"/>
        <w:szCs w:val="16"/>
      </w:rPr>
      <w:fldChar w:fldCharType="separate"/>
    </w:r>
    <w:r w:rsidR="001F1E33">
      <w:rPr>
        <w:rStyle w:val="ZpatChar"/>
        <w:szCs w:val="16"/>
      </w:rPr>
      <w:t>7</w:t>
    </w:r>
    <w:r w:rsidR="00F735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07" w:rsidRDefault="002B3807" w:rsidP="00E71A58">
      <w:r>
        <w:separator/>
      </w:r>
    </w:p>
  </w:footnote>
  <w:footnote w:type="continuationSeparator" w:id="0">
    <w:p w:rsidR="002B3807" w:rsidRDefault="002B3807" w:rsidP="00E71A58">
      <w:r>
        <w:continuationSeparator/>
      </w:r>
    </w:p>
  </w:footnote>
  <w:footnote w:id="1">
    <w:p w:rsidR="00077FF0" w:rsidRPr="00EF1EE3" w:rsidRDefault="00077FF0" w:rsidP="00FE2C7E">
      <w:pPr>
        <w:pStyle w:val="Textpoznpodarou"/>
        <w:rPr>
          <w:sz w:val="16"/>
          <w:szCs w:val="16"/>
        </w:rPr>
      </w:pPr>
      <w:r w:rsidRPr="00EF1EE3">
        <w:rPr>
          <w:rStyle w:val="Znakapoznpodarou"/>
          <w:sz w:val="16"/>
          <w:szCs w:val="16"/>
        </w:rPr>
        <w:footnoteRef/>
      </w:r>
      <w:r w:rsidRPr="00EF1EE3">
        <w:rPr>
          <w:sz w:val="16"/>
          <w:szCs w:val="16"/>
        </w:rPr>
        <w:t xml:space="preserve"> </w:t>
      </w:r>
      <w:r>
        <w:rPr>
          <w:sz w:val="16"/>
          <w:szCs w:val="16"/>
        </w:rPr>
        <w:t>Vývoj</w:t>
      </w:r>
      <w:r w:rsidRPr="00EF1EE3">
        <w:rPr>
          <w:sz w:val="16"/>
          <w:szCs w:val="16"/>
        </w:rPr>
        <w:t xml:space="preserve"> HDP, hrubé přidané hodnot</w:t>
      </w:r>
      <w:r>
        <w:rPr>
          <w:sz w:val="16"/>
          <w:szCs w:val="16"/>
        </w:rPr>
        <w:t>y</w:t>
      </w:r>
      <w:r w:rsidRPr="00EF1EE3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EF1EE3">
        <w:rPr>
          <w:sz w:val="16"/>
          <w:szCs w:val="16"/>
        </w:rPr>
        <w:t>jejich slož</w:t>
      </w:r>
      <w:r>
        <w:rPr>
          <w:sz w:val="16"/>
          <w:szCs w:val="16"/>
        </w:rPr>
        <w:t>e</w:t>
      </w:r>
      <w:r w:rsidRPr="00EF1EE3">
        <w:rPr>
          <w:sz w:val="16"/>
          <w:szCs w:val="16"/>
        </w:rPr>
        <w:t xml:space="preserve">k </w:t>
      </w:r>
      <w:r>
        <w:rPr>
          <w:sz w:val="16"/>
          <w:szCs w:val="16"/>
        </w:rPr>
        <w:t xml:space="preserve">je </w:t>
      </w:r>
      <w:r w:rsidRPr="00EF1EE3">
        <w:rPr>
          <w:sz w:val="16"/>
          <w:szCs w:val="16"/>
        </w:rPr>
        <w:t>vyjádřen</w:t>
      </w:r>
      <w:r>
        <w:rPr>
          <w:sz w:val="16"/>
          <w:szCs w:val="16"/>
        </w:rPr>
        <w:t xml:space="preserve"> prostřednictvím objemových indexů (tj. očištěn o vliv cen)</w:t>
      </w:r>
      <w:r w:rsidRPr="00EF1EE3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EF1EE3">
        <w:rPr>
          <w:sz w:val="16"/>
          <w:szCs w:val="16"/>
        </w:rPr>
        <w:t>v očištění o</w:t>
      </w:r>
      <w:r>
        <w:rPr>
          <w:sz w:val="16"/>
          <w:szCs w:val="16"/>
        </w:rPr>
        <w:t> </w:t>
      </w:r>
      <w:r w:rsidRPr="00EF1EE3">
        <w:rPr>
          <w:sz w:val="16"/>
          <w:szCs w:val="16"/>
        </w:rPr>
        <w:t>sezónní a kalendářn</w:t>
      </w:r>
      <w:r>
        <w:rPr>
          <w:sz w:val="16"/>
          <w:szCs w:val="16"/>
        </w:rPr>
        <w:t>í vlivy. Údaje byly zveřejněny 31. 8. </w:t>
      </w:r>
      <w:r w:rsidRPr="00EF1EE3">
        <w:rPr>
          <w:sz w:val="16"/>
          <w:szCs w:val="16"/>
        </w:rPr>
        <w:t>2018 a</w:t>
      </w:r>
      <w:r>
        <w:rPr>
          <w:sz w:val="16"/>
          <w:szCs w:val="16"/>
        </w:rPr>
        <w:t> </w:t>
      </w:r>
      <w:r w:rsidRPr="00EF1EE3">
        <w:rPr>
          <w:sz w:val="16"/>
          <w:szCs w:val="16"/>
        </w:rPr>
        <w:t>z</w:t>
      </w:r>
      <w:r>
        <w:rPr>
          <w:sz w:val="16"/>
          <w:szCs w:val="16"/>
        </w:rPr>
        <w:t xml:space="preserve">revidované údaje </w:t>
      </w:r>
      <w:r w:rsidRPr="00EF1EE3">
        <w:rPr>
          <w:sz w:val="16"/>
          <w:szCs w:val="16"/>
        </w:rPr>
        <w:t>bud</w:t>
      </w:r>
      <w:r>
        <w:rPr>
          <w:sz w:val="16"/>
          <w:szCs w:val="16"/>
        </w:rPr>
        <w:t>ou</w:t>
      </w:r>
      <w:r w:rsidRPr="00EF1EE3">
        <w:rPr>
          <w:sz w:val="16"/>
          <w:szCs w:val="16"/>
        </w:rPr>
        <w:t xml:space="preserve"> publikován</w:t>
      </w:r>
      <w:r>
        <w:rPr>
          <w:sz w:val="16"/>
          <w:szCs w:val="16"/>
        </w:rPr>
        <w:t>y</w:t>
      </w:r>
      <w:r w:rsidRPr="00EF1EE3">
        <w:rPr>
          <w:sz w:val="16"/>
          <w:szCs w:val="16"/>
        </w:rPr>
        <w:t xml:space="preserve"> </w:t>
      </w:r>
      <w:r>
        <w:rPr>
          <w:sz w:val="16"/>
          <w:szCs w:val="16"/>
        </w:rPr>
        <w:t>2. 10. </w:t>
      </w:r>
      <w:r w:rsidRPr="00EF1EE3">
        <w:rPr>
          <w:sz w:val="16"/>
          <w:szCs w:val="16"/>
        </w:rPr>
        <w:t>201</w:t>
      </w:r>
      <w:r>
        <w:rPr>
          <w:sz w:val="16"/>
          <w:szCs w:val="16"/>
        </w:rPr>
        <w:t>8</w:t>
      </w:r>
      <w:r w:rsidRPr="00EF1EE3">
        <w:rPr>
          <w:sz w:val="16"/>
          <w:szCs w:val="16"/>
        </w:rPr>
        <w:t>.</w:t>
      </w:r>
    </w:p>
  </w:footnote>
  <w:footnote w:id="2">
    <w:p w:rsidR="00077FF0" w:rsidRPr="00BB319F" w:rsidRDefault="00077FF0" w:rsidP="00FE2C7E">
      <w:pPr>
        <w:pStyle w:val="Textpoznpodarou"/>
        <w:rPr>
          <w:sz w:val="16"/>
          <w:szCs w:val="16"/>
        </w:rPr>
      </w:pPr>
      <w:r w:rsidRPr="00AF6B7C">
        <w:rPr>
          <w:rStyle w:val="Znakapoznpodarou"/>
          <w:sz w:val="16"/>
          <w:szCs w:val="16"/>
        </w:rPr>
        <w:footnoteRef/>
      </w:r>
      <w:r w:rsidRPr="00AF6B7C">
        <w:rPr>
          <w:sz w:val="16"/>
          <w:szCs w:val="16"/>
        </w:rPr>
        <w:t xml:space="preserve"> </w:t>
      </w:r>
      <w:r w:rsidRPr="00BB319F">
        <w:rPr>
          <w:sz w:val="16"/>
          <w:szCs w:val="16"/>
        </w:rPr>
        <w:t>Nedostupná data za Irsko</w:t>
      </w:r>
      <w:r>
        <w:rPr>
          <w:sz w:val="16"/>
          <w:szCs w:val="16"/>
        </w:rPr>
        <w:t xml:space="preserve"> </w:t>
      </w:r>
      <w:r w:rsidRPr="00BB319F">
        <w:rPr>
          <w:sz w:val="16"/>
          <w:szCs w:val="16"/>
        </w:rPr>
        <w:t>a</w:t>
      </w:r>
      <w:r>
        <w:rPr>
          <w:sz w:val="16"/>
          <w:szCs w:val="16"/>
        </w:rPr>
        <w:t> </w:t>
      </w:r>
      <w:r w:rsidRPr="00BB319F">
        <w:rPr>
          <w:sz w:val="16"/>
          <w:szCs w:val="16"/>
        </w:rPr>
        <w:t>Lucembursko.</w:t>
      </w:r>
      <w:r>
        <w:rPr>
          <w:sz w:val="16"/>
          <w:szCs w:val="16"/>
        </w:rPr>
        <w:t xml:space="preserve"> Data za Slovensko nejsou očištěna o kalendářní vlivy.</w:t>
      </w:r>
    </w:p>
  </w:footnote>
  <w:footnote w:id="3">
    <w:p w:rsidR="00077FF0" w:rsidRPr="009C6EA8" w:rsidRDefault="00077FF0" w:rsidP="00FE2C7E">
      <w:pPr>
        <w:pStyle w:val="Textpoznpodarou"/>
        <w:rPr>
          <w:sz w:val="16"/>
          <w:szCs w:val="16"/>
        </w:rPr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Příspěvky ke změně HDP po vyloučení dovozu pro konečné užití.</w:t>
      </w:r>
    </w:p>
  </w:footnote>
  <w:footnote w:id="4">
    <w:p w:rsidR="00077FF0" w:rsidRPr="007933CD" w:rsidRDefault="00077FF0" w:rsidP="00FE2C7E">
      <w:pPr>
        <w:pStyle w:val="Textpoznpodarou"/>
        <w:rPr>
          <w:sz w:val="16"/>
          <w:szCs w:val="16"/>
        </w:rPr>
      </w:pPr>
      <w:r w:rsidRPr="007933CD">
        <w:rPr>
          <w:rStyle w:val="Znakapoznpodarou"/>
          <w:sz w:val="16"/>
          <w:szCs w:val="16"/>
        </w:rPr>
        <w:footnoteRef/>
      </w:r>
      <w:r w:rsidRPr="007933CD">
        <w:rPr>
          <w:sz w:val="16"/>
          <w:szCs w:val="16"/>
        </w:rPr>
        <w:t xml:space="preserve"> Údaje o</w:t>
      </w:r>
      <w:r>
        <w:rPr>
          <w:sz w:val="16"/>
          <w:szCs w:val="16"/>
        </w:rPr>
        <w:t> </w:t>
      </w:r>
      <w:r w:rsidRPr="007933CD">
        <w:rPr>
          <w:sz w:val="16"/>
          <w:szCs w:val="16"/>
        </w:rPr>
        <w:t>spotřebě domácností podle trvanlivosti statků nejsou sezónně očištěny.</w:t>
      </w:r>
    </w:p>
  </w:footnote>
  <w:footnote w:id="5">
    <w:p w:rsidR="00077FF0" w:rsidRPr="009C6EA8" w:rsidRDefault="00077FF0" w:rsidP="00FE2C7E">
      <w:pPr>
        <w:pStyle w:val="Textpoznpodarou"/>
        <w:rPr>
          <w:sz w:val="16"/>
          <w:szCs w:val="16"/>
        </w:rPr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Do reálného vyjádření převedeno s využitím deflátoru výdajů na konečnou spotřebu domácností.</w:t>
      </w:r>
    </w:p>
  </w:footnote>
  <w:footnote w:id="6">
    <w:p w:rsidR="00077FF0" w:rsidRDefault="00077FF0" w:rsidP="00FE2C7E">
      <w:pPr>
        <w:pStyle w:val="Textpoznpodarou"/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V pojetí národních účtů, sezónně očištěno</w:t>
      </w:r>
      <w:r w:rsidRPr="00004BA8">
        <w:rPr>
          <w:sz w:val="16"/>
        </w:rPr>
        <w:t>.</w:t>
      </w:r>
    </w:p>
  </w:footnote>
  <w:footnote w:id="7">
    <w:p w:rsidR="00771972" w:rsidRPr="00771972" w:rsidRDefault="00771972">
      <w:pPr>
        <w:pStyle w:val="Textpoznpodarou"/>
        <w:rPr>
          <w:sz w:val="16"/>
          <w:szCs w:val="16"/>
        </w:rPr>
      </w:pPr>
      <w:r w:rsidRPr="00771972">
        <w:rPr>
          <w:rStyle w:val="Znakapoznpodarou"/>
          <w:sz w:val="16"/>
          <w:szCs w:val="16"/>
        </w:rPr>
        <w:footnoteRef/>
      </w:r>
      <w:r w:rsidRPr="00771972">
        <w:rPr>
          <w:sz w:val="16"/>
          <w:szCs w:val="16"/>
        </w:rPr>
        <w:t xml:space="preserve"> Veřejná správa a obrana, vzdělávání, zdravotní a sociální péče.</w:t>
      </w:r>
    </w:p>
  </w:footnote>
  <w:footnote w:id="8">
    <w:p w:rsidR="00077FF0" w:rsidRPr="0021552C" w:rsidRDefault="00077FF0" w:rsidP="00FE2C7E">
      <w:pPr>
        <w:pStyle w:val="Textpoznpodarou"/>
        <w:rPr>
          <w:sz w:val="16"/>
          <w:szCs w:val="16"/>
        </w:rPr>
      </w:pPr>
      <w:r w:rsidRPr="0021552C">
        <w:rPr>
          <w:rStyle w:val="Znakapoznpodarou"/>
          <w:sz w:val="16"/>
          <w:szCs w:val="16"/>
        </w:rPr>
        <w:footnoteRef/>
      </w:r>
      <w:r w:rsidRPr="0021552C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D</w:t>
      </w:r>
      <w:r w:rsidRPr="0021552C">
        <w:rPr>
          <w:rFonts w:cs="Arial"/>
          <w:sz w:val="16"/>
          <w:szCs w:val="16"/>
        </w:rPr>
        <w:t>ata o</w:t>
      </w:r>
      <w:r>
        <w:rPr>
          <w:rFonts w:cs="Arial"/>
          <w:sz w:val="16"/>
          <w:szCs w:val="16"/>
        </w:rPr>
        <w:t> </w:t>
      </w:r>
      <w:r w:rsidRPr="0021552C">
        <w:rPr>
          <w:rFonts w:cs="Arial"/>
          <w:sz w:val="16"/>
          <w:szCs w:val="16"/>
        </w:rPr>
        <w:t xml:space="preserve">věcném členění tvorby </w:t>
      </w:r>
      <w:r>
        <w:rPr>
          <w:rFonts w:cs="Arial"/>
          <w:sz w:val="16"/>
          <w:szCs w:val="16"/>
        </w:rPr>
        <w:t>hrubého fixního kapitálu</w:t>
      </w:r>
      <w:r w:rsidRPr="0021552C">
        <w:rPr>
          <w:rFonts w:cs="Arial"/>
          <w:sz w:val="16"/>
          <w:szCs w:val="16"/>
        </w:rPr>
        <w:t xml:space="preserve"> nejsou sezónně očištěna</w:t>
      </w:r>
      <w:r>
        <w:rPr>
          <w:rFonts w:cs="Arial"/>
          <w:sz w:val="16"/>
          <w:szCs w:val="16"/>
        </w:rPr>
        <w:t>.</w:t>
      </w:r>
    </w:p>
  </w:footnote>
  <w:footnote w:id="9">
    <w:p w:rsidR="00077FF0" w:rsidRPr="00167B30" w:rsidRDefault="00077FF0" w:rsidP="00FE2C7E">
      <w:pPr>
        <w:pStyle w:val="Textpoznpodarou"/>
        <w:rPr>
          <w:sz w:val="16"/>
          <w:szCs w:val="16"/>
        </w:rPr>
      </w:pPr>
      <w:r w:rsidRPr="00167B30">
        <w:rPr>
          <w:rStyle w:val="Znakapoznpodarou"/>
          <w:sz w:val="16"/>
          <w:szCs w:val="16"/>
        </w:rPr>
        <w:footnoteRef/>
      </w:r>
      <w:r w:rsidRPr="00167B30">
        <w:rPr>
          <w:sz w:val="16"/>
          <w:szCs w:val="16"/>
        </w:rPr>
        <w:t xml:space="preserve"> Podle metodiky čtvrtletních národních účtů (vývoz a</w:t>
      </w:r>
      <w:r>
        <w:rPr>
          <w:sz w:val="16"/>
          <w:szCs w:val="16"/>
        </w:rPr>
        <w:t> </w:t>
      </w:r>
      <w:r w:rsidRPr="00167B30">
        <w:rPr>
          <w:sz w:val="16"/>
          <w:szCs w:val="16"/>
        </w:rPr>
        <w:t>dovoz v ocenění FOB/FOB)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6F5416" w:rsidRDefault="00077FF0" w:rsidP="00937AE2">
    <w:pPr>
      <w:pStyle w:val="Zhlav"/>
    </w:pPr>
    <w:r>
      <w:t xml:space="preserve">Vývoj ekonomiky České republiky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6F5416" w:rsidRDefault="00077FF0" w:rsidP="00937AE2">
    <w:pPr>
      <w:pStyle w:val="Zhlav"/>
    </w:pPr>
    <w:r>
      <w:t xml:space="preserve">Vývoj ekonomiky České republiky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828"/>
    <w:rsid w:val="000005AF"/>
    <w:rsid w:val="0000209D"/>
    <w:rsid w:val="00003F5C"/>
    <w:rsid w:val="00004D5A"/>
    <w:rsid w:val="000056D5"/>
    <w:rsid w:val="000063D5"/>
    <w:rsid w:val="00006ABD"/>
    <w:rsid w:val="0000767A"/>
    <w:rsid w:val="00010256"/>
    <w:rsid w:val="00010702"/>
    <w:rsid w:val="0001128E"/>
    <w:rsid w:val="00011912"/>
    <w:rsid w:val="00016420"/>
    <w:rsid w:val="00017B01"/>
    <w:rsid w:val="00020F22"/>
    <w:rsid w:val="0002195D"/>
    <w:rsid w:val="000233D1"/>
    <w:rsid w:val="000234D6"/>
    <w:rsid w:val="00023D29"/>
    <w:rsid w:val="00026389"/>
    <w:rsid w:val="00031AE0"/>
    <w:rsid w:val="000322EF"/>
    <w:rsid w:val="00033FCD"/>
    <w:rsid w:val="00034DF7"/>
    <w:rsid w:val="00034E68"/>
    <w:rsid w:val="00036195"/>
    <w:rsid w:val="000376C0"/>
    <w:rsid w:val="000403A7"/>
    <w:rsid w:val="00040632"/>
    <w:rsid w:val="00041CEC"/>
    <w:rsid w:val="00044183"/>
    <w:rsid w:val="0004694F"/>
    <w:rsid w:val="00047D54"/>
    <w:rsid w:val="000522E4"/>
    <w:rsid w:val="00053713"/>
    <w:rsid w:val="0005434E"/>
    <w:rsid w:val="00055CB6"/>
    <w:rsid w:val="000572DD"/>
    <w:rsid w:val="00057B1E"/>
    <w:rsid w:val="000610E1"/>
    <w:rsid w:val="00062EC5"/>
    <w:rsid w:val="00062F22"/>
    <w:rsid w:val="00063975"/>
    <w:rsid w:val="000645FC"/>
    <w:rsid w:val="0006533F"/>
    <w:rsid w:val="00065348"/>
    <w:rsid w:val="00065A75"/>
    <w:rsid w:val="00070A87"/>
    <w:rsid w:val="000712B3"/>
    <w:rsid w:val="0007474E"/>
    <w:rsid w:val="00077FF0"/>
    <w:rsid w:val="00081A55"/>
    <w:rsid w:val="0008263E"/>
    <w:rsid w:val="00082C19"/>
    <w:rsid w:val="000837CD"/>
    <w:rsid w:val="00084BFF"/>
    <w:rsid w:val="00085395"/>
    <w:rsid w:val="00086AC1"/>
    <w:rsid w:val="00087634"/>
    <w:rsid w:val="00087F2B"/>
    <w:rsid w:val="00090694"/>
    <w:rsid w:val="000913B1"/>
    <w:rsid w:val="00094A84"/>
    <w:rsid w:val="00095025"/>
    <w:rsid w:val="00095135"/>
    <w:rsid w:val="00097191"/>
    <w:rsid w:val="000974D1"/>
    <w:rsid w:val="0009799E"/>
    <w:rsid w:val="000A1183"/>
    <w:rsid w:val="000A256D"/>
    <w:rsid w:val="000A3A2C"/>
    <w:rsid w:val="000A4A54"/>
    <w:rsid w:val="000A7377"/>
    <w:rsid w:val="000B03CC"/>
    <w:rsid w:val="000B4212"/>
    <w:rsid w:val="000C0EA8"/>
    <w:rsid w:val="000C13A2"/>
    <w:rsid w:val="000C3408"/>
    <w:rsid w:val="000C35AB"/>
    <w:rsid w:val="000C6AFD"/>
    <w:rsid w:val="000D3058"/>
    <w:rsid w:val="000D310A"/>
    <w:rsid w:val="000D5637"/>
    <w:rsid w:val="000E0E96"/>
    <w:rsid w:val="000E2C7D"/>
    <w:rsid w:val="000E4AC5"/>
    <w:rsid w:val="000E6253"/>
    <w:rsid w:val="000E6FBD"/>
    <w:rsid w:val="00100F5C"/>
    <w:rsid w:val="00101CDA"/>
    <w:rsid w:val="00102037"/>
    <w:rsid w:val="00103DCB"/>
    <w:rsid w:val="00104C4C"/>
    <w:rsid w:val="001057C2"/>
    <w:rsid w:val="00112CAB"/>
    <w:rsid w:val="00117623"/>
    <w:rsid w:val="0012192F"/>
    <w:rsid w:val="00122994"/>
    <w:rsid w:val="00124B46"/>
    <w:rsid w:val="00125D69"/>
    <w:rsid w:val="0012799C"/>
    <w:rsid w:val="00130ADC"/>
    <w:rsid w:val="00130D9F"/>
    <w:rsid w:val="00132C4D"/>
    <w:rsid w:val="00133FC1"/>
    <w:rsid w:val="001405FA"/>
    <w:rsid w:val="001425C3"/>
    <w:rsid w:val="0014262D"/>
    <w:rsid w:val="001459BC"/>
    <w:rsid w:val="001554C2"/>
    <w:rsid w:val="001571C0"/>
    <w:rsid w:val="0015753D"/>
    <w:rsid w:val="001612F4"/>
    <w:rsid w:val="00161553"/>
    <w:rsid w:val="0016256B"/>
    <w:rsid w:val="00163793"/>
    <w:rsid w:val="00167CB9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B08"/>
    <w:rsid w:val="00185010"/>
    <w:rsid w:val="00192F05"/>
    <w:rsid w:val="00194729"/>
    <w:rsid w:val="00195234"/>
    <w:rsid w:val="00197A70"/>
    <w:rsid w:val="00197C0F"/>
    <w:rsid w:val="001A0487"/>
    <w:rsid w:val="001A552F"/>
    <w:rsid w:val="001B2CA9"/>
    <w:rsid w:val="001B3110"/>
    <w:rsid w:val="001B3E38"/>
    <w:rsid w:val="001B4729"/>
    <w:rsid w:val="001B4F0E"/>
    <w:rsid w:val="001B6310"/>
    <w:rsid w:val="001B6C09"/>
    <w:rsid w:val="001C05CD"/>
    <w:rsid w:val="001C0F17"/>
    <w:rsid w:val="001C1B66"/>
    <w:rsid w:val="001C31A2"/>
    <w:rsid w:val="001D22C2"/>
    <w:rsid w:val="001D54C1"/>
    <w:rsid w:val="001D556E"/>
    <w:rsid w:val="001D5DF2"/>
    <w:rsid w:val="001D68B2"/>
    <w:rsid w:val="001D7F60"/>
    <w:rsid w:val="001E504C"/>
    <w:rsid w:val="001E5A17"/>
    <w:rsid w:val="001F1E33"/>
    <w:rsid w:val="001F4597"/>
    <w:rsid w:val="00200085"/>
    <w:rsid w:val="00203332"/>
    <w:rsid w:val="00203CD5"/>
    <w:rsid w:val="00203D8F"/>
    <w:rsid w:val="00203DA4"/>
    <w:rsid w:val="002071D5"/>
    <w:rsid w:val="002118B9"/>
    <w:rsid w:val="002142C0"/>
    <w:rsid w:val="00217C5B"/>
    <w:rsid w:val="00220A43"/>
    <w:rsid w:val="0022139E"/>
    <w:rsid w:val="00222729"/>
    <w:rsid w:val="0022441D"/>
    <w:rsid w:val="002252E0"/>
    <w:rsid w:val="002255F6"/>
    <w:rsid w:val="00227605"/>
    <w:rsid w:val="00227850"/>
    <w:rsid w:val="00227A53"/>
    <w:rsid w:val="00227E2E"/>
    <w:rsid w:val="00230C6E"/>
    <w:rsid w:val="00233603"/>
    <w:rsid w:val="00236443"/>
    <w:rsid w:val="00241B06"/>
    <w:rsid w:val="002436BA"/>
    <w:rsid w:val="00244A15"/>
    <w:rsid w:val="002452D9"/>
    <w:rsid w:val="00247319"/>
    <w:rsid w:val="0024799E"/>
    <w:rsid w:val="00247E60"/>
    <w:rsid w:val="00252AB9"/>
    <w:rsid w:val="00253C0F"/>
    <w:rsid w:val="002558C1"/>
    <w:rsid w:val="00256207"/>
    <w:rsid w:val="002603E1"/>
    <w:rsid w:val="0026291D"/>
    <w:rsid w:val="00267B49"/>
    <w:rsid w:val="0027025F"/>
    <w:rsid w:val="00271022"/>
    <w:rsid w:val="00271465"/>
    <w:rsid w:val="00272DF4"/>
    <w:rsid w:val="0027583D"/>
    <w:rsid w:val="00275DEF"/>
    <w:rsid w:val="00276B33"/>
    <w:rsid w:val="002812E3"/>
    <w:rsid w:val="002837AE"/>
    <w:rsid w:val="002853FA"/>
    <w:rsid w:val="00285412"/>
    <w:rsid w:val="00291640"/>
    <w:rsid w:val="0029237E"/>
    <w:rsid w:val="00292997"/>
    <w:rsid w:val="0029588F"/>
    <w:rsid w:val="00297256"/>
    <w:rsid w:val="00297D51"/>
    <w:rsid w:val="002A0122"/>
    <w:rsid w:val="002A016B"/>
    <w:rsid w:val="002A16D4"/>
    <w:rsid w:val="002A1E4F"/>
    <w:rsid w:val="002A230C"/>
    <w:rsid w:val="002A2AF7"/>
    <w:rsid w:val="002A3EA2"/>
    <w:rsid w:val="002A532A"/>
    <w:rsid w:val="002A5846"/>
    <w:rsid w:val="002A5D97"/>
    <w:rsid w:val="002B3807"/>
    <w:rsid w:val="002B4845"/>
    <w:rsid w:val="002C27A6"/>
    <w:rsid w:val="002C43BD"/>
    <w:rsid w:val="002D0E59"/>
    <w:rsid w:val="002E02A1"/>
    <w:rsid w:val="002E196A"/>
    <w:rsid w:val="002E20C7"/>
    <w:rsid w:val="002E222E"/>
    <w:rsid w:val="002E37D1"/>
    <w:rsid w:val="002E3BEE"/>
    <w:rsid w:val="002E4E4C"/>
    <w:rsid w:val="002E4EA7"/>
    <w:rsid w:val="002E5846"/>
    <w:rsid w:val="002F333D"/>
    <w:rsid w:val="002F498A"/>
    <w:rsid w:val="002F4AD8"/>
    <w:rsid w:val="002F5820"/>
    <w:rsid w:val="00304771"/>
    <w:rsid w:val="003052D4"/>
    <w:rsid w:val="00306C5B"/>
    <w:rsid w:val="00307DB3"/>
    <w:rsid w:val="00307ED2"/>
    <w:rsid w:val="0031076D"/>
    <w:rsid w:val="00311AA6"/>
    <w:rsid w:val="00311C4D"/>
    <w:rsid w:val="003121AB"/>
    <w:rsid w:val="003153C8"/>
    <w:rsid w:val="00315524"/>
    <w:rsid w:val="003209D6"/>
    <w:rsid w:val="003217B9"/>
    <w:rsid w:val="00321924"/>
    <w:rsid w:val="00321EB6"/>
    <w:rsid w:val="003220A5"/>
    <w:rsid w:val="0032656E"/>
    <w:rsid w:val="00332190"/>
    <w:rsid w:val="00333CD0"/>
    <w:rsid w:val="003370C5"/>
    <w:rsid w:val="00341F05"/>
    <w:rsid w:val="0034335E"/>
    <w:rsid w:val="00344668"/>
    <w:rsid w:val="003462D9"/>
    <w:rsid w:val="00352C28"/>
    <w:rsid w:val="0036077F"/>
    <w:rsid w:val="00360C86"/>
    <w:rsid w:val="00360FBC"/>
    <w:rsid w:val="00361537"/>
    <w:rsid w:val="0036242A"/>
    <w:rsid w:val="00362E90"/>
    <w:rsid w:val="00364FA0"/>
    <w:rsid w:val="003657F3"/>
    <w:rsid w:val="00367F84"/>
    <w:rsid w:val="003738BD"/>
    <w:rsid w:val="00374A20"/>
    <w:rsid w:val="00374E21"/>
    <w:rsid w:val="003818DC"/>
    <w:rsid w:val="00383388"/>
    <w:rsid w:val="003834F8"/>
    <w:rsid w:val="003838D0"/>
    <w:rsid w:val="00384327"/>
    <w:rsid w:val="00385D98"/>
    <w:rsid w:val="003908A6"/>
    <w:rsid w:val="003927F6"/>
    <w:rsid w:val="003A04F6"/>
    <w:rsid w:val="003A2B4D"/>
    <w:rsid w:val="003A2D12"/>
    <w:rsid w:val="003A45E3"/>
    <w:rsid w:val="003A478C"/>
    <w:rsid w:val="003A5525"/>
    <w:rsid w:val="003A6B38"/>
    <w:rsid w:val="003A6B83"/>
    <w:rsid w:val="003A722F"/>
    <w:rsid w:val="003B0DF4"/>
    <w:rsid w:val="003B1F9D"/>
    <w:rsid w:val="003B461F"/>
    <w:rsid w:val="003B4998"/>
    <w:rsid w:val="003B5A32"/>
    <w:rsid w:val="003C3490"/>
    <w:rsid w:val="003C6221"/>
    <w:rsid w:val="003C7E62"/>
    <w:rsid w:val="003D242B"/>
    <w:rsid w:val="003D2492"/>
    <w:rsid w:val="003D2A99"/>
    <w:rsid w:val="003D6920"/>
    <w:rsid w:val="003E4C91"/>
    <w:rsid w:val="003E52D8"/>
    <w:rsid w:val="003F313C"/>
    <w:rsid w:val="003F37FC"/>
    <w:rsid w:val="003F4B2C"/>
    <w:rsid w:val="003F551C"/>
    <w:rsid w:val="003F72ED"/>
    <w:rsid w:val="003F7D23"/>
    <w:rsid w:val="00400050"/>
    <w:rsid w:val="00400468"/>
    <w:rsid w:val="0040099D"/>
    <w:rsid w:val="00402ADB"/>
    <w:rsid w:val="004059D2"/>
    <w:rsid w:val="00406C2E"/>
    <w:rsid w:val="00406EB0"/>
    <w:rsid w:val="00407C13"/>
    <w:rsid w:val="00410638"/>
    <w:rsid w:val="00412511"/>
    <w:rsid w:val="004125C2"/>
    <w:rsid w:val="00413465"/>
    <w:rsid w:val="0041501E"/>
    <w:rsid w:val="004159C3"/>
    <w:rsid w:val="00416DAC"/>
    <w:rsid w:val="00420880"/>
    <w:rsid w:val="00432A58"/>
    <w:rsid w:val="004331C3"/>
    <w:rsid w:val="00434617"/>
    <w:rsid w:val="00435051"/>
    <w:rsid w:val="00435C69"/>
    <w:rsid w:val="00437CED"/>
    <w:rsid w:val="00440900"/>
    <w:rsid w:val="0044121D"/>
    <w:rsid w:val="00441BF6"/>
    <w:rsid w:val="004441A0"/>
    <w:rsid w:val="00446D44"/>
    <w:rsid w:val="0045078A"/>
    <w:rsid w:val="0045086D"/>
    <w:rsid w:val="00451EF1"/>
    <w:rsid w:val="00457953"/>
    <w:rsid w:val="00460FB3"/>
    <w:rsid w:val="00464851"/>
    <w:rsid w:val="00467B14"/>
    <w:rsid w:val="004707FE"/>
    <w:rsid w:val="0047276D"/>
    <w:rsid w:val="00472AF6"/>
    <w:rsid w:val="00474A04"/>
    <w:rsid w:val="00476240"/>
    <w:rsid w:val="00476439"/>
    <w:rsid w:val="0047735C"/>
    <w:rsid w:val="004776BC"/>
    <w:rsid w:val="00477820"/>
    <w:rsid w:val="00477B96"/>
    <w:rsid w:val="0048139F"/>
    <w:rsid w:val="00481E40"/>
    <w:rsid w:val="00482405"/>
    <w:rsid w:val="004826A7"/>
    <w:rsid w:val="0048368C"/>
    <w:rsid w:val="00484ECE"/>
    <w:rsid w:val="00486A4D"/>
    <w:rsid w:val="004915CB"/>
    <w:rsid w:val="004924DC"/>
    <w:rsid w:val="00492879"/>
    <w:rsid w:val="004A14E4"/>
    <w:rsid w:val="004A27F0"/>
    <w:rsid w:val="004A3212"/>
    <w:rsid w:val="004A40D9"/>
    <w:rsid w:val="004A4F8A"/>
    <w:rsid w:val="004A5494"/>
    <w:rsid w:val="004A61C5"/>
    <w:rsid w:val="004A62A0"/>
    <w:rsid w:val="004A77DF"/>
    <w:rsid w:val="004B1417"/>
    <w:rsid w:val="004B339A"/>
    <w:rsid w:val="004B55B7"/>
    <w:rsid w:val="004B6468"/>
    <w:rsid w:val="004B6EF8"/>
    <w:rsid w:val="004B7125"/>
    <w:rsid w:val="004B756A"/>
    <w:rsid w:val="004B7FB1"/>
    <w:rsid w:val="004C384C"/>
    <w:rsid w:val="004C3867"/>
    <w:rsid w:val="004C3DB0"/>
    <w:rsid w:val="004C4720"/>
    <w:rsid w:val="004C4CD0"/>
    <w:rsid w:val="004C5165"/>
    <w:rsid w:val="004C6E0E"/>
    <w:rsid w:val="004C70DC"/>
    <w:rsid w:val="004D0211"/>
    <w:rsid w:val="004D0794"/>
    <w:rsid w:val="004E1A40"/>
    <w:rsid w:val="004E200A"/>
    <w:rsid w:val="004E23FC"/>
    <w:rsid w:val="004E6DE6"/>
    <w:rsid w:val="004E765E"/>
    <w:rsid w:val="004F06F5"/>
    <w:rsid w:val="004F12A4"/>
    <w:rsid w:val="004F253F"/>
    <w:rsid w:val="004F33A0"/>
    <w:rsid w:val="004F3BD2"/>
    <w:rsid w:val="0050689D"/>
    <w:rsid w:val="005108C0"/>
    <w:rsid w:val="0051094F"/>
    <w:rsid w:val="00511873"/>
    <w:rsid w:val="00512461"/>
    <w:rsid w:val="00512A2F"/>
    <w:rsid w:val="00513B7E"/>
    <w:rsid w:val="0051475D"/>
    <w:rsid w:val="00514B11"/>
    <w:rsid w:val="00515BE9"/>
    <w:rsid w:val="00515C74"/>
    <w:rsid w:val="00517113"/>
    <w:rsid w:val="0052007E"/>
    <w:rsid w:val="00522E01"/>
    <w:rsid w:val="0052337A"/>
    <w:rsid w:val="005246BE"/>
    <w:rsid w:val="00525137"/>
    <w:rsid w:val="005251DD"/>
    <w:rsid w:val="00530A68"/>
    <w:rsid w:val="00532CE7"/>
    <w:rsid w:val="00532D8B"/>
    <w:rsid w:val="0053324C"/>
    <w:rsid w:val="00534A28"/>
    <w:rsid w:val="00535018"/>
    <w:rsid w:val="00537571"/>
    <w:rsid w:val="00541508"/>
    <w:rsid w:val="00541AE3"/>
    <w:rsid w:val="00543498"/>
    <w:rsid w:val="00544BE5"/>
    <w:rsid w:val="00550160"/>
    <w:rsid w:val="00552F2C"/>
    <w:rsid w:val="005547EB"/>
    <w:rsid w:val="0055599F"/>
    <w:rsid w:val="00556D68"/>
    <w:rsid w:val="005570D6"/>
    <w:rsid w:val="00563EB8"/>
    <w:rsid w:val="005647BF"/>
    <w:rsid w:val="00564AF1"/>
    <w:rsid w:val="005655DB"/>
    <w:rsid w:val="00570BC3"/>
    <w:rsid w:val="0057182A"/>
    <w:rsid w:val="00572079"/>
    <w:rsid w:val="00573602"/>
    <w:rsid w:val="0057364B"/>
    <w:rsid w:val="00574773"/>
    <w:rsid w:val="00577C07"/>
    <w:rsid w:val="00577DB1"/>
    <w:rsid w:val="00580DE7"/>
    <w:rsid w:val="00583E52"/>
    <w:rsid w:val="00583FFD"/>
    <w:rsid w:val="0058519A"/>
    <w:rsid w:val="005856BD"/>
    <w:rsid w:val="00590B28"/>
    <w:rsid w:val="005911BE"/>
    <w:rsid w:val="00591273"/>
    <w:rsid w:val="005927A4"/>
    <w:rsid w:val="00593152"/>
    <w:rsid w:val="005956A3"/>
    <w:rsid w:val="00595CAB"/>
    <w:rsid w:val="00597BBF"/>
    <w:rsid w:val="005A10F2"/>
    <w:rsid w:val="005A21E0"/>
    <w:rsid w:val="005A28FF"/>
    <w:rsid w:val="005A2C09"/>
    <w:rsid w:val="005A3778"/>
    <w:rsid w:val="005A3DF8"/>
    <w:rsid w:val="005A5549"/>
    <w:rsid w:val="005B121D"/>
    <w:rsid w:val="005B4853"/>
    <w:rsid w:val="005B6CA1"/>
    <w:rsid w:val="005B770C"/>
    <w:rsid w:val="005C06ED"/>
    <w:rsid w:val="005C11B8"/>
    <w:rsid w:val="005C2609"/>
    <w:rsid w:val="005C45DD"/>
    <w:rsid w:val="005D3F06"/>
    <w:rsid w:val="005D4B73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66B"/>
    <w:rsid w:val="005F46D8"/>
    <w:rsid w:val="005F5469"/>
    <w:rsid w:val="005F63F3"/>
    <w:rsid w:val="005F6D7F"/>
    <w:rsid w:val="00604307"/>
    <w:rsid w:val="0060487F"/>
    <w:rsid w:val="00604EAD"/>
    <w:rsid w:val="006104FB"/>
    <w:rsid w:val="00612A2F"/>
    <w:rsid w:val="00612AAE"/>
    <w:rsid w:val="006156B4"/>
    <w:rsid w:val="00616E05"/>
    <w:rsid w:val="00617985"/>
    <w:rsid w:val="00624093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4137"/>
    <w:rsid w:val="006451E4"/>
    <w:rsid w:val="00645B33"/>
    <w:rsid w:val="006516CB"/>
    <w:rsid w:val="00654110"/>
    <w:rsid w:val="00656CFB"/>
    <w:rsid w:val="00657E87"/>
    <w:rsid w:val="00662469"/>
    <w:rsid w:val="00664647"/>
    <w:rsid w:val="00664803"/>
    <w:rsid w:val="00665BA4"/>
    <w:rsid w:val="00667AF2"/>
    <w:rsid w:val="006710C9"/>
    <w:rsid w:val="006741CD"/>
    <w:rsid w:val="00674D89"/>
    <w:rsid w:val="00675E37"/>
    <w:rsid w:val="00676736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5065"/>
    <w:rsid w:val="00695BEF"/>
    <w:rsid w:val="006968C1"/>
    <w:rsid w:val="006977F6"/>
    <w:rsid w:val="00697A13"/>
    <w:rsid w:val="006A109C"/>
    <w:rsid w:val="006A6565"/>
    <w:rsid w:val="006A7691"/>
    <w:rsid w:val="006A7EE2"/>
    <w:rsid w:val="006B0514"/>
    <w:rsid w:val="006B0F92"/>
    <w:rsid w:val="006B2785"/>
    <w:rsid w:val="006B344A"/>
    <w:rsid w:val="006B58C9"/>
    <w:rsid w:val="006B74AC"/>
    <w:rsid w:val="006B78D8"/>
    <w:rsid w:val="006C113F"/>
    <w:rsid w:val="006C123E"/>
    <w:rsid w:val="006C15A1"/>
    <w:rsid w:val="006C1752"/>
    <w:rsid w:val="006C28CA"/>
    <w:rsid w:val="006C4355"/>
    <w:rsid w:val="006C469D"/>
    <w:rsid w:val="006C52EC"/>
    <w:rsid w:val="006C56D4"/>
    <w:rsid w:val="006C6681"/>
    <w:rsid w:val="006C6924"/>
    <w:rsid w:val="006C7CA6"/>
    <w:rsid w:val="006D18B3"/>
    <w:rsid w:val="006D3E8A"/>
    <w:rsid w:val="006D61F6"/>
    <w:rsid w:val="006E1332"/>
    <w:rsid w:val="006E279A"/>
    <w:rsid w:val="006E313B"/>
    <w:rsid w:val="006E7227"/>
    <w:rsid w:val="006F0741"/>
    <w:rsid w:val="006F1C27"/>
    <w:rsid w:val="006F42BB"/>
    <w:rsid w:val="006F438E"/>
    <w:rsid w:val="006F440B"/>
    <w:rsid w:val="006F5416"/>
    <w:rsid w:val="006F624B"/>
    <w:rsid w:val="0070398A"/>
    <w:rsid w:val="00705242"/>
    <w:rsid w:val="007065C5"/>
    <w:rsid w:val="00706AD4"/>
    <w:rsid w:val="00707150"/>
    <w:rsid w:val="00713549"/>
    <w:rsid w:val="007140BE"/>
    <w:rsid w:val="00715E4D"/>
    <w:rsid w:val="00716F48"/>
    <w:rsid w:val="00717114"/>
    <w:rsid w:val="0071779F"/>
    <w:rsid w:val="007211F5"/>
    <w:rsid w:val="007240E2"/>
    <w:rsid w:val="0072583E"/>
    <w:rsid w:val="00725BB5"/>
    <w:rsid w:val="00730AE8"/>
    <w:rsid w:val="00730F1B"/>
    <w:rsid w:val="0073186D"/>
    <w:rsid w:val="007343D9"/>
    <w:rsid w:val="00741493"/>
    <w:rsid w:val="007434E5"/>
    <w:rsid w:val="00752180"/>
    <w:rsid w:val="00752323"/>
    <w:rsid w:val="007532B7"/>
    <w:rsid w:val="00753CAB"/>
    <w:rsid w:val="00754A70"/>
    <w:rsid w:val="00755202"/>
    <w:rsid w:val="00755D3A"/>
    <w:rsid w:val="0075751D"/>
    <w:rsid w:val="007578D3"/>
    <w:rsid w:val="00760391"/>
    <w:rsid w:val="007609C6"/>
    <w:rsid w:val="007615F3"/>
    <w:rsid w:val="0076175D"/>
    <w:rsid w:val="00763B85"/>
    <w:rsid w:val="00764974"/>
    <w:rsid w:val="0076521E"/>
    <w:rsid w:val="007661E9"/>
    <w:rsid w:val="00767062"/>
    <w:rsid w:val="00771972"/>
    <w:rsid w:val="00774D2C"/>
    <w:rsid w:val="00776169"/>
    <w:rsid w:val="00776527"/>
    <w:rsid w:val="00777040"/>
    <w:rsid w:val="00780EF1"/>
    <w:rsid w:val="00786C87"/>
    <w:rsid w:val="007877C9"/>
    <w:rsid w:val="00790764"/>
    <w:rsid w:val="0079085F"/>
    <w:rsid w:val="00793D78"/>
    <w:rsid w:val="0079453C"/>
    <w:rsid w:val="00794677"/>
    <w:rsid w:val="007A33E2"/>
    <w:rsid w:val="007A3CAF"/>
    <w:rsid w:val="007A516D"/>
    <w:rsid w:val="007A5E65"/>
    <w:rsid w:val="007A775D"/>
    <w:rsid w:val="007B0834"/>
    <w:rsid w:val="007B0E83"/>
    <w:rsid w:val="007B11FA"/>
    <w:rsid w:val="007B1396"/>
    <w:rsid w:val="007B2011"/>
    <w:rsid w:val="007B2CFE"/>
    <w:rsid w:val="007B3DCB"/>
    <w:rsid w:val="007B6689"/>
    <w:rsid w:val="007B6F72"/>
    <w:rsid w:val="007C1FFB"/>
    <w:rsid w:val="007C2D94"/>
    <w:rsid w:val="007C5F92"/>
    <w:rsid w:val="007C6227"/>
    <w:rsid w:val="007C6BBD"/>
    <w:rsid w:val="007D0382"/>
    <w:rsid w:val="007D1A1F"/>
    <w:rsid w:val="007D40DF"/>
    <w:rsid w:val="007D4458"/>
    <w:rsid w:val="007E0D4A"/>
    <w:rsid w:val="007E1788"/>
    <w:rsid w:val="007E29B4"/>
    <w:rsid w:val="007E435A"/>
    <w:rsid w:val="007E49F7"/>
    <w:rsid w:val="007E4C70"/>
    <w:rsid w:val="007E7E61"/>
    <w:rsid w:val="007F0845"/>
    <w:rsid w:val="007F20F3"/>
    <w:rsid w:val="007F2390"/>
    <w:rsid w:val="007F708D"/>
    <w:rsid w:val="00801E13"/>
    <w:rsid w:val="00803069"/>
    <w:rsid w:val="0080734C"/>
    <w:rsid w:val="00807C82"/>
    <w:rsid w:val="008117CC"/>
    <w:rsid w:val="00813DCA"/>
    <w:rsid w:val="008161A6"/>
    <w:rsid w:val="00816905"/>
    <w:rsid w:val="00817A17"/>
    <w:rsid w:val="00817EC1"/>
    <w:rsid w:val="0082112D"/>
    <w:rsid w:val="00821FF6"/>
    <w:rsid w:val="00822574"/>
    <w:rsid w:val="00825C4D"/>
    <w:rsid w:val="00827186"/>
    <w:rsid w:val="00827C8E"/>
    <w:rsid w:val="00830AEA"/>
    <w:rsid w:val="00830E86"/>
    <w:rsid w:val="0083143E"/>
    <w:rsid w:val="008315D5"/>
    <w:rsid w:val="00831CDE"/>
    <w:rsid w:val="00834304"/>
    <w:rsid w:val="00834FAA"/>
    <w:rsid w:val="008354FB"/>
    <w:rsid w:val="00836086"/>
    <w:rsid w:val="00836A06"/>
    <w:rsid w:val="008374BC"/>
    <w:rsid w:val="00840293"/>
    <w:rsid w:val="008417B5"/>
    <w:rsid w:val="00841901"/>
    <w:rsid w:val="00846121"/>
    <w:rsid w:val="008466C6"/>
    <w:rsid w:val="0084708F"/>
    <w:rsid w:val="008477C8"/>
    <w:rsid w:val="0085114D"/>
    <w:rsid w:val="008520A8"/>
    <w:rsid w:val="00852217"/>
    <w:rsid w:val="00855408"/>
    <w:rsid w:val="00856D65"/>
    <w:rsid w:val="00861B41"/>
    <w:rsid w:val="00861B9F"/>
    <w:rsid w:val="00861BE3"/>
    <w:rsid w:val="008625D3"/>
    <w:rsid w:val="00863434"/>
    <w:rsid w:val="00865E4C"/>
    <w:rsid w:val="00867DAB"/>
    <w:rsid w:val="008701E4"/>
    <w:rsid w:val="008734E7"/>
    <w:rsid w:val="0087368D"/>
    <w:rsid w:val="00874FE8"/>
    <w:rsid w:val="00875A32"/>
    <w:rsid w:val="00876086"/>
    <w:rsid w:val="00876E83"/>
    <w:rsid w:val="008772BC"/>
    <w:rsid w:val="00882911"/>
    <w:rsid w:val="00885D40"/>
    <w:rsid w:val="008873D4"/>
    <w:rsid w:val="00891EDF"/>
    <w:rsid w:val="00892872"/>
    <w:rsid w:val="0089296D"/>
    <w:rsid w:val="00893E85"/>
    <w:rsid w:val="00894031"/>
    <w:rsid w:val="00894C5D"/>
    <w:rsid w:val="00895508"/>
    <w:rsid w:val="008972D2"/>
    <w:rsid w:val="008A0ADD"/>
    <w:rsid w:val="008A388E"/>
    <w:rsid w:val="008A3CBA"/>
    <w:rsid w:val="008A4B59"/>
    <w:rsid w:val="008B3F7B"/>
    <w:rsid w:val="008B6106"/>
    <w:rsid w:val="008B7C02"/>
    <w:rsid w:val="008B7D2B"/>
    <w:rsid w:val="008B7EF9"/>
    <w:rsid w:val="008C0049"/>
    <w:rsid w:val="008C0E88"/>
    <w:rsid w:val="008C4B50"/>
    <w:rsid w:val="008C7569"/>
    <w:rsid w:val="008D0DBD"/>
    <w:rsid w:val="008D127E"/>
    <w:rsid w:val="008D1E6A"/>
    <w:rsid w:val="008D2A16"/>
    <w:rsid w:val="008D33F5"/>
    <w:rsid w:val="008D35E4"/>
    <w:rsid w:val="008E292B"/>
    <w:rsid w:val="008E2C57"/>
    <w:rsid w:val="008E31FF"/>
    <w:rsid w:val="008E6DCB"/>
    <w:rsid w:val="008E6F06"/>
    <w:rsid w:val="008E7B8E"/>
    <w:rsid w:val="008E7FC9"/>
    <w:rsid w:val="008F029B"/>
    <w:rsid w:val="008F2A5D"/>
    <w:rsid w:val="008F3636"/>
    <w:rsid w:val="008F3FC9"/>
    <w:rsid w:val="008F585B"/>
    <w:rsid w:val="009003A8"/>
    <w:rsid w:val="009021DA"/>
    <w:rsid w:val="00902500"/>
    <w:rsid w:val="00902EFF"/>
    <w:rsid w:val="0090432C"/>
    <w:rsid w:val="00904F96"/>
    <w:rsid w:val="009052A3"/>
    <w:rsid w:val="009056D7"/>
    <w:rsid w:val="00905B8D"/>
    <w:rsid w:val="00906401"/>
    <w:rsid w:val="0090786F"/>
    <w:rsid w:val="009110F7"/>
    <w:rsid w:val="0091155E"/>
    <w:rsid w:val="00912A92"/>
    <w:rsid w:val="00915D07"/>
    <w:rsid w:val="009162AE"/>
    <w:rsid w:val="00917251"/>
    <w:rsid w:val="0091728D"/>
    <w:rsid w:val="00920EC4"/>
    <w:rsid w:val="0092180B"/>
    <w:rsid w:val="00921F14"/>
    <w:rsid w:val="00923CB0"/>
    <w:rsid w:val="00924871"/>
    <w:rsid w:val="00924AC8"/>
    <w:rsid w:val="00925429"/>
    <w:rsid w:val="0092597A"/>
    <w:rsid w:val="00926520"/>
    <w:rsid w:val="0093033E"/>
    <w:rsid w:val="009305FC"/>
    <w:rsid w:val="00930FB1"/>
    <w:rsid w:val="0093139F"/>
    <w:rsid w:val="00932443"/>
    <w:rsid w:val="00933F4A"/>
    <w:rsid w:val="00935BD4"/>
    <w:rsid w:val="009373B2"/>
    <w:rsid w:val="00937AE2"/>
    <w:rsid w:val="0094416B"/>
    <w:rsid w:val="0094427A"/>
    <w:rsid w:val="00944C7C"/>
    <w:rsid w:val="00945245"/>
    <w:rsid w:val="009568DC"/>
    <w:rsid w:val="0095759C"/>
    <w:rsid w:val="009618EE"/>
    <w:rsid w:val="009624D2"/>
    <w:rsid w:val="009628D9"/>
    <w:rsid w:val="009637AE"/>
    <w:rsid w:val="00964776"/>
    <w:rsid w:val="00964A4E"/>
    <w:rsid w:val="00964B35"/>
    <w:rsid w:val="009651C7"/>
    <w:rsid w:val="00965797"/>
    <w:rsid w:val="00965A10"/>
    <w:rsid w:val="009670A3"/>
    <w:rsid w:val="009674BE"/>
    <w:rsid w:val="00972FCD"/>
    <w:rsid w:val="009741FC"/>
    <w:rsid w:val="00974923"/>
    <w:rsid w:val="00977C3D"/>
    <w:rsid w:val="00980D3D"/>
    <w:rsid w:val="00983101"/>
    <w:rsid w:val="00983E41"/>
    <w:rsid w:val="00987A30"/>
    <w:rsid w:val="0099182E"/>
    <w:rsid w:val="00992CF3"/>
    <w:rsid w:val="00994868"/>
    <w:rsid w:val="009968D6"/>
    <w:rsid w:val="009A10A0"/>
    <w:rsid w:val="009A1CAB"/>
    <w:rsid w:val="009A2359"/>
    <w:rsid w:val="009A4D57"/>
    <w:rsid w:val="009A60D1"/>
    <w:rsid w:val="009B05B3"/>
    <w:rsid w:val="009B3764"/>
    <w:rsid w:val="009B66CE"/>
    <w:rsid w:val="009B6FD3"/>
    <w:rsid w:val="009C1750"/>
    <w:rsid w:val="009C2E29"/>
    <w:rsid w:val="009C3E8F"/>
    <w:rsid w:val="009C554B"/>
    <w:rsid w:val="009C719E"/>
    <w:rsid w:val="009C7799"/>
    <w:rsid w:val="009D07A9"/>
    <w:rsid w:val="009D3ACD"/>
    <w:rsid w:val="009D7731"/>
    <w:rsid w:val="009E1922"/>
    <w:rsid w:val="009E4715"/>
    <w:rsid w:val="009E5273"/>
    <w:rsid w:val="009E5DDB"/>
    <w:rsid w:val="009F4982"/>
    <w:rsid w:val="009F4CA7"/>
    <w:rsid w:val="009F7D36"/>
    <w:rsid w:val="00A00E71"/>
    <w:rsid w:val="00A03B10"/>
    <w:rsid w:val="00A04616"/>
    <w:rsid w:val="00A04717"/>
    <w:rsid w:val="00A05EE4"/>
    <w:rsid w:val="00A10D66"/>
    <w:rsid w:val="00A14114"/>
    <w:rsid w:val="00A16413"/>
    <w:rsid w:val="00A16545"/>
    <w:rsid w:val="00A16AED"/>
    <w:rsid w:val="00A16E1D"/>
    <w:rsid w:val="00A17A15"/>
    <w:rsid w:val="00A17D5B"/>
    <w:rsid w:val="00A23E43"/>
    <w:rsid w:val="00A24ED9"/>
    <w:rsid w:val="00A25216"/>
    <w:rsid w:val="00A2628E"/>
    <w:rsid w:val="00A2731E"/>
    <w:rsid w:val="00A309AC"/>
    <w:rsid w:val="00A30F65"/>
    <w:rsid w:val="00A3279E"/>
    <w:rsid w:val="00A35900"/>
    <w:rsid w:val="00A40EAC"/>
    <w:rsid w:val="00A418BC"/>
    <w:rsid w:val="00A43CF8"/>
    <w:rsid w:val="00A43DF2"/>
    <w:rsid w:val="00A445A8"/>
    <w:rsid w:val="00A44B0D"/>
    <w:rsid w:val="00A45087"/>
    <w:rsid w:val="00A45489"/>
    <w:rsid w:val="00A46DE0"/>
    <w:rsid w:val="00A50D73"/>
    <w:rsid w:val="00A52CAD"/>
    <w:rsid w:val="00A53FC7"/>
    <w:rsid w:val="00A626FF"/>
    <w:rsid w:val="00A62CE1"/>
    <w:rsid w:val="00A655D3"/>
    <w:rsid w:val="00A6741E"/>
    <w:rsid w:val="00A7016A"/>
    <w:rsid w:val="00A7018D"/>
    <w:rsid w:val="00A722F9"/>
    <w:rsid w:val="00A72D42"/>
    <w:rsid w:val="00A75E40"/>
    <w:rsid w:val="00A77D1D"/>
    <w:rsid w:val="00A81652"/>
    <w:rsid w:val="00A83150"/>
    <w:rsid w:val="00A83398"/>
    <w:rsid w:val="00A857C0"/>
    <w:rsid w:val="00A90FED"/>
    <w:rsid w:val="00A9189D"/>
    <w:rsid w:val="00A91E71"/>
    <w:rsid w:val="00A96116"/>
    <w:rsid w:val="00A9614E"/>
    <w:rsid w:val="00A96C0F"/>
    <w:rsid w:val="00AA212F"/>
    <w:rsid w:val="00AA2996"/>
    <w:rsid w:val="00AA2AF4"/>
    <w:rsid w:val="00AA52BF"/>
    <w:rsid w:val="00AA559A"/>
    <w:rsid w:val="00AA6C31"/>
    <w:rsid w:val="00AA7CE8"/>
    <w:rsid w:val="00AB2AF1"/>
    <w:rsid w:val="00AB5A64"/>
    <w:rsid w:val="00AB6456"/>
    <w:rsid w:val="00AC044E"/>
    <w:rsid w:val="00AC2395"/>
    <w:rsid w:val="00AC2960"/>
    <w:rsid w:val="00AC2AC4"/>
    <w:rsid w:val="00AC4284"/>
    <w:rsid w:val="00AC45BD"/>
    <w:rsid w:val="00AD0EE7"/>
    <w:rsid w:val="00AD168E"/>
    <w:rsid w:val="00AD306C"/>
    <w:rsid w:val="00AD5AD2"/>
    <w:rsid w:val="00AD6462"/>
    <w:rsid w:val="00AD68C4"/>
    <w:rsid w:val="00AD71F9"/>
    <w:rsid w:val="00AE09B3"/>
    <w:rsid w:val="00AE1A83"/>
    <w:rsid w:val="00AE7CE7"/>
    <w:rsid w:val="00AE7FAB"/>
    <w:rsid w:val="00AF1E87"/>
    <w:rsid w:val="00AF436B"/>
    <w:rsid w:val="00AF5179"/>
    <w:rsid w:val="00AF5CC2"/>
    <w:rsid w:val="00AF6F98"/>
    <w:rsid w:val="00B00913"/>
    <w:rsid w:val="00B01593"/>
    <w:rsid w:val="00B01FF9"/>
    <w:rsid w:val="00B023F2"/>
    <w:rsid w:val="00B06DB4"/>
    <w:rsid w:val="00B10A4D"/>
    <w:rsid w:val="00B10C90"/>
    <w:rsid w:val="00B11002"/>
    <w:rsid w:val="00B121B2"/>
    <w:rsid w:val="00B14BC1"/>
    <w:rsid w:val="00B16EB8"/>
    <w:rsid w:val="00B17E71"/>
    <w:rsid w:val="00B17FDE"/>
    <w:rsid w:val="00B20632"/>
    <w:rsid w:val="00B2379C"/>
    <w:rsid w:val="00B23D5D"/>
    <w:rsid w:val="00B2687D"/>
    <w:rsid w:val="00B32DDB"/>
    <w:rsid w:val="00B32F57"/>
    <w:rsid w:val="00B3345C"/>
    <w:rsid w:val="00B34528"/>
    <w:rsid w:val="00B34CC9"/>
    <w:rsid w:val="00B3563B"/>
    <w:rsid w:val="00B402FC"/>
    <w:rsid w:val="00B422E2"/>
    <w:rsid w:val="00B439DA"/>
    <w:rsid w:val="00B4411A"/>
    <w:rsid w:val="00B46604"/>
    <w:rsid w:val="00B47089"/>
    <w:rsid w:val="00B52151"/>
    <w:rsid w:val="00B530CD"/>
    <w:rsid w:val="00B55F5E"/>
    <w:rsid w:val="00B56B6F"/>
    <w:rsid w:val="00B5752E"/>
    <w:rsid w:val="00B62316"/>
    <w:rsid w:val="00B63A11"/>
    <w:rsid w:val="00B64425"/>
    <w:rsid w:val="00B64C24"/>
    <w:rsid w:val="00B65CEF"/>
    <w:rsid w:val="00B6608F"/>
    <w:rsid w:val="00B679FB"/>
    <w:rsid w:val="00B76D1E"/>
    <w:rsid w:val="00B77543"/>
    <w:rsid w:val="00B80EC6"/>
    <w:rsid w:val="00B81D70"/>
    <w:rsid w:val="00B83E07"/>
    <w:rsid w:val="00B84CF6"/>
    <w:rsid w:val="00B85016"/>
    <w:rsid w:val="00B8561A"/>
    <w:rsid w:val="00B92D1D"/>
    <w:rsid w:val="00B938C5"/>
    <w:rsid w:val="00B95940"/>
    <w:rsid w:val="00B95ACA"/>
    <w:rsid w:val="00B97ACC"/>
    <w:rsid w:val="00BA3787"/>
    <w:rsid w:val="00BA46E8"/>
    <w:rsid w:val="00BA6C2B"/>
    <w:rsid w:val="00BA7B64"/>
    <w:rsid w:val="00BB0351"/>
    <w:rsid w:val="00BB15C3"/>
    <w:rsid w:val="00BB1AF4"/>
    <w:rsid w:val="00BB46F3"/>
    <w:rsid w:val="00BB4CB1"/>
    <w:rsid w:val="00BB4F98"/>
    <w:rsid w:val="00BB5ABF"/>
    <w:rsid w:val="00BB6EA2"/>
    <w:rsid w:val="00BB7B5B"/>
    <w:rsid w:val="00BC003F"/>
    <w:rsid w:val="00BC327F"/>
    <w:rsid w:val="00BC5332"/>
    <w:rsid w:val="00BC5C12"/>
    <w:rsid w:val="00BC7154"/>
    <w:rsid w:val="00BC731E"/>
    <w:rsid w:val="00BC7614"/>
    <w:rsid w:val="00BD25BB"/>
    <w:rsid w:val="00BD2AF8"/>
    <w:rsid w:val="00BD366B"/>
    <w:rsid w:val="00BD6D50"/>
    <w:rsid w:val="00BE0AD1"/>
    <w:rsid w:val="00BE0EF9"/>
    <w:rsid w:val="00BE18B9"/>
    <w:rsid w:val="00BE2495"/>
    <w:rsid w:val="00BF02C8"/>
    <w:rsid w:val="00BF1578"/>
    <w:rsid w:val="00BF1D12"/>
    <w:rsid w:val="00BF1D3A"/>
    <w:rsid w:val="00BF4E43"/>
    <w:rsid w:val="00BF5C4C"/>
    <w:rsid w:val="00C01410"/>
    <w:rsid w:val="00C052AA"/>
    <w:rsid w:val="00C06EE3"/>
    <w:rsid w:val="00C07749"/>
    <w:rsid w:val="00C11D48"/>
    <w:rsid w:val="00C21430"/>
    <w:rsid w:val="00C21E61"/>
    <w:rsid w:val="00C21F94"/>
    <w:rsid w:val="00C2590D"/>
    <w:rsid w:val="00C27913"/>
    <w:rsid w:val="00C33B68"/>
    <w:rsid w:val="00C35570"/>
    <w:rsid w:val="00C36A79"/>
    <w:rsid w:val="00C401D2"/>
    <w:rsid w:val="00C4031A"/>
    <w:rsid w:val="00C405D4"/>
    <w:rsid w:val="00C419D5"/>
    <w:rsid w:val="00C4513B"/>
    <w:rsid w:val="00C5390B"/>
    <w:rsid w:val="00C54697"/>
    <w:rsid w:val="00C553A5"/>
    <w:rsid w:val="00C55402"/>
    <w:rsid w:val="00C5603B"/>
    <w:rsid w:val="00C61F47"/>
    <w:rsid w:val="00C62828"/>
    <w:rsid w:val="00C71D2F"/>
    <w:rsid w:val="00C72984"/>
    <w:rsid w:val="00C73885"/>
    <w:rsid w:val="00C73C93"/>
    <w:rsid w:val="00C7435A"/>
    <w:rsid w:val="00C747B1"/>
    <w:rsid w:val="00C82191"/>
    <w:rsid w:val="00C83134"/>
    <w:rsid w:val="00C832F3"/>
    <w:rsid w:val="00C85545"/>
    <w:rsid w:val="00C855B5"/>
    <w:rsid w:val="00C85F0E"/>
    <w:rsid w:val="00C90CF4"/>
    <w:rsid w:val="00C922DE"/>
    <w:rsid w:val="00C92843"/>
    <w:rsid w:val="00C92EB6"/>
    <w:rsid w:val="00C93389"/>
    <w:rsid w:val="00CA0346"/>
    <w:rsid w:val="00CA37FF"/>
    <w:rsid w:val="00CA6AB4"/>
    <w:rsid w:val="00CB2351"/>
    <w:rsid w:val="00CB4930"/>
    <w:rsid w:val="00CB5E10"/>
    <w:rsid w:val="00CC0834"/>
    <w:rsid w:val="00CC20FE"/>
    <w:rsid w:val="00CC2E7D"/>
    <w:rsid w:val="00CC655F"/>
    <w:rsid w:val="00CC76BD"/>
    <w:rsid w:val="00CD10A5"/>
    <w:rsid w:val="00CD1129"/>
    <w:rsid w:val="00CD2076"/>
    <w:rsid w:val="00CD24CE"/>
    <w:rsid w:val="00CD29B5"/>
    <w:rsid w:val="00CD2B78"/>
    <w:rsid w:val="00CD5C3E"/>
    <w:rsid w:val="00CD6331"/>
    <w:rsid w:val="00CE62FA"/>
    <w:rsid w:val="00CE670B"/>
    <w:rsid w:val="00CF4908"/>
    <w:rsid w:val="00CF51EC"/>
    <w:rsid w:val="00CF545D"/>
    <w:rsid w:val="00CF5873"/>
    <w:rsid w:val="00CF73AE"/>
    <w:rsid w:val="00D03A72"/>
    <w:rsid w:val="00D040DD"/>
    <w:rsid w:val="00D05C65"/>
    <w:rsid w:val="00D06D68"/>
    <w:rsid w:val="00D075BE"/>
    <w:rsid w:val="00D12C25"/>
    <w:rsid w:val="00D133B4"/>
    <w:rsid w:val="00D13986"/>
    <w:rsid w:val="00D14C5B"/>
    <w:rsid w:val="00D15FED"/>
    <w:rsid w:val="00D214EF"/>
    <w:rsid w:val="00D21D6D"/>
    <w:rsid w:val="00D21D83"/>
    <w:rsid w:val="00D235B7"/>
    <w:rsid w:val="00D25F28"/>
    <w:rsid w:val="00D26071"/>
    <w:rsid w:val="00D27973"/>
    <w:rsid w:val="00D31E1E"/>
    <w:rsid w:val="00D334E2"/>
    <w:rsid w:val="00D35BBB"/>
    <w:rsid w:val="00D35E1A"/>
    <w:rsid w:val="00D36DFB"/>
    <w:rsid w:val="00D36E1C"/>
    <w:rsid w:val="00D373AF"/>
    <w:rsid w:val="00D40556"/>
    <w:rsid w:val="00D41F74"/>
    <w:rsid w:val="00D43ED2"/>
    <w:rsid w:val="00D50F46"/>
    <w:rsid w:val="00D544E7"/>
    <w:rsid w:val="00D56FBF"/>
    <w:rsid w:val="00D57677"/>
    <w:rsid w:val="00D60415"/>
    <w:rsid w:val="00D63BE5"/>
    <w:rsid w:val="00D66223"/>
    <w:rsid w:val="00D70822"/>
    <w:rsid w:val="00D72076"/>
    <w:rsid w:val="00D743E0"/>
    <w:rsid w:val="00D77252"/>
    <w:rsid w:val="00D8084C"/>
    <w:rsid w:val="00D82EF1"/>
    <w:rsid w:val="00D84F43"/>
    <w:rsid w:val="00D85821"/>
    <w:rsid w:val="00D8598C"/>
    <w:rsid w:val="00D87C06"/>
    <w:rsid w:val="00D915EA"/>
    <w:rsid w:val="00D928BE"/>
    <w:rsid w:val="00D95C5D"/>
    <w:rsid w:val="00D97D00"/>
    <w:rsid w:val="00DA096C"/>
    <w:rsid w:val="00DA1AB6"/>
    <w:rsid w:val="00DA6364"/>
    <w:rsid w:val="00DA7114"/>
    <w:rsid w:val="00DA7C0C"/>
    <w:rsid w:val="00DB08A9"/>
    <w:rsid w:val="00DB2DFA"/>
    <w:rsid w:val="00DB2EC8"/>
    <w:rsid w:val="00DC17D0"/>
    <w:rsid w:val="00DC2B41"/>
    <w:rsid w:val="00DC435B"/>
    <w:rsid w:val="00DC56FE"/>
    <w:rsid w:val="00DC5B3B"/>
    <w:rsid w:val="00DC6C2D"/>
    <w:rsid w:val="00DC7B1A"/>
    <w:rsid w:val="00DD129F"/>
    <w:rsid w:val="00DD32DD"/>
    <w:rsid w:val="00DE0D8B"/>
    <w:rsid w:val="00DF3643"/>
    <w:rsid w:val="00DF42FF"/>
    <w:rsid w:val="00DF5D1E"/>
    <w:rsid w:val="00E01C0E"/>
    <w:rsid w:val="00E0368F"/>
    <w:rsid w:val="00E03D73"/>
    <w:rsid w:val="00E03F9A"/>
    <w:rsid w:val="00E04694"/>
    <w:rsid w:val="00E129E7"/>
    <w:rsid w:val="00E12ABE"/>
    <w:rsid w:val="00E12B1E"/>
    <w:rsid w:val="00E1444C"/>
    <w:rsid w:val="00E17262"/>
    <w:rsid w:val="00E20016"/>
    <w:rsid w:val="00E2009B"/>
    <w:rsid w:val="00E2251C"/>
    <w:rsid w:val="00E2363D"/>
    <w:rsid w:val="00E253A2"/>
    <w:rsid w:val="00E27127"/>
    <w:rsid w:val="00E27233"/>
    <w:rsid w:val="00E31771"/>
    <w:rsid w:val="00E32080"/>
    <w:rsid w:val="00E3309D"/>
    <w:rsid w:val="00E417BE"/>
    <w:rsid w:val="00E41CD5"/>
    <w:rsid w:val="00E43A9E"/>
    <w:rsid w:val="00E453F9"/>
    <w:rsid w:val="00E45D7D"/>
    <w:rsid w:val="00E47854"/>
    <w:rsid w:val="00E47EBA"/>
    <w:rsid w:val="00E50156"/>
    <w:rsid w:val="00E5076C"/>
    <w:rsid w:val="00E53470"/>
    <w:rsid w:val="00E539F6"/>
    <w:rsid w:val="00E55791"/>
    <w:rsid w:val="00E578A2"/>
    <w:rsid w:val="00E61740"/>
    <w:rsid w:val="00E61EB5"/>
    <w:rsid w:val="00E6519D"/>
    <w:rsid w:val="00E67305"/>
    <w:rsid w:val="00E67696"/>
    <w:rsid w:val="00E71A58"/>
    <w:rsid w:val="00E72A26"/>
    <w:rsid w:val="00E72A7A"/>
    <w:rsid w:val="00E747DC"/>
    <w:rsid w:val="00E75C94"/>
    <w:rsid w:val="00E76B9B"/>
    <w:rsid w:val="00E76E61"/>
    <w:rsid w:val="00E80CA3"/>
    <w:rsid w:val="00E82618"/>
    <w:rsid w:val="00E930A1"/>
    <w:rsid w:val="00E93820"/>
    <w:rsid w:val="00E94A86"/>
    <w:rsid w:val="00E96143"/>
    <w:rsid w:val="00E96833"/>
    <w:rsid w:val="00EA0C68"/>
    <w:rsid w:val="00EA32BC"/>
    <w:rsid w:val="00EA35A7"/>
    <w:rsid w:val="00EA4402"/>
    <w:rsid w:val="00EA513E"/>
    <w:rsid w:val="00EB0E32"/>
    <w:rsid w:val="00EB4511"/>
    <w:rsid w:val="00EB4A8E"/>
    <w:rsid w:val="00EB5BF7"/>
    <w:rsid w:val="00EB5E79"/>
    <w:rsid w:val="00EB6FAC"/>
    <w:rsid w:val="00EC03D7"/>
    <w:rsid w:val="00EC13A7"/>
    <w:rsid w:val="00ED0EF0"/>
    <w:rsid w:val="00ED12B9"/>
    <w:rsid w:val="00ED16B8"/>
    <w:rsid w:val="00ED2EA1"/>
    <w:rsid w:val="00ED4D04"/>
    <w:rsid w:val="00ED62C6"/>
    <w:rsid w:val="00ED64C1"/>
    <w:rsid w:val="00EE3446"/>
    <w:rsid w:val="00EE3E78"/>
    <w:rsid w:val="00EE4B1B"/>
    <w:rsid w:val="00EF150D"/>
    <w:rsid w:val="00EF1F5A"/>
    <w:rsid w:val="00EF47BF"/>
    <w:rsid w:val="00EF5A13"/>
    <w:rsid w:val="00EF5FF9"/>
    <w:rsid w:val="00F0160B"/>
    <w:rsid w:val="00F03F8D"/>
    <w:rsid w:val="00F04811"/>
    <w:rsid w:val="00F0488C"/>
    <w:rsid w:val="00F073ED"/>
    <w:rsid w:val="00F07C4C"/>
    <w:rsid w:val="00F10F11"/>
    <w:rsid w:val="00F12CFB"/>
    <w:rsid w:val="00F15AAA"/>
    <w:rsid w:val="00F15BEF"/>
    <w:rsid w:val="00F17898"/>
    <w:rsid w:val="00F207C2"/>
    <w:rsid w:val="00F219A1"/>
    <w:rsid w:val="00F23E20"/>
    <w:rsid w:val="00F24407"/>
    <w:rsid w:val="00F24FAA"/>
    <w:rsid w:val="00F25040"/>
    <w:rsid w:val="00F27331"/>
    <w:rsid w:val="00F30C65"/>
    <w:rsid w:val="00F3364D"/>
    <w:rsid w:val="00F349BF"/>
    <w:rsid w:val="00F437CC"/>
    <w:rsid w:val="00F44537"/>
    <w:rsid w:val="00F46185"/>
    <w:rsid w:val="00F46423"/>
    <w:rsid w:val="00F4696A"/>
    <w:rsid w:val="00F47067"/>
    <w:rsid w:val="00F525EB"/>
    <w:rsid w:val="00F63AAE"/>
    <w:rsid w:val="00F63DDE"/>
    <w:rsid w:val="00F63FB7"/>
    <w:rsid w:val="00F6421B"/>
    <w:rsid w:val="00F649D2"/>
    <w:rsid w:val="00F6602B"/>
    <w:rsid w:val="00F7150B"/>
    <w:rsid w:val="00F735BF"/>
    <w:rsid w:val="00F73A0C"/>
    <w:rsid w:val="00F756DB"/>
    <w:rsid w:val="00F767A8"/>
    <w:rsid w:val="00F84E7D"/>
    <w:rsid w:val="00F85066"/>
    <w:rsid w:val="00F87A4D"/>
    <w:rsid w:val="00F93688"/>
    <w:rsid w:val="00F939F3"/>
    <w:rsid w:val="00FA05A0"/>
    <w:rsid w:val="00FA17CC"/>
    <w:rsid w:val="00FA1F01"/>
    <w:rsid w:val="00FA5112"/>
    <w:rsid w:val="00FA5526"/>
    <w:rsid w:val="00FA5D4D"/>
    <w:rsid w:val="00FA70D3"/>
    <w:rsid w:val="00FB0EE2"/>
    <w:rsid w:val="00FB1A79"/>
    <w:rsid w:val="00FB208B"/>
    <w:rsid w:val="00FB2B2D"/>
    <w:rsid w:val="00FB542E"/>
    <w:rsid w:val="00FC05F8"/>
    <w:rsid w:val="00FC0E5F"/>
    <w:rsid w:val="00FC1A95"/>
    <w:rsid w:val="00FC3BEC"/>
    <w:rsid w:val="00FC440B"/>
    <w:rsid w:val="00FC56DE"/>
    <w:rsid w:val="00FC64DE"/>
    <w:rsid w:val="00FC684B"/>
    <w:rsid w:val="00FC7D98"/>
    <w:rsid w:val="00FD1135"/>
    <w:rsid w:val="00FD3265"/>
    <w:rsid w:val="00FD3CF7"/>
    <w:rsid w:val="00FD4916"/>
    <w:rsid w:val="00FD4D12"/>
    <w:rsid w:val="00FE27C7"/>
    <w:rsid w:val="00FE2C7E"/>
    <w:rsid w:val="00FE2F78"/>
    <w:rsid w:val="00FE3137"/>
    <w:rsid w:val="00FE48E4"/>
    <w:rsid w:val="00FE634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vraznn">
    <w:name w:val="Emphasis"/>
    <w:basedOn w:val="Standardnpsmoodstavce"/>
    <w:uiPriority w:val="20"/>
    <w:qFormat/>
    <w:rsid w:val="00965797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9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2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2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2\Makroanal&#253;za%20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2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2240163796014245E-2"/>
          <c:y val="2.3046636085627001E-2"/>
          <c:w val="0.93617042384329663"/>
          <c:h val="0.74192840256672188"/>
        </c:manualLayout>
      </c:layout>
      <c:barChart>
        <c:barDir val="col"/>
        <c:grouping val="clustered"/>
        <c:ser>
          <c:idx val="0"/>
          <c:order val="0"/>
          <c:tx>
            <c:strRef>
              <c:f>'souhrnná výkonnost 1'!$C$4</c:f>
              <c:strCache>
                <c:ptCount val="1"/>
                <c:pt idx="0">
                  <c:v>ČR meziroční změna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</c:spPr>
          <c:cat>
            <c:multiLvlStrRef>
              <c:f>'souhrnná výkonnost 1'!$A$9:$B$30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</c:lvl>
              </c:multiLvlStrCache>
            </c:multiLvlStrRef>
          </c:cat>
          <c:val>
            <c:numRef>
              <c:f>'souhrnná výkonnost 1'!$C$9:$C$30</c:f>
              <c:numCache>
                <c:formatCode>#,##0.0</c:formatCode>
                <c:ptCount val="22"/>
                <c:pt idx="0">
                  <c:v>-1.8</c:v>
                </c:pt>
                <c:pt idx="1">
                  <c:v>-1.1000000000000001</c:v>
                </c:pt>
                <c:pt idx="2">
                  <c:v>-0.30000000000000032</c:v>
                </c:pt>
                <c:pt idx="3">
                  <c:v>1.3</c:v>
                </c:pt>
                <c:pt idx="4">
                  <c:v>1.599692644421808</c:v>
                </c:pt>
                <c:pt idx="5">
                  <c:v>2.4019552100365473</c:v>
                </c:pt>
                <c:pt idx="6">
                  <c:v>3.4030564515715742</c:v>
                </c:pt>
                <c:pt idx="7">
                  <c:v>3.4380052076485867</c:v>
                </c:pt>
                <c:pt idx="8">
                  <c:v>5.2550726107844694</c:v>
                </c:pt>
                <c:pt idx="9">
                  <c:v>5.7987847820089087</c:v>
                </c:pt>
                <c:pt idx="10">
                  <c:v>5.5707669225332523</c:v>
                </c:pt>
                <c:pt idx="11">
                  <c:v>4.9148252973919755</c:v>
                </c:pt>
                <c:pt idx="12">
                  <c:v>3.5623906099722142</c:v>
                </c:pt>
                <c:pt idx="13">
                  <c:v>2.4146777549828045</c:v>
                </c:pt>
                <c:pt idx="14">
                  <c:v>1.6940486553423995</c:v>
                </c:pt>
                <c:pt idx="15">
                  <c:v>1.8037525372218337</c:v>
                </c:pt>
                <c:pt idx="16">
                  <c:v>2.8712499788678167</c:v>
                </c:pt>
                <c:pt idx="17">
                  <c:v>4.9310728663161996</c:v>
                </c:pt>
                <c:pt idx="18">
                  <c:v>5.0995207171135633</c:v>
                </c:pt>
                <c:pt idx="19">
                  <c:v>4.9881960614611103</c:v>
                </c:pt>
                <c:pt idx="20">
                  <c:v>4.1057179162214767</c:v>
                </c:pt>
                <c:pt idx="21" formatCode="General">
                  <c:v>2.4213773126889482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F4-45A8-8419-CC4DD959E78D}"/>
            </c:ext>
          </c:extLst>
        </c:ser>
        <c:ser>
          <c:idx val="1"/>
          <c:order val="1"/>
          <c:tx>
            <c:strRef>
              <c:f>'souhrnná výkonnost 1'!$D$4</c:f>
              <c:strCache>
                <c:ptCount val="1"/>
                <c:pt idx="0">
                  <c:v>EU28 meziroční změna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</c:spPr>
          <c:cat>
            <c:multiLvlStrRef>
              <c:f>'souhrnná výkonnost 1'!$A$9:$B$30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</c:lvl>
              </c:multiLvlStrCache>
            </c:multiLvlStrRef>
          </c:cat>
          <c:val>
            <c:numRef>
              <c:f>'souhrnná výkonnost 1'!$D$9:$D$30</c:f>
              <c:numCache>
                <c:formatCode>#,##0.0</c:formatCode>
                <c:ptCount val="22"/>
                <c:pt idx="0">
                  <c:v>-0.60000000000000064</c:v>
                </c:pt>
                <c:pt idx="1">
                  <c:v>0.1</c:v>
                </c:pt>
                <c:pt idx="2">
                  <c:v>0.5</c:v>
                </c:pt>
                <c:pt idx="3">
                  <c:v>1.2</c:v>
                </c:pt>
                <c:pt idx="4">
                  <c:v>1.8</c:v>
                </c:pt>
                <c:pt idx="5">
                  <c:v>1.6</c:v>
                </c:pt>
                <c:pt idx="6">
                  <c:v>1.7</c:v>
                </c:pt>
                <c:pt idx="7">
                  <c:v>1.9000000000000001</c:v>
                </c:pt>
                <c:pt idx="8">
                  <c:v>2.2000000000000002</c:v>
                </c:pt>
                <c:pt idx="9">
                  <c:v>2.2999999999999998</c:v>
                </c:pt>
                <c:pt idx="10">
                  <c:v>2.2000000000000002</c:v>
                </c:pt>
                <c:pt idx="11">
                  <c:v>2.2000000000000002</c:v>
                </c:pt>
                <c:pt idx="12">
                  <c:v>2</c:v>
                </c:pt>
                <c:pt idx="13">
                  <c:v>1.9000000000000001</c:v>
                </c:pt>
                <c:pt idx="14">
                  <c:v>1.8</c:v>
                </c:pt>
                <c:pt idx="15">
                  <c:v>2.1</c:v>
                </c:pt>
                <c:pt idx="16">
                  <c:v>2.2000000000000002</c:v>
                </c:pt>
                <c:pt idx="17">
                  <c:v>2.5</c:v>
                </c:pt>
                <c:pt idx="18">
                  <c:v>2.8</c:v>
                </c:pt>
                <c:pt idx="19">
                  <c:v>2.6</c:v>
                </c:pt>
                <c:pt idx="20">
                  <c:v>2.4</c:v>
                </c:pt>
                <c:pt idx="21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F4-45A8-8419-CC4DD959E78D}"/>
            </c:ext>
          </c:extLst>
        </c:ser>
        <c:gapWidth val="100"/>
        <c:axId val="115479296"/>
        <c:axId val="115481216"/>
      </c:barChart>
      <c:lineChart>
        <c:grouping val="standard"/>
        <c:ser>
          <c:idx val="2"/>
          <c:order val="2"/>
          <c:tx>
            <c:strRef>
              <c:f>'souhrnná výkonnost 1'!$E$4</c:f>
              <c:strCache>
                <c:ptCount val="1"/>
                <c:pt idx="0">
                  <c:v>ČR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0071BC"/>
              </a:solidFill>
              <a:ln>
                <a:noFill/>
              </a:ln>
            </c:spPr>
          </c:marker>
          <c:cat>
            <c:multiLvlStrRef>
              <c:f>'souhrnná výkonnost 1'!$A$9:$B$30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</c:lvl>
              </c:multiLvlStrCache>
            </c:multiLvlStrRef>
          </c:cat>
          <c:val>
            <c:numRef>
              <c:f>'souhrnná výkonnost 1'!$E$9:$E$30</c:f>
              <c:numCache>
                <c:formatCode>#,##0.0</c:formatCode>
                <c:ptCount val="22"/>
                <c:pt idx="0">
                  <c:v>-0.5</c:v>
                </c:pt>
                <c:pt idx="1">
                  <c:v>0.2</c:v>
                </c:pt>
                <c:pt idx="2">
                  <c:v>0.30000000000000032</c:v>
                </c:pt>
                <c:pt idx="3">
                  <c:v>1.3</c:v>
                </c:pt>
                <c:pt idx="4">
                  <c:v>-0.15199361076162346</c:v>
                </c:pt>
                <c:pt idx="5">
                  <c:v>0.94354943170505123</c:v>
                </c:pt>
                <c:pt idx="6">
                  <c:v>1.3008267106148745</c:v>
                </c:pt>
                <c:pt idx="7">
                  <c:v>1.3092680104703618</c:v>
                </c:pt>
                <c:pt idx="8">
                  <c:v>1.6020092561128079</c:v>
                </c:pt>
                <c:pt idx="9">
                  <c:v>1.4649897297471739</c:v>
                </c:pt>
                <c:pt idx="10">
                  <c:v>1.0825028639160743</c:v>
                </c:pt>
                <c:pt idx="11">
                  <c:v>0.6798043072330936</c:v>
                </c:pt>
                <c:pt idx="12">
                  <c:v>0.29227937532607712</c:v>
                </c:pt>
                <c:pt idx="13">
                  <c:v>0.34052096885529093</c:v>
                </c:pt>
                <c:pt idx="14">
                  <c:v>0.37124745966146122</c:v>
                </c:pt>
                <c:pt idx="15">
                  <c:v>0.78841405879090121</c:v>
                </c:pt>
                <c:pt idx="16">
                  <c:v>1.343927757450903</c:v>
                </c:pt>
                <c:pt idx="17">
                  <c:v>2.3496702858179792</c:v>
                </c:pt>
                <c:pt idx="18">
                  <c:v>0.53237533584331231</c:v>
                </c:pt>
                <c:pt idx="19">
                  <c:v>0.68165586034911663</c:v>
                </c:pt>
                <c:pt idx="20">
                  <c:v>0.49208150469375972</c:v>
                </c:pt>
                <c:pt idx="21" formatCode="General">
                  <c:v>0.6937410163103811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F4-45A8-8419-CC4DD959E78D}"/>
            </c:ext>
          </c:extLst>
        </c:ser>
        <c:ser>
          <c:idx val="3"/>
          <c:order val="3"/>
          <c:tx>
            <c:strRef>
              <c:f>'souhrnná výkonnost 1'!$F$4</c:f>
              <c:strCache>
                <c:ptCount val="1"/>
                <c:pt idx="0">
                  <c:v>EU28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BD1B21"/>
              </a:solidFill>
              <a:ln>
                <a:noFill/>
              </a:ln>
            </c:spPr>
          </c:marker>
          <c:cat>
            <c:multiLvlStrRef>
              <c:f>'souhrnná výkonnost 1'!$A$9:$B$30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</c:lvl>
              </c:multiLvlStrCache>
            </c:multiLvlStrRef>
          </c:cat>
          <c:val>
            <c:numRef>
              <c:f>'souhrnná výkonnost 1'!$F$9:$F$30</c:f>
              <c:numCache>
                <c:formatCode>#,##0.0</c:formatCode>
                <c:ptCount val="22"/>
                <c:pt idx="0">
                  <c:v>-0.1</c:v>
                </c:pt>
                <c:pt idx="1">
                  <c:v>0.5</c:v>
                </c:pt>
                <c:pt idx="2">
                  <c:v>0.5</c:v>
                </c:pt>
                <c:pt idx="3">
                  <c:v>0.30000000000000032</c:v>
                </c:pt>
                <c:pt idx="4">
                  <c:v>0.5</c:v>
                </c:pt>
                <c:pt idx="5">
                  <c:v>0.30000000000000032</c:v>
                </c:pt>
                <c:pt idx="6">
                  <c:v>0.5</c:v>
                </c:pt>
                <c:pt idx="7">
                  <c:v>0.5</c:v>
                </c:pt>
                <c:pt idx="8">
                  <c:v>0.8</c:v>
                </c:pt>
                <c:pt idx="9">
                  <c:v>0.4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0.30000000000000032</c:v>
                </c:pt>
                <c:pt idx="14">
                  <c:v>0.4</c:v>
                </c:pt>
                <c:pt idx="15">
                  <c:v>0.8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0.70000000000000062</c:v>
                </c:pt>
                <c:pt idx="19">
                  <c:v>0.60000000000000064</c:v>
                </c:pt>
                <c:pt idx="20">
                  <c:v>0.4</c:v>
                </c:pt>
                <c:pt idx="21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FF4-45A8-8419-CC4DD959E78D}"/>
            </c:ext>
          </c:extLst>
        </c:ser>
        <c:marker val="1"/>
        <c:axId val="115479296"/>
        <c:axId val="115481216"/>
      </c:lineChart>
      <c:catAx>
        <c:axId val="115479296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5481216"/>
        <c:crosses val="autoZero"/>
        <c:auto val="1"/>
        <c:lblAlgn val="ctr"/>
        <c:lblOffset val="100"/>
      </c:catAx>
      <c:valAx>
        <c:axId val="115481216"/>
        <c:scaling>
          <c:orientation val="minMax"/>
          <c:max val="6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1547929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3.9667131036811895E-2"/>
          <c:y val="0.8943725512571804"/>
          <c:w val="0.93714918946301962"/>
          <c:h val="9.0301755758791014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3724701079031984E-2"/>
          <c:y val="2.69707781175678E-2"/>
          <c:w val="0.87770649039241611"/>
          <c:h val="0.76009512552065761"/>
        </c:manualLayout>
      </c:layout>
      <c:barChart>
        <c:barDir val="col"/>
        <c:grouping val="clustered"/>
        <c:ser>
          <c:idx val="0"/>
          <c:order val="0"/>
          <c:tx>
            <c:strRef>
              <c:f>'souhrnná výkonnost 2'!$C$5</c:f>
              <c:strCache>
                <c:ptCount val="1"/>
                <c:pt idx="0">
                  <c:v>HDP (pravá osa)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</c:spPr>
          <c:val>
            <c:numRef>
              <c:f>'souhrnná výkonnost 2'!$C$18:$C$83</c:f>
              <c:numCache>
                <c:formatCode>0.0</c:formatCode>
                <c:ptCount val="66"/>
                <c:pt idx="0">
                  <c:v>-1.8</c:v>
                </c:pt>
                <c:pt idx="1">
                  <c:v>-1.8</c:v>
                </c:pt>
                <c:pt idx="2">
                  <c:v>-1.8</c:v>
                </c:pt>
                <c:pt idx="3">
                  <c:v>-1.1000000000000001</c:v>
                </c:pt>
                <c:pt idx="4">
                  <c:v>-1.1000000000000001</c:v>
                </c:pt>
                <c:pt idx="5">
                  <c:v>-1.1000000000000001</c:v>
                </c:pt>
                <c:pt idx="6">
                  <c:v>-0.30000000000000032</c:v>
                </c:pt>
                <c:pt idx="7">
                  <c:v>-0.30000000000000032</c:v>
                </c:pt>
                <c:pt idx="8">
                  <c:v>-0.30000000000000032</c:v>
                </c:pt>
                <c:pt idx="9">
                  <c:v>1.3</c:v>
                </c:pt>
                <c:pt idx="10">
                  <c:v>1.3</c:v>
                </c:pt>
                <c:pt idx="11">
                  <c:v>1.3</c:v>
                </c:pt>
                <c:pt idx="12">
                  <c:v>1.6</c:v>
                </c:pt>
                <c:pt idx="13">
                  <c:v>1.6</c:v>
                </c:pt>
                <c:pt idx="14">
                  <c:v>1.6</c:v>
                </c:pt>
                <c:pt idx="15">
                  <c:v>2.4</c:v>
                </c:pt>
                <c:pt idx="16">
                  <c:v>2.4</c:v>
                </c:pt>
                <c:pt idx="17">
                  <c:v>2.4</c:v>
                </c:pt>
                <c:pt idx="18">
                  <c:v>3.4</c:v>
                </c:pt>
                <c:pt idx="19">
                  <c:v>3.4</c:v>
                </c:pt>
                <c:pt idx="20">
                  <c:v>3.4</c:v>
                </c:pt>
                <c:pt idx="21">
                  <c:v>3.4</c:v>
                </c:pt>
                <c:pt idx="22">
                  <c:v>3.4</c:v>
                </c:pt>
                <c:pt idx="23">
                  <c:v>3.4</c:v>
                </c:pt>
                <c:pt idx="24">
                  <c:v>5.3</c:v>
                </c:pt>
                <c:pt idx="25">
                  <c:v>5.3</c:v>
                </c:pt>
                <c:pt idx="26">
                  <c:v>5.3</c:v>
                </c:pt>
                <c:pt idx="27">
                  <c:v>5.8</c:v>
                </c:pt>
                <c:pt idx="28">
                  <c:v>5.8</c:v>
                </c:pt>
                <c:pt idx="29">
                  <c:v>5.8</c:v>
                </c:pt>
                <c:pt idx="30">
                  <c:v>5.6</c:v>
                </c:pt>
                <c:pt idx="31">
                  <c:v>5.6</c:v>
                </c:pt>
                <c:pt idx="32">
                  <c:v>5.6</c:v>
                </c:pt>
                <c:pt idx="33">
                  <c:v>4.9000000000000004</c:v>
                </c:pt>
                <c:pt idx="34">
                  <c:v>4.9000000000000004</c:v>
                </c:pt>
                <c:pt idx="35">
                  <c:v>4.9000000000000004</c:v>
                </c:pt>
                <c:pt idx="36">
                  <c:v>3.6</c:v>
                </c:pt>
                <c:pt idx="37">
                  <c:v>3.6</c:v>
                </c:pt>
                <c:pt idx="38">
                  <c:v>3.6</c:v>
                </c:pt>
                <c:pt idx="39">
                  <c:v>2.4</c:v>
                </c:pt>
                <c:pt idx="40">
                  <c:v>2.4</c:v>
                </c:pt>
                <c:pt idx="41" formatCode="General">
                  <c:v>2.4</c:v>
                </c:pt>
                <c:pt idx="42" formatCode="General">
                  <c:v>1.7</c:v>
                </c:pt>
                <c:pt idx="43" formatCode="General">
                  <c:v>1.7</c:v>
                </c:pt>
                <c:pt idx="44" formatCode="General">
                  <c:v>1.7</c:v>
                </c:pt>
                <c:pt idx="45" formatCode="General">
                  <c:v>1.8</c:v>
                </c:pt>
                <c:pt idx="46" formatCode="General">
                  <c:v>1.8</c:v>
                </c:pt>
                <c:pt idx="47" formatCode="General">
                  <c:v>1.8</c:v>
                </c:pt>
                <c:pt idx="48" formatCode="General">
                  <c:v>2.9</c:v>
                </c:pt>
                <c:pt idx="49" formatCode="General">
                  <c:v>2.9</c:v>
                </c:pt>
                <c:pt idx="50" formatCode="General">
                  <c:v>2.9</c:v>
                </c:pt>
                <c:pt idx="51" formatCode="General">
                  <c:v>4.9000000000000004</c:v>
                </c:pt>
                <c:pt idx="52" formatCode="General">
                  <c:v>4.9000000000000004</c:v>
                </c:pt>
                <c:pt idx="53" formatCode="General">
                  <c:v>4.9000000000000004</c:v>
                </c:pt>
                <c:pt idx="54" formatCode="General">
                  <c:v>5.0999999999999996</c:v>
                </c:pt>
                <c:pt idx="55" formatCode="General">
                  <c:v>5.0999999999999996</c:v>
                </c:pt>
                <c:pt idx="56" formatCode="General">
                  <c:v>5.0999999999999996</c:v>
                </c:pt>
                <c:pt idx="57" formatCode="General">
                  <c:v>5</c:v>
                </c:pt>
                <c:pt idx="58" formatCode="General">
                  <c:v>5</c:v>
                </c:pt>
                <c:pt idx="59" formatCode="General">
                  <c:v>5</c:v>
                </c:pt>
                <c:pt idx="60" formatCode="General">
                  <c:v>4.0999999999999996</c:v>
                </c:pt>
                <c:pt idx="61" formatCode="General">
                  <c:v>4.0999999999999996</c:v>
                </c:pt>
                <c:pt idx="62" formatCode="General">
                  <c:v>4.0999999999999996</c:v>
                </c:pt>
                <c:pt idx="63" formatCode="General">
                  <c:v>2.4</c:v>
                </c:pt>
                <c:pt idx="64" formatCode="General">
                  <c:v>2.4</c:v>
                </c:pt>
                <c:pt idx="65" formatCode="General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D6-489E-9F83-A09DAA724BFC}"/>
            </c:ext>
          </c:extLst>
        </c:ser>
        <c:gapWidth val="30"/>
        <c:axId val="115943680"/>
        <c:axId val="115942144"/>
      </c:barChart>
      <c:lineChart>
        <c:grouping val="standard"/>
        <c:ser>
          <c:idx val="3"/>
          <c:order val="1"/>
          <c:tx>
            <c:strRef>
              <c:f>'souhrnná výkonnost 2'!$D$5</c:f>
              <c:strCache>
                <c:ptCount val="1"/>
                <c:pt idx="0">
                  <c:v>Důvěra podnikatelů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'souhrnná výkonnost 2'!$A$18:$B$83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  <c:pt idx="60">
                    <c:v>2018</c:v>
                  </c:pt>
                </c:lvl>
              </c:multiLvlStrCache>
            </c:multiLvlStrRef>
          </c:cat>
          <c:val>
            <c:numRef>
              <c:f>'souhrnná výkonnost 2'!$D$18:$D$83</c:f>
              <c:numCache>
                <c:formatCode>###,###,##0.0</c:formatCode>
                <c:ptCount val="66"/>
                <c:pt idx="0">
                  <c:v>84.6</c:v>
                </c:pt>
                <c:pt idx="1">
                  <c:v>85.2</c:v>
                </c:pt>
                <c:pt idx="2" formatCode="###,###,##0">
                  <c:v>85</c:v>
                </c:pt>
                <c:pt idx="3">
                  <c:v>82.7</c:v>
                </c:pt>
                <c:pt idx="4">
                  <c:v>83.6</c:v>
                </c:pt>
                <c:pt idx="5" formatCode="###,###,##0">
                  <c:v>84</c:v>
                </c:pt>
                <c:pt idx="6" formatCode="###,###,##0">
                  <c:v>84</c:v>
                </c:pt>
                <c:pt idx="7">
                  <c:v>84.8</c:v>
                </c:pt>
                <c:pt idx="8">
                  <c:v>87.5</c:v>
                </c:pt>
                <c:pt idx="9" formatCode="###,###,##0">
                  <c:v>89</c:v>
                </c:pt>
                <c:pt idx="10">
                  <c:v>89.9</c:v>
                </c:pt>
                <c:pt idx="11">
                  <c:v>90.9</c:v>
                </c:pt>
                <c:pt idx="12">
                  <c:v>90.1</c:v>
                </c:pt>
                <c:pt idx="13">
                  <c:v>90.9</c:v>
                </c:pt>
                <c:pt idx="14">
                  <c:v>91.6</c:v>
                </c:pt>
                <c:pt idx="15">
                  <c:v>91.5</c:v>
                </c:pt>
                <c:pt idx="16">
                  <c:v>91.5</c:v>
                </c:pt>
                <c:pt idx="17">
                  <c:v>92.5</c:v>
                </c:pt>
                <c:pt idx="18">
                  <c:v>91.6</c:v>
                </c:pt>
                <c:pt idx="19">
                  <c:v>92.5</c:v>
                </c:pt>
                <c:pt idx="20">
                  <c:v>93.2</c:v>
                </c:pt>
                <c:pt idx="21">
                  <c:v>92.8</c:v>
                </c:pt>
                <c:pt idx="22">
                  <c:v>93.5</c:v>
                </c:pt>
                <c:pt idx="23">
                  <c:v>94.8</c:v>
                </c:pt>
                <c:pt idx="24">
                  <c:v>94.3</c:v>
                </c:pt>
                <c:pt idx="25">
                  <c:v>93.4</c:v>
                </c:pt>
                <c:pt idx="26">
                  <c:v>92.9</c:v>
                </c:pt>
                <c:pt idx="27">
                  <c:v>93.2</c:v>
                </c:pt>
                <c:pt idx="28">
                  <c:v>93.8</c:v>
                </c:pt>
                <c:pt idx="29">
                  <c:v>95.5</c:v>
                </c:pt>
                <c:pt idx="30">
                  <c:v>94.6</c:v>
                </c:pt>
                <c:pt idx="31">
                  <c:v>94.2</c:v>
                </c:pt>
                <c:pt idx="32">
                  <c:v>94.4</c:v>
                </c:pt>
                <c:pt idx="33">
                  <c:v>93.2</c:v>
                </c:pt>
                <c:pt idx="34">
                  <c:v>94.2</c:v>
                </c:pt>
                <c:pt idx="35">
                  <c:v>94.3</c:v>
                </c:pt>
                <c:pt idx="36" formatCode="0.0">
                  <c:v>96</c:v>
                </c:pt>
                <c:pt idx="37" formatCode="0.0">
                  <c:v>95.3</c:v>
                </c:pt>
                <c:pt idx="38" formatCode="0.0">
                  <c:v>95.1</c:v>
                </c:pt>
                <c:pt idx="39" formatCode="0.0">
                  <c:v>93.8</c:v>
                </c:pt>
                <c:pt idx="40" formatCode="0.0">
                  <c:v>94.3</c:v>
                </c:pt>
                <c:pt idx="41" formatCode="0.0">
                  <c:v>93.5</c:v>
                </c:pt>
                <c:pt idx="42" formatCode="0.0">
                  <c:v>94</c:v>
                </c:pt>
                <c:pt idx="43" formatCode="0.0">
                  <c:v>95.3</c:v>
                </c:pt>
                <c:pt idx="44" formatCode="0.0">
                  <c:v>95.2</c:v>
                </c:pt>
                <c:pt idx="45" formatCode="0.0">
                  <c:v>95.2</c:v>
                </c:pt>
                <c:pt idx="46" formatCode="0.0">
                  <c:v>97.5</c:v>
                </c:pt>
                <c:pt idx="47" formatCode="0.0">
                  <c:v>97.1</c:v>
                </c:pt>
                <c:pt idx="48" formatCode="0.0">
                  <c:v>97</c:v>
                </c:pt>
                <c:pt idx="49" formatCode="0.0">
                  <c:v>95.9</c:v>
                </c:pt>
                <c:pt idx="50" formatCode="0.0">
                  <c:v>94.1</c:v>
                </c:pt>
                <c:pt idx="51" formatCode="0.0">
                  <c:v>95.1</c:v>
                </c:pt>
                <c:pt idx="52" formatCode="0.0">
                  <c:v>94.9</c:v>
                </c:pt>
                <c:pt idx="53" formatCode="0.0">
                  <c:v>95.2</c:v>
                </c:pt>
                <c:pt idx="54" formatCode="0.0">
                  <c:v>96.1</c:v>
                </c:pt>
                <c:pt idx="55" formatCode="0.0">
                  <c:v>96.8</c:v>
                </c:pt>
                <c:pt idx="56" formatCode="0.0">
                  <c:v>97</c:v>
                </c:pt>
                <c:pt idx="57" formatCode="0.0">
                  <c:v>97.4</c:v>
                </c:pt>
                <c:pt idx="58" formatCode="0.0">
                  <c:v>96.7</c:v>
                </c:pt>
                <c:pt idx="59" formatCode="0.0">
                  <c:v>97.5</c:v>
                </c:pt>
                <c:pt idx="60" formatCode="0.0">
                  <c:v>96.9</c:v>
                </c:pt>
                <c:pt idx="61" formatCode="0.0">
                  <c:v>97.5</c:v>
                </c:pt>
                <c:pt idx="62" formatCode="0.0">
                  <c:v>97</c:v>
                </c:pt>
                <c:pt idx="63" formatCode="0.0">
                  <c:v>97.6</c:v>
                </c:pt>
                <c:pt idx="64" formatCode="0.0">
                  <c:v>96.2</c:v>
                </c:pt>
                <c:pt idx="65" formatCode="0.0">
                  <c:v>97.4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D6-489E-9F83-A09DAA724BFC}"/>
            </c:ext>
          </c:extLst>
        </c:ser>
        <c:ser>
          <c:idx val="2"/>
          <c:order val="2"/>
          <c:tx>
            <c:strRef>
              <c:f>'souhrnná výkonnost 2'!$E$5</c:f>
              <c:strCache>
                <c:ptCount val="1"/>
                <c:pt idx="0">
                  <c:v>Důvěra spotřebitelů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'souhrnná výkonnost 2'!$A$18:$B$83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  <c:pt idx="60">
                    <c:v>2018</c:v>
                  </c:pt>
                </c:lvl>
              </c:multiLvlStrCache>
            </c:multiLvlStrRef>
          </c:cat>
          <c:val>
            <c:numRef>
              <c:f>'souhrnná výkonnost 2'!$E$18:$E$83</c:f>
              <c:numCache>
                <c:formatCode>###,###,##0.0</c:formatCode>
                <c:ptCount val="66"/>
                <c:pt idx="0">
                  <c:v>73.8</c:v>
                </c:pt>
                <c:pt idx="1">
                  <c:v>79.5</c:v>
                </c:pt>
                <c:pt idx="2" formatCode="###,###,##0">
                  <c:v>81</c:v>
                </c:pt>
                <c:pt idx="3">
                  <c:v>77.900000000000006</c:v>
                </c:pt>
                <c:pt idx="4" formatCode="###,###,##0">
                  <c:v>82</c:v>
                </c:pt>
                <c:pt idx="5">
                  <c:v>82.8</c:v>
                </c:pt>
                <c:pt idx="6">
                  <c:v>81.3</c:v>
                </c:pt>
                <c:pt idx="7">
                  <c:v>84.9</c:v>
                </c:pt>
                <c:pt idx="8">
                  <c:v>87.7</c:v>
                </c:pt>
                <c:pt idx="9">
                  <c:v>88.5</c:v>
                </c:pt>
                <c:pt idx="10">
                  <c:v>92.8</c:v>
                </c:pt>
                <c:pt idx="11">
                  <c:v>92.6</c:v>
                </c:pt>
                <c:pt idx="12">
                  <c:v>96.9</c:v>
                </c:pt>
                <c:pt idx="13">
                  <c:v>93.1</c:v>
                </c:pt>
                <c:pt idx="14">
                  <c:v>96.7</c:v>
                </c:pt>
                <c:pt idx="15">
                  <c:v>98.4</c:v>
                </c:pt>
                <c:pt idx="16">
                  <c:v>98.2</c:v>
                </c:pt>
                <c:pt idx="17">
                  <c:v>99.4</c:v>
                </c:pt>
                <c:pt idx="18">
                  <c:v>99.9</c:v>
                </c:pt>
                <c:pt idx="19">
                  <c:v>97.9</c:v>
                </c:pt>
                <c:pt idx="20">
                  <c:v>96.3</c:v>
                </c:pt>
                <c:pt idx="21">
                  <c:v>100.2</c:v>
                </c:pt>
                <c:pt idx="22">
                  <c:v>103.6</c:v>
                </c:pt>
                <c:pt idx="23">
                  <c:v>105.1</c:v>
                </c:pt>
                <c:pt idx="24">
                  <c:v>106.7</c:v>
                </c:pt>
                <c:pt idx="25">
                  <c:v>105.7</c:v>
                </c:pt>
                <c:pt idx="26">
                  <c:v>105.7</c:v>
                </c:pt>
                <c:pt idx="27">
                  <c:v>104.3</c:v>
                </c:pt>
                <c:pt idx="28">
                  <c:v>103.6</c:v>
                </c:pt>
                <c:pt idx="29">
                  <c:v>104.3</c:v>
                </c:pt>
                <c:pt idx="30">
                  <c:v>103.6</c:v>
                </c:pt>
                <c:pt idx="31">
                  <c:v>103.6</c:v>
                </c:pt>
                <c:pt idx="32">
                  <c:v>103.3</c:v>
                </c:pt>
                <c:pt idx="33">
                  <c:v>104.8</c:v>
                </c:pt>
                <c:pt idx="34">
                  <c:v>105.3</c:v>
                </c:pt>
                <c:pt idx="35">
                  <c:v>107.4</c:v>
                </c:pt>
                <c:pt idx="36" formatCode="0.0">
                  <c:v>110</c:v>
                </c:pt>
                <c:pt idx="37" formatCode="0.0">
                  <c:v>106.2</c:v>
                </c:pt>
                <c:pt idx="38" formatCode="0.0">
                  <c:v>104.8</c:v>
                </c:pt>
                <c:pt idx="39" formatCode="0.0">
                  <c:v>104.3</c:v>
                </c:pt>
                <c:pt idx="40" formatCode="0.0">
                  <c:v>104.3</c:v>
                </c:pt>
                <c:pt idx="41" formatCode="0.0">
                  <c:v>103.8</c:v>
                </c:pt>
                <c:pt idx="42" formatCode="0.0">
                  <c:v>102.3</c:v>
                </c:pt>
                <c:pt idx="43" formatCode="0.0">
                  <c:v>104.3</c:v>
                </c:pt>
                <c:pt idx="44" formatCode="0.0">
                  <c:v>106.4</c:v>
                </c:pt>
                <c:pt idx="45" formatCode="0.0">
                  <c:v>108.9</c:v>
                </c:pt>
                <c:pt idx="46" formatCode="0.0">
                  <c:v>107.9</c:v>
                </c:pt>
                <c:pt idx="47" formatCode="0.0">
                  <c:v>108.7</c:v>
                </c:pt>
                <c:pt idx="48" formatCode="0.0">
                  <c:v>110</c:v>
                </c:pt>
                <c:pt idx="49" formatCode="0.0">
                  <c:v>108.2</c:v>
                </c:pt>
                <c:pt idx="50" formatCode="0.0">
                  <c:v>108.7</c:v>
                </c:pt>
                <c:pt idx="51" formatCode="0.0">
                  <c:v>108.4</c:v>
                </c:pt>
                <c:pt idx="52" formatCode="0.0">
                  <c:v>108.4</c:v>
                </c:pt>
                <c:pt idx="53" formatCode="0.0">
                  <c:v>106.2</c:v>
                </c:pt>
                <c:pt idx="54" formatCode="0.0">
                  <c:v>105.7</c:v>
                </c:pt>
                <c:pt idx="55" formatCode="0.0">
                  <c:v>107.9</c:v>
                </c:pt>
                <c:pt idx="56" formatCode="0.0">
                  <c:v>109.2</c:v>
                </c:pt>
                <c:pt idx="57" formatCode="0.0">
                  <c:v>108.7</c:v>
                </c:pt>
                <c:pt idx="58" formatCode="0.0">
                  <c:v>110.3</c:v>
                </c:pt>
                <c:pt idx="59" formatCode="0.0">
                  <c:v>110</c:v>
                </c:pt>
                <c:pt idx="60" formatCode="0.0">
                  <c:v>112.3</c:v>
                </c:pt>
                <c:pt idx="61" formatCode="0.0">
                  <c:v>112</c:v>
                </c:pt>
                <c:pt idx="62" formatCode="0.0">
                  <c:v>112.8</c:v>
                </c:pt>
                <c:pt idx="63" formatCode="0.0">
                  <c:v>112.5</c:v>
                </c:pt>
                <c:pt idx="64" formatCode="0.0">
                  <c:v>113.8</c:v>
                </c:pt>
                <c:pt idx="65" formatCode="0.0">
                  <c:v>113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D6-489E-9F83-A09DAA724BFC}"/>
            </c:ext>
          </c:extLst>
        </c:ser>
        <c:ser>
          <c:idx val="1"/>
          <c:order val="3"/>
          <c:tx>
            <c:strRef>
              <c:f>'souhrnná výkonnost 2'!$F$5</c:f>
              <c:strCache>
                <c:ptCount val="1"/>
                <c:pt idx="0">
                  <c:v>Souhrnný indikátor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'souhrnná výkonnost 2'!$A$18:$B$83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  <c:pt idx="60">
                    <c:v>2018</c:v>
                  </c:pt>
                </c:lvl>
              </c:multiLvlStrCache>
            </c:multiLvlStrRef>
          </c:cat>
          <c:val>
            <c:numRef>
              <c:f>'souhrnná výkonnost 2'!$F$18:$F$83</c:f>
              <c:numCache>
                <c:formatCode>###,###,##0.0</c:formatCode>
                <c:ptCount val="66"/>
                <c:pt idx="0">
                  <c:v>82.8</c:v>
                </c:pt>
                <c:pt idx="1">
                  <c:v>84.2</c:v>
                </c:pt>
                <c:pt idx="2">
                  <c:v>84.4</c:v>
                </c:pt>
                <c:pt idx="3">
                  <c:v>81.900000000000006</c:v>
                </c:pt>
                <c:pt idx="4">
                  <c:v>83.3</c:v>
                </c:pt>
                <c:pt idx="5">
                  <c:v>83.8</c:v>
                </c:pt>
                <c:pt idx="6">
                  <c:v>83.6</c:v>
                </c:pt>
                <c:pt idx="7">
                  <c:v>84.8</c:v>
                </c:pt>
                <c:pt idx="8">
                  <c:v>87.5</c:v>
                </c:pt>
                <c:pt idx="9">
                  <c:v>88.9</c:v>
                </c:pt>
                <c:pt idx="10">
                  <c:v>90.4</c:v>
                </c:pt>
                <c:pt idx="11">
                  <c:v>91.2</c:v>
                </c:pt>
                <c:pt idx="12">
                  <c:v>91.3</c:v>
                </c:pt>
                <c:pt idx="13">
                  <c:v>91.2</c:v>
                </c:pt>
                <c:pt idx="14">
                  <c:v>92.4</c:v>
                </c:pt>
                <c:pt idx="15">
                  <c:v>92.6</c:v>
                </c:pt>
                <c:pt idx="16">
                  <c:v>92.6</c:v>
                </c:pt>
                <c:pt idx="17">
                  <c:v>93.6</c:v>
                </c:pt>
                <c:pt idx="18" formatCode="###,###,##0">
                  <c:v>93</c:v>
                </c:pt>
                <c:pt idx="19">
                  <c:v>93.4</c:v>
                </c:pt>
                <c:pt idx="20">
                  <c:v>93.7</c:v>
                </c:pt>
                <c:pt idx="21">
                  <c:v>94.1</c:v>
                </c:pt>
                <c:pt idx="22">
                  <c:v>95.2</c:v>
                </c:pt>
                <c:pt idx="23">
                  <c:v>96.5</c:v>
                </c:pt>
                <c:pt idx="24">
                  <c:v>96.4</c:v>
                </c:pt>
                <c:pt idx="25">
                  <c:v>95.5</c:v>
                </c:pt>
                <c:pt idx="26">
                  <c:v>95.1</c:v>
                </c:pt>
                <c:pt idx="27">
                  <c:v>95.1</c:v>
                </c:pt>
                <c:pt idx="28">
                  <c:v>95.5</c:v>
                </c:pt>
                <c:pt idx="29" formatCode="###,###,##0">
                  <c:v>97</c:v>
                </c:pt>
                <c:pt idx="30">
                  <c:v>96.1</c:v>
                </c:pt>
                <c:pt idx="31">
                  <c:v>95.7</c:v>
                </c:pt>
                <c:pt idx="32">
                  <c:v>95.9</c:v>
                </c:pt>
                <c:pt idx="33">
                  <c:v>95.1</c:v>
                </c:pt>
                <c:pt idx="34" formatCode="###,###,##0">
                  <c:v>96</c:v>
                </c:pt>
                <c:pt idx="35">
                  <c:v>96.5</c:v>
                </c:pt>
                <c:pt idx="36" formatCode="0.0">
                  <c:v>98.4</c:v>
                </c:pt>
                <c:pt idx="37" formatCode="0.0">
                  <c:v>97.1</c:v>
                </c:pt>
                <c:pt idx="38" formatCode="0.0">
                  <c:v>96.7</c:v>
                </c:pt>
                <c:pt idx="39" formatCode="0.0">
                  <c:v>95.6</c:v>
                </c:pt>
                <c:pt idx="40" formatCode="0.0">
                  <c:v>96</c:v>
                </c:pt>
                <c:pt idx="41" formatCode="0.0">
                  <c:v>95.3</c:v>
                </c:pt>
                <c:pt idx="42" formatCode="0.0">
                  <c:v>95.4</c:v>
                </c:pt>
                <c:pt idx="43" formatCode="0.0">
                  <c:v>96.8</c:v>
                </c:pt>
                <c:pt idx="44" formatCode="0.0">
                  <c:v>97.1</c:v>
                </c:pt>
                <c:pt idx="45" formatCode="0.0">
                  <c:v>97.5</c:v>
                </c:pt>
                <c:pt idx="46" formatCode="0.0">
                  <c:v>99.3</c:v>
                </c:pt>
                <c:pt idx="47" formatCode="0.0">
                  <c:v>99.1</c:v>
                </c:pt>
                <c:pt idx="48" formatCode="0.0">
                  <c:v>99.2</c:v>
                </c:pt>
                <c:pt idx="49" formatCode="0.0">
                  <c:v>98</c:v>
                </c:pt>
                <c:pt idx="50" formatCode="0.0">
                  <c:v>96.6</c:v>
                </c:pt>
                <c:pt idx="51" formatCode="0.0">
                  <c:v>97.4</c:v>
                </c:pt>
                <c:pt idx="52" formatCode="0.0">
                  <c:v>97.2</c:v>
                </c:pt>
                <c:pt idx="53" formatCode="0.0">
                  <c:v>97.1</c:v>
                </c:pt>
                <c:pt idx="54" formatCode="0.0">
                  <c:v>97.7</c:v>
                </c:pt>
                <c:pt idx="55" formatCode="0.0">
                  <c:v>98.7</c:v>
                </c:pt>
                <c:pt idx="56" formatCode="0.0">
                  <c:v>99.1</c:v>
                </c:pt>
                <c:pt idx="57" formatCode="0.0">
                  <c:v>99.3</c:v>
                </c:pt>
                <c:pt idx="58" formatCode="0.0">
                  <c:v>99</c:v>
                </c:pt>
                <c:pt idx="59" formatCode="0.0">
                  <c:v>99.6</c:v>
                </c:pt>
                <c:pt idx="60" formatCode="0.0">
                  <c:v>99.5</c:v>
                </c:pt>
                <c:pt idx="61" formatCode="0.0">
                  <c:v>99.9</c:v>
                </c:pt>
                <c:pt idx="62" formatCode="0.0">
                  <c:v>99.7</c:v>
                </c:pt>
                <c:pt idx="63" formatCode="0.0">
                  <c:v>100.1</c:v>
                </c:pt>
                <c:pt idx="64" formatCode="0.0">
                  <c:v>99.2</c:v>
                </c:pt>
                <c:pt idx="65" formatCode="0.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4D6-489E-9F83-A09DAA724BFC}"/>
            </c:ext>
          </c:extLst>
        </c:ser>
        <c:marker val="1"/>
        <c:axId val="115938816"/>
        <c:axId val="115940352"/>
      </c:lineChart>
      <c:catAx>
        <c:axId val="115938816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crossAx val="115940352"/>
        <c:crossesAt val="100"/>
        <c:auto val="1"/>
        <c:lblAlgn val="ctr"/>
        <c:lblOffset val="100"/>
      </c:catAx>
      <c:valAx>
        <c:axId val="115940352"/>
        <c:scaling>
          <c:orientation val="minMax"/>
          <c:min val="7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tickLblPos val="nextTo"/>
        <c:spPr>
          <a:ln>
            <a:solidFill>
              <a:schemeClr val="tx1"/>
            </a:solidFill>
          </a:ln>
        </c:spPr>
        <c:crossAx val="115938816"/>
        <c:crosses val="autoZero"/>
        <c:crossBetween val="between"/>
        <c:majorUnit val="5"/>
      </c:valAx>
      <c:valAx>
        <c:axId val="115942144"/>
        <c:scaling>
          <c:orientation val="minMax"/>
          <c:min val="-2"/>
        </c:scaling>
        <c:axPos val="r"/>
        <c:numFmt formatCode="0" sourceLinked="0"/>
        <c:tickLblPos val="nextTo"/>
        <c:spPr>
          <a:ln>
            <a:solidFill>
              <a:schemeClr val="tx1"/>
            </a:solidFill>
          </a:ln>
        </c:spPr>
        <c:crossAx val="115943680"/>
        <c:crosses val="max"/>
        <c:crossBetween val="between"/>
        <c:majorUnit val="1"/>
      </c:valAx>
      <c:catAx>
        <c:axId val="115943680"/>
        <c:scaling>
          <c:orientation val="minMax"/>
        </c:scaling>
        <c:delete val="1"/>
        <c:axPos val="b"/>
        <c:tickLblPos val="none"/>
        <c:crossAx val="115942144"/>
        <c:crossesAt val="0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2295583422442583E-2"/>
          <c:y val="0.9022883597883482"/>
          <c:w val="0.88075331324325201"/>
          <c:h val="8.264578408195417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4.6948352704928246E-2"/>
          <c:y val="2.8458510079622041E-2"/>
          <c:w val="0.93956464282120356"/>
          <c:h val="0.6497469886299676"/>
        </c:manualLayout>
      </c:layout>
      <c:barChart>
        <c:barDir val="col"/>
        <c:grouping val="stacked"/>
        <c:ser>
          <c:idx val="5"/>
          <c:order val="1"/>
          <c:tx>
            <c:strRef>
              <c:f>'souhrnná výkonnost 3'!$D$5</c:f>
              <c:strCache>
                <c:ptCount val="1"/>
                <c:pt idx="0">
                  <c:v>Výdaje na konečnou spotřebu domácností (vč. nezisk. inst.)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val>
            <c:numRef>
              <c:f>'souhrnná výkonnost 3'!$D$10:$D$31</c:f>
              <c:numCache>
                <c:formatCode>#,##0.0</c:formatCode>
                <c:ptCount val="22"/>
                <c:pt idx="0">
                  <c:v>0.46725492777732947</c:v>
                </c:pt>
                <c:pt idx="1">
                  <c:v>0.39429278832379244</c:v>
                </c:pt>
                <c:pt idx="2">
                  <c:v>6.7975057170653885E-3</c:v>
                </c:pt>
                <c:pt idx="3">
                  <c:v>-0.11022642210119372</c:v>
                </c:pt>
                <c:pt idx="4">
                  <c:v>-0.34634066091739907</c:v>
                </c:pt>
                <c:pt idx="5">
                  <c:v>1.9385986465040451E-2</c:v>
                </c:pt>
                <c:pt idx="6">
                  <c:v>0.64097595815752284</c:v>
                </c:pt>
                <c:pt idx="7">
                  <c:v>1.1222751214521685</c:v>
                </c:pt>
                <c:pt idx="8">
                  <c:v>0.95324800193997661</c:v>
                </c:pt>
                <c:pt idx="9">
                  <c:v>0.87834008534043184</c:v>
                </c:pt>
                <c:pt idx="10">
                  <c:v>0.98282233736482061</c:v>
                </c:pt>
                <c:pt idx="11">
                  <c:v>1.2011732247886713</c:v>
                </c:pt>
                <c:pt idx="12">
                  <c:v>0.93830506590305751</c:v>
                </c:pt>
                <c:pt idx="13">
                  <c:v>1.0153624426824108</c:v>
                </c:pt>
                <c:pt idx="14">
                  <c:v>1.2128070502408639</c:v>
                </c:pt>
                <c:pt idx="15">
                  <c:v>1.1229514324692931</c:v>
                </c:pt>
                <c:pt idx="16">
                  <c:v>1.9644091733618703</c:v>
                </c:pt>
                <c:pt idx="17">
                  <c:v>2.2808753275662172</c:v>
                </c:pt>
                <c:pt idx="18">
                  <c:v>2.0963173740963614</c:v>
                </c:pt>
                <c:pt idx="19">
                  <c:v>1.9706056528499598</c:v>
                </c:pt>
                <c:pt idx="20">
                  <c:v>1.5467704262498141</c:v>
                </c:pt>
                <c:pt idx="21">
                  <c:v>1.2786531644191661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53-40FD-A848-38D9B0152D27}"/>
            </c:ext>
          </c:extLst>
        </c:ser>
        <c:ser>
          <c:idx val="4"/>
          <c:order val="2"/>
          <c:tx>
            <c:strRef>
              <c:f>'souhrnná výkonnost 3'!$E$5</c:f>
              <c:strCache>
                <c:ptCount val="1"/>
                <c:pt idx="0">
                  <c:v>Výdaje na konečnou spotřebu vládních institucí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val>
            <c:numRef>
              <c:f>'souhrnná výkonnost 3'!$E$10:$E$31</c:f>
              <c:numCache>
                <c:formatCode>#,##0.0</c:formatCode>
                <c:ptCount val="22"/>
                <c:pt idx="0">
                  <c:v>0.28453245782978481</c:v>
                </c:pt>
                <c:pt idx="1">
                  <c:v>0.35580734263628233</c:v>
                </c:pt>
                <c:pt idx="2">
                  <c:v>0.6338523119673295</c:v>
                </c:pt>
                <c:pt idx="3">
                  <c:v>0.53511669780358162</c:v>
                </c:pt>
                <c:pt idx="4">
                  <c:v>0.16476504522662691</c:v>
                </c:pt>
                <c:pt idx="5">
                  <c:v>0.35920558983442602</c:v>
                </c:pt>
                <c:pt idx="6">
                  <c:v>3.3755330706183892E-3</c:v>
                </c:pt>
                <c:pt idx="7">
                  <c:v>0.43296248055129682</c:v>
                </c:pt>
                <c:pt idx="8">
                  <c:v>0.38860653049012461</c:v>
                </c:pt>
                <c:pt idx="9">
                  <c:v>0.42050971602096782</c:v>
                </c:pt>
                <c:pt idx="10">
                  <c:v>0.6826406447636606</c:v>
                </c:pt>
                <c:pt idx="11">
                  <c:v>0.45173706288891075</c:v>
                </c:pt>
                <c:pt idx="12">
                  <c:v>0.43519225643702975</c:v>
                </c:pt>
                <c:pt idx="13">
                  <c:v>0.57425071934076943</c:v>
                </c:pt>
                <c:pt idx="14">
                  <c:v>0.47033661242885438</c:v>
                </c:pt>
                <c:pt idx="15">
                  <c:v>0.4456685296104968</c:v>
                </c:pt>
                <c:pt idx="16">
                  <c:v>0.34455668934880268</c:v>
                </c:pt>
                <c:pt idx="17">
                  <c:v>0.24693575632416229</c:v>
                </c:pt>
                <c:pt idx="18">
                  <c:v>0.15049357563703941</c:v>
                </c:pt>
                <c:pt idx="19">
                  <c:v>0.22124454315529232</c:v>
                </c:pt>
                <c:pt idx="20">
                  <c:v>0.61074519363869884</c:v>
                </c:pt>
                <c:pt idx="21">
                  <c:v>0.47084156864110499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53-40FD-A848-38D9B0152D27}"/>
            </c:ext>
          </c:extLst>
        </c:ser>
        <c:ser>
          <c:idx val="3"/>
          <c:order val="3"/>
          <c:tx>
            <c:strRef>
              <c:f>'souhrnná výkonnost 3'!$J$5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val>
            <c:numRef>
              <c:f>'souhrnná výkonnost 3'!$J$10:$J$31</c:f>
              <c:numCache>
                <c:formatCode>#,##0.0</c:formatCode>
                <c:ptCount val="22"/>
                <c:pt idx="0">
                  <c:v>-1.5397561288070221</c:v>
                </c:pt>
                <c:pt idx="1">
                  <c:v>-2.8196114680341977</c:v>
                </c:pt>
                <c:pt idx="2">
                  <c:v>0.14424204081739414</c:v>
                </c:pt>
                <c:pt idx="3">
                  <c:v>0.30085195313780844</c:v>
                </c:pt>
                <c:pt idx="4">
                  <c:v>3.1093775840910446E-3</c:v>
                </c:pt>
                <c:pt idx="5">
                  <c:v>1.7228402322588214</c:v>
                </c:pt>
                <c:pt idx="6">
                  <c:v>1.2740748429655091</c:v>
                </c:pt>
                <c:pt idx="7">
                  <c:v>0.34209608794036156</c:v>
                </c:pt>
                <c:pt idx="8">
                  <c:v>3.0940088082175001</c:v>
                </c:pt>
                <c:pt idx="9">
                  <c:v>3.9603163536228352</c:v>
                </c:pt>
                <c:pt idx="10">
                  <c:v>2.4230101905838577</c:v>
                </c:pt>
                <c:pt idx="11">
                  <c:v>1.1383788063935429</c:v>
                </c:pt>
                <c:pt idx="12">
                  <c:v>0.69863508777302163</c:v>
                </c:pt>
                <c:pt idx="13">
                  <c:v>-1.3723494139423089</c:v>
                </c:pt>
                <c:pt idx="14">
                  <c:v>-0.97881672565525457</c:v>
                </c:pt>
                <c:pt idx="15">
                  <c:v>-0.6177271288056575</c:v>
                </c:pt>
                <c:pt idx="16">
                  <c:v>-0.95987523832582378</c:v>
                </c:pt>
                <c:pt idx="17">
                  <c:v>0.35501288090591787</c:v>
                </c:pt>
                <c:pt idx="18">
                  <c:v>1.6689373554815841</c:v>
                </c:pt>
                <c:pt idx="19">
                  <c:v>1.97604642310903</c:v>
                </c:pt>
                <c:pt idx="20">
                  <c:v>1.2736426319223497</c:v>
                </c:pt>
                <c:pt idx="21">
                  <c:v>0.12144873969598258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53-40FD-A848-38D9B0152D27}"/>
            </c:ext>
          </c:extLst>
        </c:ser>
        <c:ser>
          <c:idx val="1"/>
          <c:order val="4"/>
          <c:tx>
            <c:strRef>
              <c:f>'souhrnná výkonnost 3'!$H$5</c:f>
              <c:strCache>
                <c:ptCount val="1"/>
                <c:pt idx="0">
                  <c:v>Bilance zahraničního obchodu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val>
            <c:numRef>
              <c:f>'souhrnná výkonnost 3'!$H$10:$H$31</c:f>
              <c:numCache>
                <c:formatCode>#,##0.0</c:formatCode>
                <c:ptCount val="22"/>
                <c:pt idx="0">
                  <c:v>-1.0372767403421645</c:v>
                </c:pt>
                <c:pt idx="1">
                  <c:v>0.93468551019220669</c:v>
                </c:pt>
                <c:pt idx="2">
                  <c:v>-1.1121841763544955</c:v>
                </c:pt>
                <c:pt idx="3">
                  <c:v>0.53585053019177464</c:v>
                </c:pt>
                <c:pt idx="4">
                  <c:v>1.7889130945120968</c:v>
                </c:pt>
                <c:pt idx="5">
                  <c:v>0.28187217433750844</c:v>
                </c:pt>
                <c:pt idx="6">
                  <c:v>1.4439285779813937</c:v>
                </c:pt>
                <c:pt idx="7">
                  <c:v>1.4927511797532795</c:v>
                </c:pt>
                <c:pt idx="8">
                  <c:v>0.84168612845165458</c:v>
                </c:pt>
                <c:pt idx="9">
                  <c:v>0.57781958996686456</c:v>
                </c:pt>
                <c:pt idx="10">
                  <c:v>1.5186993594783778</c:v>
                </c:pt>
                <c:pt idx="11">
                  <c:v>2.1434487917698908</c:v>
                </c:pt>
                <c:pt idx="12">
                  <c:v>1.4573635285701179</c:v>
                </c:pt>
                <c:pt idx="13">
                  <c:v>2.1300532057503894</c:v>
                </c:pt>
                <c:pt idx="14">
                  <c:v>0.94178716932770357</c:v>
                </c:pt>
                <c:pt idx="15">
                  <c:v>0.81646850922715908</c:v>
                </c:pt>
                <c:pt idx="16">
                  <c:v>1.4722186892988733</c:v>
                </c:pt>
                <c:pt idx="17">
                  <c:v>2.0042798438347247</c:v>
                </c:pt>
                <c:pt idx="18">
                  <c:v>1.1585684363011188</c:v>
                </c:pt>
                <c:pt idx="19">
                  <c:v>0.81868827817724454</c:v>
                </c:pt>
                <c:pt idx="20">
                  <c:v>0.65656874354414363</c:v>
                </c:pt>
                <c:pt idx="21">
                  <c:v>0.52812781706209377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B53-40FD-A848-38D9B0152D27}"/>
            </c:ext>
          </c:extLst>
        </c:ser>
        <c:gapWidth val="40"/>
        <c:overlap val="100"/>
        <c:axId val="116073600"/>
        <c:axId val="116075136"/>
      </c:barChart>
      <c:lineChart>
        <c:grouping val="standard"/>
        <c:ser>
          <c:idx val="0"/>
          <c:order val="0"/>
          <c:tx>
            <c:strRef>
              <c:f>'souhrnná výkonnost 3'!$C$5</c:f>
              <c:strCache>
                <c:ptCount val="1"/>
                <c:pt idx="0">
                  <c:v>HDP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3'!$A$10:$B$31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</c:lvl>
              </c:multiLvlStrCache>
            </c:multiLvlStrRef>
          </c:cat>
          <c:val>
            <c:numRef>
              <c:f>'souhrnná výkonnost 3'!$C$10:$C$31</c:f>
              <c:numCache>
                <c:formatCode>#,##0.0</c:formatCode>
                <c:ptCount val="22"/>
                <c:pt idx="0">
                  <c:v>-1.8005209038033041</c:v>
                </c:pt>
                <c:pt idx="1">
                  <c:v>-1.1205041878080806</c:v>
                </c:pt>
                <c:pt idx="2">
                  <c:v>-0.27630427810389407</c:v>
                </c:pt>
                <c:pt idx="3">
                  <c:v>1.279491849251865</c:v>
                </c:pt>
                <c:pt idx="4">
                  <c:v>1.599692644421784</c:v>
                </c:pt>
                <c:pt idx="5">
                  <c:v>2.4019552100365238</c:v>
                </c:pt>
                <c:pt idx="6">
                  <c:v>3.4030564515715609</c:v>
                </c:pt>
                <c:pt idx="7">
                  <c:v>3.4380052076485548</c:v>
                </c:pt>
                <c:pt idx="8">
                  <c:v>5.2550726107844561</c:v>
                </c:pt>
                <c:pt idx="9">
                  <c:v>5.7987847820088794</c:v>
                </c:pt>
                <c:pt idx="10">
                  <c:v>5.5707669225332523</c:v>
                </c:pt>
                <c:pt idx="11">
                  <c:v>4.9148252973919755</c:v>
                </c:pt>
                <c:pt idx="12">
                  <c:v>3.5623906099722102</c:v>
                </c:pt>
                <c:pt idx="13">
                  <c:v>2.4146777549828156</c:v>
                </c:pt>
                <c:pt idx="14">
                  <c:v>1.6940486553423915</c:v>
                </c:pt>
                <c:pt idx="15">
                  <c:v>1.8037525372218324</c:v>
                </c:pt>
                <c:pt idx="16">
                  <c:v>2.8712499788678367</c:v>
                </c:pt>
                <c:pt idx="17">
                  <c:v>4.9310728663161978</c:v>
                </c:pt>
                <c:pt idx="18">
                  <c:v>5.0995207171135899</c:v>
                </c:pt>
                <c:pt idx="19">
                  <c:v>4.9881960614611174</c:v>
                </c:pt>
                <c:pt idx="20">
                  <c:v>4.1057179162214608</c:v>
                </c:pt>
                <c:pt idx="21">
                  <c:v>2.4213773126889642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B53-40FD-A848-38D9B0152D27}"/>
            </c:ext>
          </c:extLst>
        </c:ser>
        <c:marker val="1"/>
        <c:axId val="116073600"/>
        <c:axId val="116075136"/>
      </c:lineChart>
      <c:catAx>
        <c:axId val="116073600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6075136"/>
        <c:crosses val="autoZero"/>
        <c:auto val="1"/>
        <c:lblAlgn val="ctr"/>
        <c:lblOffset val="100"/>
      </c:catAx>
      <c:valAx>
        <c:axId val="116075136"/>
        <c:scaling>
          <c:orientation val="minMax"/>
          <c:max val="6"/>
          <c:min val="-4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tickLblPos val="nextTo"/>
        <c:spPr>
          <a:ln>
            <a:solidFill>
              <a:schemeClr val="tx1"/>
            </a:solidFill>
          </a:ln>
        </c:spPr>
        <c:crossAx val="116073600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4891184424094004E-2"/>
          <c:y val="0.79301446583361457"/>
          <c:w val="0.94049666651103803"/>
          <c:h val="0.19014325115388939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4.4404035346809034E-2"/>
          <c:y val="3.7154479717354444E-2"/>
          <c:w val="0.93674937195830565"/>
          <c:h val="0.63445260610154264"/>
        </c:manualLayout>
      </c:layout>
      <c:barChart>
        <c:barDir val="col"/>
        <c:grouping val="stacked"/>
        <c:ser>
          <c:idx val="4"/>
          <c:order val="0"/>
          <c:tx>
            <c:strRef>
              <c:f>'souhrnná výkonnost 4'!$C$5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val>
            <c:numRef>
              <c:f>'souhrnná výkonnost 4'!$C$10:$C$31</c:f>
              <c:numCache>
                <c:formatCode>#,##0.0</c:formatCode>
                <c:ptCount val="22"/>
                <c:pt idx="0">
                  <c:v>-4.7206269934129533E-2</c:v>
                </c:pt>
                <c:pt idx="1">
                  <c:v>-0.11971862255115077</c:v>
                </c:pt>
                <c:pt idx="2">
                  <c:v>-8.9582831798117532E-2</c:v>
                </c:pt>
                <c:pt idx="3">
                  <c:v>1.1154895629322348E-3</c:v>
                </c:pt>
                <c:pt idx="4">
                  <c:v>0.10484022899366492</c:v>
                </c:pt>
                <c:pt idx="5">
                  <c:v>0.23303189360207821</c:v>
                </c:pt>
                <c:pt idx="6">
                  <c:v>0.28109723711472034</c:v>
                </c:pt>
                <c:pt idx="7">
                  <c:v>0.24717682951386638</c:v>
                </c:pt>
                <c:pt idx="8">
                  <c:v>0.26823173927838573</c:v>
                </c:pt>
                <c:pt idx="9">
                  <c:v>0.14948544343377276</c:v>
                </c:pt>
                <c:pt idx="10">
                  <c:v>9.4306850455799798E-2</c:v>
                </c:pt>
                <c:pt idx="11">
                  <c:v>9.4063144035634733E-2</c:v>
                </c:pt>
                <c:pt idx="12">
                  <c:v>1.5298427987703244E-2</c:v>
                </c:pt>
                <c:pt idx="13">
                  <c:v>0.12019796922604382</c:v>
                </c:pt>
                <c:pt idx="14">
                  <c:v>0.11238136571352395</c:v>
                </c:pt>
                <c:pt idx="15">
                  <c:v>8.4281943656207142E-2</c:v>
                </c:pt>
                <c:pt idx="16">
                  <c:v>1.5223476963877543E-2</c:v>
                </c:pt>
                <c:pt idx="17">
                  <c:v>-7.5339263027046008E-2</c:v>
                </c:pt>
                <c:pt idx="18">
                  <c:v>-0.11205756022716185</c:v>
                </c:pt>
                <c:pt idx="19">
                  <c:v>-0.10204082016621194</c:v>
                </c:pt>
                <c:pt idx="20">
                  <c:v>-0.10517880120125712</c:v>
                </c:pt>
                <c:pt idx="21">
                  <c:v>-7.9386382715624024E-2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D8-4236-9345-CA1AF30E9AFD}"/>
            </c:ext>
          </c:extLst>
        </c:ser>
        <c:ser>
          <c:idx val="3"/>
          <c:order val="1"/>
          <c:tx>
            <c:strRef>
              <c:f>'souhrnná výkonnost 4'!$D$5</c:f>
              <c:strCache>
                <c:ptCount val="1"/>
                <c:pt idx="0">
                  <c:v>Zpracovatelský průmysl (CZ-NACE C)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val>
            <c:numRef>
              <c:f>'souhrnná výkonnost 4'!$D$10:$D$31</c:f>
              <c:numCache>
                <c:formatCode>#,##0.0</c:formatCode>
                <c:ptCount val="22"/>
                <c:pt idx="0">
                  <c:v>-0.82108999780391001</c:v>
                </c:pt>
                <c:pt idx="1">
                  <c:v>-0.62795053182774518</c:v>
                </c:pt>
                <c:pt idx="2">
                  <c:v>-0.63177475521929161</c:v>
                </c:pt>
                <c:pt idx="3">
                  <c:v>-0.60159903153105165</c:v>
                </c:pt>
                <c:pt idx="4">
                  <c:v>0.42074322312377183</c:v>
                </c:pt>
                <c:pt idx="5">
                  <c:v>1.1868852285094129</c:v>
                </c:pt>
                <c:pt idx="6">
                  <c:v>1.9567554935778011</c:v>
                </c:pt>
                <c:pt idx="7">
                  <c:v>2.5583690194642377</c:v>
                </c:pt>
                <c:pt idx="8">
                  <c:v>2.0456114828451182</c:v>
                </c:pt>
                <c:pt idx="9">
                  <c:v>1.6702996907805558</c:v>
                </c:pt>
                <c:pt idx="10">
                  <c:v>1.3766545744913521</c:v>
                </c:pt>
                <c:pt idx="11">
                  <c:v>0.74581262523505754</c:v>
                </c:pt>
                <c:pt idx="12">
                  <c:v>1.0172208499984978</c:v>
                </c:pt>
                <c:pt idx="13">
                  <c:v>0.54073292742156021</c:v>
                </c:pt>
                <c:pt idx="14">
                  <c:v>0.74515782437278322</c:v>
                </c:pt>
                <c:pt idx="15">
                  <c:v>1.1608262664011106</c:v>
                </c:pt>
                <c:pt idx="16">
                  <c:v>1.9849859092156137</c:v>
                </c:pt>
                <c:pt idx="17">
                  <c:v>3.3765527579830188</c:v>
                </c:pt>
                <c:pt idx="18">
                  <c:v>3.5064603037509317</c:v>
                </c:pt>
                <c:pt idx="19">
                  <c:v>3.0770501049484777</c:v>
                </c:pt>
                <c:pt idx="20">
                  <c:v>1.8483722597320753</c:v>
                </c:pt>
                <c:pt idx="21">
                  <c:v>0.75663242011461462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D8-4236-9345-CA1AF30E9AFD}"/>
            </c:ext>
          </c:extLst>
        </c:ser>
        <c:ser>
          <c:idx val="2"/>
          <c:order val="2"/>
          <c:tx>
            <c:strRef>
              <c:f>'souhrnná výkonnost 4'!$E$5</c:f>
              <c:strCache>
                <c:ptCount val="1"/>
                <c:pt idx="0">
                  <c:v>Ostatní průmyslová odvětví (CZ-NACE B,D,E)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val>
            <c:numRef>
              <c:f>'souhrnná výkonnost 4'!$E$10:$E$31</c:f>
              <c:numCache>
                <c:formatCode>#,##0.0</c:formatCode>
                <c:ptCount val="22"/>
                <c:pt idx="0">
                  <c:v>-0.98505210312746116</c:v>
                </c:pt>
                <c:pt idx="1">
                  <c:v>-1.0097047828852583</c:v>
                </c:pt>
                <c:pt idx="2">
                  <c:v>-0.65192200514203069</c:v>
                </c:pt>
                <c:pt idx="3">
                  <c:v>-0.22723397016880276</c:v>
                </c:pt>
                <c:pt idx="4">
                  <c:v>0.37424666108655097</c:v>
                </c:pt>
                <c:pt idx="5">
                  <c:v>0.10237488857645771</c:v>
                </c:pt>
                <c:pt idx="6">
                  <c:v>-0.10556119406722519</c:v>
                </c:pt>
                <c:pt idx="7">
                  <c:v>-0.15961919422518628</c:v>
                </c:pt>
                <c:pt idx="8">
                  <c:v>-0.12486694839002821</c:v>
                </c:pt>
                <c:pt idx="9">
                  <c:v>9.7685740381325825E-3</c:v>
                </c:pt>
                <c:pt idx="10">
                  <c:v>1.8886282982711888E-2</c:v>
                </c:pt>
                <c:pt idx="11">
                  <c:v>-0.11860623658777802</c:v>
                </c:pt>
                <c:pt idx="12">
                  <c:v>-0.46095331826814501</c:v>
                </c:pt>
                <c:pt idx="13">
                  <c:v>-0.29612577965426046</c:v>
                </c:pt>
                <c:pt idx="14">
                  <c:v>-0.38011145584839146</c:v>
                </c:pt>
                <c:pt idx="15">
                  <c:v>-0.15646644139843485</c:v>
                </c:pt>
                <c:pt idx="16">
                  <c:v>5.7825501486436413E-2</c:v>
                </c:pt>
                <c:pt idx="17">
                  <c:v>-3.0534120793344055E-2</c:v>
                </c:pt>
                <c:pt idx="18">
                  <c:v>0.13762248236176974</c:v>
                </c:pt>
                <c:pt idx="19">
                  <c:v>-3.9145621781268236E-2</c:v>
                </c:pt>
                <c:pt idx="20">
                  <c:v>-0.14909318551531742</c:v>
                </c:pt>
                <c:pt idx="21">
                  <c:v>-5.5343574999039092E-3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D8-4236-9345-CA1AF30E9AFD}"/>
            </c:ext>
          </c:extLst>
        </c:ser>
        <c:ser>
          <c:idx val="1"/>
          <c:order val="3"/>
          <c:tx>
            <c:strRef>
              <c:f>'souhrnná výkonnost 4'!$F$5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val>
            <c:numRef>
              <c:f>'souhrnná výkonnost 4'!$F$10:$F$31</c:f>
              <c:numCache>
                <c:formatCode>#,##0.0</c:formatCode>
                <c:ptCount val="22"/>
                <c:pt idx="0">
                  <c:v>-9.3325688188073214E-2</c:v>
                </c:pt>
                <c:pt idx="1">
                  <c:v>6.9142616979527269E-2</c:v>
                </c:pt>
                <c:pt idx="2">
                  <c:v>0.13786913343723969</c:v>
                </c:pt>
                <c:pt idx="3">
                  <c:v>0.16383091405829647</c:v>
                </c:pt>
                <c:pt idx="4">
                  <c:v>0.20523242964120891</c:v>
                </c:pt>
                <c:pt idx="5">
                  <c:v>8.047665950390763E-2</c:v>
                </c:pt>
                <c:pt idx="6">
                  <c:v>3.4966330205502577E-2</c:v>
                </c:pt>
                <c:pt idx="7">
                  <c:v>0.13500830058584282</c:v>
                </c:pt>
                <c:pt idx="8">
                  <c:v>0.12988031583912321</c:v>
                </c:pt>
                <c:pt idx="9">
                  <c:v>0.27364277251097802</c:v>
                </c:pt>
                <c:pt idx="10">
                  <c:v>0.3426017497695073</c:v>
                </c:pt>
                <c:pt idx="11">
                  <c:v>0.14326265942419544</c:v>
                </c:pt>
                <c:pt idx="12">
                  <c:v>-2.8321751396452124E-2</c:v>
                </c:pt>
                <c:pt idx="13">
                  <c:v>-0.22665490762088605</c:v>
                </c:pt>
                <c:pt idx="14">
                  <c:v>-0.33919566041548832</c:v>
                </c:pt>
                <c:pt idx="15">
                  <c:v>-0.26185884641425239</c:v>
                </c:pt>
                <c:pt idx="16">
                  <c:v>-0.30278072098079556</c:v>
                </c:pt>
                <c:pt idx="17">
                  <c:v>-0.13114221691073388</c:v>
                </c:pt>
                <c:pt idx="18">
                  <c:v>-6.3560541353128594E-2</c:v>
                </c:pt>
                <c:pt idx="19">
                  <c:v>-4.4360012559824524E-2</c:v>
                </c:pt>
                <c:pt idx="20">
                  <c:v>0.30639135957268032</c:v>
                </c:pt>
                <c:pt idx="21">
                  <c:v>0.2648303660102998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4D8-4236-9345-CA1AF30E9AFD}"/>
            </c:ext>
          </c:extLst>
        </c:ser>
        <c:ser>
          <c:idx val="0"/>
          <c:order val="4"/>
          <c:tx>
            <c:strRef>
              <c:f>'souhrnná výkonnost 4'!$G$5</c:f>
              <c:strCache>
                <c:ptCount val="1"/>
                <c:pt idx="0">
                  <c:v>Služby (CZ-NACE G až U)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val>
            <c:numRef>
              <c:f>'souhrnná výkonnost 4'!$G$10:$G$31</c:f>
              <c:numCache>
                <c:formatCode>#,##0.0</c:formatCode>
                <c:ptCount val="22"/>
                <c:pt idx="0">
                  <c:v>0.33531387573905302</c:v>
                </c:pt>
                <c:pt idx="1">
                  <c:v>0.82602965393403394</c:v>
                </c:pt>
                <c:pt idx="2">
                  <c:v>1.0647317258626734</c:v>
                </c:pt>
                <c:pt idx="3">
                  <c:v>1.3526094152015899</c:v>
                </c:pt>
                <c:pt idx="4">
                  <c:v>1.2015462411733078</c:v>
                </c:pt>
                <c:pt idx="5">
                  <c:v>1.3618962066899332</c:v>
                </c:pt>
                <c:pt idx="6">
                  <c:v>1.6305753628128847</c:v>
                </c:pt>
                <c:pt idx="7">
                  <c:v>1.7371534802280579</c:v>
                </c:pt>
                <c:pt idx="8">
                  <c:v>2.3293944432592837</c:v>
                </c:pt>
                <c:pt idx="9">
                  <c:v>2.9607261994462397</c:v>
                </c:pt>
                <c:pt idx="10">
                  <c:v>3.3104809685977732</c:v>
                </c:pt>
                <c:pt idx="11">
                  <c:v>3.5102997095503552</c:v>
                </c:pt>
                <c:pt idx="12">
                  <c:v>2.8263627195651577</c:v>
                </c:pt>
                <c:pt idx="13">
                  <c:v>2.1630843086592892</c:v>
                </c:pt>
                <c:pt idx="14">
                  <c:v>1.4107617066750737</c:v>
                </c:pt>
                <c:pt idx="15">
                  <c:v>1.1370846005544839</c:v>
                </c:pt>
                <c:pt idx="16">
                  <c:v>1.0783547622951872</c:v>
                </c:pt>
                <c:pt idx="17">
                  <c:v>1.7517053491354078</c:v>
                </c:pt>
                <c:pt idx="18">
                  <c:v>1.5916101463720922</c:v>
                </c:pt>
                <c:pt idx="19">
                  <c:v>1.919300620304905</c:v>
                </c:pt>
                <c:pt idx="20">
                  <c:v>2.2058560031831767</c:v>
                </c:pt>
                <c:pt idx="21">
                  <c:v>1.4566128586726033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4D8-4236-9345-CA1AF30E9AFD}"/>
            </c:ext>
          </c:extLst>
        </c:ser>
        <c:gapWidth val="70"/>
        <c:overlap val="100"/>
        <c:axId val="116135040"/>
        <c:axId val="116136576"/>
      </c:barChart>
      <c:lineChart>
        <c:grouping val="standard"/>
        <c:ser>
          <c:idx val="5"/>
          <c:order val="5"/>
          <c:tx>
            <c:strRef>
              <c:f>'souhrnná výkonnost 4'!$H$5</c:f>
              <c:strCache>
                <c:ptCount val="1"/>
                <c:pt idx="0">
                  <c:v>Hrubá přidaná hodnota celkem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4'!$A$10:$B$31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</c:lvl>
              </c:multiLvlStrCache>
            </c:multiLvlStrRef>
          </c:cat>
          <c:val>
            <c:numRef>
              <c:f>'souhrnná výkonnost 4'!$H$10:$H$31</c:f>
              <c:numCache>
                <c:formatCode>#,##0.0</c:formatCode>
                <c:ptCount val="22"/>
                <c:pt idx="0">
                  <c:v>-1.6029638849506325</c:v>
                </c:pt>
                <c:pt idx="1">
                  <c:v>-0.85391471561866972</c:v>
                </c:pt>
                <c:pt idx="2">
                  <c:v>-0.17856994731182613</c:v>
                </c:pt>
                <c:pt idx="3">
                  <c:v>0.67978995359544669</c:v>
                </c:pt>
                <c:pt idx="4">
                  <c:v>2.3247275605985616</c:v>
                </c:pt>
                <c:pt idx="5">
                  <c:v>2.9677793446742413</c:v>
                </c:pt>
                <c:pt idx="6">
                  <c:v>3.7862627849497223</c:v>
                </c:pt>
                <c:pt idx="7">
                  <c:v>4.5085738953991834</c:v>
                </c:pt>
                <c:pt idx="8">
                  <c:v>4.6449632769543845</c:v>
                </c:pt>
                <c:pt idx="9">
                  <c:v>5.0617095222013724</c:v>
                </c:pt>
                <c:pt idx="10">
                  <c:v>5.139279322692774</c:v>
                </c:pt>
                <c:pt idx="11">
                  <c:v>4.3837812230315505</c:v>
                </c:pt>
                <c:pt idx="12">
                  <c:v>3.3693001484089842</c:v>
                </c:pt>
                <c:pt idx="13">
                  <c:v>2.3056178950667725</c:v>
                </c:pt>
                <c:pt idx="14">
                  <c:v>1.5499257674343634</c:v>
                </c:pt>
                <c:pt idx="15">
                  <c:v>1.9589295741354551</c:v>
                </c:pt>
                <c:pt idx="16">
                  <c:v>2.8499573664514282</c:v>
                </c:pt>
                <c:pt idx="17">
                  <c:v>4.8940758215988245</c:v>
                </c:pt>
                <c:pt idx="18">
                  <c:v>5.0549371235463854</c:v>
                </c:pt>
                <c:pt idx="19">
                  <c:v>4.7970012594389564</c:v>
                </c:pt>
                <c:pt idx="20">
                  <c:v>4.1608980771981745</c:v>
                </c:pt>
                <c:pt idx="21">
                  <c:v>2.4015245212064951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4D8-4236-9345-CA1AF30E9AFD}"/>
            </c:ext>
          </c:extLst>
        </c:ser>
        <c:marker val="1"/>
        <c:axId val="116135040"/>
        <c:axId val="116136576"/>
      </c:lineChart>
      <c:catAx>
        <c:axId val="116135040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6136576"/>
        <c:crosses val="autoZero"/>
        <c:auto val="1"/>
        <c:lblAlgn val="ctr"/>
        <c:lblOffset val="100"/>
      </c:catAx>
      <c:valAx>
        <c:axId val="116136576"/>
        <c:scaling>
          <c:orientation val="minMax"/>
          <c:max val="6"/>
          <c:min val="-3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16135040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8782884397989404E-2"/>
          <c:y val="0.79016604750647301"/>
          <c:w val="0.92922619274506457"/>
          <c:h val="0.1946248452099486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BD31-01F0-4F56-A2C4-AABD7415A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37D36-432E-4E91-9E94-2B9E2725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</TotalTime>
  <Pages>1</Pages>
  <Words>1198</Words>
  <Characters>7069</Characters>
  <Application>Microsoft Office Word</Application>
  <DocSecurity>0</DocSecurity>
  <Lines>58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8251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Súkupová</cp:lastModifiedBy>
  <cp:revision>4</cp:revision>
  <cp:lastPrinted>2014-07-17T14:07:00Z</cp:lastPrinted>
  <dcterms:created xsi:type="dcterms:W3CDTF">2018-09-19T08:05:00Z</dcterms:created>
  <dcterms:modified xsi:type="dcterms:W3CDTF">2018-09-19T08:14:00Z</dcterms:modified>
</cp:coreProperties>
</file>