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76" w:rsidRPr="00970B85" w:rsidRDefault="00874476" w:rsidP="00874476">
      <w:pPr>
        <w:pStyle w:val="Nadpis1"/>
      </w:pPr>
      <w:bookmarkStart w:id="0" w:name="_Toc533697479"/>
      <w:bookmarkStart w:id="1" w:name="_Toc534711978"/>
      <w:r w:rsidRPr="00970B85">
        <w:t>Chapter A ICT Infrastructure</w:t>
      </w:r>
      <w:bookmarkEnd w:id="0"/>
      <w:bookmarkEnd w:id="1"/>
    </w:p>
    <w:p w:rsidR="00874476" w:rsidRPr="007A6A43" w:rsidRDefault="00874476" w:rsidP="00874476">
      <w:pPr>
        <w:pStyle w:val="Zkladntext"/>
        <w:spacing w:before="0" w:after="80" w:line="264" w:lineRule="auto"/>
        <w:rPr>
          <w:i/>
          <w:sz w:val="20"/>
          <w:lang w:val="en-GB"/>
        </w:rPr>
      </w:pPr>
      <w:r w:rsidRPr="00464730">
        <w:rPr>
          <w:i/>
          <w:sz w:val="20"/>
          <w:lang w:val="en-GB"/>
        </w:rPr>
        <w:t xml:space="preserve">The key pillar necessary for primary development of the information society </w:t>
      </w:r>
      <w:r>
        <w:rPr>
          <w:i/>
          <w:sz w:val="20"/>
          <w:lang w:val="en-GB"/>
        </w:rPr>
        <w:t>and</w:t>
      </w:r>
      <w:r w:rsidRPr="00464730">
        <w:rPr>
          <w:i/>
          <w:sz w:val="20"/>
          <w:lang w:val="en-GB"/>
        </w:rPr>
        <w:t xml:space="preserve"> digital economy these days is without a doubt a robust, reliable, and modern </w:t>
      </w:r>
      <w:r w:rsidRPr="00543F3A">
        <w:rPr>
          <w:i/>
          <w:sz w:val="20"/>
          <w:lang w:val="en-GB"/>
        </w:rPr>
        <w:t>infrastructure, enabling the transfer of a huge amount of</w:t>
      </w:r>
      <w:r>
        <w:rPr>
          <w:i/>
          <w:sz w:val="20"/>
          <w:lang w:val="en-GB"/>
        </w:rPr>
        <w:t> </w:t>
      </w:r>
      <w:r w:rsidRPr="00543F3A">
        <w:rPr>
          <w:i/>
          <w:sz w:val="20"/>
          <w:lang w:val="en-GB"/>
        </w:rPr>
        <w:t xml:space="preserve">data necessary to provide services through fixed or mobile electronic networks. </w:t>
      </w:r>
      <w:r w:rsidRPr="007A6A43">
        <w:rPr>
          <w:i/>
          <w:sz w:val="20"/>
          <w:lang w:val="en-GB"/>
        </w:rPr>
        <w:t xml:space="preserve">Telecommunications and Internet (ICT) infrastructure could be described as the basic building block of most information technologies and information society as a whole. </w:t>
      </w:r>
    </w:p>
    <w:p w:rsidR="00874476" w:rsidRDefault="00874476" w:rsidP="00874476">
      <w:pPr>
        <w:pStyle w:val="Zkladntext"/>
        <w:spacing w:before="0" w:after="80" w:line="264" w:lineRule="auto"/>
        <w:rPr>
          <w:i/>
          <w:sz w:val="20"/>
          <w:lang w:val="en-GB"/>
        </w:rPr>
      </w:pPr>
      <w:r w:rsidRPr="00464730">
        <w:rPr>
          <w:i/>
          <w:sz w:val="20"/>
          <w:lang w:val="en-GB"/>
        </w:rPr>
        <w:t xml:space="preserve">The Czech Statistical Office is aware of the ICT infrastructure’s significance, and, on a regular basis, it processes </w:t>
      </w:r>
      <w:r>
        <w:rPr>
          <w:i/>
          <w:sz w:val="20"/>
          <w:lang w:val="en-GB"/>
        </w:rPr>
        <w:t xml:space="preserve">main </w:t>
      </w:r>
      <w:r w:rsidRPr="00464730">
        <w:rPr>
          <w:i/>
          <w:sz w:val="20"/>
          <w:lang w:val="en-GB"/>
        </w:rPr>
        <w:t xml:space="preserve">data concerning the development and status of this area. </w:t>
      </w:r>
      <w:r w:rsidRPr="00E37BB6">
        <w:rPr>
          <w:i/>
          <w:sz w:val="20"/>
          <w:lang w:val="en-GB"/>
        </w:rPr>
        <w:t>This chapter examines trends in</w:t>
      </w:r>
      <w:r>
        <w:rPr>
          <w:i/>
          <w:sz w:val="20"/>
          <w:lang w:val="en-GB"/>
        </w:rPr>
        <w:t> </w:t>
      </w:r>
      <w:r w:rsidRPr="00E37BB6">
        <w:rPr>
          <w:i/>
          <w:sz w:val="20"/>
          <w:lang w:val="en-GB"/>
        </w:rPr>
        <w:t xml:space="preserve">the available services </w:t>
      </w:r>
      <w:r w:rsidRPr="00464730">
        <w:rPr>
          <w:i/>
          <w:sz w:val="20"/>
          <w:lang w:val="en-GB"/>
        </w:rPr>
        <w:t xml:space="preserve">provided within fixed and mobile electronic </w:t>
      </w:r>
      <w:r>
        <w:rPr>
          <w:i/>
          <w:sz w:val="20"/>
          <w:lang w:val="en-GB"/>
        </w:rPr>
        <w:t xml:space="preserve">communication </w:t>
      </w:r>
      <w:r w:rsidRPr="00464730">
        <w:rPr>
          <w:i/>
          <w:sz w:val="20"/>
          <w:lang w:val="en-GB"/>
        </w:rPr>
        <w:t>networks</w:t>
      </w:r>
      <w:r w:rsidRPr="00E37BB6">
        <w:rPr>
          <w:i/>
          <w:sz w:val="20"/>
          <w:lang w:val="en-GB"/>
        </w:rPr>
        <w:t xml:space="preserve"> measured mainly by number of voice (telephone) and internet</w:t>
      </w:r>
      <w:r>
        <w:rPr>
          <w:i/>
          <w:sz w:val="20"/>
          <w:lang w:val="en-GB"/>
        </w:rPr>
        <w:t>/</w:t>
      </w:r>
      <w:r w:rsidRPr="00E37BB6">
        <w:rPr>
          <w:i/>
          <w:sz w:val="20"/>
          <w:lang w:val="en-GB"/>
        </w:rPr>
        <w:t>broadband</w:t>
      </w:r>
      <w:r>
        <w:rPr>
          <w:i/>
          <w:sz w:val="20"/>
          <w:lang w:val="en-GB"/>
        </w:rPr>
        <w:t xml:space="preserve"> (data</w:t>
      </w:r>
      <w:r w:rsidRPr="00E37BB6">
        <w:rPr>
          <w:i/>
          <w:sz w:val="20"/>
          <w:lang w:val="en-GB"/>
        </w:rPr>
        <w:t>) subscriptions</w:t>
      </w:r>
      <w:r>
        <w:rPr>
          <w:i/>
          <w:sz w:val="20"/>
          <w:lang w:val="en-GB"/>
        </w:rPr>
        <w:t xml:space="preserve"> and connections</w:t>
      </w:r>
      <w:r w:rsidRPr="00464730">
        <w:rPr>
          <w:rStyle w:val="Znakapoznpodarou"/>
          <w:i/>
          <w:sz w:val="20"/>
          <w:lang w:val="en-GB"/>
        </w:rPr>
        <w:footnoteReference w:id="1"/>
      </w:r>
      <w:r w:rsidRPr="00E37BB6">
        <w:rPr>
          <w:i/>
          <w:sz w:val="20"/>
          <w:lang w:val="en-GB"/>
        </w:rPr>
        <w:t xml:space="preserve">. The initial focus is on telephony; after which it shifts to the </w:t>
      </w:r>
      <w:r>
        <w:rPr>
          <w:i/>
          <w:sz w:val="20"/>
          <w:lang w:val="en-GB"/>
        </w:rPr>
        <w:t>i</w:t>
      </w:r>
      <w:r w:rsidRPr="00E37BB6">
        <w:rPr>
          <w:i/>
          <w:sz w:val="20"/>
          <w:lang w:val="en-GB"/>
        </w:rPr>
        <w:t>nternet infrastructure. Data used in this chapter are collected</w:t>
      </w:r>
      <w:r>
        <w:rPr>
          <w:i/>
          <w:sz w:val="20"/>
          <w:lang w:val="en-GB"/>
        </w:rPr>
        <w:t xml:space="preserve"> by </w:t>
      </w:r>
      <w:r w:rsidRPr="00B676F8">
        <w:rPr>
          <w:i/>
          <w:sz w:val="20"/>
          <w:lang w:val="en-GB"/>
        </w:rPr>
        <w:t>the Czech Telecommunication Office</w:t>
      </w:r>
      <w:r w:rsidRPr="00E37BB6">
        <w:rPr>
          <w:i/>
          <w:sz w:val="20"/>
          <w:lang w:val="en-GB"/>
        </w:rPr>
        <w:t xml:space="preserve"> from the telecommunication or internet service providers and should be distinguished from data based on ICT users’ surveys. </w:t>
      </w:r>
    </w:p>
    <w:p w:rsidR="00874476" w:rsidRPr="00970B85" w:rsidRDefault="00874476" w:rsidP="009812B5">
      <w:pPr>
        <w:pStyle w:val="Nadpis2"/>
      </w:pPr>
      <w:bookmarkStart w:id="2" w:name="_Toc533697480"/>
      <w:bookmarkStart w:id="3" w:name="_Toc534711979"/>
      <w:r w:rsidRPr="00970B85">
        <w:t>A</w:t>
      </w:r>
      <w:r w:rsidR="009812B5">
        <w:t>.</w:t>
      </w:r>
      <w:r w:rsidRPr="00970B85">
        <w:t xml:space="preserve">1 </w:t>
      </w:r>
      <w:r>
        <w:t xml:space="preserve">Telecommunication </w:t>
      </w:r>
      <w:r w:rsidRPr="00970B85">
        <w:t>infrastructure</w:t>
      </w:r>
      <w:bookmarkEnd w:id="2"/>
      <w:bookmarkEnd w:id="3"/>
    </w:p>
    <w:p w:rsidR="00874476" w:rsidRDefault="00874476" w:rsidP="00874476">
      <w:pPr>
        <w:pStyle w:val="Zkladntext"/>
        <w:spacing w:before="0" w:after="80" w:line="264" w:lineRule="auto"/>
        <w:rPr>
          <w:i/>
          <w:sz w:val="20"/>
          <w:lang w:val="en-GB"/>
        </w:rPr>
      </w:pPr>
      <w:r w:rsidRPr="00970B85">
        <w:rPr>
          <w:i/>
          <w:sz w:val="20"/>
          <w:lang w:val="en-GB"/>
        </w:rPr>
        <w:t xml:space="preserve">Telecommunication infrastructure is the </w:t>
      </w:r>
      <w:r>
        <w:rPr>
          <w:i/>
          <w:sz w:val="20"/>
          <w:lang w:val="en-GB"/>
        </w:rPr>
        <w:t xml:space="preserve">key pillar </w:t>
      </w:r>
      <w:r w:rsidRPr="00970B85">
        <w:rPr>
          <w:i/>
          <w:sz w:val="20"/>
          <w:lang w:val="en-GB"/>
        </w:rPr>
        <w:t>according to which the information and technological development of individual states</w:t>
      </w:r>
      <w:r>
        <w:rPr>
          <w:i/>
          <w:sz w:val="20"/>
          <w:lang w:val="en-GB"/>
        </w:rPr>
        <w:t xml:space="preserve"> </w:t>
      </w:r>
      <w:r w:rsidRPr="00970B85">
        <w:rPr>
          <w:i/>
          <w:sz w:val="20"/>
          <w:lang w:val="en-GB"/>
        </w:rPr>
        <w:t>has been evaluated in the past years. In the last millennium it was the fixed-telephone telecommunication service that was mainly used; since 2000 it has been the mobile telecommunication service</w:t>
      </w:r>
      <w:r>
        <w:rPr>
          <w:i/>
          <w:sz w:val="20"/>
          <w:lang w:val="en-GB"/>
        </w:rPr>
        <w:t>,</w:t>
      </w:r>
      <w:r w:rsidRPr="00970B85">
        <w:rPr>
          <w:i/>
          <w:sz w:val="20"/>
          <w:lang w:val="en-GB"/>
        </w:rPr>
        <w:t xml:space="preserve"> which has </w:t>
      </w:r>
      <w:r>
        <w:rPr>
          <w:i/>
          <w:sz w:val="20"/>
          <w:lang w:val="en-GB"/>
        </w:rPr>
        <w:t>gradually become</w:t>
      </w:r>
      <w:r w:rsidRPr="00970B85">
        <w:rPr>
          <w:i/>
          <w:sz w:val="20"/>
          <w:lang w:val="en-GB"/>
        </w:rPr>
        <w:t xml:space="preserve"> more popular.</w:t>
      </w:r>
      <w:r>
        <w:rPr>
          <w:i/>
          <w:sz w:val="20"/>
          <w:lang w:val="en-GB"/>
        </w:rPr>
        <w:t xml:space="preserve"> </w:t>
      </w:r>
    </w:p>
    <w:p w:rsidR="00874476" w:rsidRDefault="00874476" w:rsidP="00874476">
      <w:pPr>
        <w:pStyle w:val="Zkladntext"/>
        <w:spacing w:before="0" w:after="80" w:line="264" w:lineRule="auto"/>
        <w:rPr>
          <w:i/>
          <w:sz w:val="20"/>
          <w:lang w:val="en-GB"/>
        </w:rPr>
      </w:pPr>
      <w:r w:rsidRPr="007B142A">
        <w:rPr>
          <w:i/>
          <w:sz w:val="20"/>
          <w:lang w:val="en-GB"/>
        </w:rPr>
        <w:t>Today many telecom companies offer service bundles via one single distribution</w:t>
      </w:r>
      <w:r>
        <w:rPr>
          <w:i/>
          <w:sz w:val="20"/>
          <w:lang w:val="en-GB"/>
        </w:rPr>
        <w:t xml:space="preserve"> </w:t>
      </w:r>
      <w:r w:rsidRPr="007B142A">
        <w:rPr>
          <w:i/>
          <w:sz w:val="20"/>
          <w:lang w:val="en-GB"/>
        </w:rPr>
        <w:t>method. This is also known as ‘multiplay’. For instance, a company can now use</w:t>
      </w:r>
      <w:r>
        <w:rPr>
          <w:i/>
          <w:sz w:val="20"/>
          <w:lang w:val="en-GB"/>
        </w:rPr>
        <w:t xml:space="preserve"> </w:t>
      </w:r>
      <w:r w:rsidRPr="007B142A">
        <w:rPr>
          <w:i/>
          <w:sz w:val="20"/>
          <w:lang w:val="en-GB"/>
        </w:rPr>
        <w:t>the cable to supply television, internet and telephone services. Sometimes these</w:t>
      </w:r>
      <w:r>
        <w:rPr>
          <w:i/>
          <w:sz w:val="20"/>
          <w:lang w:val="en-GB"/>
        </w:rPr>
        <w:t xml:space="preserve"> </w:t>
      </w:r>
      <w:r w:rsidRPr="007B142A">
        <w:rPr>
          <w:i/>
          <w:sz w:val="20"/>
          <w:lang w:val="en-GB"/>
        </w:rPr>
        <w:t>services are offered in a single package through different distribution methods.</w:t>
      </w:r>
      <w:r>
        <w:rPr>
          <w:i/>
          <w:sz w:val="20"/>
          <w:lang w:val="en-GB"/>
        </w:rPr>
        <w:t xml:space="preserve"> </w:t>
      </w:r>
      <w:r w:rsidRPr="00BE6B68">
        <w:rPr>
          <w:i/>
          <w:sz w:val="20"/>
          <w:lang w:val="en-GB"/>
        </w:rPr>
        <w:t xml:space="preserve">Many </w:t>
      </w:r>
      <w:r>
        <w:rPr>
          <w:i/>
          <w:sz w:val="20"/>
          <w:lang w:val="en-GB"/>
        </w:rPr>
        <w:t xml:space="preserve">Czech </w:t>
      </w:r>
      <w:r w:rsidRPr="00BE6B68">
        <w:rPr>
          <w:i/>
          <w:sz w:val="20"/>
          <w:lang w:val="en-GB"/>
        </w:rPr>
        <w:t xml:space="preserve">households </w:t>
      </w:r>
      <w:r>
        <w:rPr>
          <w:i/>
          <w:sz w:val="20"/>
          <w:lang w:val="en-GB"/>
        </w:rPr>
        <w:t xml:space="preserve">nowadays </w:t>
      </w:r>
      <w:r w:rsidRPr="00BE6B68">
        <w:rPr>
          <w:i/>
          <w:sz w:val="20"/>
          <w:lang w:val="en-GB"/>
        </w:rPr>
        <w:t xml:space="preserve">obtain </w:t>
      </w:r>
      <w:r>
        <w:rPr>
          <w:i/>
          <w:sz w:val="20"/>
          <w:lang w:val="en-GB"/>
        </w:rPr>
        <w:t xml:space="preserve">these </w:t>
      </w:r>
      <w:r w:rsidRPr="00BE6B68">
        <w:rPr>
          <w:i/>
          <w:sz w:val="20"/>
          <w:lang w:val="en-GB"/>
        </w:rPr>
        <w:t>multiple telecom services from a single provider</w:t>
      </w:r>
      <w:r>
        <w:rPr>
          <w:i/>
          <w:sz w:val="20"/>
          <w:lang w:val="en-GB"/>
        </w:rPr>
        <w:t xml:space="preserve">. </w:t>
      </w:r>
    </w:p>
    <w:p w:rsidR="00874476" w:rsidRPr="00970B85" w:rsidRDefault="00874476" w:rsidP="009812B5">
      <w:pPr>
        <w:pStyle w:val="Nadpis3"/>
      </w:pPr>
      <w:bookmarkStart w:id="4" w:name="_Toc533697481"/>
      <w:bookmarkStart w:id="5" w:name="_Toc534711980"/>
      <w:r w:rsidRPr="00970B85">
        <w:t>Fixed</w:t>
      </w:r>
      <w:r>
        <w:t xml:space="preserve"> </w:t>
      </w:r>
      <w:r w:rsidRPr="00970B85">
        <w:t xml:space="preserve">telephone </w:t>
      </w:r>
      <w:r>
        <w:t>network penetration – V</w:t>
      </w:r>
      <w:r w:rsidRPr="00970B85">
        <w:t>oice subscriptions</w:t>
      </w:r>
      <w:r>
        <w:t xml:space="preserve"> via PSTN or VoIP</w:t>
      </w:r>
      <w:r w:rsidRPr="00970B85">
        <w:rPr>
          <w:vertAlign w:val="superscript"/>
        </w:rPr>
        <w:footnoteReference w:id="2"/>
      </w:r>
      <w:bookmarkEnd w:id="4"/>
      <w:bookmarkEnd w:id="5"/>
      <w:r w:rsidRPr="00970B85">
        <w:rPr>
          <w:sz w:val="22"/>
          <w:szCs w:val="20"/>
          <w:vertAlign w:val="superscript"/>
        </w:rPr>
        <w:t xml:space="preserve"> </w:t>
      </w:r>
      <w:r w:rsidRPr="00970B85">
        <w:t xml:space="preserve"> </w:t>
      </w:r>
    </w:p>
    <w:p w:rsidR="00874476" w:rsidRDefault="00874476" w:rsidP="00874476">
      <w:pPr>
        <w:pStyle w:val="Zkladntext"/>
        <w:spacing w:before="0" w:after="80" w:line="264" w:lineRule="auto"/>
        <w:rPr>
          <w:i/>
          <w:sz w:val="20"/>
          <w:lang w:val="en-GB"/>
        </w:rPr>
      </w:pPr>
      <w:r w:rsidRPr="00BC75D4">
        <w:rPr>
          <w:i/>
          <w:sz w:val="20"/>
          <w:lang w:val="en-GB"/>
        </w:rPr>
        <w:t>Fixed telephone network, with its services, used to be a flagship of the entire communications sector. In the 20th century, fixed telephone line represented the basic infrastructure for the dissemination of speech and</w:t>
      </w:r>
      <w:r>
        <w:rPr>
          <w:i/>
          <w:sz w:val="20"/>
          <w:lang w:val="en-GB"/>
        </w:rPr>
        <w:t> </w:t>
      </w:r>
      <w:r w:rsidRPr="00BC75D4">
        <w:rPr>
          <w:i/>
          <w:sz w:val="20"/>
          <w:lang w:val="en-GB"/>
        </w:rPr>
        <w:t xml:space="preserve">also featured the underlying technology platform for the development and spread of other technologies such as the internet. </w:t>
      </w:r>
      <w:r w:rsidRPr="00115EA5">
        <w:rPr>
          <w:i/>
          <w:sz w:val="20"/>
          <w:lang w:val="en-GB"/>
        </w:rPr>
        <w:t>However, traditional fixed-line telephony has been declining in the Czech Republic since 2000, largely due to the rise of mobile service (fixed-mobile substitution) and to the increased use of</w:t>
      </w:r>
      <w:r>
        <w:rPr>
          <w:i/>
          <w:sz w:val="20"/>
          <w:lang w:val="en-GB"/>
        </w:rPr>
        <w:t xml:space="preserve"> IP telephony for fixed voice communication (VoIP technology)</w:t>
      </w:r>
      <w:r w:rsidRPr="00115EA5">
        <w:rPr>
          <w:i/>
          <w:sz w:val="20"/>
          <w:lang w:val="en-GB"/>
        </w:rPr>
        <w:t>.</w:t>
      </w:r>
    </w:p>
    <w:p w:rsidR="00874476" w:rsidRPr="00A527DD" w:rsidRDefault="00874476" w:rsidP="00874476">
      <w:pPr>
        <w:pStyle w:val="Zkladntext"/>
        <w:numPr>
          <w:ilvl w:val="0"/>
          <w:numId w:val="15"/>
        </w:numPr>
        <w:spacing w:before="0" w:after="80" w:line="264" w:lineRule="auto"/>
        <w:ind w:left="284" w:hanging="284"/>
        <w:rPr>
          <w:sz w:val="20"/>
          <w:szCs w:val="20"/>
          <w:lang w:val="en-GB"/>
        </w:rPr>
      </w:pPr>
      <w:r w:rsidRPr="00A527DD">
        <w:rPr>
          <w:sz w:val="20"/>
          <w:szCs w:val="20"/>
          <w:lang w:val="en-GB"/>
        </w:rPr>
        <w:t xml:space="preserve">There has been a shift in the type of fixed-telephone connections used in the Czech Republic. The </w:t>
      </w:r>
      <w:r w:rsidRPr="00C673E2">
        <w:rPr>
          <w:sz w:val="20"/>
          <w:szCs w:val="20"/>
          <w:lang w:val="en-GB"/>
        </w:rPr>
        <w:t>traditional PSTN and ISDN telephone network is losing ground, while the number</w:t>
      </w:r>
      <w:r w:rsidRPr="00434FCB">
        <w:rPr>
          <w:sz w:val="20"/>
          <w:szCs w:val="20"/>
          <w:lang w:val="en-GB"/>
        </w:rPr>
        <w:t xml:space="preserve"> </w:t>
      </w:r>
      <w:r w:rsidRPr="00956B74">
        <w:rPr>
          <w:sz w:val="20"/>
          <w:szCs w:val="20"/>
          <w:lang w:val="en-GB"/>
        </w:rPr>
        <w:t xml:space="preserve">of telephone connections via the internet (VoIP) </w:t>
      </w:r>
      <w:r w:rsidRPr="003F4223">
        <w:rPr>
          <w:sz w:val="20"/>
          <w:szCs w:val="20"/>
          <w:lang w:val="en-GB"/>
        </w:rPr>
        <w:t>was</w:t>
      </w:r>
      <w:r w:rsidRPr="00463B1E">
        <w:rPr>
          <w:sz w:val="20"/>
          <w:szCs w:val="20"/>
          <w:lang w:val="en-GB"/>
        </w:rPr>
        <w:t xml:space="preserve"> rising. In 201</w:t>
      </w:r>
      <w:r>
        <w:rPr>
          <w:sz w:val="20"/>
          <w:szCs w:val="20"/>
          <w:lang w:val="en-GB"/>
        </w:rPr>
        <w:t>6</w:t>
      </w:r>
      <w:r w:rsidRPr="00A527DD">
        <w:rPr>
          <w:sz w:val="20"/>
          <w:szCs w:val="20"/>
          <w:lang w:val="en-GB"/>
        </w:rPr>
        <w:t xml:space="preserve">, the Czech Republic had </w:t>
      </w:r>
      <w:r>
        <w:rPr>
          <w:sz w:val="20"/>
          <w:szCs w:val="20"/>
          <w:lang w:val="en-GB"/>
        </w:rPr>
        <w:t>917</w:t>
      </w:r>
      <w:r w:rsidRPr="00A527DD">
        <w:rPr>
          <w:sz w:val="20"/>
          <w:szCs w:val="20"/>
          <w:lang w:val="en-GB"/>
        </w:rPr>
        <w:t xml:space="preserve"> </w:t>
      </w:r>
      <w:r>
        <w:rPr>
          <w:sz w:val="20"/>
          <w:szCs w:val="20"/>
          <w:lang w:val="en-GB"/>
        </w:rPr>
        <w:t>thousand</w:t>
      </w:r>
      <w:r w:rsidRPr="00A527DD">
        <w:rPr>
          <w:sz w:val="20"/>
          <w:szCs w:val="20"/>
          <w:lang w:val="en-GB"/>
        </w:rPr>
        <w:t xml:space="preserve"> </w:t>
      </w:r>
      <w:r w:rsidRPr="00301172">
        <w:rPr>
          <w:b/>
          <w:sz w:val="20"/>
          <w:szCs w:val="20"/>
          <w:lang w:val="en-GB"/>
        </w:rPr>
        <w:t>VoIP connections</w:t>
      </w:r>
      <w:r w:rsidRPr="00A527DD">
        <w:rPr>
          <w:sz w:val="20"/>
          <w:szCs w:val="20"/>
          <w:lang w:val="en-GB"/>
        </w:rPr>
        <w:t xml:space="preserve">, compared to </w:t>
      </w:r>
      <w:r>
        <w:rPr>
          <w:sz w:val="20"/>
          <w:szCs w:val="20"/>
          <w:lang w:val="en-GB"/>
        </w:rPr>
        <w:t xml:space="preserve">462 thousand </w:t>
      </w:r>
      <w:r w:rsidRPr="00A527DD">
        <w:rPr>
          <w:sz w:val="20"/>
          <w:szCs w:val="20"/>
          <w:lang w:val="en-GB"/>
        </w:rPr>
        <w:t>in 201</w:t>
      </w:r>
      <w:r>
        <w:rPr>
          <w:sz w:val="20"/>
          <w:szCs w:val="20"/>
          <w:lang w:val="en-GB"/>
        </w:rPr>
        <w:t>0</w:t>
      </w:r>
      <w:r w:rsidRPr="00A527DD">
        <w:rPr>
          <w:sz w:val="20"/>
          <w:szCs w:val="20"/>
          <w:lang w:val="en-GB"/>
        </w:rPr>
        <w:t xml:space="preserve">. The number of traditional </w:t>
      </w:r>
      <w:r>
        <w:rPr>
          <w:sz w:val="20"/>
          <w:szCs w:val="20"/>
          <w:lang w:val="en-GB"/>
        </w:rPr>
        <w:t xml:space="preserve">fixed-telephone </w:t>
      </w:r>
      <w:r w:rsidRPr="00A527DD">
        <w:rPr>
          <w:sz w:val="20"/>
          <w:szCs w:val="20"/>
          <w:lang w:val="en-GB"/>
        </w:rPr>
        <w:t>connections</w:t>
      </w:r>
      <w:r>
        <w:rPr>
          <w:sz w:val="20"/>
          <w:szCs w:val="20"/>
          <w:lang w:val="en-GB"/>
        </w:rPr>
        <w:t xml:space="preserve"> (PSTN lines)</w:t>
      </w:r>
      <w:r w:rsidRPr="00A527DD">
        <w:rPr>
          <w:sz w:val="20"/>
          <w:szCs w:val="20"/>
          <w:lang w:val="en-GB"/>
        </w:rPr>
        <w:t xml:space="preserve"> in 201</w:t>
      </w:r>
      <w:r>
        <w:rPr>
          <w:sz w:val="20"/>
          <w:szCs w:val="20"/>
          <w:lang w:val="en-GB"/>
        </w:rPr>
        <w:t>6</w:t>
      </w:r>
      <w:r w:rsidRPr="00A527DD">
        <w:rPr>
          <w:sz w:val="20"/>
          <w:szCs w:val="20"/>
          <w:lang w:val="en-GB"/>
        </w:rPr>
        <w:t xml:space="preserve"> w</w:t>
      </w:r>
      <w:r>
        <w:rPr>
          <w:sz w:val="20"/>
          <w:szCs w:val="20"/>
          <w:lang w:val="en-GB"/>
        </w:rPr>
        <w:t>as</w:t>
      </w:r>
      <w:r w:rsidRPr="00A527DD">
        <w:rPr>
          <w:sz w:val="20"/>
          <w:szCs w:val="20"/>
          <w:lang w:val="en-GB"/>
        </w:rPr>
        <w:t xml:space="preserve"> </w:t>
      </w:r>
      <w:r>
        <w:rPr>
          <w:sz w:val="20"/>
          <w:szCs w:val="20"/>
          <w:lang w:val="en-GB"/>
        </w:rPr>
        <w:t>832 thousand</w:t>
      </w:r>
      <w:r w:rsidRPr="00A527DD">
        <w:rPr>
          <w:sz w:val="20"/>
          <w:szCs w:val="20"/>
          <w:lang w:val="en-GB"/>
        </w:rPr>
        <w:t xml:space="preserve">. </w:t>
      </w:r>
      <w:r>
        <w:rPr>
          <w:sz w:val="20"/>
          <w:szCs w:val="20"/>
          <w:lang w:val="en-GB"/>
        </w:rPr>
        <w:t xml:space="preserve">Ten </w:t>
      </w:r>
      <w:r w:rsidRPr="00A527DD">
        <w:rPr>
          <w:sz w:val="20"/>
          <w:szCs w:val="20"/>
          <w:lang w:val="en-GB"/>
        </w:rPr>
        <w:t>year</w:t>
      </w:r>
      <w:r>
        <w:rPr>
          <w:sz w:val="20"/>
          <w:szCs w:val="20"/>
          <w:lang w:val="en-GB"/>
        </w:rPr>
        <w:t>s</w:t>
      </w:r>
      <w:r w:rsidRPr="00A527DD">
        <w:rPr>
          <w:sz w:val="20"/>
          <w:szCs w:val="20"/>
          <w:lang w:val="en-GB"/>
        </w:rPr>
        <w:t xml:space="preserve"> before it was still 2.</w:t>
      </w:r>
      <w:r>
        <w:rPr>
          <w:sz w:val="20"/>
          <w:szCs w:val="20"/>
          <w:lang w:val="en-GB"/>
        </w:rPr>
        <w:t>8</w:t>
      </w:r>
      <w:r w:rsidRPr="00A527DD">
        <w:rPr>
          <w:sz w:val="20"/>
          <w:szCs w:val="20"/>
          <w:lang w:val="en-GB"/>
        </w:rPr>
        <w:t xml:space="preserve"> million. Packages that allow consumers to acquire multiple telecom services, such as TV, the internet and VoIP, in a single subscription have been gaining in popularity for some years.</w:t>
      </w:r>
    </w:p>
    <w:p w:rsidR="00874476" w:rsidRPr="00970B85" w:rsidRDefault="00874476" w:rsidP="00874476">
      <w:pPr>
        <w:pStyle w:val="Zkladntext"/>
        <w:numPr>
          <w:ilvl w:val="0"/>
          <w:numId w:val="15"/>
        </w:numPr>
        <w:spacing w:before="0" w:after="80" w:line="264" w:lineRule="auto"/>
        <w:ind w:left="284" w:hanging="284"/>
        <w:rPr>
          <w:sz w:val="20"/>
          <w:szCs w:val="20"/>
          <w:lang w:val="en-GB"/>
        </w:rPr>
      </w:pPr>
      <w:r w:rsidRPr="00970B85">
        <w:rPr>
          <w:sz w:val="20"/>
          <w:szCs w:val="20"/>
          <w:lang w:val="en-GB"/>
        </w:rPr>
        <w:t xml:space="preserve">The number of </w:t>
      </w:r>
      <w:r w:rsidRPr="00970B85">
        <w:rPr>
          <w:b/>
          <w:sz w:val="20"/>
          <w:szCs w:val="20"/>
          <w:lang w:val="en-GB"/>
        </w:rPr>
        <w:t xml:space="preserve">subscribers to voice services </w:t>
      </w:r>
      <w:r w:rsidRPr="00970B85">
        <w:rPr>
          <w:sz w:val="20"/>
          <w:szCs w:val="20"/>
          <w:lang w:val="en-GB"/>
        </w:rPr>
        <w:t xml:space="preserve">provided by means of </w:t>
      </w:r>
      <w:r w:rsidRPr="00970B85">
        <w:rPr>
          <w:b/>
          <w:sz w:val="20"/>
          <w:szCs w:val="20"/>
          <w:lang w:val="en-GB"/>
        </w:rPr>
        <w:t>public switched telephone network (PSTN)</w:t>
      </w:r>
      <w:r>
        <w:rPr>
          <w:rStyle w:val="Znakapoznpodarou"/>
          <w:b/>
          <w:sz w:val="20"/>
          <w:szCs w:val="20"/>
          <w:lang w:val="en-GB"/>
        </w:rPr>
        <w:footnoteReference w:id="3"/>
      </w:r>
      <w:r w:rsidRPr="00970B85">
        <w:rPr>
          <w:b/>
          <w:sz w:val="20"/>
          <w:szCs w:val="20"/>
          <w:lang w:val="en-GB"/>
        </w:rPr>
        <w:t xml:space="preserve"> </w:t>
      </w:r>
      <w:r w:rsidRPr="00970B85">
        <w:rPr>
          <w:sz w:val="20"/>
          <w:szCs w:val="20"/>
          <w:lang w:val="en-GB"/>
        </w:rPr>
        <w:t xml:space="preserve">in the Czech Republic has been decreasing. Since 2001 when their number reached its maximum, the </w:t>
      </w:r>
      <w:r>
        <w:rPr>
          <w:sz w:val="20"/>
          <w:szCs w:val="20"/>
          <w:lang w:val="en-GB"/>
        </w:rPr>
        <w:t>number</w:t>
      </w:r>
      <w:r w:rsidRPr="00970B85">
        <w:rPr>
          <w:sz w:val="20"/>
          <w:szCs w:val="20"/>
          <w:lang w:val="en-GB"/>
        </w:rPr>
        <w:t xml:space="preserve"> decreased by 3 million to </w:t>
      </w:r>
      <w:r>
        <w:rPr>
          <w:sz w:val="20"/>
          <w:szCs w:val="20"/>
          <w:lang w:val="en-GB"/>
        </w:rPr>
        <w:t xml:space="preserve">the above mentioned </w:t>
      </w:r>
      <w:r w:rsidRPr="00970B85">
        <w:rPr>
          <w:sz w:val="20"/>
          <w:szCs w:val="20"/>
          <w:lang w:val="en-GB"/>
        </w:rPr>
        <w:t xml:space="preserve">832 thousand in 2016. </w:t>
      </w:r>
      <w:r>
        <w:rPr>
          <w:sz w:val="20"/>
          <w:szCs w:val="20"/>
          <w:lang w:val="en-GB"/>
        </w:rPr>
        <w:t>A</w:t>
      </w:r>
      <w:r w:rsidRPr="002569E0">
        <w:rPr>
          <w:sz w:val="20"/>
          <w:szCs w:val="20"/>
          <w:lang w:val="en-GB"/>
        </w:rPr>
        <w:t xml:space="preserve">s an </w:t>
      </w:r>
      <w:r w:rsidRPr="002569E0">
        <w:rPr>
          <w:sz w:val="20"/>
          <w:szCs w:val="20"/>
          <w:lang w:val="en-GB"/>
        </w:rPr>
        <w:lastRenderedPageBreak/>
        <w:t xml:space="preserve">interesting fact can be mentioned </w:t>
      </w:r>
      <w:r>
        <w:rPr>
          <w:sz w:val="20"/>
          <w:szCs w:val="20"/>
          <w:lang w:val="en-GB"/>
        </w:rPr>
        <w:t xml:space="preserve">that this </w:t>
      </w:r>
      <w:r w:rsidRPr="00970B85">
        <w:rPr>
          <w:sz w:val="20"/>
          <w:szCs w:val="20"/>
          <w:lang w:val="en-GB"/>
        </w:rPr>
        <w:t xml:space="preserve">number of main fixed telephone </w:t>
      </w:r>
      <w:r>
        <w:rPr>
          <w:sz w:val="20"/>
          <w:szCs w:val="20"/>
          <w:lang w:val="en-GB"/>
        </w:rPr>
        <w:t>connections</w:t>
      </w:r>
      <w:r w:rsidRPr="00970B85">
        <w:rPr>
          <w:sz w:val="20"/>
          <w:szCs w:val="20"/>
          <w:lang w:val="en-GB"/>
        </w:rPr>
        <w:t xml:space="preserve"> </w:t>
      </w:r>
      <w:r>
        <w:rPr>
          <w:sz w:val="20"/>
          <w:szCs w:val="20"/>
          <w:lang w:val="en-GB"/>
        </w:rPr>
        <w:t xml:space="preserve">in 2016 </w:t>
      </w:r>
      <w:r w:rsidRPr="00970B85">
        <w:rPr>
          <w:sz w:val="20"/>
          <w:szCs w:val="20"/>
          <w:lang w:val="en-GB"/>
        </w:rPr>
        <w:t xml:space="preserve">is nearly equal to the number which was last recorded in 1972. </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Pr>
          <w:sz w:val="20"/>
          <w:szCs w:val="20"/>
          <w:lang w:val="en-GB"/>
        </w:rPr>
        <w:t xml:space="preserve">In particular, </w:t>
      </w:r>
      <w:r w:rsidRPr="00970B85">
        <w:rPr>
          <w:sz w:val="20"/>
          <w:szCs w:val="20"/>
          <w:lang w:val="en-GB"/>
        </w:rPr>
        <w:t xml:space="preserve">the number of </w:t>
      </w:r>
      <w:r w:rsidRPr="00970B85">
        <w:rPr>
          <w:b/>
          <w:sz w:val="20"/>
          <w:szCs w:val="20"/>
          <w:lang w:val="en-GB"/>
        </w:rPr>
        <w:t xml:space="preserve">“residential </w:t>
      </w:r>
      <w:r>
        <w:rPr>
          <w:b/>
          <w:sz w:val="20"/>
          <w:szCs w:val="20"/>
          <w:lang w:val="en-GB"/>
        </w:rPr>
        <w:t xml:space="preserve">fixed telephone stations – consumer/citizen </w:t>
      </w:r>
      <w:r w:rsidRPr="00970B85">
        <w:rPr>
          <w:b/>
          <w:sz w:val="20"/>
          <w:szCs w:val="20"/>
          <w:lang w:val="en-GB"/>
        </w:rPr>
        <w:t>subscriptions”</w:t>
      </w:r>
      <w:r w:rsidRPr="00970B85">
        <w:rPr>
          <w:sz w:val="20"/>
          <w:szCs w:val="20"/>
          <w:lang w:val="en-GB"/>
        </w:rPr>
        <w:t xml:space="preserve">, most frequently used at the turn of the millennium, is decreasing. Only in the past 15 years, </w:t>
      </w:r>
      <w:r>
        <w:rPr>
          <w:sz w:val="20"/>
          <w:szCs w:val="20"/>
          <w:lang w:val="en-GB"/>
        </w:rPr>
        <w:t xml:space="preserve">has </w:t>
      </w:r>
      <w:r w:rsidRPr="00970B85">
        <w:rPr>
          <w:sz w:val="20"/>
          <w:szCs w:val="20"/>
          <w:lang w:val="en-GB"/>
        </w:rPr>
        <w:t>the number of subscriptions</w:t>
      </w:r>
      <w:r>
        <w:rPr>
          <w:sz w:val="20"/>
          <w:szCs w:val="20"/>
          <w:lang w:val="en-GB"/>
        </w:rPr>
        <w:t xml:space="preserve"> to the traditional</w:t>
      </w:r>
      <w:r w:rsidRPr="00970B85">
        <w:rPr>
          <w:sz w:val="20"/>
          <w:szCs w:val="20"/>
          <w:lang w:val="en-GB"/>
        </w:rPr>
        <w:t xml:space="preserve"> </w:t>
      </w:r>
      <w:r>
        <w:rPr>
          <w:sz w:val="20"/>
          <w:szCs w:val="20"/>
          <w:lang w:val="en-GB"/>
        </w:rPr>
        <w:t>fixed-</w:t>
      </w:r>
      <w:r w:rsidRPr="00970B85">
        <w:rPr>
          <w:sz w:val="20"/>
          <w:szCs w:val="20"/>
          <w:lang w:val="en-GB"/>
        </w:rPr>
        <w:t>telephone</w:t>
      </w:r>
      <w:r>
        <w:rPr>
          <w:sz w:val="20"/>
          <w:szCs w:val="20"/>
          <w:lang w:val="en-GB"/>
        </w:rPr>
        <w:t xml:space="preserve"> lines </w:t>
      </w:r>
      <w:r w:rsidRPr="00970B85">
        <w:rPr>
          <w:sz w:val="20"/>
          <w:szCs w:val="20"/>
          <w:lang w:val="en-GB"/>
        </w:rPr>
        <w:t>(PSTN) in Czech households decreased 6.5 times from the original 2.6 million in 2001, when mobile telephones started becoming popular with Czech households, to 400 thousand in 2016. In other words, whereas in 2001 a fixed telephone was owned by 75% of households, in 2016</w:t>
      </w:r>
      <w:r>
        <w:rPr>
          <w:sz w:val="20"/>
          <w:szCs w:val="20"/>
          <w:lang w:val="en-GB"/>
        </w:rPr>
        <w:t>,</w:t>
      </w:r>
      <w:r w:rsidRPr="00970B85">
        <w:rPr>
          <w:sz w:val="20"/>
          <w:szCs w:val="20"/>
          <w:lang w:val="en-GB"/>
        </w:rPr>
        <w:t xml:space="preserve"> it was only</w:t>
      </w:r>
      <w:r>
        <w:rPr>
          <w:sz w:val="20"/>
          <w:szCs w:val="20"/>
          <w:lang w:val="en-GB"/>
        </w:rPr>
        <w:t xml:space="preserve"> by</w:t>
      </w:r>
      <w:r w:rsidRPr="00970B85">
        <w:rPr>
          <w:sz w:val="20"/>
          <w:szCs w:val="20"/>
          <w:lang w:val="en-GB"/>
        </w:rPr>
        <w:t xml:space="preserve"> 1</w:t>
      </w:r>
      <w:r>
        <w:rPr>
          <w:sz w:val="20"/>
          <w:szCs w:val="20"/>
          <w:lang w:val="en-GB"/>
        </w:rPr>
        <w:t>4</w:t>
      </w:r>
      <w:r w:rsidRPr="00970B85">
        <w:rPr>
          <w:sz w:val="20"/>
          <w:szCs w:val="20"/>
          <w:lang w:val="en-GB"/>
        </w:rPr>
        <w:t>% of them – along with Finland, the l</w:t>
      </w:r>
      <w:r>
        <w:rPr>
          <w:sz w:val="20"/>
          <w:szCs w:val="20"/>
          <w:lang w:val="en-GB"/>
        </w:rPr>
        <w:t>owest share in all EU countries</w:t>
      </w:r>
      <w:r w:rsidRPr="00970B85">
        <w:rPr>
          <w:rStyle w:val="Znakapoznpodarou"/>
          <w:sz w:val="20"/>
          <w:szCs w:val="20"/>
          <w:lang w:val="en-GB"/>
        </w:rPr>
        <w:footnoteReference w:id="4"/>
      </w:r>
      <w:r>
        <w:rPr>
          <w:sz w:val="20"/>
          <w:szCs w:val="20"/>
          <w:lang w:val="en-GB"/>
        </w:rPr>
        <w:t>.</w:t>
      </w:r>
      <w:r w:rsidRPr="00970B85">
        <w:rPr>
          <w:sz w:val="20"/>
          <w:szCs w:val="20"/>
          <w:lang w:val="en-GB"/>
        </w:rPr>
        <w:t xml:space="preserve"> </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In 2016, the number of </w:t>
      </w:r>
      <w:r w:rsidRPr="00970B85">
        <w:rPr>
          <w:b/>
          <w:sz w:val="20"/>
          <w:szCs w:val="20"/>
          <w:lang w:val="en-GB"/>
        </w:rPr>
        <w:t>“</w:t>
      </w:r>
      <w:r>
        <w:rPr>
          <w:b/>
          <w:sz w:val="20"/>
          <w:szCs w:val="20"/>
          <w:lang w:val="en-GB"/>
        </w:rPr>
        <w:t>business fixed telephone stations – business</w:t>
      </w:r>
      <w:r w:rsidRPr="00970B85">
        <w:rPr>
          <w:b/>
          <w:sz w:val="20"/>
          <w:szCs w:val="20"/>
          <w:lang w:val="en-GB"/>
        </w:rPr>
        <w:t xml:space="preserve"> subscriptions”</w:t>
      </w:r>
      <w:r w:rsidRPr="00970B85">
        <w:rPr>
          <w:sz w:val="20"/>
          <w:szCs w:val="20"/>
          <w:lang w:val="en-GB"/>
        </w:rPr>
        <w:t xml:space="preserve"> </w:t>
      </w:r>
      <w:r>
        <w:rPr>
          <w:sz w:val="20"/>
          <w:szCs w:val="20"/>
          <w:lang w:val="en-GB"/>
        </w:rPr>
        <w:t xml:space="preserve">using </w:t>
      </w:r>
      <w:r w:rsidRPr="00970B85">
        <w:rPr>
          <w:sz w:val="20"/>
          <w:szCs w:val="20"/>
          <w:lang w:val="en-GB"/>
        </w:rPr>
        <w:t>“</w:t>
      </w:r>
      <w:r>
        <w:rPr>
          <w:sz w:val="20"/>
          <w:szCs w:val="20"/>
          <w:lang w:val="en-GB"/>
        </w:rPr>
        <w:t>traditional</w:t>
      </w:r>
      <w:r w:rsidRPr="00970B85">
        <w:rPr>
          <w:sz w:val="20"/>
          <w:szCs w:val="20"/>
          <w:lang w:val="en-GB"/>
        </w:rPr>
        <w:t>” fixed</w:t>
      </w:r>
      <w:r>
        <w:rPr>
          <w:sz w:val="20"/>
          <w:szCs w:val="20"/>
          <w:lang w:val="en-GB"/>
        </w:rPr>
        <w:t xml:space="preserve"> </w:t>
      </w:r>
      <w:r w:rsidRPr="00970B85">
        <w:rPr>
          <w:sz w:val="20"/>
          <w:szCs w:val="20"/>
          <w:lang w:val="en-GB"/>
        </w:rPr>
        <w:t>telephone lines (PSTN) was higher than the number of residential ones. Even in this case, however, there has been a significant decrease in recent years. For instance, in the years 1997 to</w:t>
      </w:r>
      <w:r>
        <w:rPr>
          <w:sz w:val="20"/>
          <w:szCs w:val="20"/>
          <w:lang w:val="en-GB"/>
        </w:rPr>
        <w:t> </w:t>
      </w:r>
      <w:r w:rsidRPr="00970B85">
        <w:rPr>
          <w:sz w:val="20"/>
          <w:szCs w:val="20"/>
          <w:lang w:val="en-GB"/>
        </w:rPr>
        <w:t>2008 their number was around 1 million. In 2016, the number decreased to 429 thousand</w:t>
      </w:r>
      <w:r>
        <w:rPr>
          <w:sz w:val="20"/>
          <w:szCs w:val="20"/>
          <w:lang w:val="en-GB"/>
        </w:rPr>
        <w:t xml:space="preserve"> business subscriptions</w:t>
      </w:r>
      <w:r w:rsidRPr="00970B85">
        <w:rPr>
          <w:sz w:val="20"/>
          <w:szCs w:val="20"/>
          <w:lang w:val="en-GB"/>
        </w:rPr>
        <w:t xml:space="preserve">. </w:t>
      </w:r>
    </w:p>
    <w:p w:rsidR="00874476" w:rsidRPr="00970B85" w:rsidRDefault="00874476" w:rsidP="00874476">
      <w:pPr>
        <w:pStyle w:val="Zkladntext"/>
        <w:spacing w:before="0" w:after="80" w:line="264" w:lineRule="auto"/>
        <w:rPr>
          <w:lang w:val="en-GB"/>
        </w:rPr>
      </w:pPr>
      <w:r w:rsidRPr="00970B85">
        <w:rPr>
          <w:noProof/>
        </w:rPr>
        <w:drawing>
          <wp:inline distT="0" distB="0" distL="0" distR="0" wp14:anchorId="3AC71E24" wp14:editId="03DC2093">
            <wp:extent cx="3024000" cy="2880000"/>
            <wp:effectExtent l="0" t="0" r="508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70B85">
        <w:rPr>
          <w:noProof/>
        </w:rPr>
        <w:drawing>
          <wp:inline distT="0" distB="0" distL="0" distR="0" wp14:anchorId="2EDA648C" wp14:editId="0B500ABB">
            <wp:extent cx="3024000" cy="2880000"/>
            <wp:effectExtent l="0" t="0" r="508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The decrease in usage of PSTN lines in the Czech Republic was partially compensated by means of</w:t>
      </w:r>
      <w:r>
        <w:rPr>
          <w:sz w:val="20"/>
          <w:szCs w:val="20"/>
          <w:lang w:val="en-GB"/>
        </w:rPr>
        <w:t> </w:t>
      </w:r>
      <w:r w:rsidRPr="00970B85">
        <w:rPr>
          <w:b/>
          <w:sz w:val="20"/>
          <w:szCs w:val="20"/>
          <w:lang w:val="en-GB"/>
        </w:rPr>
        <w:t>VoIP technology</w:t>
      </w:r>
      <w:r w:rsidRPr="00970B85">
        <w:rPr>
          <w:rStyle w:val="Znakapoznpodarou"/>
          <w:sz w:val="20"/>
          <w:szCs w:val="20"/>
          <w:lang w:val="en-GB"/>
        </w:rPr>
        <w:footnoteReference w:id="5"/>
      </w:r>
      <w:r w:rsidRPr="00970B85">
        <w:rPr>
          <w:sz w:val="20"/>
          <w:szCs w:val="20"/>
          <w:lang w:val="en-GB"/>
        </w:rPr>
        <w:t>. In 2016</w:t>
      </w:r>
      <w:r>
        <w:rPr>
          <w:sz w:val="20"/>
          <w:szCs w:val="20"/>
          <w:lang w:val="en-GB"/>
        </w:rPr>
        <w:t>,</w:t>
      </w:r>
      <w:r w:rsidRPr="00970B85">
        <w:rPr>
          <w:sz w:val="20"/>
          <w:szCs w:val="20"/>
          <w:lang w:val="en-GB"/>
        </w:rPr>
        <w:t xml:space="preserve"> the number of subscribers to </w:t>
      </w:r>
      <w:r>
        <w:rPr>
          <w:sz w:val="20"/>
          <w:szCs w:val="20"/>
          <w:lang w:val="en-GB"/>
        </w:rPr>
        <w:t>fixed-</w:t>
      </w:r>
      <w:r w:rsidRPr="00970B85">
        <w:rPr>
          <w:sz w:val="20"/>
          <w:szCs w:val="20"/>
          <w:lang w:val="en-GB"/>
        </w:rPr>
        <w:t xml:space="preserve">voice services by means of this </w:t>
      </w:r>
      <w:r>
        <w:rPr>
          <w:sz w:val="20"/>
          <w:szCs w:val="20"/>
          <w:lang w:val="en-GB"/>
        </w:rPr>
        <w:t xml:space="preserve">IP </w:t>
      </w:r>
      <w:r w:rsidRPr="00970B85">
        <w:rPr>
          <w:sz w:val="20"/>
          <w:szCs w:val="20"/>
          <w:lang w:val="en-GB"/>
        </w:rPr>
        <w:t>technology was 917 thousand compared to 462 thousand in 2010. Over the last 6 years the number has nearly doubled</w:t>
      </w:r>
      <w:r>
        <w:rPr>
          <w:sz w:val="20"/>
          <w:szCs w:val="20"/>
          <w:lang w:val="en-GB"/>
        </w:rPr>
        <w:t>,</w:t>
      </w:r>
      <w:r w:rsidRPr="00970B85">
        <w:rPr>
          <w:sz w:val="20"/>
          <w:szCs w:val="20"/>
          <w:lang w:val="en-GB"/>
        </w:rPr>
        <w:t xml:space="preserve"> despite the fact that in recent years their number has not increased significantly.</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The main share in the aforementioned increase of VoIP technology for voice services in recent years</w:t>
      </w:r>
      <w:r>
        <w:rPr>
          <w:sz w:val="20"/>
          <w:szCs w:val="20"/>
          <w:lang w:val="en-GB"/>
        </w:rPr>
        <w:t>,</w:t>
      </w:r>
      <w:r w:rsidRPr="00970B85">
        <w:rPr>
          <w:sz w:val="20"/>
          <w:szCs w:val="20"/>
          <w:lang w:val="en-GB"/>
        </w:rPr>
        <w:t xml:space="preserve"> involves subscribers in the form of </w:t>
      </w:r>
      <w:r w:rsidRPr="00970B85">
        <w:rPr>
          <w:b/>
          <w:sz w:val="20"/>
          <w:szCs w:val="20"/>
          <w:lang w:val="en-GB"/>
        </w:rPr>
        <w:t>enterprises</w:t>
      </w:r>
      <w:r>
        <w:rPr>
          <w:sz w:val="20"/>
          <w:szCs w:val="20"/>
          <w:lang w:val="en-GB"/>
        </w:rPr>
        <w:t xml:space="preserve"> and other legal entities, whose</w:t>
      </w:r>
      <w:r w:rsidRPr="00970B85">
        <w:rPr>
          <w:sz w:val="20"/>
          <w:szCs w:val="20"/>
          <w:lang w:val="en-GB"/>
        </w:rPr>
        <w:t xml:space="preserve"> number </w:t>
      </w:r>
      <w:r>
        <w:rPr>
          <w:sz w:val="20"/>
          <w:szCs w:val="20"/>
          <w:lang w:val="en-GB"/>
        </w:rPr>
        <w:t>continues to grow</w:t>
      </w:r>
      <w:r w:rsidRPr="00970B85">
        <w:rPr>
          <w:sz w:val="20"/>
          <w:szCs w:val="20"/>
          <w:lang w:val="en-GB"/>
        </w:rPr>
        <w:t xml:space="preserve"> as opposed to the number of </w:t>
      </w:r>
      <w:r w:rsidRPr="00B7189A">
        <w:rPr>
          <w:b/>
          <w:sz w:val="20"/>
          <w:szCs w:val="20"/>
          <w:lang w:val="en-GB"/>
        </w:rPr>
        <w:t>individuals (households)</w:t>
      </w:r>
      <w:r>
        <w:rPr>
          <w:sz w:val="20"/>
          <w:szCs w:val="20"/>
          <w:lang w:val="en-GB"/>
        </w:rPr>
        <w:t xml:space="preserve"> using this technology for making telephone calls</w:t>
      </w:r>
      <w:r w:rsidRPr="00970B85">
        <w:rPr>
          <w:sz w:val="20"/>
          <w:szCs w:val="20"/>
          <w:lang w:val="en-GB"/>
        </w:rPr>
        <w:t>. In</w:t>
      </w:r>
      <w:r>
        <w:rPr>
          <w:sz w:val="20"/>
          <w:szCs w:val="20"/>
          <w:lang w:val="en-GB"/>
        </w:rPr>
        <w:t> </w:t>
      </w:r>
      <w:r w:rsidRPr="00970B85">
        <w:rPr>
          <w:sz w:val="20"/>
          <w:szCs w:val="20"/>
          <w:lang w:val="en-GB"/>
        </w:rPr>
        <w:t xml:space="preserve">2016, the number of enterprises </w:t>
      </w:r>
      <w:r>
        <w:rPr>
          <w:sz w:val="20"/>
          <w:szCs w:val="20"/>
          <w:lang w:val="en-GB"/>
        </w:rPr>
        <w:t>that were subscribers to</w:t>
      </w:r>
      <w:r w:rsidRPr="00970B85">
        <w:rPr>
          <w:sz w:val="20"/>
          <w:szCs w:val="20"/>
          <w:lang w:val="en-GB"/>
        </w:rPr>
        <w:t xml:space="preserve"> voice services via fixed network by means of</w:t>
      </w:r>
      <w:r>
        <w:rPr>
          <w:sz w:val="20"/>
          <w:szCs w:val="20"/>
          <w:lang w:val="en-GB"/>
        </w:rPr>
        <w:t> </w:t>
      </w:r>
      <w:r w:rsidRPr="00970B85">
        <w:rPr>
          <w:sz w:val="20"/>
          <w:szCs w:val="20"/>
          <w:lang w:val="en-GB"/>
        </w:rPr>
        <w:t>VoIP technology already reached 619 thousand, i.e. nearly a fourfold number compared to the year 2010. As opposed to that, since 2013</w:t>
      </w:r>
      <w:r>
        <w:rPr>
          <w:sz w:val="20"/>
          <w:szCs w:val="20"/>
          <w:lang w:val="en-GB"/>
        </w:rPr>
        <w:t>,</w:t>
      </w:r>
      <w:r w:rsidRPr="00970B85">
        <w:rPr>
          <w:sz w:val="20"/>
          <w:szCs w:val="20"/>
          <w:lang w:val="en-GB"/>
        </w:rPr>
        <w:t xml:space="preserve"> when the number reached its maximum (383 thousand), the popularity of this technology in Czech households is decreasing. In 2016, this internet technology for</w:t>
      </w:r>
      <w:r>
        <w:rPr>
          <w:sz w:val="20"/>
          <w:szCs w:val="20"/>
          <w:lang w:val="en-GB"/>
        </w:rPr>
        <w:t> </w:t>
      </w:r>
      <w:r w:rsidRPr="00970B85">
        <w:rPr>
          <w:sz w:val="20"/>
          <w:szCs w:val="20"/>
          <w:lang w:val="en-GB"/>
        </w:rPr>
        <w:t>access to voice (telephone) services was used by less than 300 thousand Czech households, i.e. the same number as in</w:t>
      </w:r>
      <w:r>
        <w:rPr>
          <w:sz w:val="20"/>
          <w:szCs w:val="20"/>
          <w:lang w:val="en-GB"/>
        </w:rPr>
        <w:t> </w:t>
      </w:r>
      <w:r w:rsidRPr="00970B85">
        <w:rPr>
          <w:sz w:val="20"/>
          <w:szCs w:val="20"/>
          <w:lang w:val="en-GB"/>
        </w:rPr>
        <w:t>2010.</w:t>
      </w:r>
    </w:p>
    <w:p w:rsidR="00874476" w:rsidRPr="00970B85" w:rsidRDefault="00874476" w:rsidP="00874476">
      <w:pPr>
        <w:pStyle w:val="Zkladntext"/>
        <w:spacing w:before="0" w:after="80" w:line="264" w:lineRule="auto"/>
        <w:rPr>
          <w:lang w:val="en-GB"/>
        </w:rPr>
      </w:pPr>
      <w:r w:rsidRPr="00970B85">
        <w:rPr>
          <w:noProof/>
        </w:rPr>
        <w:lastRenderedPageBreak/>
        <w:drawing>
          <wp:inline distT="0" distB="0" distL="0" distR="0" wp14:anchorId="18B8606F" wp14:editId="74583426">
            <wp:extent cx="3024000" cy="2880000"/>
            <wp:effectExtent l="0" t="0" r="5080" b="0"/>
            <wp:docPr id="20" name="Graf 2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70B85">
        <w:rPr>
          <w:lang w:val="en-GB"/>
        </w:rPr>
        <w:t xml:space="preserve"> </w:t>
      </w:r>
      <w:r w:rsidRPr="00970B85">
        <w:rPr>
          <w:noProof/>
        </w:rPr>
        <w:drawing>
          <wp:inline distT="0" distB="0" distL="0" distR="0" wp14:anchorId="76D58DFD" wp14:editId="79B50A3C">
            <wp:extent cx="3024000" cy="2880000"/>
            <wp:effectExtent l="0" t="0" r="5080" b="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4476" w:rsidRPr="00F220AD" w:rsidRDefault="00874476" w:rsidP="00874476">
      <w:pPr>
        <w:pStyle w:val="Zkladntext"/>
        <w:numPr>
          <w:ilvl w:val="0"/>
          <w:numId w:val="15"/>
        </w:numPr>
        <w:spacing w:before="0" w:after="80" w:line="264" w:lineRule="auto"/>
        <w:ind w:left="284" w:hanging="284"/>
        <w:rPr>
          <w:sz w:val="20"/>
          <w:lang w:val="en-GB"/>
        </w:rPr>
      </w:pPr>
      <w:r w:rsidRPr="00F220AD">
        <w:rPr>
          <w:sz w:val="20"/>
          <w:lang w:val="en-GB"/>
        </w:rPr>
        <w:t>The growing preponderance of mobile-cellular subscriptions over fixed-telephone subscriptions has been one of the most prominent trends in ICTs since the beginning of the century, with mobile networks establishing themselves as the consumer norm in today’s communications markets. Whereas in 2001, a</w:t>
      </w:r>
      <w:r>
        <w:rPr>
          <w:sz w:val="20"/>
          <w:lang w:val="en-GB"/>
        </w:rPr>
        <w:t> </w:t>
      </w:r>
      <w:r w:rsidRPr="00F220AD">
        <w:rPr>
          <w:sz w:val="20"/>
          <w:lang w:val="en-GB"/>
        </w:rPr>
        <w:t>fixed telephone was represented in 75% of Czech households, at the end of 2016 the share was solely 14%. The decrease in usage of fixed telephone lines reflects the increase in mobile telephone ownership. Since 2004 the number of active SIM cards has exceeded the number of inhabitants of the Czech Republic.</w:t>
      </w:r>
    </w:p>
    <w:p w:rsidR="00874476" w:rsidRDefault="00874476" w:rsidP="00874476">
      <w:pPr>
        <w:pStyle w:val="Zkladntext"/>
        <w:spacing w:before="0" w:after="80" w:line="264" w:lineRule="auto"/>
        <w:rPr>
          <w:sz w:val="20"/>
          <w:szCs w:val="20"/>
          <w:lang w:val="en-GB"/>
        </w:rPr>
      </w:pPr>
      <w:r>
        <w:rPr>
          <w:noProof/>
        </w:rPr>
        <w:drawing>
          <wp:inline distT="0" distB="0" distL="0" distR="0" wp14:anchorId="31568C38" wp14:editId="604E13E3">
            <wp:extent cx="5972810" cy="3240000"/>
            <wp:effectExtent l="0" t="0" r="0" b="0"/>
            <wp:docPr id="72" name="Graf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4476" w:rsidRDefault="00874476" w:rsidP="00874476">
      <w:pPr>
        <w:pStyle w:val="Zkladntext"/>
        <w:numPr>
          <w:ilvl w:val="0"/>
          <w:numId w:val="15"/>
        </w:numPr>
        <w:tabs>
          <w:tab w:val="clear" w:pos="360"/>
          <w:tab w:val="num" w:pos="0"/>
        </w:tabs>
        <w:spacing w:before="0" w:after="80" w:line="264" w:lineRule="auto"/>
        <w:ind w:left="284" w:hanging="284"/>
        <w:rPr>
          <w:sz w:val="20"/>
          <w:szCs w:val="20"/>
          <w:lang w:val="en-GB"/>
        </w:rPr>
      </w:pPr>
      <w:r w:rsidRPr="00970B85">
        <w:rPr>
          <w:sz w:val="20"/>
          <w:szCs w:val="20"/>
          <w:lang w:val="en-GB"/>
        </w:rPr>
        <w:t>Th</w:t>
      </w:r>
      <w:r>
        <w:rPr>
          <w:sz w:val="20"/>
          <w:szCs w:val="20"/>
          <w:lang w:val="en-GB"/>
        </w:rPr>
        <w:t>is</w:t>
      </w:r>
      <w:r w:rsidRPr="00970B85">
        <w:rPr>
          <w:sz w:val="20"/>
          <w:szCs w:val="20"/>
          <w:lang w:val="en-GB"/>
        </w:rPr>
        <w:t xml:space="preserve"> rapid increase in mobile telephone usage in the Czech Republic – for more details see the following chapter – did not deviate from the general trend experienced by telecommunication services in developed economies. However, the significant decrease in the number of fixed lines represents a specific issue in</w:t>
      </w:r>
      <w:r>
        <w:rPr>
          <w:sz w:val="20"/>
          <w:szCs w:val="20"/>
          <w:lang w:val="en-GB"/>
        </w:rPr>
        <w:t> </w:t>
      </w:r>
      <w:r w:rsidRPr="00970B85">
        <w:rPr>
          <w:sz w:val="20"/>
          <w:szCs w:val="20"/>
          <w:lang w:val="en-GB"/>
        </w:rPr>
        <w:t xml:space="preserve">the international comparison. In </w:t>
      </w:r>
      <w:r w:rsidRPr="00970B85">
        <w:rPr>
          <w:b/>
          <w:sz w:val="20"/>
          <w:szCs w:val="20"/>
          <w:lang w:val="en-GB"/>
        </w:rPr>
        <w:t>EU comparison</w:t>
      </w:r>
      <w:r w:rsidRPr="00970B85">
        <w:rPr>
          <w:sz w:val="20"/>
          <w:szCs w:val="20"/>
          <w:lang w:val="en-GB"/>
        </w:rPr>
        <w:t xml:space="preserve">, the Czech Republic belongs to countries with the lowest number of subscribers to voice services within the fixed telephone network per </w:t>
      </w:r>
      <w:r w:rsidRPr="00970B85">
        <w:rPr>
          <w:b/>
          <w:sz w:val="20"/>
          <w:szCs w:val="20"/>
          <w:lang w:val="en-GB"/>
        </w:rPr>
        <w:t>100 inhabitants</w:t>
      </w:r>
      <w:r w:rsidRPr="00970B85">
        <w:rPr>
          <w:sz w:val="20"/>
          <w:szCs w:val="20"/>
          <w:lang w:val="en-GB"/>
        </w:rPr>
        <w:t xml:space="preserve">. </w:t>
      </w:r>
    </w:p>
    <w:p w:rsidR="00874476" w:rsidRPr="00970B85" w:rsidRDefault="00874476" w:rsidP="00874476">
      <w:pPr>
        <w:pStyle w:val="Zkladntext"/>
        <w:numPr>
          <w:ilvl w:val="0"/>
          <w:numId w:val="15"/>
        </w:numPr>
        <w:tabs>
          <w:tab w:val="clear" w:pos="360"/>
          <w:tab w:val="num" w:pos="0"/>
        </w:tabs>
        <w:spacing w:before="0" w:after="80" w:line="264" w:lineRule="auto"/>
        <w:ind w:left="284" w:hanging="284"/>
        <w:rPr>
          <w:sz w:val="20"/>
          <w:szCs w:val="20"/>
          <w:lang w:val="en-GB"/>
        </w:rPr>
      </w:pPr>
      <w:r w:rsidRPr="00970B85">
        <w:rPr>
          <w:sz w:val="20"/>
          <w:szCs w:val="20"/>
          <w:lang w:val="en-GB"/>
        </w:rPr>
        <w:t>In</w:t>
      </w:r>
      <w:r>
        <w:rPr>
          <w:sz w:val="20"/>
          <w:szCs w:val="20"/>
          <w:lang w:val="en-GB"/>
        </w:rPr>
        <w:t> </w:t>
      </w:r>
      <w:r w:rsidRPr="00970B85">
        <w:rPr>
          <w:sz w:val="20"/>
          <w:szCs w:val="20"/>
          <w:lang w:val="en-GB"/>
        </w:rPr>
        <w:t xml:space="preserve">2016, </w:t>
      </w:r>
      <w:r>
        <w:rPr>
          <w:sz w:val="20"/>
          <w:szCs w:val="20"/>
          <w:lang w:val="en-GB"/>
        </w:rPr>
        <w:t xml:space="preserve">there were in the Czech Republic </w:t>
      </w:r>
      <w:r w:rsidRPr="00970B85">
        <w:rPr>
          <w:sz w:val="20"/>
          <w:szCs w:val="20"/>
          <w:lang w:val="en-GB"/>
        </w:rPr>
        <w:t xml:space="preserve">only 16 subscribers </w:t>
      </w:r>
      <w:r>
        <w:rPr>
          <w:sz w:val="20"/>
          <w:szCs w:val="20"/>
          <w:lang w:val="en-GB"/>
        </w:rPr>
        <w:t xml:space="preserve">of </w:t>
      </w:r>
      <w:r w:rsidRPr="00B7189A">
        <w:rPr>
          <w:b/>
          <w:sz w:val="20"/>
          <w:szCs w:val="20"/>
          <w:lang w:val="en-GB"/>
        </w:rPr>
        <w:t>voice services per 100 inhabitants</w:t>
      </w:r>
      <w:r w:rsidRPr="00970B85">
        <w:rPr>
          <w:sz w:val="20"/>
          <w:szCs w:val="20"/>
          <w:lang w:val="en-GB"/>
        </w:rPr>
        <w:t xml:space="preserve"> </w:t>
      </w:r>
      <w:r>
        <w:rPr>
          <w:sz w:val="20"/>
          <w:szCs w:val="20"/>
          <w:lang w:val="en-GB"/>
        </w:rPr>
        <w:t xml:space="preserve">via </w:t>
      </w:r>
      <w:r w:rsidRPr="00970B85">
        <w:rPr>
          <w:sz w:val="20"/>
          <w:szCs w:val="20"/>
          <w:lang w:val="en-GB"/>
        </w:rPr>
        <w:t>the fixed telephone network</w:t>
      </w:r>
      <w:r>
        <w:rPr>
          <w:sz w:val="20"/>
          <w:szCs w:val="20"/>
          <w:lang w:val="en-GB"/>
        </w:rPr>
        <w:t xml:space="preserve"> using </w:t>
      </w:r>
      <w:r w:rsidRPr="00970B85">
        <w:rPr>
          <w:sz w:val="20"/>
          <w:szCs w:val="20"/>
          <w:lang w:val="en-GB"/>
        </w:rPr>
        <w:t xml:space="preserve">PSTN </w:t>
      </w:r>
      <w:r>
        <w:rPr>
          <w:sz w:val="20"/>
          <w:szCs w:val="20"/>
          <w:lang w:val="en-GB"/>
        </w:rPr>
        <w:t xml:space="preserve">lines </w:t>
      </w:r>
      <w:r w:rsidRPr="00970B85">
        <w:rPr>
          <w:sz w:val="20"/>
          <w:szCs w:val="20"/>
          <w:lang w:val="en-GB"/>
        </w:rPr>
        <w:t>or VoIP technologies. Lower values were recorded solely in</w:t>
      </w:r>
      <w:r>
        <w:rPr>
          <w:sz w:val="20"/>
          <w:szCs w:val="20"/>
          <w:lang w:val="en-GB"/>
        </w:rPr>
        <w:t> </w:t>
      </w:r>
      <w:r w:rsidRPr="00970B85">
        <w:rPr>
          <w:sz w:val="20"/>
          <w:szCs w:val="20"/>
          <w:lang w:val="en-GB"/>
        </w:rPr>
        <w:t xml:space="preserve">Slovakia or Finland. However, we must add that by the end of the 90s, already before the commencement of mobile GSM networks, the countries of </w:t>
      </w:r>
      <w:r>
        <w:rPr>
          <w:sz w:val="20"/>
          <w:szCs w:val="20"/>
          <w:lang w:val="en-GB"/>
        </w:rPr>
        <w:t xml:space="preserve">the </w:t>
      </w:r>
      <w:r w:rsidRPr="00970B85">
        <w:rPr>
          <w:sz w:val="20"/>
          <w:szCs w:val="20"/>
          <w:lang w:val="en-GB"/>
        </w:rPr>
        <w:t>so called Eastern Bloc lagged behind the countries of Western Europe with respect to equipment with fixed telephone lines.</w:t>
      </w:r>
    </w:p>
    <w:p w:rsidR="00874476" w:rsidRPr="00BB78A6" w:rsidRDefault="00874476" w:rsidP="00983696">
      <w:pPr>
        <w:pStyle w:val="Nadpis3"/>
        <w:spacing w:before="0"/>
      </w:pPr>
      <w:bookmarkStart w:id="7" w:name="_Toc533697482"/>
      <w:bookmarkStart w:id="8" w:name="_Toc534711981"/>
      <w:r w:rsidRPr="00BB78A6">
        <w:lastRenderedPageBreak/>
        <w:t>Mobile telephone network penetration – Voice and M2M subscriptions</w:t>
      </w:r>
      <w:r w:rsidRPr="00BB54DF">
        <w:rPr>
          <w:vertAlign w:val="superscript"/>
        </w:rPr>
        <w:footnoteReference w:id="6"/>
      </w:r>
      <w:bookmarkEnd w:id="7"/>
      <w:bookmarkEnd w:id="8"/>
      <w:r w:rsidR="009812B5" w:rsidRPr="00BB78A6">
        <w:tab/>
      </w:r>
    </w:p>
    <w:p w:rsidR="00874476" w:rsidRPr="00970B85" w:rsidRDefault="00874476" w:rsidP="00874476">
      <w:pPr>
        <w:pStyle w:val="Zkladntext"/>
        <w:spacing w:before="0" w:after="80" w:line="264" w:lineRule="auto"/>
        <w:rPr>
          <w:i/>
          <w:sz w:val="20"/>
          <w:lang w:val="en-GB"/>
        </w:rPr>
      </w:pPr>
      <w:r w:rsidRPr="00970B85">
        <w:rPr>
          <w:i/>
          <w:sz w:val="20"/>
          <w:lang w:val="en-GB"/>
        </w:rPr>
        <w:t xml:space="preserve">A mobile telephone is a technology recording the highest increase in the number of subscribers in recent years. </w:t>
      </w:r>
      <w:r>
        <w:rPr>
          <w:i/>
          <w:sz w:val="20"/>
          <w:lang w:val="en-GB"/>
        </w:rPr>
        <w:t>According to</w:t>
      </w:r>
      <w:r w:rsidRPr="00970B85">
        <w:rPr>
          <w:i/>
          <w:sz w:val="20"/>
          <w:lang w:val="en-GB"/>
        </w:rPr>
        <w:t xml:space="preserve"> the International Telecommunication Union</w:t>
      </w:r>
      <w:r>
        <w:rPr>
          <w:i/>
          <w:sz w:val="20"/>
          <w:lang w:val="en-GB"/>
        </w:rPr>
        <w:t>’s</w:t>
      </w:r>
      <w:r w:rsidRPr="00970B85">
        <w:rPr>
          <w:i/>
          <w:sz w:val="20"/>
          <w:lang w:val="en-GB"/>
        </w:rPr>
        <w:t xml:space="preserve"> estimates, </w:t>
      </w:r>
      <w:r>
        <w:rPr>
          <w:i/>
          <w:sz w:val="20"/>
          <w:lang w:val="en-GB"/>
        </w:rPr>
        <w:t>at</w:t>
      </w:r>
      <w:r w:rsidRPr="00970B85">
        <w:rPr>
          <w:i/>
          <w:sz w:val="20"/>
          <w:lang w:val="en-GB"/>
        </w:rPr>
        <w:t xml:space="preserve"> the end of 2016, 35 years after the first mobile network started being operated in Sweden and Norway, the number of mobile telephones used world-wide </w:t>
      </w:r>
      <w:r>
        <w:rPr>
          <w:i/>
          <w:sz w:val="20"/>
          <w:lang w:val="en-GB"/>
        </w:rPr>
        <w:t>–</w:t>
      </w:r>
      <w:r w:rsidRPr="00970B85">
        <w:rPr>
          <w:i/>
          <w:sz w:val="20"/>
          <w:lang w:val="en-GB"/>
        </w:rPr>
        <w:t xml:space="preserve"> the number of active SIM cards </w:t>
      </w:r>
      <w:r>
        <w:rPr>
          <w:i/>
          <w:sz w:val="20"/>
          <w:lang w:val="en-GB"/>
        </w:rPr>
        <w:t>–</w:t>
      </w:r>
      <w:r w:rsidRPr="00970B85">
        <w:rPr>
          <w:i/>
          <w:sz w:val="20"/>
          <w:lang w:val="en-GB"/>
        </w:rPr>
        <w:t xml:space="preserve"> exceeded the number of inhabitants of our planet. Since 2005, their number has increased nearly 3.5 times, i.e. from 2.2 to 7.5 billion in 2016. Whereas in developed countries the mobile telephone market is nearly saturated for several years now, in developing countries we have been still recording </w:t>
      </w:r>
      <w:r>
        <w:rPr>
          <w:i/>
          <w:sz w:val="20"/>
          <w:lang w:val="en-GB"/>
        </w:rPr>
        <w:t xml:space="preserve">a </w:t>
      </w:r>
      <w:r w:rsidRPr="00970B85">
        <w:rPr>
          <w:i/>
          <w:sz w:val="20"/>
          <w:lang w:val="en-GB"/>
        </w:rPr>
        <w:t xml:space="preserve">significant increase in the number of users of this technology. </w:t>
      </w:r>
    </w:p>
    <w:p w:rsidR="00874476"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The appearance of mobile telephones in the Czech Republic was first recorded in 1991 when </w:t>
      </w:r>
      <w:r w:rsidRPr="00327120">
        <w:rPr>
          <w:i/>
          <w:sz w:val="20"/>
          <w:szCs w:val="20"/>
          <w:lang w:val="en-GB"/>
        </w:rPr>
        <w:t xml:space="preserve">Eurotel </w:t>
      </w:r>
      <w:r w:rsidRPr="00970B85">
        <w:rPr>
          <w:sz w:val="20"/>
          <w:szCs w:val="20"/>
          <w:lang w:val="en-GB"/>
        </w:rPr>
        <w:t>launched the first commercial NMT network. At th</w:t>
      </w:r>
      <w:r>
        <w:rPr>
          <w:sz w:val="20"/>
          <w:szCs w:val="20"/>
          <w:lang w:val="en-GB"/>
        </w:rPr>
        <w:t>e</w:t>
      </w:r>
      <w:r w:rsidRPr="00970B85">
        <w:rPr>
          <w:sz w:val="20"/>
          <w:szCs w:val="20"/>
          <w:lang w:val="en-GB"/>
        </w:rPr>
        <w:t xml:space="preserve"> time, it was a rela</w:t>
      </w:r>
      <w:r>
        <w:rPr>
          <w:sz w:val="20"/>
          <w:szCs w:val="20"/>
          <w:lang w:val="en-GB"/>
        </w:rPr>
        <w:t>tively expensive solution with</w:t>
      </w:r>
      <w:r w:rsidRPr="00970B85">
        <w:rPr>
          <w:sz w:val="20"/>
          <w:szCs w:val="20"/>
          <w:lang w:val="en-GB"/>
        </w:rPr>
        <w:t xml:space="preserve"> limited coverage. Its services were thus used by quite a low number of customers in the first few years. A real revolution took place five years later</w:t>
      </w:r>
      <w:r>
        <w:rPr>
          <w:sz w:val="20"/>
          <w:szCs w:val="20"/>
          <w:lang w:val="en-GB"/>
        </w:rPr>
        <w:t>,</w:t>
      </w:r>
      <w:r w:rsidRPr="00970B85">
        <w:rPr>
          <w:sz w:val="20"/>
          <w:szCs w:val="20"/>
          <w:lang w:val="en-GB"/>
        </w:rPr>
        <w:t xml:space="preserve"> when the first Global System for Mobile Communications</w:t>
      </w:r>
      <w:r>
        <w:rPr>
          <w:sz w:val="20"/>
          <w:szCs w:val="20"/>
          <w:lang w:val="en-GB"/>
        </w:rPr>
        <w:t xml:space="preserve"> (GSM) </w:t>
      </w:r>
      <w:r w:rsidRPr="00970B85">
        <w:rPr>
          <w:sz w:val="20"/>
          <w:szCs w:val="20"/>
          <w:lang w:val="en-GB"/>
        </w:rPr>
        <w:t>was launched in the Czech Republic. The later launch of the 3rd mobile operator in the year 2000 led to a</w:t>
      </w:r>
      <w:r>
        <w:rPr>
          <w:sz w:val="20"/>
          <w:szCs w:val="20"/>
          <w:lang w:val="en-GB"/>
        </w:rPr>
        <w:t> </w:t>
      </w:r>
      <w:r w:rsidRPr="00970B85">
        <w:rPr>
          <w:sz w:val="20"/>
          <w:szCs w:val="20"/>
          <w:lang w:val="en-GB"/>
        </w:rPr>
        <w:t xml:space="preserve">decrease in prices and nothing obstructed </w:t>
      </w:r>
      <w:r>
        <w:rPr>
          <w:sz w:val="20"/>
          <w:szCs w:val="20"/>
          <w:lang w:val="en-GB"/>
        </w:rPr>
        <w:t xml:space="preserve">the </w:t>
      </w:r>
      <w:r w:rsidRPr="00970B85">
        <w:rPr>
          <w:sz w:val="20"/>
          <w:szCs w:val="20"/>
          <w:lang w:val="en-GB"/>
        </w:rPr>
        <w:t xml:space="preserve">fast spread of mobile telephones in the Czech Republic. </w:t>
      </w:r>
    </w:p>
    <w:p w:rsidR="00874476" w:rsidRPr="00970B85" w:rsidRDefault="00874476" w:rsidP="00874476">
      <w:pPr>
        <w:pStyle w:val="Zkladntext"/>
        <w:numPr>
          <w:ilvl w:val="0"/>
          <w:numId w:val="15"/>
        </w:numPr>
        <w:spacing w:before="0" w:after="80" w:line="264" w:lineRule="auto"/>
        <w:ind w:left="284" w:hanging="284"/>
        <w:rPr>
          <w:sz w:val="20"/>
          <w:szCs w:val="20"/>
          <w:lang w:val="en-GB"/>
        </w:rPr>
      </w:pPr>
      <w:r w:rsidRPr="00970B85">
        <w:rPr>
          <w:sz w:val="20"/>
          <w:szCs w:val="20"/>
          <w:lang w:val="en-GB"/>
        </w:rPr>
        <w:t xml:space="preserve">The aforementioned information became evident even in statistical reports. For instance, in 1996 the Czech Republic recorded a year-on-year increase in the </w:t>
      </w:r>
      <w:r w:rsidRPr="00970B85">
        <w:rPr>
          <w:b/>
          <w:sz w:val="20"/>
          <w:szCs w:val="20"/>
          <w:lang w:val="en-GB"/>
        </w:rPr>
        <w:t>number of active SIM cards</w:t>
      </w:r>
      <w:r w:rsidRPr="00970B85">
        <w:rPr>
          <w:rStyle w:val="Znakapoznpodarou"/>
          <w:b/>
          <w:sz w:val="20"/>
          <w:szCs w:val="20"/>
          <w:lang w:val="en-GB"/>
        </w:rPr>
        <w:footnoteReference w:id="7"/>
      </w:r>
      <w:r w:rsidRPr="00970B85">
        <w:rPr>
          <w:sz w:val="20"/>
          <w:szCs w:val="20"/>
          <w:lang w:val="en-GB"/>
        </w:rPr>
        <w:t xml:space="preserve"> from 50 thousand to 200 thousand</w:t>
      </w:r>
      <w:r>
        <w:rPr>
          <w:sz w:val="20"/>
          <w:szCs w:val="20"/>
          <w:lang w:val="en-GB"/>
        </w:rPr>
        <w:t>,</w:t>
      </w:r>
      <w:r w:rsidRPr="00970B85">
        <w:rPr>
          <w:sz w:val="20"/>
          <w:szCs w:val="20"/>
          <w:lang w:val="en-GB"/>
        </w:rPr>
        <w:t xml:space="preserve"> and between 1999 and 2000 the number even increased from two million to more than four million. </w:t>
      </w:r>
      <w:r>
        <w:rPr>
          <w:sz w:val="20"/>
          <w:szCs w:val="20"/>
          <w:lang w:val="en-GB"/>
        </w:rPr>
        <w:t xml:space="preserve">In addition, </w:t>
      </w:r>
      <w:r w:rsidRPr="00D066FD">
        <w:rPr>
          <w:sz w:val="20"/>
          <w:szCs w:val="20"/>
          <w:lang w:val="en-GB"/>
        </w:rPr>
        <w:t>compared to a third in the year 2000, already in 2007 a mobile telephone was owned by 92% of Czech households.</w:t>
      </w:r>
      <w:r>
        <w:rPr>
          <w:sz w:val="20"/>
          <w:szCs w:val="20"/>
          <w:lang w:val="en-GB"/>
        </w:rPr>
        <w:t xml:space="preserve"> </w:t>
      </w:r>
    </w:p>
    <w:p w:rsidR="00874476" w:rsidRPr="00970B85" w:rsidRDefault="00874476" w:rsidP="00874476">
      <w:pPr>
        <w:pStyle w:val="Zkladntext"/>
        <w:spacing w:before="0" w:after="100" w:line="264" w:lineRule="auto"/>
        <w:rPr>
          <w:lang w:val="en-GB"/>
        </w:rPr>
      </w:pPr>
      <w:r w:rsidRPr="00970B85">
        <w:rPr>
          <w:noProof/>
        </w:rPr>
        <w:drawing>
          <wp:inline distT="0" distB="0" distL="0" distR="0" wp14:anchorId="2E5DD99C" wp14:editId="61720FF5">
            <wp:extent cx="3024000" cy="2880000"/>
            <wp:effectExtent l="0" t="0" r="508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70B85">
        <w:rPr>
          <w:noProof/>
        </w:rPr>
        <w:drawing>
          <wp:inline distT="0" distB="0" distL="0" distR="0" wp14:anchorId="6FDB257C" wp14:editId="4539ED13">
            <wp:extent cx="3024000" cy="2880000"/>
            <wp:effectExtent l="0" t="0" r="5080" b="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4476" w:rsidRPr="00970B85" w:rsidRDefault="00874476" w:rsidP="00874476">
      <w:pPr>
        <w:pStyle w:val="Zkladntext"/>
        <w:numPr>
          <w:ilvl w:val="0"/>
          <w:numId w:val="15"/>
        </w:numPr>
        <w:tabs>
          <w:tab w:val="clear" w:pos="360"/>
        </w:tabs>
        <w:spacing w:before="0" w:after="80" w:line="264" w:lineRule="auto"/>
        <w:ind w:left="284" w:hanging="284"/>
        <w:rPr>
          <w:sz w:val="18"/>
          <w:szCs w:val="18"/>
          <w:lang w:val="en-GB"/>
        </w:rPr>
      </w:pPr>
      <w:r w:rsidRPr="00970B85">
        <w:rPr>
          <w:sz w:val="20"/>
          <w:szCs w:val="20"/>
          <w:lang w:val="en-GB"/>
        </w:rPr>
        <w:t>When mobile networks were at their beginnings</w:t>
      </w:r>
      <w:r>
        <w:rPr>
          <w:sz w:val="20"/>
          <w:szCs w:val="20"/>
          <w:lang w:val="en-GB"/>
        </w:rPr>
        <w:t>,</w:t>
      </w:r>
      <w:r w:rsidRPr="00970B85">
        <w:rPr>
          <w:sz w:val="20"/>
          <w:szCs w:val="20"/>
          <w:lang w:val="en-GB"/>
        </w:rPr>
        <w:t xml:space="preserve"> and when active SIM cards appeared practically solely in</w:t>
      </w:r>
      <w:r>
        <w:rPr>
          <w:sz w:val="20"/>
          <w:szCs w:val="20"/>
          <w:lang w:val="en-GB"/>
        </w:rPr>
        <w:t> </w:t>
      </w:r>
      <w:r w:rsidRPr="00970B85">
        <w:rPr>
          <w:sz w:val="20"/>
          <w:szCs w:val="20"/>
          <w:lang w:val="en-GB"/>
        </w:rPr>
        <w:t>mobile telephones</w:t>
      </w:r>
      <w:r>
        <w:rPr>
          <w:sz w:val="20"/>
          <w:szCs w:val="20"/>
          <w:lang w:val="en-GB"/>
        </w:rPr>
        <w:t>,</w:t>
      </w:r>
      <w:r w:rsidRPr="00970B85">
        <w:rPr>
          <w:sz w:val="20"/>
          <w:szCs w:val="20"/>
          <w:lang w:val="en-GB"/>
        </w:rPr>
        <w:t xml:space="preserve"> and only a minimum people had several mobile telephones, the number of active SIM cards truly corresponded to the number of customers or mobile telephone users. Nevertheless, this assumption no longer applies. Despite the fact that at the end of 2016 the number of active SIM cards reached 135 pieces per 100 inhabitants, mobile telephones were used by 98% of inhabitants of</w:t>
      </w:r>
      <w:r>
        <w:rPr>
          <w:sz w:val="20"/>
          <w:szCs w:val="20"/>
          <w:lang w:val="en-GB"/>
        </w:rPr>
        <w:t> </w:t>
      </w:r>
      <w:r w:rsidRPr="00970B85">
        <w:rPr>
          <w:sz w:val="20"/>
          <w:szCs w:val="20"/>
          <w:lang w:val="en-GB"/>
        </w:rPr>
        <w:t>the</w:t>
      </w:r>
      <w:r>
        <w:rPr>
          <w:sz w:val="20"/>
          <w:szCs w:val="20"/>
          <w:lang w:val="en-GB"/>
        </w:rPr>
        <w:t> </w:t>
      </w:r>
      <w:r w:rsidRPr="00970B85">
        <w:rPr>
          <w:sz w:val="20"/>
          <w:szCs w:val="20"/>
          <w:lang w:val="en-GB"/>
        </w:rPr>
        <w:t>Czech Republic over the age of 16.</w:t>
      </w:r>
    </w:p>
    <w:p w:rsidR="00874476"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The primary phase of mobile telephone</w:t>
      </w:r>
      <w:r>
        <w:rPr>
          <w:sz w:val="20"/>
          <w:szCs w:val="20"/>
          <w:lang w:val="en-GB"/>
        </w:rPr>
        <w:t>s</w:t>
      </w:r>
      <w:r w:rsidRPr="00970B85">
        <w:rPr>
          <w:sz w:val="20"/>
          <w:szCs w:val="20"/>
          <w:lang w:val="en-GB"/>
        </w:rPr>
        <w:t xml:space="preserve"> spreading within GSM networks in the Czech Republic was connected mainly with </w:t>
      </w:r>
      <w:r w:rsidRPr="00970B85">
        <w:rPr>
          <w:b/>
          <w:sz w:val="20"/>
          <w:szCs w:val="20"/>
          <w:lang w:val="en-GB"/>
        </w:rPr>
        <w:t>pre-paid</w:t>
      </w:r>
      <w:r w:rsidRPr="00970B85">
        <w:rPr>
          <w:sz w:val="20"/>
          <w:szCs w:val="20"/>
          <w:lang w:val="en-GB"/>
        </w:rPr>
        <w:t xml:space="preserve"> SIM cards. These cards are topped up with </w:t>
      </w:r>
      <w:r w:rsidRPr="00970B85">
        <w:rPr>
          <w:i/>
          <w:sz w:val="20"/>
          <w:szCs w:val="20"/>
          <w:lang w:val="en-GB"/>
        </w:rPr>
        <w:t>credit</w:t>
      </w:r>
      <w:r w:rsidRPr="00970B85">
        <w:rPr>
          <w:sz w:val="20"/>
          <w:szCs w:val="20"/>
          <w:lang w:val="en-GB"/>
        </w:rPr>
        <w:t xml:space="preserve"> that the customer uses up in compliance with the operator’s tariff of offered services. The alternative </w:t>
      </w:r>
      <w:r>
        <w:rPr>
          <w:sz w:val="20"/>
          <w:szCs w:val="20"/>
          <w:lang w:val="en-GB"/>
        </w:rPr>
        <w:t>is</w:t>
      </w:r>
      <w:r w:rsidRPr="00970B85">
        <w:rPr>
          <w:sz w:val="20"/>
          <w:szCs w:val="20"/>
          <w:lang w:val="en-GB"/>
        </w:rPr>
        <w:t xml:space="preserve"> </w:t>
      </w:r>
      <w:r w:rsidRPr="00970B85">
        <w:rPr>
          <w:b/>
          <w:sz w:val="20"/>
          <w:szCs w:val="20"/>
          <w:lang w:val="en-GB"/>
        </w:rPr>
        <w:t xml:space="preserve">post-paid </w:t>
      </w:r>
      <w:r w:rsidRPr="00970B85">
        <w:rPr>
          <w:sz w:val="20"/>
          <w:szCs w:val="20"/>
          <w:lang w:val="en-GB"/>
        </w:rPr>
        <w:t xml:space="preserve">cards, acquired </w:t>
      </w:r>
      <w:r w:rsidRPr="00970B85">
        <w:rPr>
          <w:sz w:val="20"/>
          <w:szCs w:val="20"/>
          <w:lang w:val="en-GB"/>
        </w:rPr>
        <w:lastRenderedPageBreak/>
        <w:t>by customers by concluding a contract with the operator where the services are paid for at the end of</w:t>
      </w:r>
      <w:r>
        <w:rPr>
          <w:sz w:val="20"/>
          <w:szCs w:val="20"/>
          <w:lang w:val="en-GB"/>
        </w:rPr>
        <w:t> </w:t>
      </w:r>
      <w:r w:rsidRPr="00970B85">
        <w:rPr>
          <w:sz w:val="20"/>
          <w:szCs w:val="20"/>
          <w:lang w:val="en-GB"/>
        </w:rPr>
        <w:t>an</w:t>
      </w:r>
      <w:r>
        <w:rPr>
          <w:sz w:val="20"/>
          <w:szCs w:val="20"/>
          <w:lang w:val="en-GB"/>
        </w:rPr>
        <w:t> </w:t>
      </w:r>
      <w:r w:rsidRPr="00970B85">
        <w:rPr>
          <w:sz w:val="20"/>
          <w:szCs w:val="20"/>
          <w:lang w:val="en-GB"/>
        </w:rPr>
        <w:t xml:space="preserve">agreed period (typically a month). As late as in 2002, the number of active pre-paid cards was nearly twice as high as </w:t>
      </w:r>
      <w:r>
        <w:rPr>
          <w:sz w:val="20"/>
          <w:szCs w:val="20"/>
          <w:lang w:val="en-GB"/>
        </w:rPr>
        <w:t xml:space="preserve">that </w:t>
      </w:r>
      <w:r w:rsidRPr="00970B85">
        <w:rPr>
          <w:sz w:val="20"/>
          <w:szCs w:val="20"/>
          <w:lang w:val="en-GB"/>
        </w:rPr>
        <w:t xml:space="preserve">of the tariff ones. Nevertheless, since 2008 they have been </w:t>
      </w:r>
      <w:r>
        <w:rPr>
          <w:sz w:val="20"/>
          <w:szCs w:val="20"/>
          <w:lang w:val="en-GB"/>
        </w:rPr>
        <w:t>decreasing</w:t>
      </w:r>
      <w:r w:rsidRPr="00970B85">
        <w:rPr>
          <w:sz w:val="20"/>
          <w:szCs w:val="20"/>
          <w:lang w:val="en-GB"/>
        </w:rPr>
        <w:t>. As opposed to that, the number of mobile telephone users using post-paid tariffs</w:t>
      </w:r>
      <w:r>
        <w:rPr>
          <w:sz w:val="20"/>
          <w:szCs w:val="20"/>
          <w:lang w:val="en-GB"/>
        </w:rPr>
        <w:t>,</w:t>
      </w:r>
      <w:r w:rsidRPr="00970B85">
        <w:rPr>
          <w:sz w:val="20"/>
          <w:szCs w:val="20"/>
          <w:lang w:val="en-GB"/>
        </w:rPr>
        <w:t xml:space="preserve"> and </w:t>
      </w:r>
      <w:r>
        <w:rPr>
          <w:sz w:val="20"/>
          <w:szCs w:val="20"/>
          <w:lang w:val="en-GB"/>
        </w:rPr>
        <w:t xml:space="preserve">the </w:t>
      </w:r>
      <w:r w:rsidRPr="00970B85">
        <w:rPr>
          <w:sz w:val="20"/>
          <w:szCs w:val="20"/>
          <w:lang w:val="en-GB"/>
        </w:rPr>
        <w:t xml:space="preserve">spreading of so called unlimited (flat) tariffs has been increasing. </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For the first time, in 2009 more than a half (54%) of all active SIM cards operated based on a monthly tariff. More and more customers now prefer concluding contracts</w:t>
      </w:r>
      <w:r>
        <w:rPr>
          <w:sz w:val="20"/>
          <w:szCs w:val="20"/>
          <w:lang w:val="en-GB"/>
        </w:rPr>
        <w:t>,</w:t>
      </w:r>
      <w:r w:rsidRPr="00970B85">
        <w:rPr>
          <w:sz w:val="20"/>
          <w:szCs w:val="20"/>
          <w:lang w:val="en-GB"/>
        </w:rPr>
        <w:t xml:space="preserve"> and these currently clearly prevail over pre-paid cards – at the end of 2016 their number increased to </w:t>
      </w:r>
      <w:r>
        <w:rPr>
          <w:sz w:val="20"/>
          <w:szCs w:val="20"/>
          <w:lang w:val="en-GB"/>
        </w:rPr>
        <w:t xml:space="preserve">precisely </w:t>
      </w:r>
      <w:r w:rsidRPr="00970B85">
        <w:rPr>
          <w:sz w:val="20"/>
          <w:szCs w:val="20"/>
          <w:lang w:val="en-GB"/>
        </w:rPr>
        <w:t>two thirds.</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In 2016, two thirds (9.2 million) of the aforementioned 14.3 million actively used SIM cards were used by individuals and the remaining third (5.1 million) was used by legal entities and self-employed individuals</w:t>
      </w:r>
      <w:r>
        <w:rPr>
          <w:sz w:val="20"/>
          <w:szCs w:val="20"/>
          <w:lang w:val="en-GB"/>
        </w:rPr>
        <w:br/>
      </w:r>
      <w:r w:rsidRPr="00970B85">
        <w:rPr>
          <w:sz w:val="20"/>
          <w:szCs w:val="20"/>
          <w:lang w:val="en-GB"/>
        </w:rPr>
        <w:t xml:space="preserve"> – </w:t>
      </w:r>
      <w:r>
        <w:rPr>
          <w:sz w:val="20"/>
          <w:szCs w:val="20"/>
          <w:lang w:val="en-GB"/>
        </w:rPr>
        <w:t xml:space="preserve">mainly </w:t>
      </w:r>
      <w:r w:rsidRPr="00970B85">
        <w:rPr>
          <w:sz w:val="20"/>
          <w:szCs w:val="20"/>
          <w:lang w:val="en-GB"/>
        </w:rPr>
        <w:t>enterprises.</w:t>
      </w:r>
    </w:p>
    <w:p w:rsidR="00874476" w:rsidRPr="00895D14" w:rsidRDefault="00874476" w:rsidP="00874476">
      <w:pPr>
        <w:pStyle w:val="Zkladntext"/>
        <w:numPr>
          <w:ilvl w:val="0"/>
          <w:numId w:val="15"/>
        </w:numPr>
        <w:spacing w:before="0" w:after="80" w:line="264" w:lineRule="auto"/>
        <w:ind w:left="284" w:hanging="284"/>
        <w:rPr>
          <w:szCs w:val="20"/>
          <w:lang w:val="en-GB"/>
        </w:rPr>
      </w:pPr>
      <w:r w:rsidRPr="00970B85">
        <w:rPr>
          <w:sz w:val="20"/>
          <w:szCs w:val="20"/>
          <w:lang w:val="en-GB"/>
        </w:rPr>
        <w:t xml:space="preserve">Mobile operator services are more frequently used for routine data communication between devices without a person’s direct interference, for which </w:t>
      </w:r>
      <w:r w:rsidRPr="005A607D">
        <w:rPr>
          <w:b/>
          <w:sz w:val="20"/>
          <w:szCs w:val="20"/>
          <w:lang w:val="en-GB"/>
        </w:rPr>
        <w:t>M2M SIM cards</w:t>
      </w:r>
      <w:r w:rsidRPr="005A607D">
        <w:rPr>
          <w:rStyle w:val="Znakapoznpodarou"/>
          <w:b/>
          <w:sz w:val="20"/>
          <w:szCs w:val="20"/>
          <w:lang w:val="en-GB"/>
        </w:rPr>
        <w:footnoteReference w:id="8"/>
      </w:r>
      <w:r w:rsidRPr="00970B85">
        <w:rPr>
          <w:sz w:val="20"/>
          <w:szCs w:val="20"/>
          <w:lang w:val="en-GB"/>
        </w:rPr>
        <w:t xml:space="preserve"> are used. In 2016, the Czech Republic recorded 838 thousand cards of this type compared to 179 thousand in 2010. In connection with the development</w:t>
      </w:r>
      <w:r>
        <w:rPr>
          <w:sz w:val="20"/>
          <w:szCs w:val="20"/>
          <w:lang w:val="en-GB"/>
        </w:rPr>
        <w:t xml:space="preserve"> of Internet of Things </w:t>
      </w:r>
      <w:r w:rsidRPr="00970B85">
        <w:rPr>
          <w:sz w:val="20"/>
          <w:szCs w:val="20"/>
          <w:lang w:val="en-GB"/>
        </w:rPr>
        <w:t>(loT)</w:t>
      </w:r>
      <w:r w:rsidRPr="00970B85">
        <w:rPr>
          <w:rStyle w:val="Znakapoznpodarou"/>
          <w:sz w:val="20"/>
          <w:szCs w:val="20"/>
          <w:lang w:val="en-GB"/>
        </w:rPr>
        <w:footnoteReference w:id="9"/>
      </w:r>
      <w:r w:rsidRPr="00970B85">
        <w:rPr>
          <w:sz w:val="20"/>
          <w:szCs w:val="20"/>
          <w:lang w:val="en-GB"/>
        </w:rPr>
        <w:t xml:space="preserve">, an increasing number of SIM cards used for M2M services is expected. </w:t>
      </w:r>
    </w:p>
    <w:p w:rsidR="00874476" w:rsidRPr="003F4223" w:rsidRDefault="00874476" w:rsidP="00874476">
      <w:pPr>
        <w:pStyle w:val="Zkladntext"/>
        <w:numPr>
          <w:ilvl w:val="0"/>
          <w:numId w:val="15"/>
        </w:numPr>
        <w:spacing w:before="0" w:after="80" w:line="264" w:lineRule="auto"/>
        <w:ind w:left="284" w:hanging="284"/>
        <w:rPr>
          <w:szCs w:val="20"/>
          <w:lang w:val="en-GB"/>
        </w:rPr>
      </w:pPr>
      <w:r w:rsidRPr="003F4223">
        <w:rPr>
          <w:sz w:val="20"/>
          <w:szCs w:val="20"/>
          <w:lang w:val="en-GB"/>
        </w:rPr>
        <w:t xml:space="preserve">According to the OECD data, the highest number of M2M </w:t>
      </w:r>
      <w:r w:rsidRPr="00C43C03">
        <w:rPr>
          <w:sz w:val="20"/>
          <w:szCs w:val="20"/>
          <w:lang w:val="en-GB"/>
        </w:rPr>
        <w:t xml:space="preserve">SIM cards per 100 inhabitants in </w:t>
      </w:r>
      <w:r w:rsidRPr="00C43C03">
        <w:rPr>
          <w:b/>
          <w:sz w:val="20"/>
          <w:szCs w:val="20"/>
          <w:lang w:val="en-GB"/>
        </w:rPr>
        <w:t>EU countries</w:t>
      </w:r>
      <w:r w:rsidRPr="00C43C03">
        <w:rPr>
          <w:sz w:val="20"/>
          <w:szCs w:val="20"/>
          <w:lang w:val="en-GB"/>
        </w:rPr>
        <w:t xml:space="preserve"> in 2017 was </w:t>
      </w:r>
      <w:r w:rsidRPr="003F4223">
        <w:rPr>
          <w:sz w:val="20"/>
          <w:szCs w:val="20"/>
          <w:lang w:val="en-GB"/>
        </w:rPr>
        <w:t>recorded in Scandinavian states, as well as in the Netherlands, France, and Estonia. Data on</w:t>
      </w:r>
      <w:r>
        <w:rPr>
          <w:sz w:val="20"/>
          <w:szCs w:val="20"/>
          <w:lang w:val="en-GB"/>
        </w:rPr>
        <w:t> </w:t>
      </w:r>
      <w:r w:rsidRPr="003F4223">
        <w:rPr>
          <w:sz w:val="20"/>
          <w:szCs w:val="20"/>
          <w:lang w:val="en-GB"/>
        </w:rPr>
        <w:t>machine-to-machine (M2M) communications, such as for Internet-connected vehicles, show that Sweden remains the leader in the number of M2M SIM cards in use per 100 people, with the caveat that data is not yet fully comparable for all countries. Sweden counts 114 M2M SIM cards per 100 inhabitants in 2017 – a much higher level than most EU countries that provided this data. Overall, M2M/embedded mobile cellular subscriptions grew in all countries in the last year w</w:t>
      </w:r>
      <w:r w:rsidR="005A607D">
        <w:rPr>
          <w:sz w:val="20"/>
          <w:szCs w:val="20"/>
          <w:lang w:val="en-GB"/>
        </w:rPr>
        <w:t>h</w:t>
      </w:r>
      <w:r w:rsidRPr="003F4223">
        <w:rPr>
          <w:sz w:val="20"/>
          <w:szCs w:val="20"/>
          <w:lang w:val="en-GB"/>
        </w:rPr>
        <w:t>ere the data was available.</w:t>
      </w:r>
    </w:p>
    <w:p w:rsidR="00874476" w:rsidRPr="00970B85" w:rsidRDefault="00874476" w:rsidP="00BB78A6">
      <w:pPr>
        <w:pStyle w:val="Nadpis3"/>
      </w:pPr>
      <w:bookmarkStart w:id="9" w:name="_Toc533697483"/>
      <w:bookmarkStart w:id="10" w:name="_Toc534711982"/>
      <w:r>
        <w:t xml:space="preserve">Telephone traffic </w:t>
      </w:r>
      <w:r w:rsidRPr="00970B85">
        <w:t>in fixed and mobile telephone network</w:t>
      </w:r>
      <w:r>
        <w:t>s</w:t>
      </w:r>
      <w:bookmarkEnd w:id="9"/>
      <w:bookmarkEnd w:id="10"/>
    </w:p>
    <w:p w:rsidR="00874476" w:rsidRPr="00970B85" w:rsidRDefault="00874476" w:rsidP="00874476">
      <w:pPr>
        <w:pStyle w:val="Zkladntext"/>
        <w:spacing w:before="0" w:after="80" w:line="264" w:lineRule="auto"/>
        <w:rPr>
          <w:i/>
          <w:sz w:val="20"/>
          <w:lang w:val="en-GB"/>
        </w:rPr>
      </w:pPr>
      <w:r w:rsidRPr="00970B85">
        <w:rPr>
          <w:i/>
          <w:sz w:val="20"/>
          <w:lang w:val="en-GB"/>
        </w:rPr>
        <w:t>Another interesting point of view for the analysis of the telecommunication infrastructure is the development in these networks, which may be characterised by the number of realised calls and called minutes. The development in voice services provided within fixed networks in the Czech Republic is still being influenced by the development of mobile voice services, in particular. Further convergence is also a characteristic issue. In particular, this is evident by the offer of various forms of so called communication packages where within the scope of one package a user can operate a mobile telephone line as well as a fixed line together with fixed connection to the internet and the internet TV.</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 decrease in the number of </w:t>
      </w:r>
      <w:r>
        <w:rPr>
          <w:sz w:val="20"/>
          <w:szCs w:val="20"/>
          <w:lang w:val="en-GB"/>
        </w:rPr>
        <w:t xml:space="preserve">traditional </w:t>
      </w:r>
      <w:r w:rsidRPr="00970B85">
        <w:rPr>
          <w:sz w:val="20"/>
          <w:szCs w:val="20"/>
          <w:lang w:val="en-GB"/>
        </w:rPr>
        <w:t>fixed</w:t>
      </w:r>
      <w:r>
        <w:rPr>
          <w:sz w:val="20"/>
          <w:szCs w:val="20"/>
          <w:lang w:val="en-GB"/>
        </w:rPr>
        <w:t xml:space="preserve">-telephone voice subscribers using </w:t>
      </w:r>
      <w:r w:rsidRPr="00970B85">
        <w:rPr>
          <w:b/>
          <w:sz w:val="20"/>
          <w:szCs w:val="20"/>
          <w:lang w:val="en-GB"/>
        </w:rPr>
        <w:t>PSTN</w:t>
      </w:r>
      <w:r w:rsidRPr="00970B85">
        <w:rPr>
          <w:sz w:val="20"/>
          <w:szCs w:val="20"/>
          <w:lang w:val="en-GB"/>
        </w:rPr>
        <w:t xml:space="preserve"> lines was </w:t>
      </w:r>
      <w:r>
        <w:rPr>
          <w:sz w:val="20"/>
          <w:szCs w:val="20"/>
          <w:lang w:val="en-GB"/>
        </w:rPr>
        <w:t xml:space="preserve">in the Czech Republic </w:t>
      </w:r>
      <w:r w:rsidRPr="00970B85">
        <w:rPr>
          <w:sz w:val="20"/>
          <w:szCs w:val="20"/>
          <w:lang w:val="en-GB"/>
        </w:rPr>
        <w:t xml:space="preserve">characterized </w:t>
      </w:r>
      <w:r>
        <w:rPr>
          <w:sz w:val="20"/>
          <w:szCs w:val="20"/>
          <w:lang w:val="en-GB"/>
        </w:rPr>
        <w:t xml:space="preserve">also </w:t>
      </w:r>
      <w:r w:rsidRPr="00970B85">
        <w:rPr>
          <w:sz w:val="20"/>
          <w:szCs w:val="20"/>
          <w:lang w:val="en-GB"/>
        </w:rPr>
        <w:t>by the decrease in</w:t>
      </w:r>
      <w:r w:rsidRPr="00970B85">
        <w:rPr>
          <w:b/>
          <w:sz w:val="20"/>
          <w:szCs w:val="20"/>
          <w:lang w:val="en-GB"/>
        </w:rPr>
        <w:t xml:space="preserve"> called minutes</w:t>
      </w:r>
      <w:r w:rsidRPr="00970B85">
        <w:rPr>
          <w:b/>
          <w:i/>
          <w:sz w:val="20"/>
          <w:szCs w:val="20"/>
          <w:vertAlign w:val="superscript"/>
          <w:lang w:val="en-GB"/>
        </w:rPr>
        <w:footnoteReference w:id="10"/>
      </w:r>
      <w:r w:rsidRPr="00970B85">
        <w:rPr>
          <w:sz w:val="20"/>
          <w:szCs w:val="20"/>
          <w:lang w:val="en-GB"/>
        </w:rPr>
        <w:t xml:space="preserve"> from these networks. Even in 2005 the number of called minutes </w:t>
      </w:r>
      <w:r>
        <w:rPr>
          <w:sz w:val="20"/>
          <w:szCs w:val="20"/>
          <w:lang w:val="en-GB"/>
        </w:rPr>
        <w:t xml:space="preserve">from the PSTN stations </w:t>
      </w:r>
      <w:r w:rsidRPr="00970B85">
        <w:rPr>
          <w:sz w:val="20"/>
          <w:szCs w:val="20"/>
          <w:lang w:val="en-GB"/>
        </w:rPr>
        <w:t>reached 7.2 billion, i.e. approximately the equivalent to the called minutes from mobile telephones</w:t>
      </w:r>
      <w:r>
        <w:rPr>
          <w:sz w:val="20"/>
          <w:szCs w:val="20"/>
          <w:lang w:val="en-GB"/>
        </w:rPr>
        <w:t xml:space="preserve">, ten years later </w:t>
      </w:r>
      <w:r w:rsidRPr="00970B85">
        <w:rPr>
          <w:sz w:val="20"/>
          <w:szCs w:val="20"/>
          <w:lang w:val="en-GB"/>
        </w:rPr>
        <w:t xml:space="preserve">it was </w:t>
      </w:r>
      <w:r>
        <w:rPr>
          <w:sz w:val="20"/>
          <w:szCs w:val="20"/>
          <w:lang w:val="en-GB"/>
        </w:rPr>
        <w:t xml:space="preserve">only </w:t>
      </w:r>
      <w:r w:rsidRPr="00970B85">
        <w:rPr>
          <w:sz w:val="20"/>
          <w:szCs w:val="20"/>
          <w:lang w:val="en-GB"/>
        </w:rPr>
        <w:t xml:space="preserve">1 billion minutes. Further 590 million called minutes </w:t>
      </w:r>
      <w:r>
        <w:rPr>
          <w:sz w:val="20"/>
          <w:szCs w:val="20"/>
          <w:lang w:val="en-GB"/>
        </w:rPr>
        <w:t xml:space="preserve">within fixed network were conducted by using </w:t>
      </w:r>
      <w:r w:rsidRPr="00970B85">
        <w:rPr>
          <w:b/>
          <w:sz w:val="20"/>
          <w:szCs w:val="20"/>
          <w:lang w:val="en-GB"/>
        </w:rPr>
        <w:t>VoIP</w:t>
      </w:r>
      <w:r>
        <w:rPr>
          <w:b/>
          <w:sz w:val="20"/>
          <w:szCs w:val="20"/>
          <w:lang w:val="en-GB"/>
        </w:rPr>
        <w:t xml:space="preserve"> </w:t>
      </w:r>
      <w:r w:rsidRPr="00970B85">
        <w:rPr>
          <w:sz w:val="20"/>
          <w:szCs w:val="20"/>
          <w:lang w:val="en-GB"/>
        </w:rPr>
        <w:t xml:space="preserve">which have also been on the decrease in this respect since 2014. </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Whereas in 2006</w:t>
      </w:r>
      <w:r>
        <w:rPr>
          <w:sz w:val="20"/>
          <w:szCs w:val="20"/>
          <w:lang w:val="en-GB"/>
        </w:rPr>
        <w:t xml:space="preserve"> there were on the average called </w:t>
      </w:r>
      <w:r w:rsidRPr="00970B85">
        <w:rPr>
          <w:b/>
          <w:sz w:val="20"/>
          <w:szCs w:val="20"/>
          <w:lang w:val="en-GB"/>
        </w:rPr>
        <w:t>1</w:t>
      </w:r>
      <w:r>
        <w:rPr>
          <w:b/>
          <w:sz w:val="20"/>
          <w:szCs w:val="20"/>
          <w:lang w:val="en-GB"/>
        </w:rPr>
        <w:t> </w:t>
      </w:r>
      <w:r w:rsidRPr="00970B85">
        <w:rPr>
          <w:b/>
          <w:sz w:val="20"/>
          <w:szCs w:val="20"/>
          <w:lang w:val="en-GB"/>
        </w:rPr>
        <w:t>959 minutes</w:t>
      </w:r>
      <w:r w:rsidRPr="00970B85">
        <w:rPr>
          <w:sz w:val="20"/>
          <w:szCs w:val="20"/>
          <w:lang w:val="en-GB"/>
        </w:rPr>
        <w:t xml:space="preserve"> from </w:t>
      </w:r>
      <w:r>
        <w:rPr>
          <w:sz w:val="20"/>
          <w:szCs w:val="20"/>
          <w:lang w:val="en-GB"/>
        </w:rPr>
        <w:t xml:space="preserve">one traditional </w:t>
      </w:r>
      <w:r w:rsidRPr="00970B85">
        <w:rPr>
          <w:sz w:val="20"/>
          <w:szCs w:val="20"/>
          <w:lang w:val="en-GB"/>
        </w:rPr>
        <w:t>fixed telephone line (PSTN) in the Czech Republic, ten years later it was approximately 40% less, i.e. 1</w:t>
      </w:r>
      <w:r>
        <w:rPr>
          <w:sz w:val="20"/>
          <w:szCs w:val="20"/>
          <w:lang w:val="en-GB"/>
        </w:rPr>
        <w:t> </w:t>
      </w:r>
      <w:r w:rsidRPr="00970B85">
        <w:rPr>
          <w:sz w:val="20"/>
          <w:szCs w:val="20"/>
          <w:lang w:val="en-GB"/>
        </w:rPr>
        <w:t>215 minutes. With respect to calls realised via VoIP technology, the average of 644 minutes w</w:t>
      </w:r>
      <w:r>
        <w:rPr>
          <w:sz w:val="20"/>
          <w:szCs w:val="20"/>
          <w:lang w:val="en-GB"/>
        </w:rPr>
        <w:t xml:space="preserve">as </w:t>
      </w:r>
      <w:r w:rsidRPr="00970B85">
        <w:rPr>
          <w:sz w:val="20"/>
          <w:szCs w:val="20"/>
          <w:lang w:val="en-GB"/>
        </w:rPr>
        <w:t>called by one user of this technology, which is 300 minutes less than five years ago</w:t>
      </w:r>
      <w:r>
        <w:rPr>
          <w:sz w:val="20"/>
          <w:szCs w:val="20"/>
          <w:lang w:val="en-GB"/>
        </w:rPr>
        <w:t>.</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On the other hand, the voice operation within the </w:t>
      </w:r>
      <w:r w:rsidRPr="00970B85">
        <w:rPr>
          <w:b/>
          <w:sz w:val="20"/>
          <w:szCs w:val="20"/>
          <w:lang w:val="en-GB"/>
        </w:rPr>
        <w:t>mobile network</w:t>
      </w:r>
      <w:r w:rsidRPr="00970B85">
        <w:rPr>
          <w:sz w:val="20"/>
          <w:szCs w:val="20"/>
          <w:lang w:val="en-GB"/>
        </w:rPr>
        <w:t xml:space="preserve"> has been very popular. In recent years, the number of calls has increased</w:t>
      </w:r>
      <w:r>
        <w:rPr>
          <w:sz w:val="20"/>
          <w:szCs w:val="20"/>
          <w:lang w:val="en-GB"/>
        </w:rPr>
        <w:t>,</w:t>
      </w:r>
      <w:r w:rsidRPr="00970B85">
        <w:rPr>
          <w:sz w:val="20"/>
          <w:szCs w:val="20"/>
          <w:lang w:val="en-GB"/>
        </w:rPr>
        <w:t xml:space="preserve"> as well as the number of called minutes, whose increase is </w:t>
      </w:r>
      <w:r w:rsidRPr="00970B85">
        <w:rPr>
          <w:sz w:val="20"/>
          <w:szCs w:val="20"/>
          <w:lang w:val="en-GB"/>
        </w:rPr>
        <w:lastRenderedPageBreak/>
        <w:t xml:space="preserve">even more significant with respect to the number of calls. In 2016, a total of 20.9 billion minutes were called from the public mobile telephone network, i.e. </w:t>
      </w:r>
      <w:r>
        <w:rPr>
          <w:sz w:val="20"/>
          <w:szCs w:val="20"/>
          <w:lang w:val="en-GB"/>
        </w:rPr>
        <w:t xml:space="preserve">twice </w:t>
      </w:r>
      <w:r w:rsidRPr="00970B85">
        <w:rPr>
          <w:sz w:val="20"/>
          <w:szCs w:val="20"/>
          <w:lang w:val="en-GB"/>
        </w:rPr>
        <w:t>more than ten years ago</w:t>
      </w:r>
      <w:r>
        <w:rPr>
          <w:sz w:val="20"/>
          <w:szCs w:val="20"/>
          <w:lang w:val="en-GB"/>
        </w:rPr>
        <w:t>.</w:t>
      </w:r>
    </w:p>
    <w:p w:rsidR="00874476" w:rsidRPr="00970B85" w:rsidRDefault="00874476" w:rsidP="00874476">
      <w:pPr>
        <w:pStyle w:val="Zkladntext"/>
        <w:spacing w:before="0" w:after="100" w:line="264" w:lineRule="auto"/>
        <w:rPr>
          <w:lang w:val="en-GB"/>
        </w:rPr>
      </w:pPr>
      <w:r w:rsidRPr="00970B85">
        <w:rPr>
          <w:noProof/>
        </w:rPr>
        <w:drawing>
          <wp:inline distT="0" distB="0" distL="0" distR="0" wp14:anchorId="5A48C273" wp14:editId="345899BC">
            <wp:extent cx="3024000" cy="2700000"/>
            <wp:effectExtent l="0" t="0" r="5080" b="5715"/>
            <wp:docPr id="16" name="Graf 1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70B85">
        <w:rPr>
          <w:lang w:val="en-GB"/>
        </w:rPr>
        <w:t xml:space="preserve"> </w:t>
      </w:r>
      <w:r w:rsidRPr="00970B85">
        <w:rPr>
          <w:noProof/>
        </w:rPr>
        <w:drawing>
          <wp:inline distT="0" distB="0" distL="0" distR="0" wp14:anchorId="460E809C" wp14:editId="3568CD2B">
            <wp:extent cx="3024000" cy="2700000"/>
            <wp:effectExtent l="0" t="0" r="5080" b="5715"/>
            <wp:docPr id="46" name="Graf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w:t>
      </w:r>
      <w:r>
        <w:rPr>
          <w:sz w:val="20"/>
          <w:szCs w:val="20"/>
          <w:lang w:val="en-GB"/>
        </w:rPr>
        <w:t>2016</w:t>
      </w:r>
      <w:r w:rsidRPr="00970B85">
        <w:rPr>
          <w:sz w:val="20"/>
          <w:szCs w:val="20"/>
          <w:lang w:val="en-GB"/>
        </w:rPr>
        <w:t>, 55%</w:t>
      </w:r>
      <w:r>
        <w:rPr>
          <w:sz w:val="20"/>
          <w:szCs w:val="20"/>
          <w:lang w:val="en-GB"/>
        </w:rPr>
        <w:t xml:space="preserve"> (</w:t>
      </w:r>
      <w:r w:rsidRPr="00970B85">
        <w:rPr>
          <w:sz w:val="20"/>
          <w:szCs w:val="20"/>
          <w:lang w:val="en-GB"/>
        </w:rPr>
        <w:t>11.6 billion minutes</w:t>
      </w:r>
      <w:r>
        <w:rPr>
          <w:sz w:val="20"/>
          <w:szCs w:val="20"/>
          <w:lang w:val="en-GB"/>
        </w:rPr>
        <w:t>)</w:t>
      </w:r>
      <w:r w:rsidRPr="00970B85">
        <w:rPr>
          <w:sz w:val="20"/>
          <w:szCs w:val="20"/>
          <w:lang w:val="en-GB"/>
        </w:rPr>
        <w:t xml:space="preserve"> </w:t>
      </w:r>
      <w:r>
        <w:rPr>
          <w:sz w:val="20"/>
          <w:szCs w:val="20"/>
          <w:lang w:val="en-GB"/>
        </w:rPr>
        <w:t xml:space="preserve">of </w:t>
      </w:r>
      <w:r w:rsidRPr="00970B85">
        <w:rPr>
          <w:sz w:val="20"/>
          <w:szCs w:val="20"/>
          <w:lang w:val="en-GB"/>
        </w:rPr>
        <w:t xml:space="preserve">called minutes </w:t>
      </w:r>
      <w:r>
        <w:rPr>
          <w:sz w:val="20"/>
          <w:szCs w:val="20"/>
          <w:lang w:val="en-GB"/>
        </w:rPr>
        <w:t>from mobile telephones was due to calls made by </w:t>
      </w:r>
      <w:r w:rsidRPr="00970B85">
        <w:rPr>
          <w:b/>
          <w:sz w:val="20"/>
          <w:szCs w:val="20"/>
          <w:lang w:val="en-GB"/>
        </w:rPr>
        <w:t>individuals</w:t>
      </w:r>
      <w:r>
        <w:rPr>
          <w:b/>
          <w:sz w:val="20"/>
          <w:szCs w:val="20"/>
          <w:lang w:val="en-GB"/>
        </w:rPr>
        <w:t xml:space="preserve"> </w:t>
      </w:r>
      <w:r w:rsidRPr="00AD44AD">
        <w:rPr>
          <w:sz w:val="20"/>
          <w:szCs w:val="20"/>
          <w:lang w:val="en-GB"/>
        </w:rPr>
        <w:t>(citizens) as mobile-telephone subscribers</w:t>
      </w:r>
      <w:r>
        <w:rPr>
          <w:sz w:val="20"/>
          <w:szCs w:val="20"/>
          <w:lang w:val="en-GB"/>
        </w:rPr>
        <w:t xml:space="preserve"> compare to </w:t>
      </w:r>
      <w:r w:rsidRPr="00970B85">
        <w:rPr>
          <w:sz w:val="20"/>
          <w:szCs w:val="20"/>
          <w:lang w:val="en-GB"/>
        </w:rPr>
        <w:t xml:space="preserve">9.4 billion </w:t>
      </w:r>
      <w:r>
        <w:rPr>
          <w:sz w:val="20"/>
          <w:szCs w:val="20"/>
          <w:lang w:val="en-GB"/>
        </w:rPr>
        <w:t xml:space="preserve">called </w:t>
      </w:r>
      <w:r w:rsidRPr="00970B85">
        <w:rPr>
          <w:sz w:val="20"/>
          <w:szCs w:val="20"/>
          <w:lang w:val="en-GB"/>
        </w:rPr>
        <w:t>minutes</w:t>
      </w:r>
      <w:r>
        <w:rPr>
          <w:sz w:val="20"/>
          <w:szCs w:val="20"/>
          <w:lang w:val="en-GB"/>
        </w:rPr>
        <w:t xml:space="preserve"> (45%) by enterprises.</w:t>
      </w:r>
      <w:r w:rsidRPr="00970B85">
        <w:rPr>
          <w:sz w:val="20"/>
          <w:szCs w:val="20"/>
          <w:lang w:val="en-GB"/>
        </w:rPr>
        <w:t xml:space="preserve"> </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
          <w:sz w:val="20"/>
          <w:szCs w:val="20"/>
          <w:lang w:val="en-GB"/>
        </w:rPr>
        <w:t>Outgoing calls</w:t>
      </w:r>
      <w:r w:rsidRPr="00970B85">
        <w:rPr>
          <w:sz w:val="20"/>
          <w:szCs w:val="20"/>
          <w:lang w:val="en-GB"/>
        </w:rPr>
        <w:t xml:space="preserve"> from mobile phones within the national network in 2016 were most frequently made to</w:t>
      </w:r>
      <w:r>
        <w:rPr>
          <w:sz w:val="20"/>
          <w:szCs w:val="20"/>
          <w:lang w:val="en-GB"/>
        </w:rPr>
        <w:t> </w:t>
      </w:r>
      <w:r w:rsidRPr="00970B85">
        <w:rPr>
          <w:b/>
          <w:sz w:val="20"/>
          <w:szCs w:val="20"/>
          <w:lang w:val="en-GB"/>
        </w:rPr>
        <w:t>their own mobile network</w:t>
      </w:r>
      <w:r w:rsidRPr="00970B85">
        <w:rPr>
          <w:sz w:val="20"/>
          <w:szCs w:val="20"/>
          <w:lang w:val="en-GB"/>
        </w:rPr>
        <w:t xml:space="preserve"> (11.5 billion minutes; 56%), fewer calls were made </w:t>
      </w:r>
      <w:r w:rsidRPr="00970B85">
        <w:rPr>
          <w:b/>
          <w:sz w:val="20"/>
          <w:szCs w:val="20"/>
          <w:lang w:val="en-GB"/>
        </w:rPr>
        <w:t xml:space="preserve">to another operator’s </w:t>
      </w:r>
      <w:r>
        <w:rPr>
          <w:b/>
          <w:sz w:val="20"/>
          <w:szCs w:val="20"/>
          <w:lang w:val="en-GB"/>
        </w:rPr>
        <w:t xml:space="preserve">mobile </w:t>
      </w:r>
      <w:r w:rsidRPr="00970B85">
        <w:rPr>
          <w:b/>
          <w:sz w:val="20"/>
          <w:szCs w:val="20"/>
          <w:lang w:val="en-GB"/>
        </w:rPr>
        <w:t>network</w:t>
      </w:r>
      <w:r>
        <w:rPr>
          <w:b/>
          <w:sz w:val="20"/>
          <w:szCs w:val="20"/>
          <w:lang w:val="en-GB"/>
        </w:rPr>
        <w:t>s</w:t>
      </w:r>
      <w:r w:rsidRPr="00970B85">
        <w:rPr>
          <w:sz w:val="20"/>
          <w:szCs w:val="20"/>
          <w:lang w:val="en-GB"/>
        </w:rPr>
        <w:t xml:space="preserve"> (8.1 billion minutes; 40%). Compared to th</w:t>
      </w:r>
      <w:r>
        <w:rPr>
          <w:sz w:val="20"/>
          <w:szCs w:val="20"/>
          <w:lang w:val="en-GB"/>
        </w:rPr>
        <w:t>is</w:t>
      </w:r>
      <w:r w:rsidRPr="00970B85">
        <w:rPr>
          <w:sz w:val="20"/>
          <w:szCs w:val="20"/>
          <w:lang w:val="en-GB"/>
        </w:rPr>
        <w:t>, the total length of outgoing calls from mobile telephones to fixed lines is at its minimum (826 billion minutes; 4%).</w:t>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A factor contributing to the increasingly common usage of mobile operator services is price lowering. In</w:t>
      </w:r>
      <w:r>
        <w:rPr>
          <w:sz w:val="20"/>
          <w:szCs w:val="20"/>
          <w:lang w:val="en-GB"/>
        </w:rPr>
        <w:t> </w:t>
      </w:r>
      <w:r w:rsidRPr="00970B85">
        <w:rPr>
          <w:sz w:val="20"/>
          <w:szCs w:val="20"/>
          <w:lang w:val="en-GB"/>
        </w:rPr>
        <w:t xml:space="preserve">the past ten years, the average retail </w:t>
      </w:r>
      <w:r w:rsidRPr="00970B85">
        <w:rPr>
          <w:b/>
          <w:sz w:val="20"/>
          <w:szCs w:val="20"/>
          <w:lang w:val="en-GB"/>
        </w:rPr>
        <w:t xml:space="preserve">price per called minute </w:t>
      </w:r>
      <w:r w:rsidRPr="00970B85">
        <w:rPr>
          <w:sz w:val="20"/>
          <w:szCs w:val="20"/>
          <w:lang w:val="en-GB"/>
        </w:rPr>
        <w:t>decreased five times, i.e. from 4.84 CZK in 2016 to 0.98 CZK in 2016. However, when reading the results</w:t>
      </w:r>
      <w:r>
        <w:rPr>
          <w:sz w:val="20"/>
          <w:szCs w:val="20"/>
          <w:lang w:val="en-GB"/>
        </w:rPr>
        <w:t>,</w:t>
      </w:r>
      <w:r w:rsidRPr="00970B85">
        <w:rPr>
          <w:sz w:val="20"/>
          <w:szCs w:val="20"/>
          <w:lang w:val="en-GB"/>
        </w:rPr>
        <w:t xml:space="preserve"> it is necessary to consider that end customers also include enterprises with individual (usually more advantageous) tariffs. </w:t>
      </w:r>
    </w:p>
    <w:p w:rsidR="00874476" w:rsidRPr="00970B85" w:rsidRDefault="00874476" w:rsidP="00874476">
      <w:pPr>
        <w:pStyle w:val="Zkladntext"/>
        <w:spacing w:before="0" w:after="100" w:line="264" w:lineRule="auto"/>
        <w:rPr>
          <w:lang w:val="en-GB"/>
        </w:rPr>
      </w:pPr>
      <w:r w:rsidRPr="00970B85">
        <w:rPr>
          <w:noProof/>
        </w:rPr>
        <w:drawing>
          <wp:inline distT="0" distB="0" distL="0" distR="0" wp14:anchorId="1093C510" wp14:editId="0FFBB382">
            <wp:extent cx="3168000" cy="2700000"/>
            <wp:effectExtent l="0" t="0" r="0" b="5715"/>
            <wp:docPr id="47" name="Graf 4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70B85">
        <w:rPr>
          <w:lang w:val="en-GB"/>
        </w:rPr>
        <w:t xml:space="preserve"> </w:t>
      </w:r>
      <w:r w:rsidRPr="00970B85">
        <w:rPr>
          <w:noProof/>
        </w:rPr>
        <w:drawing>
          <wp:inline distT="0" distB="0" distL="0" distR="0" wp14:anchorId="46223AA6" wp14:editId="2A30C387">
            <wp:extent cx="2851200" cy="2700000"/>
            <wp:effectExtent l="0" t="0" r="6350" b="5715"/>
            <wp:docPr id="48" name="Graf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74476" w:rsidRPr="00970B85"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 downward trend of </w:t>
      </w:r>
      <w:r w:rsidRPr="00B7189A">
        <w:rPr>
          <w:b/>
          <w:sz w:val="20"/>
          <w:szCs w:val="20"/>
          <w:lang w:val="en-GB"/>
        </w:rPr>
        <w:t>the average price per minute</w:t>
      </w:r>
      <w:r w:rsidRPr="00970B85">
        <w:rPr>
          <w:sz w:val="20"/>
          <w:szCs w:val="20"/>
          <w:lang w:val="en-GB"/>
        </w:rPr>
        <w:t xml:space="preserve"> involves the decreasing average price for individual (resident)</w:t>
      </w:r>
      <w:r>
        <w:rPr>
          <w:sz w:val="20"/>
          <w:szCs w:val="20"/>
          <w:lang w:val="en-GB"/>
        </w:rPr>
        <w:t xml:space="preserve"> subscriptions</w:t>
      </w:r>
      <w:r w:rsidRPr="00970B85">
        <w:rPr>
          <w:sz w:val="20"/>
          <w:szCs w:val="20"/>
          <w:lang w:val="en-GB"/>
        </w:rPr>
        <w:t xml:space="preserve"> as well as the decreasing average price for </w:t>
      </w:r>
      <w:r>
        <w:rPr>
          <w:sz w:val="20"/>
          <w:szCs w:val="20"/>
          <w:lang w:val="en-GB"/>
        </w:rPr>
        <w:t>business subscriptions</w:t>
      </w:r>
      <w:r w:rsidRPr="00970B85">
        <w:rPr>
          <w:sz w:val="20"/>
          <w:szCs w:val="20"/>
          <w:lang w:val="en-GB"/>
        </w:rPr>
        <w:t>. According to</w:t>
      </w:r>
      <w:r>
        <w:rPr>
          <w:sz w:val="20"/>
          <w:szCs w:val="20"/>
          <w:lang w:val="en-GB"/>
        </w:rPr>
        <w:t> </w:t>
      </w:r>
      <w:r w:rsidRPr="00970B85">
        <w:rPr>
          <w:sz w:val="20"/>
          <w:szCs w:val="20"/>
          <w:lang w:val="en-GB"/>
        </w:rPr>
        <w:t>the 2017 Annual Report of the Czech Telecommunication Office, the average aggregated consumer price in the mid-2017 concerni</w:t>
      </w:r>
      <w:r>
        <w:rPr>
          <w:sz w:val="20"/>
          <w:szCs w:val="20"/>
          <w:lang w:val="en-GB"/>
        </w:rPr>
        <w:t>ng three mobile operators was</w:t>
      </w:r>
      <w:r w:rsidRPr="00970B85">
        <w:rPr>
          <w:sz w:val="20"/>
          <w:szCs w:val="20"/>
          <w:lang w:val="en-GB"/>
        </w:rPr>
        <w:t xml:space="preserve"> 63.5% higher than the price for </w:t>
      </w:r>
      <w:r>
        <w:rPr>
          <w:sz w:val="20"/>
          <w:szCs w:val="20"/>
          <w:lang w:val="en-GB"/>
        </w:rPr>
        <w:t>businesses</w:t>
      </w:r>
      <w:r w:rsidRPr="00970B85">
        <w:rPr>
          <w:sz w:val="20"/>
          <w:szCs w:val="20"/>
          <w:lang w:val="en-GB"/>
        </w:rPr>
        <w:t xml:space="preserve"> –1.21 CZK per minute for individuals</w:t>
      </w:r>
      <w:r>
        <w:rPr>
          <w:sz w:val="20"/>
          <w:szCs w:val="20"/>
          <w:lang w:val="en-GB"/>
        </w:rPr>
        <w:t>/</w:t>
      </w:r>
      <w:r w:rsidRPr="00970B85">
        <w:rPr>
          <w:sz w:val="20"/>
          <w:szCs w:val="20"/>
          <w:lang w:val="en-GB"/>
        </w:rPr>
        <w:t xml:space="preserve">non-entrepreneurs compared to 0.74 CZK per minute for entrepreneurs. </w:t>
      </w:r>
    </w:p>
    <w:p w:rsidR="00874476" w:rsidRPr="00970B85" w:rsidRDefault="00874476" w:rsidP="00983696">
      <w:pPr>
        <w:pStyle w:val="Nadpis2"/>
        <w:spacing w:before="0"/>
      </w:pPr>
      <w:bookmarkStart w:id="11" w:name="_Toc533697484"/>
      <w:bookmarkStart w:id="12" w:name="_Toc534711983"/>
      <w:r w:rsidRPr="00970B85">
        <w:lastRenderedPageBreak/>
        <w:t>A.2 Internet infrastructure</w:t>
      </w:r>
      <w:bookmarkEnd w:id="11"/>
      <w:bookmarkEnd w:id="12"/>
    </w:p>
    <w:p w:rsidR="00874476" w:rsidRDefault="00874476" w:rsidP="00874476">
      <w:pPr>
        <w:pStyle w:val="Zkladntext"/>
        <w:spacing w:before="0" w:after="80" w:line="264" w:lineRule="auto"/>
        <w:rPr>
          <w:i/>
          <w:sz w:val="20"/>
          <w:lang w:val="en-GB"/>
        </w:rPr>
      </w:pPr>
      <w:r w:rsidRPr="00AD0CB6">
        <w:rPr>
          <w:i/>
          <w:sz w:val="20"/>
          <w:lang w:val="en-GB"/>
        </w:rPr>
        <w:t xml:space="preserve">Internet, as well as electricity, water or transport routes, </w:t>
      </w:r>
      <w:r>
        <w:rPr>
          <w:i/>
          <w:sz w:val="20"/>
          <w:lang w:val="en-GB"/>
        </w:rPr>
        <w:t xml:space="preserve">is </w:t>
      </w:r>
      <w:r w:rsidRPr="00AD0CB6">
        <w:rPr>
          <w:i/>
          <w:sz w:val="20"/>
          <w:lang w:val="en-GB"/>
        </w:rPr>
        <w:t xml:space="preserve">regarded as one of the basic infrastructure necessary for the full operation of the society in 21st century. The internet has become a critical infrastructure, supporting businesses, consumers/users and the public sector, and continues to experience remarkable growth. </w:t>
      </w:r>
      <w:r>
        <w:rPr>
          <w:i/>
          <w:sz w:val="20"/>
          <w:lang w:val="en-GB"/>
        </w:rPr>
        <w:t>T</w:t>
      </w:r>
      <w:r w:rsidRPr="00970B85">
        <w:rPr>
          <w:i/>
          <w:sz w:val="20"/>
          <w:lang w:val="en-GB"/>
        </w:rPr>
        <w:t xml:space="preserve">herefore, it makes sense to </w:t>
      </w:r>
      <w:r>
        <w:rPr>
          <w:i/>
          <w:sz w:val="20"/>
          <w:lang w:val="en-GB"/>
        </w:rPr>
        <w:t>statistically monitor</w:t>
      </w:r>
      <w:r w:rsidRPr="00970B85">
        <w:rPr>
          <w:i/>
          <w:sz w:val="20"/>
          <w:lang w:val="en-GB"/>
        </w:rPr>
        <w:t xml:space="preserve"> its spreading within the society</w:t>
      </w:r>
      <w:r>
        <w:rPr>
          <w:i/>
          <w:sz w:val="20"/>
          <w:lang w:val="en-GB"/>
        </w:rPr>
        <w:t>,</w:t>
      </w:r>
      <w:r w:rsidRPr="00970B85">
        <w:rPr>
          <w:i/>
          <w:sz w:val="20"/>
          <w:lang w:val="en-GB"/>
        </w:rPr>
        <w:t xml:space="preserve"> despite the fact that</w:t>
      </w:r>
      <w:r>
        <w:rPr>
          <w:i/>
          <w:sz w:val="20"/>
          <w:lang w:val="en-GB"/>
        </w:rPr>
        <w:t>,</w:t>
      </w:r>
      <w:r w:rsidRPr="00970B85">
        <w:rPr>
          <w:i/>
          <w:sz w:val="20"/>
          <w:lang w:val="en-GB"/>
        </w:rPr>
        <w:t xml:space="preserve"> due to the dynamic development of this technology</w:t>
      </w:r>
      <w:r>
        <w:rPr>
          <w:i/>
          <w:sz w:val="20"/>
          <w:lang w:val="en-GB"/>
        </w:rPr>
        <w:t>,</w:t>
      </w:r>
      <w:r w:rsidRPr="00970B85">
        <w:rPr>
          <w:i/>
          <w:sz w:val="20"/>
          <w:lang w:val="en-GB"/>
        </w:rPr>
        <w:t xml:space="preserve"> it may not always be easy.</w:t>
      </w:r>
    </w:p>
    <w:p w:rsidR="00874476" w:rsidRDefault="00874476" w:rsidP="00874476">
      <w:pPr>
        <w:pStyle w:val="Zkladntext"/>
        <w:spacing w:before="0" w:after="80" w:line="264" w:lineRule="auto"/>
        <w:rPr>
          <w:i/>
          <w:sz w:val="20"/>
          <w:lang w:val="en-GB"/>
        </w:rPr>
      </w:pPr>
      <w:r w:rsidRPr="005D6AEE">
        <w:rPr>
          <w:i/>
          <w:sz w:val="20"/>
          <w:lang w:val="en-GB"/>
        </w:rPr>
        <w:t>Broadband and the services</w:t>
      </w:r>
      <w:r>
        <w:rPr>
          <w:i/>
          <w:sz w:val="20"/>
          <w:lang w:val="en-GB"/>
        </w:rPr>
        <w:t xml:space="preserve"> </w:t>
      </w:r>
      <w:r w:rsidRPr="005D6AEE">
        <w:rPr>
          <w:i/>
          <w:sz w:val="20"/>
          <w:lang w:val="en-GB"/>
        </w:rPr>
        <w:t>provided over them support existing economic and</w:t>
      </w:r>
      <w:r>
        <w:rPr>
          <w:i/>
          <w:sz w:val="20"/>
          <w:lang w:val="en-GB"/>
        </w:rPr>
        <w:t> </w:t>
      </w:r>
      <w:r w:rsidRPr="005D6AEE">
        <w:rPr>
          <w:i/>
          <w:sz w:val="20"/>
          <w:lang w:val="en-GB"/>
        </w:rPr>
        <w:t>social activities and hold potential for tremendous</w:t>
      </w:r>
      <w:r>
        <w:rPr>
          <w:i/>
          <w:sz w:val="20"/>
          <w:lang w:val="en-GB"/>
        </w:rPr>
        <w:t xml:space="preserve"> </w:t>
      </w:r>
      <w:r w:rsidRPr="005D6AEE">
        <w:rPr>
          <w:i/>
          <w:sz w:val="20"/>
          <w:lang w:val="en-GB"/>
        </w:rPr>
        <w:t>innovation.</w:t>
      </w:r>
      <w:r>
        <w:rPr>
          <w:i/>
          <w:sz w:val="20"/>
          <w:lang w:val="en-GB"/>
        </w:rPr>
        <w:t xml:space="preserve"> </w:t>
      </w:r>
      <w:r w:rsidRPr="000F25AF">
        <w:rPr>
          <w:i/>
          <w:sz w:val="20"/>
          <w:lang w:val="en-GB"/>
        </w:rPr>
        <w:t>Access to broadband</w:t>
      </w:r>
      <w:r>
        <w:rPr>
          <w:i/>
          <w:sz w:val="20"/>
          <w:lang w:val="en-GB"/>
        </w:rPr>
        <w:t xml:space="preserve"> measured by number of broadband subscriptions</w:t>
      </w:r>
      <w:r w:rsidRPr="009B4877">
        <w:rPr>
          <w:rStyle w:val="Znakapoznpodarou"/>
          <w:i/>
          <w:sz w:val="20"/>
        </w:rPr>
        <w:footnoteReference w:id="11"/>
      </w:r>
      <w:r w:rsidRPr="000F25AF">
        <w:rPr>
          <w:i/>
          <w:sz w:val="20"/>
          <w:lang w:val="en-GB"/>
        </w:rPr>
        <w:t>, as a result, has become a more fundamental indicator of ICT performance and potential than access to voice telephony and other basic services.</w:t>
      </w:r>
      <w:r>
        <w:rPr>
          <w:i/>
          <w:sz w:val="20"/>
          <w:lang w:val="en-GB"/>
        </w:rPr>
        <w:t xml:space="preserve"> </w:t>
      </w:r>
      <w:r w:rsidRPr="005D6AEE">
        <w:rPr>
          <w:i/>
          <w:sz w:val="20"/>
          <w:lang w:val="en-GB"/>
        </w:rPr>
        <w:t xml:space="preserve">Broadband diffusion remains uneven across </w:t>
      </w:r>
      <w:r>
        <w:rPr>
          <w:i/>
          <w:sz w:val="20"/>
          <w:lang w:val="en-GB"/>
        </w:rPr>
        <w:t>EU e</w:t>
      </w:r>
      <w:r w:rsidRPr="005D6AEE">
        <w:rPr>
          <w:i/>
          <w:sz w:val="20"/>
          <w:lang w:val="en-GB"/>
        </w:rPr>
        <w:t>conomies but continues to increase everywhere.</w:t>
      </w:r>
      <w:r>
        <w:rPr>
          <w:i/>
          <w:sz w:val="20"/>
          <w:lang w:val="en-GB"/>
        </w:rPr>
        <w:t xml:space="preserve"> </w:t>
      </w:r>
      <w:r w:rsidRPr="005D6AEE">
        <w:rPr>
          <w:i/>
          <w:sz w:val="20"/>
          <w:lang w:val="en-GB"/>
        </w:rPr>
        <w:t xml:space="preserve">Progress has been particularly swift in mobile </w:t>
      </w:r>
      <w:r>
        <w:rPr>
          <w:i/>
          <w:sz w:val="20"/>
          <w:lang w:val="en-GB"/>
        </w:rPr>
        <w:t>broad</w:t>
      </w:r>
      <w:r w:rsidRPr="005D6AEE">
        <w:rPr>
          <w:i/>
          <w:sz w:val="20"/>
          <w:lang w:val="en-GB"/>
        </w:rPr>
        <w:t>band</w:t>
      </w:r>
      <w:r>
        <w:rPr>
          <w:i/>
          <w:sz w:val="20"/>
          <w:lang w:val="en-GB"/>
        </w:rPr>
        <w:t xml:space="preserve"> take-up. </w:t>
      </w:r>
    </w:p>
    <w:p w:rsidR="00874476" w:rsidRPr="00970B85" w:rsidRDefault="00874476" w:rsidP="00BB78A6">
      <w:pPr>
        <w:pStyle w:val="Nadpis3"/>
      </w:pPr>
      <w:bookmarkStart w:id="13" w:name="_Toc533697485"/>
      <w:bookmarkStart w:id="14" w:name="_Toc534711984"/>
      <w:r>
        <w:t>Fixed broadband penetration – S</w:t>
      </w:r>
      <w:r w:rsidRPr="00970B85">
        <w:t xml:space="preserve">ubscriptions </w:t>
      </w:r>
      <w:r>
        <w:t xml:space="preserve">by </w:t>
      </w:r>
      <w:r w:rsidRPr="00970B85">
        <w:t>technology and speed</w:t>
      </w:r>
      <w:bookmarkEnd w:id="13"/>
      <w:bookmarkEnd w:id="14"/>
    </w:p>
    <w:p w:rsidR="00874476" w:rsidRPr="00970B85" w:rsidRDefault="00874476" w:rsidP="00874476">
      <w:pPr>
        <w:pStyle w:val="Zkladntext"/>
        <w:spacing w:before="0" w:after="80" w:line="264" w:lineRule="auto"/>
        <w:rPr>
          <w:i/>
          <w:lang w:val="en-GB"/>
        </w:rPr>
      </w:pPr>
      <w:r w:rsidRPr="00970B85">
        <w:rPr>
          <w:i/>
          <w:sz w:val="20"/>
          <w:lang w:val="en-GB"/>
        </w:rPr>
        <w:t>The gradual development of internet contents requires a</w:t>
      </w:r>
      <w:r>
        <w:rPr>
          <w:i/>
          <w:sz w:val="20"/>
          <w:lang w:val="en-GB"/>
        </w:rPr>
        <w:t> </w:t>
      </w:r>
      <w:r w:rsidRPr="00970B85">
        <w:rPr>
          <w:i/>
          <w:sz w:val="20"/>
          <w:lang w:val="en-GB"/>
        </w:rPr>
        <w:t>gradually faster connection</w:t>
      </w:r>
      <w:r>
        <w:rPr>
          <w:i/>
          <w:sz w:val="20"/>
          <w:lang w:val="en-GB"/>
        </w:rPr>
        <w:t xml:space="preserve"> that is </w:t>
      </w:r>
      <w:r w:rsidRPr="00970B85">
        <w:rPr>
          <w:i/>
          <w:sz w:val="20"/>
          <w:lang w:val="en-GB"/>
        </w:rPr>
        <w:t>reflected by the offer of individual technologies</w:t>
      </w:r>
      <w:r>
        <w:rPr>
          <w:i/>
          <w:sz w:val="20"/>
          <w:lang w:val="en-GB"/>
        </w:rPr>
        <w:t>. According to ITU, t</w:t>
      </w:r>
      <w:r w:rsidRPr="007B35D6">
        <w:rPr>
          <w:i/>
          <w:sz w:val="20"/>
          <w:lang w:val="en-GB"/>
        </w:rPr>
        <w:t xml:space="preserve">he number of worldwide fixed broadband subscriptions </w:t>
      </w:r>
      <w:r>
        <w:rPr>
          <w:i/>
          <w:sz w:val="20"/>
          <w:lang w:val="en-GB"/>
        </w:rPr>
        <w:t xml:space="preserve">doubled </w:t>
      </w:r>
      <w:r w:rsidRPr="007B35D6">
        <w:rPr>
          <w:i/>
          <w:sz w:val="20"/>
          <w:lang w:val="en-GB"/>
        </w:rPr>
        <w:t xml:space="preserve">within just </w:t>
      </w:r>
      <w:r>
        <w:rPr>
          <w:i/>
          <w:sz w:val="20"/>
          <w:lang w:val="en-GB"/>
        </w:rPr>
        <w:t xml:space="preserve">eight </w:t>
      </w:r>
      <w:r w:rsidRPr="007B35D6">
        <w:rPr>
          <w:i/>
          <w:sz w:val="20"/>
          <w:lang w:val="en-GB"/>
        </w:rPr>
        <w:t xml:space="preserve">years </w:t>
      </w:r>
      <w:r>
        <w:rPr>
          <w:i/>
          <w:sz w:val="20"/>
          <w:lang w:val="en-GB"/>
        </w:rPr>
        <w:t>–</w:t>
      </w:r>
      <w:r w:rsidRPr="007B35D6">
        <w:rPr>
          <w:i/>
          <w:sz w:val="20"/>
          <w:lang w:val="en-GB"/>
        </w:rPr>
        <w:t xml:space="preserve"> from 526 million in 2010 to</w:t>
      </w:r>
      <w:r>
        <w:rPr>
          <w:i/>
          <w:sz w:val="20"/>
          <w:lang w:val="en-GB"/>
        </w:rPr>
        <w:t xml:space="preserve"> 1 075</w:t>
      </w:r>
      <w:r w:rsidRPr="007B35D6">
        <w:rPr>
          <w:i/>
          <w:sz w:val="20"/>
          <w:lang w:val="en-GB"/>
        </w:rPr>
        <w:t xml:space="preserve"> million in 201</w:t>
      </w:r>
      <w:r>
        <w:rPr>
          <w:i/>
          <w:sz w:val="20"/>
          <w:lang w:val="en-GB"/>
        </w:rPr>
        <w:t>8</w:t>
      </w:r>
      <w:r w:rsidRPr="007B35D6">
        <w:rPr>
          <w:i/>
          <w:sz w:val="20"/>
          <w:lang w:val="en-GB"/>
        </w:rPr>
        <w:t>.</w:t>
      </w:r>
      <w:r>
        <w:rPr>
          <w:i/>
          <w:sz w:val="20"/>
          <w:lang w:val="en-GB"/>
        </w:rPr>
        <w:t xml:space="preserve"> </w:t>
      </w:r>
      <w:r w:rsidRPr="00970B85">
        <w:rPr>
          <w:i/>
          <w:sz w:val="20"/>
          <w:lang w:val="en-GB"/>
        </w:rPr>
        <w:t>On a global scale, the dominant position of wireless connection used for internet access in the Czech Republic</w:t>
      </w:r>
      <w:r>
        <w:rPr>
          <w:i/>
          <w:sz w:val="20"/>
          <w:lang w:val="en-GB"/>
        </w:rPr>
        <w:t>,</w:t>
      </w:r>
      <w:r w:rsidRPr="00970B85">
        <w:rPr>
          <w:i/>
          <w:sz w:val="20"/>
          <w:lang w:val="en-GB"/>
        </w:rPr>
        <w:t xml:space="preserve"> from a fixed place</w:t>
      </w:r>
      <w:r>
        <w:rPr>
          <w:i/>
          <w:sz w:val="20"/>
          <w:lang w:val="en-GB"/>
        </w:rPr>
        <w:t>,</w:t>
      </w:r>
      <w:r w:rsidRPr="00970B85">
        <w:rPr>
          <w:i/>
          <w:sz w:val="20"/>
          <w:lang w:val="en-GB"/>
        </w:rPr>
        <w:t xml:space="preserve"> may be deemed as unique.</w:t>
      </w:r>
      <w:r w:rsidRPr="00970B85">
        <w:rPr>
          <w:i/>
          <w:lang w:val="en-GB"/>
        </w:rPr>
        <w:t xml:space="preserve"> </w:t>
      </w:r>
    </w:p>
    <w:p w:rsidR="00874476"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For the first time in 2016, the total number of </w:t>
      </w:r>
      <w:r w:rsidRPr="00F653E1">
        <w:rPr>
          <w:b/>
          <w:sz w:val="20"/>
          <w:szCs w:val="20"/>
          <w:lang w:val="en-GB"/>
        </w:rPr>
        <w:t>fixed broadband subscriptions (connections</w:t>
      </w:r>
      <w:r w:rsidRPr="009B4877">
        <w:rPr>
          <w:b/>
          <w:sz w:val="20"/>
          <w:szCs w:val="20"/>
          <w:lang w:val="en-GB"/>
        </w:rPr>
        <w:t>)</w:t>
      </w:r>
      <w:r w:rsidRPr="009B4877">
        <w:rPr>
          <w:b/>
          <w:sz w:val="20"/>
          <w:szCs w:val="20"/>
          <w:vertAlign w:val="superscript"/>
          <w:lang w:val="en-GB"/>
        </w:rPr>
        <w:footnoteReference w:id="12"/>
      </w:r>
      <w:r w:rsidRPr="009B4877">
        <w:rPr>
          <w:b/>
          <w:sz w:val="20"/>
          <w:szCs w:val="20"/>
          <w:lang w:val="en-GB"/>
        </w:rPr>
        <w:t xml:space="preserve"> </w:t>
      </w:r>
      <w:r w:rsidRPr="00970B85">
        <w:rPr>
          <w:sz w:val="20"/>
          <w:szCs w:val="20"/>
          <w:lang w:val="en-GB"/>
        </w:rPr>
        <w:t xml:space="preserve">exceeded </w:t>
      </w:r>
      <w:r>
        <w:rPr>
          <w:sz w:val="20"/>
          <w:szCs w:val="20"/>
          <w:lang w:val="en-GB"/>
        </w:rPr>
        <w:t xml:space="preserve">in the Czech Republic </w:t>
      </w:r>
      <w:r w:rsidRPr="00970B85">
        <w:rPr>
          <w:sz w:val="20"/>
          <w:szCs w:val="20"/>
          <w:lang w:val="en-GB"/>
        </w:rPr>
        <w:t xml:space="preserve">three million. At the end of 2016, there were 3.1 million </w:t>
      </w:r>
      <w:r>
        <w:rPr>
          <w:sz w:val="20"/>
          <w:szCs w:val="20"/>
          <w:lang w:val="en-GB"/>
        </w:rPr>
        <w:t xml:space="preserve">subscribers </w:t>
      </w:r>
      <w:r w:rsidRPr="00970B85">
        <w:rPr>
          <w:sz w:val="20"/>
          <w:szCs w:val="20"/>
          <w:lang w:val="en-GB"/>
        </w:rPr>
        <w:t xml:space="preserve">to </w:t>
      </w:r>
      <w:r>
        <w:rPr>
          <w:sz w:val="20"/>
          <w:szCs w:val="20"/>
          <w:lang w:val="en-GB"/>
        </w:rPr>
        <w:t xml:space="preserve">the fixed </w:t>
      </w:r>
      <w:r w:rsidRPr="00970B85">
        <w:rPr>
          <w:sz w:val="20"/>
          <w:szCs w:val="20"/>
          <w:lang w:val="en-GB"/>
        </w:rPr>
        <w:t xml:space="preserve">broadband internet access – including </w:t>
      </w:r>
      <w:r>
        <w:rPr>
          <w:sz w:val="20"/>
          <w:szCs w:val="20"/>
          <w:lang w:val="en-GB"/>
        </w:rPr>
        <w:t xml:space="preserve">ones </w:t>
      </w:r>
      <w:r w:rsidRPr="00970B85">
        <w:rPr>
          <w:sz w:val="20"/>
          <w:szCs w:val="20"/>
          <w:lang w:val="en-GB"/>
        </w:rPr>
        <w:t>realised by means of fixed wireless connections and Wi-Fi technology</w:t>
      </w:r>
      <w:r w:rsidRPr="00970B85">
        <w:rPr>
          <w:rStyle w:val="Znakapoznpodarou"/>
          <w:sz w:val="20"/>
          <w:szCs w:val="20"/>
          <w:lang w:val="en-GB"/>
        </w:rPr>
        <w:footnoteReference w:id="13"/>
      </w:r>
      <w:r w:rsidRPr="00970B85">
        <w:rPr>
          <w:sz w:val="20"/>
          <w:szCs w:val="20"/>
          <w:lang w:val="en-GB"/>
        </w:rPr>
        <w:t xml:space="preserve">, i.e. 2 million more than ten years ago and approximately a half a million more than five years ago. Despite this significant increase, it must be emphasized that in the past 3 years, the </w:t>
      </w:r>
      <w:r>
        <w:rPr>
          <w:sz w:val="20"/>
          <w:szCs w:val="20"/>
          <w:lang w:val="en-GB"/>
        </w:rPr>
        <w:t xml:space="preserve">approximate </w:t>
      </w:r>
      <w:r w:rsidRPr="00970B85">
        <w:rPr>
          <w:sz w:val="20"/>
          <w:szCs w:val="20"/>
          <w:lang w:val="en-GB"/>
        </w:rPr>
        <w:t xml:space="preserve">number of </w:t>
      </w:r>
      <w:r>
        <w:rPr>
          <w:sz w:val="20"/>
          <w:szCs w:val="20"/>
          <w:lang w:val="en-GB"/>
        </w:rPr>
        <w:t xml:space="preserve">fixed broadband </w:t>
      </w:r>
      <w:r w:rsidRPr="00970B85">
        <w:rPr>
          <w:sz w:val="20"/>
          <w:szCs w:val="20"/>
          <w:lang w:val="en-GB"/>
        </w:rPr>
        <w:t>subscribers has not changed much</w:t>
      </w:r>
      <w:r>
        <w:rPr>
          <w:sz w:val="20"/>
          <w:szCs w:val="20"/>
          <w:lang w:val="en-GB"/>
        </w:rPr>
        <w:t xml:space="preserve"> in the Czech Republic</w:t>
      </w:r>
      <w:r w:rsidRPr="00970B85">
        <w:rPr>
          <w:sz w:val="20"/>
          <w:szCs w:val="20"/>
          <w:lang w:val="en-GB"/>
        </w:rPr>
        <w:t xml:space="preserve">. </w:t>
      </w:r>
    </w:p>
    <w:p w:rsidR="00874476" w:rsidRPr="00970B85" w:rsidRDefault="00874476" w:rsidP="00874476">
      <w:pPr>
        <w:pStyle w:val="Zkladntext"/>
        <w:widowControl w:val="0"/>
        <w:spacing w:before="120" w:after="100" w:line="264" w:lineRule="auto"/>
        <w:rPr>
          <w:lang w:val="en-GB"/>
        </w:rPr>
      </w:pPr>
      <w:r w:rsidRPr="00970B85">
        <w:rPr>
          <w:noProof/>
        </w:rPr>
        <w:lastRenderedPageBreak/>
        <w:drawing>
          <wp:inline distT="0" distB="0" distL="0" distR="0" wp14:anchorId="2BC9E7FD" wp14:editId="7BD5957F">
            <wp:extent cx="2880000" cy="2520000"/>
            <wp:effectExtent l="0" t="0" r="0" b="13970"/>
            <wp:docPr id="49" name="Graf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70B85">
        <w:rPr>
          <w:noProof/>
          <w:lang w:val="en-GB"/>
        </w:rPr>
        <w:t xml:space="preserve"> </w:t>
      </w:r>
      <w:r>
        <w:rPr>
          <w:noProof/>
        </w:rPr>
        <w:drawing>
          <wp:inline distT="0" distB="0" distL="0" distR="0" wp14:anchorId="4BD51901" wp14:editId="492D1C8C">
            <wp:extent cx="3182400" cy="2520000"/>
            <wp:effectExtent l="0" t="0" r="0" b="13970"/>
            <wp:docPr id="70" name="Graf 7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74476" w:rsidRPr="0040501E"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432D38">
        <w:rPr>
          <w:sz w:val="20"/>
          <w:szCs w:val="20"/>
          <w:lang w:val="en-GB"/>
        </w:rPr>
        <w:t xml:space="preserve">At the end of 2016, there were in </w:t>
      </w:r>
      <w:r w:rsidRPr="00432D38">
        <w:rPr>
          <w:b/>
          <w:sz w:val="20"/>
          <w:szCs w:val="20"/>
          <w:lang w:val="en-GB"/>
        </w:rPr>
        <w:t>EU countries</w:t>
      </w:r>
      <w:r w:rsidRPr="00432D38">
        <w:rPr>
          <w:sz w:val="20"/>
          <w:szCs w:val="20"/>
          <w:lang w:val="en-GB"/>
        </w:rPr>
        <w:t xml:space="preserve"> 170 million fixed high-speed internet connections (subscriptions) in total, i.e. approximately twice as many as ten years ago. Therefore, compared to</w:t>
      </w:r>
      <w:r>
        <w:rPr>
          <w:sz w:val="20"/>
          <w:szCs w:val="20"/>
          <w:lang w:val="en-GB"/>
        </w:rPr>
        <w:t> </w:t>
      </w:r>
      <w:r w:rsidRPr="00432D38">
        <w:rPr>
          <w:sz w:val="20"/>
          <w:szCs w:val="20"/>
          <w:lang w:val="en-GB"/>
        </w:rPr>
        <w:t>18</w:t>
      </w:r>
      <w:r>
        <w:rPr>
          <w:sz w:val="20"/>
          <w:szCs w:val="20"/>
          <w:lang w:val="en-GB"/>
        </w:rPr>
        <w:t> </w:t>
      </w:r>
      <w:r w:rsidRPr="00432D38">
        <w:rPr>
          <w:sz w:val="20"/>
          <w:szCs w:val="20"/>
          <w:lang w:val="en-GB"/>
        </w:rPr>
        <w:t xml:space="preserve">fixed broadband subscribers ten years ago, in 2016 there were 33 high-speed fixed internet subscribers </w:t>
      </w:r>
      <w:r w:rsidRPr="0040501E">
        <w:rPr>
          <w:sz w:val="20"/>
          <w:szCs w:val="20"/>
          <w:lang w:val="en-GB"/>
        </w:rPr>
        <w:t xml:space="preserve">per 100 EU inhabitants.  </w:t>
      </w:r>
    </w:p>
    <w:p w:rsidR="00874476" w:rsidRPr="0040501E" w:rsidRDefault="00874476" w:rsidP="00874476">
      <w:pPr>
        <w:pStyle w:val="Zkladntext"/>
        <w:numPr>
          <w:ilvl w:val="0"/>
          <w:numId w:val="15"/>
        </w:numPr>
        <w:spacing w:before="0" w:after="80" w:line="264" w:lineRule="auto"/>
        <w:ind w:left="284" w:hanging="284"/>
        <w:rPr>
          <w:sz w:val="20"/>
          <w:szCs w:val="20"/>
          <w:lang w:val="en-GB"/>
        </w:rPr>
      </w:pPr>
      <w:r w:rsidRPr="0040501E">
        <w:rPr>
          <w:sz w:val="20"/>
          <w:szCs w:val="20"/>
          <w:lang w:val="en-GB"/>
        </w:rPr>
        <w:t xml:space="preserve">Broadband </w:t>
      </w:r>
      <w:r w:rsidRPr="0040501E">
        <w:rPr>
          <w:b/>
          <w:sz w:val="20"/>
          <w:szCs w:val="20"/>
          <w:lang w:val="en-GB"/>
        </w:rPr>
        <w:t>fixed penetration indicator</w:t>
      </w:r>
      <w:r w:rsidRPr="0040501E">
        <w:rPr>
          <w:sz w:val="20"/>
          <w:szCs w:val="20"/>
          <w:lang w:val="en-GB"/>
        </w:rPr>
        <w:t xml:space="preserve"> comprises the number of subscriptions to fixed wired or wireless broadband services, divided by the number of residents in each country. This fixed broadband penetration rate reached over 40% in France, Denmark and the Netherlands in 2016. The Czech Republic had 29 fixed broadband connections per 100 inhabitants compare to above mentioned number 33 for EU average.  The Netherlands and Denmark have been the two countries with </w:t>
      </w:r>
      <w:r w:rsidR="00E57525">
        <w:rPr>
          <w:sz w:val="20"/>
          <w:szCs w:val="20"/>
          <w:lang w:val="en-GB"/>
        </w:rPr>
        <w:t xml:space="preserve">the </w:t>
      </w:r>
      <w:r w:rsidRPr="0040501E">
        <w:rPr>
          <w:sz w:val="20"/>
          <w:szCs w:val="20"/>
          <w:lang w:val="en-GB"/>
        </w:rPr>
        <w:t>highest number of</w:t>
      </w:r>
      <w:r>
        <w:rPr>
          <w:sz w:val="20"/>
          <w:szCs w:val="20"/>
          <w:lang w:val="en-GB"/>
        </w:rPr>
        <w:t> </w:t>
      </w:r>
      <w:r w:rsidRPr="0040501E">
        <w:rPr>
          <w:sz w:val="20"/>
          <w:szCs w:val="20"/>
          <w:lang w:val="en-GB"/>
        </w:rPr>
        <w:t>broadband connections for some time. Take-up for fixed broadband has increased at a slower pace than for mobile, and in some countries this latter has been substituting fixed broadband rather than complementing it. The general trend, however, indicates significant improvement in available technologies.</w:t>
      </w:r>
    </w:p>
    <w:p w:rsidR="00874476" w:rsidRPr="00970B85" w:rsidRDefault="00874476" w:rsidP="00874476">
      <w:pPr>
        <w:pStyle w:val="Zkladntext"/>
        <w:spacing w:before="0" w:line="264" w:lineRule="auto"/>
        <w:rPr>
          <w:sz w:val="20"/>
          <w:szCs w:val="20"/>
          <w:lang w:val="en-GB"/>
        </w:rPr>
      </w:pPr>
      <w:r>
        <w:rPr>
          <w:noProof/>
        </w:rPr>
        <w:drawing>
          <wp:inline distT="0" distB="0" distL="0" distR="0" wp14:anchorId="62ACF0E3" wp14:editId="1FA21FFD">
            <wp:extent cx="5972810" cy="3132000"/>
            <wp:effectExtent l="0" t="0" r="0" b="0"/>
            <wp:docPr id="73" name="Graf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On a long-term basis, the most popular fixed internet subscription in the Czech Republic is by means of</w:t>
      </w:r>
      <w:r>
        <w:rPr>
          <w:sz w:val="20"/>
          <w:szCs w:val="20"/>
          <w:lang w:val="en-GB"/>
        </w:rPr>
        <w:t xml:space="preserve"> above described </w:t>
      </w:r>
      <w:r w:rsidRPr="00E95E68">
        <w:rPr>
          <w:b/>
          <w:sz w:val="20"/>
          <w:szCs w:val="20"/>
          <w:lang w:val="en-GB"/>
        </w:rPr>
        <w:t>fixed terrestrial wireless access using Wi-Fi technology</w:t>
      </w:r>
      <w:r>
        <w:rPr>
          <w:sz w:val="20"/>
          <w:szCs w:val="20"/>
          <w:lang w:val="en-GB"/>
        </w:rPr>
        <w:t xml:space="preserve">. </w:t>
      </w:r>
      <w:r w:rsidRPr="00970B85">
        <w:rPr>
          <w:sz w:val="20"/>
          <w:szCs w:val="20"/>
          <w:lang w:val="en-GB"/>
        </w:rPr>
        <w:t>The share of this technology</w:t>
      </w:r>
      <w:r>
        <w:rPr>
          <w:sz w:val="20"/>
          <w:szCs w:val="20"/>
          <w:lang w:val="en-GB"/>
        </w:rPr>
        <w:t>,</w:t>
      </w:r>
      <w:r w:rsidRPr="00970B85">
        <w:rPr>
          <w:sz w:val="20"/>
          <w:szCs w:val="20"/>
          <w:lang w:val="en-GB"/>
        </w:rPr>
        <w:t xml:space="preserve"> with respect to the total number of subscribers (connectors/connections)</w:t>
      </w:r>
      <w:r>
        <w:rPr>
          <w:sz w:val="20"/>
          <w:szCs w:val="20"/>
          <w:lang w:val="en-GB"/>
        </w:rPr>
        <w:t>,</w:t>
      </w:r>
      <w:r w:rsidRPr="00970B85">
        <w:rPr>
          <w:sz w:val="20"/>
          <w:szCs w:val="20"/>
          <w:lang w:val="en-GB"/>
        </w:rPr>
        <w:t xml:space="preserve"> to “fixed” internet is </w:t>
      </w:r>
      <w:r w:rsidRPr="00970B85">
        <w:rPr>
          <w:sz w:val="20"/>
          <w:szCs w:val="20"/>
          <w:lang w:val="en-GB"/>
        </w:rPr>
        <w:lastRenderedPageBreak/>
        <w:t>around one third</w:t>
      </w:r>
      <w:r w:rsidRPr="00970B85">
        <w:rPr>
          <w:sz w:val="20"/>
          <w:szCs w:val="20"/>
          <w:vertAlign w:val="superscript"/>
          <w:lang w:val="en-GB"/>
        </w:rPr>
        <w:footnoteReference w:id="14"/>
      </w:r>
      <w:r w:rsidRPr="00970B85">
        <w:rPr>
          <w:sz w:val="20"/>
          <w:szCs w:val="20"/>
          <w:lang w:val="en-GB"/>
        </w:rPr>
        <w:t>. In 2016, this technology connected 1.07 million subscribers</w:t>
      </w:r>
      <w:r>
        <w:rPr>
          <w:sz w:val="20"/>
          <w:szCs w:val="20"/>
          <w:lang w:val="en-GB"/>
        </w:rPr>
        <w:t xml:space="preserve"> to the internet</w:t>
      </w:r>
      <w:r w:rsidRPr="00970B85">
        <w:rPr>
          <w:sz w:val="20"/>
          <w:szCs w:val="20"/>
          <w:lang w:val="en-GB"/>
        </w:rPr>
        <w:t xml:space="preserve">, with the majority </w:t>
      </w:r>
      <w:r>
        <w:rPr>
          <w:sz w:val="20"/>
          <w:szCs w:val="20"/>
          <w:lang w:val="en-GB"/>
        </w:rPr>
        <w:t>being</w:t>
      </w:r>
      <w:r w:rsidRPr="00970B85">
        <w:rPr>
          <w:sz w:val="20"/>
          <w:szCs w:val="20"/>
          <w:lang w:val="en-GB"/>
        </w:rPr>
        <w:t xml:space="preserve"> </w:t>
      </w:r>
      <w:r>
        <w:rPr>
          <w:sz w:val="20"/>
          <w:szCs w:val="20"/>
          <w:lang w:val="en-GB"/>
        </w:rPr>
        <w:t>individual/consumer subscriptions (</w:t>
      </w:r>
      <w:r w:rsidRPr="00970B85">
        <w:rPr>
          <w:sz w:val="20"/>
          <w:szCs w:val="20"/>
          <w:lang w:val="en-GB"/>
        </w:rPr>
        <w:t>85% precisely)</w:t>
      </w:r>
      <w:r>
        <w:rPr>
          <w:sz w:val="20"/>
          <w:szCs w:val="20"/>
          <w:lang w:val="en-GB"/>
        </w:rPr>
        <w:t xml:space="preserve"> compare to 15% of business subscriptions</w:t>
      </w:r>
      <w:r w:rsidRPr="00970B85">
        <w:rPr>
          <w:sz w:val="20"/>
          <w:szCs w:val="20"/>
          <w:lang w:val="en-GB"/>
        </w:rPr>
        <w:t>. At the end of 2016, however, only a quarter of internet connections</w:t>
      </w:r>
      <w:r>
        <w:rPr>
          <w:sz w:val="20"/>
          <w:szCs w:val="20"/>
          <w:lang w:val="en-GB"/>
        </w:rPr>
        <w:t>,</w:t>
      </w:r>
      <w:r w:rsidRPr="00970B85">
        <w:rPr>
          <w:sz w:val="20"/>
          <w:szCs w:val="20"/>
          <w:lang w:val="en-GB"/>
        </w:rPr>
        <w:t xml:space="preserve"> by means of Wi</w:t>
      </w:r>
      <w:r>
        <w:rPr>
          <w:sz w:val="20"/>
          <w:szCs w:val="20"/>
          <w:lang w:val="en-GB"/>
        </w:rPr>
        <w:t>-</w:t>
      </w:r>
      <w:r w:rsidRPr="00970B85">
        <w:rPr>
          <w:sz w:val="20"/>
          <w:szCs w:val="20"/>
          <w:lang w:val="en-GB"/>
        </w:rPr>
        <w:t>Fi networks</w:t>
      </w:r>
      <w:r>
        <w:rPr>
          <w:sz w:val="20"/>
          <w:szCs w:val="20"/>
          <w:lang w:val="en-GB"/>
        </w:rPr>
        <w:t>,</w:t>
      </w:r>
      <w:r w:rsidRPr="00970B85">
        <w:rPr>
          <w:sz w:val="20"/>
          <w:szCs w:val="20"/>
          <w:lang w:val="en-GB"/>
        </w:rPr>
        <w:t xml:space="preserve"> offered the</w:t>
      </w:r>
      <w:r>
        <w:rPr>
          <w:sz w:val="20"/>
          <w:szCs w:val="20"/>
          <w:lang w:val="en-GB"/>
        </w:rPr>
        <w:t> </w:t>
      </w:r>
      <w:r w:rsidRPr="00970B85">
        <w:rPr>
          <w:sz w:val="20"/>
          <w:szCs w:val="20"/>
          <w:lang w:val="en-GB"/>
        </w:rPr>
        <w:t xml:space="preserve">maximum (advertised) speed of 30 Mb/s and higher. </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The share of </w:t>
      </w:r>
      <w:r>
        <w:rPr>
          <w:b/>
          <w:sz w:val="20"/>
          <w:szCs w:val="20"/>
          <w:lang w:val="en-GB"/>
        </w:rPr>
        <w:t>x</w:t>
      </w:r>
      <w:r w:rsidRPr="00970B85">
        <w:rPr>
          <w:b/>
          <w:sz w:val="20"/>
          <w:szCs w:val="20"/>
          <w:lang w:val="en-GB"/>
        </w:rPr>
        <w:t>DSL</w:t>
      </w:r>
      <w:r w:rsidRPr="00970B85">
        <w:rPr>
          <w:sz w:val="20"/>
          <w:szCs w:val="20"/>
          <w:lang w:val="en-GB"/>
        </w:rPr>
        <w:t xml:space="preserve"> technology in fixed high-speed internet has been </w:t>
      </w:r>
      <w:r>
        <w:rPr>
          <w:sz w:val="20"/>
          <w:szCs w:val="20"/>
          <w:lang w:val="en-GB"/>
        </w:rPr>
        <w:t xml:space="preserve">gradually </w:t>
      </w:r>
      <w:r w:rsidRPr="00970B85">
        <w:rPr>
          <w:sz w:val="20"/>
          <w:szCs w:val="20"/>
          <w:lang w:val="en-GB"/>
        </w:rPr>
        <w:t xml:space="preserve">decreasing. In spite of this, it is the second most common means of fixed internet connection </w:t>
      </w:r>
      <w:r>
        <w:rPr>
          <w:sz w:val="20"/>
          <w:szCs w:val="20"/>
          <w:lang w:val="en-GB"/>
        </w:rPr>
        <w:t xml:space="preserve">used </w:t>
      </w:r>
      <w:r w:rsidRPr="00970B85">
        <w:rPr>
          <w:sz w:val="20"/>
          <w:szCs w:val="20"/>
          <w:lang w:val="en-GB"/>
        </w:rPr>
        <w:t>in the Czech Republic</w:t>
      </w:r>
      <w:r>
        <w:rPr>
          <w:sz w:val="20"/>
          <w:szCs w:val="20"/>
          <w:lang w:val="en-GB"/>
        </w:rPr>
        <w:t>,</w:t>
      </w:r>
      <w:r w:rsidRPr="00970B85">
        <w:rPr>
          <w:sz w:val="20"/>
          <w:szCs w:val="20"/>
          <w:lang w:val="en-GB"/>
        </w:rPr>
        <w:t xml:space="preserve"> with its 904</w:t>
      </w:r>
      <w:r>
        <w:rPr>
          <w:sz w:val="20"/>
          <w:szCs w:val="20"/>
          <w:lang w:val="en-GB"/>
        </w:rPr>
        <w:t> </w:t>
      </w:r>
      <w:r w:rsidRPr="00970B85">
        <w:rPr>
          <w:sz w:val="20"/>
          <w:szCs w:val="20"/>
          <w:lang w:val="en-GB"/>
        </w:rPr>
        <w:t>thousand subscribers at the end of 2016, 72% of whom were individuals</w:t>
      </w:r>
      <w:r w:rsidRPr="00970B85">
        <w:rPr>
          <w:rStyle w:val="Znakapoznpodarou"/>
          <w:sz w:val="20"/>
          <w:szCs w:val="20"/>
          <w:lang w:val="en-GB"/>
        </w:rPr>
        <w:footnoteReference w:id="15"/>
      </w:r>
      <w:r w:rsidRPr="00970B85">
        <w:rPr>
          <w:sz w:val="20"/>
          <w:szCs w:val="20"/>
          <w:lang w:val="en-GB"/>
        </w:rPr>
        <w:t>.</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Internet connection via telephone cables by means of xDSL technology represents the most popular means of</w:t>
      </w:r>
      <w:r>
        <w:rPr>
          <w:sz w:val="20"/>
          <w:szCs w:val="20"/>
          <w:lang w:val="en-GB"/>
        </w:rPr>
        <w:t xml:space="preserve"> fixed internet connection in </w:t>
      </w:r>
      <w:r w:rsidRPr="00970B85">
        <w:rPr>
          <w:sz w:val="20"/>
          <w:szCs w:val="20"/>
          <w:lang w:val="en-GB"/>
        </w:rPr>
        <w:t>half of EU countries. It is represented significantly in Greece, France, Italy</w:t>
      </w:r>
      <w:r>
        <w:rPr>
          <w:sz w:val="20"/>
          <w:szCs w:val="20"/>
          <w:lang w:val="en-GB"/>
        </w:rPr>
        <w:t>, and</w:t>
      </w:r>
      <w:r w:rsidRPr="00970B85">
        <w:rPr>
          <w:sz w:val="20"/>
          <w:szCs w:val="20"/>
          <w:lang w:val="en-GB"/>
        </w:rPr>
        <w:t xml:space="preserve"> Germany. In the Czech Republic, the share of this technology in fixed internet</w:t>
      </w:r>
      <w:r>
        <w:rPr>
          <w:sz w:val="20"/>
          <w:szCs w:val="20"/>
          <w:lang w:val="en-GB"/>
        </w:rPr>
        <w:t>,</w:t>
      </w:r>
      <w:r w:rsidRPr="00970B85">
        <w:rPr>
          <w:sz w:val="20"/>
          <w:szCs w:val="20"/>
          <w:lang w:val="en-GB"/>
        </w:rPr>
        <w:t xml:space="preserve"> decreased from 44% in 2006 – at that time it was the most frequent means of internet access – to 30% in</w:t>
      </w:r>
      <w:r>
        <w:rPr>
          <w:sz w:val="20"/>
          <w:szCs w:val="20"/>
          <w:lang w:val="en-GB"/>
        </w:rPr>
        <w:t> </w:t>
      </w:r>
      <w:r w:rsidRPr="00970B85">
        <w:rPr>
          <w:sz w:val="20"/>
          <w:szCs w:val="20"/>
          <w:lang w:val="en-GB"/>
        </w:rPr>
        <w:t xml:space="preserve">2016. </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Up until the year 2014, the majority of these connections in our country was realised via </w:t>
      </w:r>
      <w:r w:rsidRPr="00970B85">
        <w:rPr>
          <w:b/>
          <w:sz w:val="20"/>
          <w:szCs w:val="20"/>
          <w:lang w:val="en-GB"/>
        </w:rPr>
        <w:t>ADSL lines</w:t>
      </w:r>
      <w:r w:rsidRPr="00970B85">
        <w:rPr>
          <w:sz w:val="20"/>
          <w:szCs w:val="20"/>
          <w:lang w:val="en-GB"/>
        </w:rPr>
        <w:t>; since 2015</w:t>
      </w:r>
      <w:r>
        <w:rPr>
          <w:sz w:val="20"/>
          <w:szCs w:val="20"/>
          <w:lang w:val="en-GB"/>
        </w:rPr>
        <w:t>,</w:t>
      </w:r>
      <w:r w:rsidRPr="00970B85">
        <w:rPr>
          <w:sz w:val="20"/>
          <w:szCs w:val="20"/>
          <w:lang w:val="en-GB"/>
        </w:rPr>
        <w:t xml:space="preserve"> the more modern </w:t>
      </w:r>
      <w:r>
        <w:rPr>
          <w:b/>
          <w:sz w:val="20"/>
          <w:szCs w:val="20"/>
          <w:lang w:val="en-GB"/>
        </w:rPr>
        <w:t>V</w:t>
      </w:r>
      <w:r w:rsidRPr="00970B85">
        <w:rPr>
          <w:b/>
          <w:sz w:val="20"/>
          <w:szCs w:val="20"/>
          <w:lang w:val="en-GB"/>
        </w:rPr>
        <w:t>D</w:t>
      </w:r>
      <w:r>
        <w:rPr>
          <w:b/>
          <w:sz w:val="20"/>
          <w:szCs w:val="20"/>
          <w:lang w:val="en-GB"/>
        </w:rPr>
        <w:t>S</w:t>
      </w:r>
      <w:r w:rsidRPr="00970B85">
        <w:rPr>
          <w:b/>
          <w:sz w:val="20"/>
          <w:szCs w:val="20"/>
          <w:lang w:val="en-GB"/>
        </w:rPr>
        <w:t>L lines</w:t>
      </w:r>
      <w:r w:rsidRPr="00970B85">
        <w:rPr>
          <w:sz w:val="20"/>
          <w:szCs w:val="20"/>
          <w:lang w:val="en-GB"/>
        </w:rPr>
        <w:t xml:space="preserve"> prevail. In 2016, there were 54 thousand active VDSL connect</w:t>
      </w:r>
      <w:r>
        <w:rPr>
          <w:sz w:val="20"/>
          <w:szCs w:val="20"/>
          <w:lang w:val="en-GB"/>
        </w:rPr>
        <w:t>ions</w:t>
      </w:r>
      <w:r w:rsidRPr="00970B85">
        <w:rPr>
          <w:sz w:val="20"/>
          <w:szCs w:val="20"/>
          <w:lang w:val="en-GB"/>
        </w:rPr>
        <w:t xml:space="preserve"> in the Czech Republic as opposed to 350 thousand realised by means of ADSL.</w:t>
      </w:r>
    </w:p>
    <w:p w:rsidR="00874476" w:rsidRPr="00970B85" w:rsidRDefault="00874476" w:rsidP="00874476">
      <w:pPr>
        <w:pStyle w:val="Zkladntext"/>
        <w:spacing w:before="0" w:line="264" w:lineRule="auto"/>
        <w:rPr>
          <w:sz w:val="20"/>
          <w:szCs w:val="20"/>
          <w:lang w:val="en-GB"/>
        </w:rPr>
      </w:pPr>
      <w:r>
        <w:rPr>
          <w:noProof/>
        </w:rPr>
        <w:drawing>
          <wp:inline distT="0" distB="0" distL="0" distR="0" wp14:anchorId="29B1F97D" wp14:editId="2BBCFC50">
            <wp:extent cx="5972810" cy="3240000"/>
            <wp:effectExtent l="0" t="0" r="8890" b="0"/>
            <wp:docPr id="71" name="Graf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970B85">
        <w:rPr>
          <w:sz w:val="20"/>
          <w:szCs w:val="20"/>
          <w:lang w:val="en-GB"/>
        </w:rPr>
        <w:t xml:space="preserve"> </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Internet access via </w:t>
      </w:r>
      <w:r w:rsidRPr="00970B85">
        <w:rPr>
          <w:b/>
          <w:sz w:val="20"/>
          <w:szCs w:val="20"/>
          <w:lang w:val="en-GB"/>
        </w:rPr>
        <w:t xml:space="preserve">cable </w:t>
      </w:r>
      <w:r w:rsidRPr="00970B85">
        <w:rPr>
          <w:sz w:val="20"/>
          <w:szCs w:val="20"/>
          <w:lang w:val="en-GB"/>
        </w:rPr>
        <w:t>(CATV) has recorded a slight increase in the Czech Republic. At the end of</w:t>
      </w:r>
      <w:r>
        <w:rPr>
          <w:sz w:val="20"/>
          <w:szCs w:val="20"/>
          <w:lang w:val="en-GB"/>
        </w:rPr>
        <w:t> </w:t>
      </w:r>
      <w:r w:rsidRPr="00970B85">
        <w:rPr>
          <w:sz w:val="20"/>
          <w:szCs w:val="20"/>
          <w:lang w:val="en-GB"/>
        </w:rPr>
        <w:t xml:space="preserve">2016 this means of internet access was used by 563 thousand subscribers; 95% of </w:t>
      </w:r>
      <w:r>
        <w:rPr>
          <w:sz w:val="20"/>
          <w:szCs w:val="20"/>
          <w:lang w:val="en-GB"/>
        </w:rPr>
        <w:t>which</w:t>
      </w:r>
      <w:r w:rsidRPr="00970B85">
        <w:rPr>
          <w:sz w:val="20"/>
          <w:szCs w:val="20"/>
          <w:lang w:val="en-GB"/>
        </w:rPr>
        <w:t xml:space="preserve"> were </w:t>
      </w:r>
      <w:r w:rsidRPr="00970B85">
        <w:rPr>
          <w:b/>
          <w:sz w:val="20"/>
          <w:szCs w:val="20"/>
          <w:lang w:val="en-GB"/>
        </w:rPr>
        <w:t>individuals</w:t>
      </w:r>
      <w:r w:rsidRPr="00970B85">
        <w:rPr>
          <w:sz w:val="20"/>
          <w:szCs w:val="20"/>
          <w:lang w:val="en-GB"/>
        </w:rPr>
        <w:t xml:space="preserve">. Out of </w:t>
      </w:r>
      <w:r w:rsidRPr="00970B85">
        <w:rPr>
          <w:b/>
          <w:sz w:val="20"/>
          <w:szCs w:val="20"/>
          <w:lang w:val="en-GB"/>
        </w:rPr>
        <w:t>EU countries</w:t>
      </w:r>
      <w:r w:rsidRPr="00970B85">
        <w:rPr>
          <w:sz w:val="20"/>
          <w:szCs w:val="20"/>
          <w:lang w:val="en-GB"/>
        </w:rPr>
        <w:t>, this technology is the most frequently used one in Belgium, the Netherlands, and Hungary where it represents nearly a 50% share of retail market of fixed internet access. Furthermore, Belgium and the Netherlands came close to 20 subscribers per 100 inhabitants in</w:t>
      </w:r>
      <w:r>
        <w:rPr>
          <w:sz w:val="20"/>
          <w:szCs w:val="20"/>
          <w:lang w:val="en-GB"/>
        </w:rPr>
        <w:t> </w:t>
      </w:r>
      <w:r w:rsidRPr="00970B85">
        <w:rPr>
          <w:sz w:val="20"/>
          <w:szCs w:val="20"/>
          <w:lang w:val="en-GB"/>
        </w:rPr>
        <w:t>2016.</w:t>
      </w:r>
    </w:p>
    <w:p w:rsidR="00874476" w:rsidRDefault="00874476" w:rsidP="00874476">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Within the individual technologies of fixed internet access, since 2009 the connection via </w:t>
      </w:r>
      <w:r w:rsidRPr="00264338">
        <w:rPr>
          <w:b/>
          <w:sz w:val="20"/>
          <w:szCs w:val="20"/>
          <w:lang w:val="en-GB"/>
        </w:rPr>
        <w:t>fibre broadband (FTTH/B)</w:t>
      </w:r>
      <w:r>
        <w:rPr>
          <w:rStyle w:val="Znakapoznpodarou"/>
          <w:b/>
          <w:sz w:val="20"/>
          <w:szCs w:val="20"/>
          <w:lang w:val="en-GB"/>
        </w:rPr>
        <w:footnoteReference w:id="16"/>
      </w:r>
      <w:r w:rsidRPr="00970B85">
        <w:rPr>
          <w:sz w:val="20"/>
          <w:szCs w:val="20"/>
          <w:lang w:val="en-GB"/>
        </w:rPr>
        <w:t xml:space="preserve"> ha</w:t>
      </w:r>
      <w:r>
        <w:rPr>
          <w:sz w:val="20"/>
          <w:szCs w:val="20"/>
          <w:lang w:val="en-GB"/>
        </w:rPr>
        <w:t>s</w:t>
      </w:r>
      <w:r w:rsidRPr="00970B85">
        <w:rPr>
          <w:sz w:val="20"/>
          <w:szCs w:val="20"/>
          <w:lang w:val="en-GB"/>
        </w:rPr>
        <w:t xml:space="preserve"> recorded the greatest increase (fivefold) on the Czech market. At the end of</w:t>
      </w:r>
      <w:r>
        <w:rPr>
          <w:sz w:val="20"/>
          <w:szCs w:val="20"/>
          <w:lang w:val="en-GB"/>
        </w:rPr>
        <w:t> </w:t>
      </w:r>
      <w:r w:rsidRPr="00970B85">
        <w:rPr>
          <w:sz w:val="20"/>
          <w:szCs w:val="20"/>
          <w:lang w:val="en-GB"/>
        </w:rPr>
        <w:t xml:space="preserve">2016, this means of connection was used by 523 thousand subscribers, 91% of whom were </w:t>
      </w:r>
      <w:r w:rsidRPr="00970B85">
        <w:rPr>
          <w:sz w:val="20"/>
          <w:szCs w:val="20"/>
          <w:lang w:val="en-GB"/>
        </w:rPr>
        <w:lastRenderedPageBreak/>
        <w:t xml:space="preserve">individuals. However, the development of FTTx access in the Czech Republic is still being realised mainly by local providers. </w:t>
      </w:r>
      <w:r w:rsidRPr="00970B85">
        <w:rPr>
          <w:b/>
          <w:sz w:val="20"/>
          <w:szCs w:val="20"/>
          <w:lang w:val="en-GB"/>
        </w:rPr>
        <w:t>In international comparison</w:t>
      </w:r>
      <w:r w:rsidRPr="00970B85">
        <w:rPr>
          <w:sz w:val="20"/>
          <w:szCs w:val="20"/>
          <w:lang w:val="en-GB"/>
        </w:rPr>
        <w:t>, optical networks are the most commonly used means of</w:t>
      </w:r>
      <w:r>
        <w:rPr>
          <w:sz w:val="20"/>
          <w:szCs w:val="20"/>
          <w:lang w:val="en-GB"/>
        </w:rPr>
        <w:t> </w:t>
      </w:r>
      <w:r w:rsidRPr="00970B85">
        <w:rPr>
          <w:sz w:val="20"/>
          <w:szCs w:val="20"/>
          <w:lang w:val="en-GB"/>
        </w:rPr>
        <w:t>connection in the following EU countries – calculated by the number of subsc</w:t>
      </w:r>
      <w:r>
        <w:rPr>
          <w:sz w:val="20"/>
          <w:szCs w:val="20"/>
          <w:lang w:val="en-GB"/>
        </w:rPr>
        <w:t xml:space="preserve">ribers per 100 inhabitants – </w:t>
      </w:r>
      <w:r w:rsidRPr="00970B85">
        <w:rPr>
          <w:sz w:val="20"/>
          <w:szCs w:val="20"/>
          <w:lang w:val="en-GB"/>
        </w:rPr>
        <w:t>Sweden, Latvia, and Lithuania.</w:t>
      </w:r>
    </w:p>
    <w:p w:rsidR="00874476" w:rsidRPr="00B54C5E" w:rsidRDefault="00874476" w:rsidP="00874476">
      <w:pPr>
        <w:pStyle w:val="Zkladntext"/>
        <w:numPr>
          <w:ilvl w:val="0"/>
          <w:numId w:val="15"/>
        </w:numPr>
        <w:spacing w:before="0" w:after="80" w:line="264" w:lineRule="auto"/>
        <w:ind w:left="284" w:hanging="284"/>
        <w:rPr>
          <w:sz w:val="20"/>
          <w:szCs w:val="20"/>
          <w:lang w:val="en-GB"/>
        </w:rPr>
      </w:pPr>
      <w:r w:rsidRPr="00B54C5E">
        <w:rPr>
          <w:sz w:val="20"/>
          <w:szCs w:val="20"/>
          <w:lang w:val="en-GB"/>
        </w:rPr>
        <w:t>Deploying fibre closer to the home has been an on-going process in most EU countries for many years. More recently, network operators have started</w:t>
      </w:r>
      <w:r w:rsidRPr="00434FCB">
        <w:rPr>
          <w:sz w:val="20"/>
          <w:szCs w:val="20"/>
          <w:lang w:val="en-GB"/>
        </w:rPr>
        <w:t xml:space="preserve"> to evaluate whether to bring fibre directly to a premise or to</w:t>
      </w:r>
      <w:r>
        <w:rPr>
          <w:sz w:val="20"/>
          <w:szCs w:val="20"/>
          <w:lang w:val="en-GB"/>
        </w:rPr>
        <w:t> </w:t>
      </w:r>
      <w:r w:rsidRPr="00434FCB">
        <w:rPr>
          <w:sz w:val="20"/>
          <w:szCs w:val="20"/>
          <w:lang w:val="en-GB"/>
        </w:rPr>
        <w:t>a nearby point and use existing or upgraded</w:t>
      </w:r>
      <w:r w:rsidRPr="00956B74">
        <w:rPr>
          <w:sz w:val="20"/>
          <w:szCs w:val="20"/>
          <w:lang w:val="en-GB"/>
        </w:rPr>
        <w:t xml:space="preserve"> DSL and cable infrastructure. </w:t>
      </w:r>
      <w:r>
        <w:rPr>
          <w:sz w:val="20"/>
          <w:szCs w:val="20"/>
          <w:lang w:val="en-GB"/>
        </w:rPr>
        <w:t>However, t</w:t>
      </w:r>
      <w:r w:rsidRPr="00B54C5E">
        <w:rPr>
          <w:sz w:val="20"/>
          <w:szCs w:val="20"/>
          <w:lang w:val="en-GB"/>
        </w:rPr>
        <w:t>he majority of</w:t>
      </w:r>
      <w:r>
        <w:rPr>
          <w:sz w:val="20"/>
          <w:szCs w:val="20"/>
          <w:lang w:val="en-GB"/>
        </w:rPr>
        <w:t> </w:t>
      </w:r>
      <w:r w:rsidRPr="00B54C5E">
        <w:rPr>
          <w:sz w:val="20"/>
          <w:szCs w:val="20"/>
          <w:lang w:val="en-GB"/>
        </w:rPr>
        <w:t xml:space="preserve">fixed broadband connections are in EU countries currently provided </w:t>
      </w:r>
      <w:r>
        <w:rPr>
          <w:sz w:val="20"/>
          <w:szCs w:val="20"/>
          <w:lang w:val="en-GB"/>
        </w:rPr>
        <w:t xml:space="preserve">still </w:t>
      </w:r>
      <w:r w:rsidRPr="00B54C5E">
        <w:rPr>
          <w:sz w:val="20"/>
          <w:szCs w:val="20"/>
          <w:lang w:val="en-GB"/>
        </w:rPr>
        <w:t>mainly over DSL and cable modem technologies.</w:t>
      </w:r>
    </w:p>
    <w:p w:rsidR="00874476" w:rsidRPr="00BE6B68" w:rsidRDefault="00874476" w:rsidP="00874476">
      <w:pPr>
        <w:pStyle w:val="Zkladntext"/>
        <w:numPr>
          <w:ilvl w:val="0"/>
          <w:numId w:val="15"/>
        </w:numPr>
        <w:spacing w:before="0" w:after="80" w:line="264" w:lineRule="auto"/>
        <w:ind w:left="284" w:hanging="284"/>
        <w:rPr>
          <w:sz w:val="20"/>
          <w:szCs w:val="20"/>
          <w:lang w:val="en-GB"/>
        </w:rPr>
      </w:pPr>
      <w:r w:rsidRPr="00BE6B68">
        <w:rPr>
          <w:sz w:val="20"/>
          <w:szCs w:val="20"/>
          <w:lang w:val="en-GB"/>
        </w:rPr>
        <w:t>Adequate network access speed</w:t>
      </w:r>
      <w:r>
        <w:rPr>
          <w:rStyle w:val="Znakapoznpodarou"/>
          <w:sz w:val="20"/>
          <w:szCs w:val="20"/>
          <w:lang w:val="en-GB"/>
        </w:rPr>
        <w:footnoteReference w:id="17"/>
      </w:r>
      <w:r w:rsidRPr="00BE6B68">
        <w:rPr>
          <w:sz w:val="20"/>
          <w:szCs w:val="20"/>
          <w:lang w:val="en-GB"/>
        </w:rPr>
        <w:t xml:space="preserve"> is essential to fully exploit existing services over the </w:t>
      </w:r>
      <w:r>
        <w:rPr>
          <w:sz w:val="20"/>
          <w:szCs w:val="20"/>
          <w:lang w:val="en-GB"/>
        </w:rPr>
        <w:t>i</w:t>
      </w:r>
      <w:r w:rsidRPr="00BE6B68">
        <w:rPr>
          <w:sz w:val="20"/>
          <w:szCs w:val="20"/>
          <w:lang w:val="en-GB"/>
        </w:rPr>
        <w:t>nternet and to</w:t>
      </w:r>
      <w:r>
        <w:rPr>
          <w:sz w:val="20"/>
          <w:szCs w:val="20"/>
          <w:lang w:val="en-GB"/>
        </w:rPr>
        <w:t> </w:t>
      </w:r>
      <w:r w:rsidRPr="00BE6B68">
        <w:rPr>
          <w:sz w:val="20"/>
          <w:szCs w:val="20"/>
          <w:lang w:val="en-GB"/>
        </w:rPr>
        <w:t>foster the diffusion of new ones.</w:t>
      </w:r>
      <w:r>
        <w:rPr>
          <w:sz w:val="20"/>
          <w:szCs w:val="20"/>
          <w:lang w:val="en-GB"/>
        </w:rPr>
        <w:t xml:space="preserve"> </w:t>
      </w:r>
      <w:r w:rsidRPr="00BE6B68">
        <w:rPr>
          <w:sz w:val="20"/>
          <w:szCs w:val="20"/>
          <w:lang w:val="en-GB"/>
        </w:rPr>
        <w:t xml:space="preserve">Czech broadband network is </w:t>
      </w:r>
      <w:r w:rsidRPr="00565934">
        <w:rPr>
          <w:sz w:val="20"/>
          <w:szCs w:val="20"/>
          <w:lang w:val="en-GB"/>
        </w:rPr>
        <w:t>becoming increasingly faster. At the end of 2016, over 44% of subscribers in the Czech Republic accessed the internet via fixed network</w:t>
      </w:r>
      <w:r w:rsidRPr="00BE6B68">
        <w:rPr>
          <w:sz w:val="20"/>
          <w:szCs w:val="20"/>
          <w:lang w:val="en-GB"/>
        </w:rPr>
        <w:t>, by</w:t>
      </w:r>
      <w:r>
        <w:rPr>
          <w:sz w:val="20"/>
          <w:szCs w:val="20"/>
          <w:lang w:val="en-GB"/>
        </w:rPr>
        <w:t> </w:t>
      </w:r>
      <w:r w:rsidRPr="00BE6B68">
        <w:rPr>
          <w:sz w:val="20"/>
          <w:szCs w:val="20"/>
          <w:lang w:val="en-GB"/>
        </w:rPr>
        <w:t xml:space="preserve">means of technology with </w:t>
      </w:r>
      <w:r w:rsidRPr="00BE6B68">
        <w:rPr>
          <w:b/>
          <w:sz w:val="20"/>
          <w:szCs w:val="20"/>
          <w:lang w:val="en-GB"/>
        </w:rPr>
        <w:t>advertised speed over 30 Mb/s</w:t>
      </w:r>
      <w:r w:rsidRPr="00BE6B68">
        <w:rPr>
          <w:sz w:val="20"/>
          <w:szCs w:val="20"/>
          <w:lang w:val="en-GB"/>
        </w:rPr>
        <w:t>, which is a significant increase compared to</w:t>
      </w:r>
      <w:r>
        <w:rPr>
          <w:sz w:val="20"/>
          <w:szCs w:val="20"/>
          <w:lang w:val="en-GB"/>
        </w:rPr>
        <w:t> </w:t>
      </w:r>
      <w:r w:rsidRPr="00BE6B68">
        <w:rPr>
          <w:sz w:val="20"/>
          <w:szCs w:val="20"/>
          <w:lang w:val="en-GB"/>
        </w:rPr>
        <w:t>21% in 2012. In the year 2016, 680 thousand citizens and enterprises (subscribers) could use the internet access within the fixed network, enabling the speed of 100 Mbit data per second, compared to</w:t>
      </w:r>
      <w:r>
        <w:rPr>
          <w:sz w:val="20"/>
          <w:szCs w:val="20"/>
          <w:lang w:val="en-GB"/>
        </w:rPr>
        <w:t> </w:t>
      </w:r>
      <w:r w:rsidRPr="00BE6B68">
        <w:rPr>
          <w:sz w:val="20"/>
          <w:szCs w:val="20"/>
          <w:lang w:val="en-GB"/>
        </w:rPr>
        <w:t>40</w:t>
      </w:r>
      <w:r>
        <w:rPr>
          <w:sz w:val="20"/>
          <w:szCs w:val="20"/>
          <w:lang w:val="en-GB"/>
        </w:rPr>
        <w:t> </w:t>
      </w:r>
      <w:r w:rsidRPr="00BE6B68">
        <w:rPr>
          <w:sz w:val="20"/>
          <w:szCs w:val="20"/>
          <w:lang w:val="en-GB"/>
        </w:rPr>
        <w:t xml:space="preserve">thousand in 2012. </w:t>
      </w:r>
    </w:p>
    <w:p w:rsidR="00874476" w:rsidRPr="00970B85" w:rsidRDefault="00874476" w:rsidP="00874476">
      <w:pPr>
        <w:pStyle w:val="Zkladntext"/>
        <w:spacing w:before="0" w:after="100" w:line="264" w:lineRule="auto"/>
        <w:rPr>
          <w:sz w:val="20"/>
          <w:szCs w:val="20"/>
          <w:lang w:val="en-GB"/>
        </w:rPr>
      </w:pPr>
      <w:r w:rsidRPr="00970B85">
        <w:rPr>
          <w:noProof/>
        </w:rPr>
        <w:drawing>
          <wp:inline distT="0" distB="0" distL="0" distR="0" wp14:anchorId="0C2862FB" wp14:editId="0469E977">
            <wp:extent cx="3152775" cy="2880000"/>
            <wp:effectExtent l="0" t="0" r="0" b="0"/>
            <wp:docPr id="54" name="Graf 5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70B85">
        <w:rPr>
          <w:noProof/>
          <w:sz w:val="20"/>
          <w:szCs w:val="20"/>
          <w:lang w:val="en-GB"/>
        </w:rPr>
        <w:t xml:space="preserve"> </w:t>
      </w:r>
      <w:r w:rsidRPr="00970B85">
        <w:rPr>
          <w:noProof/>
        </w:rPr>
        <w:drawing>
          <wp:inline distT="0" distB="0" distL="0" distR="0" wp14:anchorId="6E2E2922" wp14:editId="7BECF250">
            <wp:extent cx="2895600" cy="2880000"/>
            <wp:effectExtent l="0" t="0" r="0" b="15875"/>
            <wp:docPr id="56" name="Graf 5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74476" w:rsidRPr="00970B85" w:rsidRDefault="00874476" w:rsidP="00874476">
      <w:pPr>
        <w:pStyle w:val="Zkladntext"/>
        <w:numPr>
          <w:ilvl w:val="0"/>
          <w:numId w:val="16"/>
        </w:numPr>
        <w:spacing w:before="0" w:after="80" w:line="264" w:lineRule="auto"/>
        <w:ind w:left="284" w:hanging="284"/>
        <w:rPr>
          <w:sz w:val="20"/>
          <w:szCs w:val="20"/>
          <w:lang w:val="en-GB"/>
        </w:rPr>
        <w:sectPr w:rsidR="00874476" w:rsidRPr="00970B85" w:rsidSect="000955DB">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418" w:left="1134" w:header="680" w:footer="680" w:gutter="0"/>
          <w:pgNumType w:start="7"/>
          <w:cols w:space="708"/>
          <w:docGrid w:linePitch="360"/>
        </w:sectPr>
      </w:pPr>
    </w:p>
    <w:p w:rsidR="00874476" w:rsidRDefault="00874476" w:rsidP="00874476">
      <w:pPr>
        <w:pStyle w:val="Zkladntext"/>
        <w:numPr>
          <w:ilvl w:val="0"/>
          <w:numId w:val="16"/>
        </w:numPr>
        <w:spacing w:before="0" w:after="80" w:line="264" w:lineRule="auto"/>
        <w:rPr>
          <w:sz w:val="20"/>
          <w:szCs w:val="20"/>
          <w:lang w:val="en-GB"/>
        </w:rPr>
        <w:sectPr w:rsidR="00874476" w:rsidSect="008C4CA2">
          <w:headerReference w:type="even" r:id="rId31"/>
          <w:headerReference w:type="default" r:id="rId32"/>
          <w:footerReference w:type="even" r:id="rId33"/>
          <w:footerReference w:type="default" r:id="rId34"/>
          <w:footerReference w:type="first" r:id="rId35"/>
          <w:type w:val="continuous"/>
          <w:pgSz w:w="11906" w:h="16838" w:code="9"/>
          <w:pgMar w:top="1134" w:right="1134" w:bottom="1418" w:left="1134" w:header="680" w:footer="680" w:gutter="0"/>
          <w:cols w:space="708"/>
          <w:docGrid w:linePitch="360"/>
        </w:sectPr>
      </w:pPr>
    </w:p>
    <w:p w:rsidR="00874476" w:rsidRPr="00BE6B68" w:rsidRDefault="00874476" w:rsidP="00874476">
      <w:pPr>
        <w:pStyle w:val="Zkladntext"/>
        <w:numPr>
          <w:ilvl w:val="0"/>
          <w:numId w:val="16"/>
        </w:numPr>
        <w:spacing w:before="0" w:after="80" w:line="264" w:lineRule="auto"/>
        <w:ind w:left="284" w:hanging="284"/>
        <w:rPr>
          <w:sz w:val="20"/>
          <w:szCs w:val="20"/>
          <w:lang w:val="en-GB"/>
        </w:rPr>
      </w:pPr>
      <w:r w:rsidRPr="00BE6B68">
        <w:rPr>
          <w:sz w:val="20"/>
          <w:szCs w:val="20"/>
          <w:lang w:val="en-GB"/>
        </w:rPr>
        <w:lastRenderedPageBreak/>
        <w:t xml:space="preserve">Distribution of fixed broadband subscriptions across speed tiers varies significantly across countries, due to </w:t>
      </w:r>
      <w:r w:rsidRPr="00565934">
        <w:rPr>
          <w:sz w:val="20"/>
          <w:szCs w:val="20"/>
          <w:lang w:val="en-GB"/>
        </w:rPr>
        <w:t>a variety of factors (e.g. level of competition, population</w:t>
      </w:r>
      <w:r w:rsidRPr="00BE6B68">
        <w:rPr>
          <w:sz w:val="20"/>
          <w:szCs w:val="20"/>
          <w:lang w:val="en-GB"/>
        </w:rPr>
        <w:t xml:space="preserve"> density in the market addressed, availability of</w:t>
      </w:r>
      <w:r>
        <w:rPr>
          <w:sz w:val="20"/>
          <w:szCs w:val="20"/>
          <w:lang w:val="en-GB"/>
        </w:rPr>
        <w:t> </w:t>
      </w:r>
      <w:r w:rsidRPr="00BE6B68">
        <w:rPr>
          <w:sz w:val="20"/>
          <w:szCs w:val="20"/>
          <w:lang w:val="en-GB"/>
        </w:rPr>
        <w:t>back-haul, type of technology most widespread, etc.).</w:t>
      </w:r>
    </w:p>
    <w:p w:rsidR="00874476" w:rsidRPr="00970B85" w:rsidRDefault="00874476" w:rsidP="00874476">
      <w:pPr>
        <w:pStyle w:val="Zkladntext"/>
        <w:numPr>
          <w:ilvl w:val="0"/>
          <w:numId w:val="16"/>
        </w:numPr>
        <w:spacing w:before="0" w:after="80" w:line="264" w:lineRule="auto"/>
        <w:ind w:left="284" w:hanging="284"/>
        <w:rPr>
          <w:sz w:val="20"/>
          <w:szCs w:val="20"/>
          <w:lang w:val="en-GB"/>
        </w:rPr>
      </w:pPr>
      <w:r w:rsidRPr="00970B85">
        <w:rPr>
          <w:sz w:val="20"/>
          <w:szCs w:val="20"/>
          <w:lang w:val="en-GB"/>
        </w:rPr>
        <w:t xml:space="preserve">When comparing the number of subscribers to fixed high-speed internet </w:t>
      </w:r>
      <w:r w:rsidRPr="00970B85">
        <w:rPr>
          <w:b/>
          <w:sz w:val="20"/>
          <w:szCs w:val="20"/>
          <w:lang w:val="en-GB"/>
        </w:rPr>
        <w:t>with advertised speed of</w:t>
      </w:r>
      <w:r>
        <w:rPr>
          <w:b/>
          <w:sz w:val="20"/>
          <w:szCs w:val="20"/>
          <w:lang w:val="en-GB"/>
        </w:rPr>
        <w:t> </w:t>
      </w:r>
      <w:r w:rsidRPr="00970B85">
        <w:rPr>
          <w:b/>
          <w:sz w:val="20"/>
          <w:szCs w:val="20"/>
          <w:lang w:val="en-GB"/>
        </w:rPr>
        <w:t>at</w:t>
      </w:r>
      <w:r>
        <w:rPr>
          <w:b/>
          <w:sz w:val="20"/>
          <w:szCs w:val="20"/>
          <w:lang w:val="en-GB"/>
        </w:rPr>
        <w:t> </w:t>
      </w:r>
      <w:r w:rsidRPr="00970B85">
        <w:rPr>
          <w:b/>
          <w:sz w:val="20"/>
          <w:szCs w:val="20"/>
          <w:lang w:val="en-GB"/>
        </w:rPr>
        <w:t xml:space="preserve">least 100 Mb/s </w:t>
      </w:r>
      <w:r w:rsidRPr="00970B85">
        <w:rPr>
          <w:sz w:val="20"/>
          <w:szCs w:val="20"/>
          <w:lang w:val="en-GB"/>
        </w:rPr>
        <w:t>per 100 inhabitants in EU countries between the years 2013 and 2016, a great increase in values is evident – whereas in 2013 the EU average amounted to 1.6 subscribers per 100 inhabitants, in 2016 the number was already 5.9 subscribers (i.e. a fourfold increase). Since 2015, the</w:t>
      </w:r>
      <w:r>
        <w:rPr>
          <w:sz w:val="20"/>
          <w:szCs w:val="20"/>
          <w:lang w:val="en-GB"/>
        </w:rPr>
        <w:t> </w:t>
      </w:r>
      <w:r w:rsidRPr="00970B85">
        <w:rPr>
          <w:sz w:val="20"/>
          <w:szCs w:val="20"/>
          <w:lang w:val="en-GB"/>
        </w:rPr>
        <w:t xml:space="preserve">Czech Republic has recorded a significant increase in values; by the end of 2016 it exceeded the EU average with its 6 subscribers per 100 inhabitants. The best values have been recorded </w:t>
      </w:r>
      <w:r>
        <w:rPr>
          <w:sz w:val="20"/>
          <w:szCs w:val="20"/>
          <w:lang w:val="en-GB"/>
        </w:rPr>
        <w:t>in</w:t>
      </w:r>
      <w:r w:rsidRPr="00970B85">
        <w:rPr>
          <w:sz w:val="20"/>
          <w:szCs w:val="20"/>
          <w:lang w:val="en-GB"/>
        </w:rPr>
        <w:t xml:space="preserve"> Sweden</w:t>
      </w:r>
      <w:r>
        <w:rPr>
          <w:sz w:val="20"/>
          <w:szCs w:val="20"/>
          <w:lang w:val="en-GB"/>
        </w:rPr>
        <w:t>,</w:t>
      </w:r>
      <w:r w:rsidRPr="00970B85">
        <w:rPr>
          <w:sz w:val="20"/>
          <w:szCs w:val="20"/>
          <w:lang w:val="en-GB"/>
        </w:rPr>
        <w:t xml:space="preserve"> where there are 22.1 </w:t>
      </w:r>
      <w:r>
        <w:rPr>
          <w:sz w:val="20"/>
          <w:szCs w:val="20"/>
          <w:lang w:val="en-GB"/>
        </w:rPr>
        <w:t xml:space="preserve">fixed broadband </w:t>
      </w:r>
      <w:r w:rsidRPr="00970B85">
        <w:rPr>
          <w:sz w:val="20"/>
          <w:szCs w:val="20"/>
          <w:lang w:val="en-GB"/>
        </w:rPr>
        <w:t>subscribers per 100 inhabitants with advertised speed of at least 100 Mb/s</w:t>
      </w:r>
      <w:r>
        <w:rPr>
          <w:sz w:val="20"/>
          <w:szCs w:val="20"/>
          <w:lang w:val="en-GB"/>
        </w:rPr>
        <w:t>.</w:t>
      </w:r>
      <w:r w:rsidRPr="00970B85">
        <w:rPr>
          <w:sz w:val="20"/>
          <w:szCs w:val="20"/>
          <w:lang w:val="en-GB"/>
        </w:rPr>
        <w:t xml:space="preserve"> </w:t>
      </w:r>
    </w:p>
    <w:p w:rsidR="00874476" w:rsidRPr="00970B85" w:rsidRDefault="00874476" w:rsidP="00874476">
      <w:pPr>
        <w:pStyle w:val="Zkladntext"/>
        <w:spacing w:before="0" w:after="100" w:line="264" w:lineRule="auto"/>
        <w:rPr>
          <w:sz w:val="20"/>
          <w:szCs w:val="20"/>
          <w:lang w:val="en-GB"/>
        </w:rPr>
      </w:pPr>
      <w:r>
        <w:rPr>
          <w:noProof/>
        </w:rPr>
        <w:drawing>
          <wp:inline distT="0" distB="0" distL="0" distR="0" wp14:anchorId="4C18D5BB" wp14:editId="6FCC4BB6">
            <wp:extent cx="5972810" cy="3420000"/>
            <wp:effectExtent l="0" t="0" r="0" b="0"/>
            <wp:docPr id="74" name="Graf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74476" w:rsidRPr="00970B85" w:rsidRDefault="00874476" w:rsidP="00874476">
      <w:pPr>
        <w:pStyle w:val="Nadpis3"/>
      </w:pPr>
      <w:bookmarkStart w:id="15" w:name="_Toc533697486"/>
      <w:bookmarkStart w:id="16" w:name="_Toc534711985"/>
      <w:r>
        <w:t>Mobile broadband penetration – Subscriptions by type of mobile connection</w:t>
      </w:r>
      <w:bookmarkEnd w:id="15"/>
      <w:bookmarkEnd w:id="16"/>
    </w:p>
    <w:p w:rsidR="00874476" w:rsidRDefault="00874476" w:rsidP="00874476">
      <w:pPr>
        <w:pStyle w:val="Zkladntext"/>
        <w:spacing w:before="0" w:after="80" w:line="264" w:lineRule="auto"/>
        <w:rPr>
          <w:i/>
          <w:sz w:val="20"/>
          <w:lang w:val="en-GB"/>
        </w:rPr>
      </w:pPr>
      <w:r w:rsidRPr="00C43C03">
        <w:rPr>
          <w:i/>
          <w:sz w:val="20"/>
          <w:lang w:val="en-GB"/>
        </w:rPr>
        <w:t>The function of the mobile phone has changed significantly. Up until a few years ago, the telephone was primarily used as a device for making telephone calls and sending/receiving text messages. Since the</w:t>
      </w:r>
      <w:r>
        <w:rPr>
          <w:i/>
          <w:sz w:val="20"/>
          <w:lang w:val="en-GB"/>
        </w:rPr>
        <w:t> </w:t>
      </w:r>
      <w:r w:rsidRPr="00C43C03">
        <w:rPr>
          <w:i/>
          <w:sz w:val="20"/>
          <w:lang w:val="en-GB"/>
        </w:rPr>
        <w:t>appearance of the smartphone many people use the telephone primarily for accessing the internet. As a</w:t>
      </w:r>
      <w:r>
        <w:rPr>
          <w:i/>
          <w:sz w:val="20"/>
          <w:lang w:val="en-GB"/>
        </w:rPr>
        <w:t> </w:t>
      </w:r>
      <w:r w:rsidRPr="00C43C03">
        <w:rPr>
          <w:i/>
          <w:sz w:val="20"/>
          <w:lang w:val="en-GB"/>
        </w:rPr>
        <w:t>result, mobile connections are now processing far more data traffic</w:t>
      </w:r>
      <w:r>
        <w:rPr>
          <w:i/>
          <w:sz w:val="20"/>
          <w:lang w:val="en-GB"/>
        </w:rPr>
        <w:t>.</w:t>
      </w:r>
      <w:r w:rsidRPr="00C43C03">
        <w:rPr>
          <w:i/>
          <w:sz w:val="20"/>
          <w:lang w:val="en-GB"/>
        </w:rPr>
        <w:t xml:space="preserve"> </w:t>
      </w:r>
    </w:p>
    <w:p w:rsidR="00874476" w:rsidRDefault="00874476" w:rsidP="00874476">
      <w:pPr>
        <w:pStyle w:val="Zkladntext"/>
        <w:spacing w:before="0" w:after="80" w:line="264" w:lineRule="auto"/>
        <w:rPr>
          <w:i/>
          <w:sz w:val="20"/>
          <w:lang w:val="en-GB"/>
        </w:rPr>
      </w:pPr>
      <w:r w:rsidRPr="00136F03">
        <w:rPr>
          <w:i/>
          <w:sz w:val="20"/>
          <w:lang w:val="en-GB"/>
        </w:rPr>
        <w:t>According to ITU, at the end of 201</w:t>
      </w:r>
      <w:r>
        <w:rPr>
          <w:i/>
          <w:sz w:val="20"/>
          <w:lang w:val="en-GB"/>
        </w:rPr>
        <w:t>7</w:t>
      </w:r>
      <w:r w:rsidRPr="00136F03">
        <w:rPr>
          <w:i/>
          <w:sz w:val="20"/>
          <w:lang w:val="en-GB"/>
        </w:rPr>
        <w:t xml:space="preserve">, there were, throughout the world, approximately four times more active mobile broadband subscriptions than fixed broadband subscriptions. </w:t>
      </w:r>
      <w:r w:rsidRPr="00B50B0C">
        <w:rPr>
          <w:i/>
          <w:sz w:val="20"/>
          <w:lang w:val="en-GB"/>
        </w:rPr>
        <w:t>Growth in mobile broadband subscriptions has far outstripped fixed broadband growth since 2010, with worldwide subscriptions increasing from 825 million in 2010 to 4</w:t>
      </w:r>
      <w:r>
        <w:rPr>
          <w:i/>
          <w:sz w:val="20"/>
          <w:lang w:val="en-GB"/>
        </w:rPr>
        <w:t>.</w:t>
      </w:r>
      <w:r w:rsidRPr="00B50B0C">
        <w:rPr>
          <w:i/>
          <w:sz w:val="20"/>
          <w:lang w:val="en-GB"/>
        </w:rPr>
        <w:t>6 million in 2017 and representing 82% of all broadband access paths in the world</w:t>
      </w:r>
      <w:r>
        <w:rPr>
          <w:i/>
          <w:sz w:val="20"/>
          <w:lang w:val="en-GB"/>
        </w:rPr>
        <w:t xml:space="preserve">, </w:t>
      </w:r>
      <w:r w:rsidRPr="00136F03">
        <w:rPr>
          <w:i/>
          <w:sz w:val="20"/>
          <w:lang w:val="en-GB"/>
        </w:rPr>
        <w:t>making mobile broadband the most dynamic broadband market.</w:t>
      </w:r>
    </w:p>
    <w:p w:rsidR="00874476" w:rsidRDefault="00874476" w:rsidP="00874476">
      <w:pPr>
        <w:pStyle w:val="Zkladntext"/>
        <w:spacing w:before="0" w:after="80" w:line="264" w:lineRule="auto"/>
        <w:rPr>
          <w:i/>
          <w:sz w:val="20"/>
          <w:lang w:val="en-GB"/>
        </w:rPr>
      </w:pPr>
      <w:r w:rsidRPr="00565934">
        <w:rPr>
          <w:i/>
          <w:sz w:val="20"/>
          <w:lang w:val="en-GB"/>
        </w:rPr>
        <w:t xml:space="preserve">Mobile operators </w:t>
      </w:r>
      <w:r>
        <w:rPr>
          <w:i/>
          <w:sz w:val="20"/>
          <w:lang w:val="en-GB"/>
        </w:rPr>
        <w:t xml:space="preserve">in the Czech Republic </w:t>
      </w:r>
      <w:r w:rsidRPr="00565934">
        <w:rPr>
          <w:i/>
          <w:sz w:val="20"/>
          <w:lang w:val="en-GB"/>
        </w:rPr>
        <w:t xml:space="preserve">offered three basic types of </w:t>
      </w:r>
      <w:r>
        <w:rPr>
          <w:i/>
          <w:sz w:val="20"/>
          <w:lang w:val="en-GB"/>
        </w:rPr>
        <w:t>i</w:t>
      </w:r>
      <w:r w:rsidRPr="00565934">
        <w:rPr>
          <w:i/>
          <w:sz w:val="20"/>
          <w:lang w:val="en-GB"/>
        </w:rPr>
        <w:t>nternet access services</w:t>
      </w:r>
      <w:r>
        <w:rPr>
          <w:i/>
          <w:sz w:val="20"/>
          <w:lang w:val="en-GB"/>
        </w:rPr>
        <w:t xml:space="preserve"> i) “</w:t>
      </w:r>
      <w:r w:rsidRPr="00565934">
        <w:rPr>
          <w:i/>
          <w:sz w:val="20"/>
          <w:lang w:val="en-GB"/>
        </w:rPr>
        <w:t>Internet on</w:t>
      </w:r>
      <w:r>
        <w:rPr>
          <w:i/>
          <w:sz w:val="20"/>
          <w:lang w:val="en-GB"/>
        </w:rPr>
        <w:t> </w:t>
      </w:r>
      <w:r w:rsidRPr="00565934">
        <w:rPr>
          <w:i/>
          <w:sz w:val="20"/>
          <w:lang w:val="en-GB"/>
        </w:rPr>
        <w:t>a</w:t>
      </w:r>
      <w:r>
        <w:rPr>
          <w:i/>
          <w:sz w:val="20"/>
          <w:lang w:val="en-GB"/>
        </w:rPr>
        <w:t> M</w:t>
      </w:r>
      <w:r w:rsidRPr="00565934">
        <w:rPr>
          <w:i/>
          <w:sz w:val="20"/>
          <w:lang w:val="en-GB"/>
        </w:rPr>
        <w:t xml:space="preserve">obile </w:t>
      </w:r>
      <w:r>
        <w:rPr>
          <w:i/>
          <w:sz w:val="20"/>
          <w:lang w:val="en-GB"/>
        </w:rPr>
        <w:t>T</w:t>
      </w:r>
      <w:r w:rsidRPr="00565934">
        <w:rPr>
          <w:i/>
          <w:sz w:val="20"/>
          <w:lang w:val="en-GB"/>
        </w:rPr>
        <w:t>elephone</w:t>
      </w:r>
      <w:r>
        <w:rPr>
          <w:i/>
          <w:sz w:val="20"/>
          <w:lang w:val="en-GB"/>
        </w:rPr>
        <w:t>”</w:t>
      </w:r>
      <w:r w:rsidRPr="00565934">
        <w:rPr>
          <w:i/>
          <w:sz w:val="20"/>
          <w:lang w:val="en-GB"/>
        </w:rPr>
        <w:t xml:space="preserve"> (used in mobile phones and smart phones),</w:t>
      </w:r>
      <w:r>
        <w:rPr>
          <w:i/>
          <w:sz w:val="20"/>
          <w:lang w:val="en-GB"/>
        </w:rPr>
        <w:t xml:space="preserve"> ii)</w:t>
      </w:r>
      <w:r w:rsidRPr="00565934">
        <w:rPr>
          <w:i/>
          <w:sz w:val="20"/>
          <w:lang w:val="en-GB"/>
        </w:rPr>
        <w:t xml:space="preserve"> </w:t>
      </w:r>
      <w:r>
        <w:rPr>
          <w:i/>
          <w:sz w:val="20"/>
          <w:lang w:val="en-GB"/>
        </w:rPr>
        <w:t>“M</w:t>
      </w:r>
      <w:r w:rsidRPr="00565934">
        <w:rPr>
          <w:i/>
          <w:sz w:val="20"/>
          <w:lang w:val="en-GB"/>
        </w:rPr>
        <w:t>obile Internet</w:t>
      </w:r>
      <w:r>
        <w:rPr>
          <w:i/>
          <w:sz w:val="20"/>
          <w:lang w:val="en-GB"/>
        </w:rPr>
        <w:t>”</w:t>
      </w:r>
      <w:r w:rsidRPr="00565934">
        <w:rPr>
          <w:i/>
          <w:sz w:val="20"/>
          <w:lang w:val="en-GB"/>
        </w:rPr>
        <w:t xml:space="preserve">, which is intended for portable devices (tablets, notebooks) with the use of a separate data SIM card, </w:t>
      </w:r>
      <w:r>
        <w:rPr>
          <w:i/>
          <w:sz w:val="20"/>
          <w:lang w:val="en-GB"/>
        </w:rPr>
        <w:t xml:space="preserve">iii) </w:t>
      </w:r>
      <w:r w:rsidRPr="00565934">
        <w:rPr>
          <w:i/>
          <w:sz w:val="20"/>
          <w:lang w:val="en-GB"/>
        </w:rPr>
        <w:t>and also services of</w:t>
      </w:r>
      <w:r>
        <w:rPr>
          <w:i/>
          <w:sz w:val="20"/>
          <w:lang w:val="en-GB"/>
        </w:rPr>
        <w:t> </w:t>
      </w:r>
      <w:r w:rsidRPr="00565934">
        <w:rPr>
          <w:i/>
          <w:sz w:val="20"/>
          <w:lang w:val="en-GB"/>
        </w:rPr>
        <w:t xml:space="preserve">high-speed </w:t>
      </w:r>
      <w:r>
        <w:rPr>
          <w:i/>
          <w:sz w:val="20"/>
          <w:lang w:val="en-GB"/>
        </w:rPr>
        <w:t>i</w:t>
      </w:r>
      <w:r w:rsidRPr="00565934">
        <w:rPr>
          <w:i/>
          <w:sz w:val="20"/>
          <w:lang w:val="en-GB"/>
        </w:rPr>
        <w:t>nternet access at a fixed location which are provided via SIM cards in mobile networks.</w:t>
      </w:r>
    </w:p>
    <w:p w:rsidR="00874476" w:rsidRPr="00970B85" w:rsidRDefault="00874476" w:rsidP="00874476">
      <w:pPr>
        <w:pStyle w:val="Zkladntext"/>
        <w:numPr>
          <w:ilvl w:val="0"/>
          <w:numId w:val="17"/>
        </w:numPr>
        <w:spacing w:before="0" w:after="80" w:line="264" w:lineRule="auto"/>
        <w:ind w:left="341" w:hanging="284"/>
        <w:rPr>
          <w:sz w:val="20"/>
          <w:szCs w:val="20"/>
          <w:lang w:val="en-GB"/>
        </w:rPr>
      </w:pPr>
      <w:r w:rsidRPr="00970B85">
        <w:rPr>
          <w:sz w:val="20"/>
          <w:szCs w:val="20"/>
          <w:lang w:val="en-GB"/>
        </w:rPr>
        <w:t>The most frequent means of high-speed internet connection</w:t>
      </w:r>
      <w:r>
        <w:rPr>
          <w:sz w:val="20"/>
          <w:szCs w:val="20"/>
          <w:lang w:val="en-GB"/>
        </w:rPr>
        <w:t>,</w:t>
      </w:r>
      <w:r w:rsidRPr="00970B85">
        <w:rPr>
          <w:sz w:val="20"/>
          <w:szCs w:val="20"/>
          <w:lang w:val="en-GB"/>
        </w:rPr>
        <w:t xml:space="preserve"> in the Czech Republic</w:t>
      </w:r>
      <w:r>
        <w:rPr>
          <w:sz w:val="20"/>
          <w:szCs w:val="20"/>
          <w:lang w:val="en-GB"/>
        </w:rPr>
        <w:t>,</w:t>
      </w:r>
      <w:r w:rsidRPr="00970B85">
        <w:rPr>
          <w:sz w:val="20"/>
          <w:szCs w:val="20"/>
          <w:lang w:val="en-GB"/>
        </w:rPr>
        <w:t xml:space="preserve"> is </w:t>
      </w:r>
      <w:r>
        <w:rPr>
          <w:sz w:val="20"/>
          <w:szCs w:val="20"/>
          <w:lang w:val="en-GB"/>
        </w:rPr>
        <w:t xml:space="preserve">nowadays </w:t>
      </w:r>
      <w:r w:rsidRPr="00970B85">
        <w:rPr>
          <w:sz w:val="20"/>
          <w:szCs w:val="20"/>
          <w:lang w:val="en-GB"/>
        </w:rPr>
        <w:t>via</w:t>
      </w:r>
      <w:r>
        <w:rPr>
          <w:sz w:val="20"/>
          <w:szCs w:val="20"/>
          <w:lang w:val="en-GB"/>
        </w:rPr>
        <w:t> </w:t>
      </w:r>
      <w:r w:rsidRPr="00970B85">
        <w:rPr>
          <w:sz w:val="20"/>
          <w:szCs w:val="20"/>
          <w:lang w:val="en-GB"/>
        </w:rPr>
        <w:t>mobile networks</w:t>
      </w:r>
      <w:r>
        <w:rPr>
          <w:sz w:val="20"/>
          <w:szCs w:val="20"/>
          <w:lang w:val="en-GB"/>
        </w:rPr>
        <w:t xml:space="preserve"> – mobile broadband. </w:t>
      </w:r>
      <w:r w:rsidRPr="00970B85">
        <w:rPr>
          <w:sz w:val="20"/>
          <w:szCs w:val="20"/>
          <w:lang w:val="en-GB"/>
        </w:rPr>
        <w:t xml:space="preserve">At the end of 2016, there were </w:t>
      </w:r>
      <w:r>
        <w:rPr>
          <w:sz w:val="20"/>
          <w:szCs w:val="20"/>
          <w:lang w:val="en-GB"/>
        </w:rPr>
        <w:t>recorded</w:t>
      </w:r>
      <w:r w:rsidRPr="00970B85">
        <w:rPr>
          <w:sz w:val="20"/>
          <w:szCs w:val="20"/>
          <w:lang w:val="en-GB"/>
        </w:rPr>
        <w:t xml:space="preserve"> 8.5 million SIM </w:t>
      </w:r>
      <w:r>
        <w:rPr>
          <w:sz w:val="20"/>
          <w:szCs w:val="20"/>
          <w:lang w:val="en-GB"/>
        </w:rPr>
        <w:t xml:space="preserve">or data </w:t>
      </w:r>
      <w:r w:rsidRPr="00970B85">
        <w:rPr>
          <w:sz w:val="20"/>
          <w:szCs w:val="20"/>
          <w:lang w:val="en-GB"/>
        </w:rPr>
        <w:t xml:space="preserve">cards serving for high-speed </w:t>
      </w:r>
      <w:r w:rsidRPr="00970B85">
        <w:rPr>
          <w:b/>
          <w:sz w:val="20"/>
          <w:szCs w:val="20"/>
          <w:lang w:val="en-GB"/>
        </w:rPr>
        <w:t>mobile internet access</w:t>
      </w:r>
      <w:r>
        <w:rPr>
          <w:b/>
          <w:sz w:val="20"/>
          <w:szCs w:val="20"/>
          <w:lang w:val="en-GB"/>
        </w:rPr>
        <w:t xml:space="preserve"> </w:t>
      </w:r>
      <w:r w:rsidRPr="00970B85">
        <w:rPr>
          <w:sz w:val="20"/>
          <w:szCs w:val="20"/>
          <w:lang w:val="en-GB"/>
        </w:rPr>
        <w:t xml:space="preserve">– in 2012 </w:t>
      </w:r>
      <w:r>
        <w:rPr>
          <w:sz w:val="20"/>
          <w:szCs w:val="20"/>
          <w:lang w:val="en-GB"/>
        </w:rPr>
        <w:t xml:space="preserve">it </w:t>
      </w:r>
      <w:r w:rsidRPr="00970B85">
        <w:rPr>
          <w:sz w:val="20"/>
          <w:szCs w:val="20"/>
          <w:lang w:val="en-GB"/>
        </w:rPr>
        <w:t>was 4.6 million. As opposed to th</w:t>
      </w:r>
      <w:r>
        <w:rPr>
          <w:sz w:val="20"/>
          <w:szCs w:val="20"/>
          <w:lang w:val="en-GB"/>
        </w:rPr>
        <w:t>is</w:t>
      </w:r>
      <w:r w:rsidRPr="00970B85">
        <w:rPr>
          <w:sz w:val="20"/>
          <w:szCs w:val="20"/>
          <w:lang w:val="en-GB"/>
        </w:rPr>
        <w:t>, in</w:t>
      </w:r>
      <w:r>
        <w:rPr>
          <w:sz w:val="20"/>
          <w:szCs w:val="20"/>
          <w:lang w:val="en-GB"/>
        </w:rPr>
        <w:t> </w:t>
      </w:r>
      <w:r w:rsidRPr="00970B85">
        <w:rPr>
          <w:sz w:val="20"/>
          <w:szCs w:val="20"/>
          <w:lang w:val="en-GB"/>
        </w:rPr>
        <w:t xml:space="preserve">2016 the aforementioned 3 million </w:t>
      </w:r>
      <w:r>
        <w:rPr>
          <w:sz w:val="20"/>
          <w:szCs w:val="20"/>
          <w:lang w:val="en-GB"/>
        </w:rPr>
        <w:t xml:space="preserve">subscriptions </w:t>
      </w:r>
      <w:r w:rsidRPr="00970B85">
        <w:rPr>
          <w:sz w:val="20"/>
          <w:szCs w:val="20"/>
          <w:lang w:val="en-GB"/>
        </w:rPr>
        <w:t xml:space="preserve">were used for </w:t>
      </w:r>
      <w:r>
        <w:rPr>
          <w:sz w:val="20"/>
          <w:szCs w:val="20"/>
          <w:lang w:val="en-GB"/>
        </w:rPr>
        <w:t>fixed broadband</w:t>
      </w:r>
      <w:r w:rsidRPr="00970B85">
        <w:rPr>
          <w:sz w:val="20"/>
          <w:szCs w:val="20"/>
          <w:lang w:val="en-GB"/>
        </w:rPr>
        <w:t xml:space="preserve"> connection.</w:t>
      </w:r>
    </w:p>
    <w:p w:rsidR="00874476" w:rsidRPr="00970B85" w:rsidRDefault="00874476" w:rsidP="00874476">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Up until the year 2011, the access to </w:t>
      </w:r>
      <w:r w:rsidRPr="00970B85">
        <w:rPr>
          <w:b/>
          <w:sz w:val="20"/>
          <w:szCs w:val="20"/>
          <w:lang w:val="en-GB"/>
        </w:rPr>
        <w:t>mobile internet</w:t>
      </w:r>
      <w:r w:rsidRPr="00970B85">
        <w:rPr>
          <w:sz w:val="20"/>
          <w:szCs w:val="20"/>
          <w:lang w:val="en-GB"/>
        </w:rPr>
        <w:t xml:space="preserve"> in the Czech Republic was mainly realised as</w:t>
      </w:r>
      <w:r>
        <w:rPr>
          <w:sz w:val="20"/>
          <w:szCs w:val="20"/>
          <w:lang w:val="en-GB"/>
        </w:rPr>
        <w:t> </w:t>
      </w:r>
      <w:r w:rsidRPr="00970B85">
        <w:rPr>
          <w:b/>
          <w:sz w:val="20"/>
          <w:szCs w:val="20"/>
          <w:lang w:val="en-GB"/>
        </w:rPr>
        <w:t xml:space="preserve">temporary </w:t>
      </w:r>
      <w:r>
        <w:rPr>
          <w:b/>
          <w:sz w:val="20"/>
          <w:szCs w:val="20"/>
          <w:lang w:val="en-GB"/>
        </w:rPr>
        <w:t>“</w:t>
      </w:r>
      <w:r w:rsidRPr="0008716B">
        <w:rPr>
          <w:b/>
          <w:sz w:val="20"/>
          <w:szCs w:val="20"/>
          <w:lang w:val="en-GB"/>
        </w:rPr>
        <w:t>ad-hoc</w:t>
      </w:r>
      <w:r>
        <w:rPr>
          <w:b/>
          <w:sz w:val="20"/>
          <w:szCs w:val="20"/>
          <w:lang w:val="en-GB"/>
        </w:rPr>
        <w:t>”</w:t>
      </w:r>
      <w:r w:rsidRPr="0008716B">
        <w:rPr>
          <w:b/>
          <w:sz w:val="20"/>
          <w:szCs w:val="20"/>
          <w:lang w:val="en-GB"/>
        </w:rPr>
        <w:t xml:space="preserve"> access</w:t>
      </w:r>
      <w:r w:rsidRPr="00970B85">
        <w:rPr>
          <w:sz w:val="20"/>
          <w:szCs w:val="20"/>
          <w:lang w:val="en-GB"/>
        </w:rPr>
        <w:t xml:space="preserve"> within the standard voice and data services. Since 2012</w:t>
      </w:r>
      <w:r>
        <w:rPr>
          <w:sz w:val="20"/>
          <w:szCs w:val="20"/>
          <w:lang w:val="en-GB"/>
        </w:rPr>
        <w:t>,</w:t>
      </w:r>
      <w:r w:rsidRPr="00970B85">
        <w:rPr>
          <w:sz w:val="20"/>
          <w:szCs w:val="20"/>
          <w:lang w:val="en-GB"/>
        </w:rPr>
        <w:t xml:space="preserve"> the prevailing </w:t>
      </w:r>
      <w:r w:rsidRPr="00970B85">
        <w:rPr>
          <w:sz w:val="20"/>
          <w:szCs w:val="20"/>
          <w:lang w:val="en-GB"/>
        </w:rPr>
        <w:lastRenderedPageBreak/>
        <w:t xml:space="preserve">access provided within monthly tariffs has been the </w:t>
      </w:r>
      <w:r w:rsidRPr="00970B85">
        <w:rPr>
          <w:b/>
          <w:sz w:val="20"/>
          <w:szCs w:val="20"/>
          <w:lang w:val="en-GB"/>
        </w:rPr>
        <w:t>permanent</w:t>
      </w:r>
      <w:r w:rsidRPr="00970B85">
        <w:rPr>
          <w:sz w:val="20"/>
          <w:szCs w:val="20"/>
          <w:lang w:val="en-GB"/>
        </w:rPr>
        <w:t xml:space="preserve"> </w:t>
      </w:r>
      <w:r w:rsidRPr="0008716B">
        <w:rPr>
          <w:b/>
          <w:sz w:val="20"/>
          <w:szCs w:val="20"/>
          <w:lang w:val="en-GB"/>
        </w:rPr>
        <w:t>access</w:t>
      </w:r>
      <w:r w:rsidRPr="00970B85">
        <w:rPr>
          <w:sz w:val="20"/>
          <w:szCs w:val="20"/>
          <w:lang w:val="en-GB"/>
        </w:rPr>
        <w:t>. In 2016 this option was used by</w:t>
      </w:r>
      <w:r>
        <w:rPr>
          <w:sz w:val="20"/>
          <w:szCs w:val="20"/>
          <w:lang w:val="en-GB"/>
        </w:rPr>
        <w:t> </w:t>
      </w:r>
      <w:r w:rsidRPr="00970B85">
        <w:rPr>
          <w:sz w:val="20"/>
          <w:szCs w:val="20"/>
          <w:lang w:val="en-GB"/>
        </w:rPr>
        <w:t>6.6 million subscribers as opposed to 1.9 million those using the ad-hoc access.</w:t>
      </w:r>
    </w:p>
    <w:p w:rsidR="00874476" w:rsidRPr="00970B85" w:rsidRDefault="00874476" w:rsidP="00874476">
      <w:pPr>
        <w:pStyle w:val="Zkladntext"/>
        <w:spacing w:before="0" w:after="100" w:line="264" w:lineRule="auto"/>
        <w:rPr>
          <w:lang w:val="en-GB"/>
        </w:rPr>
      </w:pPr>
      <w:r w:rsidRPr="00970B85">
        <w:rPr>
          <w:noProof/>
        </w:rPr>
        <w:drawing>
          <wp:inline distT="0" distB="0" distL="0" distR="0" wp14:anchorId="0B816AB9" wp14:editId="7EE7FA5E">
            <wp:extent cx="3024000" cy="2880000"/>
            <wp:effectExtent l="0" t="0" r="5080" b="0"/>
            <wp:docPr id="58" name="Graf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970B85">
        <w:rPr>
          <w:lang w:val="en-GB"/>
        </w:rPr>
        <w:t xml:space="preserve"> </w:t>
      </w:r>
      <w:r w:rsidRPr="00970B85">
        <w:rPr>
          <w:noProof/>
        </w:rPr>
        <w:drawing>
          <wp:inline distT="0" distB="0" distL="0" distR="0" wp14:anchorId="247CED13" wp14:editId="679FAE5E">
            <wp:extent cx="3024000" cy="2880000"/>
            <wp:effectExtent l="0" t="0" r="5080" b="0"/>
            <wp:docPr id="59" name="Graf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74476" w:rsidRDefault="00874476" w:rsidP="00874476">
      <w:pPr>
        <w:pStyle w:val="Zkladntext"/>
        <w:numPr>
          <w:ilvl w:val="0"/>
          <w:numId w:val="15"/>
        </w:numPr>
        <w:spacing w:before="0" w:after="80" w:line="264" w:lineRule="auto"/>
        <w:ind w:left="284" w:hanging="284"/>
        <w:rPr>
          <w:sz w:val="20"/>
          <w:szCs w:val="20"/>
          <w:lang w:val="en-GB"/>
        </w:rPr>
      </w:pPr>
      <w:r w:rsidRPr="00643633">
        <w:rPr>
          <w:sz w:val="20"/>
          <w:szCs w:val="20"/>
          <w:lang w:val="en-GB"/>
        </w:rPr>
        <w:t xml:space="preserve">Mobile broadband is often combined with a mobile telephony subscription. Such </w:t>
      </w:r>
      <w:r w:rsidRPr="00D74C98">
        <w:rPr>
          <w:b/>
          <w:sz w:val="20"/>
          <w:szCs w:val="20"/>
          <w:lang w:val="en-GB"/>
        </w:rPr>
        <w:t>“</w:t>
      </w:r>
      <w:r w:rsidRPr="007622B2">
        <w:rPr>
          <w:b/>
          <w:sz w:val="20"/>
          <w:szCs w:val="20"/>
          <w:lang w:val="en-GB"/>
        </w:rPr>
        <w:t>standard</w:t>
      </w:r>
      <w:r>
        <w:rPr>
          <w:b/>
          <w:sz w:val="20"/>
          <w:szCs w:val="20"/>
          <w:lang w:val="en-GB"/>
        </w:rPr>
        <w:t>”</w:t>
      </w:r>
      <w:r w:rsidRPr="007622B2">
        <w:rPr>
          <w:b/>
          <w:sz w:val="20"/>
          <w:szCs w:val="20"/>
          <w:lang w:val="en-GB"/>
        </w:rPr>
        <w:t xml:space="preserve"> mobile subscriptions</w:t>
      </w:r>
      <w:r>
        <w:rPr>
          <w:sz w:val="20"/>
          <w:szCs w:val="20"/>
          <w:lang w:val="en-GB"/>
        </w:rPr>
        <w:t xml:space="preserve"> (data and voice)</w:t>
      </w:r>
      <w:r w:rsidRPr="00643633">
        <w:rPr>
          <w:sz w:val="20"/>
          <w:szCs w:val="20"/>
          <w:lang w:val="en-GB"/>
        </w:rPr>
        <w:t xml:space="preserve"> are very well suited for smartphones</w:t>
      </w:r>
      <w:r>
        <w:rPr>
          <w:sz w:val="20"/>
          <w:szCs w:val="20"/>
          <w:lang w:val="en-GB"/>
        </w:rPr>
        <w:t>. In 2016 it</w:t>
      </w:r>
      <w:r w:rsidRPr="007622B2">
        <w:rPr>
          <w:sz w:val="20"/>
          <w:szCs w:val="20"/>
          <w:lang w:val="en-GB"/>
        </w:rPr>
        <w:t xml:space="preserve"> was used by 7</w:t>
      </w:r>
      <w:r>
        <w:rPr>
          <w:sz w:val="20"/>
          <w:szCs w:val="20"/>
          <w:lang w:val="en-GB"/>
        </w:rPr>
        <w:t>.</w:t>
      </w:r>
      <w:r w:rsidRPr="007622B2">
        <w:rPr>
          <w:sz w:val="20"/>
          <w:szCs w:val="20"/>
          <w:lang w:val="en-GB"/>
        </w:rPr>
        <w:t xml:space="preserve">5 million subscribers </w:t>
      </w:r>
      <w:r>
        <w:rPr>
          <w:sz w:val="20"/>
          <w:szCs w:val="20"/>
          <w:lang w:val="en-GB"/>
        </w:rPr>
        <w:t xml:space="preserve">in the Czech Republic </w:t>
      </w:r>
      <w:r w:rsidRPr="007622B2">
        <w:rPr>
          <w:sz w:val="20"/>
          <w:szCs w:val="20"/>
          <w:lang w:val="en-GB"/>
        </w:rPr>
        <w:t>of which 6</w:t>
      </w:r>
      <w:r>
        <w:rPr>
          <w:sz w:val="20"/>
          <w:szCs w:val="20"/>
          <w:lang w:val="en-GB"/>
        </w:rPr>
        <w:t>.</w:t>
      </w:r>
      <w:r w:rsidRPr="007622B2">
        <w:rPr>
          <w:sz w:val="20"/>
          <w:szCs w:val="20"/>
          <w:lang w:val="en-GB"/>
        </w:rPr>
        <w:t>6 million were using permanent access</w:t>
      </w:r>
      <w:r w:rsidRPr="00983BD5">
        <w:rPr>
          <w:sz w:val="20"/>
          <w:szCs w:val="20"/>
          <w:lang w:val="en-GB"/>
        </w:rPr>
        <w:t>.</w:t>
      </w:r>
      <w:r w:rsidRPr="00643633">
        <w:rPr>
          <w:sz w:val="20"/>
          <w:szCs w:val="20"/>
          <w:lang w:val="en-GB"/>
        </w:rPr>
        <w:t xml:space="preserve"> </w:t>
      </w:r>
      <w:r w:rsidRPr="00565934">
        <w:rPr>
          <w:sz w:val="20"/>
          <w:szCs w:val="20"/>
          <w:lang w:val="en-GB"/>
        </w:rPr>
        <w:t>The number of</w:t>
      </w:r>
      <w:r>
        <w:rPr>
          <w:sz w:val="20"/>
          <w:szCs w:val="20"/>
          <w:lang w:val="en-GB"/>
        </w:rPr>
        <w:t> </w:t>
      </w:r>
      <w:r w:rsidRPr="00565934">
        <w:rPr>
          <w:sz w:val="20"/>
          <w:szCs w:val="20"/>
          <w:lang w:val="en-GB"/>
        </w:rPr>
        <w:t xml:space="preserve">subscribers (SIM cards) using </w:t>
      </w:r>
      <w:r>
        <w:rPr>
          <w:sz w:val="20"/>
          <w:szCs w:val="20"/>
          <w:lang w:val="en-GB"/>
        </w:rPr>
        <w:t>i</w:t>
      </w:r>
      <w:r w:rsidRPr="00565934">
        <w:rPr>
          <w:sz w:val="20"/>
          <w:szCs w:val="20"/>
          <w:lang w:val="en-GB"/>
        </w:rPr>
        <w:t xml:space="preserve">nternet in </w:t>
      </w:r>
      <w:r>
        <w:rPr>
          <w:sz w:val="20"/>
          <w:szCs w:val="20"/>
          <w:lang w:val="en-GB"/>
        </w:rPr>
        <w:t>their m</w:t>
      </w:r>
      <w:r w:rsidRPr="00565934">
        <w:rPr>
          <w:sz w:val="20"/>
          <w:szCs w:val="20"/>
          <w:lang w:val="en-GB"/>
        </w:rPr>
        <w:t xml:space="preserve">obile </w:t>
      </w:r>
      <w:r>
        <w:rPr>
          <w:sz w:val="20"/>
          <w:szCs w:val="20"/>
          <w:lang w:val="en-GB"/>
        </w:rPr>
        <w:t>p</w:t>
      </w:r>
      <w:r w:rsidRPr="00565934">
        <w:rPr>
          <w:sz w:val="20"/>
          <w:szCs w:val="20"/>
          <w:lang w:val="en-GB"/>
        </w:rPr>
        <w:t>hone</w:t>
      </w:r>
      <w:r>
        <w:rPr>
          <w:sz w:val="20"/>
          <w:szCs w:val="20"/>
          <w:lang w:val="en-GB"/>
        </w:rPr>
        <w:t>s</w:t>
      </w:r>
      <w:r w:rsidRPr="00565934">
        <w:rPr>
          <w:sz w:val="20"/>
          <w:szCs w:val="20"/>
          <w:lang w:val="en-GB"/>
        </w:rPr>
        <w:t xml:space="preserve"> </w:t>
      </w:r>
      <w:r>
        <w:rPr>
          <w:sz w:val="20"/>
          <w:szCs w:val="20"/>
          <w:lang w:val="en-GB"/>
        </w:rPr>
        <w:t xml:space="preserve">is growing gradually in the Czech Republic. </w:t>
      </w:r>
      <w:r w:rsidRPr="00565934">
        <w:rPr>
          <w:sz w:val="20"/>
          <w:szCs w:val="20"/>
          <w:lang w:val="en-GB"/>
        </w:rPr>
        <w:t xml:space="preserve">This growth </w:t>
      </w:r>
      <w:r>
        <w:rPr>
          <w:sz w:val="20"/>
          <w:szCs w:val="20"/>
          <w:lang w:val="en-GB"/>
        </w:rPr>
        <w:t xml:space="preserve">– by 250 per cent since 2010 – </w:t>
      </w:r>
      <w:r w:rsidRPr="00565934">
        <w:rPr>
          <w:sz w:val="20"/>
          <w:szCs w:val="20"/>
          <w:lang w:val="en-GB"/>
        </w:rPr>
        <w:t>is attributable mainly to the expansion of LTE networks in the recent period as well as to the emergence of more attractive mobile data plans which took place (in particular within offers of network operators)</w:t>
      </w:r>
      <w:r>
        <w:rPr>
          <w:sz w:val="20"/>
          <w:szCs w:val="20"/>
          <w:lang w:val="en-GB"/>
        </w:rPr>
        <w:t xml:space="preserve"> recently.</w:t>
      </w:r>
    </w:p>
    <w:p w:rsidR="00874476" w:rsidRDefault="00874476" w:rsidP="00874476">
      <w:pPr>
        <w:pStyle w:val="Zkladntext"/>
        <w:numPr>
          <w:ilvl w:val="0"/>
          <w:numId w:val="15"/>
        </w:numPr>
        <w:spacing w:before="0" w:after="80" w:line="264" w:lineRule="auto"/>
        <w:ind w:left="284" w:hanging="284"/>
        <w:rPr>
          <w:sz w:val="20"/>
          <w:szCs w:val="20"/>
          <w:lang w:val="en-GB"/>
        </w:rPr>
      </w:pPr>
      <w:r w:rsidRPr="00643633">
        <w:rPr>
          <w:sz w:val="20"/>
          <w:szCs w:val="20"/>
          <w:lang w:val="en-GB"/>
        </w:rPr>
        <w:t xml:space="preserve">In addition, there are </w:t>
      </w:r>
      <w:r w:rsidRPr="007622B2">
        <w:rPr>
          <w:b/>
          <w:sz w:val="20"/>
          <w:szCs w:val="20"/>
          <w:lang w:val="en-GB"/>
        </w:rPr>
        <w:t>dedicated mobile data connections</w:t>
      </w:r>
      <w:r w:rsidRPr="00643633">
        <w:rPr>
          <w:sz w:val="20"/>
          <w:szCs w:val="20"/>
          <w:lang w:val="en-GB"/>
        </w:rPr>
        <w:t>: mobile broadband</w:t>
      </w:r>
      <w:r>
        <w:rPr>
          <w:sz w:val="20"/>
          <w:szCs w:val="20"/>
          <w:lang w:val="en-GB"/>
        </w:rPr>
        <w:t xml:space="preserve"> (data only)</w:t>
      </w:r>
      <w:r w:rsidRPr="00643633">
        <w:rPr>
          <w:sz w:val="20"/>
          <w:szCs w:val="20"/>
          <w:lang w:val="en-GB"/>
        </w:rPr>
        <w:t xml:space="preserve"> subscriptions that do not comprise mobile telephony. These connections are well suited for </w:t>
      </w:r>
      <w:r w:rsidRPr="007622B2">
        <w:rPr>
          <w:i/>
          <w:sz w:val="20"/>
          <w:szCs w:val="20"/>
          <w:lang w:val="en-GB"/>
        </w:rPr>
        <w:t>Mobile Internet</w:t>
      </w:r>
      <w:r w:rsidRPr="00643633">
        <w:rPr>
          <w:sz w:val="20"/>
          <w:szCs w:val="20"/>
          <w:lang w:val="en-GB"/>
        </w:rPr>
        <w:t>, for</w:t>
      </w:r>
      <w:r>
        <w:rPr>
          <w:sz w:val="20"/>
          <w:szCs w:val="20"/>
          <w:lang w:val="en-GB"/>
        </w:rPr>
        <w:t> </w:t>
      </w:r>
      <w:r w:rsidRPr="00643633">
        <w:rPr>
          <w:sz w:val="20"/>
          <w:szCs w:val="20"/>
          <w:lang w:val="en-GB"/>
        </w:rPr>
        <w:t>example on a laptop or tablet. In 201</w:t>
      </w:r>
      <w:r>
        <w:rPr>
          <w:sz w:val="20"/>
          <w:szCs w:val="20"/>
          <w:lang w:val="en-GB"/>
        </w:rPr>
        <w:t>6</w:t>
      </w:r>
      <w:r w:rsidRPr="00643633">
        <w:rPr>
          <w:sz w:val="20"/>
          <w:szCs w:val="20"/>
          <w:lang w:val="en-GB"/>
        </w:rPr>
        <w:t xml:space="preserve">, </w:t>
      </w:r>
      <w:r>
        <w:rPr>
          <w:sz w:val="20"/>
          <w:szCs w:val="20"/>
          <w:lang w:val="en-GB"/>
        </w:rPr>
        <w:t>11</w:t>
      </w:r>
      <w:r w:rsidRPr="00643633">
        <w:rPr>
          <w:sz w:val="20"/>
          <w:szCs w:val="20"/>
          <w:lang w:val="en-GB"/>
        </w:rPr>
        <w:t xml:space="preserve"> percent </w:t>
      </w:r>
      <w:r>
        <w:rPr>
          <w:sz w:val="20"/>
          <w:szCs w:val="20"/>
          <w:lang w:val="en-GB"/>
        </w:rPr>
        <w:t xml:space="preserve">(976 thousand) </w:t>
      </w:r>
      <w:r w:rsidRPr="00643633">
        <w:rPr>
          <w:sz w:val="20"/>
          <w:szCs w:val="20"/>
          <w:lang w:val="en-GB"/>
        </w:rPr>
        <w:t xml:space="preserve">of the mobile broadband connections in the </w:t>
      </w:r>
      <w:r>
        <w:rPr>
          <w:sz w:val="20"/>
          <w:szCs w:val="20"/>
          <w:lang w:val="en-GB"/>
        </w:rPr>
        <w:t xml:space="preserve">Czech Republic </w:t>
      </w:r>
      <w:r w:rsidRPr="00643633">
        <w:rPr>
          <w:sz w:val="20"/>
          <w:szCs w:val="20"/>
          <w:lang w:val="en-GB"/>
        </w:rPr>
        <w:t>w</w:t>
      </w:r>
      <w:r>
        <w:rPr>
          <w:sz w:val="20"/>
          <w:szCs w:val="20"/>
          <w:lang w:val="en-GB"/>
        </w:rPr>
        <w:t xml:space="preserve">ere </w:t>
      </w:r>
      <w:r w:rsidRPr="00643633">
        <w:rPr>
          <w:sz w:val="20"/>
          <w:szCs w:val="20"/>
          <w:lang w:val="en-GB"/>
        </w:rPr>
        <w:t>a dedicated mobile data subscription</w:t>
      </w:r>
      <w:r>
        <w:rPr>
          <w:sz w:val="20"/>
          <w:szCs w:val="20"/>
          <w:lang w:val="en-GB"/>
        </w:rPr>
        <w:t xml:space="preserve"> using a stand-alone service and USB data cards/keys/modems integrated usually into portable computers or tablets. </w:t>
      </w:r>
    </w:p>
    <w:p w:rsidR="00874476" w:rsidRDefault="00874476" w:rsidP="00874476">
      <w:pPr>
        <w:pStyle w:val="Zkladntext"/>
        <w:numPr>
          <w:ilvl w:val="0"/>
          <w:numId w:val="15"/>
        </w:numPr>
        <w:spacing w:before="0" w:after="80" w:line="264" w:lineRule="auto"/>
        <w:ind w:left="284" w:hanging="284"/>
        <w:rPr>
          <w:sz w:val="20"/>
          <w:szCs w:val="20"/>
          <w:lang w:val="en-GB"/>
        </w:rPr>
      </w:pPr>
      <w:r w:rsidRPr="00FB0502">
        <w:rPr>
          <w:sz w:val="20"/>
          <w:szCs w:val="20"/>
          <w:lang w:val="en-GB"/>
        </w:rPr>
        <w:t xml:space="preserve">A growing trend can be observed in the number of </w:t>
      </w:r>
      <w:r>
        <w:rPr>
          <w:sz w:val="20"/>
          <w:szCs w:val="20"/>
          <w:lang w:val="en-GB"/>
        </w:rPr>
        <w:t xml:space="preserve">dedicated data </w:t>
      </w:r>
      <w:r w:rsidRPr="00FB0502">
        <w:rPr>
          <w:sz w:val="20"/>
          <w:szCs w:val="20"/>
          <w:lang w:val="en-GB"/>
        </w:rPr>
        <w:t xml:space="preserve">subscribers using the services of </w:t>
      </w:r>
      <w:r w:rsidRPr="007622B2">
        <w:rPr>
          <w:i/>
          <w:sz w:val="20"/>
          <w:szCs w:val="20"/>
          <w:lang w:val="en-GB"/>
        </w:rPr>
        <w:t>Mobile Internet</w:t>
      </w:r>
      <w:r>
        <w:rPr>
          <w:sz w:val="20"/>
          <w:szCs w:val="20"/>
          <w:lang w:val="en-GB"/>
        </w:rPr>
        <w:t xml:space="preserve">. </w:t>
      </w:r>
      <w:r w:rsidRPr="00FB0502">
        <w:rPr>
          <w:sz w:val="20"/>
          <w:szCs w:val="20"/>
          <w:lang w:val="en-GB"/>
        </w:rPr>
        <w:t>In</w:t>
      </w:r>
      <w:r>
        <w:rPr>
          <w:sz w:val="20"/>
          <w:szCs w:val="20"/>
          <w:lang w:val="en-GB"/>
        </w:rPr>
        <w:t> </w:t>
      </w:r>
      <w:r w:rsidRPr="00FB0502">
        <w:rPr>
          <w:sz w:val="20"/>
          <w:szCs w:val="20"/>
          <w:lang w:val="en-GB"/>
        </w:rPr>
        <w:t xml:space="preserve">comparison with the service of Internet </w:t>
      </w:r>
      <w:r>
        <w:rPr>
          <w:sz w:val="20"/>
          <w:szCs w:val="20"/>
          <w:lang w:val="en-GB"/>
        </w:rPr>
        <w:t>o</w:t>
      </w:r>
      <w:r w:rsidRPr="00FB0502">
        <w:rPr>
          <w:sz w:val="20"/>
          <w:szCs w:val="20"/>
          <w:lang w:val="en-GB"/>
        </w:rPr>
        <w:t xml:space="preserve">n a Mobile Phone, however, </w:t>
      </w:r>
      <w:bookmarkStart w:id="17" w:name="_Toc528845436"/>
      <w:r>
        <w:rPr>
          <w:sz w:val="20"/>
          <w:szCs w:val="20"/>
          <w:lang w:val="en-GB"/>
        </w:rPr>
        <w:t>a </w:t>
      </w:r>
      <w:r w:rsidRPr="00FB0502">
        <w:rPr>
          <w:sz w:val="20"/>
          <w:szCs w:val="20"/>
          <w:lang w:val="en-GB"/>
        </w:rPr>
        <w:t xml:space="preserve">year-on-year growth is </w:t>
      </w:r>
      <w:r>
        <w:rPr>
          <w:sz w:val="20"/>
          <w:szCs w:val="20"/>
          <w:lang w:val="en-GB"/>
        </w:rPr>
        <w:t>slower – from 542 thousand subscriptions in 2010 to above mentioned 976 thousand in 2016 (by 180 per cent)</w:t>
      </w:r>
      <w:r w:rsidRPr="00FB0502">
        <w:rPr>
          <w:sz w:val="20"/>
          <w:szCs w:val="20"/>
          <w:lang w:val="en-GB"/>
        </w:rPr>
        <w:t>.</w:t>
      </w:r>
    </w:p>
    <w:p w:rsidR="00874476" w:rsidRDefault="00874476" w:rsidP="00874476">
      <w:pPr>
        <w:pStyle w:val="Zkladntext"/>
        <w:numPr>
          <w:ilvl w:val="0"/>
          <w:numId w:val="15"/>
        </w:numPr>
        <w:spacing w:before="0" w:after="80" w:line="264" w:lineRule="auto"/>
        <w:ind w:left="284" w:hanging="284"/>
        <w:rPr>
          <w:sz w:val="20"/>
          <w:szCs w:val="20"/>
          <w:lang w:val="en-GB"/>
        </w:rPr>
      </w:pPr>
      <w:r w:rsidRPr="00BE6B68">
        <w:rPr>
          <w:sz w:val="20"/>
          <w:szCs w:val="20"/>
          <w:lang w:val="en-GB"/>
        </w:rPr>
        <w:t>In most EU countries, mobile connectivity is undergoing major advancements through the deployment of</w:t>
      </w:r>
      <w:r>
        <w:rPr>
          <w:sz w:val="20"/>
          <w:szCs w:val="20"/>
          <w:lang w:val="en-GB"/>
        </w:rPr>
        <w:t> </w:t>
      </w:r>
      <w:r w:rsidRPr="00BE6B68">
        <w:rPr>
          <w:sz w:val="20"/>
          <w:szCs w:val="20"/>
          <w:lang w:val="en-GB"/>
        </w:rPr>
        <w:t>Long Term Evolution (LTE) networks. Mobile broadband providers are advertising download speeds at</w:t>
      </w:r>
      <w:r>
        <w:rPr>
          <w:sz w:val="20"/>
          <w:szCs w:val="20"/>
          <w:lang w:val="en-GB"/>
        </w:rPr>
        <w:t> </w:t>
      </w:r>
      <w:r w:rsidRPr="00BE6B68">
        <w:rPr>
          <w:sz w:val="20"/>
          <w:szCs w:val="20"/>
          <w:lang w:val="en-GB"/>
        </w:rPr>
        <w:t xml:space="preserve">levels increasingly closer to those of some fixed broadband offers. As a consequence, </w:t>
      </w:r>
      <w:r>
        <w:rPr>
          <w:sz w:val="20"/>
          <w:szCs w:val="20"/>
          <w:lang w:val="en-GB"/>
        </w:rPr>
        <w:t>m</w:t>
      </w:r>
      <w:r w:rsidRPr="00BE6B68">
        <w:rPr>
          <w:sz w:val="20"/>
          <w:szCs w:val="20"/>
          <w:lang w:val="en-GB"/>
        </w:rPr>
        <w:t xml:space="preserve">obile connections are now processing far more data traffic. </w:t>
      </w:r>
    </w:p>
    <w:p w:rsidR="00874476" w:rsidRPr="00BE6B68" w:rsidRDefault="00874476" w:rsidP="00874476">
      <w:pPr>
        <w:pStyle w:val="Zkladntext"/>
        <w:numPr>
          <w:ilvl w:val="0"/>
          <w:numId w:val="15"/>
        </w:numPr>
        <w:spacing w:before="0" w:after="80" w:line="264" w:lineRule="auto"/>
        <w:ind w:left="284" w:hanging="284"/>
        <w:rPr>
          <w:sz w:val="20"/>
          <w:szCs w:val="20"/>
          <w:lang w:val="en-GB"/>
        </w:rPr>
      </w:pPr>
      <w:r w:rsidRPr="00BE6B68">
        <w:rPr>
          <w:sz w:val="20"/>
          <w:szCs w:val="20"/>
          <w:lang w:val="en-GB"/>
        </w:rPr>
        <w:t xml:space="preserve">In the Czech Republic in 2016, the </w:t>
      </w:r>
      <w:r w:rsidRPr="00565934">
        <w:rPr>
          <w:sz w:val="20"/>
          <w:szCs w:val="20"/>
          <w:lang w:val="en-GB"/>
        </w:rPr>
        <w:t xml:space="preserve">average mobile data traffic </w:t>
      </w:r>
      <w:r w:rsidRPr="00FB0502">
        <w:rPr>
          <w:sz w:val="20"/>
          <w:szCs w:val="20"/>
          <w:lang w:val="en-GB"/>
        </w:rPr>
        <w:t>per one active SIM card was 983 megabytes compare to 203 megabytes five years ag</w:t>
      </w:r>
      <w:r w:rsidRPr="003445DD">
        <w:rPr>
          <w:sz w:val="20"/>
          <w:szCs w:val="20"/>
          <w:lang w:val="en-GB"/>
        </w:rPr>
        <w:t>o. However, the volume of mobile data is still only a fraction of the volume that is routed exclusively across fixed connections. The mobile internet figures do not include data traffic routed via Wi</w:t>
      </w:r>
      <w:r>
        <w:rPr>
          <w:sz w:val="20"/>
          <w:szCs w:val="20"/>
          <w:lang w:val="en-GB"/>
        </w:rPr>
        <w:t>-</w:t>
      </w:r>
      <w:r w:rsidRPr="003445DD">
        <w:rPr>
          <w:sz w:val="20"/>
          <w:szCs w:val="20"/>
          <w:lang w:val="en-GB"/>
        </w:rPr>
        <w:t>Fi. After all, Wi</w:t>
      </w:r>
      <w:r>
        <w:rPr>
          <w:sz w:val="20"/>
          <w:szCs w:val="20"/>
          <w:lang w:val="en-GB"/>
        </w:rPr>
        <w:t>-</w:t>
      </w:r>
      <w:r w:rsidRPr="00BE6B68">
        <w:rPr>
          <w:sz w:val="20"/>
          <w:szCs w:val="20"/>
          <w:lang w:val="en-GB"/>
        </w:rPr>
        <w:t>Fi does not make use of the network for</w:t>
      </w:r>
      <w:r>
        <w:rPr>
          <w:sz w:val="20"/>
          <w:szCs w:val="20"/>
          <w:lang w:val="en-GB"/>
        </w:rPr>
        <w:t> </w:t>
      </w:r>
      <w:r w:rsidRPr="00BE6B68">
        <w:rPr>
          <w:sz w:val="20"/>
          <w:szCs w:val="20"/>
          <w:lang w:val="en-GB"/>
        </w:rPr>
        <w:t>mobile data traffic.</w:t>
      </w:r>
    </w:p>
    <w:p w:rsidR="00874476" w:rsidRDefault="00874476" w:rsidP="00874476">
      <w:pPr>
        <w:pStyle w:val="Zkladntext"/>
        <w:numPr>
          <w:ilvl w:val="0"/>
          <w:numId w:val="15"/>
        </w:numPr>
        <w:spacing w:before="0" w:after="80" w:line="264" w:lineRule="auto"/>
        <w:ind w:left="284" w:hanging="284"/>
        <w:rPr>
          <w:sz w:val="20"/>
          <w:szCs w:val="20"/>
          <w:lang w:val="en-GB"/>
        </w:rPr>
      </w:pPr>
      <w:r w:rsidRPr="008D447D">
        <w:rPr>
          <w:sz w:val="20"/>
          <w:szCs w:val="20"/>
          <w:lang w:val="en-GB"/>
        </w:rPr>
        <w:t>Relative to population, mobile broadband take-up appears to be much higher than for fixed broadband</w:t>
      </w:r>
      <w:r>
        <w:rPr>
          <w:sz w:val="20"/>
          <w:szCs w:val="20"/>
          <w:lang w:val="en-GB"/>
        </w:rPr>
        <w:t xml:space="preserve">. </w:t>
      </w:r>
      <w:r w:rsidRPr="008776DE">
        <w:rPr>
          <w:sz w:val="20"/>
          <w:szCs w:val="20"/>
          <w:lang w:val="en-GB"/>
        </w:rPr>
        <w:t>In</w:t>
      </w:r>
      <w:r>
        <w:rPr>
          <w:sz w:val="20"/>
          <w:szCs w:val="20"/>
          <w:lang w:val="en-GB"/>
        </w:rPr>
        <w:t> </w:t>
      </w:r>
      <w:r w:rsidRPr="008776DE">
        <w:rPr>
          <w:sz w:val="20"/>
          <w:szCs w:val="20"/>
          <w:lang w:val="en-GB"/>
        </w:rPr>
        <w:t>2016, there were 80</w:t>
      </w:r>
      <w:r>
        <w:rPr>
          <w:sz w:val="20"/>
          <w:szCs w:val="20"/>
          <w:lang w:val="en-GB"/>
        </w:rPr>
        <w:t>.</w:t>
      </w:r>
      <w:r w:rsidRPr="008776DE">
        <w:rPr>
          <w:sz w:val="20"/>
          <w:szCs w:val="20"/>
          <w:lang w:val="en-GB"/>
        </w:rPr>
        <w:t>6 mobile broadband connections (subscriptions) per 100 inhabitants in the Czech Republic, whereas the EU average in the same year was 86.8 subscriptions.</w:t>
      </w:r>
      <w:r>
        <w:rPr>
          <w:sz w:val="20"/>
          <w:szCs w:val="20"/>
          <w:lang w:val="en-GB"/>
        </w:rPr>
        <w:t xml:space="preserve"> </w:t>
      </w:r>
      <w:r w:rsidRPr="008776DE">
        <w:rPr>
          <w:sz w:val="20"/>
          <w:szCs w:val="20"/>
          <w:lang w:val="en-GB"/>
        </w:rPr>
        <w:t>In Finland this number was 14</w:t>
      </w:r>
      <w:r w:rsidRPr="00104821">
        <w:rPr>
          <w:sz w:val="20"/>
          <w:szCs w:val="20"/>
          <w:lang w:val="en-GB"/>
        </w:rPr>
        <w:t>6. This is the highest number among EU countries. Estonia, Denmark and Sweden also have a high mobile broadband penetration rates.</w:t>
      </w:r>
    </w:p>
    <w:p w:rsidR="00874476" w:rsidRPr="008776DE" w:rsidRDefault="00874476" w:rsidP="00874476">
      <w:pPr>
        <w:pStyle w:val="Zkladntext"/>
        <w:numPr>
          <w:ilvl w:val="0"/>
          <w:numId w:val="15"/>
        </w:numPr>
        <w:spacing w:before="0" w:after="80" w:line="264" w:lineRule="auto"/>
        <w:ind w:left="284" w:hanging="284"/>
        <w:rPr>
          <w:sz w:val="20"/>
          <w:szCs w:val="20"/>
          <w:lang w:val="en-GB"/>
        </w:rPr>
      </w:pPr>
      <w:r w:rsidRPr="008776DE">
        <w:rPr>
          <w:sz w:val="20"/>
          <w:szCs w:val="20"/>
          <w:lang w:val="en-GB"/>
        </w:rPr>
        <w:t xml:space="preserve">In all countries, a majority of subscriptions are packages including both calls and data but data-only subscriptions have considerable market share in </w:t>
      </w:r>
      <w:r>
        <w:rPr>
          <w:sz w:val="20"/>
          <w:szCs w:val="20"/>
          <w:lang w:val="en-GB"/>
        </w:rPr>
        <w:t xml:space="preserve">Finland </w:t>
      </w:r>
      <w:r w:rsidRPr="008776DE">
        <w:rPr>
          <w:sz w:val="20"/>
          <w:szCs w:val="20"/>
          <w:lang w:val="en-GB"/>
        </w:rPr>
        <w:t xml:space="preserve">and Estonia. </w:t>
      </w:r>
      <w:r>
        <w:rPr>
          <w:sz w:val="20"/>
          <w:szCs w:val="20"/>
          <w:lang w:val="en-GB"/>
        </w:rPr>
        <w:t>Even if d</w:t>
      </w:r>
      <w:r w:rsidRPr="008776DE">
        <w:rPr>
          <w:sz w:val="20"/>
          <w:szCs w:val="20"/>
          <w:lang w:val="en-GB"/>
        </w:rPr>
        <w:t xml:space="preserve">ata for </w:t>
      </w:r>
      <w:r>
        <w:rPr>
          <w:sz w:val="20"/>
          <w:szCs w:val="20"/>
          <w:lang w:val="en-GB"/>
        </w:rPr>
        <w:t xml:space="preserve">mobile </w:t>
      </w:r>
      <w:r w:rsidRPr="008776DE">
        <w:rPr>
          <w:sz w:val="20"/>
          <w:szCs w:val="20"/>
          <w:lang w:val="en-GB"/>
        </w:rPr>
        <w:t xml:space="preserve">broadband subscriptions have improved greatly in recent years, especially with regard to measurement of data only </w:t>
      </w:r>
      <w:r w:rsidRPr="008776DE">
        <w:rPr>
          <w:sz w:val="20"/>
          <w:szCs w:val="20"/>
          <w:lang w:val="en-GB"/>
        </w:rPr>
        <w:lastRenderedPageBreak/>
        <w:t>and data and voice mobile data subscriptions</w:t>
      </w:r>
      <w:r>
        <w:rPr>
          <w:sz w:val="20"/>
          <w:szCs w:val="20"/>
          <w:lang w:val="en-GB"/>
        </w:rPr>
        <w:t xml:space="preserve">, the </w:t>
      </w:r>
      <w:r w:rsidRPr="008776DE">
        <w:rPr>
          <w:sz w:val="20"/>
          <w:szCs w:val="20"/>
          <w:lang w:val="en-GB"/>
        </w:rPr>
        <w:t xml:space="preserve">international comparability of mobile communications statistics is </w:t>
      </w:r>
      <w:r>
        <w:rPr>
          <w:sz w:val="20"/>
          <w:szCs w:val="20"/>
          <w:lang w:val="en-GB"/>
        </w:rPr>
        <w:t xml:space="preserve">still </w:t>
      </w:r>
      <w:r w:rsidRPr="008776DE">
        <w:rPr>
          <w:sz w:val="20"/>
          <w:szCs w:val="20"/>
          <w:lang w:val="en-GB"/>
        </w:rPr>
        <w:t xml:space="preserve">limited by the fact that not all countries are able to comply </w:t>
      </w:r>
      <w:r>
        <w:rPr>
          <w:sz w:val="20"/>
          <w:szCs w:val="20"/>
          <w:lang w:val="en-GB"/>
        </w:rPr>
        <w:t xml:space="preserve">fully </w:t>
      </w:r>
      <w:r w:rsidRPr="008776DE">
        <w:rPr>
          <w:sz w:val="20"/>
          <w:szCs w:val="20"/>
          <w:lang w:val="en-GB"/>
        </w:rPr>
        <w:t>with the same definitions.</w:t>
      </w:r>
    </w:p>
    <w:p w:rsidR="00874476" w:rsidRDefault="00874476" w:rsidP="00874476">
      <w:pPr>
        <w:pStyle w:val="Zkladntext"/>
        <w:spacing w:before="0" w:after="100" w:line="264" w:lineRule="auto"/>
        <w:rPr>
          <w:sz w:val="20"/>
          <w:szCs w:val="20"/>
          <w:lang w:val="en-GB"/>
        </w:rPr>
      </w:pPr>
      <w:r>
        <w:rPr>
          <w:noProof/>
        </w:rPr>
        <w:drawing>
          <wp:inline distT="0" distB="0" distL="0" distR="0" wp14:anchorId="73F13C63" wp14:editId="08A6A5EB">
            <wp:extent cx="5972810" cy="3600000"/>
            <wp:effectExtent l="0" t="0" r="0" b="0"/>
            <wp:docPr id="75" name="Graf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B78A6" w:rsidRDefault="00874476" w:rsidP="00874476">
      <w:pPr>
        <w:pStyle w:val="Zkladntext"/>
        <w:numPr>
          <w:ilvl w:val="0"/>
          <w:numId w:val="15"/>
        </w:numPr>
        <w:spacing w:before="0" w:after="80" w:line="264" w:lineRule="auto"/>
        <w:ind w:left="284" w:hanging="284"/>
        <w:rPr>
          <w:sz w:val="20"/>
          <w:szCs w:val="20"/>
          <w:lang w:val="en-GB"/>
        </w:rPr>
      </w:pPr>
      <w:r w:rsidRPr="00C650A6">
        <w:rPr>
          <w:sz w:val="20"/>
          <w:szCs w:val="20"/>
          <w:lang w:val="en-GB"/>
        </w:rPr>
        <w:t xml:space="preserve">SIM cards for machine-to-machine (M2M) usage account for a growing segment of mobile data subscriptions. These are dedicated exclusively to communication between equipment at a distance and are not intended for interpersonal communications. Some of the functionality of M2M communications is built into navigation services for automobiles, access to the </w:t>
      </w:r>
      <w:r>
        <w:rPr>
          <w:sz w:val="20"/>
          <w:szCs w:val="20"/>
          <w:lang w:val="en-GB"/>
        </w:rPr>
        <w:t>i</w:t>
      </w:r>
      <w:r w:rsidRPr="00C650A6">
        <w:rPr>
          <w:sz w:val="20"/>
          <w:szCs w:val="20"/>
          <w:lang w:val="en-GB"/>
        </w:rPr>
        <w:t>nternet and emergency communications, among others. These devices connect millions of sensors and actuators, providing ever-greater amounts of “big data” to facilitate the monitoring of machines, environments and people’s health. However, there is not yet an official methodology to define the limits of M2M SIM cards. National telecom regulators in some EU countries have begun to release M2M SIM cards figures along with mobile and wireless broadband subscriptions. However, M2M use may still be mixed in with other subscriptions.</w:t>
      </w:r>
    </w:p>
    <w:bookmarkEnd w:id="17"/>
    <w:sectPr w:rsidR="00BB78A6" w:rsidSect="000955DB">
      <w:headerReference w:type="even" r:id="rId40"/>
      <w:headerReference w:type="default" r:id="rId41"/>
      <w:footerReference w:type="even" r:id="rId42"/>
      <w:footerReference w:type="default" r:id="rId43"/>
      <w:type w:val="continuous"/>
      <w:pgSz w:w="11906" w:h="16838" w:code="9"/>
      <w:pgMar w:top="1134" w:right="1134" w:bottom="1418" w:left="1134" w:header="680" w:footer="680"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0B" w:rsidRDefault="008E680B" w:rsidP="00E71A58">
      <w:r>
        <w:separator/>
      </w:r>
    </w:p>
  </w:endnote>
  <w:endnote w:type="continuationSeparator" w:id="0">
    <w:p w:rsidR="008E680B" w:rsidRDefault="008E680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D44910">
    <w:pPr>
      <w:pStyle w:val="Zpat"/>
    </w:pPr>
    <w:r>
      <w:rPr>
        <w:noProof/>
        <w:lang w:val="cs-CZ" w:eastAsia="cs-CZ"/>
      </w:rPr>
      <w:drawing>
        <wp:anchor distT="0" distB="0" distL="114300" distR="114300" simplePos="0" relativeHeight="251660800" behindDoc="0" locked="0" layoutInCell="1" allowOverlap="1" wp14:anchorId="68957A41" wp14:editId="497FEBB3">
          <wp:simplePos x="0" y="0"/>
          <wp:positionH relativeFrom="column">
            <wp:align>right</wp:align>
          </wp:positionH>
          <wp:positionV relativeFrom="paragraph">
            <wp:posOffset>-64770</wp:posOffset>
          </wp:positionV>
          <wp:extent cx="385445" cy="190500"/>
          <wp:effectExtent l="0" t="0" r="0" b="12700"/>
          <wp:wrapNone/>
          <wp:docPr id="105"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910">
      <w:fldChar w:fldCharType="begin"/>
    </w:r>
    <w:r w:rsidRPr="00D44910">
      <w:instrText>PAGE   \* MERGEFORMAT</w:instrText>
    </w:r>
    <w:r w:rsidRPr="00D44910">
      <w:fldChar w:fldCharType="separate"/>
    </w:r>
    <w:r w:rsidR="000955DB">
      <w:rPr>
        <w:noProof/>
      </w:rPr>
      <w:t>8</w:t>
    </w:r>
    <w:r w:rsidRPr="00D44910">
      <w:fldChar w:fldCharType="end"/>
    </w:r>
    <w:r w:rsidRPr="00D44910">
      <w:tab/>
    </w:r>
    <w:r>
      <w:rPr>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FE30D1">
    <w:pPr>
      <w:pStyle w:val="Zpat"/>
    </w:pPr>
    <w:r>
      <w:rPr>
        <w:noProof/>
        <w:lang w:val="cs-CZ" w:eastAsia="cs-CZ"/>
      </w:rPr>
      <w:drawing>
        <wp:anchor distT="0" distB="0" distL="114300" distR="114300" simplePos="0" relativeHeight="251653632" behindDoc="0" locked="0" layoutInCell="1" allowOverlap="1" wp14:anchorId="4B8214EF" wp14:editId="5869E5AC">
          <wp:simplePos x="0" y="0"/>
          <wp:positionH relativeFrom="column">
            <wp:align>left</wp:align>
          </wp:positionH>
          <wp:positionV relativeFrom="paragraph">
            <wp:posOffset>-64770</wp:posOffset>
          </wp:positionV>
          <wp:extent cx="676910" cy="201930"/>
          <wp:effectExtent l="0" t="0" r="8890" b="1270"/>
          <wp:wrapNone/>
          <wp:docPr id="106"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8F3">
      <w:tab/>
    </w:r>
    <w:r>
      <w:rPr>
        <w:szCs w:val="16"/>
      </w:rPr>
      <w:t>2018</w:t>
    </w:r>
    <w:r w:rsidRPr="000B58F3">
      <w:tab/>
    </w:r>
    <w:r w:rsidRPr="000B58F3">
      <w:rPr>
        <w:rStyle w:val="ZpatChar"/>
      </w:rPr>
      <w:fldChar w:fldCharType="begin"/>
    </w:r>
    <w:r w:rsidRPr="000B58F3">
      <w:rPr>
        <w:rStyle w:val="ZpatChar"/>
      </w:rPr>
      <w:instrText>PAGE   \* MERGEFORMAT</w:instrText>
    </w:r>
    <w:r w:rsidRPr="000B58F3">
      <w:rPr>
        <w:rStyle w:val="ZpatChar"/>
      </w:rPr>
      <w:fldChar w:fldCharType="separate"/>
    </w:r>
    <w:r w:rsidR="000955DB">
      <w:rPr>
        <w:rStyle w:val="ZpatChar"/>
        <w:noProof/>
      </w:rPr>
      <w:t>7</w:t>
    </w:r>
    <w:r w:rsidRPr="000B58F3">
      <w:rPr>
        <w:rStyle w:val="Zpa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DB" w:rsidRDefault="000955D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3A6B38">
    <w:pPr>
      <w:pStyle w:val="Zpat"/>
    </w:pPr>
    <w:r>
      <w:rPr>
        <w:noProof/>
        <w:lang w:val="cs-CZ" w:eastAsia="cs-CZ"/>
      </w:rPr>
      <w:drawing>
        <wp:anchor distT="0" distB="0" distL="114300" distR="114300" simplePos="0" relativeHeight="251632128" behindDoc="0" locked="0" layoutInCell="1" allowOverlap="1" wp14:anchorId="719CD0F2" wp14:editId="2808CF79">
          <wp:simplePos x="0" y="0"/>
          <wp:positionH relativeFrom="column">
            <wp:posOffset>5660390</wp:posOffset>
          </wp:positionH>
          <wp:positionV relativeFrom="paragraph">
            <wp:posOffset>-52070</wp:posOffset>
          </wp:positionV>
          <wp:extent cx="466725" cy="219075"/>
          <wp:effectExtent l="0" t="0" r="0" b="0"/>
          <wp:wrapNone/>
          <wp:docPr id="124" name="obrázek 4"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pic:spPr>
              </pic:pic>
            </a:graphicData>
          </a:graphic>
        </wp:anchor>
      </w:drawing>
    </w:r>
    <w:r w:rsidRPr="005A21E0">
      <w:rPr>
        <w:szCs w:val="16"/>
      </w:rPr>
      <w:fldChar w:fldCharType="begin"/>
    </w:r>
    <w:r w:rsidRPr="005A21E0">
      <w:rPr>
        <w:szCs w:val="16"/>
      </w:rPr>
      <w:instrText>PAGE   \* MERGEFORMAT</w:instrText>
    </w:r>
    <w:r w:rsidRPr="005A21E0">
      <w:rPr>
        <w:szCs w:val="16"/>
      </w:rPr>
      <w:fldChar w:fldCharType="separate"/>
    </w:r>
    <w:r w:rsidR="000955DB">
      <w:rPr>
        <w:noProof/>
        <w:szCs w:val="16"/>
      </w:rPr>
      <w:t>16</w:t>
    </w:r>
    <w:r w:rsidRPr="005A21E0">
      <w:rPr>
        <w:szCs w:val="16"/>
      </w:rPr>
      <w:fldChar w:fldCharType="end"/>
    </w:r>
    <w:r>
      <w:rPr>
        <w:szCs w:val="16"/>
      </w:rPr>
      <w:tab/>
      <w:t>2018</w:t>
    </w: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8C4CA2">
    <w:pPr>
      <w:pStyle w:val="Zpat"/>
      <w:tabs>
        <w:tab w:val="left" w:pos="1134"/>
        <w:tab w:val="left" w:pos="1920"/>
      </w:tabs>
    </w:pPr>
    <w:r>
      <w:rPr>
        <w:noProof/>
        <w:lang w:val="cs-CZ" w:eastAsia="cs-CZ"/>
      </w:rPr>
      <w:drawing>
        <wp:anchor distT="0" distB="0" distL="114300" distR="114300" simplePos="0" relativeHeight="251637248" behindDoc="0" locked="0" layoutInCell="1" allowOverlap="1" wp14:anchorId="750C1CA9" wp14:editId="6CB47913">
          <wp:simplePos x="0" y="0"/>
          <wp:positionH relativeFrom="column">
            <wp:posOffset>0</wp:posOffset>
          </wp:positionH>
          <wp:positionV relativeFrom="paragraph">
            <wp:posOffset>0</wp:posOffset>
          </wp:positionV>
          <wp:extent cx="676910" cy="201930"/>
          <wp:effectExtent l="0" t="0" r="8890" b="1270"/>
          <wp:wrapNone/>
          <wp:docPr id="44"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rPr>
        <w:szCs w:val="16"/>
      </w:rPr>
      <w:tab/>
    </w:r>
    <w:r>
      <w:rPr>
        <w:szCs w:val="16"/>
      </w:rPr>
      <w:tab/>
    </w:r>
    <w:r>
      <w:rPr>
        <w:szCs w:val="16"/>
      </w:rPr>
      <w:tab/>
      <w:t>2018</w:t>
    </w:r>
    <w:r>
      <w:tab/>
    </w:r>
    <w:r w:rsidRPr="00B6608F">
      <w:rPr>
        <w:szCs w:val="16"/>
      </w:rPr>
      <w:fldChar w:fldCharType="begin"/>
    </w:r>
    <w:r w:rsidRPr="00B6608F">
      <w:rPr>
        <w:szCs w:val="16"/>
      </w:rPr>
      <w:instrText>PAGE   \* MERGEFORMAT</w:instrText>
    </w:r>
    <w:r w:rsidRPr="00B6608F">
      <w:rPr>
        <w:szCs w:val="16"/>
      </w:rPr>
      <w:fldChar w:fldCharType="separate"/>
    </w:r>
    <w:r>
      <w:rPr>
        <w:noProof/>
        <w:szCs w:val="16"/>
      </w:rPr>
      <w:t>19</w:t>
    </w:r>
    <w:r w:rsidRPr="00B6608F">
      <w:rP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pPr>
      <w:pStyle w:val="Zpat"/>
    </w:pPr>
    <w:r>
      <w:rPr>
        <w:noProof/>
        <w:lang w:val="cs-CZ" w:eastAsia="cs-CZ"/>
      </w:rPr>
      <w:drawing>
        <wp:inline distT="0" distB="0" distL="0" distR="0" wp14:anchorId="6295CD81" wp14:editId="27F9B497">
          <wp:extent cx="869746" cy="247650"/>
          <wp:effectExtent l="0" t="0" r="6985" b="0"/>
          <wp:docPr id="136" name="Obrázek 136" descr="D:\Dokumenty\prac\3.1 barevna verze logotypu zkratka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y\prac\3.1 barevna verze logotypu zkratka en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6726"/>
                  <a:stretch/>
                </pic:blipFill>
                <pic:spPr bwMode="auto">
                  <a:xfrm>
                    <a:off x="0" y="0"/>
                    <a:ext cx="885023" cy="25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D44910">
    <w:pPr>
      <w:pStyle w:val="Zpat"/>
    </w:pPr>
    <w:r>
      <w:rPr>
        <w:noProof/>
        <w:lang w:val="cs-CZ" w:eastAsia="cs-CZ"/>
      </w:rPr>
      <w:drawing>
        <wp:anchor distT="0" distB="0" distL="114300" distR="114300" simplePos="0" relativeHeight="251658752" behindDoc="0" locked="0" layoutInCell="1" allowOverlap="1">
          <wp:simplePos x="0" y="0"/>
          <wp:positionH relativeFrom="column">
            <wp:align>right</wp:align>
          </wp:positionH>
          <wp:positionV relativeFrom="paragraph">
            <wp:posOffset>-64770</wp:posOffset>
          </wp:positionV>
          <wp:extent cx="385445" cy="190500"/>
          <wp:effectExtent l="0" t="0" r="0" b="12700"/>
          <wp:wrapNone/>
          <wp:docPr id="81"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910">
      <w:fldChar w:fldCharType="begin"/>
    </w:r>
    <w:r w:rsidRPr="00D44910">
      <w:instrText>PAGE   \* MERGEFORMAT</w:instrText>
    </w:r>
    <w:r w:rsidRPr="00D44910">
      <w:fldChar w:fldCharType="separate"/>
    </w:r>
    <w:r w:rsidR="000955DB">
      <w:rPr>
        <w:noProof/>
      </w:rPr>
      <w:t>18</w:t>
    </w:r>
    <w:r w:rsidRPr="00D44910">
      <w:fldChar w:fldCharType="end"/>
    </w:r>
    <w:r w:rsidRPr="00D44910">
      <w:tab/>
    </w:r>
    <w:r>
      <w:rPr>
        <w:szCs w:val="16"/>
      </w:rPr>
      <w:t>2018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FE30D1">
    <w:pPr>
      <w:pStyle w:val="Zpat"/>
    </w:pPr>
    <w:r>
      <w:rPr>
        <w:noProof/>
        <w:lang w:val="cs-CZ" w:eastAsia="cs-CZ"/>
      </w:rPr>
      <w:drawing>
        <wp:anchor distT="0" distB="0" distL="114300" distR="114300" simplePos="0" relativeHeight="251656704" behindDoc="0" locked="0" layoutInCell="1" allowOverlap="1">
          <wp:simplePos x="0" y="0"/>
          <wp:positionH relativeFrom="column">
            <wp:align>left</wp:align>
          </wp:positionH>
          <wp:positionV relativeFrom="paragraph">
            <wp:posOffset>-64770</wp:posOffset>
          </wp:positionV>
          <wp:extent cx="676910" cy="201930"/>
          <wp:effectExtent l="0" t="0" r="8890" b="1270"/>
          <wp:wrapNone/>
          <wp:docPr id="89"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8F3">
      <w:tab/>
    </w:r>
    <w:r>
      <w:rPr>
        <w:szCs w:val="16"/>
      </w:rPr>
      <w:t>2018</w:t>
    </w:r>
    <w:r w:rsidRPr="000B58F3">
      <w:tab/>
    </w:r>
    <w:r w:rsidRPr="000B58F3">
      <w:rPr>
        <w:rStyle w:val="ZpatChar"/>
      </w:rPr>
      <w:fldChar w:fldCharType="begin"/>
    </w:r>
    <w:r w:rsidRPr="000B58F3">
      <w:rPr>
        <w:rStyle w:val="ZpatChar"/>
      </w:rPr>
      <w:instrText>PAGE   \* MERGEFORMAT</w:instrText>
    </w:r>
    <w:r w:rsidRPr="000B58F3">
      <w:rPr>
        <w:rStyle w:val="ZpatChar"/>
      </w:rPr>
      <w:fldChar w:fldCharType="separate"/>
    </w:r>
    <w:r w:rsidR="000955DB">
      <w:rPr>
        <w:rStyle w:val="ZpatChar"/>
        <w:noProof/>
      </w:rPr>
      <w:t>19</w:t>
    </w:r>
    <w:r w:rsidRPr="000B58F3">
      <w:rPr>
        <w:rStyle w:val="Zpa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0B" w:rsidRDefault="008E680B" w:rsidP="00E71A58">
      <w:r>
        <w:separator/>
      </w:r>
    </w:p>
  </w:footnote>
  <w:footnote w:type="continuationSeparator" w:id="0">
    <w:p w:rsidR="008E680B" w:rsidRDefault="008E680B" w:rsidP="00E71A58">
      <w:r>
        <w:continuationSeparator/>
      </w:r>
    </w:p>
  </w:footnote>
  <w:footnote w:id="1">
    <w:p w:rsidR="003945DB" w:rsidRPr="000971C4" w:rsidRDefault="003945DB" w:rsidP="000971C4">
      <w:pPr>
        <w:pStyle w:val="Textpoznpodarou"/>
        <w:jc w:val="both"/>
        <w:rPr>
          <w:rFonts w:ascii="Arial" w:hAnsi="Arial" w:cs="Arial"/>
          <w:sz w:val="18"/>
          <w:szCs w:val="18"/>
          <w:lang w:val="en-GB"/>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w:t>
      </w:r>
      <w:r w:rsidRPr="000971C4">
        <w:rPr>
          <w:rFonts w:ascii="Arial" w:hAnsi="Arial" w:cs="Arial"/>
          <w:bCs/>
          <w:iCs/>
          <w:sz w:val="18"/>
          <w:szCs w:val="18"/>
          <w:lang w:val="en-GB"/>
        </w:rPr>
        <w:t xml:space="preserve">A </w:t>
      </w:r>
      <w:r w:rsidRPr="000971C4">
        <w:rPr>
          <w:rFonts w:ascii="Arial" w:hAnsi="Arial" w:cs="Arial"/>
          <w:sz w:val="18"/>
          <w:szCs w:val="18"/>
          <w:lang w:val="en-GB"/>
        </w:rPr>
        <w:t>subscription (subscriber) to publicly accessible services of electronic communications (voice and data services in fixed and mobile communication networks) refers to natural (individual or household) or legal (enterprise, public organisation) person (entity), that has concluded a contract on the use of such services with a provider. Data presented here include solely services provided in the retail segment, i.e. services provided to end users.</w:t>
      </w:r>
    </w:p>
  </w:footnote>
  <w:footnote w:id="2">
    <w:p w:rsidR="003945DB" w:rsidRPr="000971C4" w:rsidRDefault="003945DB" w:rsidP="00874476">
      <w:pPr>
        <w:pStyle w:val="Textpoznpodarou"/>
        <w:spacing w:before="60"/>
        <w:jc w:val="both"/>
        <w:rPr>
          <w:rFonts w:ascii="Arial" w:hAnsi="Arial" w:cs="Arial"/>
          <w:sz w:val="18"/>
          <w:szCs w:val="18"/>
          <w:lang w:val="en-GB"/>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Number of fixed-telephone voice subscriptions is measured as a number of active fixed traditional telephone lines/connections (PSTN) and number of voice subscriptions using VoIP technology.</w:t>
      </w:r>
    </w:p>
  </w:footnote>
  <w:footnote w:id="3">
    <w:p w:rsidR="003945DB" w:rsidRDefault="003945DB" w:rsidP="00874476">
      <w:pPr>
        <w:pStyle w:val="Textpoznpodarou"/>
        <w:spacing w:before="60"/>
        <w:jc w:val="both"/>
      </w:pPr>
      <w:r w:rsidRPr="000971C4">
        <w:rPr>
          <w:rStyle w:val="Znakapoznpodarou"/>
          <w:rFonts w:ascii="Arial" w:hAnsi="Arial" w:cs="Arial"/>
          <w:sz w:val="18"/>
          <w:szCs w:val="18"/>
        </w:rPr>
        <w:footnoteRef/>
      </w:r>
      <w:r w:rsidRPr="000971C4">
        <w:rPr>
          <w:rFonts w:ascii="Arial" w:hAnsi="Arial" w:cs="Arial"/>
          <w:sz w:val="18"/>
          <w:szCs w:val="18"/>
        </w:rPr>
        <w:t xml:space="preserve"> </w:t>
      </w:r>
      <w:r w:rsidRPr="000971C4">
        <w:rPr>
          <w:rFonts w:ascii="Arial" w:hAnsi="Arial" w:cs="Arial"/>
          <w:sz w:val="18"/>
          <w:szCs w:val="18"/>
          <w:lang w:val="en-GB"/>
        </w:rPr>
        <w:t>The PSTN (Public Switched Telephone Network) is a set of technical means defined by an active end point of the public switched telephone network and unambiguously determined by the telephone exchange ending. The number of fixed-voice subscriptions to PSTN lines is measured by number of active PSTN stations – formerly called main telephone stations – and are further classified as residential telephone lines and business telephone lines.</w:t>
      </w:r>
      <w:bookmarkStart w:id="6" w:name="_GoBack"/>
      <w:bookmarkEnd w:id="6"/>
    </w:p>
  </w:footnote>
  <w:footnote w:id="4">
    <w:p w:rsidR="003945DB" w:rsidRPr="000971C4" w:rsidRDefault="003945DB" w:rsidP="000971C4">
      <w:pPr>
        <w:pStyle w:val="Textpoznpodarou"/>
        <w:jc w:val="both"/>
        <w:rPr>
          <w:rFonts w:ascii="Arial" w:hAnsi="Arial" w:cs="Arial"/>
          <w:sz w:val="18"/>
          <w:szCs w:val="18"/>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Further details on the number of households using fixed telephone lines are available in Chapter B.1.</w:t>
      </w:r>
    </w:p>
  </w:footnote>
  <w:footnote w:id="5">
    <w:p w:rsidR="003945DB" w:rsidRPr="000971C4" w:rsidRDefault="003945DB" w:rsidP="00874476">
      <w:pPr>
        <w:pStyle w:val="Textpoznpodarou"/>
        <w:spacing w:before="60"/>
        <w:jc w:val="both"/>
        <w:rPr>
          <w:rFonts w:ascii="Arial" w:hAnsi="Arial" w:cs="Arial"/>
          <w:sz w:val="18"/>
          <w:szCs w:val="18"/>
          <w:lang w:val="en-US"/>
        </w:rPr>
      </w:pPr>
      <w:r w:rsidRPr="000971C4">
        <w:rPr>
          <w:rStyle w:val="Znakapoznpodarou"/>
          <w:rFonts w:ascii="Arial" w:hAnsi="Arial" w:cs="Arial"/>
          <w:sz w:val="18"/>
          <w:szCs w:val="18"/>
        </w:rPr>
        <w:footnoteRef/>
      </w:r>
      <w:r w:rsidRPr="000971C4">
        <w:rPr>
          <w:rStyle w:val="Znakapoznpodarou"/>
          <w:rFonts w:ascii="Arial" w:hAnsi="Arial" w:cs="Arial"/>
          <w:sz w:val="18"/>
          <w:szCs w:val="18"/>
          <w:lang w:val="en-US"/>
        </w:rPr>
        <w:t xml:space="preserve"> </w:t>
      </w:r>
      <w:r w:rsidRPr="000971C4">
        <w:rPr>
          <w:rFonts w:ascii="Arial" w:hAnsi="Arial" w:cs="Arial"/>
          <w:sz w:val="18"/>
          <w:szCs w:val="18"/>
          <w:lang w:val="en-US"/>
        </w:rPr>
        <w:t xml:space="preserve">The VoIP (Voice over Internet Protocol) service, also called IP telephony enables voice transmission over packet-switched data networks and signal transmission by means of Internet Protocol (IP) packets. Voice services by means of the VoIP technology are an alternative to voice services provided by means of the traditional public switched telephone network (PSTN). The number of fixed-voice subscriptions to VoIP corresponds to the number of active telephone numbers used by the subscribers. </w:t>
      </w:r>
    </w:p>
  </w:footnote>
  <w:footnote w:id="6">
    <w:p w:rsidR="003945DB" w:rsidRPr="000971C4" w:rsidRDefault="003945DB" w:rsidP="000971C4">
      <w:pPr>
        <w:pStyle w:val="Textpoznpodarou"/>
        <w:jc w:val="both"/>
        <w:rPr>
          <w:rFonts w:ascii="Arial" w:hAnsi="Arial" w:cs="Arial"/>
          <w:sz w:val="18"/>
          <w:szCs w:val="18"/>
          <w:highlight w:val="cyan"/>
          <w:lang w:val="en-US"/>
        </w:rPr>
      </w:pPr>
      <w:r w:rsidRPr="000971C4">
        <w:rPr>
          <w:rStyle w:val="Znakapoznpodarou"/>
          <w:rFonts w:ascii="Arial" w:hAnsi="Arial" w:cs="Arial"/>
          <w:sz w:val="18"/>
          <w:szCs w:val="18"/>
        </w:rPr>
        <w:footnoteRef/>
      </w:r>
      <w:r w:rsidRPr="000971C4">
        <w:rPr>
          <w:rFonts w:ascii="Arial" w:hAnsi="Arial" w:cs="Arial"/>
          <w:sz w:val="18"/>
          <w:szCs w:val="18"/>
          <w:lang w:val="en-US"/>
        </w:rPr>
        <w:t xml:space="preserve"> Number of mobile telephone subscriptions is measured as a number of SIM cards. Both post-paid and active prepaid SIM cards that have been used during the last three months are included. </w:t>
      </w:r>
    </w:p>
  </w:footnote>
  <w:footnote w:id="7">
    <w:p w:rsidR="003945DB" w:rsidRPr="00F43FC1" w:rsidRDefault="003945DB" w:rsidP="00874476">
      <w:pPr>
        <w:pStyle w:val="Textpoznpodarou"/>
        <w:spacing w:before="60"/>
        <w:jc w:val="both"/>
        <w:rPr>
          <w:rFonts w:ascii="Arial" w:hAnsi="Arial" w:cs="Arial"/>
          <w:sz w:val="18"/>
          <w:szCs w:val="18"/>
          <w:lang w:val="fr-FR"/>
        </w:rPr>
      </w:pPr>
      <w:r w:rsidRPr="000971C4">
        <w:rPr>
          <w:rStyle w:val="Znakapoznpodarou"/>
          <w:rFonts w:ascii="Arial" w:hAnsi="Arial" w:cs="Arial"/>
          <w:sz w:val="18"/>
          <w:szCs w:val="18"/>
        </w:rPr>
        <w:footnoteRef/>
      </w:r>
      <w:r w:rsidRPr="000971C4">
        <w:rPr>
          <w:rStyle w:val="Znakapoznpodarou"/>
          <w:rFonts w:ascii="Arial" w:hAnsi="Arial" w:cs="Arial"/>
          <w:sz w:val="18"/>
          <w:szCs w:val="18"/>
          <w:lang w:val="fr-FR"/>
        </w:rPr>
        <w:t xml:space="preserve"> </w:t>
      </w:r>
      <w:r w:rsidRPr="000971C4">
        <w:rPr>
          <w:rStyle w:val="Znakapoznpodarou"/>
          <w:rFonts w:ascii="Arial" w:hAnsi="Arial" w:cs="Arial"/>
          <w:sz w:val="18"/>
          <w:szCs w:val="18"/>
          <w:vertAlign w:val="baseline"/>
          <w:lang w:val="fr-FR"/>
        </w:rPr>
        <w:t>The SIM card is a subscriber card that identifies a participant on a public mobile telephone network. SIM cards include both prepaid cards, when the customer does not enter into a contract with the provider, only prepares a certain amount from which the provider subtracts the payments for the services provided, as well as the tariff (post</w:t>
      </w:r>
      <w:r w:rsidRPr="000971C4">
        <w:rPr>
          <w:rFonts w:ascii="Arial" w:hAnsi="Arial" w:cs="Arial"/>
          <w:sz w:val="18"/>
          <w:szCs w:val="18"/>
          <w:lang w:val="fr-FR"/>
        </w:rPr>
        <w:t>-</w:t>
      </w:r>
      <w:r w:rsidRPr="000971C4">
        <w:rPr>
          <w:rStyle w:val="Znakapoznpodarou"/>
          <w:rFonts w:ascii="Arial" w:hAnsi="Arial" w:cs="Arial"/>
          <w:sz w:val="18"/>
          <w:szCs w:val="18"/>
          <w:vertAlign w:val="baseline"/>
          <w:lang w:val="fr-FR"/>
        </w:rPr>
        <w:t>paid) cards where the customers have a contract with the operator under which they pay for monthly billing services.</w:t>
      </w:r>
    </w:p>
  </w:footnote>
  <w:footnote w:id="8">
    <w:p w:rsidR="003945DB" w:rsidRPr="000971C4" w:rsidRDefault="003945DB" w:rsidP="000971C4">
      <w:pPr>
        <w:pStyle w:val="Textpoznpodarou"/>
        <w:jc w:val="both"/>
        <w:rPr>
          <w:rFonts w:ascii="Arial" w:hAnsi="Arial" w:cs="Arial"/>
          <w:sz w:val="18"/>
          <w:szCs w:val="18"/>
          <w:highlight w:val="cyan"/>
          <w:lang w:val="en-US"/>
        </w:rPr>
      </w:pPr>
      <w:r w:rsidRPr="000971C4">
        <w:rPr>
          <w:rStyle w:val="Znakapoznpodarou"/>
          <w:rFonts w:ascii="Arial" w:hAnsi="Arial" w:cs="Arial"/>
          <w:sz w:val="18"/>
          <w:szCs w:val="18"/>
        </w:rPr>
        <w:footnoteRef/>
      </w:r>
      <w:r w:rsidRPr="000971C4">
        <w:rPr>
          <w:rFonts w:ascii="Arial" w:hAnsi="Arial" w:cs="Arial"/>
          <w:sz w:val="18"/>
          <w:szCs w:val="18"/>
          <w:lang w:val="en-US"/>
        </w:rPr>
        <w:t xml:space="preserve"> M2M (Machine-to-machine) – SIM cards designed exclusively for wireless communication between machines, devices and IS without human intervention.</w:t>
      </w:r>
    </w:p>
  </w:footnote>
  <w:footnote w:id="9">
    <w:p w:rsidR="003945DB" w:rsidRPr="000971C4" w:rsidRDefault="003945DB" w:rsidP="00874476">
      <w:pPr>
        <w:pStyle w:val="Textpoznpodarou"/>
        <w:spacing w:before="60"/>
        <w:jc w:val="both"/>
        <w:rPr>
          <w:rFonts w:ascii="Arial" w:hAnsi="Arial" w:cs="Arial"/>
          <w:sz w:val="18"/>
          <w:szCs w:val="18"/>
          <w:lang w:val="en-GB"/>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The Internet of Things (IoT) covers devices (vehicles, home appliances and other devices) equipped with electronic, software, sensors, moving parts and network connectivity that allow them to connect and exchange data and be manageable even remotely, especially through wireless data and internet technologies, e.g. through a mobile phone. </w:t>
      </w:r>
    </w:p>
  </w:footnote>
  <w:footnote w:id="10">
    <w:p w:rsidR="003945DB" w:rsidRPr="00263A0C" w:rsidRDefault="003945DB" w:rsidP="00874476">
      <w:pPr>
        <w:pStyle w:val="Textpoznpodarou"/>
        <w:spacing w:before="60"/>
        <w:jc w:val="both"/>
        <w:rPr>
          <w:rFonts w:ascii="Arial" w:hAnsi="Arial" w:cs="Arial"/>
          <w:sz w:val="18"/>
          <w:szCs w:val="18"/>
          <w:lang w:val="en-US"/>
        </w:rPr>
      </w:pPr>
      <w:r w:rsidRPr="000971C4">
        <w:rPr>
          <w:rStyle w:val="Znakapoznpodarou"/>
          <w:rFonts w:ascii="Arial" w:hAnsi="Arial" w:cs="Arial"/>
          <w:sz w:val="18"/>
          <w:szCs w:val="18"/>
        </w:rPr>
        <w:footnoteRef/>
      </w:r>
      <w:r w:rsidRPr="000971C4">
        <w:rPr>
          <w:rFonts w:ascii="Arial" w:hAnsi="Arial" w:cs="Arial"/>
          <w:sz w:val="18"/>
          <w:szCs w:val="18"/>
          <w:lang w:val="en-US"/>
        </w:rPr>
        <w:t xml:space="preserve"> The telephone traffic originated in fixed or mobile telephone networks is measured by means of the number of actually called minutes (real minutes of calling) during the reference year, not the invoiced ones.</w:t>
      </w:r>
    </w:p>
  </w:footnote>
  <w:footnote w:id="11">
    <w:p w:rsidR="003945DB" w:rsidRPr="000971C4" w:rsidRDefault="003945DB" w:rsidP="000971C4">
      <w:pPr>
        <w:pStyle w:val="Textpoznpodarou"/>
        <w:jc w:val="both"/>
        <w:rPr>
          <w:rFonts w:ascii="Arial" w:hAnsi="Arial" w:cs="Arial"/>
          <w:sz w:val="18"/>
          <w:szCs w:val="18"/>
        </w:rPr>
      </w:pPr>
      <w:r w:rsidRPr="000971C4">
        <w:rPr>
          <w:rStyle w:val="Znakapoznpodarou"/>
          <w:rFonts w:ascii="Arial" w:hAnsi="Arial" w:cs="Arial"/>
          <w:sz w:val="18"/>
          <w:szCs w:val="18"/>
        </w:rPr>
        <w:footnoteRef/>
      </w:r>
      <w:r w:rsidRPr="000971C4">
        <w:rPr>
          <w:rFonts w:ascii="Arial" w:hAnsi="Arial" w:cs="Arial"/>
          <w:sz w:val="18"/>
          <w:szCs w:val="18"/>
        </w:rPr>
        <w:t xml:space="preserve"> </w:t>
      </w:r>
      <w:r w:rsidRPr="000971C4">
        <w:rPr>
          <w:rFonts w:ascii="Arial" w:hAnsi="Arial" w:cs="Arial"/>
          <w:sz w:val="18"/>
          <w:szCs w:val="18"/>
          <w:lang w:val="en-GB"/>
        </w:rPr>
        <w:t>Broadband subscriptions data are typically supplied to the EC, OECD and ITU by communications regulators that collect them directly from network operators according to common definitions. It is not currently possible for majority of countries – the Czech Republic being exception – to delineate business and consumer subscriptions and so both are counted; the data are presented in relation to the population of individuals.</w:t>
      </w:r>
    </w:p>
  </w:footnote>
  <w:footnote w:id="12">
    <w:p w:rsidR="003945DB" w:rsidRPr="000971C4" w:rsidRDefault="003945DB" w:rsidP="00874476">
      <w:pPr>
        <w:pStyle w:val="Textpoznpodarou"/>
        <w:spacing w:before="60"/>
        <w:jc w:val="both"/>
        <w:rPr>
          <w:rFonts w:ascii="Arial" w:hAnsi="Arial" w:cs="Arial"/>
          <w:sz w:val="18"/>
          <w:szCs w:val="18"/>
          <w:highlight w:val="cyan"/>
          <w:lang w:val="en-GB"/>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The number of fixed internet access subscriptions is measured based on the number of so-called access points (active connections) that provide a service for one of the below technologies employed for the internet access. In majority of cases the number corresponds to the number of agreements concluded for the services providing in the retail segment. Fixed broadband refers to the number of subscriptions to services with 256 kbps advertised speed or greater, provided using DSL, cable, fibre-to-the-home (FTTH), fibre-to-the-building (FTTB), satellite, terrestrial fixed wireless, or other fixed-wired technologies.</w:t>
      </w:r>
    </w:p>
  </w:footnote>
  <w:footnote w:id="13">
    <w:p w:rsidR="003945DB" w:rsidRPr="004F7ED4" w:rsidRDefault="003945DB" w:rsidP="00874476">
      <w:pPr>
        <w:pStyle w:val="Textpoznpodarou"/>
        <w:spacing w:before="60"/>
        <w:jc w:val="both"/>
        <w:rPr>
          <w:rFonts w:ascii="Arial" w:hAnsi="Arial" w:cs="Arial"/>
          <w:sz w:val="18"/>
          <w:szCs w:val="18"/>
          <w:lang w:val="en-GB"/>
        </w:rPr>
      </w:pPr>
      <w:r w:rsidRPr="000971C4">
        <w:rPr>
          <w:rStyle w:val="Znakapoznpodarou"/>
          <w:rFonts w:ascii="Arial" w:hAnsi="Arial" w:cs="Arial"/>
          <w:sz w:val="18"/>
          <w:szCs w:val="18"/>
          <w:lang w:val="en-GB"/>
        </w:rPr>
        <w:footnoteRef/>
      </w:r>
      <w:r w:rsidRPr="000971C4">
        <w:rPr>
          <w:rFonts w:ascii="Arial" w:hAnsi="Arial" w:cs="Arial"/>
          <w:sz w:val="18"/>
          <w:szCs w:val="18"/>
          <w:lang w:val="en-GB"/>
        </w:rPr>
        <w:t xml:space="preserve"> Fixed wireless access (FWA) is the terrestrial internet connection by means of a radio system including non-licensed frequency (Wi-Fi). It is characteristic by placing of the end point device on a fixed location (house, apartment) – the so-called WLL (Wireless Local Loop).</w:t>
      </w:r>
    </w:p>
  </w:footnote>
  <w:footnote w:id="14">
    <w:p w:rsidR="003945DB" w:rsidRPr="002E73A7" w:rsidRDefault="003945DB" w:rsidP="002E73A7">
      <w:pPr>
        <w:pStyle w:val="Textpoznpodarou"/>
        <w:jc w:val="both"/>
        <w:rPr>
          <w:rFonts w:ascii="Arial" w:hAnsi="Arial" w:cs="Arial"/>
          <w:sz w:val="18"/>
          <w:szCs w:val="18"/>
          <w:lang w:val="en-GB"/>
        </w:rPr>
      </w:pPr>
      <w:r w:rsidRPr="002E73A7">
        <w:rPr>
          <w:rStyle w:val="Znakapoznpodarou"/>
          <w:rFonts w:ascii="Arial" w:hAnsi="Arial" w:cs="Arial"/>
          <w:sz w:val="18"/>
          <w:szCs w:val="18"/>
          <w:lang w:val="en-GB"/>
        </w:rPr>
        <w:footnoteRef/>
      </w:r>
      <w:r w:rsidRPr="002E73A7">
        <w:rPr>
          <w:rFonts w:ascii="Arial" w:hAnsi="Arial" w:cs="Arial"/>
          <w:sz w:val="18"/>
          <w:szCs w:val="18"/>
          <w:lang w:val="en-GB"/>
        </w:rPr>
        <w:t xml:space="preserve"> Thanks to this technology, which is used as an alternative to other (traditional) means of internet connections (xDSL, connection via cable TV mains, etc.), the Czech Republic keeps a specific position among the EU countries on the</w:t>
      </w:r>
      <w:r w:rsidRPr="002E73A7">
        <w:rPr>
          <w:rFonts w:ascii="Arial" w:hAnsi="Arial" w:cs="Arial"/>
          <w:lang w:val="en-GB"/>
        </w:rPr>
        <w:t xml:space="preserve"> </w:t>
      </w:r>
      <w:r w:rsidRPr="002E73A7">
        <w:rPr>
          <w:rFonts w:ascii="Arial" w:hAnsi="Arial" w:cs="Arial"/>
          <w:sz w:val="18"/>
          <w:szCs w:val="18"/>
          <w:lang w:val="en-GB"/>
        </w:rPr>
        <w:t>market of fixed internet infrastructure. A significant factor in the use of high-speed services via Wi-Fi networks is, above all, a lower price while maintaining sufficient user quality of these services as well as their availability practically throughout the whole territory of the Czech Republic.</w:t>
      </w:r>
    </w:p>
  </w:footnote>
  <w:footnote w:id="15">
    <w:p w:rsidR="003945DB" w:rsidRPr="002E73A7" w:rsidRDefault="003945DB" w:rsidP="00874476">
      <w:pPr>
        <w:pStyle w:val="Textpoznpodarou"/>
        <w:spacing w:before="60"/>
        <w:jc w:val="both"/>
        <w:rPr>
          <w:rFonts w:ascii="Arial" w:hAnsi="Arial" w:cs="Arial"/>
          <w:sz w:val="18"/>
          <w:szCs w:val="18"/>
          <w:lang w:val="en-GB"/>
        </w:rPr>
      </w:pPr>
      <w:r w:rsidRPr="002E73A7">
        <w:rPr>
          <w:rStyle w:val="Znakapoznpodarou"/>
          <w:rFonts w:ascii="Arial" w:hAnsi="Arial" w:cs="Arial"/>
          <w:sz w:val="18"/>
          <w:szCs w:val="18"/>
          <w:lang w:val="en-GB"/>
        </w:rPr>
        <w:footnoteRef/>
      </w:r>
      <w:r w:rsidRPr="002E73A7">
        <w:rPr>
          <w:rFonts w:ascii="Arial" w:hAnsi="Arial" w:cs="Arial"/>
          <w:sz w:val="18"/>
          <w:szCs w:val="18"/>
          <w:lang w:val="en-GB"/>
        </w:rPr>
        <w:t xml:space="preserve"> In the past, this situation was primarily caused by the price, offered quality, and generally worse availability of ADSL technology in the Czech Republic as opposed to the majority of EU countries where ADSL technology most frequently belonged among the first affordable quality technology used for high-speed internet access. </w:t>
      </w:r>
    </w:p>
  </w:footnote>
  <w:footnote w:id="16">
    <w:p w:rsidR="003945DB" w:rsidRPr="002E73A7" w:rsidRDefault="003945DB" w:rsidP="002E73A7">
      <w:pPr>
        <w:pStyle w:val="Textpoznpodarou"/>
        <w:spacing w:before="60"/>
        <w:jc w:val="both"/>
        <w:rPr>
          <w:rFonts w:ascii="Arial" w:hAnsi="Arial" w:cs="Arial"/>
        </w:rPr>
      </w:pPr>
      <w:r w:rsidRPr="002E73A7">
        <w:rPr>
          <w:rStyle w:val="Znakapoznpodarou"/>
          <w:rFonts w:ascii="Arial" w:hAnsi="Arial" w:cs="Arial"/>
          <w:sz w:val="18"/>
        </w:rPr>
        <w:footnoteRef/>
      </w:r>
      <w:r w:rsidRPr="002E73A7">
        <w:rPr>
          <w:rFonts w:ascii="Arial" w:hAnsi="Arial" w:cs="Arial"/>
        </w:rPr>
        <w:t xml:space="preserve"> </w:t>
      </w:r>
      <w:r w:rsidRPr="002E73A7">
        <w:rPr>
          <w:rFonts w:ascii="Arial" w:hAnsi="Arial" w:cs="Arial"/>
          <w:sz w:val="18"/>
          <w:szCs w:val="18"/>
          <w:lang w:val="en-GB"/>
        </w:rPr>
        <w:t>Fibre broadband refers to subscriptions using FTTH or FTTB where fibre reaches the subscriber’s premises or terminates no more than 2 metres from an external wall. Excludes fibre</w:t>
      </w:r>
      <w:r w:rsidRPr="002E73A7">
        <w:rPr>
          <w:rFonts w:ascii="Cambria Math" w:hAnsi="Cambria Math" w:cs="Cambria Math"/>
          <w:sz w:val="18"/>
          <w:szCs w:val="18"/>
          <w:lang w:val="en-GB"/>
        </w:rPr>
        <w:t>‐</w:t>
      </w:r>
      <w:r w:rsidRPr="002E73A7">
        <w:rPr>
          <w:rFonts w:ascii="Arial" w:hAnsi="Arial" w:cs="Arial"/>
          <w:sz w:val="18"/>
          <w:szCs w:val="18"/>
          <w:lang w:val="en-GB"/>
        </w:rPr>
        <w:t>to</w:t>
      </w:r>
      <w:r w:rsidRPr="002E73A7">
        <w:rPr>
          <w:rFonts w:ascii="Cambria Math" w:hAnsi="Cambria Math" w:cs="Cambria Math"/>
          <w:sz w:val="18"/>
          <w:szCs w:val="18"/>
          <w:lang w:val="en-GB"/>
        </w:rPr>
        <w:t>‐</w:t>
      </w:r>
      <w:r w:rsidRPr="002E73A7">
        <w:rPr>
          <w:rFonts w:ascii="Arial" w:hAnsi="Arial" w:cs="Arial"/>
          <w:sz w:val="18"/>
          <w:szCs w:val="18"/>
          <w:lang w:val="en-GB"/>
        </w:rPr>
        <w:t>the</w:t>
      </w:r>
      <w:r w:rsidRPr="002E73A7">
        <w:rPr>
          <w:rFonts w:ascii="Cambria Math" w:hAnsi="Cambria Math" w:cs="Cambria Math"/>
          <w:sz w:val="18"/>
          <w:szCs w:val="18"/>
          <w:lang w:val="en-GB"/>
        </w:rPr>
        <w:t>‐</w:t>
      </w:r>
      <w:r w:rsidRPr="002E73A7">
        <w:rPr>
          <w:rFonts w:ascii="Arial" w:hAnsi="Arial" w:cs="Arial"/>
          <w:sz w:val="18"/>
          <w:szCs w:val="18"/>
          <w:lang w:val="en-GB"/>
        </w:rPr>
        <w:t>node/cabinet.</w:t>
      </w:r>
    </w:p>
  </w:footnote>
  <w:footnote w:id="17">
    <w:p w:rsidR="003945DB" w:rsidRDefault="003945DB" w:rsidP="002E73A7">
      <w:pPr>
        <w:pStyle w:val="Textpoznpodarou"/>
        <w:jc w:val="both"/>
      </w:pPr>
      <w:r w:rsidRPr="00264338">
        <w:rPr>
          <w:rStyle w:val="Znakapoznpodarou"/>
          <w:rFonts w:ascii="Arial" w:hAnsi="Arial" w:cs="Arial"/>
          <w:sz w:val="18"/>
          <w:szCs w:val="18"/>
        </w:rPr>
        <w:footnoteRef/>
      </w:r>
      <w:r>
        <w:t xml:space="preserve"> </w:t>
      </w:r>
      <w:r w:rsidRPr="00DE192F">
        <w:rPr>
          <w:rFonts w:ascii="Arial" w:hAnsi="Arial" w:cs="Arial"/>
          <w:sz w:val="18"/>
          <w:szCs w:val="18"/>
          <w:lang w:val="en-GB"/>
        </w:rPr>
        <w:t>Internet speed is measured by the amount of data that can pass through the connection in a given amount of time. The most fundamental unit of digital data is the “bit” – which comprises a 0 or 1 in binary code. 1 000 bits is a kilobit, 1</w:t>
      </w:r>
      <w:r>
        <w:rPr>
          <w:rFonts w:ascii="Arial" w:hAnsi="Arial" w:cs="Arial"/>
          <w:sz w:val="18"/>
          <w:szCs w:val="18"/>
          <w:lang w:val="en-GB"/>
        </w:rPr>
        <w:t> </w:t>
      </w:r>
      <w:r w:rsidRPr="00DE192F">
        <w:rPr>
          <w:rFonts w:ascii="Arial" w:hAnsi="Arial" w:cs="Arial"/>
          <w:sz w:val="18"/>
          <w:szCs w:val="18"/>
          <w:lang w:val="en-GB"/>
        </w:rPr>
        <w:t>000</w:t>
      </w:r>
      <w:r>
        <w:rPr>
          <w:rFonts w:ascii="Arial" w:hAnsi="Arial" w:cs="Arial"/>
          <w:sz w:val="18"/>
          <w:szCs w:val="18"/>
          <w:lang w:val="en-GB"/>
        </w:rPr>
        <w:t> </w:t>
      </w:r>
      <w:r w:rsidRPr="00DE192F">
        <w:rPr>
          <w:rFonts w:ascii="Arial" w:hAnsi="Arial" w:cs="Arial"/>
          <w:sz w:val="18"/>
          <w:szCs w:val="18"/>
          <w:lang w:val="en-GB"/>
        </w:rPr>
        <w:t>kilobits is a megabit, and 1 000 megabits is a gigabit. Network speed is expressed in terms of how many of these are flowing through the connection each second to give – kilobits per second (Kbps), megabits per second (Mbps), and</w:t>
      </w:r>
      <w:r>
        <w:rPr>
          <w:rFonts w:ascii="Arial" w:hAnsi="Arial" w:cs="Arial"/>
          <w:sz w:val="18"/>
          <w:szCs w:val="18"/>
          <w:lang w:val="en-GB"/>
        </w:rPr>
        <w:t> g</w:t>
      </w:r>
      <w:r w:rsidRPr="00DE192F">
        <w:rPr>
          <w:rFonts w:ascii="Arial" w:hAnsi="Arial" w:cs="Arial"/>
          <w:sz w:val="18"/>
          <w:szCs w:val="18"/>
          <w:lang w:val="en-GB"/>
        </w:rPr>
        <w:t>igabits per second (Gbps).</w:t>
      </w:r>
      <w:r>
        <w:rPr>
          <w:rFonts w:ascii="Arial" w:hAnsi="Arial" w:cs="Arial"/>
          <w:sz w:val="18"/>
          <w:szCs w:val="18"/>
          <w:lang w:val="en-GB"/>
        </w:rPr>
        <w:t xml:space="preserve"> </w:t>
      </w:r>
      <w:r w:rsidRPr="008776DE">
        <w:rPr>
          <w:rFonts w:ascii="Arial" w:hAnsi="Arial" w:cs="Arial"/>
          <w:sz w:val="18"/>
          <w:szCs w:val="18"/>
          <w:lang w:val="en-GB"/>
        </w:rPr>
        <w:t xml:space="preserve">These data focus on download speed (i.e. the speed of data flowing from the </w:t>
      </w:r>
      <w:r>
        <w:rPr>
          <w:rFonts w:ascii="Arial" w:hAnsi="Arial" w:cs="Arial"/>
          <w:sz w:val="18"/>
          <w:szCs w:val="18"/>
          <w:lang w:val="en-GB"/>
        </w:rPr>
        <w:t>i</w:t>
      </w:r>
      <w:r w:rsidRPr="008776DE">
        <w:rPr>
          <w:rFonts w:ascii="Arial" w:hAnsi="Arial" w:cs="Arial"/>
          <w:sz w:val="18"/>
          <w:szCs w:val="18"/>
          <w:lang w:val="en-GB"/>
        </w:rPr>
        <w:t>nternet to</w:t>
      </w:r>
      <w:r>
        <w:rPr>
          <w:rFonts w:ascii="Arial" w:hAnsi="Arial" w:cs="Arial"/>
          <w:sz w:val="18"/>
          <w:szCs w:val="18"/>
          <w:lang w:val="en-GB"/>
        </w:rPr>
        <w:t> </w:t>
      </w:r>
      <w:r w:rsidRPr="008776DE">
        <w:rPr>
          <w:rFonts w:ascii="Arial" w:hAnsi="Arial" w:cs="Arial"/>
          <w:sz w:val="18"/>
          <w:szCs w:val="18"/>
          <w:lang w:val="en-GB"/>
        </w:rPr>
        <w:t>the user’s device); nevertheless, the speed at which data moves in the opposite direction (upload speed) is also an</w:t>
      </w:r>
      <w:r>
        <w:rPr>
          <w:rFonts w:ascii="Arial" w:hAnsi="Arial" w:cs="Arial"/>
          <w:sz w:val="18"/>
          <w:szCs w:val="18"/>
          <w:lang w:val="en-GB"/>
        </w:rPr>
        <w:t> </w:t>
      </w:r>
      <w:r w:rsidRPr="008776DE">
        <w:rPr>
          <w:rFonts w:ascii="Arial" w:hAnsi="Arial" w:cs="Arial"/>
          <w:sz w:val="18"/>
          <w:szCs w:val="18"/>
          <w:lang w:val="en-GB"/>
        </w:rPr>
        <w:t>important aspect of overall connection quality (as well as reliability).</w:t>
      </w:r>
      <w:r>
        <w:rPr>
          <w:rFonts w:ascii="Arial" w:hAnsi="Arial" w:cs="Arial"/>
          <w:sz w:val="18"/>
          <w:szCs w:val="18"/>
          <w:lang w:val="en-GB"/>
        </w:rPr>
        <w:t xml:space="preserve"> </w:t>
      </w:r>
      <w:r w:rsidRPr="008776DE">
        <w:rPr>
          <w:rFonts w:ascii="Arial" w:hAnsi="Arial" w:cs="Arial"/>
          <w:sz w:val="18"/>
          <w:szCs w:val="18"/>
          <w:lang w:val="en-GB"/>
        </w:rPr>
        <w:t>Measurement of broadband performance is affected by the potential gap between advertised and “actual” speeds delivered to customers.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331F19" w:rsidRDefault="003945DB" w:rsidP="008C4CA2">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331F19" w:rsidRDefault="003945DB" w:rsidP="008C4CA2">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DB" w:rsidRDefault="000955D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9309E3" w:rsidRDefault="003945DB" w:rsidP="008C4CA2">
    <w:pPr>
      <w:pStyle w:val="Zhlav"/>
      <w:jc w:val="both"/>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9309E3" w:rsidRDefault="003945DB" w:rsidP="008C4CA2">
    <w:pPr>
      <w:pStyle w:val="Zhlav"/>
      <w:tabs>
        <w:tab w:val="left" w:pos="-6379"/>
        <w:tab w:val="center" w:pos="4820"/>
        <w:tab w:val="right" w:pos="9639"/>
      </w:tabs>
      <w:rPr>
        <w:rFonts w:cs="Arial"/>
        <w:szCs w:val="16"/>
      </w:rPr>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0283F" w:rsidRDefault="003945DB" w:rsidP="00C0283F">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4C7BC9">
    <w:pPr>
      <w:pStyle w:val="Zhlav"/>
      <w:tabs>
        <w:tab w:val="left" w:pos="-6379"/>
        <w:tab w:val="center" w:pos="4820"/>
        <w:tab w:val="right" w:pos="9639"/>
      </w:tabs>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olor w:val="00000A"/>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15969AE"/>
    <w:multiLevelType w:val="hybridMultilevel"/>
    <w:tmpl w:val="E95ADC72"/>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CC26AA"/>
    <w:multiLevelType w:val="hybridMultilevel"/>
    <w:tmpl w:val="FE9AEF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1D452E8"/>
    <w:multiLevelType w:val="hybridMultilevel"/>
    <w:tmpl w:val="CCF6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C0B74"/>
    <w:multiLevelType w:val="hybridMultilevel"/>
    <w:tmpl w:val="5D9EFA82"/>
    <w:lvl w:ilvl="0" w:tplc="0FBACD0A">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84135D"/>
    <w:multiLevelType w:val="hybridMultilevel"/>
    <w:tmpl w:val="FD5658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9EA0CB7"/>
    <w:multiLevelType w:val="hybridMultilevel"/>
    <w:tmpl w:val="DC36A0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F0B92"/>
    <w:multiLevelType w:val="hybridMultilevel"/>
    <w:tmpl w:val="BD4245A4"/>
    <w:lvl w:ilvl="0" w:tplc="20B6489E">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993651"/>
    <w:multiLevelType w:val="hybridMultilevel"/>
    <w:tmpl w:val="AE92817E"/>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7F720E"/>
    <w:multiLevelType w:val="hybridMultilevel"/>
    <w:tmpl w:val="BCE88976"/>
    <w:lvl w:ilvl="0" w:tplc="FD1255CA">
      <w:start w:val="1"/>
      <w:numFmt w:val="bullet"/>
      <w:lvlText w:val=""/>
      <w:lvlJc w:val="left"/>
      <w:pPr>
        <w:tabs>
          <w:tab w:val="num" w:pos="360"/>
        </w:tabs>
        <w:ind w:left="360" w:hanging="360"/>
      </w:pPr>
      <w:rPr>
        <w:rFonts w:ascii="Symbol" w:hAnsi="Symbol" w:hint="default"/>
        <w:sz w:val="16"/>
      </w:rPr>
    </w:lvl>
    <w:lvl w:ilvl="1" w:tplc="B38EC1A8">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276AF"/>
    <w:multiLevelType w:val="hybridMultilevel"/>
    <w:tmpl w:val="B1DCE34C"/>
    <w:lvl w:ilvl="0" w:tplc="3174A966">
      <w:start w:val="1"/>
      <w:numFmt w:val="bullet"/>
      <w:lvlText w:val=""/>
      <w:lvlJc w:val="left"/>
      <w:pPr>
        <w:tabs>
          <w:tab w:val="num" w:pos="417"/>
        </w:tabs>
        <w:ind w:left="417" w:hanging="360"/>
      </w:pPr>
      <w:rPr>
        <w:rFonts w:ascii="Symbol" w:hAnsi="Symbol" w:hint="default"/>
        <w:color w:val="auto"/>
        <w:sz w:val="16"/>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65C51"/>
    <w:multiLevelType w:val="hybridMultilevel"/>
    <w:tmpl w:val="1BD89640"/>
    <w:lvl w:ilvl="0" w:tplc="38C442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2034B"/>
    <w:multiLevelType w:val="hybridMultilevel"/>
    <w:tmpl w:val="08806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733F88"/>
    <w:multiLevelType w:val="hybridMultilevel"/>
    <w:tmpl w:val="0ABABD9E"/>
    <w:lvl w:ilvl="0" w:tplc="DCE25274">
      <w:start w:val="1"/>
      <w:numFmt w:val="bullet"/>
      <w:lvlText w:val=""/>
      <w:lvlJc w:val="left"/>
      <w:pPr>
        <w:ind w:left="774" w:hanging="360"/>
      </w:pPr>
      <w:rPr>
        <w:rFonts w:ascii="Symbol" w:hAnsi="Symbol" w:hint="default"/>
        <w:sz w:val="16"/>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40614"/>
    <w:multiLevelType w:val="hybridMultilevel"/>
    <w:tmpl w:val="83AE24E0"/>
    <w:lvl w:ilvl="0" w:tplc="05B6965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74C44D0"/>
    <w:multiLevelType w:val="hybridMultilevel"/>
    <w:tmpl w:val="3AECC0AA"/>
    <w:lvl w:ilvl="0" w:tplc="04050001">
      <w:start w:val="1"/>
      <w:numFmt w:val="bullet"/>
      <w:lvlText w:val=""/>
      <w:lvlJc w:val="left"/>
      <w:pPr>
        <w:ind w:left="282" w:hanging="360"/>
      </w:pPr>
      <w:rPr>
        <w:rFonts w:ascii="Symbol" w:hAnsi="Symbol" w:hint="default"/>
      </w:rPr>
    </w:lvl>
    <w:lvl w:ilvl="1" w:tplc="04050003" w:tentative="1">
      <w:start w:val="1"/>
      <w:numFmt w:val="bullet"/>
      <w:lvlText w:val="o"/>
      <w:lvlJc w:val="left"/>
      <w:pPr>
        <w:ind w:left="1002" w:hanging="360"/>
      </w:pPr>
      <w:rPr>
        <w:rFonts w:ascii="Courier New" w:hAnsi="Courier New" w:cs="Courier New" w:hint="default"/>
      </w:rPr>
    </w:lvl>
    <w:lvl w:ilvl="2" w:tplc="04050005" w:tentative="1">
      <w:start w:val="1"/>
      <w:numFmt w:val="bullet"/>
      <w:lvlText w:val=""/>
      <w:lvlJc w:val="left"/>
      <w:pPr>
        <w:ind w:left="1722" w:hanging="360"/>
      </w:pPr>
      <w:rPr>
        <w:rFonts w:ascii="Wingdings" w:hAnsi="Wingdings" w:hint="default"/>
      </w:rPr>
    </w:lvl>
    <w:lvl w:ilvl="3" w:tplc="04050001" w:tentative="1">
      <w:start w:val="1"/>
      <w:numFmt w:val="bullet"/>
      <w:lvlText w:val=""/>
      <w:lvlJc w:val="left"/>
      <w:pPr>
        <w:ind w:left="2442" w:hanging="360"/>
      </w:pPr>
      <w:rPr>
        <w:rFonts w:ascii="Symbol" w:hAnsi="Symbol" w:hint="default"/>
      </w:rPr>
    </w:lvl>
    <w:lvl w:ilvl="4" w:tplc="04050003" w:tentative="1">
      <w:start w:val="1"/>
      <w:numFmt w:val="bullet"/>
      <w:lvlText w:val="o"/>
      <w:lvlJc w:val="left"/>
      <w:pPr>
        <w:ind w:left="3162" w:hanging="360"/>
      </w:pPr>
      <w:rPr>
        <w:rFonts w:ascii="Courier New" w:hAnsi="Courier New" w:cs="Courier New" w:hint="default"/>
      </w:rPr>
    </w:lvl>
    <w:lvl w:ilvl="5" w:tplc="04050005" w:tentative="1">
      <w:start w:val="1"/>
      <w:numFmt w:val="bullet"/>
      <w:lvlText w:val=""/>
      <w:lvlJc w:val="left"/>
      <w:pPr>
        <w:ind w:left="3882" w:hanging="360"/>
      </w:pPr>
      <w:rPr>
        <w:rFonts w:ascii="Wingdings" w:hAnsi="Wingdings" w:hint="default"/>
      </w:rPr>
    </w:lvl>
    <w:lvl w:ilvl="6" w:tplc="04050001" w:tentative="1">
      <w:start w:val="1"/>
      <w:numFmt w:val="bullet"/>
      <w:lvlText w:val=""/>
      <w:lvlJc w:val="left"/>
      <w:pPr>
        <w:ind w:left="4602" w:hanging="360"/>
      </w:pPr>
      <w:rPr>
        <w:rFonts w:ascii="Symbol" w:hAnsi="Symbol" w:hint="default"/>
      </w:rPr>
    </w:lvl>
    <w:lvl w:ilvl="7" w:tplc="04050003" w:tentative="1">
      <w:start w:val="1"/>
      <w:numFmt w:val="bullet"/>
      <w:lvlText w:val="o"/>
      <w:lvlJc w:val="left"/>
      <w:pPr>
        <w:ind w:left="5322" w:hanging="360"/>
      </w:pPr>
      <w:rPr>
        <w:rFonts w:ascii="Courier New" w:hAnsi="Courier New" w:cs="Courier New" w:hint="default"/>
      </w:rPr>
    </w:lvl>
    <w:lvl w:ilvl="8" w:tplc="04050005" w:tentative="1">
      <w:start w:val="1"/>
      <w:numFmt w:val="bullet"/>
      <w:lvlText w:val=""/>
      <w:lvlJc w:val="left"/>
      <w:pPr>
        <w:ind w:left="6042" w:hanging="360"/>
      </w:pPr>
      <w:rPr>
        <w:rFonts w:ascii="Wingdings" w:hAnsi="Wingdings" w:hint="default"/>
      </w:rPr>
    </w:lvl>
  </w:abstractNum>
  <w:abstractNum w:abstractNumId="30" w15:restartNumberingAfterBreak="0">
    <w:nsid w:val="58E45F58"/>
    <w:multiLevelType w:val="hybridMultilevel"/>
    <w:tmpl w:val="F21E049E"/>
    <w:lvl w:ilvl="0" w:tplc="3174A966">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CA44C9"/>
    <w:multiLevelType w:val="hybridMultilevel"/>
    <w:tmpl w:val="0F8CB914"/>
    <w:lvl w:ilvl="0" w:tplc="04050015">
      <w:start w:val="1"/>
      <w:numFmt w:val="upperLetter"/>
      <w:lvlText w:val="%1."/>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17271"/>
    <w:multiLevelType w:val="hybridMultilevel"/>
    <w:tmpl w:val="46BA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ED645C"/>
    <w:multiLevelType w:val="hybridMultilevel"/>
    <w:tmpl w:val="CA0A5CA8"/>
    <w:lvl w:ilvl="0" w:tplc="3174A9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879BD"/>
    <w:multiLevelType w:val="hybridMultilevel"/>
    <w:tmpl w:val="D29ADC8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787561"/>
    <w:multiLevelType w:val="hybridMultilevel"/>
    <w:tmpl w:val="8EC8F57C"/>
    <w:lvl w:ilvl="0" w:tplc="237CBAF0">
      <w:start w:val="1"/>
      <w:numFmt w:val="bullet"/>
      <w:lvlText w:val=""/>
      <w:lvlJc w:val="left"/>
      <w:pPr>
        <w:ind w:left="360" w:hanging="360"/>
      </w:pPr>
      <w:rPr>
        <w:rFonts w:ascii="Symbol" w:hAnsi="Symbol"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5A9233E"/>
    <w:multiLevelType w:val="hybridMultilevel"/>
    <w:tmpl w:val="F1829FD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97E87"/>
    <w:multiLevelType w:val="hybridMultilevel"/>
    <w:tmpl w:val="178CAF08"/>
    <w:lvl w:ilvl="0" w:tplc="56962E7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F3B4673"/>
    <w:multiLevelType w:val="hybridMultilevel"/>
    <w:tmpl w:val="2B0A8A1A"/>
    <w:lvl w:ilvl="0" w:tplc="3174A966">
      <w:start w:val="1"/>
      <w:numFmt w:val="bullet"/>
      <w:lvlText w:val=""/>
      <w:lvlJc w:val="left"/>
      <w:pPr>
        <w:tabs>
          <w:tab w:val="num" w:pos="360"/>
        </w:tabs>
        <w:ind w:left="360" w:hanging="360"/>
      </w:pPr>
      <w:rPr>
        <w:rFonts w:ascii="Symbol" w:hAnsi="Symbol" w:hint="default"/>
        <w:color w:val="auto"/>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4"/>
  </w:num>
  <w:num w:numId="15">
    <w:abstractNumId w:val="38"/>
  </w:num>
  <w:num w:numId="16">
    <w:abstractNumId w:val="37"/>
  </w:num>
  <w:num w:numId="17">
    <w:abstractNumId w:val="21"/>
  </w:num>
  <w:num w:numId="18">
    <w:abstractNumId w:val="28"/>
  </w:num>
  <w:num w:numId="19">
    <w:abstractNumId w:val="14"/>
  </w:num>
  <w:num w:numId="20">
    <w:abstractNumId w:val="23"/>
  </w:num>
  <w:num w:numId="21">
    <w:abstractNumId w:val="31"/>
  </w:num>
  <w:num w:numId="22">
    <w:abstractNumId w:val="34"/>
  </w:num>
  <w:num w:numId="23">
    <w:abstractNumId w:val="16"/>
  </w:num>
  <w:num w:numId="24">
    <w:abstractNumId w:val="19"/>
  </w:num>
  <w:num w:numId="25">
    <w:abstractNumId w:val="36"/>
  </w:num>
  <w:num w:numId="26">
    <w:abstractNumId w:val="32"/>
  </w:num>
  <w:num w:numId="27">
    <w:abstractNumId w:val="33"/>
  </w:num>
  <w:num w:numId="28">
    <w:abstractNumId w:val="17"/>
  </w:num>
  <w:num w:numId="29">
    <w:abstractNumId w:val="12"/>
  </w:num>
  <w:num w:numId="30">
    <w:abstractNumId w:val="22"/>
  </w:num>
  <w:num w:numId="31">
    <w:abstractNumId w:val="25"/>
  </w:num>
  <w:num w:numId="32">
    <w:abstractNumId w:val="29"/>
  </w:num>
  <w:num w:numId="33">
    <w:abstractNumId w:val="15"/>
  </w:num>
  <w:num w:numId="34">
    <w:abstractNumId w:val="35"/>
  </w:num>
  <w:num w:numId="35">
    <w:abstractNumId w:val="30"/>
  </w:num>
  <w:num w:numId="36">
    <w:abstractNumId w:val="10"/>
  </w:num>
  <w:num w:numId="37">
    <w:abstractNumId w:val="13"/>
  </w:num>
  <w:num w:numId="38">
    <w:abstractNumId w:val="1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3F"/>
    <w:rsid w:val="0000209D"/>
    <w:rsid w:val="00004D5A"/>
    <w:rsid w:val="000056D5"/>
    <w:rsid w:val="0000767A"/>
    <w:rsid w:val="00010702"/>
    <w:rsid w:val="000234D6"/>
    <w:rsid w:val="00023D29"/>
    <w:rsid w:val="00026389"/>
    <w:rsid w:val="00031AE0"/>
    <w:rsid w:val="000322EF"/>
    <w:rsid w:val="00033FCD"/>
    <w:rsid w:val="00036BF1"/>
    <w:rsid w:val="00041CEC"/>
    <w:rsid w:val="0004694F"/>
    <w:rsid w:val="000522E4"/>
    <w:rsid w:val="000610E1"/>
    <w:rsid w:val="00062EC5"/>
    <w:rsid w:val="00062F22"/>
    <w:rsid w:val="000712B3"/>
    <w:rsid w:val="00080A01"/>
    <w:rsid w:val="0008263E"/>
    <w:rsid w:val="00082C19"/>
    <w:rsid w:val="00085395"/>
    <w:rsid w:val="00087634"/>
    <w:rsid w:val="00087F2B"/>
    <w:rsid w:val="0009465A"/>
    <w:rsid w:val="000955DB"/>
    <w:rsid w:val="000971C4"/>
    <w:rsid w:val="000974D1"/>
    <w:rsid w:val="0009799E"/>
    <w:rsid w:val="000A1183"/>
    <w:rsid w:val="000A256D"/>
    <w:rsid w:val="000A3A2C"/>
    <w:rsid w:val="000A3B3A"/>
    <w:rsid w:val="000A76B6"/>
    <w:rsid w:val="000B58F3"/>
    <w:rsid w:val="000C3165"/>
    <w:rsid w:val="000C3408"/>
    <w:rsid w:val="000C6AFD"/>
    <w:rsid w:val="000D5637"/>
    <w:rsid w:val="000E2751"/>
    <w:rsid w:val="000E6FBD"/>
    <w:rsid w:val="00100F5C"/>
    <w:rsid w:val="00104C4C"/>
    <w:rsid w:val="00114D6F"/>
    <w:rsid w:val="0012030F"/>
    <w:rsid w:val="0012192F"/>
    <w:rsid w:val="00125D69"/>
    <w:rsid w:val="001405FA"/>
    <w:rsid w:val="001425C3"/>
    <w:rsid w:val="00150F8A"/>
    <w:rsid w:val="00150FDD"/>
    <w:rsid w:val="0016256B"/>
    <w:rsid w:val="00163793"/>
    <w:rsid w:val="001706D6"/>
    <w:rsid w:val="001714F2"/>
    <w:rsid w:val="00171A89"/>
    <w:rsid w:val="001756A6"/>
    <w:rsid w:val="00184B08"/>
    <w:rsid w:val="00185010"/>
    <w:rsid w:val="001A552F"/>
    <w:rsid w:val="001B2CA9"/>
    <w:rsid w:val="001B3110"/>
    <w:rsid w:val="001B4729"/>
    <w:rsid w:val="001B6C09"/>
    <w:rsid w:val="001C05CD"/>
    <w:rsid w:val="001C255B"/>
    <w:rsid w:val="001D563B"/>
    <w:rsid w:val="001D68B2"/>
    <w:rsid w:val="001F4597"/>
    <w:rsid w:val="001F551B"/>
    <w:rsid w:val="0020583C"/>
    <w:rsid w:val="0020679C"/>
    <w:rsid w:val="002071ED"/>
    <w:rsid w:val="0020767E"/>
    <w:rsid w:val="002118B9"/>
    <w:rsid w:val="00217C5B"/>
    <w:rsid w:val="0022139E"/>
    <w:rsid w:val="002252E0"/>
    <w:rsid w:val="002255F6"/>
    <w:rsid w:val="00227850"/>
    <w:rsid w:val="00230C6E"/>
    <w:rsid w:val="00232B62"/>
    <w:rsid w:val="00236443"/>
    <w:rsid w:val="002436BA"/>
    <w:rsid w:val="00244A15"/>
    <w:rsid w:val="00247319"/>
    <w:rsid w:val="0024799E"/>
    <w:rsid w:val="00253C0F"/>
    <w:rsid w:val="0026358E"/>
    <w:rsid w:val="00264520"/>
    <w:rsid w:val="00271465"/>
    <w:rsid w:val="00283615"/>
    <w:rsid w:val="00285412"/>
    <w:rsid w:val="0028697E"/>
    <w:rsid w:val="002875D6"/>
    <w:rsid w:val="002974BA"/>
    <w:rsid w:val="002A16D4"/>
    <w:rsid w:val="002A1701"/>
    <w:rsid w:val="002A230C"/>
    <w:rsid w:val="002C01B0"/>
    <w:rsid w:val="002C43BD"/>
    <w:rsid w:val="002C69EC"/>
    <w:rsid w:val="002C79A7"/>
    <w:rsid w:val="002D0E59"/>
    <w:rsid w:val="002E02A1"/>
    <w:rsid w:val="002E4E4C"/>
    <w:rsid w:val="002E73A7"/>
    <w:rsid w:val="002F2092"/>
    <w:rsid w:val="00304771"/>
    <w:rsid w:val="003052D4"/>
    <w:rsid w:val="00306C5B"/>
    <w:rsid w:val="003209D6"/>
    <w:rsid w:val="00322C8B"/>
    <w:rsid w:val="0032656E"/>
    <w:rsid w:val="003278D8"/>
    <w:rsid w:val="003312EF"/>
    <w:rsid w:val="00332190"/>
    <w:rsid w:val="00344668"/>
    <w:rsid w:val="003462D9"/>
    <w:rsid w:val="0034658D"/>
    <w:rsid w:val="00351A75"/>
    <w:rsid w:val="003657F3"/>
    <w:rsid w:val="00374F1D"/>
    <w:rsid w:val="003818DC"/>
    <w:rsid w:val="0038283A"/>
    <w:rsid w:val="00385D98"/>
    <w:rsid w:val="003901A1"/>
    <w:rsid w:val="003945DB"/>
    <w:rsid w:val="003A1883"/>
    <w:rsid w:val="003A2AD1"/>
    <w:rsid w:val="003A2B4D"/>
    <w:rsid w:val="003A478C"/>
    <w:rsid w:val="003A5525"/>
    <w:rsid w:val="003A6B38"/>
    <w:rsid w:val="003B57DF"/>
    <w:rsid w:val="003B5A32"/>
    <w:rsid w:val="003C3490"/>
    <w:rsid w:val="003D6920"/>
    <w:rsid w:val="003E4C91"/>
    <w:rsid w:val="003F18AD"/>
    <w:rsid w:val="003F313C"/>
    <w:rsid w:val="003F505A"/>
    <w:rsid w:val="003F551C"/>
    <w:rsid w:val="00407C13"/>
    <w:rsid w:val="00410638"/>
    <w:rsid w:val="00431CD9"/>
    <w:rsid w:val="00432A58"/>
    <w:rsid w:val="00434617"/>
    <w:rsid w:val="00440900"/>
    <w:rsid w:val="00441BB5"/>
    <w:rsid w:val="004441A0"/>
    <w:rsid w:val="004450B0"/>
    <w:rsid w:val="00476240"/>
    <w:rsid w:val="00476439"/>
    <w:rsid w:val="0047735C"/>
    <w:rsid w:val="004776BC"/>
    <w:rsid w:val="0048139F"/>
    <w:rsid w:val="00481E40"/>
    <w:rsid w:val="00484ECE"/>
    <w:rsid w:val="004915CB"/>
    <w:rsid w:val="004A011F"/>
    <w:rsid w:val="004A3212"/>
    <w:rsid w:val="004A61C5"/>
    <w:rsid w:val="004A77DF"/>
    <w:rsid w:val="004B1417"/>
    <w:rsid w:val="004B2082"/>
    <w:rsid w:val="004B55B7"/>
    <w:rsid w:val="004B6468"/>
    <w:rsid w:val="004C384C"/>
    <w:rsid w:val="004C3867"/>
    <w:rsid w:val="004C4CD0"/>
    <w:rsid w:val="004C5207"/>
    <w:rsid w:val="004C70DC"/>
    <w:rsid w:val="004C7BC9"/>
    <w:rsid w:val="004D0211"/>
    <w:rsid w:val="004D0794"/>
    <w:rsid w:val="004E3FD8"/>
    <w:rsid w:val="004F06F5"/>
    <w:rsid w:val="004F33A0"/>
    <w:rsid w:val="005108C0"/>
    <w:rsid w:val="00511873"/>
    <w:rsid w:val="00512A2F"/>
    <w:rsid w:val="00513B7E"/>
    <w:rsid w:val="00515C74"/>
    <w:rsid w:val="00515EB3"/>
    <w:rsid w:val="0052007E"/>
    <w:rsid w:val="0052337A"/>
    <w:rsid w:val="00525137"/>
    <w:rsid w:val="005251DD"/>
    <w:rsid w:val="00526043"/>
    <w:rsid w:val="005317C0"/>
    <w:rsid w:val="00532CE7"/>
    <w:rsid w:val="0053324C"/>
    <w:rsid w:val="00534715"/>
    <w:rsid w:val="00534A28"/>
    <w:rsid w:val="00535F6C"/>
    <w:rsid w:val="00541508"/>
    <w:rsid w:val="0055599F"/>
    <w:rsid w:val="00556D68"/>
    <w:rsid w:val="005647BF"/>
    <w:rsid w:val="0057364B"/>
    <w:rsid w:val="00574773"/>
    <w:rsid w:val="00583FFD"/>
    <w:rsid w:val="005860C6"/>
    <w:rsid w:val="005911BE"/>
    <w:rsid w:val="00593152"/>
    <w:rsid w:val="005A10F2"/>
    <w:rsid w:val="005A21E0"/>
    <w:rsid w:val="005A28FF"/>
    <w:rsid w:val="005A3DF8"/>
    <w:rsid w:val="005A5549"/>
    <w:rsid w:val="005A607D"/>
    <w:rsid w:val="005B121D"/>
    <w:rsid w:val="005C06ED"/>
    <w:rsid w:val="005D0602"/>
    <w:rsid w:val="005D5802"/>
    <w:rsid w:val="005D7890"/>
    <w:rsid w:val="005E7C78"/>
    <w:rsid w:val="005F3EB1"/>
    <w:rsid w:val="00604307"/>
    <w:rsid w:val="0060487F"/>
    <w:rsid w:val="00604EAD"/>
    <w:rsid w:val="006103A6"/>
    <w:rsid w:val="006104FB"/>
    <w:rsid w:val="00612A2F"/>
    <w:rsid w:val="00616E05"/>
    <w:rsid w:val="00624093"/>
    <w:rsid w:val="006404A7"/>
    <w:rsid w:val="00642197"/>
    <w:rsid w:val="006451E4"/>
    <w:rsid w:val="00645B33"/>
    <w:rsid w:val="006516CB"/>
    <w:rsid w:val="00657E87"/>
    <w:rsid w:val="00664803"/>
    <w:rsid w:val="00664ABE"/>
    <w:rsid w:val="00665BA4"/>
    <w:rsid w:val="00667AF2"/>
    <w:rsid w:val="006710C9"/>
    <w:rsid w:val="00674D89"/>
    <w:rsid w:val="00675E37"/>
    <w:rsid w:val="0068174E"/>
    <w:rsid w:val="00681833"/>
    <w:rsid w:val="00681DCE"/>
    <w:rsid w:val="0068260E"/>
    <w:rsid w:val="00695BEF"/>
    <w:rsid w:val="006977F6"/>
    <w:rsid w:val="00697A13"/>
    <w:rsid w:val="006A0FA2"/>
    <w:rsid w:val="006A109C"/>
    <w:rsid w:val="006B344A"/>
    <w:rsid w:val="006B3DB5"/>
    <w:rsid w:val="006B6740"/>
    <w:rsid w:val="006B78D8"/>
    <w:rsid w:val="006C113F"/>
    <w:rsid w:val="006C56D4"/>
    <w:rsid w:val="006C6924"/>
    <w:rsid w:val="006C7CA6"/>
    <w:rsid w:val="006D3E8A"/>
    <w:rsid w:val="006D61F6"/>
    <w:rsid w:val="006E279A"/>
    <w:rsid w:val="006E313B"/>
    <w:rsid w:val="00706AD4"/>
    <w:rsid w:val="007071F7"/>
    <w:rsid w:val="0070757C"/>
    <w:rsid w:val="007140BE"/>
    <w:rsid w:val="007211F5"/>
    <w:rsid w:val="00725BB5"/>
    <w:rsid w:val="00730AE8"/>
    <w:rsid w:val="00741493"/>
    <w:rsid w:val="00752180"/>
    <w:rsid w:val="00755202"/>
    <w:rsid w:val="00755D3A"/>
    <w:rsid w:val="007578D3"/>
    <w:rsid w:val="007609C6"/>
    <w:rsid w:val="00762D3E"/>
    <w:rsid w:val="0076521E"/>
    <w:rsid w:val="007661E9"/>
    <w:rsid w:val="0076638F"/>
    <w:rsid w:val="00774FE8"/>
    <w:rsid w:val="00776169"/>
    <w:rsid w:val="00776527"/>
    <w:rsid w:val="00780EF1"/>
    <w:rsid w:val="00781D70"/>
    <w:rsid w:val="007904A3"/>
    <w:rsid w:val="00790764"/>
    <w:rsid w:val="0079453C"/>
    <w:rsid w:val="00794677"/>
    <w:rsid w:val="007964F5"/>
    <w:rsid w:val="007A44A7"/>
    <w:rsid w:val="007A5CB8"/>
    <w:rsid w:val="007B46EA"/>
    <w:rsid w:val="007B6689"/>
    <w:rsid w:val="007D40DF"/>
    <w:rsid w:val="007E2BDC"/>
    <w:rsid w:val="007E7E61"/>
    <w:rsid w:val="007F0845"/>
    <w:rsid w:val="007F3A7B"/>
    <w:rsid w:val="00807C82"/>
    <w:rsid w:val="00816905"/>
    <w:rsid w:val="00821FF6"/>
    <w:rsid w:val="00823849"/>
    <w:rsid w:val="00823FD1"/>
    <w:rsid w:val="0083143E"/>
    <w:rsid w:val="00831CDE"/>
    <w:rsid w:val="00834304"/>
    <w:rsid w:val="00834FAA"/>
    <w:rsid w:val="00836086"/>
    <w:rsid w:val="0084708F"/>
    <w:rsid w:val="008477C8"/>
    <w:rsid w:val="0085114D"/>
    <w:rsid w:val="00852217"/>
    <w:rsid w:val="00852CCA"/>
    <w:rsid w:val="00855408"/>
    <w:rsid w:val="00856D65"/>
    <w:rsid w:val="00861B41"/>
    <w:rsid w:val="00863434"/>
    <w:rsid w:val="00865E4C"/>
    <w:rsid w:val="00867835"/>
    <w:rsid w:val="008701E4"/>
    <w:rsid w:val="00874476"/>
    <w:rsid w:val="00875A32"/>
    <w:rsid w:val="00876086"/>
    <w:rsid w:val="0088154E"/>
    <w:rsid w:val="00885CD7"/>
    <w:rsid w:val="008873D4"/>
    <w:rsid w:val="00893E85"/>
    <w:rsid w:val="00894031"/>
    <w:rsid w:val="00895063"/>
    <w:rsid w:val="008A4C97"/>
    <w:rsid w:val="008A7576"/>
    <w:rsid w:val="008B7C02"/>
    <w:rsid w:val="008B7D2B"/>
    <w:rsid w:val="008C0049"/>
    <w:rsid w:val="008C0E88"/>
    <w:rsid w:val="008C4CA2"/>
    <w:rsid w:val="008D1E6A"/>
    <w:rsid w:val="008D2A16"/>
    <w:rsid w:val="008E2C57"/>
    <w:rsid w:val="008E31FF"/>
    <w:rsid w:val="008E55E4"/>
    <w:rsid w:val="008E680B"/>
    <w:rsid w:val="008E6F06"/>
    <w:rsid w:val="008F029B"/>
    <w:rsid w:val="008F3BC4"/>
    <w:rsid w:val="008F3FC9"/>
    <w:rsid w:val="008F585B"/>
    <w:rsid w:val="009003A8"/>
    <w:rsid w:val="00900D5B"/>
    <w:rsid w:val="00902500"/>
    <w:rsid w:val="00902EFF"/>
    <w:rsid w:val="0091155E"/>
    <w:rsid w:val="00912A92"/>
    <w:rsid w:val="0091728D"/>
    <w:rsid w:val="0092180B"/>
    <w:rsid w:val="00921F14"/>
    <w:rsid w:val="00924AC8"/>
    <w:rsid w:val="0092597A"/>
    <w:rsid w:val="00937AE2"/>
    <w:rsid w:val="0094427A"/>
    <w:rsid w:val="00973CC5"/>
    <w:rsid w:val="00974923"/>
    <w:rsid w:val="00980D3D"/>
    <w:rsid w:val="009812B5"/>
    <w:rsid w:val="00983696"/>
    <w:rsid w:val="00992CF3"/>
    <w:rsid w:val="009968D6"/>
    <w:rsid w:val="009A1CAB"/>
    <w:rsid w:val="009A60D1"/>
    <w:rsid w:val="009A66B7"/>
    <w:rsid w:val="009B32FB"/>
    <w:rsid w:val="009B4877"/>
    <w:rsid w:val="009B63B1"/>
    <w:rsid w:val="009B6FD3"/>
    <w:rsid w:val="009B70FB"/>
    <w:rsid w:val="009C1750"/>
    <w:rsid w:val="009C2E29"/>
    <w:rsid w:val="009C554B"/>
    <w:rsid w:val="009C719E"/>
    <w:rsid w:val="009D3ACD"/>
    <w:rsid w:val="009E3FCE"/>
    <w:rsid w:val="009E5DDB"/>
    <w:rsid w:val="009F1FF5"/>
    <w:rsid w:val="009F4CA7"/>
    <w:rsid w:val="00A10D66"/>
    <w:rsid w:val="00A14114"/>
    <w:rsid w:val="00A23E43"/>
    <w:rsid w:val="00A24E14"/>
    <w:rsid w:val="00A30F65"/>
    <w:rsid w:val="00A418BC"/>
    <w:rsid w:val="00A43B47"/>
    <w:rsid w:val="00A46DE0"/>
    <w:rsid w:val="00A50D73"/>
    <w:rsid w:val="00A52CAD"/>
    <w:rsid w:val="00A53FC7"/>
    <w:rsid w:val="00A62CE1"/>
    <w:rsid w:val="00A650F3"/>
    <w:rsid w:val="00A6741E"/>
    <w:rsid w:val="00A75E40"/>
    <w:rsid w:val="00A77AB7"/>
    <w:rsid w:val="00A77D1D"/>
    <w:rsid w:val="00A857C0"/>
    <w:rsid w:val="00A97559"/>
    <w:rsid w:val="00AA2996"/>
    <w:rsid w:val="00AA3280"/>
    <w:rsid w:val="00AA52BF"/>
    <w:rsid w:val="00AA559A"/>
    <w:rsid w:val="00AA60B7"/>
    <w:rsid w:val="00AA63BD"/>
    <w:rsid w:val="00AB2AF1"/>
    <w:rsid w:val="00AB5498"/>
    <w:rsid w:val="00AC7F0B"/>
    <w:rsid w:val="00AD1A07"/>
    <w:rsid w:val="00AD306C"/>
    <w:rsid w:val="00AD6861"/>
    <w:rsid w:val="00AE09B3"/>
    <w:rsid w:val="00AE1A83"/>
    <w:rsid w:val="00AF6468"/>
    <w:rsid w:val="00AF7BCA"/>
    <w:rsid w:val="00B00913"/>
    <w:rsid w:val="00B0132E"/>
    <w:rsid w:val="00B01593"/>
    <w:rsid w:val="00B10A4D"/>
    <w:rsid w:val="00B17E71"/>
    <w:rsid w:val="00B17FDE"/>
    <w:rsid w:val="00B2379C"/>
    <w:rsid w:val="00B2687D"/>
    <w:rsid w:val="00B32DDB"/>
    <w:rsid w:val="00B34528"/>
    <w:rsid w:val="00B402FC"/>
    <w:rsid w:val="00B46604"/>
    <w:rsid w:val="00B55F5E"/>
    <w:rsid w:val="00B5752E"/>
    <w:rsid w:val="00B60FC2"/>
    <w:rsid w:val="00B63A11"/>
    <w:rsid w:val="00B64C24"/>
    <w:rsid w:val="00B6608F"/>
    <w:rsid w:val="00B66B7A"/>
    <w:rsid w:val="00B679FB"/>
    <w:rsid w:val="00B75431"/>
    <w:rsid w:val="00B76D1E"/>
    <w:rsid w:val="00B80523"/>
    <w:rsid w:val="00B80EC6"/>
    <w:rsid w:val="00B85781"/>
    <w:rsid w:val="00B92D1D"/>
    <w:rsid w:val="00B938C5"/>
    <w:rsid w:val="00B95940"/>
    <w:rsid w:val="00BB46F3"/>
    <w:rsid w:val="00BB4CB1"/>
    <w:rsid w:val="00BB4F98"/>
    <w:rsid w:val="00BB54DF"/>
    <w:rsid w:val="00BB78A6"/>
    <w:rsid w:val="00BC6ABD"/>
    <w:rsid w:val="00BC7154"/>
    <w:rsid w:val="00BD366B"/>
    <w:rsid w:val="00BD6D50"/>
    <w:rsid w:val="00BE18B9"/>
    <w:rsid w:val="00BE2495"/>
    <w:rsid w:val="00BF1578"/>
    <w:rsid w:val="00C0283F"/>
    <w:rsid w:val="00C21F94"/>
    <w:rsid w:val="00C23478"/>
    <w:rsid w:val="00C256E4"/>
    <w:rsid w:val="00C25BCC"/>
    <w:rsid w:val="00C27913"/>
    <w:rsid w:val="00C31520"/>
    <w:rsid w:val="00C33B68"/>
    <w:rsid w:val="00C33F0D"/>
    <w:rsid w:val="00C36A79"/>
    <w:rsid w:val="00C405D4"/>
    <w:rsid w:val="00C4513B"/>
    <w:rsid w:val="00C50C63"/>
    <w:rsid w:val="00C54697"/>
    <w:rsid w:val="00C73885"/>
    <w:rsid w:val="00C747B1"/>
    <w:rsid w:val="00C801C5"/>
    <w:rsid w:val="00C82191"/>
    <w:rsid w:val="00C90CF4"/>
    <w:rsid w:val="00C92EB6"/>
    <w:rsid w:val="00C93389"/>
    <w:rsid w:val="00CA6923"/>
    <w:rsid w:val="00CB4930"/>
    <w:rsid w:val="00CC2E7D"/>
    <w:rsid w:val="00CC76CD"/>
    <w:rsid w:val="00CD10A5"/>
    <w:rsid w:val="00CD2076"/>
    <w:rsid w:val="00CD2299"/>
    <w:rsid w:val="00CE670B"/>
    <w:rsid w:val="00CF51EC"/>
    <w:rsid w:val="00CF73AE"/>
    <w:rsid w:val="00D040DD"/>
    <w:rsid w:val="00D13986"/>
    <w:rsid w:val="00D151BF"/>
    <w:rsid w:val="00D25F28"/>
    <w:rsid w:val="00D27973"/>
    <w:rsid w:val="00D3587A"/>
    <w:rsid w:val="00D44910"/>
    <w:rsid w:val="00D50F46"/>
    <w:rsid w:val="00D62FA6"/>
    <w:rsid w:val="00D656B7"/>
    <w:rsid w:val="00D66223"/>
    <w:rsid w:val="00D74777"/>
    <w:rsid w:val="00D8084C"/>
    <w:rsid w:val="00D9055B"/>
    <w:rsid w:val="00D97127"/>
    <w:rsid w:val="00DA2855"/>
    <w:rsid w:val="00DA3469"/>
    <w:rsid w:val="00DA7C0C"/>
    <w:rsid w:val="00DB1149"/>
    <w:rsid w:val="00DB2EC8"/>
    <w:rsid w:val="00DB4A23"/>
    <w:rsid w:val="00DC5B3B"/>
    <w:rsid w:val="00DD129F"/>
    <w:rsid w:val="00DD685B"/>
    <w:rsid w:val="00DE59BE"/>
    <w:rsid w:val="00DE695F"/>
    <w:rsid w:val="00DF42FF"/>
    <w:rsid w:val="00E01C0E"/>
    <w:rsid w:val="00E03F9A"/>
    <w:rsid w:val="00E04694"/>
    <w:rsid w:val="00E12B1E"/>
    <w:rsid w:val="00E14600"/>
    <w:rsid w:val="00E17262"/>
    <w:rsid w:val="00E22A11"/>
    <w:rsid w:val="00E253A2"/>
    <w:rsid w:val="00E3309D"/>
    <w:rsid w:val="00E50156"/>
    <w:rsid w:val="00E53470"/>
    <w:rsid w:val="00E539F6"/>
    <w:rsid w:val="00E57525"/>
    <w:rsid w:val="00E637D5"/>
    <w:rsid w:val="00E6519D"/>
    <w:rsid w:val="00E655BD"/>
    <w:rsid w:val="00E67696"/>
    <w:rsid w:val="00E71A58"/>
    <w:rsid w:val="00E72A7A"/>
    <w:rsid w:val="00E75C94"/>
    <w:rsid w:val="00E81B77"/>
    <w:rsid w:val="00E93820"/>
    <w:rsid w:val="00EA0C68"/>
    <w:rsid w:val="00EB2C44"/>
    <w:rsid w:val="00EC03D7"/>
    <w:rsid w:val="00ED2C2C"/>
    <w:rsid w:val="00ED62C6"/>
    <w:rsid w:val="00ED64C1"/>
    <w:rsid w:val="00ED78E3"/>
    <w:rsid w:val="00EE0E4F"/>
    <w:rsid w:val="00EE3446"/>
    <w:rsid w:val="00EE3E78"/>
    <w:rsid w:val="00EE4B1B"/>
    <w:rsid w:val="00EE7DB4"/>
    <w:rsid w:val="00EF150D"/>
    <w:rsid w:val="00EF1F5A"/>
    <w:rsid w:val="00F04811"/>
    <w:rsid w:val="00F0488C"/>
    <w:rsid w:val="00F15AAA"/>
    <w:rsid w:val="00F15BEF"/>
    <w:rsid w:val="00F1639F"/>
    <w:rsid w:val="00F24407"/>
    <w:rsid w:val="00F24FAA"/>
    <w:rsid w:val="00F3364D"/>
    <w:rsid w:val="00F437CC"/>
    <w:rsid w:val="00F453D4"/>
    <w:rsid w:val="00F47067"/>
    <w:rsid w:val="00F474C0"/>
    <w:rsid w:val="00F525EB"/>
    <w:rsid w:val="00F63DDE"/>
    <w:rsid w:val="00F63FB7"/>
    <w:rsid w:val="00F649D2"/>
    <w:rsid w:val="00F6602B"/>
    <w:rsid w:val="00F73A0C"/>
    <w:rsid w:val="00F756DB"/>
    <w:rsid w:val="00F82F1A"/>
    <w:rsid w:val="00F85066"/>
    <w:rsid w:val="00FA0C79"/>
    <w:rsid w:val="00FA22FB"/>
    <w:rsid w:val="00FA5D4D"/>
    <w:rsid w:val="00FB1D12"/>
    <w:rsid w:val="00FC0AB6"/>
    <w:rsid w:val="00FC0E5F"/>
    <w:rsid w:val="00FC185E"/>
    <w:rsid w:val="00FC1A95"/>
    <w:rsid w:val="00FC56DE"/>
    <w:rsid w:val="00FC684B"/>
    <w:rsid w:val="00FC7274"/>
    <w:rsid w:val="00FD4377"/>
    <w:rsid w:val="00FE2F78"/>
    <w:rsid w:val="00FE30D1"/>
    <w:rsid w:val="00FF3EC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32535A4"/>
  <w15:docId w15:val="{6E013BCA-4E1F-4CDB-B6B2-5F0AC7A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8F3"/>
    <w:pPr>
      <w:spacing w:after="240" w:line="288" w:lineRule="auto"/>
    </w:pPr>
    <w:rPr>
      <w:rFonts w:ascii="Arial" w:eastAsia="Times New Roman" w:hAnsi="Arial"/>
      <w:szCs w:val="24"/>
      <w:lang w:val="en-GB" w:eastAsia="cs-CZ"/>
    </w:rPr>
  </w:style>
  <w:style w:type="paragraph" w:styleId="Nadpis1">
    <w:name w:val="heading 1"/>
    <w:next w:val="Normln"/>
    <w:link w:val="Nadpis1Char"/>
    <w:qFormat/>
    <w:rsid w:val="00874476"/>
    <w:pPr>
      <w:keepNext/>
      <w:keepLines/>
      <w:spacing w:after="100" w:line="288" w:lineRule="auto"/>
      <w:contextualSpacing/>
      <w:outlineLvl w:val="0"/>
    </w:pPr>
    <w:rPr>
      <w:rFonts w:ascii="Arial" w:eastAsia="MS Gothic" w:hAnsi="Arial"/>
      <w:b/>
      <w:bCs/>
      <w:color w:val="009BB4"/>
      <w:sz w:val="32"/>
      <w:szCs w:val="28"/>
      <w:lang w:val="en-GB" w:eastAsia="cs-CZ"/>
    </w:rPr>
  </w:style>
  <w:style w:type="paragraph" w:styleId="Nadpis2">
    <w:name w:val="heading 2"/>
    <w:next w:val="Normln"/>
    <w:link w:val="Nadpis2Char"/>
    <w:qFormat/>
    <w:rsid w:val="00BB78A6"/>
    <w:pPr>
      <w:keepNext/>
      <w:keepLines/>
      <w:spacing w:before="240" w:after="120" w:line="288" w:lineRule="auto"/>
      <w:outlineLvl w:val="1"/>
    </w:pPr>
    <w:rPr>
      <w:rFonts w:ascii="Arial" w:eastAsia="MS Gothic" w:hAnsi="Arial"/>
      <w:b/>
      <w:bCs/>
      <w:color w:val="009BB4"/>
      <w:sz w:val="28"/>
      <w:szCs w:val="26"/>
      <w:lang w:val="en-GB" w:eastAsia="cs-CZ"/>
    </w:rPr>
  </w:style>
  <w:style w:type="paragraph" w:styleId="Nadpis3">
    <w:name w:val="heading 3"/>
    <w:next w:val="Normln"/>
    <w:link w:val="Nadpis3Char"/>
    <w:qFormat/>
    <w:rsid w:val="00BB78A6"/>
    <w:pPr>
      <w:keepNext/>
      <w:keepLines/>
      <w:spacing w:before="240" w:after="120" w:line="288" w:lineRule="auto"/>
      <w:outlineLvl w:val="2"/>
    </w:pPr>
    <w:rPr>
      <w:rFonts w:ascii="Arial" w:eastAsia="MS Gothic" w:hAnsi="Arial"/>
      <w:b/>
      <w:bCs/>
      <w:color w:val="009BB4"/>
      <w:sz w:val="24"/>
      <w:szCs w:val="24"/>
      <w:lang w:val="en-GB" w:eastAsia="cs-CZ"/>
    </w:rPr>
  </w:style>
  <w:style w:type="paragraph" w:styleId="Nadpis4">
    <w:name w:val="heading 4"/>
    <w:next w:val="Normln"/>
    <w:link w:val="Nadpis4Char"/>
    <w:uiPriority w:val="9"/>
    <w:qFormat/>
    <w:rsid w:val="00351A75"/>
    <w:pPr>
      <w:keepNext/>
      <w:keepLines/>
      <w:spacing w:line="288" w:lineRule="auto"/>
      <w:outlineLvl w:val="3"/>
    </w:pPr>
    <w:rPr>
      <w:rFonts w:ascii="Arial" w:eastAsia="MS Gothic" w:hAnsi="Arial"/>
      <w:b/>
      <w:bCs/>
      <w:iCs/>
      <w:color w:val="BD1B21"/>
      <w:szCs w:val="24"/>
      <w:lang w:val="en-GB" w:eastAsia="cs-CZ"/>
    </w:rPr>
  </w:style>
  <w:style w:type="paragraph" w:styleId="Nadpis5">
    <w:name w:val="heading 5"/>
    <w:basedOn w:val="Normln"/>
    <w:next w:val="Normln"/>
    <w:link w:val="Nadpis5Char"/>
    <w:qFormat/>
    <w:rsid w:val="009B63B1"/>
    <w:pPr>
      <w:spacing w:before="240" w:after="60" w:line="240" w:lineRule="auto"/>
      <w:outlineLvl w:val="4"/>
    </w:pPr>
    <w:rPr>
      <w:rFonts w:ascii="Times New Roman" w:hAnsi="Times New Roman"/>
      <w:b/>
      <w:bCs/>
      <w:i/>
      <w:iCs/>
      <w:sz w:val="26"/>
      <w:szCs w:val="26"/>
      <w:lang w:val="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476"/>
    <w:rPr>
      <w:rFonts w:ascii="Arial" w:eastAsia="MS Gothic" w:hAnsi="Arial"/>
      <w:b/>
      <w:bCs/>
      <w:color w:val="009BB4"/>
      <w:sz w:val="32"/>
      <w:szCs w:val="28"/>
      <w:lang w:val="en-GB" w:eastAsia="cs-CZ"/>
    </w:rPr>
  </w:style>
  <w:style w:type="character" w:customStyle="1" w:styleId="Nadpis2Char">
    <w:name w:val="Nadpis 2 Char"/>
    <w:link w:val="Nadpis2"/>
    <w:uiPriority w:val="9"/>
    <w:rsid w:val="00BB78A6"/>
    <w:rPr>
      <w:rFonts w:ascii="Arial" w:eastAsia="MS Gothic" w:hAnsi="Arial"/>
      <w:b/>
      <w:bCs/>
      <w:color w:val="009BB4"/>
      <w:sz w:val="28"/>
      <w:szCs w:val="26"/>
      <w:lang w:val="en-GB" w:eastAsia="cs-CZ"/>
    </w:rPr>
  </w:style>
  <w:style w:type="character" w:customStyle="1" w:styleId="Nadpis3Char">
    <w:name w:val="Nadpis 3 Char"/>
    <w:link w:val="Nadpis3"/>
    <w:uiPriority w:val="9"/>
    <w:rsid w:val="00BB78A6"/>
    <w:rPr>
      <w:rFonts w:ascii="Arial" w:eastAsia="MS Gothic" w:hAnsi="Arial"/>
      <w:b/>
      <w:bCs/>
      <w:color w:val="009BB4"/>
      <w:sz w:val="24"/>
      <w:szCs w:val="24"/>
      <w:lang w:val="en-GB" w:eastAsia="cs-CZ"/>
    </w:rPr>
  </w:style>
  <w:style w:type="character" w:customStyle="1" w:styleId="Nadpis4Char">
    <w:name w:val="Nadpis 4 Char"/>
    <w:link w:val="Nadpis4"/>
    <w:uiPriority w:val="9"/>
    <w:rsid w:val="00351A75"/>
    <w:rPr>
      <w:rFonts w:ascii="Arial" w:eastAsia="MS Gothic" w:hAnsi="Arial"/>
      <w:b/>
      <w:bCs/>
      <w:iCs/>
      <w:color w:val="BD1B21"/>
      <w:szCs w:val="24"/>
      <w:lang w:val="en-GB"/>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nhideWhenUsed/>
    <w:qFormat/>
    <w:rsid w:val="00351A75"/>
    <w:pPr>
      <w:spacing w:line="288" w:lineRule="auto"/>
    </w:pPr>
    <w:rPr>
      <w:rFonts w:ascii="Arial" w:hAnsi="Arial"/>
      <w:sz w:val="16"/>
      <w:szCs w:val="22"/>
      <w:lang w:val="en-GB"/>
    </w:rPr>
  </w:style>
  <w:style w:type="character" w:customStyle="1" w:styleId="ZhlavChar">
    <w:name w:val="Záhlaví Char"/>
    <w:link w:val="Zhlav"/>
    <w:rsid w:val="00351A75"/>
    <w:rPr>
      <w:rFonts w:ascii="Arial" w:hAnsi="Arial"/>
      <w:sz w:val="16"/>
      <w:szCs w:val="22"/>
      <w:lang w:val="en-GB" w:eastAsia="en-US"/>
    </w:rPr>
  </w:style>
  <w:style w:type="paragraph" w:styleId="Zpat">
    <w:name w:val="footer"/>
    <w:link w:val="ZpatChar"/>
    <w:unhideWhenUsed/>
    <w:qFormat/>
    <w:rsid w:val="00FE30D1"/>
    <w:pPr>
      <w:tabs>
        <w:tab w:val="center" w:pos="4820"/>
        <w:tab w:val="right" w:pos="9639"/>
      </w:tabs>
    </w:pPr>
    <w:rPr>
      <w:rFonts w:ascii="Arial" w:hAnsi="Arial" w:cs="Arial"/>
      <w:sz w:val="16"/>
      <w:lang w:val="en-GB"/>
    </w:rPr>
  </w:style>
  <w:style w:type="character" w:customStyle="1" w:styleId="ZpatChar">
    <w:name w:val="Zápatí Char"/>
    <w:link w:val="Zpat"/>
    <w:uiPriority w:val="99"/>
    <w:rsid w:val="00FE30D1"/>
    <w:rPr>
      <w:rFonts w:ascii="Arial" w:hAnsi="Arial" w:cs="Arial"/>
      <w:sz w:val="16"/>
      <w:lang w:val="en-GB"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38283A"/>
    <w:pPr>
      <w:spacing w:before="80"/>
    </w:pPr>
    <w:rPr>
      <w:b/>
      <w:noProof/>
    </w:rPr>
  </w:style>
  <w:style w:type="paragraph" w:customStyle="1" w:styleId="TLIdentifikace-sted">
    <w:name w:val="TL Identifikace - střed"/>
    <w:qFormat/>
    <w:rsid w:val="00351A75"/>
    <w:pPr>
      <w:spacing w:after="200" w:line="288" w:lineRule="auto"/>
    </w:pPr>
    <w:rPr>
      <w:rFonts w:ascii="Arial" w:eastAsia="Times New Roman" w:hAnsi="Arial"/>
      <w:sz w:val="24"/>
      <w:szCs w:val="24"/>
      <w:lang w:val="en-GB" w:eastAsia="cs-CZ"/>
    </w:rPr>
  </w:style>
  <w:style w:type="paragraph" w:customStyle="1" w:styleId="Obsah">
    <w:name w:val="Obsah"/>
    <w:next w:val="Normln"/>
    <w:qFormat/>
    <w:rsid w:val="004C7BC9"/>
    <w:pPr>
      <w:spacing w:after="80" w:line="288" w:lineRule="auto"/>
    </w:pPr>
    <w:rPr>
      <w:rFonts w:ascii="Arial" w:eastAsia="Times New Roman" w:hAnsi="Arial"/>
      <w:b/>
      <w:color w:val="009BB4"/>
      <w:sz w:val="32"/>
      <w:szCs w:val="24"/>
      <w:lang w:val="en-GB" w:eastAsia="cs-CZ"/>
    </w:rPr>
  </w:style>
  <w:style w:type="paragraph" w:customStyle="1" w:styleId="Obsahpoloky">
    <w:name w:val="Obsah položky"/>
    <w:qFormat/>
    <w:rsid w:val="00351A75"/>
    <w:pPr>
      <w:tabs>
        <w:tab w:val="right" w:leader="dot" w:pos="9639"/>
      </w:tabs>
      <w:spacing w:line="288" w:lineRule="auto"/>
    </w:pPr>
    <w:rPr>
      <w:rFonts w:ascii="Arial" w:eastAsia="Times New Roman" w:hAnsi="Arial"/>
      <w:szCs w:val="24"/>
      <w:lang w:val="en-GB" w:eastAsia="cs-CZ"/>
    </w:rPr>
  </w:style>
  <w:style w:type="paragraph" w:customStyle="1" w:styleId="Box1">
    <w:name w:val="Box 1"/>
    <w:next w:val="Normln"/>
    <w:qFormat/>
    <w:rsid w:val="00351A75"/>
    <w:pPr>
      <w:shd w:val="clear" w:color="auto" w:fill="D9EAF5"/>
      <w:spacing w:before="240" w:after="240" w:line="288" w:lineRule="auto"/>
      <w:ind w:left="709"/>
      <w:contextualSpacing/>
    </w:pPr>
    <w:rPr>
      <w:rFonts w:ascii="Arial" w:hAnsi="Arial" w:cs="Arial"/>
      <w:lang w:val="en-GB" w:eastAsia="cs-CZ"/>
    </w:rPr>
  </w:style>
  <w:style w:type="paragraph" w:customStyle="1" w:styleId="Box2">
    <w:name w:val="Box 2"/>
    <w:link w:val="Box2Char"/>
    <w:qFormat/>
    <w:rsid w:val="00351A75"/>
    <w:pPr>
      <w:spacing w:before="240" w:after="240" w:line="288" w:lineRule="auto"/>
      <w:ind w:left="709"/>
      <w:contextualSpacing/>
    </w:pPr>
    <w:rPr>
      <w:rFonts w:ascii="Arial" w:hAnsi="Arial" w:cs="Arial"/>
      <w:color w:val="0071BC"/>
      <w:lang w:val="en-GB" w:eastAsia="cs-CZ"/>
    </w:rPr>
  </w:style>
  <w:style w:type="paragraph" w:styleId="Seznam">
    <w:name w:val="List"/>
    <w:basedOn w:val="Normln"/>
    <w:uiPriority w:val="99"/>
    <w:unhideWhenUsed/>
    <w:qFormat/>
    <w:rsid w:val="00351A75"/>
    <w:pPr>
      <w:contextualSpacing/>
    </w:pPr>
  </w:style>
  <w:style w:type="character" w:styleId="Siln">
    <w:name w:val="Strong"/>
    <w:aliases w:val="Tučné"/>
    <w:uiPriority w:val="22"/>
    <w:qFormat/>
    <w:rsid w:val="00351A75"/>
    <w:rPr>
      <w:rFonts w:ascii="Arial" w:hAnsi="Arial"/>
      <w:b/>
      <w:bCs/>
      <w:sz w:val="20"/>
      <w:lang w:val="en-GB"/>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351A75"/>
    <w:pPr>
      <w:spacing w:after="160" w:line="259" w:lineRule="auto"/>
      <w:contextualSpacing/>
    </w:pPr>
    <w:rPr>
      <w:rFonts w:ascii="Arial" w:eastAsia="Times New Roman" w:hAnsi="Arial"/>
      <w:b/>
      <w:color w:val="0071BC"/>
      <w:lang w:val="en-GB" w:eastAsia="cs-CZ"/>
    </w:rPr>
  </w:style>
  <w:style w:type="paragraph" w:styleId="Nzev">
    <w:name w:val="Title"/>
    <w:link w:val="NzevChar"/>
    <w:qFormat/>
    <w:rsid w:val="00351A75"/>
    <w:pPr>
      <w:spacing w:line="288" w:lineRule="auto"/>
    </w:pPr>
    <w:rPr>
      <w:rFonts w:ascii="Arial" w:eastAsia="Times New Roman" w:hAnsi="Arial"/>
      <w:b/>
      <w:bCs/>
      <w:caps/>
      <w:kern w:val="28"/>
      <w:sz w:val="56"/>
      <w:szCs w:val="32"/>
      <w:lang w:val="en-GB" w:eastAsia="cs-CZ"/>
    </w:rPr>
  </w:style>
  <w:style w:type="character" w:customStyle="1" w:styleId="NzevChar">
    <w:name w:val="Název Char"/>
    <w:link w:val="Nzev"/>
    <w:rsid w:val="00351A75"/>
    <w:rPr>
      <w:rFonts w:ascii="Arial" w:eastAsia="Times New Roman" w:hAnsi="Arial"/>
      <w:b/>
      <w:bCs/>
      <w:caps/>
      <w:kern w:val="28"/>
      <w:sz w:val="56"/>
      <w:szCs w:val="32"/>
      <w:lang w:val="en-GB"/>
    </w:rPr>
  </w:style>
  <w:style w:type="paragraph" w:styleId="Podnadpis">
    <w:name w:val="Subtitle"/>
    <w:link w:val="PodnadpisChar"/>
    <w:uiPriority w:val="11"/>
    <w:qFormat/>
    <w:rsid w:val="00351A75"/>
    <w:pPr>
      <w:spacing w:line="288" w:lineRule="auto"/>
    </w:pPr>
    <w:rPr>
      <w:rFonts w:ascii="Arial" w:eastAsia="Times New Roman" w:hAnsi="Arial" w:cs="Arial"/>
      <w:b/>
      <w:sz w:val="28"/>
      <w:szCs w:val="24"/>
      <w:lang w:val="en-GB" w:eastAsia="cs-CZ"/>
    </w:rPr>
  </w:style>
  <w:style w:type="character" w:customStyle="1" w:styleId="PodnadpisChar">
    <w:name w:val="Podnadpis Char"/>
    <w:link w:val="Podnadpis"/>
    <w:uiPriority w:val="11"/>
    <w:rsid w:val="00351A75"/>
    <w:rPr>
      <w:rFonts w:ascii="Arial" w:eastAsia="Times New Roman" w:hAnsi="Arial" w:cs="Arial"/>
      <w:b/>
      <w:sz w:val="28"/>
      <w:szCs w:val="24"/>
      <w:lang w:val="en-GB"/>
    </w:rPr>
  </w:style>
  <w:style w:type="paragraph" w:styleId="Obsah2">
    <w:name w:val="toc 2"/>
    <w:basedOn w:val="Obsahpoloky"/>
    <w:next w:val="Obsahpoloky"/>
    <w:autoRedefine/>
    <w:uiPriority w:val="39"/>
    <w:unhideWhenUsed/>
    <w:rsid w:val="0038283A"/>
    <w:pPr>
      <w:spacing w:before="40"/>
      <w:ind w:left="200"/>
    </w:pPr>
    <w:rPr>
      <w:b/>
      <w:noProof/>
    </w:r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874476"/>
    <w:pPr>
      <w:spacing w:before="240" w:after="0" w:line="240" w:lineRule="auto"/>
      <w:jc w:val="both"/>
    </w:pPr>
    <w:rPr>
      <w:sz w:val="15"/>
      <w:lang w:val="cs-CZ"/>
    </w:rPr>
  </w:style>
  <w:style w:type="character" w:customStyle="1" w:styleId="ZkladntextChar">
    <w:name w:val="Základní text Char"/>
    <w:basedOn w:val="Standardnpsmoodstavce"/>
    <w:link w:val="Zkladntext"/>
    <w:semiHidden/>
    <w:rsid w:val="00874476"/>
    <w:rPr>
      <w:rFonts w:ascii="Arial" w:eastAsia="Times New Roman" w:hAnsi="Arial"/>
      <w:sz w:val="15"/>
      <w:szCs w:val="24"/>
      <w:lang w:eastAsia="cs-CZ"/>
    </w:rPr>
  </w:style>
  <w:style w:type="paragraph" w:styleId="Textpoznpodarou">
    <w:name w:val="footnote text"/>
    <w:basedOn w:val="Normln"/>
    <w:link w:val="TextpoznpodarouChar"/>
    <w:uiPriority w:val="99"/>
    <w:unhideWhenUsed/>
    <w:rsid w:val="00874476"/>
    <w:pPr>
      <w:spacing w:after="0" w:line="240" w:lineRule="auto"/>
    </w:pPr>
    <w:rPr>
      <w:rFonts w:ascii="Times New Roman" w:hAnsi="Times New Roman"/>
      <w:szCs w:val="20"/>
      <w:lang w:val="cs-CZ"/>
    </w:rPr>
  </w:style>
  <w:style w:type="character" w:customStyle="1" w:styleId="TextpoznpodarouChar">
    <w:name w:val="Text pozn. pod čarou Char"/>
    <w:basedOn w:val="Standardnpsmoodstavce"/>
    <w:link w:val="Textpoznpodarou"/>
    <w:uiPriority w:val="99"/>
    <w:rsid w:val="00874476"/>
    <w:rPr>
      <w:rFonts w:ascii="Times New Roman" w:eastAsia="Times New Roman" w:hAnsi="Times New Roman"/>
      <w:lang w:eastAsia="cs-CZ"/>
    </w:rPr>
  </w:style>
  <w:style w:type="character" w:styleId="Znakapoznpodarou">
    <w:name w:val="footnote reference"/>
    <w:uiPriority w:val="99"/>
    <w:semiHidden/>
    <w:unhideWhenUsed/>
    <w:rsid w:val="00874476"/>
    <w:rPr>
      <w:vertAlign w:val="superscript"/>
    </w:rPr>
  </w:style>
  <w:style w:type="paragraph" w:styleId="Titulek">
    <w:name w:val="caption"/>
    <w:basedOn w:val="Normln"/>
    <w:next w:val="Normln"/>
    <w:uiPriority w:val="35"/>
    <w:unhideWhenUsed/>
    <w:qFormat/>
    <w:rsid w:val="00874476"/>
    <w:pPr>
      <w:spacing w:after="200" w:line="240" w:lineRule="auto"/>
    </w:pPr>
    <w:rPr>
      <w:b/>
      <w:bCs/>
      <w:color w:val="4F81BD" w:themeColor="accent1"/>
      <w:sz w:val="18"/>
      <w:szCs w:val="18"/>
      <w:lang w:val="cs-CZ"/>
    </w:rPr>
  </w:style>
  <w:style w:type="character" w:customStyle="1" w:styleId="Nadpis5Char">
    <w:name w:val="Nadpis 5 Char"/>
    <w:basedOn w:val="Standardnpsmoodstavce"/>
    <w:link w:val="Nadpis5"/>
    <w:rsid w:val="009B63B1"/>
    <w:rPr>
      <w:rFonts w:ascii="Times New Roman" w:eastAsia="Times New Roman" w:hAnsi="Times New Roman"/>
      <w:b/>
      <w:bCs/>
      <w:i/>
      <w:iCs/>
      <w:sz w:val="26"/>
      <w:szCs w:val="26"/>
      <w:lang w:eastAsia="cs-CZ"/>
    </w:rPr>
  </w:style>
  <w:style w:type="paragraph" w:styleId="Seznamobrzk">
    <w:name w:val="table of figures"/>
    <w:basedOn w:val="Normln"/>
    <w:next w:val="Normln"/>
    <w:uiPriority w:val="99"/>
    <w:unhideWhenUsed/>
    <w:rsid w:val="009B63B1"/>
    <w:pPr>
      <w:spacing w:after="0"/>
    </w:pPr>
    <w:rPr>
      <w:lang w:val="cs-CZ"/>
    </w:rPr>
  </w:style>
  <w:style w:type="paragraph" w:customStyle="1" w:styleId="Styl1">
    <w:name w:val="Styl1"/>
    <w:rsid w:val="009B63B1"/>
    <w:pPr>
      <w:suppressAutoHyphens/>
      <w:autoSpaceDE w:val="0"/>
    </w:pPr>
    <w:rPr>
      <w:rFonts w:ascii="Arial" w:eastAsia="Times New Roman" w:hAnsi="Arial"/>
      <w:sz w:val="24"/>
      <w:szCs w:val="24"/>
      <w:lang w:eastAsia="ar-SA"/>
    </w:rPr>
  </w:style>
  <w:style w:type="paragraph" w:customStyle="1" w:styleId="Bezmezer1">
    <w:name w:val="Bez mezer1"/>
    <w:aliases w:val="Bez zarážky"/>
    <w:link w:val="NoSpacingChar"/>
    <w:uiPriority w:val="1"/>
    <w:qFormat/>
    <w:rsid w:val="009B63B1"/>
    <w:pPr>
      <w:spacing w:line="288" w:lineRule="auto"/>
    </w:pPr>
    <w:rPr>
      <w:rFonts w:ascii="Arial" w:eastAsia="Times New Roman" w:hAnsi="Arial"/>
      <w:szCs w:val="24"/>
      <w:lang w:eastAsia="cs-CZ"/>
    </w:rPr>
  </w:style>
  <w:style w:type="character" w:customStyle="1" w:styleId="NoSpacingChar">
    <w:name w:val="No Spacing Char"/>
    <w:aliases w:val="Bez zarážky Char"/>
    <w:link w:val="Bezmezer1"/>
    <w:uiPriority w:val="1"/>
    <w:rsid w:val="009B63B1"/>
    <w:rPr>
      <w:rFonts w:ascii="Arial" w:eastAsia="Times New Roman" w:hAnsi="Arial"/>
      <w:szCs w:val="24"/>
      <w:lang w:eastAsia="cs-CZ"/>
    </w:rPr>
  </w:style>
  <w:style w:type="character" w:customStyle="1" w:styleId="Box2Char">
    <w:name w:val="Box 2 Char"/>
    <w:link w:val="Box2"/>
    <w:rsid w:val="009B63B1"/>
    <w:rPr>
      <w:rFonts w:ascii="Arial" w:hAnsi="Arial" w:cs="Arial"/>
      <w:color w:val="0071BC"/>
      <w:lang w:val="en-GB" w:eastAsia="cs-CZ"/>
    </w:rPr>
  </w:style>
  <w:style w:type="paragraph" w:customStyle="1" w:styleId="Box">
    <w:name w:val="Box"/>
    <w:next w:val="Normln"/>
    <w:link w:val="BoxChar"/>
    <w:qFormat/>
    <w:rsid w:val="009B63B1"/>
    <w:pPr>
      <w:shd w:val="clear" w:color="auto" w:fill="D9F0F4"/>
      <w:spacing w:line="288" w:lineRule="auto"/>
      <w:ind w:left="1134"/>
    </w:pPr>
    <w:rPr>
      <w:rFonts w:ascii="Arial" w:hAnsi="Arial" w:cs="Arial"/>
      <w:lang w:eastAsia="cs-CZ"/>
    </w:rPr>
  </w:style>
  <w:style w:type="character" w:customStyle="1" w:styleId="BoxChar">
    <w:name w:val="Box Char"/>
    <w:link w:val="Box"/>
    <w:rsid w:val="009B63B1"/>
    <w:rPr>
      <w:rFonts w:ascii="Arial" w:hAnsi="Arial" w:cs="Arial"/>
      <w:shd w:val="clear" w:color="auto" w:fill="D9F0F4"/>
      <w:lang w:eastAsia="cs-CZ"/>
    </w:rPr>
  </w:style>
  <w:style w:type="paragraph" w:customStyle="1" w:styleId="TL-Kontakty">
    <w:name w:val="TL - Kontakty"/>
    <w:next w:val="Normln"/>
    <w:link w:val="TL-KontaktyChar"/>
    <w:qFormat/>
    <w:rsid w:val="009B63B1"/>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B63B1"/>
    <w:rPr>
      <w:rFonts w:ascii="Arial" w:eastAsia="Times New Roman" w:hAnsi="Arial"/>
      <w:b/>
      <w:caps/>
      <w:color w:val="BD1B21"/>
      <w:sz w:val="24"/>
      <w:szCs w:val="24"/>
      <w:lang w:eastAsia="cs-CZ"/>
    </w:rPr>
  </w:style>
  <w:style w:type="paragraph" w:customStyle="1" w:styleId="TL-Identifikace">
    <w:name w:val="TL - Identifikace"/>
    <w:next w:val="Normln"/>
    <w:link w:val="TL-IdentifikaceChar"/>
    <w:qFormat/>
    <w:rsid w:val="009B63B1"/>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9B63B1"/>
    <w:rPr>
      <w:rFonts w:ascii="Arial" w:eastAsia="Times New Roman" w:hAnsi="Arial"/>
      <w:sz w:val="24"/>
      <w:szCs w:val="24"/>
      <w:lang w:eastAsia="cs-CZ"/>
    </w:rPr>
  </w:style>
  <w:style w:type="paragraph" w:customStyle="1" w:styleId="3372873BB58A4DED866D2BE34882C06C">
    <w:name w:val="3372873BB58A4DED866D2BE34882C06C"/>
    <w:rsid w:val="009B63B1"/>
    <w:pPr>
      <w:spacing w:after="200" w:line="276" w:lineRule="auto"/>
    </w:pPr>
    <w:rPr>
      <w:rFonts w:eastAsia="MS Mincho"/>
      <w:sz w:val="22"/>
      <w:szCs w:val="22"/>
      <w:lang w:eastAsia="cs-CZ"/>
    </w:rPr>
  </w:style>
  <w:style w:type="paragraph" w:customStyle="1" w:styleId="233E5CD5853943F4BD7E8C4B124C0E1D">
    <w:name w:val="233E5CD5853943F4BD7E8C4B124C0E1D"/>
    <w:rsid w:val="009B63B1"/>
    <w:pPr>
      <w:spacing w:after="200" w:line="276" w:lineRule="auto"/>
    </w:pPr>
    <w:rPr>
      <w:rFonts w:eastAsia="MS Mincho"/>
      <w:sz w:val="22"/>
      <w:szCs w:val="22"/>
      <w:lang w:eastAsia="cs-CZ"/>
    </w:rPr>
  </w:style>
  <w:style w:type="paragraph" w:customStyle="1" w:styleId="D345FF3D873148C5AE3FBF3267827368">
    <w:name w:val="D345FF3D873148C5AE3FBF3267827368"/>
    <w:rsid w:val="009B63B1"/>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9B63B1"/>
    <w:pPr>
      <w:spacing w:after="200"/>
    </w:pPr>
    <w:rPr>
      <w:sz w:val="24"/>
      <w:lang w:val="cs-CZ"/>
    </w:rPr>
  </w:style>
  <w:style w:type="character" w:customStyle="1" w:styleId="TL-identifikace-stedChar">
    <w:name w:val="TL - identifikace - střed Char"/>
    <w:link w:val="TL-identifikace-sted"/>
    <w:rsid w:val="009B63B1"/>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9B63B1"/>
    <w:pPr>
      <w:spacing w:after="200"/>
    </w:pPr>
    <w:rPr>
      <w:rFonts w:cs="Arial"/>
      <w:szCs w:val="20"/>
      <w:lang w:val="cs-CZ" w:eastAsia="ar-SA"/>
    </w:rPr>
  </w:style>
  <w:style w:type="character" w:customStyle="1" w:styleId="TL-Identifikace-doleChar">
    <w:name w:val="TL - Identifikace - dole Char"/>
    <w:link w:val="TL-Identifikace-dole"/>
    <w:rsid w:val="009B63B1"/>
    <w:rPr>
      <w:rFonts w:ascii="Arial" w:eastAsia="Times New Roman" w:hAnsi="Arial" w:cs="Arial"/>
      <w:lang w:eastAsia="ar-SA"/>
    </w:rPr>
  </w:style>
  <w:style w:type="paragraph" w:styleId="Rozloendokumentu">
    <w:name w:val="Document Map"/>
    <w:basedOn w:val="Normln"/>
    <w:link w:val="RozloendokumentuChar"/>
    <w:semiHidden/>
    <w:rsid w:val="009B63B1"/>
    <w:pPr>
      <w:shd w:val="clear" w:color="auto" w:fill="000080"/>
      <w:spacing w:after="0" w:line="240" w:lineRule="auto"/>
    </w:pPr>
    <w:rPr>
      <w:rFonts w:ascii="Tahoma" w:hAnsi="Tahoma" w:cs="Tahoma"/>
      <w:sz w:val="24"/>
      <w:lang w:val="cs-CZ"/>
    </w:rPr>
  </w:style>
  <w:style w:type="character" w:customStyle="1" w:styleId="RozloendokumentuChar">
    <w:name w:val="Rozložení dokumentu Char"/>
    <w:basedOn w:val="Standardnpsmoodstavce"/>
    <w:link w:val="Rozloendokumentu"/>
    <w:semiHidden/>
    <w:rsid w:val="009B63B1"/>
    <w:rPr>
      <w:rFonts w:ascii="Tahoma" w:eastAsia="Times New Roman" w:hAnsi="Tahoma" w:cs="Tahoma"/>
      <w:sz w:val="24"/>
      <w:szCs w:val="24"/>
      <w:shd w:val="clear" w:color="auto" w:fill="000080"/>
      <w:lang w:eastAsia="cs-CZ"/>
    </w:rPr>
  </w:style>
  <w:style w:type="paragraph" w:styleId="Zkladntextodsazen">
    <w:name w:val="Body Text Indent"/>
    <w:basedOn w:val="Normln"/>
    <w:link w:val="ZkladntextodsazenChar"/>
    <w:semiHidden/>
    <w:rsid w:val="009B63B1"/>
    <w:pPr>
      <w:spacing w:after="0" w:line="240" w:lineRule="auto"/>
      <w:ind w:left="360" w:hanging="360"/>
      <w:jc w:val="both"/>
    </w:pPr>
    <w:rPr>
      <w:rFonts w:ascii="Times New Roman" w:hAnsi="Times New Roman"/>
      <w:sz w:val="22"/>
      <w:lang w:val="cs-CZ"/>
    </w:rPr>
  </w:style>
  <w:style w:type="character" w:customStyle="1" w:styleId="ZkladntextodsazenChar">
    <w:name w:val="Základní text odsazený Char"/>
    <w:basedOn w:val="Standardnpsmoodstavce"/>
    <w:link w:val="Zkladntextodsazen"/>
    <w:semiHidden/>
    <w:rsid w:val="009B63B1"/>
    <w:rPr>
      <w:rFonts w:ascii="Times New Roman" w:eastAsia="Times New Roman" w:hAnsi="Times New Roman"/>
      <w:sz w:val="22"/>
      <w:szCs w:val="24"/>
      <w:lang w:eastAsia="cs-CZ"/>
    </w:rPr>
  </w:style>
  <w:style w:type="paragraph" w:styleId="Zkladntextodsazen2">
    <w:name w:val="Body Text Indent 2"/>
    <w:basedOn w:val="Normln"/>
    <w:link w:val="Zkladntextodsazen2Char"/>
    <w:semiHidden/>
    <w:rsid w:val="009B63B1"/>
    <w:pPr>
      <w:spacing w:after="0" w:line="240" w:lineRule="auto"/>
      <w:ind w:left="360" w:hanging="360"/>
      <w:jc w:val="both"/>
    </w:pPr>
    <w:rPr>
      <w:rFonts w:ascii="Times New Roman" w:hAnsi="Times New Roman"/>
      <w:sz w:val="24"/>
      <w:lang w:val="cs-CZ"/>
    </w:rPr>
  </w:style>
  <w:style w:type="character" w:customStyle="1" w:styleId="Zkladntextodsazen2Char">
    <w:name w:val="Základní text odsazený 2 Char"/>
    <w:basedOn w:val="Standardnpsmoodstavce"/>
    <w:link w:val="Zkladntextodsazen2"/>
    <w:semiHidden/>
    <w:rsid w:val="009B63B1"/>
    <w:rPr>
      <w:rFonts w:ascii="Times New Roman" w:eastAsia="Times New Roman" w:hAnsi="Times New Roman"/>
      <w:sz w:val="24"/>
      <w:szCs w:val="24"/>
      <w:lang w:eastAsia="cs-CZ"/>
    </w:rPr>
  </w:style>
  <w:style w:type="character" w:styleId="Sledovanodkaz">
    <w:name w:val="FollowedHyperlink"/>
    <w:semiHidden/>
    <w:rsid w:val="009B63B1"/>
    <w:rPr>
      <w:color w:val="800080"/>
      <w:u w:val="single"/>
    </w:rPr>
  </w:style>
  <w:style w:type="paragraph" w:styleId="Zkladntext3">
    <w:name w:val="Body Text 3"/>
    <w:basedOn w:val="Normln"/>
    <w:link w:val="Zkladntext3Char"/>
    <w:semiHidden/>
    <w:rsid w:val="009B63B1"/>
    <w:pPr>
      <w:spacing w:after="0" w:line="240" w:lineRule="auto"/>
      <w:jc w:val="both"/>
    </w:pPr>
    <w:rPr>
      <w:rFonts w:cs="Arial"/>
      <w:b/>
      <w:bCs/>
      <w:lang w:val="cs-CZ"/>
    </w:rPr>
  </w:style>
  <w:style w:type="character" w:customStyle="1" w:styleId="Zkladntext3Char">
    <w:name w:val="Základní text 3 Char"/>
    <w:basedOn w:val="Standardnpsmoodstavce"/>
    <w:link w:val="Zkladntext3"/>
    <w:semiHidden/>
    <w:rsid w:val="009B63B1"/>
    <w:rPr>
      <w:rFonts w:ascii="Arial" w:eastAsia="Times New Roman" w:hAnsi="Arial" w:cs="Arial"/>
      <w:b/>
      <w:bCs/>
      <w:szCs w:val="24"/>
      <w:lang w:eastAsia="cs-CZ"/>
    </w:rPr>
  </w:style>
  <w:style w:type="paragraph" w:styleId="Odstavecseseznamem">
    <w:name w:val="List Paragraph"/>
    <w:basedOn w:val="Normln"/>
    <w:uiPriority w:val="34"/>
    <w:qFormat/>
    <w:rsid w:val="009B63B1"/>
    <w:pPr>
      <w:spacing w:after="0" w:line="240" w:lineRule="auto"/>
      <w:ind w:left="720"/>
      <w:contextualSpacing/>
    </w:pPr>
    <w:rPr>
      <w:rFonts w:ascii="Times New Roman" w:hAnsi="Times New Roman"/>
      <w:sz w:val="24"/>
      <w:lang w:val="cs-CZ"/>
    </w:rPr>
  </w:style>
  <w:style w:type="paragraph" w:styleId="Textkomente">
    <w:name w:val="annotation text"/>
    <w:basedOn w:val="Normln"/>
    <w:link w:val="TextkomenteChar"/>
    <w:uiPriority w:val="99"/>
    <w:semiHidden/>
    <w:unhideWhenUsed/>
    <w:rsid w:val="009B63B1"/>
    <w:pPr>
      <w:spacing w:after="0" w:line="240" w:lineRule="auto"/>
    </w:pPr>
    <w:rPr>
      <w:rFonts w:ascii="Times New Roman" w:hAnsi="Times New Roman"/>
      <w:szCs w:val="20"/>
      <w:lang w:val="cs-CZ"/>
    </w:rPr>
  </w:style>
  <w:style w:type="character" w:customStyle="1" w:styleId="TextkomenteChar">
    <w:name w:val="Text komentáře Char"/>
    <w:basedOn w:val="Standardnpsmoodstavce"/>
    <w:link w:val="Textkomente"/>
    <w:uiPriority w:val="99"/>
    <w:semiHidden/>
    <w:rsid w:val="009B63B1"/>
    <w:rPr>
      <w:rFonts w:ascii="Times New Roman" w:eastAsia="Times New Roman" w:hAnsi="Times New Roman"/>
      <w:lang w:eastAsia="cs-CZ"/>
    </w:rPr>
  </w:style>
  <w:style w:type="paragraph" w:styleId="Pedmtkomente">
    <w:name w:val="annotation subject"/>
    <w:basedOn w:val="Textkomente"/>
    <w:next w:val="Textkomente"/>
    <w:link w:val="PedmtkomenteChar"/>
    <w:uiPriority w:val="99"/>
    <w:semiHidden/>
    <w:unhideWhenUsed/>
    <w:rsid w:val="009B63B1"/>
    <w:rPr>
      <w:b/>
      <w:bCs/>
    </w:rPr>
  </w:style>
  <w:style w:type="character" w:customStyle="1" w:styleId="PedmtkomenteChar">
    <w:name w:val="Předmět komentáře Char"/>
    <w:basedOn w:val="TextkomenteChar"/>
    <w:link w:val="Pedmtkomente"/>
    <w:uiPriority w:val="99"/>
    <w:semiHidden/>
    <w:rsid w:val="009B63B1"/>
    <w:rPr>
      <w:rFonts w:ascii="Times New Roman" w:eastAsia="Times New Roman" w:hAnsi="Times New Roman"/>
      <w:b/>
      <w:bCs/>
      <w:lang w:eastAsia="cs-CZ"/>
    </w:rPr>
  </w:style>
  <w:style w:type="paragraph" w:styleId="Normlnweb">
    <w:name w:val="Normal (Web)"/>
    <w:basedOn w:val="Normln"/>
    <w:uiPriority w:val="99"/>
    <w:semiHidden/>
    <w:unhideWhenUsed/>
    <w:rsid w:val="009B63B1"/>
    <w:pPr>
      <w:spacing w:after="0"/>
    </w:pPr>
    <w:rPr>
      <w:rFonts w:ascii="Times New Roman" w:hAnsi="Times New Roman"/>
      <w:sz w:val="24"/>
      <w:lang w:val="cs-CZ"/>
    </w:rPr>
  </w:style>
  <w:style w:type="character" w:styleId="Odkaznakoment">
    <w:name w:val="annotation reference"/>
    <w:basedOn w:val="Standardnpsmoodstavce"/>
    <w:uiPriority w:val="99"/>
    <w:semiHidden/>
    <w:unhideWhenUsed/>
    <w:rsid w:val="009B63B1"/>
    <w:rPr>
      <w:sz w:val="16"/>
      <w:szCs w:val="16"/>
    </w:rPr>
  </w:style>
  <w:style w:type="paragraph" w:styleId="Bezmezer">
    <w:name w:val="No Spacing"/>
    <w:uiPriority w:val="1"/>
    <w:qFormat/>
    <w:rsid w:val="009B63B1"/>
    <w:pPr>
      <w:spacing w:line="360" w:lineRule="auto"/>
      <w:ind w:firstLine="709"/>
      <w:jc w:val="both"/>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7459454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9" Type="http://schemas.openxmlformats.org/officeDocument/2006/relationships/chart" Target="charts/chart21.xml"/><Relationship Id="rId21" Type="http://schemas.openxmlformats.org/officeDocument/2006/relationships/chart" Target="charts/chart14.xml"/><Relationship Id="rId34" Type="http://schemas.openxmlformats.org/officeDocument/2006/relationships/footer" Target="footer5.xm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5.xml"/><Relationship Id="rId37" Type="http://schemas.openxmlformats.org/officeDocument/2006/relationships/chart" Target="charts/chart19.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2.xml"/><Relationship Id="rId36" Type="http://schemas.openxmlformats.org/officeDocument/2006/relationships/chart" Target="charts/chart18.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footer" Target="footer8.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chart" Target="charts/chart20.xml"/><Relationship Id="rId20" Type="http://schemas.openxmlformats.org/officeDocument/2006/relationships/chart" Target="charts/chart13.xml"/><Relationship Id="rId41"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EN_2017-08-14-3.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ABFS2\DATA\DATA\ZPRAC\TECHNOL\oddeleni_6302\2_Informa&#269;n&#237;%20spole&#269;nost\IS%20v%20&#269;&#237;slech\IS_2018\Rozvoj%20IS%20v%20&#268;R%20a%20zem&#237;ch%20EU\grafy\IS2018_Grafy_Shrnut&#237;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en-US" sz="800" b="1"/>
              <a:t> </a:t>
            </a:r>
            <a:r>
              <a:rPr lang="cs-CZ" sz="800" b="1"/>
              <a:t>A1</a:t>
            </a:r>
            <a:r>
              <a:rPr lang="en-US" sz="800" b="1"/>
              <a:t> </a:t>
            </a:r>
            <a:r>
              <a:rPr lang="cs-CZ" sz="800" b="1"/>
              <a:t>Fixed-telephone</a:t>
            </a:r>
            <a:r>
              <a:rPr lang="cs-CZ" sz="800" b="1" baseline="0"/>
              <a:t> voice subscriptions in the Czech Republic (only PSTN)</a:t>
            </a:r>
            <a:endParaRPr lang="en-US" sz="800" b="1"/>
          </a:p>
        </c:rich>
      </c:tx>
      <c:layout/>
      <c:overlay val="1"/>
    </c:title>
    <c:autoTitleDeleted val="0"/>
    <c:plotArea>
      <c:layout>
        <c:manualLayout>
          <c:layoutTarget val="inner"/>
          <c:xMode val="edge"/>
          <c:yMode val="edge"/>
          <c:x val="3.10394912985274E-2"/>
          <c:y val="0.14789325396825401"/>
          <c:w val="0.95492225540772901"/>
          <c:h val="0.65238174603174603"/>
        </c:manualLayout>
      </c:layout>
      <c:barChart>
        <c:barDir val="col"/>
        <c:grouping val="clustered"/>
        <c:varyColors val="0"/>
        <c:ser>
          <c:idx val="2"/>
          <c:order val="0"/>
          <c:tx>
            <c:strRef>
              <c:f>A_EN!$A$3</c:f>
              <c:strCache>
                <c:ptCount val="1"/>
                <c:pt idx="0">
                  <c:v> thousands</c:v>
                </c:pt>
              </c:strCache>
            </c:strRef>
          </c:tx>
          <c:spPr>
            <a:solidFill>
              <a:srgbClr val="009BB4"/>
            </a:solidFill>
            <a:ln w="25400">
              <a:noFill/>
            </a:ln>
          </c:spPr>
          <c:invertIfNegative val="0"/>
          <c:dLbls>
            <c:dLbl>
              <c:idx val="8"/>
              <c:layout>
                <c:manualLayout>
                  <c:x val="0"/>
                  <c:y val="0.10468055555555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270-4DC5-869B-4FDFE565F9C0}"/>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A_EN!$B$2:$J$2</c:f>
              <c:numCache>
                <c:formatCode>General</c:formatCode>
                <c:ptCount val="9"/>
                <c:pt idx="0">
                  <c:v>1984</c:v>
                </c:pt>
                <c:pt idx="1">
                  <c:v>1988</c:v>
                </c:pt>
                <c:pt idx="2">
                  <c:v>1992</c:v>
                </c:pt>
                <c:pt idx="3">
                  <c:v>1996</c:v>
                </c:pt>
                <c:pt idx="4">
                  <c:v>2000</c:v>
                </c:pt>
                <c:pt idx="5">
                  <c:v>2004</c:v>
                </c:pt>
                <c:pt idx="6">
                  <c:v>2008</c:v>
                </c:pt>
                <c:pt idx="7">
                  <c:v>2012</c:v>
                </c:pt>
                <c:pt idx="8">
                  <c:v>2016</c:v>
                </c:pt>
              </c:numCache>
            </c:numRef>
          </c:cat>
          <c:val>
            <c:numRef>
              <c:f>A_EN!$B$3:$J$3</c:f>
              <c:numCache>
                <c:formatCode>#,##0.0</c:formatCode>
                <c:ptCount val="9"/>
                <c:pt idx="0">
                  <c:v>1269.1690000000001</c:v>
                </c:pt>
                <c:pt idx="1">
                  <c:v>1495.4739999999999</c:v>
                </c:pt>
                <c:pt idx="2">
                  <c:v>1814.3489999999999</c:v>
                </c:pt>
                <c:pt idx="3">
                  <c:v>2753.9160000000002</c:v>
                </c:pt>
                <c:pt idx="4">
                  <c:v>3676.4259999999999</c:v>
                </c:pt>
                <c:pt idx="5">
                  <c:v>3423.7809999999999</c:v>
                </c:pt>
                <c:pt idx="6">
                  <c:v>2264.3510000000001</c:v>
                </c:pt>
                <c:pt idx="7">
                  <c:v>1514</c:v>
                </c:pt>
                <c:pt idx="8">
                  <c:v>832.20600000000002</c:v>
                </c:pt>
              </c:numCache>
            </c:numRef>
          </c:val>
          <c:extLst>
            <c:ext xmlns:c16="http://schemas.microsoft.com/office/drawing/2014/chart" uri="{C3380CC4-5D6E-409C-BE32-E72D297353CC}">
              <c16:uniqueId val="{00000001-8270-4DC5-869B-4FDFE565F9C0}"/>
            </c:ext>
          </c:extLst>
        </c:ser>
        <c:dLbls>
          <c:showLegendKey val="0"/>
          <c:showVal val="0"/>
          <c:showCatName val="0"/>
          <c:showSerName val="0"/>
          <c:showPercent val="0"/>
          <c:showBubbleSize val="0"/>
        </c:dLbls>
        <c:gapWidth val="40"/>
        <c:axId val="143077376"/>
        <c:axId val="132683968"/>
      </c:barChart>
      <c:lineChart>
        <c:grouping val="standard"/>
        <c:varyColors val="0"/>
        <c:ser>
          <c:idx val="0"/>
          <c:order val="1"/>
          <c:tx>
            <c:strRef>
              <c:f>A_EN!$A$4</c:f>
              <c:strCache>
                <c:ptCount val="1"/>
                <c:pt idx="0">
                  <c:v> per 100 inhabitants</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A_EN!$B$2:$J$2</c:f>
              <c:numCache>
                <c:formatCode>General</c:formatCode>
                <c:ptCount val="9"/>
                <c:pt idx="0">
                  <c:v>1984</c:v>
                </c:pt>
                <c:pt idx="1">
                  <c:v>1988</c:v>
                </c:pt>
                <c:pt idx="2">
                  <c:v>1992</c:v>
                </c:pt>
                <c:pt idx="3">
                  <c:v>1996</c:v>
                </c:pt>
                <c:pt idx="4">
                  <c:v>2000</c:v>
                </c:pt>
                <c:pt idx="5">
                  <c:v>2004</c:v>
                </c:pt>
                <c:pt idx="6">
                  <c:v>2008</c:v>
                </c:pt>
                <c:pt idx="7">
                  <c:v>2012</c:v>
                </c:pt>
                <c:pt idx="8">
                  <c:v>2016</c:v>
                </c:pt>
              </c:numCache>
            </c:numRef>
          </c:cat>
          <c:val>
            <c:numRef>
              <c:f>A_EN!$B$4:$J$4</c:f>
              <c:numCache>
                <c:formatCode>0.0</c:formatCode>
                <c:ptCount val="9"/>
                <c:pt idx="0">
                  <c:v>12.2549730074054</c:v>
                </c:pt>
                <c:pt idx="1">
                  <c:v>14.44015218089678</c:v>
                </c:pt>
                <c:pt idx="2" formatCode="#,##0.0">
                  <c:v>17.57120124675361</c:v>
                </c:pt>
                <c:pt idx="3" formatCode="#,##0.0">
                  <c:v>26.71335146676196</c:v>
                </c:pt>
                <c:pt idx="4" formatCode="#,##0.0">
                  <c:v>37.689460884070812</c:v>
                </c:pt>
                <c:pt idx="5" formatCode="#,##0.0">
                  <c:v>33.58177582019578</c:v>
                </c:pt>
                <c:pt idx="6" formatCode="#,##0.0">
                  <c:v>21.71109175611322</c:v>
                </c:pt>
                <c:pt idx="7" formatCode="#,##0">
                  <c:v>14.1</c:v>
                </c:pt>
                <c:pt idx="8" formatCode="#,##0">
                  <c:v>7.8667185943233742</c:v>
                </c:pt>
              </c:numCache>
            </c:numRef>
          </c:val>
          <c:smooth val="0"/>
          <c:extLst>
            <c:ext xmlns:c16="http://schemas.microsoft.com/office/drawing/2014/chart" uri="{C3380CC4-5D6E-409C-BE32-E72D297353CC}">
              <c16:uniqueId val="{00000002-8270-4DC5-869B-4FDFE565F9C0}"/>
            </c:ext>
          </c:extLst>
        </c:ser>
        <c:dLbls>
          <c:showLegendKey val="0"/>
          <c:showVal val="0"/>
          <c:showCatName val="0"/>
          <c:showSerName val="0"/>
          <c:showPercent val="0"/>
          <c:showBubbleSize val="0"/>
        </c:dLbls>
        <c:marker val="1"/>
        <c:smooth val="0"/>
        <c:axId val="143078400"/>
        <c:axId val="132683392"/>
      </c:lineChart>
      <c:catAx>
        <c:axId val="1430773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32683968"/>
        <c:crosses val="autoZero"/>
        <c:auto val="1"/>
        <c:lblAlgn val="ctr"/>
        <c:lblOffset val="140"/>
        <c:tickLblSkip val="1"/>
        <c:tickMarkSkip val="1"/>
        <c:noMultiLvlLbl val="0"/>
      </c:catAx>
      <c:valAx>
        <c:axId val="132683968"/>
        <c:scaling>
          <c:orientation val="minMax"/>
          <c:max val="5500"/>
          <c:min val="0"/>
        </c:scaling>
        <c:delete val="0"/>
        <c:axPos val="l"/>
        <c:numFmt formatCode="#,##0.0" sourceLinked="1"/>
        <c:majorTickMark val="none"/>
        <c:minorTickMark val="none"/>
        <c:tickLblPos val="none"/>
        <c:spPr>
          <a:ln w="9525">
            <a:noFill/>
          </a:ln>
        </c:spPr>
        <c:crossAx val="143077376"/>
        <c:crosses val="autoZero"/>
        <c:crossBetween val="between"/>
        <c:majorUnit val="1"/>
        <c:minorUnit val="0.1"/>
      </c:valAx>
      <c:catAx>
        <c:axId val="143078400"/>
        <c:scaling>
          <c:orientation val="minMax"/>
        </c:scaling>
        <c:delete val="1"/>
        <c:axPos val="b"/>
        <c:numFmt formatCode="General" sourceLinked="1"/>
        <c:majorTickMark val="out"/>
        <c:minorTickMark val="none"/>
        <c:tickLblPos val="none"/>
        <c:crossAx val="132683392"/>
        <c:crosses val="autoZero"/>
        <c:auto val="1"/>
        <c:lblAlgn val="ctr"/>
        <c:lblOffset val="100"/>
        <c:noMultiLvlLbl val="0"/>
      </c:catAx>
      <c:valAx>
        <c:axId val="132683392"/>
        <c:scaling>
          <c:orientation val="minMax"/>
          <c:max val="45"/>
          <c:min val="0"/>
        </c:scaling>
        <c:delete val="0"/>
        <c:axPos val="r"/>
        <c:numFmt formatCode="0.0" sourceLinked="1"/>
        <c:majorTickMark val="none"/>
        <c:minorTickMark val="none"/>
        <c:tickLblPos val="none"/>
        <c:crossAx val="143078400"/>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4.0574404761904798E-2"/>
          <c:y val="0.18042380952380899"/>
          <c:w val="0.300566798941799"/>
          <c:h val="0.182429365079365"/>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en-US" sz="800" b="1"/>
              <a:t> A</a:t>
            </a:r>
            <a:r>
              <a:rPr lang="cs-CZ" sz="800" b="1">
                <a:solidFill>
                  <a:sysClr val="windowText" lastClr="000000"/>
                </a:solidFill>
              </a:rPr>
              <a:t>10</a:t>
            </a:r>
            <a:r>
              <a:rPr lang="cs-CZ" sz="800" b="1" baseline="0">
                <a:solidFill>
                  <a:sysClr val="windowText" lastClr="000000"/>
                </a:solidFill>
              </a:rPr>
              <a:t> </a:t>
            </a:r>
            <a:r>
              <a:rPr lang="cs-CZ" sz="800" b="1">
                <a:solidFill>
                  <a:sysClr val="windowText" lastClr="000000"/>
                </a:solidFill>
              </a:rPr>
              <a:t>Telephone traffic from mobile network in </a:t>
            </a:r>
            <a:r>
              <a:rPr lang="cs-CZ" sz="800" b="1" baseline="0">
                <a:solidFill>
                  <a:sysClr val="windowText" lastClr="000000"/>
                </a:solidFill>
              </a:rPr>
              <a:t>the Czech Republic (billion called minutes)</a:t>
            </a:r>
            <a:endParaRPr lang="en-US" sz="800" b="1">
              <a:solidFill>
                <a:sysClr val="windowText" lastClr="000000"/>
              </a:solidFill>
            </a:endParaRPr>
          </a:p>
        </c:rich>
      </c:tx>
      <c:layout>
        <c:manualLayout>
          <c:xMode val="edge"/>
          <c:yMode val="edge"/>
          <c:x val="0.1208516186880008"/>
          <c:y val="1.7640573318632856E-2"/>
        </c:manualLayout>
      </c:layout>
      <c:overlay val="1"/>
    </c:title>
    <c:autoTitleDeleted val="0"/>
    <c:plotArea>
      <c:layout>
        <c:manualLayout>
          <c:layoutTarget val="inner"/>
          <c:xMode val="edge"/>
          <c:yMode val="edge"/>
          <c:x val="7.3443318563046298E-2"/>
          <c:y val="0.34466923076923101"/>
          <c:w val="0.88085251322751301"/>
          <c:h val="0.46086709401709403"/>
        </c:manualLayout>
      </c:layout>
      <c:lineChart>
        <c:grouping val="standard"/>
        <c:varyColors val="0"/>
        <c:ser>
          <c:idx val="4"/>
          <c:order val="0"/>
          <c:tx>
            <c:strRef>
              <c:f>A_EN!$A$130</c:f>
              <c:strCache>
                <c:ptCount val="1"/>
                <c:pt idx="0">
                  <c:v> to the same mobile carrier</c:v>
                </c:pt>
              </c:strCache>
            </c:strRef>
          </c:tx>
          <c:spPr>
            <a:ln w="19050">
              <a:solidFill>
                <a:srgbClr val="47E5FF"/>
              </a:solidFill>
            </a:ln>
          </c:spPr>
          <c:marker>
            <c:symbol val="diamond"/>
            <c:size val="4"/>
            <c:spPr>
              <a:solidFill>
                <a:srgbClr val="009BB4"/>
              </a:solidFill>
              <a:ln w="12700">
                <a:solidFill>
                  <a:srgbClr val="47E5FF"/>
                </a:solidFill>
              </a:ln>
            </c:spPr>
          </c:marker>
          <c:cat>
            <c:numRef>
              <c:f>A_EN!$B$129:$I$129</c:f>
              <c:numCache>
                <c:formatCode>General</c:formatCode>
                <c:ptCount val="8"/>
                <c:pt idx="0">
                  <c:v>2009</c:v>
                </c:pt>
                <c:pt idx="1">
                  <c:v>2010</c:v>
                </c:pt>
                <c:pt idx="2">
                  <c:v>2011</c:v>
                </c:pt>
                <c:pt idx="3">
                  <c:v>2012</c:v>
                </c:pt>
                <c:pt idx="4">
                  <c:v>2013</c:v>
                </c:pt>
                <c:pt idx="5">
                  <c:v>2014</c:v>
                </c:pt>
                <c:pt idx="6">
                  <c:v>2015</c:v>
                </c:pt>
                <c:pt idx="7">
                  <c:v>2016</c:v>
                </c:pt>
              </c:numCache>
            </c:numRef>
          </c:cat>
          <c:val>
            <c:numRef>
              <c:f>A_EN!$B$130:$I$130</c:f>
              <c:numCache>
                <c:formatCode>#,##0</c:formatCode>
                <c:ptCount val="8"/>
                <c:pt idx="0" formatCode="#,##0.0_ ;\-#,##0.0\ ">
                  <c:v>8.509639</c:v>
                </c:pt>
                <c:pt idx="1">
                  <c:v>9.3890100000000007</c:v>
                </c:pt>
                <c:pt idx="2">
                  <c:v>9.9192310000000035</c:v>
                </c:pt>
                <c:pt idx="3">
                  <c:v>10.391928999999999</c:v>
                </c:pt>
                <c:pt idx="4">
                  <c:v>11.254811999999999</c:v>
                </c:pt>
                <c:pt idx="5">
                  <c:v>12.082265</c:v>
                </c:pt>
                <c:pt idx="6">
                  <c:v>11.659977</c:v>
                </c:pt>
                <c:pt idx="7">
                  <c:v>11.543514999999999</c:v>
                </c:pt>
              </c:numCache>
            </c:numRef>
          </c:val>
          <c:smooth val="0"/>
          <c:extLst>
            <c:ext xmlns:c16="http://schemas.microsoft.com/office/drawing/2014/chart" uri="{C3380CC4-5D6E-409C-BE32-E72D297353CC}">
              <c16:uniqueId val="{00000000-C547-4DF5-B0D4-1FA2F1302A05}"/>
            </c:ext>
          </c:extLst>
        </c:ser>
        <c:ser>
          <c:idx val="1"/>
          <c:order val="1"/>
          <c:tx>
            <c:strRef>
              <c:f>A_EN!$A$131</c:f>
              <c:strCache>
                <c:ptCount val="1"/>
                <c:pt idx="0">
                  <c:v> to the different mobile carrier</c:v>
                </c:pt>
              </c:strCache>
            </c:strRef>
          </c:tx>
          <c:spPr>
            <a:ln w="19050">
              <a:solidFill>
                <a:srgbClr val="007D92"/>
              </a:solidFill>
            </a:ln>
          </c:spPr>
          <c:marker>
            <c:symbol val="circle"/>
            <c:size val="4"/>
            <c:spPr>
              <a:solidFill>
                <a:srgbClr val="47E5FF"/>
              </a:solidFill>
              <a:ln w="12700">
                <a:solidFill>
                  <a:srgbClr val="007D92"/>
                </a:solidFill>
              </a:ln>
            </c:spPr>
          </c:marker>
          <c:cat>
            <c:numRef>
              <c:f>A_EN!$B$129:$I$129</c:f>
              <c:numCache>
                <c:formatCode>General</c:formatCode>
                <c:ptCount val="8"/>
                <c:pt idx="0">
                  <c:v>2009</c:v>
                </c:pt>
                <c:pt idx="1">
                  <c:v>2010</c:v>
                </c:pt>
                <c:pt idx="2">
                  <c:v>2011</c:v>
                </c:pt>
                <c:pt idx="3">
                  <c:v>2012</c:v>
                </c:pt>
                <c:pt idx="4">
                  <c:v>2013</c:v>
                </c:pt>
                <c:pt idx="5">
                  <c:v>2014</c:v>
                </c:pt>
                <c:pt idx="6">
                  <c:v>2015</c:v>
                </c:pt>
                <c:pt idx="7">
                  <c:v>2016</c:v>
                </c:pt>
              </c:numCache>
            </c:numRef>
          </c:cat>
          <c:val>
            <c:numRef>
              <c:f>A_EN!$B$131:$I$131</c:f>
              <c:numCache>
                <c:formatCode>#,##0</c:formatCode>
                <c:ptCount val="8"/>
                <c:pt idx="0" formatCode="#,##0.0_ ;\-#,##0.0\ ">
                  <c:v>4.274076</c:v>
                </c:pt>
                <c:pt idx="1">
                  <c:v>4.5011429999999999</c:v>
                </c:pt>
                <c:pt idx="2">
                  <c:v>4.5116570000000014</c:v>
                </c:pt>
                <c:pt idx="3">
                  <c:v>4.7753690000000004</c:v>
                </c:pt>
                <c:pt idx="4">
                  <c:v>5.704599</c:v>
                </c:pt>
                <c:pt idx="5">
                  <c:v>7.2725990000000014</c:v>
                </c:pt>
                <c:pt idx="6">
                  <c:v>7.6939419999999936</c:v>
                </c:pt>
                <c:pt idx="7">
                  <c:v>8.1414260000000009</c:v>
                </c:pt>
              </c:numCache>
            </c:numRef>
          </c:val>
          <c:smooth val="0"/>
          <c:extLst>
            <c:ext xmlns:c16="http://schemas.microsoft.com/office/drawing/2014/chart" uri="{C3380CC4-5D6E-409C-BE32-E72D297353CC}">
              <c16:uniqueId val="{00000001-C547-4DF5-B0D4-1FA2F1302A05}"/>
            </c:ext>
          </c:extLst>
        </c:ser>
        <c:ser>
          <c:idx val="0"/>
          <c:order val="2"/>
          <c:tx>
            <c:strRef>
              <c:f>A_EN!$A$132</c:f>
              <c:strCache>
                <c:ptCount val="1"/>
                <c:pt idx="0">
                  <c:v> to fixed-telephoned network</c:v>
                </c:pt>
              </c:strCache>
            </c:strRef>
          </c:tx>
          <c:spPr>
            <a:ln w="19050">
              <a:solidFill>
                <a:srgbClr val="00C5E9"/>
              </a:solidFill>
            </a:ln>
          </c:spPr>
          <c:marker>
            <c:symbol val="triangle"/>
            <c:size val="4"/>
            <c:spPr>
              <a:solidFill>
                <a:srgbClr val="007D91"/>
              </a:solidFill>
              <a:ln w="12700">
                <a:solidFill>
                  <a:srgbClr val="00C5E9"/>
                </a:solidFill>
              </a:ln>
            </c:spPr>
          </c:marker>
          <c:cat>
            <c:numRef>
              <c:f>A_EN!$B$129:$I$129</c:f>
              <c:numCache>
                <c:formatCode>General</c:formatCode>
                <c:ptCount val="8"/>
                <c:pt idx="0">
                  <c:v>2009</c:v>
                </c:pt>
                <c:pt idx="1">
                  <c:v>2010</c:v>
                </c:pt>
                <c:pt idx="2">
                  <c:v>2011</c:v>
                </c:pt>
                <c:pt idx="3">
                  <c:v>2012</c:v>
                </c:pt>
                <c:pt idx="4">
                  <c:v>2013</c:v>
                </c:pt>
                <c:pt idx="5">
                  <c:v>2014</c:v>
                </c:pt>
                <c:pt idx="6">
                  <c:v>2015</c:v>
                </c:pt>
                <c:pt idx="7">
                  <c:v>2016</c:v>
                </c:pt>
              </c:numCache>
            </c:numRef>
          </c:cat>
          <c:val>
            <c:numRef>
              <c:f>A_EN!$B$132:$I$132</c:f>
              <c:numCache>
                <c:formatCode>#,##0</c:formatCode>
                <c:ptCount val="8"/>
                <c:pt idx="0" formatCode="#,##0.0_ ;\-#,##0.0\ ">
                  <c:v>0.75226599999999999</c:v>
                </c:pt>
                <c:pt idx="1">
                  <c:v>0.77874200000000005</c:v>
                </c:pt>
                <c:pt idx="2">
                  <c:v>0.77846599999999999</c:v>
                </c:pt>
                <c:pt idx="3">
                  <c:v>0.70779599999999998</c:v>
                </c:pt>
                <c:pt idx="4">
                  <c:v>0.75649900000000003</c:v>
                </c:pt>
                <c:pt idx="5">
                  <c:v>0.84187400000000001</c:v>
                </c:pt>
                <c:pt idx="6">
                  <c:v>0.82203700000000002</c:v>
                </c:pt>
                <c:pt idx="7">
                  <c:v>0.82619500000000001</c:v>
                </c:pt>
              </c:numCache>
            </c:numRef>
          </c:val>
          <c:smooth val="0"/>
          <c:extLst>
            <c:ext xmlns:c16="http://schemas.microsoft.com/office/drawing/2014/chart" uri="{C3380CC4-5D6E-409C-BE32-E72D297353CC}">
              <c16:uniqueId val="{00000002-C547-4DF5-B0D4-1FA2F1302A05}"/>
            </c:ext>
          </c:extLst>
        </c:ser>
        <c:dLbls>
          <c:showLegendKey val="0"/>
          <c:showVal val="0"/>
          <c:showCatName val="0"/>
          <c:showSerName val="0"/>
          <c:showPercent val="0"/>
          <c:showBubbleSize val="0"/>
        </c:dLbls>
        <c:marker val="1"/>
        <c:smooth val="0"/>
        <c:axId val="154162688"/>
        <c:axId val="151105472"/>
      </c:lineChart>
      <c:catAx>
        <c:axId val="1541626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1105472"/>
        <c:crosses val="autoZero"/>
        <c:auto val="1"/>
        <c:lblAlgn val="ctr"/>
        <c:lblOffset val="100"/>
        <c:tickMarkSkip val="1"/>
        <c:noMultiLvlLbl val="0"/>
      </c:catAx>
      <c:valAx>
        <c:axId val="151105472"/>
        <c:scaling>
          <c:orientation val="minMax"/>
          <c:max val="12.5"/>
          <c:min val="0"/>
        </c:scaling>
        <c:delete val="0"/>
        <c:axPos val="l"/>
        <c:majorGridlines>
          <c:spPr>
            <a:ln w="12700">
              <a:solidFill>
                <a:srgbClr val="A6A6A6">
                  <a:alpha val="39000"/>
                </a:srgbClr>
              </a:solidFill>
              <a:prstDash val="solid"/>
            </a:ln>
          </c:spPr>
        </c:majorGridlines>
        <c:numFmt formatCode="#,##0.0" sourceLinked="0"/>
        <c:majorTickMark val="out"/>
        <c:minorTickMark val="none"/>
        <c:tickLblPos val="nextTo"/>
        <c:spPr>
          <a:ln w="3175">
            <a:solidFill>
              <a:srgbClr val="C0C0C0"/>
            </a:solidFill>
            <a:prstDash val="solid"/>
          </a:ln>
        </c:spPr>
        <c:txPr>
          <a:bodyPr rot="0" vert="horz"/>
          <a:lstStyle/>
          <a:p>
            <a:pPr>
              <a:defRPr/>
            </a:pPr>
            <a:endParaRPr lang="cs-CZ"/>
          </a:p>
        </c:txPr>
        <c:crossAx val="154162688"/>
        <c:crosses val="autoZero"/>
        <c:crossBetween val="between"/>
        <c:majorUnit val="2.5"/>
        <c:minorUnit val="0.01"/>
      </c:valAx>
      <c:spPr>
        <a:noFill/>
        <a:ln w="12700">
          <a:solidFill>
            <a:srgbClr val="A6A6A6"/>
          </a:solidFill>
          <a:prstDash val="solid"/>
        </a:ln>
      </c:spPr>
    </c:plotArea>
    <c:legend>
      <c:legendPos val="t"/>
      <c:layout>
        <c:manualLayout>
          <c:xMode val="edge"/>
          <c:yMode val="edge"/>
          <c:x val="8.8647083709564367E-2"/>
          <c:y val="0.13975257327131921"/>
          <c:w val="0.88646230158730099"/>
          <c:h val="0.17930213675213699"/>
        </c:manualLayout>
      </c:layout>
      <c:overlay val="0"/>
      <c:spPr>
        <a:solidFill>
          <a:srgbClr val="FFFFFF"/>
        </a:solidFill>
        <a:ln w="12700">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38872296135399E-2"/>
          <c:y val="0.16301230158730201"/>
          <c:w val="0.95492225540772901"/>
          <c:h val="0.637262698412698"/>
        </c:manualLayout>
      </c:layout>
      <c:barChart>
        <c:barDir val="col"/>
        <c:grouping val="clustered"/>
        <c:varyColors val="0"/>
        <c:ser>
          <c:idx val="2"/>
          <c:order val="0"/>
          <c:tx>
            <c:strRef>
              <c:f>A_EN!$A$147</c:f>
              <c:strCache>
                <c:ptCount val="1"/>
                <c:pt idx="0">
                  <c:v>Average price per called minute</c:v>
                </c:pt>
              </c:strCache>
            </c:strRef>
          </c:tx>
          <c:spPr>
            <a:solidFill>
              <a:srgbClr val="009BB4"/>
            </a:solidFill>
            <a:ln w="25400">
              <a:noFill/>
            </a:ln>
          </c:spPr>
          <c:invertIfNegative val="0"/>
          <c:dLbls>
            <c:numFmt formatCode="#,##0.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A_EN!$B$146:$L$146</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A_EN!$B$147:$L$147</c:f>
              <c:numCache>
                <c:formatCode>0.00</c:formatCode>
                <c:ptCount val="11"/>
                <c:pt idx="0">
                  <c:v>4.84</c:v>
                </c:pt>
                <c:pt idx="1">
                  <c:v>4.43</c:v>
                </c:pt>
                <c:pt idx="2">
                  <c:v>3.81</c:v>
                </c:pt>
                <c:pt idx="3">
                  <c:v>3.17</c:v>
                </c:pt>
                <c:pt idx="4">
                  <c:v>2.99</c:v>
                </c:pt>
                <c:pt idx="5">
                  <c:v>2.4500000000000002</c:v>
                </c:pt>
                <c:pt idx="6">
                  <c:v>2.19</c:v>
                </c:pt>
                <c:pt idx="7">
                  <c:v>1.6</c:v>
                </c:pt>
                <c:pt idx="8">
                  <c:v>1.24</c:v>
                </c:pt>
                <c:pt idx="9">
                  <c:v>1.1000000000000001</c:v>
                </c:pt>
                <c:pt idx="10">
                  <c:v>0.98</c:v>
                </c:pt>
              </c:numCache>
            </c:numRef>
          </c:val>
          <c:extLst>
            <c:ext xmlns:c16="http://schemas.microsoft.com/office/drawing/2014/chart" uri="{C3380CC4-5D6E-409C-BE32-E72D297353CC}">
              <c16:uniqueId val="{00000000-84C3-4632-966B-FB30D8449C7F}"/>
            </c:ext>
          </c:extLst>
        </c:ser>
        <c:dLbls>
          <c:showLegendKey val="0"/>
          <c:showVal val="0"/>
          <c:showCatName val="0"/>
          <c:showSerName val="0"/>
          <c:showPercent val="0"/>
          <c:showBubbleSize val="0"/>
        </c:dLbls>
        <c:gapWidth val="40"/>
        <c:axId val="154163200"/>
        <c:axId val="151107200"/>
      </c:barChart>
      <c:catAx>
        <c:axId val="1541632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1107200"/>
        <c:crosses val="autoZero"/>
        <c:auto val="1"/>
        <c:lblAlgn val="ctr"/>
        <c:lblOffset val="140"/>
        <c:tickLblSkip val="1"/>
        <c:tickMarkSkip val="1"/>
        <c:noMultiLvlLbl val="0"/>
      </c:catAx>
      <c:valAx>
        <c:axId val="151107200"/>
        <c:scaling>
          <c:orientation val="minMax"/>
          <c:max val="5"/>
          <c:min val="0"/>
        </c:scaling>
        <c:delete val="0"/>
        <c:axPos val="l"/>
        <c:numFmt formatCode="0.00" sourceLinked="1"/>
        <c:majorTickMark val="none"/>
        <c:minorTickMark val="none"/>
        <c:tickLblPos val="none"/>
        <c:spPr>
          <a:ln w="9525">
            <a:noFill/>
          </a:ln>
        </c:spPr>
        <c:crossAx val="154163200"/>
        <c:crosses val="autoZero"/>
        <c:crossBetween val="between"/>
        <c:majorUnit val="1"/>
        <c:minorUnit val="0.1"/>
      </c:valAx>
      <c:spPr>
        <a:noFill/>
        <a:ln w="12700">
          <a:solidFill>
            <a:srgbClr val="969696"/>
          </a:solidFill>
          <a:prstDash val="solid"/>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 A12 Fixed broadband internet subscriptions in the Czech Republic</a:t>
            </a:r>
            <a:endParaRPr lang="en-US" sz="800" b="1"/>
          </a:p>
        </c:rich>
      </c:tx>
      <c:layout/>
      <c:overlay val="1"/>
    </c:title>
    <c:autoTitleDeleted val="0"/>
    <c:plotArea>
      <c:layout>
        <c:manualLayout>
          <c:layoutTarget val="inner"/>
          <c:xMode val="edge"/>
          <c:yMode val="edge"/>
          <c:x val="2.2538872296135399E-2"/>
          <c:y val="0.15293293650793699"/>
          <c:w val="0.95492225540772901"/>
          <c:h val="0.64734206349206302"/>
        </c:manualLayout>
      </c:layout>
      <c:barChart>
        <c:barDir val="col"/>
        <c:grouping val="clustered"/>
        <c:varyColors val="0"/>
        <c:ser>
          <c:idx val="2"/>
          <c:order val="0"/>
          <c:tx>
            <c:strRef>
              <c:f>A_EN!$A$150</c:f>
              <c:strCache>
                <c:ptCount val="1"/>
                <c:pt idx="0">
                  <c:v> thousands</c:v>
                </c:pt>
              </c:strCache>
            </c:strRef>
          </c:tx>
          <c:spPr>
            <a:solidFill>
              <a:srgbClr val="009BB4"/>
            </a:solidFill>
            <a:ln w="25400">
              <a:noFill/>
            </a:ln>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A_EN!$B$149:$G$149</c:f>
              <c:numCache>
                <c:formatCode>General</c:formatCode>
                <c:ptCount val="6"/>
                <c:pt idx="0">
                  <c:v>2006</c:v>
                </c:pt>
                <c:pt idx="1">
                  <c:v>2008</c:v>
                </c:pt>
                <c:pt idx="2">
                  <c:v>2010</c:v>
                </c:pt>
                <c:pt idx="3">
                  <c:v>2012</c:v>
                </c:pt>
                <c:pt idx="4" formatCode="@">
                  <c:v>2014</c:v>
                </c:pt>
                <c:pt idx="5">
                  <c:v>2016</c:v>
                </c:pt>
              </c:numCache>
            </c:numRef>
          </c:cat>
          <c:val>
            <c:numRef>
              <c:f>A_EN!$B$150:$G$150</c:f>
              <c:numCache>
                <c:formatCode>#,##0.00</c:formatCode>
                <c:ptCount val="6"/>
                <c:pt idx="0">
                  <c:v>1108.275182069307</c:v>
                </c:pt>
                <c:pt idx="1">
                  <c:v>1759.5840000000001</c:v>
                </c:pt>
                <c:pt idx="2">
                  <c:v>2214.7359999999999</c:v>
                </c:pt>
                <c:pt idx="3">
                  <c:v>2644.8090000000002</c:v>
                </c:pt>
                <c:pt idx="4">
                  <c:v>2943.422</c:v>
                </c:pt>
                <c:pt idx="5">
                  <c:v>3057.7840000000001</c:v>
                </c:pt>
              </c:numCache>
            </c:numRef>
          </c:val>
          <c:extLst>
            <c:ext xmlns:c16="http://schemas.microsoft.com/office/drawing/2014/chart" uri="{C3380CC4-5D6E-409C-BE32-E72D297353CC}">
              <c16:uniqueId val="{00000000-A656-4EF2-950F-735152D06AE9}"/>
            </c:ext>
          </c:extLst>
        </c:ser>
        <c:dLbls>
          <c:showLegendKey val="0"/>
          <c:showVal val="0"/>
          <c:showCatName val="0"/>
          <c:showSerName val="0"/>
          <c:showPercent val="0"/>
          <c:showBubbleSize val="0"/>
        </c:dLbls>
        <c:gapWidth val="40"/>
        <c:axId val="161232896"/>
        <c:axId val="151108928"/>
      </c:barChart>
      <c:lineChart>
        <c:grouping val="standard"/>
        <c:varyColors val="0"/>
        <c:ser>
          <c:idx val="0"/>
          <c:order val="1"/>
          <c:tx>
            <c:strRef>
              <c:f>A_EN!$A$151</c:f>
              <c:strCache>
                <c:ptCount val="1"/>
                <c:pt idx="0">
                  <c:v> per 100 inhabitants</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A_EN!$B$149:$G$149</c:f>
              <c:numCache>
                <c:formatCode>General</c:formatCode>
                <c:ptCount val="6"/>
                <c:pt idx="0">
                  <c:v>2006</c:v>
                </c:pt>
                <c:pt idx="1">
                  <c:v>2008</c:v>
                </c:pt>
                <c:pt idx="2">
                  <c:v>2010</c:v>
                </c:pt>
                <c:pt idx="3">
                  <c:v>2012</c:v>
                </c:pt>
                <c:pt idx="4" formatCode="@">
                  <c:v>2014</c:v>
                </c:pt>
                <c:pt idx="5">
                  <c:v>2016</c:v>
                </c:pt>
              </c:numCache>
            </c:numRef>
          </c:cat>
          <c:val>
            <c:numRef>
              <c:f>A_EN!$B$151:$G$151</c:f>
              <c:numCache>
                <c:formatCode>#,##0.00</c:formatCode>
                <c:ptCount val="6"/>
                <c:pt idx="0">
                  <c:v>10.77335297396896</c:v>
                </c:pt>
                <c:pt idx="1">
                  <c:v>16.809906279812392</c:v>
                </c:pt>
                <c:pt idx="2">
                  <c:v>21.027099234104611</c:v>
                </c:pt>
                <c:pt idx="3">
                  <c:v>25.150033876546729</c:v>
                </c:pt>
                <c:pt idx="4">
                  <c:v>27.930776146950041</c:v>
                </c:pt>
                <c:pt idx="5">
                  <c:v>28.904773878372069</c:v>
                </c:pt>
              </c:numCache>
            </c:numRef>
          </c:val>
          <c:smooth val="0"/>
          <c:extLst>
            <c:ext xmlns:c16="http://schemas.microsoft.com/office/drawing/2014/chart" uri="{C3380CC4-5D6E-409C-BE32-E72D297353CC}">
              <c16:uniqueId val="{00000001-A656-4EF2-950F-735152D06AE9}"/>
            </c:ext>
          </c:extLst>
        </c:ser>
        <c:dLbls>
          <c:showLegendKey val="0"/>
          <c:showVal val="0"/>
          <c:showCatName val="0"/>
          <c:showSerName val="0"/>
          <c:showPercent val="0"/>
          <c:showBubbleSize val="0"/>
        </c:dLbls>
        <c:marker val="1"/>
        <c:smooth val="0"/>
        <c:axId val="161234432"/>
        <c:axId val="161357824"/>
      </c:lineChart>
      <c:catAx>
        <c:axId val="161232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1108928"/>
        <c:crosses val="autoZero"/>
        <c:auto val="1"/>
        <c:lblAlgn val="ctr"/>
        <c:lblOffset val="140"/>
        <c:tickLblSkip val="1"/>
        <c:tickMarkSkip val="1"/>
        <c:noMultiLvlLbl val="0"/>
      </c:catAx>
      <c:valAx>
        <c:axId val="151108928"/>
        <c:scaling>
          <c:orientation val="minMax"/>
          <c:max val="4500"/>
          <c:min val="0"/>
        </c:scaling>
        <c:delete val="0"/>
        <c:axPos val="l"/>
        <c:numFmt formatCode="#,##0.00" sourceLinked="1"/>
        <c:majorTickMark val="none"/>
        <c:minorTickMark val="none"/>
        <c:tickLblPos val="none"/>
        <c:spPr>
          <a:ln w="9525">
            <a:noFill/>
          </a:ln>
        </c:spPr>
        <c:crossAx val="161232896"/>
        <c:crosses val="autoZero"/>
        <c:crossBetween val="between"/>
        <c:majorUnit val="500"/>
        <c:minorUnit val="0.1"/>
      </c:valAx>
      <c:catAx>
        <c:axId val="161234432"/>
        <c:scaling>
          <c:orientation val="minMax"/>
        </c:scaling>
        <c:delete val="1"/>
        <c:axPos val="b"/>
        <c:numFmt formatCode="General" sourceLinked="1"/>
        <c:majorTickMark val="out"/>
        <c:minorTickMark val="none"/>
        <c:tickLblPos val="none"/>
        <c:crossAx val="161357824"/>
        <c:crosses val="autoZero"/>
        <c:auto val="1"/>
        <c:lblAlgn val="ctr"/>
        <c:lblOffset val="100"/>
        <c:noMultiLvlLbl val="0"/>
      </c:catAx>
      <c:valAx>
        <c:axId val="161357824"/>
        <c:scaling>
          <c:orientation val="minMax"/>
          <c:max val="35"/>
          <c:min val="0"/>
        </c:scaling>
        <c:delete val="0"/>
        <c:axPos val="r"/>
        <c:numFmt formatCode="#,##0.00" sourceLinked="1"/>
        <c:majorTickMark val="none"/>
        <c:minorTickMark val="none"/>
        <c:tickLblPos val="none"/>
        <c:crossAx val="161234432"/>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3.6577050264550298E-2"/>
          <c:y val="0.175384126984127"/>
          <c:w val="0.48753888888888902"/>
          <c:h val="0.12228925925925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 A13 Fixed broadband internet subscriptions in the Czech Republic by technology (thous.)</a:t>
            </a:r>
            <a:endParaRPr lang="en-US" sz="800" b="1"/>
          </a:p>
        </c:rich>
      </c:tx>
      <c:layout/>
      <c:overlay val="1"/>
    </c:title>
    <c:autoTitleDeleted val="0"/>
    <c:plotArea>
      <c:layout>
        <c:manualLayout>
          <c:layoutTarget val="inner"/>
          <c:xMode val="edge"/>
          <c:yMode val="edge"/>
          <c:x val="0.14078558052434501"/>
          <c:y val="0.32049921058677"/>
          <c:w val="0.82836423220973798"/>
          <c:h val="0.48503699780076398"/>
        </c:manualLayout>
      </c:layout>
      <c:lineChart>
        <c:grouping val="standard"/>
        <c:varyColors val="0"/>
        <c:ser>
          <c:idx val="4"/>
          <c:order val="0"/>
          <c:tx>
            <c:strRef>
              <c:f>A_EN!$A$170</c:f>
              <c:strCache>
                <c:ptCount val="1"/>
                <c:pt idx="0">
                  <c:v> Fixed wireless access (Wi-Fi)</c:v>
                </c:pt>
              </c:strCache>
            </c:strRef>
          </c:tx>
          <c:spPr>
            <a:ln w="19050">
              <a:solidFill>
                <a:srgbClr val="47E5FF"/>
              </a:solidFill>
            </a:ln>
          </c:spPr>
          <c:marker>
            <c:symbol val="diamond"/>
            <c:size val="4"/>
            <c:spPr>
              <a:solidFill>
                <a:srgbClr val="009BB4"/>
              </a:solidFill>
              <a:ln w="12700">
                <a:solidFill>
                  <a:srgbClr val="47E5FF"/>
                </a:solidFill>
              </a:ln>
            </c:spPr>
          </c:marker>
          <c:cat>
            <c:numRef>
              <c:f>A_EN!$B$169:$G$169</c:f>
              <c:numCache>
                <c:formatCode>0</c:formatCode>
                <c:ptCount val="6"/>
                <c:pt idx="0">
                  <c:v>2006</c:v>
                </c:pt>
                <c:pt idx="1">
                  <c:v>2008</c:v>
                </c:pt>
                <c:pt idx="2">
                  <c:v>2010</c:v>
                </c:pt>
                <c:pt idx="3">
                  <c:v>2012</c:v>
                </c:pt>
                <c:pt idx="4">
                  <c:v>2014</c:v>
                </c:pt>
                <c:pt idx="5">
                  <c:v>2016</c:v>
                </c:pt>
              </c:numCache>
            </c:numRef>
          </c:cat>
          <c:val>
            <c:numRef>
              <c:f>A_EN!$B$170:$G$170</c:f>
              <c:numCache>
                <c:formatCode>#,##0.0</c:formatCode>
                <c:ptCount val="6"/>
                <c:pt idx="0">
                  <c:v>350</c:v>
                </c:pt>
                <c:pt idx="1">
                  <c:v>609.9</c:v>
                </c:pt>
                <c:pt idx="2">
                  <c:v>729.89800000000002</c:v>
                </c:pt>
                <c:pt idx="3">
                  <c:v>941.17</c:v>
                </c:pt>
                <c:pt idx="4">
                  <c:v>1059.8889999999999</c:v>
                </c:pt>
                <c:pt idx="5">
                  <c:v>1067.6030000000001</c:v>
                </c:pt>
              </c:numCache>
            </c:numRef>
          </c:val>
          <c:smooth val="0"/>
          <c:extLst>
            <c:ext xmlns:c16="http://schemas.microsoft.com/office/drawing/2014/chart" uri="{C3380CC4-5D6E-409C-BE32-E72D297353CC}">
              <c16:uniqueId val="{00000000-5629-46ED-91AD-2DF52DBDAF04}"/>
            </c:ext>
          </c:extLst>
        </c:ser>
        <c:ser>
          <c:idx val="1"/>
          <c:order val="1"/>
          <c:tx>
            <c:strRef>
              <c:f>A_EN!$A$171</c:f>
              <c:strCache>
                <c:ptCount val="1"/>
                <c:pt idx="0">
                  <c:v> xDSL line</c:v>
                </c:pt>
              </c:strCache>
            </c:strRef>
          </c:tx>
          <c:spPr>
            <a:ln w="19050">
              <a:solidFill>
                <a:srgbClr val="007D92"/>
              </a:solidFill>
            </a:ln>
          </c:spPr>
          <c:marker>
            <c:symbol val="circle"/>
            <c:size val="4"/>
            <c:spPr>
              <a:solidFill>
                <a:srgbClr val="47E5FF"/>
              </a:solidFill>
              <a:ln w="12700">
                <a:solidFill>
                  <a:srgbClr val="007D91"/>
                </a:solidFill>
              </a:ln>
            </c:spPr>
          </c:marker>
          <c:cat>
            <c:numRef>
              <c:f>A_EN!$B$169:$G$169</c:f>
              <c:numCache>
                <c:formatCode>0</c:formatCode>
                <c:ptCount val="6"/>
                <c:pt idx="0">
                  <c:v>2006</c:v>
                </c:pt>
                <c:pt idx="1">
                  <c:v>2008</c:v>
                </c:pt>
                <c:pt idx="2">
                  <c:v>2010</c:v>
                </c:pt>
                <c:pt idx="3">
                  <c:v>2012</c:v>
                </c:pt>
                <c:pt idx="4">
                  <c:v>2014</c:v>
                </c:pt>
                <c:pt idx="5">
                  <c:v>2016</c:v>
                </c:pt>
              </c:numCache>
            </c:numRef>
          </c:cat>
          <c:val>
            <c:numRef>
              <c:f>A_EN!$B$171:$G$171</c:f>
              <c:numCache>
                <c:formatCode>#,##0.0</c:formatCode>
                <c:ptCount val="6"/>
                <c:pt idx="0">
                  <c:v>493</c:v>
                </c:pt>
                <c:pt idx="1">
                  <c:v>697.17200000000003</c:v>
                </c:pt>
                <c:pt idx="2">
                  <c:v>809.11099999999999</c:v>
                </c:pt>
                <c:pt idx="3">
                  <c:v>915.70699999999999</c:v>
                </c:pt>
                <c:pt idx="4">
                  <c:v>952.51</c:v>
                </c:pt>
                <c:pt idx="5">
                  <c:v>904.35499999999888</c:v>
                </c:pt>
              </c:numCache>
            </c:numRef>
          </c:val>
          <c:smooth val="0"/>
          <c:extLst>
            <c:ext xmlns:c16="http://schemas.microsoft.com/office/drawing/2014/chart" uri="{C3380CC4-5D6E-409C-BE32-E72D297353CC}">
              <c16:uniqueId val="{00000001-5629-46ED-91AD-2DF52DBDAF04}"/>
            </c:ext>
          </c:extLst>
        </c:ser>
        <c:ser>
          <c:idx val="0"/>
          <c:order val="2"/>
          <c:tx>
            <c:strRef>
              <c:f>A_EN!$A$172</c:f>
              <c:strCache>
                <c:ptCount val="1"/>
                <c:pt idx="0">
                  <c:v> Cable (CATV)</c:v>
                </c:pt>
              </c:strCache>
            </c:strRef>
          </c:tx>
          <c:spPr>
            <a:ln w="19050">
              <a:solidFill>
                <a:srgbClr val="00C5E9"/>
              </a:solidFill>
            </a:ln>
          </c:spPr>
          <c:marker>
            <c:symbol val="triangle"/>
            <c:size val="4"/>
            <c:spPr>
              <a:solidFill>
                <a:srgbClr val="007D91"/>
              </a:solidFill>
              <a:ln w="12700">
                <a:solidFill>
                  <a:srgbClr val="00C5E9"/>
                </a:solidFill>
              </a:ln>
            </c:spPr>
          </c:marker>
          <c:cat>
            <c:numRef>
              <c:f>A_EN!$B$169:$G$169</c:f>
              <c:numCache>
                <c:formatCode>0</c:formatCode>
                <c:ptCount val="6"/>
                <c:pt idx="0">
                  <c:v>2006</c:v>
                </c:pt>
                <c:pt idx="1">
                  <c:v>2008</c:v>
                </c:pt>
                <c:pt idx="2">
                  <c:v>2010</c:v>
                </c:pt>
                <c:pt idx="3">
                  <c:v>2012</c:v>
                </c:pt>
                <c:pt idx="4">
                  <c:v>2014</c:v>
                </c:pt>
                <c:pt idx="5">
                  <c:v>2016</c:v>
                </c:pt>
              </c:numCache>
            </c:numRef>
          </c:cat>
          <c:val>
            <c:numRef>
              <c:f>A_EN!$B$172:$G$172</c:f>
              <c:numCache>
                <c:formatCode>#,##0.0</c:formatCode>
                <c:ptCount val="6"/>
                <c:pt idx="0">
                  <c:v>229.78</c:v>
                </c:pt>
                <c:pt idx="1">
                  <c:v>382.512</c:v>
                </c:pt>
                <c:pt idx="2">
                  <c:v>480.35199999999992</c:v>
                </c:pt>
                <c:pt idx="3">
                  <c:v>516.12800000000004</c:v>
                </c:pt>
                <c:pt idx="4">
                  <c:v>527.05899999999997</c:v>
                </c:pt>
                <c:pt idx="5">
                  <c:v>563.274</c:v>
                </c:pt>
              </c:numCache>
            </c:numRef>
          </c:val>
          <c:smooth val="0"/>
          <c:extLst>
            <c:ext xmlns:c16="http://schemas.microsoft.com/office/drawing/2014/chart" uri="{C3380CC4-5D6E-409C-BE32-E72D297353CC}">
              <c16:uniqueId val="{00000002-5629-46ED-91AD-2DF52DBDAF04}"/>
            </c:ext>
          </c:extLst>
        </c:ser>
        <c:ser>
          <c:idx val="2"/>
          <c:order val="3"/>
          <c:tx>
            <c:strRef>
              <c:f>A_EN!$A$173</c:f>
              <c:strCache>
                <c:ptCount val="1"/>
                <c:pt idx="0">
                  <c:v> Fibre (FTTx)</c:v>
                </c:pt>
              </c:strCache>
            </c:strRef>
          </c:tx>
          <c:spPr>
            <a:ln w="19050">
              <a:solidFill>
                <a:srgbClr val="009BB4"/>
              </a:solidFill>
            </a:ln>
          </c:spPr>
          <c:marker>
            <c:symbol val="square"/>
            <c:size val="4"/>
            <c:spPr>
              <a:solidFill>
                <a:srgbClr val="00C5E9"/>
              </a:solidFill>
              <a:ln w="12700">
                <a:solidFill>
                  <a:srgbClr val="009BB4"/>
                </a:solidFill>
              </a:ln>
            </c:spPr>
          </c:marker>
          <c:cat>
            <c:numRef>
              <c:f>A_EN!$B$169:$G$169</c:f>
              <c:numCache>
                <c:formatCode>0</c:formatCode>
                <c:ptCount val="6"/>
                <c:pt idx="0">
                  <c:v>2006</c:v>
                </c:pt>
                <c:pt idx="1">
                  <c:v>2008</c:v>
                </c:pt>
                <c:pt idx="2">
                  <c:v>2010</c:v>
                </c:pt>
                <c:pt idx="3">
                  <c:v>2012</c:v>
                </c:pt>
                <c:pt idx="4">
                  <c:v>2014</c:v>
                </c:pt>
                <c:pt idx="5">
                  <c:v>2016</c:v>
                </c:pt>
              </c:numCache>
            </c:numRef>
          </c:cat>
          <c:val>
            <c:numRef>
              <c:f>A_EN!$B$173:$G$173</c:f>
              <c:numCache>
                <c:formatCode>#,##0.0</c:formatCode>
                <c:ptCount val="6"/>
                <c:pt idx="0">
                  <c:v>35.495182069307567</c:v>
                </c:pt>
                <c:pt idx="1">
                  <c:v>70</c:v>
                </c:pt>
                <c:pt idx="2">
                  <c:v>195.375</c:v>
                </c:pt>
                <c:pt idx="3">
                  <c:v>271.80399999999992</c:v>
                </c:pt>
                <c:pt idx="4">
                  <c:v>403.964</c:v>
                </c:pt>
                <c:pt idx="5">
                  <c:v>522.55199999999888</c:v>
                </c:pt>
              </c:numCache>
            </c:numRef>
          </c:val>
          <c:smooth val="0"/>
          <c:extLst>
            <c:ext xmlns:c16="http://schemas.microsoft.com/office/drawing/2014/chart" uri="{C3380CC4-5D6E-409C-BE32-E72D297353CC}">
              <c16:uniqueId val="{00000003-5629-46ED-91AD-2DF52DBDAF04}"/>
            </c:ext>
          </c:extLst>
        </c:ser>
        <c:dLbls>
          <c:showLegendKey val="0"/>
          <c:showVal val="0"/>
          <c:showCatName val="0"/>
          <c:showSerName val="0"/>
          <c:showPercent val="0"/>
          <c:showBubbleSize val="0"/>
        </c:dLbls>
        <c:marker val="1"/>
        <c:smooth val="0"/>
        <c:axId val="161296896"/>
        <c:axId val="161359552"/>
      </c:lineChart>
      <c:catAx>
        <c:axId val="161296896"/>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61359552"/>
        <c:crosses val="autoZero"/>
        <c:auto val="1"/>
        <c:lblAlgn val="ctr"/>
        <c:lblOffset val="100"/>
        <c:tickLblSkip val="1"/>
        <c:tickMarkSkip val="1"/>
        <c:noMultiLvlLbl val="0"/>
      </c:catAx>
      <c:valAx>
        <c:axId val="161359552"/>
        <c:scaling>
          <c:orientation val="minMax"/>
          <c:max val="1100"/>
          <c:min val="0"/>
        </c:scaling>
        <c:delete val="0"/>
        <c:axPos val="l"/>
        <c:majorGridlines>
          <c:spPr>
            <a:ln w="12700">
              <a:solidFill>
                <a:srgbClr val="A6A6A6">
                  <a:alpha val="39000"/>
                </a:srgbClr>
              </a:solidFill>
              <a:prstDash val="solid"/>
            </a:ln>
          </c:spPr>
        </c:majorGridlines>
        <c:numFmt formatCode="#,##0" sourceLinked="0"/>
        <c:majorTickMark val="out"/>
        <c:minorTickMark val="none"/>
        <c:tickLblPos val="nextTo"/>
        <c:spPr>
          <a:ln w="3175">
            <a:solidFill>
              <a:srgbClr val="C0C0C0"/>
            </a:solidFill>
            <a:prstDash val="solid"/>
          </a:ln>
        </c:spPr>
        <c:txPr>
          <a:bodyPr rot="0" vert="horz"/>
          <a:lstStyle/>
          <a:p>
            <a:pPr>
              <a:defRPr/>
            </a:pPr>
            <a:endParaRPr lang="cs-CZ"/>
          </a:p>
        </c:txPr>
        <c:crossAx val="161296896"/>
        <c:crosses val="autoZero"/>
        <c:crossBetween val="between"/>
        <c:majorUnit val="100"/>
        <c:minorUnit val="0.01"/>
      </c:valAx>
      <c:spPr>
        <a:noFill/>
        <a:ln w="12700">
          <a:noFill/>
          <a:prstDash val="solid"/>
        </a:ln>
      </c:spPr>
    </c:plotArea>
    <c:legend>
      <c:legendPos val="t"/>
      <c:layout>
        <c:manualLayout>
          <c:xMode val="edge"/>
          <c:yMode val="edge"/>
          <c:x val="0.13147987812638967"/>
          <c:y val="0.145814646651615"/>
          <c:w val="0.82897373051784817"/>
          <c:h val="0.144971825483342"/>
        </c:manualLayout>
      </c:layout>
      <c:overlay val="0"/>
      <c:spPr>
        <a:solidFill>
          <a:srgbClr val="FFFFFF"/>
        </a:solid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cs-CZ" sz="800"/>
              <a:t>Figure </a:t>
            </a:r>
            <a:r>
              <a:rPr lang="en-US" sz="800"/>
              <a:t>A1</a:t>
            </a:r>
            <a:r>
              <a:rPr lang="cs-CZ" sz="800"/>
              <a:t>4</a:t>
            </a:r>
            <a:r>
              <a:rPr lang="en-US" sz="800"/>
              <a:t> </a:t>
            </a:r>
            <a:r>
              <a:rPr lang="cs-CZ" sz="800"/>
              <a:t>Fixed broadband subscriptions per 100</a:t>
            </a:r>
            <a:r>
              <a:rPr lang="cs-CZ" sz="800" baseline="0"/>
              <a:t> inhabitants in EU countries</a:t>
            </a:r>
            <a:endParaRPr lang="en-US" sz="800"/>
          </a:p>
        </c:rich>
      </c:tx>
      <c:layout/>
      <c:overlay val="0"/>
    </c:title>
    <c:autoTitleDeleted val="0"/>
    <c:plotArea>
      <c:layout>
        <c:manualLayout>
          <c:layoutTarget val="inner"/>
          <c:xMode val="edge"/>
          <c:yMode val="edge"/>
          <c:x val="6.1240466798159102E-2"/>
          <c:y val="0.10207385657318502"/>
          <c:w val="0.91664217619986899"/>
          <c:h val="0.63352200043613349"/>
        </c:manualLayout>
      </c:layout>
      <c:barChart>
        <c:barDir val="col"/>
        <c:grouping val="clustered"/>
        <c:varyColors val="0"/>
        <c:ser>
          <c:idx val="0"/>
          <c:order val="0"/>
          <c:tx>
            <c:strRef>
              <c:f>A_EN!$C$192</c:f>
              <c:strCache>
                <c:ptCount val="1"/>
                <c:pt idx="0">
                  <c:v> 2016</c:v>
                </c:pt>
              </c:strCache>
            </c:strRef>
          </c:tx>
          <c:spPr>
            <a:solidFill>
              <a:srgbClr val="009BB4"/>
            </a:solidFill>
          </c:spPr>
          <c:invertIfNegative val="0"/>
          <c:dPt>
            <c:idx val="10"/>
            <c:invertIfNegative val="0"/>
            <c:bubble3D val="0"/>
            <c:spPr>
              <a:solidFill>
                <a:srgbClr val="009BB4"/>
              </a:solidFill>
              <a:ln>
                <a:solidFill>
                  <a:srgbClr val="FF0000"/>
                </a:solidFill>
              </a:ln>
            </c:spPr>
            <c:extLst>
              <c:ext xmlns:c16="http://schemas.microsoft.com/office/drawing/2014/chart" uri="{C3380CC4-5D6E-409C-BE32-E72D297353CC}">
                <c16:uniqueId val="{00000001-4F9E-47EF-AA40-F1F57601C079}"/>
              </c:ext>
            </c:extLst>
          </c:dPt>
          <c:dPt>
            <c:idx val="14"/>
            <c:invertIfNegative val="0"/>
            <c:bubble3D val="0"/>
            <c:spPr>
              <a:solidFill>
                <a:srgbClr val="009BB4"/>
              </a:solidFill>
              <a:ln>
                <a:noFill/>
              </a:ln>
            </c:spPr>
            <c:extLst>
              <c:ext xmlns:c16="http://schemas.microsoft.com/office/drawing/2014/chart" uri="{C3380CC4-5D6E-409C-BE32-E72D297353CC}">
                <c16:uniqueId val="{00000003-4F9E-47EF-AA40-F1F57601C079}"/>
              </c:ext>
            </c:extLst>
          </c:dPt>
          <c:dPt>
            <c:idx val="19"/>
            <c:invertIfNegative val="0"/>
            <c:bubble3D val="0"/>
            <c:spPr>
              <a:solidFill>
                <a:srgbClr val="009BB4"/>
              </a:solidFill>
              <a:ln>
                <a:solidFill>
                  <a:srgbClr val="FF0000"/>
                </a:solidFill>
              </a:ln>
            </c:spPr>
            <c:extLst>
              <c:ext xmlns:c16="http://schemas.microsoft.com/office/drawing/2014/chart" uri="{C3380CC4-5D6E-409C-BE32-E72D297353CC}">
                <c16:uniqueId val="{00000005-4F9E-47EF-AA40-F1F57601C079}"/>
              </c:ext>
            </c:extLst>
          </c:dPt>
          <c:dLbls>
            <c:numFmt formatCode="#,##0.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A_EN!$B$193:$B$221</c:f>
              <c:strCache>
                <c:ptCount val="29"/>
                <c:pt idx="0">
                  <c:v>Netherlands</c:v>
                </c:pt>
                <c:pt idx="1">
                  <c:v>Denmark</c:v>
                </c:pt>
                <c:pt idx="2">
                  <c:v>France</c:v>
                </c:pt>
                <c:pt idx="3">
                  <c:v>Malta</c:v>
                </c:pt>
                <c:pt idx="4">
                  <c:v>Germany</c:v>
                </c:pt>
                <c:pt idx="5">
                  <c:v>United Kingdom</c:v>
                </c:pt>
                <c:pt idx="6">
                  <c:v>Belgium</c:v>
                </c:pt>
                <c:pt idx="7">
                  <c:v>Sweden</c:v>
                </c:pt>
                <c:pt idx="8">
                  <c:v>Luxembourg</c:v>
                </c:pt>
                <c:pt idx="9">
                  <c:v>Greece</c:v>
                </c:pt>
                <c:pt idx="10">
                  <c:v>EU28</c:v>
                </c:pt>
                <c:pt idx="11">
                  <c:v>Cyprus</c:v>
                </c:pt>
                <c:pt idx="12">
                  <c:v>Portugal</c:v>
                </c:pt>
                <c:pt idx="13">
                  <c:v>Estonia</c:v>
                </c:pt>
                <c:pt idx="14">
                  <c:v>Finland</c:v>
                </c:pt>
                <c:pt idx="15">
                  <c:v>Slovenia</c:v>
                </c:pt>
                <c:pt idx="16">
                  <c:v>Spain</c:v>
                </c:pt>
                <c:pt idx="17">
                  <c:v>Lithuania</c:v>
                </c:pt>
                <c:pt idx="18">
                  <c:v>Ireland</c:v>
                </c:pt>
                <c:pt idx="19">
                  <c:v>Czech Republic</c:v>
                </c:pt>
                <c:pt idx="20">
                  <c:v>Austria</c:v>
                </c:pt>
                <c:pt idx="21">
                  <c:v>Hungary</c:v>
                </c:pt>
                <c:pt idx="22">
                  <c:v>Latvia</c:v>
                </c:pt>
                <c:pt idx="23">
                  <c:v>Italy</c:v>
                </c:pt>
                <c:pt idx="24">
                  <c:v>Slovakia</c:v>
                </c:pt>
                <c:pt idx="25">
                  <c:v>Croatia</c:v>
                </c:pt>
                <c:pt idx="26">
                  <c:v>Bulgaria</c:v>
                </c:pt>
                <c:pt idx="27">
                  <c:v>Romania</c:v>
                </c:pt>
                <c:pt idx="28">
                  <c:v>Poland</c:v>
                </c:pt>
              </c:strCache>
            </c:strRef>
          </c:cat>
          <c:val>
            <c:numRef>
              <c:f>A_EN!$C$193:$C$221</c:f>
              <c:numCache>
                <c:formatCode>0.0</c:formatCode>
                <c:ptCount val="29"/>
                <c:pt idx="0">
                  <c:v>44.341099999999997</c:v>
                </c:pt>
                <c:pt idx="1">
                  <c:v>43.103200000000001</c:v>
                </c:pt>
                <c:pt idx="2">
                  <c:v>41.743699999999997</c:v>
                </c:pt>
                <c:pt idx="3">
                  <c:v>39.431800000000003</c:v>
                </c:pt>
                <c:pt idx="4">
                  <c:v>38.877800000000001</c:v>
                </c:pt>
                <c:pt idx="5">
                  <c:v>38.495200000000011</c:v>
                </c:pt>
                <c:pt idx="6">
                  <c:v>37.777500000000003</c:v>
                </c:pt>
                <c:pt idx="7">
                  <c:v>37.351499999999987</c:v>
                </c:pt>
                <c:pt idx="8">
                  <c:v>35.246400000000001</c:v>
                </c:pt>
                <c:pt idx="9">
                  <c:v>33.492600000000003</c:v>
                </c:pt>
                <c:pt idx="10">
                  <c:v>33.197200000000002</c:v>
                </c:pt>
                <c:pt idx="11">
                  <c:v>32.827599999999997</c:v>
                </c:pt>
                <c:pt idx="12">
                  <c:v>32.724800000000002</c:v>
                </c:pt>
                <c:pt idx="13">
                  <c:v>31.496099999999981</c:v>
                </c:pt>
                <c:pt idx="14">
                  <c:v>31.202200000000001</c:v>
                </c:pt>
                <c:pt idx="15">
                  <c:v>30.3658</c:v>
                </c:pt>
                <c:pt idx="16">
                  <c:v>30.020700000000001</c:v>
                </c:pt>
                <c:pt idx="17">
                  <c:v>29.710799999999999</c:v>
                </c:pt>
                <c:pt idx="18">
                  <c:v>29.436699999999981</c:v>
                </c:pt>
                <c:pt idx="19">
                  <c:v>29.123999999999999</c:v>
                </c:pt>
                <c:pt idx="20">
                  <c:v>29.101400000000009</c:v>
                </c:pt>
                <c:pt idx="21">
                  <c:v>28.630600000000001</c:v>
                </c:pt>
                <c:pt idx="22">
                  <c:v>26.011700000000001</c:v>
                </c:pt>
                <c:pt idx="23">
                  <c:v>25.659600000000001</c:v>
                </c:pt>
                <c:pt idx="24">
                  <c:v>25.1356</c:v>
                </c:pt>
                <c:pt idx="25">
                  <c:v>24.907599999999999</c:v>
                </c:pt>
                <c:pt idx="26">
                  <c:v>23.73</c:v>
                </c:pt>
                <c:pt idx="27">
                  <c:v>21.715299999999999</c:v>
                </c:pt>
                <c:pt idx="28">
                  <c:v>18.428100000000001</c:v>
                </c:pt>
              </c:numCache>
            </c:numRef>
          </c:val>
          <c:extLst>
            <c:ext xmlns:c16="http://schemas.microsoft.com/office/drawing/2014/chart" uri="{C3380CC4-5D6E-409C-BE32-E72D297353CC}">
              <c16:uniqueId val="{00000006-4F9E-47EF-AA40-F1F57601C079}"/>
            </c:ext>
          </c:extLst>
        </c:ser>
        <c:dLbls>
          <c:showLegendKey val="0"/>
          <c:showVal val="0"/>
          <c:showCatName val="0"/>
          <c:showSerName val="0"/>
          <c:showPercent val="0"/>
          <c:showBubbleSize val="0"/>
        </c:dLbls>
        <c:gapWidth val="50"/>
        <c:axId val="161297408"/>
        <c:axId val="161360704"/>
      </c:barChart>
      <c:barChart>
        <c:barDir val="col"/>
        <c:grouping val="clustered"/>
        <c:varyColors val="0"/>
        <c:ser>
          <c:idx val="1"/>
          <c:order val="1"/>
          <c:tx>
            <c:strRef>
              <c:f>A_EN!$D$192</c:f>
              <c:strCache>
                <c:ptCount val="1"/>
                <c:pt idx="0">
                  <c:v> 2006</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A_EN!$B$193:$B$221</c:f>
              <c:strCache>
                <c:ptCount val="29"/>
                <c:pt idx="0">
                  <c:v>Netherlands</c:v>
                </c:pt>
                <c:pt idx="1">
                  <c:v>Denmark</c:v>
                </c:pt>
                <c:pt idx="2">
                  <c:v>France</c:v>
                </c:pt>
                <c:pt idx="3">
                  <c:v>Malta</c:v>
                </c:pt>
                <c:pt idx="4">
                  <c:v>Germany</c:v>
                </c:pt>
                <c:pt idx="5">
                  <c:v>United Kingdom</c:v>
                </c:pt>
                <c:pt idx="6">
                  <c:v>Belgium</c:v>
                </c:pt>
                <c:pt idx="7">
                  <c:v>Sweden</c:v>
                </c:pt>
                <c:pt idx="8">
                  <c:v>Luxembourg</c:v>
                </c:pt>
                <c:pt idx="9">
                  <c:v>Greece</c:v>
                </c:pt>
                <c:pt idx="10">
                  <c:v>EU28</c:v>
                </c:pt>
                <c:pt idx="11">
                  <c:v>Cyprus</c:v>
                </c:pt>
                <c:pt idx="12">
                  <c:v>Portugal</c:v>
                </c:pt>
                <c:pt idx="13">
                  <c:v>Estonia</c:v>
                </c:pt>
                <c:pt idx="14">
                  <c:v>Finland</c:v>
                </c:pt>
                <c:pt idx="15">
                  <c:v>Slovenia</c:v>
                </c:pt>
                <c:pt idx="16">
                  <c:v>Spain</c:v>
                </c:pt>
                <c:pt idx="17">
                  <c:v>Lithuania</c:v>
                </c:pt>
                <c:pt idx="18">
                  <c:v>Ireland</c:v>
                </c:pt>
                <c:pt idx="19">
                  <c:v>Czech Republic</c:v>
                </c:pt>
                <c:pt idx="20">
                  <c:v>Austria</c:v>
                </c:pt>
                <c:pt idx="21">
                  <c:v>Hungary</c:v>
                </c:pt>
                <c:pt idx="22">
                  <c:v>Latvia</c:v>
                </c:pt>
                <c:pt idx="23">
                  <c:v>Italy</c:v>
                </c:pt>
                <c:pt idx="24">
                  <c:v>Slovakia</c:v>
                </c:pt>
                <c:pt idx="25">
                  <c:v>Croatia</c:v>
                </c:pt>
                <c:pt idx="26">
                  <c:v>Bulgaria</c:v>
                </c:pt>
                <c:pt idx="27">
                  <c:v>Romania</c:v>
                </c:pt>
                <c:pt idx="28">
                  <c:v>Poland</c:v>
                </c:pt>
              </c:strCache>
            </c:strRef>
          </c:cat>
          <c:val>
            <c:numRef>
              <c:f>A_EN!$D$193:$D$221</c:f>
              <c:numCache>
                <c:formatCode>0.0</c:formatCode>
                <c:ptCount val="29"/>
                <c:pt idx="0">
                  <c:v>31.784800000000001</c:v>
                </c:pt>
                <c:pt idx="1">
                  <c:v>31.8871</c:v>
                </c:pt>
                <c:pt idx="2">
                  <c:v>20.379899999999999</c:v>
                </c:pt>
                <c:pt idx="3">
                  <c:v>12.485900000000001</c:v>
                </c:pt>
                <c:pt idx="4">
                  <c:v>18.073</c:v>
                </c:pt>
                <c:pt idx="5">
                  <c:v>21.686699999999981</c:v>
                </c:pt>
                <c:pt idx="6">
                  <c:v>22.8247</c:v>
                </c:pt>
                <c:pt idx="7">
                  <c:v>25.949400000000001</c:v>
                </c:pt>
                <c:pt idx="8">
                  <c:v>21.494</c:v>
                </c:pt>
                <c:pt idx="9">
                  <c:v>4.3863500000000002</c:v>
                </c:pt>
                <c:pt idx="10">
                  <c:v>18.125399999999999</c:v>
                </c:pt>
                <c:pt idx="11">
                  <c:v>8.8744800000000001</c:v>
                </c:pt>
                <c:pt idx="12">
                  <c:v>13.9155</c:v>
                </c:pt>
                <c:pt idx="13">
                  <c:v>18.36</c:v>
                </c:pt>
                <c:pt idx="14">
                  <c:v>27.139600000000009</c:v>
                </c:pt>
                <c:pt idx="15">
                  <c:v>13.959300000000001</c:v>
                </c:pt>
                <c:pt idx="16">
                  <c:v>15.203200000000001</c:v>
                </c:pt>
                <c:pt idx="17">
                  <c:v>10.565200000000001</c:v>
                </c:pt>
                <c:pt idx="18">
                  <c:v>12.290900000000001</c:v>
                </c:pt>
                <c:pt idx="19">
                  <c:v>10.6088</c:v>
                </c:pt>
                <c:pt idx="20">
                  <c:v>17.427600000000002</c:v>
                </c:pt>
                <c:pt idx="21">
                  <c:v>9.8821400000000033</c:v>
                </c:pt>
                <c:pt idx="22">
                  <c:v>10.526899999999999</c:v>
                </c:pt>
                <c:pt idx="23">
                  <c:v>14.419600000000001</c:v>
                </c:pt>
                <c:pt idx="24">
                  <c:v>5.1887999999999996</c:v>
                </c:pt>
                <c:pt idx="25">
                  <c:v>7.4861000000000004</c:v>
                </c:pt>
                <c:pt idx="26">
                  <c:v>4.4771099999999997</c:v>
                </c:pt>
                <c:pt idx="27">
                  <c:v>5.0275999999999899</c:v>
                </c:pt>
                <c:pt idx="28">
                  <c:v>5.2269699999999997</c:v>
                </c:pt>
              </c:numCache>
            </c:numRef>
          </c:val>
          <c:extLst>
            <c:ext xmlns:c16="http://schemas.microsoft.com/office/drawing/2014/chart" uri="{C3380CC4-5D6E-409C-BE32-E72D297353CC}">
              <c16:uniqueId val="{00000007-4F9E-47EF-AA40-F1F57601C079}"/>
            </c:ext>
          </c:extLst>
        </c:ser>
        <c:dLbls>
          <c:showLegendKey val="0"/>
          <c:showVal val="0"/>
          <c:showCatName val="0"/>
          <c:showSerName val="0"/>
          <c:showPercent val="0"/>
          <c:showBubbleSize val="0"/>
        </c:dLbls>
        <c:gapWidth val="200"/>
        <c:axId val="161559040"/>
        <c:axId val="161361280"/>
      </c:barChart>
      <c:catAx>
        <c:axId val="161297408"/>
        <c:scaling>
          <c:orientation val="minMax"/>
        </c:scaling>
        <c:delete val="0"/>
        <c:axPos val="b"/>
        <c:numFmt formatCode="General" sourceLinked="0"/>
        <c:majorTickMark val="out"/>
        <c:minorTickMark val="none"/>
        <c:tickLblPos val="nextTo"/>
        <c:spPr>
          <a:ln w="3175">
            <a:solidFill>
              <a:schemeClr val="tx1"/>
            </a:solidFill>
          </a:ln>
        </c:spPr>
        <c:crossAx val="161360704"/>
        <c:crosses val="autoZero"/>
        <c:auto val="1"/>
        <c:lblAlgn val="ctr"/>
        <c:lblOffset val="100"/>
        <c:noMultiLvlLbl val="0"/>
      </c:catAx>
      <c:valAx>
        <c:axId val="161360704"/>
        <c:scaling>
          <c:orientation val="minMax"/>
          <c:max val="50"/>
          <c:min val="0"/>
        </c:scaling>
        <c:delete val="1"/>
        <c:axPos val="l"/>
        <c:numFmt formatCode="#,##0" sourceLinked="0"/>
        <c:majorTickMark val="out"/>
        <c:minorTickMark val="none"/>
        <c:tickLblPos val="nextTo"/>
        <c:crossAx val="161297408"/>
        <c:crosses val="autoZero"/>
        <c:crossBetween val="between"/>
        <c:majorUnit val="5"/>
        <c:minorUnit val="0.05"/>
      </c:valAx>
      <c:valAx>
        <c:axId val="161361280"/>
        <c:scaling>
          <c:orientation val="minMax"/>
          <c:max val="50"/>
        </c:scaling>
        <c:delete val="0"/>
        <c:axPos val="r"/>
        <c:numFmt formatCode="0.0" sourceLinked="1"/>
        <c:majorTickMark val="none"/>
        <c:minorTickMark val="none"/>
        <c:tickLblPos val="none"/>
        <c:crossAx val="161559040"/>
        <c:crosses val="max"/>
        <c:crossBetween val="between"/>
      </c:valAx>
      <c:catAx>
        <c:axId val="161559040"/>
        <c:scaling>
          <c:orientation val="minMax"/>
        </c:scaling>
        <c:delete val="1"/>
        <c:axPos val="b"/>
        <c:numFmt formatCode="General" sourceLinked="0"/>
        <c:majorTickMark val="out"/>
        <c:minorTickMark val="none"/>
        <c:tickLblPos val="none"/>
        <c:crossAx val="16136128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8087689020381299"/>
          <c:y val="0.17449509803921601"/>
          <c:w val="7.1111932938855996E-2"/>
          <c:h val="0.116382098765432"/>
        </c:manualLayout>
      </c:layout>
      <c:overlay val="0"/>
      <c:spPr>
        <a:solidFill>
          <a:srgbClr val="FFFFFF"/>
        </a:solidFill>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387802607076403E-2"/>
          <c:y val="0.12827777777777799"/>
          <c:w val="0.80887331667273599"/>
          <c:h val="0.59745146198830401"/>
        </c:manualLayout>
      </c:layout>
      <c:barChart>
        <c:barDir val="col"/>
        <c:grouping val="stacked"/>
        <c:varyColors val="0"/>
        <c:ser>
          <c:idx val="0"/>
          <c:order val="0"/>
          <c:tx>
            <c:strRef>
              <c:f>A_EN!$B$244</c:f>
              <c:strCache>
                <c:ptCount val="1"/>
                <c:pt idx="0">
                  <c:v> xDSL</c:v>
                </c:pt>
              </c:strCache>
            </c:strRef>
          </c:tx>
          <c:spPr>
            <a:solidFill>
              <a:srgbClr val="ABF3FF"/>
            </a:solidFill>
            <a:ln>
              <a:noFill/>
            </a:ln>
          </c:spPr>
          <c:invertIfNegative val="0"/>
          <c:dPt>
            <c:idx val="7"/>
            <c:invertIfNegative val="0"/>
            <c:bubble3D val="0"/>
            <c:spPr>
              <a:solidFill>
                <a:srgbClr val="ABF3FF"/>
              </a:solidFill>
              <a:ln>
                <a:solidFill>
                  <a:srgbClr val="FF0000"/>
                </a:solidFill>
              </a:ln>
            </c:spPr>
            <c:extLst>
              <c:ext xmlns:c16="http://schemas.microsoft.com/office/drawing/2014/chart" uri="{C3380CC4-5D6E-409C-BE32-E72D297353CC}">
                <c16:uniqueId val="{00000001-7EEB-4CC4-87C5-CEB29083ECBA}"/>
              </c:ext>
            </c:extLst>
          </c:dPt>
          <c:dPt>
            <c:idx val="8"/>
            <c:invertIfNegative val="0"/>
            <c:bubble3D val="0"/>
            <c:spPr>
              <a:solidFill>
                <a:srgbClr val="ABF3FF"/>
              </a:solidFill>
              <a:ln w="19050">
                <a:noFill/>
              </a:ln>
            </c:spPr>
            <c:extLst>
              <c:ext xmlns:c16="http://schemas.microsoft.com/office/drawing/2014/chart" uri="{C3380CC4-5D6E-409C-BE32-E72D297353CC}">
                <c16:uniqueId val="{00000003-7EEB-4CC4-87C5-CEB29083ECBA}"/>
              </c:ext>
            </c:extLst>
          </c:dPt>
          <c:dPt>
            <c:idx val="11"/>
            <c:invertIfNegative val="0"/>
            <c:bubble3D val="0"/>
            <c:extLst>
              <c:ext xmlns:c16="http://schemas.microsoft.com/office/drawing/2014/chart" uri="{C3380CC4-5D6E-409C-BE32-E72D297353CC}">
                <c16:uniqueId val="{00000004-7EEB-4CC4-87C5-CEB29083ECBA}"/>
              </c:ext>
            </c:extLst>
          </c:dPt>
          <c:dPt>
            <c:idx val="12"/>
            <c:invertIfNegative val="0"/>
            <c:bubble3D val="0"/>
            <c:extLst>
              <c:ext xmlns:c16="http://schemas.microsoft.com/office/drawing/2014/chart" uri="{C3380CC4-5D6E-409C-BE32-E72D297353CC}">
                <c16:uniqueId val="{00000005-7EEB-4CC4-87C5-CEB29083ECBA}"/>
              </c:ext>
            </c:extLst>
          </c:dPt>
          <c:dPt>
            <c:idx val="13"/>
            <c:invertIfNegative val="0"/>
            <c:bubble3D val="0"/>
            <c:spPr>
              <a:solidFill>
                <a:srgbClr val="ABF3FF"/>
              </a:solidFill>
              <a:ln w="19050">
                <a:noFill/>
              </a:ln>
            </c:spPr>
            <c:extLst>
              <c:ext xmlns:c16="http://schemas.microsoft.com/office/drawing/2014/chart" uri="{C3380CC4-5D6E-409C-BE32-E72D297353CC}">
                <c16:uniqueId val="{00000007-7EEB-4CC4-87C5-CEB29083ECBA}"/>
              </c:ext>
            </c:extLst>
          </c:dPt>
          <c:dPt>
            <c:idx val="16"/>
            <c:invertIfNegative val="0"/>
            <c:bubble3D val="0"/>
            <c:spPr>
              <a:solidFill>
                <a:srgbClr val="ABF3FF"/>
              </a:solidFill>
              <a:ln>
                <a:solidFill>
                  <a:srgbClr val="FF0000"/>
                </a:solidFill>
              </a:ln>
            </c:spPr>
            <c:extLst>
              <c:ext xmlns:c16="http://schemas.microsoft.com/office/drawing/2014/chart" uri="{C3380CC4-5D6E-409C-BE32-E72D297353CC}">
                <c16:uniqueId val="{00000009-7EEB-4CC4-87C5-CEB29083ECBA}"/>
              </c:ext>
            </c:extLst>
          </c:dPt>
          <c:dPt>
            <c:idx val="17"/>
            <c:invertIfNegative val="0"/>
            <c:bubble3D val="0"/>
            <c:extLst>
              <c:ext xmlns:c16="http://schemas.microsoft.com/office/drawing/2014/chart" uri="{C3380CC4-5D6E-409C-BE32-E72D297353CC}">
                <c16:uniqueId val="{0000000A-7EEB-4CC4-87C5-CEB29083ECBA}"/>
              </c:ext>
            </c:extLst>
          </c:dPt>
          <c:dPt>
            <c:idx val="26"/>
            <c:invertIfNegative val="0"/>
            <c:bubble3D val="0"/>
            <c:spPr>
              <a:solidFill>
                <a:srgbClr val="ABF3FF"/>
              </a:solidFill>
              <a:ln>
                <a:solidFill>
                  <a:srgbClr val="FF0000"/>
                </a:solidFill>
              </a:ln>
            </c:spPr>
            <c:extLst>
              <c:ext xmlns:c16="http://schemas.microsoft.com/office/drawing/2014/chart" uri="{C3380CC4-5D6E-409C-BE32-E72D297353CC}">
                <c16:uniqueId val="{0000000C-7EEB-4CC4-87C5-CEB29083ECBA}"/>
              </c:ext>
            </c:extLst>
          </c:dPt>
          <c:dLbls>
            <c:spPr>
              <a:noFill/>
              <a:ln>
                <a:noFill/>
              </a:ln>
              <a:effectLst/>
            </c:spPr>
            <c:txPr>
              <a:bodyPr rot="-5400000" vert="horz"/>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A_EN!$A$245:$A$270</c:f>
              <c:strCache>
                <c:ptCount val="26"/>
                <c:pt idx="0">
                  <c:v>Netherlands</c:v>
                </c:pt>
                <c:pt idx="1">
                  <c:v>Denmark</c:v>
                </c:pt>
                <c:pt idx="2">
                  <c:v>France</c:v>
                </c:pt>
                <c:pt idx="3">
                  <c:v>Germany</c:v>
                </c:pt>
                <c:pt idx="4">
                  <c:v>United Kingdom</c:v>
                </c:pt>
                <c:pt idx="5">
                  <c:v>Belgium</c:v>
                </c:pt>
                <c:pt idx="6">
                  <c:v>Sweden</c:v>
                </c:pt>
                <c:pt idx="7">
                  <c:v>EU28</c:v>
                </c:pt>
                <c:pt idx="8">
                  <c:v>Portugal</c:v>
                </c:pt>
                <c:pt idx="9">
                  <c:v>Greece</c:v>
                </c:pt>
                <c:pt idx="10">
                  <c:v>Estonia</c:v>
                </c:pt>
                <c:pt idx="11">
                  <c:v>Finland</c:v>
                </c:pt>
                <c:pt idx="12">
                  <c:v>Slovenia</c:v>
                </c:pt>
                <c:pt idx="13">
                  <c:v>Spain</c:v>
                </c:pt>
                <c:pt idx="14">
                  <c:v>Lithuania</c:v>
                </c:pt>
                <c:pt idx="15">
                  <c:v>Ireland</c:v>
                </c:pt>
                <c:pt idx="16">
                  <c:v>Czech Republic</c:v>
                </c:pt>
                <c:pt idx="17">
                  <c:v>Hungary</c:v>
                </c:pt>
                <c:pt idx="18">
                  <c:v>Austria</c:v>
                </c:pt>
                <c:pt idx="19">
                  <c:v>Latvia</c:v>
                </c:pt>
                <c:pt idx="20">
                  <c:v>Italy</c:v>
                </c:pt>
                <c:pt idx="21">
                  <c:v>Croatia</c:v>
                </c:pt>
                <c:pt idx="22">
                  <c:v>Slovakia</c:v>
                </c:pt>
                <c:pt idx="23">
                  <c:v>Bulgaria</c:v>
                </c:pt>
                <c:pt idx="24">
                  <c:v>Romania</c:v>
                </c:pt>
                <c:pt idx="25">
                  <c:v>Poland</c:v>
                </c:pt>
              </c:strCache>
            </c:strRef>
          </c:cat>
          <c:val>
            <c:numRef>
              <c:f>A_EN!$B$245:$B$270</c:f>
              <c:numCache>
                <c:formatCode>#,##0.0</c:formatCode>
                <c:ptCount val="26"/>
                <c:pt idx="0">
                  <c:v>16.388684978745829</c:v>
                </c:pt>
                <c:pt idx="1">
                  <c:v>18.36745234047693</c:v>
                </c:pt>
                <c:pt idx="2">
                  <c:v>33.536416252669753</c:v>
                </c:pt>
                <c:pt idx="3">
                  <c:v>29.298780565220319</c:v>
                </c:pt>
                <c:pt idx="4">
                  <c:v>20.625225894089141</c:v>
                </c:pt>
                <c:pt idx="5">
                  <c:v>18.193317902140791</c:v>
                </c:pt>
                <c:pt idx="6">
                  <c:v>9.7470371891001477</c:v>
                </c:pt>
                <c:pt idx="7">
                  <c:v>20.122948585829558</c:v>
                </c:pt>
                <c:pt idx="8">
                  <c:v>8.8271203736887198</c:v>
                </c:pt>
                <c:pt idx="9">
                  <c:v>32.211923121080673</c:v>
                </c:pt>
                <c:pt idx="10">
                  <c:v>10.537532325238001</c:v>
                </c:pt>
                <c:pt idx="11">
                  <c:v>13.63587135471219</c:v>
                </c:pt>
                <c:pt idx="12">
                  <c:v>11.5123904282383</c:v>
                </c:pt>
                <c:pt idx="13">
                  <c:v>13.6407133784084</c:v>
                </c:pt>
                <c:pt idx="14">
                  <c:v>5.4085809021166966</c:v>
                </c:pt>
                <c:pt idx="15">
                  <c:v>19.764739388558539</c:v>
                </c:pt>
                <c:pt idx="16">
                  <c:v>8.5731839014934277</c:v>
                </c:pt>
                <c:pt idx="17">
                  <c:v>8.0588265630816966</c:v>
                </c:pt>
                <c:pt idx="18">
                  <c:v>18.75085297671513</c:v>
                </c:pt>
                <c:pt idx="19">
                  <c:v>6.5899529568187249</c:v>
                </c:pt>
                <c:pt idx="20">
                  <c:v>23.94889087718709</c:v>
                </c:pt>
                <c:pt idx="21">
                  <c:v>19.423178936050789</c:v>
                </c:pt>
                <c:pt idx="22">
                  <c:v>8.9484476925795402</c:v>
                </c:pt>
                <c:pt idx="23">
                  <c:v>2.6839817855837782</c:v>
                </c:pt>
                <c:pt idx="24">
                  <c:v>4.510538255906793</c:v>
                </c:pt>
                <c:pt idx="25">
                  <c:v>6.5293695834677381</c:v>
                </c:pt>
              </c:numCache>
            </c:numRef>
          </c:val>
          <c:extLst>
            <c:ext xmlns:c16="http://schemas.microsoft.com/office/drawing/2014/chart" uri="{C3380CC4-5D6E-409C-BE32-E72D297353CC}">
              <c16:uniqueId val="{0000000D-7EEB-4CC4-87C5-CEB29083ECBA}"/>
            </c:ext>
          </c:extLst>
        </c:ser>
        <c:ser>
          <c:idx val="1"/>
          <c:order val="1"/>
          <c:tx>
            <c:strRef>
              <c:f>A_EN!$C$244</c:f>
              <c:strCache>
                <c:ptCount val="1"/>
                <c:pt idx="0">
                  <c:v> Cable modem (CATV)</c:v>
                </c:pt>
              </c:strCache>
            </c:strRef>
          </c:tx>
          <c:spPr>
            <a:solidFill>
              <a:srgbClr val="47E5FF"/>
            </a:solidFill>
          </c:spPr>
          <c:invertIfNegative val="0"/>
          <c:dPt>
            <c:idx val="7"/>
            <c:invertIfNegative val="0"/>
            <c:bubble3D val="0"/>
            <c:spPr>
              <a:solidFill>
                <a:srgbClr val="47E5FF"/>
              </a:solidFill>
              <a:ln>
                <a:solidFill>
                  <a:srgbClr val="FF0000"/>
                </a:solidFill>
              </a:ln>
            </c:spPr>
            <c:extLst>
              <c:ext xmlns:c16="http://schemas.microsoft.com/office/drawing/2014/chart" uri="{C3380CC4-5D6E-409C-BE32-E72D297353CC}">
                <c16:uniqueId val="{0000000F-7EEB-4CC4-87C5-CEB29083ECBA}"/>
              </c:ext>
            </c:extLst>
          </c:dPt>
          <c:dPt>
            <c:idx val="16"/>
            <c:invertIfNegative val="0"/>
            <c:bubble3D val="0"/>
            <c:spPr>
              <a:solidFill>
                <a:srgbClr val="47E5FF"/>
              </a:solidFill>
              <a:ln>
                <a:solidFill>
                  <a:srgbClr val="FF0000"/>
                </a:solidFill>
              </a:ln>
            </c:spPr>
            <c:extLst>
              <c:ext xmlns:c16="http://schemas.microsoft.com/office/drawing/2014/chart" uri="{C3380CC4-5D6E-409C-BE32-E72D297353CC}">
                <c16:uniqueId val="{00000011-7EEB-4CC4-87C5-CEB29083ECBA}"/>
              </c:ext>
            </c:extLst>
          </c:dPt>
          <c:dLbls>
            <c:dLbl>
              <c:idx val="14"/>
              <c:delete val="1"/>
              <c:extLst>
                <c:ext xmlns:c15="http://schemas.microsoft.com/office/drawing/2012/chart" uri="{CE6537A1-D6FC-4f65-9D91-7224C49458BB}"/>
                <c:ext xmlns:c16="http://schemas.microsoft.com/office/drawing/2014/chart" uri="{C3380CC4-5D6E-409C-BE32-E72D297353CC}">
                  <c16:uniqueId val="{00000012-7EEB-4CC4-87C5-CEB29083ECBA}"/>
                </c:ext>
              </c:extLst>
            </c:dLbl>
            <c:dLbl>
              <c:idx val="16"/>
              <c:layout>
                <c:manualLayout>
                  <c:x val="0"/>
                  <c:y val="-6.807913557130710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7EEB-4CC4-87C5-CEB29083ECBA}"/>
                </c:ext>
              </c:extLst>
            </c:dLbl>
            <c:dLbl>
              <c:idx val="19"/>
              <c:delete val="1"/>
              <c:extLst>
                <c:ext xmlns:c15="http://schemas.microsoft.com/office/drawing/2012/chart" uri="{CE6537A1-D6FC-4f65-9D91-7224C49458BB}"/>
                <c:ext xmlns:c16="http://schemas.microsoft.com/office/drawing/2014/chart" uri="{C3380CC4-5D6E-409C-BE32-E72D297353CC}">
                  <c16:uniqueId val="{00000013-7EEB-4CC4-87C5-CEB29083ECBA}"/>
                </c:ext>
              </c:extLst>
            </c:dLbl>
            <c:dLbl>
              <c:idx val="23"/>
              <c:layout>
                <c:manualLayout>
                  <c:x val="0"/>
                  <c:y val="-1.485380116959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7EEB-4CC4-87C5-CEB29083ECBA}"/>
                </c:ext>
              </c:extLst>
            </c:dLbl>
            <c:spPr>
              <a:noFill/>
              <a:ln>
                <a:noFill/>
              </a:ln>
              <a:effectLst/>
            </c:spPr>
            <c:txPr>
              <a:bodyPr rot="-5400000" vert="horz"/>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A_EN!$A$245:$A$270</c:f>
              <c:strCache>
                <c:ptCount val="26"/>
                <c:pt idx="0">
                  <c:v>Netherlands</c:v>
                </c:pt>
                <c:pt idx="1">
                  <c:v>Denmark</c:v>
                </c:pt>
                <c:pt idx="2">
                  <c:v>France</c:v>
                </c:pt>
                <c:pt idx="3">
                  <c:v>Germany</c:v>
                </c:pt>
                <c:pt idx="4">
                  <c:v>United Kingdom</c:v>
                </c:pt>
                <c:pt idx="5">
                  <c:v>Belgium</c:v>
                </c:pt>
                <c:pt idx="6">
                  <c:v>Sweden</c:v>
                </c:pt>
                <c:pt idx="7">
                  <c:v>EU28</c:v>
                </c:pt>
                <c:pt idx="8">
                  <c:v>Portugal</c:v>
                </c:pt>
                <c:pt idx="9">
                  <c:v>Greece</c:v>
                </c:pt>
                <c:pt idx="10">
                  <c:v>Estonia</c:v>
                </c:pt>
                <c:pt idx="11">
                  <c:v>Finland</c:v>
                </c:pt>
                <c:pt idx="12">
                  <c:v>Slovenia</c:v>
                </c:pt>
                <c:pt idx="13">
                  <c:v>Spain</c:v>
                </c:pt>
                <c:pt idx="14">
                  <c:v>Lithuania</c:v>
                </c:pt>
                <c:pt idx="15">
                  <c:v>Ireland</c:v>
                </c:pt>
                <c:pt idx="16">
                  <c:v>Czech Republic</c:v>
                </c:pt>
                <c:pt idx="17">
                  <c:v>Hungary</c:v>
                </c:pt>
                <c:pt idx="18">
                  <c:v>Austria</c:v>
                </c:pt>
                <c:pt idx="19">
                  <c:v>Latvia</c:v>
                </c:pt>
                <c:pt idx="20">
                  <c:v>Italy</c:v>
                </c:pt>
                <c:pt idx="21">
                  <c:v>Croatia</c:v>
                </c:pt>
                <c:pt idx="22">
                  <c:v>Slovakia</c:v>
                </c:pt>
                <c:pt idx="23">
                  <c:v>Bulgaria</c:v>
                </c:pt>
                <c:pt idx="24">
                  <c:v>Romania</c:v>
                </c:pt>
                <c:pt idx="25">
                  <c:v>Poland</c:v>
                </c:pt>
              </c:strCache>
            </c:strRef>
          </c:cat>
          <c:val>
            <c:numRef>
              <c:f>A_EN!$C$245:$C$270</c:f>
              <c:numCache>
                <c:formatCode>#,##0.0</c:formatCode>
                <c:ptCount val="26"/>
                <c:pt idx="0">
                  <c:v>19.673486062848021</c:v>
                </c:pt>
                <c:pt idx="1">
                  <c:v>12.88168323158615</c:v>
                </c:pt>
                <c:pt idx="2">
                  <c:v>5.3213276928907902</c:v>
                </c:pt>
                <c:pt idx="3">
                  <c:v>8.7896341695661064</c:v>
                </c:pt>
                <c:pt idx="4">
                  <c:v>7.4843209095853016</c:v>
                </c:pt>
                <c:pt idx="5">
                  <c:v>19.23921538451922</c:v>
                </c:pt>
                <c:pt idx="6">
                  <c:v>6.8729832977434446</c:v>
                </c:pt>
                <c:pt idx="7">
                  <c:v>6.7747216192509816</c:v>
                </c:pt>
                <c:pt idx="8">
                  <c:v>10.781799229764051</c:v>
                </c:pt>
                <c:pt idx="10">
                  <c:v>7.1320485019528483</c:v>
                </c:pt>
                <c:pt idx="11">
                  <c:v>7.48119434532917</c:v>
                </c:pt>
                <c:pt idx="12">
                  <c:v>8.7887735566654577</c:v>
                </c:pt>
                <c:pt idx="13">
                  <c:v>5.7656564390767686</c:v>
                </c:pt>
                <c:pt idx="14">
                  <c:v>1.0282475812765699</c:v>
                </c:pt>
                <c:pt idx="15">
                  <c:v>7.7590551827540803</c:v>
                </c:pt>
                <c:pt idx="16">
                  <c:v>5.3084234611670382</c:v>
                </c:pt>
                <c:pt idx="17">
                  <c:v>14.128578885402771</c:v>
                </c:pt>
                <c:pt idx="18">
                  <c:v>9.4064177365438599</c:v>
                </c:pt>
                <c:pt idx="19">
                  <c:v>0.90001167198672405</c:v>
                </c:pt>
                <c:pt idx="21">
                  <c:v>3.4069777239266941</c:v>
                </c:pt>
                <c:pt idx="22">
                  <c:v>3.037038560909942</c:v>
                </c:pt>
                <c:pt idx="23">
                  <c:v>3.9551319821625039</c:v>
                </c:pt>
                <c:pt idx="24">
                  <c:v>3.9873328471722971</c:v>
                </c:pt>
                <c:pt idx="25">
                  <c:v>7.0980140700667311</c:v>
                </c:pt>
              </c:numCache>
            </c:numRef>
          </c:val>
          <c:extLst>
            <c:ext xmlns:c16="http://schemas.microsoft.com/office/drawing/2014/chart" uri="{C3380CC4-5D6E-409C-BE32-E72D297353CC}">
              <c16:uniqueId val="{00000015-7EEB-4CC4-87C5-CEB29083ECBA}"/>
            </c:ext>
          </c:extLst>
        </c:ser>
        <c:ser>
          <c:idx val="2"/>
          <c:order val="2"/>
          <c:tx>
            <c:strRef>
              <c:f>A_EN!$D$244</c:f>
              <c:strCache>
                <c:ptCount val="1"/>
                <c:pt idx="0">
                  <c:v> Fibre (FTTH/B)</c:v>
                </c:pt>
              </c:strCache>
            </c:strRef>
          </c:tx>
          <c:spPr>
            <a:solidFill>
              <a:srgbClr val="009BB4"/>
            </a:solidFill>
          </c:spPr>
          <c:invertIfNegative val="0"/>
          <c:dPt>
            <c:idx val="7"/>
            <c:invertIfNegative val="0"/>
            <c:bubble3D val="0"/>
            <c:spPr>
              <a:solidFill>
                <a:srgbClr val="009BB4"/>
              </a:solidFill>
              <a:ln>
                <a:solidFill>
                  <a:srgbClr val="FF0000"/>
                </a:solidFill>
              </a:ln>
            </c:spPr>
            <c:extLst>
              <c:ext xmlns:c16="http://schemas.microsoft.com/office/drawing/2014/chart" uri="{C3380CC4-5D6E-409C-BE32-E72D297353CC}">
                <c16:uniqueId val="{00000017-7EEB-4CC4-87C5-CEB29083ECBA}"/>
              </c:ext>
            </c:extLst>
          </c:dPt>
          <c:dPt>
            <c:idx val="16"/>
            <c:invertIfNegative val="0"/>
            <c:bubble3D val="0"/>
            <c:spPr>
              <a:solidFill>
                <a:srgbClr val="009BB4"/>
              </a:solidFill>
              <a:ln>
                <a:solidFill>
                  <a:srgbClr val="FF0000"/>
                </a:solidFill>
              </a:ln>
            </c:spPr>
            <c:extLst>
              <c:ext xmlns:c16="http://schemas.microsoft.com/office/drawing/2014/chart" uri="{C3380CC4-5D6E-409C-BE32-E72D297353CC}">
                <c16:uniqueId val="{00000019-7EEB-4CC4-87C5-CEB29083ECBA}"/>
              </c:ext>
            </c:extLst>
          </c:dPt>
          <c:dLbls>
            <c:dLbl>
              <c:idx val="3"/>
              <c:delete val="1"/>
              <c:extLst>
                <c:ext xmlns:c15="http://schemas.microsoft.com/office/drawing/2012/chart" uri="{CE6537A1-D6FC-4f65-9D91-7224C49458BB}"/>
                <c:ext xmlns:c16="http://schemas.microsoft.com/office/drawing/2014/chart" uri="{C3380CC4-5D6E-409C-BE32-E72D297353CC}">
                  <c16:uniqueId val="{0000001A-7EEB-4CC4-87C5-CEB29083ECBA}"/>
                </c:ext>
              </c:extLst>
            </c:dLbl>
            <c:dLbl>
              <c:idx val="5"/>
              <c:delete val="1"/>
              <c:extLst>
                <c:ext xmlns:c15="http://schemas.microsoft.com/office/drawing/2012/chart" uri="{CE6537A1-D6FC-4f65-9D91-7224C49458BB}"/>
                <c:ext xmlns:c16="http://schemas.microsoft.com/office/drawing/2014/chart" uri="{C3380CC4-5D6E-409C-BE32-E72D297353CC}">
                  <c16:uniqueId val="{0000001B-7EEB-4CC4-87C5-CEB29083ECBA}"/>
                </c:ext>
              </c:extLst>
            </c:dLbl>
            <c:dLbl>
              <c:idx val="7"/>
              <c:layout>
                <c:manualLayout>
                  <c:x val="0"/>
                  <c:y val="-6.807913557130710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EEB-4CC4-87C5-CEB29083ECBA}"/>
                </c:ext>
              </c:extLst>
            </c:dLbl>
            <c:dLbl>
              <c:idx val="9"/>
              <c:delete val="1"/>
              <c:extLst>
                <c:ext xmlns:c15="http://schemas.microsoft.com/office/drawing/2012/chart" uri="{CE6537A1-D6FC-4f65-9D91-7224C49458BB}"/>
                <c:ext xmlns:c16="http://schemas.microsoft.com/office/drawing/2014/chart" uri="{C3380CC4-5D6E-409C-BE32-E72D297353CC}">
                  <c16:uniqueId val="{0000001C-7EEB-4CC4-87C5-CEB29083ECBA}"/>
                </c:ext>
              </c:extLst>
            </c:dLbl>
            <c:dLbl>
              <c:idx val="15"/>
              <c:delete val="1"/>
              <c:extLst>
                <c:ext xmlns:c15="http://schemas.microsoft.com/office/drawing/2012/chart" uri="{CE6537A1-D6FC-4f65-9D91-7224C49458BB}"/>
                <c:ext xmlns:c16="http://schemas.microsoft.com/office/drawing/2014/chart" uri="{C3380CC4-5D6E-409C-BE32-E72D297353CC}">
                  <c16:uniqueId val="{0000001D-7EEB-4CC4-87C5-CEB29083ECBA}"/>
                </c:ext>
              </c:extLst>
            </c:dLbl>
            <c:dLbl>
              <c:idx val="16"/>
              <c:layout>
                <c:manualLayout>
                  <c:x val="0"/>
                  <c:y val="6.807913557130710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EEB-4CC4-87C5-CEB29083ECBA}"/>
                </c:ext>
              </c:extLst>
            </c:dLbl>
            <c:dLbl>
              <c:idx val="18"/>
              <c:delete val="1"/>
              <c:extLst>
                <c:ext xmlns:c15="http://schemas.microsoft.com/office/drawing/2012/chart" uri="{CE6537A1-D6FC-4f65-9D91-7224C49458BB}"/>
                <c:ext xmlns:c16="http://schemas.microsoft.com/office/drawing/2014/chart" uri="{C3380CC4-5D6E-409C-BE32-E72D297353CC}">
                  <c16:uniqueId val="{0000001E-7EEB-4CC4-87C5-CEB29083ECBA}"/>
                </c:ext>
              </c:extLst>
            </c:dLbl>
            <c:dLbl>
              <c:idx val="20"/>
              <c:delete val="1"/>
              <c:extLst>
                <c:ext xmlns:c15="http://schemas.microsoft.com/office/drawing/2012/chart" uri="{CE6537A1-D6FC-4f65-9D91-7224C49458BB}"/>
                <c:ext xmlns:c16="http://schemas.microsoft.com/office/drawing/2014/chart" uri="{C3380CC4-5D6E-409C-BE32-E72D297353CC}">
                  <c16:uniqueId val="{0000001F-7EEB-4CC4-87C5-CEB29083ECBA}"/>
                </c:ext>
              </c:extLst>
            </c:dLbl>
            <c:dLbl>
              <c:idx val="21"/>
              <c:delete val="1"/>
              <c:extLst>
                <c:ext xmlns:c15="http://schemas.microsoft.com/office/drawing/2012/chart" uri="{CE6537A1-D6FC-4f65-9D91-7224C49458BB}"/>
                <c:ext xmlns:c16="http://schemas.microsoft.com/office/drawing/2014/chart" uri="{C3380CC4-5D6E-409C-BE32-E72D297353CC}">
                  <c16:uniqueId val="{00000020-7EEB-4CC4-87C5-CEB29083ECBA}"/>
                </c:ext>
              </c:extLst>
            </c:dLbl>
            <c:dLbl>
              <c:idx val="25"/>
              <c:delete val="1"/>
              <c:extLst>
                <c:ext xmlns:c15="http://schemas.microsoft.com/office/drawing/2012/chart" uri="{CE6537A1-D6FC-4f65-9D91-7224C49458BB}"/>
                <c:ext xmlns:c16="http://schemas.microsoft.com/office/drawing/2014/chart" uri="{C3380CC4-5D6E-409C-BE32-E72D297353CC}">
                  <c16:uniqueId val="{00000021-7EEB-4CC4-87C5-CEB29083ECBA}"/>
                </c:ext>
              </c:extLst>
            </c:dLbl>
            <c:spPr>
              <a:noFill/>
              <a:ln>
                <a:noFill/>
              </a:ln>
              <a:effectLst/>
            </c:spPr>
            <c:txPr>
              <a:bodyPr rot="-5400000" vert="horz"/>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A_EN!$A$245:$A$270</c:f>
              <c:strCache>
                <c:ptCount val="26"/>
                <c:pt idx="0">
                  <c:v>Netherlands</c:v>
                </c:pt>
                <c:pt idx="1">
                  <c:v>Denmark</c:v>
                </c:pt>
                <c:pt idx="2">
                  <c:v>France</c:v>
                </c:pt>
                <c:pt idx="3">
                  <c:v>Germany</c:v>
                </c:pt>
                <c:pt idx="4">
                  <c:v>United Kingdom</c:v>
                </c:pt>
                <c:pt idx="5">
                  <c:v>Belgium</c:v>
                </c:pt>
                <c:pt idx="6">
                  <c:v>Sweden</c:v>
                </c:pt>
                <c:pt idx="7">
                  <c:v>EU28</c:v>
                </c:pt>
                <c:pt idx="8">
                  <c:v>Portugal</c:v>
                </c:pt>
                <c:pt idx="9">
                  <c:v>Greece</c:v>
                </c:pt>
                <c:pt idx="10">
                  <c:v>Estonia</c:v>
                </c:pt>
                <c:pt idx="11">
                  <c:v>Finland</c:v>
                </c:pt>
                <c:pt idx="12">
                  <c:v>Slovenia</c:v>
                </c:pt>
                <c:pt idx="13">
                  <c:v>Spain</c:v>
                </c:pt>
                <c:pt idx="14">
                  <c:v>Lithuania</c:v>
                </c:pt>
                <c:pt idx="15">
                  <c:v>Ireland</c:v>
                </c:pt>
                <c:pt idx="16">
                  <c:v>Czech Republic</c:v>
                </c:pt>
                <c:pt idx="17">
                  <c:v>Hungary</c:v>
                </c:pt>
                <c:pt idx="18">
                  <c:v>Austria</c:v>
                </c:pt>
                <c:pt idx="19">
                  <c:v>Latvia</c:v>
                </c:pt>
                <c:pt idx="20">
                  <c:v>Italy</c:v>
                </c:pt>
                <c:pt idx="21">
                  <c:v>Croatia</c:v>
                </c:pt>
                <c:pt idx="22">
                  <c:v>Slovakia</c:v>
                </c:pt>
                <c:pt idx="23">
                  <c:v>Bulgaria</c:v>
                </c:pt>
                <c:pt idx="24">
                  <c:v>Romania</c:v>
                </c:pt>
                <c:pt idx="25">
                  <c:v>Poland</c:v>
                </c:pt>
              </c:strCache>
            </c:strRef>
          </c:cat>
          <c:val>
            <c:numRef>
              <c:f>A_EN!$D$245:$D$270</c:f>
              <c:numCache>
                <c:formatCode>#,##0.0</c:formatCode>
                <c:ptCount val="26"/>
                <c:pt idx="0">
                  <c:v>6.2222844908528883</c:v>
                </c:pt>
                <c:pt idx="1">
                  <c:v>11.04664496916071</c:v>
                </c:pt>
                <c:pt idx="2">
                  <c:v>3.376045589130761</c:v>
                </c:pt>
                <c:pt idx="3">
                  <c:v>0.70317073356528903</c:v>
                </c:pt>
                <c:pt idx="4">
                  <c:v>10.15050425017572</c:v>
                </c:pt>
                <c:pt idx="5">
                  <c:v>0.11227834535191999</c:v>
                </c:pt>
                <c:pt idx="6">
                  <c:v>20.630080732638969</c:v>
                </c:pt>
                <c:pt idx="7">
                  <c:v>5.2361245896025714</c:v>
                </c:pt>
                <c:pt idx="8">
                  <c:v>10.502691622056981</c:v>
                </c:pt>
                <c:pt idx="9">
                  <c:v>5.42216916094794E-2</c:v>
                </c:pt>
                <c:pt idx="10">
                  <c:v>10.830370103974101</c:v>
                </c:pt>
                <c:pt idx="11">
                  <c:v>9.8453026385701818</c:v>
                </c:pt>
                <c:pt idx="12">
                  <c:v>8.5597682617998672</c:v>
                </c:pt>
                <c:pt idx="13">
                  <c:v>10.664695819259251</c:v>
                </c:pt>
                <c:pt idx="14">
                  <c:v>18.751007908882631</c:v>
                </c:pt>
                <c:pt idx="15">
                  <c:v>0.361296533827838</c:v>
                </c:pt>
                <c:pt idx="16">
                  <c:v>4.9246499864715183</c:v>
                </c:pt>
                <c:pt idx="17">
                  <c:v>5.3622980820505433</c:v>
                </c:pt>
                <c:pt idx="18">
                  <c:v>0.46946001882201799</c:v>
                </c:pt>
                <c:pt idx="19">
                  <c:v>16.528801895936631</c:v>
                </c:pt>
                <c:pt idx="20">
                  <c:v>0.77856719285152198</c:v>
                </c:pt>
                <c:pt idx="21">
                  <c:v>0.95156606574711</c:v>
                </c:pt>
                <c:pt idx="22">
                  <c:v>7.0213206010486724</c:v>
                </c:pt>
                <c:pt idx="23">
                  <c:v>11.954970445183021</c:v>
                </c:pt>
                <c:pt idx="24">
                  <c:v>11.279879854887859</c:v>
                </c:pt>
                <c:pt idx="25">
                  <c:v>1.455619589681044</c:v>
                </c:pt>
              </c:numCache>
            </c:numRef>
          </c:val>
          <c:extLst>
            <c:ext xmlns:c16="http://schemas.microsoft.com/office/drawing/2014/chart" uri="{C3380CC4-5D6E-409C-BE32-E72D297353CC}">
              <c16:uniqueId val="{00000022-7EEB-4CC4-87C5-CEB29083ECBA}"/>
            </c:ext>
          </c:extLst>
        </c:ser>
        <c:ser>
          <c:idx val="3"/>
          <c:order val="3"/>
          <c:tx>
            <c:strRef>
              <c:f>A_EN!$E$244</c:f>
              <c:strCache>
                <c:ptCount val="1"/>
                <c:pt idx="0">
                  <c:v> Wireless (FWA, Wi-Fi)</c:v>
                </c:pt>
              </c:strCache>
            </c:strRef>
          </c:tx>
          <c:spPr>
            <a:solidFill>
              <a:srgbClr val="00C5E6"/>
            </a:solidFill>
          </c:spPr>
          <c:invertIfNegative val="0"/>
          <c:dPt>
            <c:idx val="7"/>
            <c:invertIfNegative val="0"/>
            <c:bubble3D val="0"/>
            <c:spPr>
              <a:solidFill>
                <a:srgbClr val="00C5E6"/>
              </a:solidFill>
              <a:ln>
                <a:solidFill>
                  <a:srgbClr val="FF0000"/>
                </a:solidFill>
              </a:ln>
            </c:spPr>
            <c:extLst>
              <c:ext xmlns:c16="http://schemas.microsoft.com/office/drawing/2014/chart" uri="{C3380CC4-5D6E-409C-BE32-E72D297353CC}">
                <c16:uniqueId val="{00000024-7EEB-4CC4-87C5-CEB29083ECBA}"/>
              </c:ext>
            </c:extLst>
          </c:dPt>
          <c:dPt>
            <c:idx val="16"/>
            <c:invertIfNegative val="0"/>
            <c:bubble3D val="0"/>
            <c:spPr>
              <a:solidFill>
                <a:srgbClr val="00C5E6"/>
              </a:solidFill>
              <a:ln>
                <a:solidFill>
                  <a:srgbClr val="FF0000"/>
                </a:solidFill>
              </a:ln>
            </c:spPr>
            <c:extLst>
              <c:ext xmlns:c16="http://schemas.microsoft.com/office/drawing/2014/chart" uri="{C3380CC4-5D6E-409C-BE32-E72D297353CC}">
                <c16:uniqueId val="{00000026-7EEB-4CC4-87C5-CEB29083ECBA}"/>
              </c:ext>
            </c:extLst>
          </c:dPt>
          <c:dLbls>
            <c:dLbl>
              <c:idx val="14"/>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7EEB-4CC4-87C5-CEB29083ECBA}"/>
                </c:ext>
              </c:extLst>
            </c:dLbl>
            <c:dLbl>
              <c:idx val="16"/>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7EEB-4CC4-87C5-CEB29083ECBA}"/>
                </c:ext>
              </c:extLst>
            </c:dLbl>
            <c:spPr>
              <a:noFill/>
              <a:ln>
                <a:noFill/>
              </a:ln>
              <a:effectLst/>
            </c:spPr>
            <c:txPr>
              <a:bodyPr rot="-5400000" vert="horz"/>
              <a:lstStyle/>
              <a:p>
                <a:pPr>
                  <a:defRPr b="1"/>
                </a:pPr>
                <a:endParaRPr lang="cs-CZ"/>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A_EN!$A$245:$A$270</c:f>
              <c:strCache>
                <c:ptCount val="26"/>
                <c:pt idx="0">
                  <c:v>Netherlands</c:v>
                </c:pt>
                <c:pt idx="1">
                  <c:v>Denmark</c:v>
                </c:pt>
                <c:pt idx="2">
                  <c:v>France</c:v>
                </c:pt>
                <c:pt idx="3">
                  <c:v>Germany</c:v>
                </c:pt>
                <c:pt idx="4">
                  <c:v>United Kingdom</c:v>
                </c:pt>
                <c:pt idx="5">
                  <c:v>Belgium</c:v>
                </c:pt>
                <c:pt idx="6">
                  <c:v>Sweden</c:v>
                </c:pt>
                <c:pt idx="7">
                  <c:v>EU28</c:v>
                </c:pt>
                <c:pt idx="8">
                  <c:v>Portugal</c:v>
                </c:pt>
                <c:pt idx="9">
                  <c:v>Greece</c:v>
                </c:pt>
                <c:pt idx="10">
                  <c:v>Estonia</c:v>
                </c:pt>
                <c:pt idx="11">
                  <c:v>Finland</c:v>
                </c:pt>
                <c:pt idx="12">
                  <c:v>Slovenia</c:v>
                </c:pt>
                <c:pt idx="13">
                  <c:v>Spain</c:v>
                </c:pt>
                <c:pt idx="14">
                  <c:v>Lithuania</c:v>
                </c:pt>
                <c:pt idx="15">
                  <c:v>Ireland</c:v>
                </c:pt>
                <c:pt idx="16">
                  <c:v>Czech Republic</c:v>
                </c:pt>
                <c:pt idx="17">
                  <c:v>Hungary</c:v>
                </c:pt>
                <c:pt idx="18">
                  <c:v>Austria</c:v>
                </c:pt>
                <c:pt idx="19">
                  <c:v>Latvia</c:v>
                </c:pt>
                <c:pt idx="20">
                  <c:v>Italy</c:v>
                </c:pt>
                <c:pt idx="21">
                  <c:v>Croatia</c:v>
                </c:pt>
                <c:pt idx="22">
                  <c:v>Slovakia</c:v>
                </c:pt>
                <c:pt idx="23">
                  <c:v>Bulgaria</c:v>
                </c:pt>
                <c:pt idx="24">
                  <c:v>Romania</c:v>
                </c:pt>
                <c:pt idx="25">
                  <c:v>Poland</c:v>
                </c:pt>
              </c:strCache>
            </c:strRef>
          </c:cat>
          <c:val>
            <c:numRef>
              <c:f>A_EN!$E$245:$E$270</c:f>
              <c:numCache>
                <c:formatCode>#,##0.0</c:formatCode>
                <c:ptCount val="26"/>
                <c:pt idx="1">
                  <c:v>0.31529078918112602</c:v>
                </c:pt>
                <c:pt idx="3">
                  <c:v>2.42935722186619E-2</c:v>
                </c:pt>
                <c:pt idx="4">
                  <c:v>2.8737512991237699E-2</c:v>
                </c:pt>
                <c:pt idx="5">
                  <c:v>1.88407166198628E-3</c:v>
                </c:pt>
                <c:pt idx="6">
                  <c:v>7.8881565124101702E-2</c:v>
                </c:pt>
                <c:pt idx="7">
                  <c:v>0.82249410325939398</c:v>
                </c:pt>
                <c:pt idx="8">
                  <c:v>2.3984472253003308</c:v>
                </c:pt>
                <c:pt idx="9">
                  <c:v>8.3871943815454503E-3</c:v>
                </c:pt>
                <c:pt idx="10">
                  <c:v>1.89941864097613</c:v>
                </c:pt>
                <c:pt idx="11">
                  <c:v>5.4514411066280098E-2</c:v>
                </c:pt>
                <c:pt idx="12">
                  <c:v>1.62037738791122</c:v>
                </c:pt>
                <c:pt idx="13">
                  <c:v>0.34192079430432398</c:v>
                </c:pt>
                <c:pt idx="14">
                  <c:v>3.9413406486170901</c:v>
                </c:pt>
                <c:pt idx="15">
                  <c:v>0.98599726877127303</c:v>
                </c:pt>
                <c:pt idx="16">
                  <c:v>10.06133571301412</c:v>
                </c:pt>
                <c:pt idx="17">
                  <c:v>1.3328848005096949</c:v>
                </c:pt>
                <c:pt idx="18">
                  <c:v>0.22942548998024301</c:v>
                </c:pt>
                <c:pt idx="19">
                  <c:v>0.60044759531699599</c:v>
                </c:pt>
                <c:pt idx="20">
                  <c:v>1.4350359914560229</c:v>
                </c:pt>
                <c:pt idx="21">
                  <c:v>0.91971428334083005</c:v>
                </c:pt>
                <c:pt idx="22">
                  <c:v>5.5137027944141899</c:v>
                </c:pt>
                <c:pt idx="23">
                  <c:v>0.92156005459725499</c:v>
                </c:pt>
                <c:pt idx="24">
                  <c:v>0.94270511454522699</c:v>
                </c:pt>
                <c:pt idx="25">
                  <c:v>2.1621393240602012</c:v>
                </c:pt>
              </c:numCache>
            </c:numRef>
          </c:val>
          <c:extLst>
            <c:ext xmlns:c16="http://schemas.microsoft.com/office/drawing/2014/chart" uri="{C3380CC4-5D6E-409C-BE32-E72D297353CC}">
              <c16:uniqueId val="{00000028-7EEB-4CC4-87C5-CEB29083ECBA}"/>
            </c:ext>
          </c:extLst>
        </c:ser>
        <c:ser>
          <c:idx val="4"/>
          <c:order val="4"/>
          <c:tx>
            <c:strRef>
              <c:f>A_EN!$F$244</c:f>
              <c:strCache>
                <c:ptCount val="1"/>
                <c:pt idx="0">
                  <c:v> Other (e.g. satellite)</c:v>
                </c:pt>
              </c:strCache>
            </c:strRef>
          </c:tx>
          <c:spPr>
            <a:solidFill>
              <a:srgbClr val="007D91"/>
            </a:solidFill>
          </c:spPr>
          <c:invertIfNegative val="0"/>
          <c:cat>
            <c:strRef>
              <c:f>A_EN!$A$245:$A$270</c:f>
              <c:strCache>
                <c:ptCount val="26"/>
                <c:pt idx="0">
                  <c:v>Netherlands</c:v>
                </c:pt>
                <c:pt idx="1">
                  <c:v>Denmark</c:v>
                </c:pt>
                <c:pt idx="2">
                  <c:v>France</c:v>
                </c:pt>
                <c:pt idx="3">
                  <c:v>Germany</c:v>
                </c:pt>
                <c:pt idx="4">
                  <c:v>United Kingdom</c:v>
                </c:pt>
                <c:pt idx="5">
                  <c:v>Belgium</c:v>
                </c:pt>
                <c:pt idx="6">
                  <c:v>Sweden</c:v>
                </c:pt>
                <c:pt idx="7">
                  <c:v>EU28</c:v>
                </c:pt>
                <c:pt idx="8">
                  <c:v>Portugal</c:v>
                </c:pt>
                <c:pt idx="9">
                  <c:v>Greece</c:v>
                </c:pt>
                <c:pt idx="10">
                  <c:v>Estonia</c:v>
                </c:pt>
                <c:pt idx="11">
                  <c:v>Finland</c:v>
                </c:pt>
                <c:pt idx="12">
                  <c:v>Slovenia</c:v>
                </c:pt>
                <c:pt idx="13">
                  <c:v>Spain</c:v>
                </c:pt>
                <c:pt idx="14">
                  <c:v>Lithuania</c:v>
                </c:pt>
                <c:pt idx="15">
                  <c:v>Ireland</c:v>
                </c:pt>
                <c:pt idx="16">
                  <c:v>Czech Republic</c:v>
                </c:pt>
                <c:pt idx="17">
                  <c:v>Hungary</c:v>
                </c:pt>
                <c:pt idx="18">
                  <c:v>Austria</c:v>
                </c:pt>
                <c:pt idx="19">
                  <c:v>Latvia</c:v>
                </c:pt>
                <c:pt idx="20">
                  <c:v>Italy</c:v>
                </c:pt>
                <c:pt idx="21">
                  <c:v>Croatia</c:v>
                </c:pt>
                <c:pt idx="22">
                  <c:v>Slovakia</c:v>
                </c:pt>
                <c:pt idx="23">
                  <c:v>Bulgaria</c:v>
                </c:pt>
                <c:pt idx="24">
                  <c:v>Romania</c:v>
                </c:pt>
                <c:pt idx="25">
                  <c:v>Poland</c:v>
                </c:pt>
              </c:strCache>
            </c:strRef>
          </c:cat>
          <c:val>
            <c:numRef>
              <c:f>A_EN!$F$245:$F$270</c:f>
              <c:numCache>
                <c:formatCode>#,##0.0</c:formatCode>
                <c:ptCount val="26"/>
                <c:pt idx="0">
                  <c:v>1.2</c:v>
                </c:pt>
                <c:pt idx="1">
                  <c:v>0.45727581335009398</c:v>
                </c:pt>
                <c:pt idx="2">
                  <c:v>0.56705205089748001</c:v>
                </c:pt>
                <c:pt idx="3">
                  <c:v>7.9350864030805102E-2</c:v>
                </c:pt>
                <c:pt idx="4">
                  <c:v>0</c:v>
                </c:pt>
                <c:pt idx="5">
                  <c:v>4.94172627977989E-2</c:v>
                </c:pt>
                <c:pt idx="6">
                  <c:v>7.6411433638901197E-2</c:v>
                </c:pt>
                <c:pt idx="7">
                  <c:v>0.352813637392007</c:v>
                </c:pt>
                <c:pt idx="8">
                  <c:v>3.63973752623383E-2</c:v>
                </c:pt>
                <c:pt idx="9">
                  <c:v>4.9509483252257097E-2</c:v>
                </c:pt>
                <c:pt idx="10">
                  <c:v>0.81872768472816304</c:v>
                </c:pt>
                <c:pt idx="11">
                  <c:v>9.81259399193041E-2</c:v>
                </c:pt>
                <c:pt idx="12">
                  <c:v>0.60236483462328105</c:v>
                </c:pt>
                <c:pt idx="13">
                  <c:v>3.6006198037196201E-2</c:v>
                </c:pt>
                <c:pt idx="14">
                  <c:v>0.36489310234439998</c:v>
                </c:pt>
                <c:pt idx="15">
                  <c:v>0.111953294042121</c:v>
                </c:pt>
                <c:pt idx="16">
                  <c:v>6.4508851095005898E-2</c:v>
                </c:pt>
                <c:pt idx="17">
                  <c:v>0</c:v>
                </c:pt>
                <c:pt idx="18">
                  <c:v>5.7391200344990003E-3</c:v>
                </c:pt>
                <c:pt idx="19">
                  <c:v>1.7266928186832999</c:v>
                </c:pt>
                <c:pt idx="20">
                  <c:v>2.51136052001266E-2</c:v>
                </c:pt>
                <c:pt idx="21">
                  <c:v>7.2509087370483505E-2</c:v>
                </c:pt>
                <c:pt idx="22">
                  <c:v>2.9223664445472201E-2</c:v>
                </c:pt>
                <c:pt idx="23">
                  <c:v>4.2884842923516446</c:v>
                </c:pt>
                <c:pt idx="24">
                  <c:v>1.774090036936341</c:v>
                </c:pt>
                <c:pt idx="25">
                  <c:v>1.429895190010781</c:v>
                </c:pt>
              </c:numCache>
            </c:numRef>
          </c:val>
          <c:extLst>
            <c:ext xmlns:c16="http://schemas.microsoft.com/office/drawing/2014/chart" uri="{C3380CC4-5D6E-409C-BE32-E72D297353CC}">
              <c16:uniqueId val="{00000029-7EEB-4CC4-87C5-CEB29083ECBA}"/>
            </c:ext>
          </c:extLst>
        </c:ser>
        <c:dLbls>
          <c:showLegendKey val="0"/>
          <c:showVal val="0"/>
          <c:showCatName val="0"/>
          <c:showSerName val="0"/>
          <c:showPercent val="0"/>
          <c:showBubbleSize val="0"/>
        </c:dLbls>
        <c:gapWidth val="40"/>
        <c:overlap val="100"/>
        <c:axId val="161298944"/>
        <c:axId val="161363008"/>
      </c:barChart>
      <c:catAx>
        <c:axId val="161298944"/>
        <c:scaling>
          <c:orientation val="minMax"/>
        </c:scaling>
        <c:delete val="0"/>
        <c:axPos val="b"/>
        <c:numFmt formatCode="#,##0.0" sourceLinked="0"/>
        <c:majorTickMark val="out"/>
        <c:minorTickMark val="none"/>
        <c:tickLblPos val="nextTo"/>
        <c:spPr>
          <a:ln w="3175">
            <a:solidFill>
              <a:schemeClr val="tx1"/>
            </a:solidFill>
          </a:ln>
        </c:spPr>
        <c:txPr>
          <a:bodyPr rot="-2700000" vert="horz"/>
          <a:lstStyle/>
          <a:p>
            <a:pPr>
              <a:defRPr/>
            </a:pPr>
            <a:endParaRPr lang="cs-CZ"/>
          </a:p>
        </c:txPr>
        <c:crossAx val="161363008"/>
        <c:crosses val="autoZero"/>
        <c:auto val="1"/>
        <c:lblAlgn val="ctr"/>
        <c:lblOffset val="100"/>
        <c:tickLblSkip val="1"/>
        <c:noMultiLvlLbl val="0"/>
      </c:catAx>
      <c:valAx>
        <c:axId val="161363008"/>
        <c:scaling>
          <c:orientation val="minMax"/>
          <c:max val="45"/>
          <c:min val="0"/>
        </c:scaling>
        <c:delete val="0"/>
        <c:axPos val="l"/>
        <c:majorGridlines>
          <c:spPr>
            <a:ln w="12700">
              <a:solidFill>
                <a:srgbClr val="A6A6A6"/>
              </a:solidFill>
              <a:prstDash val="solid"/>
            </a:ln>
          </c:spPr>
        </c:majorGridlines>
        <c:numFmt formatCode="#,##0" sourceLinked="0"/>
        <c:majorTickMark val="out"/>
        <c:minorTickMark val="none"/>
        <c:tickLblPos val="nextTo"/>
        <c:crossAx val="161298944"/>
        <c:crossesAt val="1"/>
        <c:crossBetween val="between"/>
        <c:majorUnit val="5"/>
        <c:minorUnit val="1"/>
      </c:valAx>
      <c:spPr>
        <a:ln>
          <a:solidFill>
            <a:schemeClr val="tx1">
              <a:tint val="75000"/>
              <a:shade val="95000"/>
              <a:satMod val="105000"/>
            </a:schemeClr>
          </a:solidFill>
        </a:ln>
      </c:spPr>
    </c:plotArea>
    <c:legend>
      <c:legendPos val="r"/>
      <c:layout>
        <c:manualLayout>
          <c:xMode val="edge"/>
          <c:yMode val="edge"/>
          <c:x val="0.87416996320436002"/>
          <c:y val="0.13017352152577499"/>
          <c:w val="0.12240972004801801"/>
          <c:h val="0.59574265189457198"/>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 A16 Fixed broadband internet in the Czech Republic by speed (thous. of subscriptions)</a:t>
            </a:r>
            <a:endParaRPr lang="en-US" sz="800" b="1"/>
          </a:p>
        </c:rich>
      </c:tx>
      <c:layout/>
      <c:overlay val="1"/>
    </c:title>
    <c:autoTitleDeleted val="0"/>
    <c:plotArea>
      <c:layout>
        <c:manualLayout>
          <c:layoutTarget val="inner"/>
          <c:xMode val="edge"/>
          <c:yMode val="edge"/>
          <c:x val="0.113874368686869"/>
          <c:y val="0.17027037037036999"/>
          <c:w val="0.60303363242385399"/>
          <c:h val="0.62115481481481505"/>
        </c:manualLayout>
      </c:layout>
      <c:lineChart>
        <c:grouping val="standard"/>
        <c:varyColors val="0"/>
        <c:ser>
          <c:idx val="2"/>
          <c:order val="0"/>
          <c:tx>
            <c:strRef>
              <c:f>A_EN!$A$275</c:f>
              <c:strCache>
                <c:ptCount val="1"/>
                <c:pt idx="0">
                  <c:v> &lt; 10 
Mbit/s </c:v>
                </c:pt>
              </c:strCache>
            </c:strRef>
          </c:tx>
          <c:spPr>
            <a:ln w="19050">
              <a:solidFill>
                <a:srgbClr val="009BB4"/>
              </a:solidFill>
            </a:ln>
          </c:spPr>
          <c:marker>
            <c:symbol val="square"/>
            <c:size val="4"/>
            <c:spPr>
              <a:solidFill>
                <a:srgbClr val="00C5E9"/>
              </a:solidFill>
              <a:ln w="12700">
                <a:solidFill>
                  <a:srgbClr val="009BB4"/>
                </a:solidFill>
              </a:ln>
            </c:spPr>
          </c:marker>
          <c:cat>
            <c:numRef>
              <c:f>A_EN!$B$274:$F$274</c:f>
              <c:numCache>
                <c:formatCode>@</c:formatCode>
                <c:ptCount val="5"/>
                <c:pt idx="0">
                  <c:v>2012</c:v>
                </c:pt>
                <c:pt idx="1">
                  <c:v>2013</c:v>
                </c:pt>
                <c:pt idx="2">
                  <c:v>2014</c:v>
                </c:pt>
                <c:pt idx="3">
                  <c:v>2015</c:v>
                </c:pt>
                <c:pt idx="4">
                  <c:v>2016</c:v>
                </c:pt>
              </c:numCache>
            </c:numRef>
          </c:cat>
          <c:val>
            <c:numRef>
              <c:f>A_EN!$B$275:$F$275</c:f>
              <c:numCache>
                <c:formatCode>#,##0.0</c:formatCode>
                <c:ptCount val="5"/>
                <c:pt idx="0">
                  <c:v>1445.208271488</c:v>
                </c:pt>
                <c:pt idx="1">
                  <c:v>1284.21224841</c:v>
                </c:pt>
                <c:pt idx="2">
                  <c:v>1229.1789140440001</c:v>
                </c:pt>
                <c:pt idx="3">
                  <c:v>856.09159199999999</c:v>
                </c:pt>
                <c:pt idx="4">
                  <c:v>675.79499999999996</c:v>
                </c:pt>
              </c:numCache>
            </c:numRef>
          </c:val>
          <c:smooth val="0"/>
          <c:extLst>
            <c:ext xmlns:c16="http://schemas.microsoft.com/office/drawing/2014/chart" uri="{C3380CC4-5D6E-409C-BE32-E72D297353CC}">
              <c16:uniqueId val="{00000000-1381-4415-B41E-E4A4B81473A9}"/>
            </c:ext>
          </c:extLst>
        </c:ser>
        <c:ser>
          <c:idx val="4"/>
          <c:order val="1"/>
          <c:tx>
            <c:strRef>
              <c:f>A_EN!$A$276</c:f>
              <c:strCache>
                <c:ptCount val="1"/>
                <c:pt idx="0">
                  <c:v>10–30 
Mbit/s</c:v>
                </c:pt>
              </c:strCache>
            </c:strRef>
          </c:tx>
          <c:spPr>
            <a:ln w="19050">
              <a:solidFill>
                <a:srgbClr val="47E5FF"/>
              </a:solidFill>
            </a:ln>
          </c:spPr>
          <c:marker>
            <c:symbol val="diamond"/>
            <c:size val="4"/>
            <c:spPr>
              <a:solidFill>
                <a:srgbClr val="009BB4"/>
              </a:solidFill>
              <a:ln w="12700">
                <a:solidFill>
                  <a:srgbClr val="47E5FF"/>
                </a:solidFill>
              </a:ln>
            </c:spPr>
          </c:marker>
          <c:cat>
            <c:numRef>
              <c:f>A_EN!$B$274:$F$274</c:f>
              <c:numCache>
                <c:formatCode>@</c:formatCode>
                <c:ptCount val="5"/>
                <c:pt idx="0">
                  <c:v>2012</c:v>
                </c:pt>
                <c:pt idx="1">
                  <c:v>2013</c:v>
                </c:pt>
                <c:pt idx="2">
                  <c:v>2014</c:v>
                </c:pt>
                <c:pt idx="3">
                  <c:v>2015</c:v>
                </c:pt>
                <c:pt idx="4">
                  <c:v>2016</c:v>
                </c:pt>
              </c:numCache>
            </c:numRef>
          </c:cat>
          <c:val>
            <c:numRef>
              <c:f>A_EN!$B$276:$F$276</c:f>
              <c:numCache>
                <c:formatCode>#,##0.0</c:formatCode>
                <c:ptCount val="5"/>
                <c:pt idx="0">
                  <c:v>633.6116025120001</c:v>
                </c:pt>
                <c:pt idx="1">
                  <c:v>856.85730811199778</c:v>
                </c:pt>
                <c:pt idx="2">
                  <c:v>961.26864360399998</c:v>
                </c:pt>
                <c:pt idx="3">
                  <c:v>1096.4699023200001</c:v>
                </c:pt>
                <c:pt idx="4">
                  <c:v>1076.4659999999999</c:v>
                </c:pt>
              </c:numCache>
            </c:numRef>
          </c:val>
          <c:smooth val="0"/>
          <c:extLst>
            <c:ext xmlns:c16="http://schemas.microsoft.com/office/drawing/2014/chart" uri="{C3380CC4-5D6E-409C-BE32-E72D297353CC}">
              <c16:uniqueId val="{00000001-1381-4415-B41E-E4A4B81473A9}"/>
            </c:ext>
          </c:extLst>
        </c:ser>
        <c:ser>
          <c:idx val="1"/>
          <c:order val="2"/>
          <c:tx>
            <c:strRef>
              <c:f>A_EN!$A$277</c:f>
              <c:strCache>
                <c:ptCount val="1"/>
                <c:pt idx="0">
                  <c:v>30–100 
Mbit/s</c:v>
                </c:pt>
              </c:strCache>
            </c:strRef>
          </c:tx>
          <c:spPr>
            <a:ln w="19050">
              <a:solidFill>
                <a:srgbClr val="007D92"/>
              </a:solidFill>
            </a:ln>
          </c:spPr>
          <c:marker>
            <c:symbol val="circle"/>
            <c:size val="4"/>
            <c:spPr>
              <a:solidFill>
                <a:srgbClr val="47E5FF"/>
              </a:solidFill>
              <a:ln w="12700">
                <a:solidFill>
                  <a:srgbClr val="007D91"/>
                </a:solidFill>
              </a:ln>
            </c:spPr>
          </c:marker>
          <c:cat>
            <c:numRef>
              <c:f>A_EN!$B$274:$F$274</c:f>
              <c:numCache>
                <c:formatCode>@</c:formatCode>
                <c:ptCount val="5"/>
                <c:pt idx="0">
                  <c:v>2012</c:v>
                </c:pt>
                <c:pt idx="1">
                  <c:v>2013</c:v>
                </c:pt>
                <c:pt idx="2">
                  <c:v>2014</c:v>
                </c:pt>
                <c:pt idx="3">
                  <c:v>2015</c:v>
                </c:pt>
                <c:pt idx="4">
                  <c:v>2016</c:v>
                </c:pt>
              </c:numCache>
            </c:numRef>
          </c:cat>
          <c:val>
            <c:numRef>
              <c:f>A_EN!$B$277:$F$277</c:f>
              <c:numCache>
                <c:formatCode>#,##0.0</c:formatCode>
                <c:ptCount val="5"/>
                <c:pt idx="0">
                  <c:v>531.31303520100005</c:v>
                </c:pt>
                <c:pt idx="1">
                  <c:v>562.03068831780001</c:v>
                </c:pt>
                <c:pt idx="2">
                  <c:v>603.71527878519987</c:v>
                </c:pt>
                <c:pt idx="3">
                  <c:v>674.77145208000002</c:v>
                </c:pt>
                <c:pt idx="4">
                  <c:v>677.00600000000009</c:v>
                </c:pt>
              </c:numCache>
            </c:numRef>
          </c:val>
          <c:smooth val="0"/>
          <c:extLst>
            <c:ext xmlns:c16="http://schemas.microsoft.com/office/drawing/2014/chart" uri="{C3380CC4-5D6E-409C-BE32-E72D297353CC}">
              <c16:uniqueId val="{00000002-1381-4415-B41E-E4A4B81473A9}"/>
            </c:ext>
          </c:extLst>
        </c:ser>
        <c:ser>
          <c:idx val="0"/>
          <c:order val="3"/>
          <c:tx>
            <c:strRef>
              <c:f>A_EN!$A$278</c:f>
              <c:strCache>
                <c:ptCount val="1"/>
                <c:pt idx="0">
                  <c:v> ≥ 100 
Mbit/s </c:v>
                </c:pt>
              </c:strCache>
            </c:strRef>
          </c:tx>
          <c:spPr>
            <a:ln w="19050">
              <a:solidFill>
                <a:srgbClr val="00C5E9"/>
              </a:solidFill>
            </a:ln>
          </c:spPr>
          <c:marker>
            <c:symbol val="triangle"/>
            <c:size val="4"/>
            <c:spPr>
              <a:solidFill>
                <a:srgbClr val="007D91"/>
              </a:solidFill>
              <a:ln w="12700">
                <a:solidFill>
                  <a:srgbClr val="00C5E9"/>
                </a:solidFill>
              </a:ln>
            </c:spPr>
          </c:marker>
          <c:cat>
            <c:numRef>
              <c:f>A_EN!$B$274:$F$274</c:f>
              <c:numCache>
                <c:formatCode>@</c:formatCode>
                <c:ptCount val="5"/>
                <c:pt idx="0">
                  <c:v>2012</c:v>
                </c:pt>
                <c:pt idx="1">
                  <c:v>2013</c:v>
                </c:pt>
                <c:pt idx="2">
                  <c:v>2014</c:v>
                </c:pt>
                <c:pt idx="3">
                  <c:v>2015</c:v>
                </c:pt>
                <c:pt idx="4">
                  <c:v>2016</c:v>
                </c:pt>
              </c:numCache>
            </c:numRef>
          </c:cat>
          <c:val>
            <c:numRef>
              <c:f>A_EN!$B$278:$F$278</c:f>
              <c:numCache>
                <c:formatCode>#,##0.0</c:formatCode>
                <c:ptCount val="5"/>
                <c:pt idx="0">
                  <c:v>34.676090799000001</c:v>
                </c:pt>
                <c:pt idx="1">
                  <c:v>107.66875516020001</c:v>
                </c:pt>
                <c:pt idx="2">
                  <c:v>149.25916356679991</c:v>
                </c:pt>
                <c:pt idx="3">
                  <c:v>335.9470536</c:v>
                </c:pt>
                <c:pt idx="4">
                  <c:v>628.51699999999937</c:v>
                </c:pt>
              </c:numCache>
            </c:numRef>
          </c:val>
          <c:smooth val="0"/>
          <c:extLst>
            <c:ext xmlns:c16="http://schemas.microsoft.com/office/drawing/2014/chart" uri="{C3380CC4-5D6E-409C-BE32-E72D297353CC}">
              <c16:uniqueId val="{00000003-1381-4415-B41E-E4A4B81473A9}"/>
            </c:ext>
          </c:extLst>
        </c:ser>
        <c:dLbls>
          <c:showLegendKey val="0"/>
          <c:showVal val="0"/>
          <c:showCatName val="0"/>
          <c:showSerName val="0"/>
          <c:showPercent val="0"/>
          <c:showBubbleSize val="0"/>
        </c:dLbls>
        <c:marker val="1"/>
        <c:smooth val="0"/>
        <c:axId val="153919488"/>
        <c:axId val="161364736"/>
      </c:lineChart>
      <c:catAx>
        <c:axId val="153919488"/>
        <c:scaling>
          <c:orientation val="minMax"/>
        </c:scaling>
        <c:delete val="0"/>
        <c:axPos val="b"/>
        <c:numFmt formatCode="@" sourceLinked="1"/>
        <c:majorTickMark val="out"/>
        <c:minorTickMark val="none"/>
        <c:tickLblPos val="nextTo"/>
        <c:spPr>
          <a:ln w="3175">
            <a:solidFill>
              <a:srgbClr val="000000"/>
            </a:solidFill>
            <a:prstDash val="solid"/>
          </a:ln>
        </c:spPr>
        <c:txPr>
          <a:bodyPr rot="0" vert="horz"/>
          <a:lstStyle/>
          <a:p>
            <a:pPr>
              <a:defRPr/>
            </a:pPr>
            <a:endParaRPr lang="cs-CZ"/>
          </a:p>
        </c:txPr>
        <c:crossAx val="161364736"/>
        <c:crosses val="autoZero"/>
        <c:auto val="1"/>
        <c:lblAlgn val="ctr"/>
        <c:lblOffset val="100"/>
        <c:tickLblSkip val="1"/>
        <c:tickMarkSkip val="1"/>
        <c:noMultiLvlLbl val="0"/>
      </c:catAx>
      <c:valAx>
        <c:axId val="161364736"/>
        <c:scaling>
          <c:orientation val="minMax"/>
          <c:max val="1500"/>
          <c:min val="0"/>
        </c:scaling>
        <c:delete val="0"/>
        <c:axPos val="l"/>
        <c:majorGridlines>
          <c:spPr>
            <a:ln w="12700">
              <a:solidFill>
                <a:srgbClr val="A6A6A6">
                  <a:alpha val="38824"/>
                </a:srgbClr>
              </a:solidFill>
              <a:prstDash val="solid"/>
            </a:ln>
          </c:spPr>
        </c:majorGridlines>
        <c:numFmt formatCode="#,##0" sourceLinked="0"/>
        <c:majorTickMark val="out"/>
        <c:minorTickMark val="none"/>
        <c:tickLblPos val="nextTo"/>
        <c:spPr>
          <a:ln w="3175">
            <a:solidFill>
              <a:srgbClr val="C0C0C0"/>
            </a:solidFill>
            <a:prstDash val="solid"/>
          </a:ln>
        </c:spPr>
        <c:txPr>
          <a:bodyPr rot="0" vert="horz"/>
          <a:lstStyle/>
          <a:p>
            <a:pPr>
              <a:defRPr/>
            </a:pPr>
            <a:endParaRPr lang="cs-CZ"/>
          </a:p>
        </c:txPr>
        <c:crossAx val="153919488"/>
        <c:crosses val="autoZero"/>
        <c:crossBetween val="between"/>
        <c:majorUnit val="250"/>
        <c:minorUnit val="0.01"/>
      </c:valAx>
      <c:spPr>
        <a:noFill/>
        <a:ln w="12700">
          <a:noFill/>
          <a:prstDash val="solid"/>
        </a:ln>
      </c:spPr>
    </c:plotArea>
    <c:legend>
      <c:legendPos val="r"/>
      <c:layout>
        <c:manualLayout>
          <c:xMode val="edge"/>
          <c:yMode val="edge"/>
          <c:x val="0.72611239305056652"/>
          <c:y val="0.15544227313371939"/>
          <c:w val="0.21153146554355101"/>
          <c:h val="0.63859703703703696"/>
        </c:manualLayout>
      </c:layout>
      <c:overlay val="0"/>
      <c:spPr>
        <a:no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4940898345201"/>
          <c:y val="0.17027037037036999"/>
          <c:w val="0.64687187499999999"/>
          <c:h val="0.71118521216876396"/>
        </c:manualLayout>
      </c:layout>
      <c:barChart>
        <c:barDir val="col"/>
        <c:grouping val="percentStacked"/>
        <c:varyColors val="0"/>
        <c:ser>
          <c:idx val="4"/>
          <c:order val="0"/>
          <c:tx>
            <c:strRef>
              <c:f>A_EN!$I$275</c:f>
              <c:strCache>
                <c:ptCount val="1"/>
                <c:pt idx="0">
                  <c:v> ≥ 100 Mbit/s </c:v>
                </c:pt>
              </c:strCache>
            </c:strRef>
          </c:tx>
          <c:spPr>
            <a:solidFill>
              <a:srgbClr val="009BB4"/>
            </a:solidFill>
            <a:ln w="1905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4AE-46DE-8EE9-EA3A44D4874A}"/>
                </c:ext>
              </c:extLst>
            </c:dLbl>
            <c:dLbl>
              <c:idx val="1"/>
              <c:delete val="1"/>
              <c:extLst>
                <c:ext xmlns:c15="http://schemas.microsoft.com/office/drawing/2012/chart" uri="{CE6537A1-D6FC-4f65-9D91-7224C49458BB}"/>
                <c:ext xmlns:c16="http://schemas.microsoft.com/office/drawing/2014/chart" uri="{C3380CC4-5D6E-409C-BE32-E72D297353CC}">
                  <c16:uniqueId val="{00000001-14AE-46DE-8EE9-EA3A44D4874A}"/>
                </c:ext>
              </c:extLst>
            </c:dLbl>
            <c:spPr>
              <a:noFill/>
              <a:ln>
                <a:noFill/>
              </a:ln>
              <a:effectLst/>
            </c:spPr>
            <c:txPr>
              <a:bodyPr/>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A_EN!$H$276:$H$279</c:f>
              <c:strCache>
                <c:ptCount val="4"/>
                <c:pt idx="0">
                  <c:v>  xDSL</c:v>
                </c:pt>
                <c:pt idx="1">
                  <c:v>  Wi-Fi</c:v>
                </c:pt>
                <c:pt idx="2">
                  <c:v>  FTTx</c:v>
                </c:pt>
                <c:pt idx="3">
                  <c:v>  CATV</c:v>
                </c:pt>
              </c:strCache>
            </c:strRef>
          </c:cat>
          <c:val>
            <c:numRef>
              <c:f>A_EN!$I$276:$I$279</c:f>
              <c:numCache>
                <c:formatCode>#\ ##0.0</c:formatCode>
                <c:ptCount val="4"/>
                <c:pt idx="0">
                  <c:v>6.2E-2</c:v>
                </c:pt>
                <c:pt idx="1">
                  <c:v>19.821999999999999</c:v>
                </c:pt>
                <c:pt idx="2">
                  <c:v>170.87299999999999</c:v>
                </c:pt>
                <c:pt idx="3">
                  <c:v>437.76</c:v>
                </c:pt>
              </c:numCache>
            </c:numRef>
          </c:val>
          <c:extLst>
            <c:ext xmlns:c16="http://schemas.microsoft.com/office/drawing/2014/chart" uri="{C3380CC4-5D6E-409C-BE32-E72D297353CC}">
              <c16:uniqueId val="{00000002-14AE-46DE-8EE9-EA3A44D4874A}"/>
            </c:ext>
          </c:extLst>
        </c:ser>
        <c:ser>
          <c:idx val="1"/>
          <c:order val="1"/>
          <c:tx>
            <c:strRef>
              <c:f>A_EN!$J$275</c:f>
              <c:strCache>
                <c:ptCount val="1"/>
                <c:pt idx="0">
                  <c:v> 30–100 
Mbit/s</c:v>
                </c:pt>
              </c:strCache>
            </c:strRef>
          </c:tx>
          <c:spPr>
            <a:solidFill>
              <a:srgbClr val="00C5E9"/>
            </a:solidFill>
            <a:ln w="19050">
              <a:noFill/>
            </a:ln>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A_EN!$H$276:$H$279</c:f>
              <c:strCache>
                <c:ptCount val="4"/>
                <c:pt idx="0">
                  <c:v>  xDSL</c:v>
                </c:pt>
                <c:pt idx="1">
                  <c:v>  Wi-Fi</c:v>
                </c:pt>
                <c:pt idx="2">
                  <c:v>  FTTx</c:v>
                </c:pt>
                <c:pt idx="3">
                  <c:v>  CATV</c:v>
                </c:pt>
              </c:strCache>
            </c:strRef>
          </c:cat>
          <c:val>
            <c:numRef>
              <c:f>A_EN!$J$276:$J$279</c:f>
              <c:numCache>
                <c:formatCode>#\ ##0.0</c:formatCode>
                <c:ptCount val="4"/>
                <c:pt idx="0">
                  <c:v>113.22499999999999</c:v>
                </c:pt>
                <c:pt idx="1">
                  <c:v>251.524</c:v>
                </c:pt>
                <c:pt idx="2">
                  <c:v>226.10599999999999</c:v>
                </c:pt>
                <c:pt idx="3">
                  <c:v>86.150999999999996</c:v>
                </c:pt>
              </c:numCache>
            </c:numRef>
          </c:val>
          <c:extLst>
            <c:ext xmlns:c16="http://schemas.microsoft.com/office/drawing/2014/chart" uri="{C3380CC4-5D6E-409C-BE32-E72D297353CC}">
              <c16:uniqueId val="{00000003-14AE-46DE-8EE9-EA3A44D4874A}"/>
            </c:ext>
          </c:extLst>
        </c:ser>
        <c:ser>
          <c:idx val="0"/>
          <c:order val="2"/>
          <c:tx>
            <c:strRef>
              <c:f>A_EN!$K$275</c:f>
              <c:strCache>
                <c:ptCount val="1"/>
                <c:pt idx="0">
                  <c:v> 10–30 
Mbit/s</c:v>
                </c:pt>
              </c:strCache>
            </c:strRef>
          </c:tx>
          <c:spPr>
            <a:solidFill>
              <a:srgbClr val="47E5FF"/>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A_EN!$H$276:$H$279</c:f>
              <c:strCache>
                <c:ptCount val="4"/>
                <c:pt idx="0">
                  <c:v>  xDSL</c:v>
                </c:pt>
                <c:pt idx="1">
                  <c:v>  Wi-Fi</c:v>
                </c:pt>
                <c:pt idx="2">
                  <c:v>  FTTx</c:v>
                </c:pt>
                <c:pt idx="3">
                  <c:v>  CATV</c:v>
                </c:pt>
              </c:strCache>
            </c:strRef>
          </c:cat>
          <c:val>
            <c:numRef>
              <c:f>A_EN!$K$276:$K$279</c:f>
              <c:numCache>
                <c:formatCode>#\ ##0.0</c:formatCode>
                <c:ptCount val="4"/>
                <c:pt idx="0">
                  <c:v>449.67699999999996</c:v>
                </c:pt>
                <c:pt idx="1">
                  <c:v>486.52</c:v>
                </c:pt>
                <c:pt idx="2">
                  <c:v>111.00699999999999</c:v>
                </c:pt>
                <c:pt idx="3">
                  <c:v>29.262</c:v>
                </c:pt>
              </c:numCache>
            </c:numRef>
          </c:val>
          <c:extLst>
            <c:ext xmlns:c16="http://schemas.microsoft.com/office/drawing/2014/chart" uri="{C3380CC4-5D6E-409C-BE32-E72D297353CC}">
              <c16:uniqueId val="{00000004-14AE-46DE-8EE9-EA3A44D4874A}"/>
            </c:ext>
          </c:extLst>
        </c:ser>
        <c:ser>
          <c:idx val="2"/>
          <c:order val="3"/>
          <c:tx>
            <c:strRef>
              <c:f>A_EN!$L$275</c:f>
              <c:strCache>
                <c:ptCount val="1"/>
                <c:pt idx="0">
                  <c:v> &lt; 10 Mbit/s </c:v>
                </c:pt>
              </c:strCache>
            </c:strRef>
          </c:tx>
          <c:spPr>
            <a:solidFill>
              <a:srgbClr val="ABF3FF"/>
            </a:solidFill>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5-14AE-46DE-8EE9-EA3A44D4874A}"/>
                </c:ext>
              </c:extLst>
            </c:dLbl>
            <c:dLbl>
              <c:idx val="3"/>
              <c:delete val="1"/>
              <c:extLst>
                <c:ext xmlns:c15="http://schemas.microsoft.com/office/drawing/2012/chart" uri="{CE6537A1-D6FC-4f65-9D91-7224C49458BB}"/>
                <c:ext xmlns:c16="http://schemas.microsoft.com/office/drawing/2014/chart" uri="{C3380CC4-5D6E-409C-BE32-E72D297353CC}">
                  <c16:uniqueId val="{00000006-14AE-46DE-8EE9-EA3A44D4874A}"/>
                </c:ext>
              </c:extLst>
            </c:dLbl>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A_EN!$H$276:$H$279</c:f>
              <c:strCache>
                <c:ptCount val="4"/>
                <c:pt idx="0">
                  <c:v>  xDSL</c:v>
                </c:pt>
                <c:pt idx="1">
                  <c:v>  Wi-Fi</c:v>
                </c:pt>
                <c:pt idx="2">
                  <c:v>  FTTx</c:v>
                </c:pt>
                <c:pt idx="3">
                  <c:v>  CATV</c:v>
                </c:pt>
              </c:strCache>
            </c:strRef>
          </c:cat>
          <c:val>
            <c:numRef>
              <c:f>A_EN!$L$276:$L$279</c:f>
              <c:numCache>
                <c:formatCode>#\ ##0.0</c:formatCode>
                <c:ptCount val="4"/>
                <c:pt idx="0">
                  <c:v>341.39099999999996</c:v>
                </c:pt>
                <c:pt idx="1">
                  <c:v>309.73699999999997</c:v>
                </c:pt>
                <c:pt idx="2">
                  <c:v>14.565999999999999</c:v>
                </c:pt>
                <c:pt idx="3">
                  <c:v>10.101000000000001</c:v>
                </c:pt>
              </c:numCache>
            </c:numRef>
          </c:val>
          <c:extLst>
            <c:ext xmlns:c16="http://schemas.microsoft.com/office/drawing/2014/chart" uri="{C3380CC4-5D6E-409C-BE32-E72D297353CC}">
              <c16:uniqueId val="{00000007-14AE-46DE-8EE9-EA3A44D4874A}"/>
            </c:ext>
          </c:extLst>
        </c:ser>
        <c:dLbls>
          <c:showLegendKey val="0"/>
          <c:showVal val="0"/>
          <c:showCatName val="0"/>
          <c:showSerName val="0"/>
          <c:showPercent val="0"/>
          <c:showBubbleSize val="0"/>
        </c:dLbls>
        <c:gapWidth val="50"/>
        <c:overlap val="100"/>
        <c:axId val="153921024"/>
        <c:axId val="154092096"/>
      </c:barChart>
      <c:catAx>
        <c:axId val="1539210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4092096"/>
        <c:crosses val="autoZero"/>
        <c:auto val="1"/>
        <c:lblAlgn val="ctr"/>
        <c:lblOffset val="100"/>
        <c:noMultiLvlLbl val="0"/>
      </c:catAx>
      <c:valAx>
        <c:axId val="154092096"/>
        <c:scaling>
          <c:orientation val="minMax"/>
          <c:max val="1"/>
          <c:min val="0"/>
        </c:scaling>
        <c:delete val="0"/>
        <c:axPos val="l"/>
        <c:majorGridlines>
          <c:spPr>
            <a:ln w="12700">
              <a:solidFill>
                <a:srgbClr val="A6A6A6">
                  <a:alpha val="39000"/>
                </a:srgbClr>
              </a:solidFill>
              <a:prstDash val="solid"/>
            </a:ln>
          </c:spPr>
        </c:majorGridlines>
        <c:numFmt formatCode="0%" sourceLinked="0"/>
        <c:majorTickMark val="out"/>
        <c:minorTickMark val="none"/>
        <c:tickLblPos val="nextTo"/>
        <c:spPr>
          <a:ln w="3175">
            <a:solidFill>
              <a:srgbClr val="C0C0C0"/>
            </a:solidFill>
            <a:prstDash val="solid"/>
          </a:ln>
        </c:spPr>
        <c:txPr>
          <a:bodyPr rot="0" vert="horz"/>
          <a:lstStyle/>
          <a:p>
            <a:pPr>
              <a:defRPr/>
            </a:pPr>
            <a:endParaRPr lang="cs-CZ"/>
          </a:p>
        </c:txPr>
        <c:crossAx val="153921024"/>
        <c:crosses val="autoZero"/>
        <c:crossBetween val="between"/>
        <c:majorUnit val="0.1"/>
        <c:minorUnit val="0.01"/>
      </c:valAx>
      <c:spPr>
        <a:noFill/>
        <a:ln w="12700">
          <a:noFill/>
          <a:prstDash val="solid"/>
        </a:ln>
      </c:spPr>
    </c:plotArea>
    <c:legend>
      <c:legendPos val="r"/>
      <c:layout>
        <c:manualLayout>
          <c:xMode val="edge"/>
          <c:yMode val="edge"/>
          <c:x val="0.78956354166666598"/>
          <c:y val="0.16997370370370399"/>
          <c:w val="0.19383109833971901"/>
          <c:h val="0.71922025761014796"/>
        </c:manualLayout>
      </c:layout>
      <c:overlay val="0"/>
      <c:spPr>
        <a:no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cs-CZ" sz="800"/>
              <a:t>Figure</a:t>
            </a:r>
            <a:r>
              <a:rPr lang="en-US" sz="800"/>
              <a:t> A1</a:t>
            </a:r>
            <a:r>
              <a:rPr lang="cs-CZ" sz="800"/>
              <a:t>8</a:t>
            </a:r>
            <a:r>
              <a:rPr lang="en-US" sz="800"/>
              <a:t> </a:t>
            </a:r>
            <a:r>
              <a:rPr lang="cs-CZ" sz="800"/>
              <a:t>Fixed broadband subscriptions with advertised maximum download speed 100 Mbit/s and more per 100 inhabitants in EU countries</a:t>
            </a:r>
            <a:endParaRPr lang="en-US" sz="800"/>
          </a:p>
        </c:rich>
      </c:tx>
      <c:layout>
        <c:manualLayout>
          <c:xMode val="edge"/>
          <c:yMode val="edge"/>
          <c:x val="0.10178609398256432"/>
          <c:y val="3.8807549832421941E-2"/>
        </c:manualLayout>
      </c:layout>
      <c:overlay val="0"/>
    </c:title>
    <c:autoTitleDeleted val="0"/>
    <c:plotArea>
      <c:layout>
        <c:manualLayout>
          <c:layoutTarget val="inner"/>
          <c:xMode val="edge"/>
          <c:yMode val="edge"/>
          <c:x val="6.1240466798159102E-2"/>
          <c:y val="0.147937254901961"/>
          <c:w val="0.91664217619986899"/>
          <c:h val="0.58765849673202597"/>
        </c:manualLayout>
      </c:layout>
      <c:barChart>
        <c:barDir val="col"/>
        <c:grouping val="clustered"/>
        <c:varyColors val="0"/>
        <c:ser>
          <c:idx val="0"/>
          <c:order val="0"/>
          <c:tx>
            <c:strRef>
              <c:f>A_EN!$C$316</c:f>
              <c:strCache>
                <c:ptCount val="1"/>
                <c:pt idx="0">
                  <c:v> 2016</c:v>
                </c:pt>
              </c:strCache>
            </c:strRef>
          </c:tx>
          <c:spPr>
            <a:solidFill>
              <a:srgbClr val="009BB4"/>
            </a:solidFill>
          </c:spPr>
          <c:invertIfNegative val="0"/>
          <c:dPt>
            <c:idx val="10"/>
            <c:invertIfNegative val="0"/>
            <c:bubble3D val="0"/>
            <c:spPr>
              <a:solidFill>
                <a:srgbClr val="009BB4"/>
              </a:solidFill>
              <a:ln>
                <a:noFill/>
              </a:ln>
            </c:spPr>
            <c:extLst>
              <c:ext xmlns:c16="http://schemas.microsoft.com/office/drawing/2014/chart" uri="{C3380CC4-5D6E-409C-BE32-E72D297353CC}">
                <c16:uniqueId val="{00000001-98FD-4B10-9C45-4C5B7E396C5D}"/>
              </c:ext>
            </c:extLst>
          </c:dPt>
          <c:dPt>
            <c:idx val="13"/>
            <c:invertIfNegative val="0"/>
            <c:bubble3D val="0"/>
            <c:spPr>
              <a:solidFill>
                <a:srgbClr val="009BB4"/>
              </a:solidFill>
              <a:ln>
                <a:solidFill>
                  <a:srgbClr val="FF0000"/>
                </a:solidFill>
              </a:ln>
            </c:spPr>
            <c:extLst>
              <c:ext xmlns:c16="http://schemas.microsoft.com/office/drawing/2014/chart" uri="{C3380CC4-5D6E-409C-BE32-E72D297353CC}">
                <c16:uniqueId val="{00000003-98FD-4B10-9C45-4C5B7E396C5D}"/>
              </c:ext>
            </c:extLst>
          </c:dPt>
          <c:dPt>
            <c:idx val="14"/>
            <c:invertIfNegative val="0"/>
            <c:bubble3D val="0"/>
            <c:spPr>
              <a:solidFill>
                <a:srgbClr val="009BB4"/>
              </a:solidFill>
              <a:ln>
                <a:solidFill>
                  <a:srgbClr val="FF0000"/>
                </a:solidFill>
              </a:ln>
            </c:spPr>
            <c:extLst>
              <c:ext xmlns:c16="http://schemas.microsoft.com/office/drawing/2014/chart" uri="{C3380CC4-5D6E-409C-BE32-E72D297353CC}">
                <c16:uniqueId val="{00000005-98FD-4B10-9C45-4C5B7E396C5D}"/>
              </c:ext>
            </c:extLst>
          </c:dPt>
          <c:dPt>
            <c:idx val="19"/>
            <c:invertIfNegative val="0"/>
            <c:bubble3D val="0"/>
            <c:spPr>
              <a:solidFill>
                <a:srgbClr val="009BB4"/>
              </a:solidFill>
              <a:ln>
                <a:noFill/>
              </a:ln>
            </c:spPr>
            <c:extLst>
              <c:ext xmlns:c16="http://schemas.microsoft.com/office/drawing/2014/chart" uri="{C3380CC4-5D6E-409C-BE32-E72D297353CC}">
                <c16:uniqueId val="{00000007-98FD-4B10-9C45-4C5B7E396C5D}"/>
              </c:ext>
            </c:extLst>
          </c:dPt>
          <c:dLbls>
            <c:dLbl>
              <c:idx val="15"/>
              <c:layout>
                <c:manualLayout>
                  <c:x val="0"/>
                  <c:y val="8.76758169934641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8FD-4B10-9C45-4C5B7E396C5D}"/>
                </c:ext>
              </c:extLst>
            </c:dLbl>
            <c:dLbl>
              <c:idx val="16"/>
              <c:layout>
                <c:manualLayout>
                  <c:x val="-7.6538673127505804E-17"/>
                  <c:y val="-3.6313725490196799E-3"/>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8FD-4B10-9C45-4C5B7E396C5D}"/>
                </c:ext>
              </c:extLst>
            </c:dLbl>
            <c:dLbl>
              <c:idx val="17"/>
              <c:layout>
                <c:manualLayout>
                  <c:x val="0"/>
                  <c:y val="5.1895424836601305E-4"/>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8FD-4B10-9C45-4C5B7E396C5D}"/>
                </c:ext>
              </c:extLst>
            </c:dLbl>
            <c:dLbl>
              <c:idx val="18"/>
              <c:layout>
                <c:manualLayout>
                  <c:x val="-1.5307734625501001E-16"/>
                  <c:y val="-3.6313725490196101E-3"/>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8FD-4B10-9C45-4C5B7E396C5D}"/>
                </c:ext>
              </c:extLst>
            </c:dLbl>
            <c:dLbl>
              <c:idx val="19"/>
              <c:layout>
                <c:manualLayout>
                  <c:x val="-7.6538673127505804E-17"/>
                  <c:y val="-1.41601307189542E-2"/>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8FD-4B10-9C45-4C5B7E396C5D}"/>
                </c:ext>
              </c:extLst>
            </c:dLbl>
            <c:dLbl>
              <c:idx val="20"/>
              <c:layout>
                <c:manualLayout>
                  <c:x val="0"/>
                  <c:y val="5.4669934640522904E-3"/>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8FD-4B10-9C45-4C5B7E396C5D}"/>
                </c:ext>
              </c:extLst>
            </c:dLbl>
            <c:dLbl>
              <c:idx val="21"/>
              <c:layout>
                <c:manualLayout>
                  <c:x val="-1.64365549134011E-7"/>
                  <c:y val="2.74183006535948E-4"/>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98FD-4B10-9C45-4C5B7E396C5D}"/>
                </c:ext>
              </c:extLst>
            </c:dLbl>
            <c:dLbl>
              <c:idx val="22"/>
              <c:layout>
                <c:manualLayout>
                  <c:x val="0"/>
                  <c:y val="-3.4159803921568602E-2"/>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8FD-4B10-9C45-4C5B7E396C5D}"/>
                </c:ext>
              </c:extLst>
            </c:dLbl>
            <c:dLbl>
              <c:idx val="23"/>
              <c:layout>
                <c:manualLayout>
                  <c:x val="-2.0874424720578599E-3"/>
                  <c:y val="-3.8762091503268002E-2"/>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98FD-4B10-9C45-4C5B7E396C5D}"/>
                </c:ext>
              </c:extLst>
            </c:dLbl>
            <c:dLbl>
              <c:idx val="24"/>
              <c:layout>
                <c:manualLayout>
                  <c:x val="-2.08744247205801E-3"/>
                  <c:y val="-4.3949019607843101E-2"/>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98FD-4B10-9C45-4C5B7E396C5D}"/>
                </c:ext>
              </c:extLst>
            </c:dLbl>
            <c:dLbl>
              <c:idx val="25"/>
              <c:layout>
                <c:manualLayout>
                  <c:x val="-1.5307734625501001E-16"/>
                  <c:y val="-4.4683333333333297E-2"/>
                </c:manualLayout>
              </c:layout>
              <c:numFmt formatCode="#,##0.0" sourceLinked="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98FD-4B10-9C45-4C5B7E396C5D}"/>
                </c:ext>
              </c:extLst>
            </c:dLbl>
            <c:dLbl>
              <c:idx val="26"/>
              <c:numFmt formatCode="#,##0.0" sourceLinked="0"/>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2-98FD-4B10-9C45-4C5B7E396C5D}"/>
                </c:ext>
              </c:extLst>
            </c:dLbl>
            <c:dLbl>
              <c:idx val="27"/>
              <c:numFmt formatCode="#,##0.0" sourceLinked="0"/>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3-98FD-4B10-9C45-4C5B7E396C5D}"/>
                </c:ext>
              </c:extLst>
            </c:dLbl>
            <c:numFmt formatCode="#,##0.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A_EN!$B$317:$B$345</c:f>
              <c:strCache>
                <c:ptCount val="29"/>
                <c:pt idx="0">
                  <c:v>Sweden</c:v>
                </c:pt>
                <c:pt idx="1">
                  <c:v>Belgium</c:v>
                </c:pt>
                <c:pt idx="2">
                  <c:v>Netherlands</c:v>
                </c:pt>
                <c:pt idx="3">
                  <c:v>Portugalsko</c:v>
                </c:pt>
                <c:pt idx="4">
                  <c:v>Latvia</c:v>
                </c:pt>
                <c:pt idx="5">
                  <c:v>Romania</c:v>
                </c:pt>
                <c:pt idx="6">
                  <c:v>Hungary</c:v>
                </c:pt>
                <c:pt idx="7">
                  <c:v>Finland</c:v>
                </c:pt>
                <c:pt idx="8">
                  <c:v>Lithuania</c:v>
                </c:pt>
                <c:pt idx="9">
                  <c:v>Spain</c:v>
                </c:pt>
                <c:pt idx="10">
                  <c:v>Denmark</c:v>
                </c:pt>
                <c:pt idx="11">
                  <c:v>Luxembourg</c:v>
                </c:pt>
                <c:pt idx="12">
                  <c:v>Ireland</c:v>
                </c:pt>
                <c:pt idx="13">
                  <c:v>Czech Republic</c:v>
                </c:pt>
                <c:pt idx="14">
                  <c:v>EU28</c:v>
                </c:pt>
                <c:pt idx="15">
                  <c:v>France</c:v>
                </c:pt>
                <c:pt idx="16">
                  <c:v>United Kingdom</c:v>
                </c:pt>
                <c:pt idx="17">
                  <c:v>Slovenia</c:v>
                </c:pt>
                <c:pt idx="18">
                  <c:v>Germany</c:v>
                </c:pt>
                <c:pt idx="19">
                  <c:v>Estonia</c:v>
                </c:pt>
                <c:pt idx="20">
                  <c:v>Poland</c:v>
                </c:pt>
                <c:pt idx="21">
                  <c:v>Slovakia</c:v>
                </c:pt>
                <c:pt idx="22">
                  <c:v>Malta</c:v>
                </c:pt>
                <c:pt idx="23">
                  <c:v>Bulgaria</c:v>
                </c:pt>
                <c:pt idx="24">
                  <c:v>Austria</c:v>
                </c:pt>
                <c:pt idx="25">
                  <c:v>Italy</c:v>
                </c:pt>
                <c:pt idx="26">
                  <c:v>Croatia</c:v>
                </c:pt>
                <c:pt idx="27">
                  <c:v>Cyprus</c:v>
                </c:pt>
                <c:pt idx="28">
                  <c:v>Greece</c:v>
                </c:pt>
              </c:strCache>
            </c:strRef>
          </c:cat>
          <c:val>
            <c:numRef>
              <c:f>A_EN!$C$317:$C$345</c:f>
              <c:numCache>
                <c:formatCode>0.0</c:formatCode>
                <c:ptCount val="29"/>
                <c:pt idx="0">
                  <c:v>22.098118539000001</c:v>
                </c:pt>
                <c:pt idx="1">
                  <c:v>17.9522079975</c:v>
                </c:pt>
                <c:pt idx="2">
                  <c:v>14.3215545246</c:v>
                </c:pt>
                <c:pt idx="3">
                  <c:v>14.063973671999999</c:v>
                </c:pt>
                <c:pt idx="4">
                  <c:v>12.8048315824</c:v>
                </c:pt>
                <c:pt idx="5">
                  <c:v>12.2320764829</c:v>
                </c:pt>
                <c:pt idx="6">
                  <c:v>9.5730419383999994</c:v>
                </c:pt>
                <c:pt idx="7">
                  <c:v>8.8266655491999995</c:v>
                </c:pt>
                <c:pt idx="8">
                  <c:v>7.9659408527999869</c:v>
                </c:pt>
                <c:pt idx="9">
                  <c:v>7.3085994563999899</c:v>
                </c:pt>
                <c:pt idx="10">
                  <c:v>7.3068975671999867</c:v>
                </c:pt>
                <c:pt idx="11">
                  <c:v>6.6898372127999997</c:v>
                </c:pt>
                <c:pt idx="12">
                  <c:v>6.4529956271999858</c:v>
                </c:pt>
                <c:pt idx="13">
                  <c:v>5.9565861</c:v>
                </c:pt>
                <c:pt idx="14">
                  <c:v>5.927045734561128</c:v>
                </c:pt>
                <c:pt idx="15">
                  <c:v>5.3002810763999859</c:v>
                </c:pt>
                <c:pt idx="16">
                  <c:v>5.2370409887999996</c:v>
                </c:pt>
                <c:pt idx="17">
                  <c:v>4.6440543545999828</c:v>
                </c:pt>
                <c:pt idx="18">
                  <c:v>4.2824674256000002</c:v>
                </c:pt>
                <c:pt idx="19">
                  <c:v>3.635090885399999</c:v>
                </c:pt>
                <c:pt idx="20">
                  <c:v>3.2341315500000012</c:v>
                </c:pt>
                <c:pt idx="21">
                  <c:v>3.189783046800001</c:v>
                </c:pt>
                <c:pt idx="22">
                  <c:v>2.4311518562800001</c:v>
                </c:pt>
                <c:pt idx="23">
                  <c:v>2.2353517620000001</c:v>
                </c:pt>
                <c:pt idx="24">
                  <c:v>1.30845132652</c:v>
                </c:pt>
                <c:pt idx="25">
                  <c:v>0.74753086296000004</c:v>
                </c:pt>
                <c:pt idx="26">
                  <c:v>0.33815554063999997</c:v>
                </c:pt>
                <c:pt idx="27">
                  <c:v>6.8959954492E-2</c:v>
                </c:pt>
                <c:pt idx="28">
                  <c:v>5.2161040313999998E-3</c:v>
                </c:pt>
              </c:numCache>
            </c:numRef>
          </c:val>
          <c:extLst>
            <c:ext xmlns:c16="http://schemas.microsoft.com/office/drawing/2014/chart" uri="{C3380CC4-5D6E-409C-BE32-E72D297353CC}">
              <c16:uniqueId val="{00000014-98FD-4B10-9C45-4C5B7E396C5D}"/>
            </c:ext>
          </c:extLst>
        </c:ser>
        <c:dLbls>
          <c:showLegendKey val="0"/>
          <c:showVal val="0"/>
          <c:showCatName val="0"/>
          <c:showSerName val="0"/>
          <c:showPercent val="0"/>
          <c:showBubbleSize val="0"/>
        </c:dLbls>
        <c:gapWidth val="50"/>
        <c:axId val="165274112"/>
        <c:axId val="154094400"/>
      </c:barChart>
      <c:barChart>
        <c:barDir val="col"/>
        <c:grouping val="clustered"/>
        <c:varyColors val="0"/>
        <c:ser>
          <c:idx val="1"/>
          <c:order val="1"/>
          <c:tx>
            <c:strRef>
              <c:f>A_EN!$D$316</c:f>
              <c:strCache>
                <c:ptCount val="1"/>
                <c:pt idx="0">
                  <c:v> 2013</c:v>
                </c:pt>
              </c:strCache>
            </c:strRef>
          </c:tx>
          <c:spPr>
            <a:solidFill>
              <a:srgbClr val="47E5FF"/>
            </a:solidFill>
          </c:spPr>
          <c:invertIfNegative val="0"/>
          <c:dLbls>
            <c:dLbl>
              <c:idx val="13"/>
              <c:layout>
                <c:manualLayout>
                  <c:x val="-7.6538673127505804E-17"/>
                  <c:y val="3.6721241830065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98FD-4B10-9C45-4C5B7E396C5D}"/>
                </c:ext>
              </c:extLst>
            </c:dLbl>
            <c:dLbl>
              <c:idx val="14"/>
              <c:layout>
                <c:manualLayout>
                  <c:x val="0"/>
                  <c:y val="5.37297385620914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98FD-4B10-9C45-4C5B7E396C5D}"/>
                </c:ext>
              </c:extLst>
            </c:dLbl>
            <c:dLbl>
              <c:idx val="15"/>
              <c:layout>
                <c:manualLayout>
                  <c:x val="0"/>
                  <c:y val="6.037973856209150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98FD-4B10-9C45-4C5B7E396C5D}"/>
                </c:ext>
              </c:extLst>
            </c:dLbl>
            <c:dLbl>
              <c:idx val="18"/>
              <c:layout>
                <c:manualLayout>
                  <c:x val="-7.6538673127505804E-17"/>
                  <c:y val="2.554836601307190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98FD-4B10-9C45-4C5B7E396C5D}"/>
                </c:ext>
              </c:extLst>
            </c:dLbl>
            <c:dLbl>
              <c:idx val="19"/>
              <c:layout>
                <c:manualLayout>
                  <c:x val="-7.6538673127505804E-17"/>
                  <c:y val="3.9092156862745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98FD-4B10-9C45-4C5B7E396C5D}"/>
                </c:ext>
              </c:extLst>
            </c:dLbl>
            <c:dLbl>
              <c:idx val="20"/>
              <c:layout>
                <c:manualLayout>
                  <c:x val="2.0874424720578599E-3"/>
                  <c:y val="1.79143790849673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98FD-4B10-9C45-4C5B7E396C5D}"/>
                </c:ext>
              </c:extLst>
            </c:dLbl>
            <c:dLbl>
              <c:idx val="25"/>
              <c:layout>
                <c:manualLayout>
                  <c:x val="2.08744247205801E-3"/>
                  <c:y val="1.038366013071899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98FD-4B10-9C45-4C5B7E396C5D}"/>
                </c:ext>
              </c:extLst>
            </c:dLbl>
            <c:dLbl>
              <c:idx val="27"/>
              <c:delete val="1"/>
              <c:extLst>
                <c:ext xmlns:c15="http://schemas.microsoft.com/office/drawing/2012/chart" uri="{CE6537A1-D6FC-4f65-9D91-7224C49458BB}"/>
                <c:ext xmlns:c16="http://schemas.microsoft.com/office/drawing/2014/chart" uri="{C3380CC4-5D6E-409C-BE32-E72D297353CC}">
                  <c16:uniqueId val="{0000001C-98FD-4B10-9C45-4C5B7E396C5D}"/>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A_EN!$B$317:$B$345</c:f>
              <c:strCache>
                <c:ptCount val="29"/>
                <c:pt idx="0">
                  <c:v>Sweden</c:v>
                </c:pt>
                <c:pt idx="1">
                  <c:v>Belgium</c:v>
                </c:pt>
                <c:pt idx="2">
                  <c:v>Netherlands</c:v>
                </c:pt>
                <c:pt idx="3">
                  <c:v>Portugalsko</c:v>
                </c:pt>
                <c:pt idx="4">
                  <c:v>Latvia</c:v>
                </c:pt>
                <c:pt idx="5">
                  <c:v>Romania</c:v>
                </c:pt>
                <c:pt idx="6">
                  <c:v>Hungary</c:v>
                </c:pt>
                <c:pt idx="7">
                  <c:v>Finland</c:v>
                </c:pt>
                <c:pt idx="8">
                  <c:v>Lithuania</c:v>
                </c:pt>
                <c:pt idx="9">
                  <c:v>Spain</c:v>
                </c:pt>
                <c:pt idx="10">
                  <c:v>Denmark</c:v>
                </c:pt>
                <c:pt idx="11">
                  <c:v>Luxembourg</c:v>
                </c:pt>
                <c:pt idx="12">
                  <c:v>Ireland</c:v>
                </c:pt>
                <c:pt idx="13">
                  <c:v>Czech Republic</c:v>
                </c:pt>
                <c:pt idx="14">
                  <c:v>EU28</c:v>
                </c:pt>
                <c:pt idx="15">
                  <c:v>France</c:v>
                </c:pt>
                <c:pt idx="16">
                  <c:v>United Kingdom</c:v>
                </c:pt>
                <c:pt idx="17">
                  <c:v>Slovenia</c:v>
                </c:pt>
                <c:pt idx="18">
                  <c:v>Germany</c:v>
                </c:pt>
                <c:pt idx="19">
                  <c:v>Estonia</c:v>
                </c:pt>
                <c:pt idx="20">
                  <c:v>Poland</c:v>
                </c:pt>
                <c:pt idx="21">
                  <c:v>Slovakia</c:v>
                </c:pt>
                <c:pt idx="22">
                  <c:v>Malta</c:v>
                </c:pt>
                <c:pt idx="23">
                  <c:v>Bulgaria</c:v>
                </c:pt>
                <c:pt idx="24">
                  <c:v>Austria</c:v>
                </c:pt>
                <c:pt idx="25">
                  <c:v>Italy</c:v>
                </c:pt>
                <c:pt idx="26">
                  <c:v>Croatia</c:v>
                </c:pt>
                <c:pt idx="27">
                  <c:v>Cyprus</c:v>
                </c:pt>
                <c:pt idx="28">
                  <c:v>Greece</c:v>
                </c:pt>
              </c:strCache>
            </c:strRef>
          </c:cat>
          <c:val>
            <c:numRef>
              <c:f>A_EN!$D$317:$D$345</c:f>
              <c:numCache>
                <c:formatCode>0.0</c:formatCode>
                <c:ptCount val="29"/>
                <c:pt idx="0">
                  <c:v>10.303332504</c:v>
                </c:pt>
                <c:pt idx="1">
                  <c:v>4.5449825777999759</c:v>
                </c:pt>
                <c:pt idx="2">
                  <c:v>3.7860390024600008</c:v>
                </c:pt>
                <c:pt idx="3">
                  <c:v>4.6377379418999869</c:v>
                </c:pt>
                <c:pt idx="4">
                  <c:v>8.7740425601999998</c:v>
                </c:pt>
                <c:pt idx="5">
                  <c:v>4.665518444999984</c:v>
                </c:pt>
                <c:pt idx="6">
                  <c:v>0.95248879509999995</c:v>
                </c:pt>
                <c:pt idx="7">
                  <c:v>4.9312404930000104</c:v>
                </c:pt>
                <c:pt idx="8">
                  <c:v>2.4827643084400002</c:v>
                </c:pt>
                <c:pt idx="9">
                  <c:v>1.53851838</c:v>
                </c:pt>
                <c:pt idx="10">
                  <c:v>0.68740835157000002</c:v>
                </c:pt>
                <c:pt idx="11">
                  <c:v>0.45942300270000003</c:v>
                </c:pt>
                <c:pt idx="12">
                  <c:v>1.9570971775899999</c:v>
                </c:pt>
                <c:pt idx="13">
                  <c:v>1.0324945332</c:v>
                </c:pt>
                <c:pt idx="14">
                  <c:v>1.5795134297597451</c:v>
                </c:pt>
                <c:pt idx="15">
                  <c:v>2.0389777443899999</c:v>
                </c:pt>
                <c:pt idx="16">
                  <c:v>0.48166761708</c:v>
                </c:pt>
                <c:pt idx="17">
                  <c:v>1.0953676803200001</c:v>
                </c:pt>
                <c:pt idx="18">
                  <c:v>0.91030412364000002</c:v>
                </c:pt>
                <c:pt idx="19">
                  <c:v>1.1333628363199999</c:v>
                </c:pt>
                <c:pt idx="20">
                  <c:v>0.40899013491000002</c:v>
                </c:pt>
                <c:pt idx="21">
                  <c:v>1.7090254235</c:v>
                </c:pt>
                <c:pt idx="22">
                  <c:v>0.22920480975599999</c:v>
                </c:pt>
                <c:pt idx="23">
                  <c:v>0.58693041239999999</c:v>
                </c:pt>
                <c:pt idx="24">
                  <c:v>0.55824418404999998</c:v>
                </c:pt>
                <c:pt idx="25">
                  <c:v>8.8618268397999994E-2</c:v>
                </c:pt>
                <c:pt idx="27">
                  <c:v>1.6200484679899999E-2</c:v>
                </c:pt>
              </c:numCache>
            </c:numRef>
          </c:val>
          <c:extLst>
            <c:ext xmlns:c16="http://schemas.microsoft.com/office/drawing/2014/chart" uri="{C3380CC4-5D6E-409C-BE32-E72D297353CC}">
              <c16:uniqueId val="{0000001D-98FD-4B10-9C45-4C5B7E396C5D}"/>
            </c:ext>
          </c:extLst>
        </c:ser>
        <c:dLbls>
          <c:showLegendKey val="0"/>
          <c:showVal val="0"/>
          <c:showCatName val="0"/>
          <c:showSerName val="0"/>
          <c:showPercent val="0"/>
          <c:showBubbleSize val="0"/>
        </c:dLbls>
        <c:gapWidth val="200"/>
        <c:axId val="165275648"/>
        <c:axId val="154094976"/>
      </c:barChart>
      <c:catAx>
        <c:axId val="165274112"/>
        <c:scaling>
          <c:orientation val="minMax"/>
        </c:scaling>
        <c:delete val="0"/>
        <c:axPos val="b"/>
        <c:numFmt formatCode="General" sourceLinked="0"/>
        <c:majorTickMark val="out"/>
        <c:minorTickMark val="none"/>
        <c:tickLblPos val="nextTo"/>
        <c:spPr>
          <a:ln w="3175">
            <a:solidFill>
              <a:schemeClr val="tx1"/>
            </a:solidFill>
          </a:ln>
        </c:spPr>
        <c:crossAx val="154094400"/>
        <c:crosses val="autoZero"/>
        <c:auto val="1"/>
        <c:lblAlgn val="ctr"/>
        <c:lblOffset val="100"/>
        <c:noMultiLvlLbl val="0"/>
      </c:catAx>
      <c:valAx>
        <c:axId val="154094400"/>
        <c:scaling>
          <c:orientation val="minMax"/>
          <c:max val="25"/>
          <c:min val="0"/>
        </c:scaling>
        <c:delete val="1"/>
        <c:axPos val="l"/>
        <c:numFmt formatCode="#,##0" sourceLinked="0"/>
        <c:majorTickMark val="out"/>
        <c:minorTickMark val="none"/>
        <c:tickLblPos val="nextTo"/>
        <c:crossAx val="165274112"/>
        <c:crosses val="autoZero"/>
        <c:crossBetween val="between"/>
        <c:majorUnit val="5"/>
        <c:minorUnit val="0.05"/>
      </c:valAx>
      <c:valAx>
        <c:axId val="154094976"/>
        <c:scaling>
          <c:orientation val="minMax"/>
          <c:max val="25"/>
        </c:scaling>
        <c:delete val="0"/>
        <c:axPos val="r"/>
        <c:numFmt formatCode="0.0" sourceLinked="1"/>
        <c:majorTickMark val="none"/>
        <c:minorTickMark val="none"/>
        <c:tickLblPos val="none"/>
        <c:crossAx val="165275648"/>
        <c:crosses val="max"/>
        <c:crossBetween val="between"/>
      </c:valAx>
      <c:catAx>
        <c:axId val="165275648"/>
        <c:scaling>
          <c:orientation val="minMax"/>
        </c:scaling>
        <c:delete val="1"/>
        <c:axPos val="b"/>
        <c:numFmt formatCode="General" sourceLinked="0"/>
        <c:majorTickMark val="out"/>
        <c:minorTickMark val="none"/>
        <c:tickLblPos val="none"/>
        <c:crossAx val="154094976"/>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8087689020381299"/>
          <c:y val="0.21184803921568601"/>
          <c:w val="7.1111932938855996E-2"/>
          <c:h val="0.116382098765432"/>
        </c:manualLayout>
      </c:layout>
      <c:overlay val="0"/>
      <c:spPr>
        <a:solidFill>
          <a:srgbClr val="FFFFFF"/>
        </a:solidFill>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 A19 Mobile broadband subscriptions in the Czech Republic</a:t>
            </a:r>
            <a:endParaRPr lang="en-US" sz="800" b="1" strike="sngStrike" baseline="0">
              <a:solidFill>
                <a:srgbClr val="FF0000"/>
              </a:solidFill>
            </a:endParaRPr>
          </a:p>
        </c:rich>
      </c:tx>
      <c:layout>
        <c:manualLayout>
          <c:xMode val="edge"/>
          <c:yMode val="edge"/>
          <c:x val="0.1168369708994709"/>
          <c:y val="1.0080645161290322E-2"/>
        </c:manualLayout>
      </c:layout>
      <c:overlay val="1"/>
    </c:title>
    <c:autoTitleDeleted val="0"/>
    <c:plotArea>
      <c:layout>
        <c:manualLayout>
          <c:layoutTarget val="inner"/>
          <c:xMode val="edge"/>
          <c:yMode val="edge"/>
          <c:x val="2.2538872296135399E-2"/>
          <c:y val="0.15293293650793699"/>
          <c:w val="0.95492225540772901"/>
          <c:h val="0.64734206349206302"/>
        </c:manualLayout>
      </c:layout>
      <c:barChart>
        <c:barDir val="col"/>
        <c:grouping val="clustered"/>
        <c:varyColors val="0"/>
        <c:ser>
          <c:idx val="2"/>
          <c:order val="0"/>
          <c:tx>
            <c:strRef>
              <c:f>A_EN!$A$349</c:f>
              <c:strCache>
                <c:ptCount val="1"/>
                <c:pt idx="0">
                  <c:v>thousands</c:v>
                </c:pt>
              </c:strCache>
            </c:strRef>
          </c:tx>
          <c:spPr>
            <a:solidFill>
              <a:srgbClr val="009BB4"/>
            </a:solidFill>
            <a:ln w="25400">
              <a:noFill/>
            </a:ln>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A_EN!$B$348:$F$348</c:f>
              <c:numCache>
                <c:formatCode>General</c:formatCode>
                <c:ptCount val="5"/>
                <c:pt idx="0">
                  <c:v>2012</c:v>
                </c:pt>
                <c:pt idx="1">
                  <c:v>2013</c:v>
                </c:pt>
                <c:pt idx="2">
                  <c:v>2014</c:v>
                </c:pt>
                <c:pt idx="3">
                  <c:v>2015</c:v>
                </c:pt>
                <c:pt idx="4">
                  <c:v>2016</c:v>
                </c:pt>
              </c:numCache>
            </c:numRef>
          </c:cat>
          <c:val>
            <c:numRef>
              <c:f>A_EN!$B$349:$F$349</c:f>
              <c:numCache>
                <c:formatCode>#,##0.00</c:formatCode>
                <c:ptCount val="5"/>
                <c:pt idx="0">
                  <c:v>4643</c:v>
                </c:pt>
                <c:pt idx="1">
                  <c:v>5949.9160000000002</c:v>
                </c:pt>
                <c:pt idx="2">
                  <c:v>7164.6231710000002</c:v>
                </c:pt>
                <c:pt idx="3">
                  <c:v>7917.6924100000006</c:v>
                </c:pt>
                <c:pt idx="4">
                  <c:v>8530.1409999999905</c:v>
                </c:pt>
              </c:numCache>
            </c:numRef>
          </c:val>
          <c:extLst>
            <c:ext xmlns:c16="http://schemas.microsoft.com/office/drawing/2014/chart" uri="{C3380CC4-5D6E-409C-BE32-E72D297353CC}">
              <c16:uniqueId val="{00000000-2ECC-4BAE-BF50-16285373C1C0}"/>
            </c:ext>
          </c:extLst>
        </c:ser>
        <c:dLbls>
          <c:showLegendKey val="0"/>
          <c:showVal val="0"/>
          <c:showCatName val="0"/>
          <c:showSerName val="0"/>
          <c:showPercent val="0"/>
          <c:showBubbleSize val="0"/>
        </c:dLbls>
        <c:gapWidth val="40"/>
        <c:axId val="165274624"/>
        <c:axId val="154096128"/>
      </c:barChart>
      <c:lineChart>
        <c:grouping val="standard"/>
        <c:varyColors val="0"/>
        <c:ser>
          <c:idx val="0"/>
          <c:order val="1"/>
          <c:tx>
            <c:strRef>
              <c:f>A_EN!$A$350</c:f>
              <c:strCache>
                <c:ptCount val="1"/>
                <c:pt idx="0">
                  <c:v>per 100 inhabitants</c:v>
                </c:pt>
              </c:strCache>
            </c:strRef>
          </c:tx>
          <c:spPr>
            <a:ln w="12700">
              <a:solidFill>
                <a:srgbClr val="009BB4"/>
              </a:solidFill>
            </a:ln>
          </c:spPr>
          <c:marker>
            <c:symbol val="diamond"/>
            <c:size val="4"/>
            <c:spPr>
              <a:solidFill>
                <a:srgbClr val="47E5FF"/>
              </a:solidFill>
              <a:ln w="12700">
                <a:solidFill>
                  <a:srgbClr val="009BB4"/>
                </a:solidFill>
              </a:ln>
            </c:spPr>
          </c:marker>
          <c:dLbls>
            <c:dLbl>
              <c:idx val="2"/>
              <c:layout>
                <c:manualLayout>
                  <c:x val="-0.10410119047619"/>
                  <c:y val="-2.56896825396824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ECC-4BAE-BF50-16285373C1C0}"/>
                </c:ext>
              </c:extLst>
            </c:dLbl>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A_EN!$B$348:$F$348</c:f>
              <c:numCache>
                <c:formatCode>General</c:formatCode>
                <c:ptCount val="5"/>
                <c:pt idx="0">
                  <c:v>2012</c:v>
                </c:pt>
                <c:pt idx="1">
                  <c:v>2013</c:v>
                </c:pt>
                <c:pt idx="2">
                  <c:v>2014</c:v>
                </c:pt>
                <c:pt idx="3">
                  <c:v>2015</c:v>
                </c:pt>
                <c:pt idx="4">
                  <c:v>2016</c:v>
                </c:pt>
              </c:numCache>
            </c:numRef>
          </c:cat>
          <c:val>
            <c:numRef>
              <c:f>A_EN!$B$350:$F$350</c:f>
              <c:numCache>
                <c:formatCode>0.0</c:formatCode>
                <c:ptCount val="5"/>
                <c:pt idx="0">
                  <c:v>44.151243923022953</c:v>
                </c:pt>
                <c:pt idx="1">
                  <c:v>56.59892361596318</c:v>
                </c:pt>
                <c:pt idx="2">
                  <c:v>67.986678759094673</c:v>
                </c:pt>
                <c:pt idx="3">
                  <c:v>75.021889277678284</c:v>
                </c:pt>
                <c:pt idx="4">
                  <c:v>80.634144450893402</c:v>
                </c:pt>
              </c:numCache>
            </c:numRef>
          </c:val>
          <c:smooth val="0"/>
          <c:extLst>
            <c:ext xmlns:c16="http://schemas.microsoft.com/office/drawing/2014/chart" uri="{C3380CC4-5D6E-409C-BE32-E72D297353CC}">
              <c16:uniqueId val="{00000002-2ECC-4BAE-BF50-16285373C1C0}"/>
            </c:ext>
          </c:extLst>
        </c:ser>
        <c:dLbls>
          <c:showLegendKey val="0"/>
          <c:showVal val="0"/>
          <c:showCatName val="0"/>
          <c:showSerName val="0"/>
          <c:showPercent val="0"/>
          <c:showBubbleSize val="0"/>
        </c:dLbls>
        <c:marker val="1"/>
        <c:smooth val="0"/>
        <c:axId val="165276672"/>
        <c:axId val="154096704"/>
      </c:lineChart>
      <c:catAx>
        <c:axId val="1652746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4096128"/>
        <c:crosses val="autoZero"/>
        <c:auto val="1"/>
        <c:lblAlgn val="ctr"/>
        <c:lblOffset val="140"/>
        <c:tickLblSkip val="1"/>
        <c:tickMarkSkip val="1"/>
        <c:noMultiLvlLbl val="0"/>
      </c:catAx>
      <c:valAx>
        <c:axId val="154096128"/>
        <c:scaling>
          <c:orientation val="minMax"/>
          <c:max val="12000"/>
          <c:min val="0"/>
        </c:scaling>
        <c:delete val="0"/>
        <c:axPos val="l"/>
        <c:numFmt formatCode="#,##0.00" sourceLinked="1"/>
        <c:majorTickMark val="none"/>
        <c:minorTickMark val="none"/>
        <c:tickLblPos val="none"/>
        <c:spPr>
          <a:ln w="9525">
            <a:noFill/>
          </a:ln>
        </c:spPr>
        <c:crossAx val="165274624"/>
        <c:crosses val="autoZero"/>
        <c:crossBetween val="between"/>
        <c:majorUnit val="1000"/>
        <c:minorUnit val="0.1"/>
      </c:valAx>
      <c:catAx>
        <c:axId val="165276672"/>
        <c:scaling>
          <c:orientation val="minMax"/>
        </c:scaling>
        <c:delete val="1"/>
        <c:axPos val="b"/>
        <c:numFmt formatCode="General" sourceLinked="1"/>
        <c:majorTickMark val="out"/>
        <c:minorTickMark val="none"/>
        <c:tickLblPos val="none"/>
        <c:crossAx val="154096704"/>
        <c:crosses val="autoZero"/>
        <c:auto val="1"/>
        <c:lblAlgn val="ctr"/>
        <c:lblOffset val="100"/>
        <c:noMultiLvlLbl val="0"/>
      </c:catAx>
      <c:valAx>
        <c:axId val="154096704"/>
        <c:scaling>
          <c:orientation val="minMax"/>
          <c:max val="100"/>
          <c:min val="0"/>
        </c:scaling>
        <c:delete val="0"/>
        <c:axPos val="r"/>
        <c:numFmt formatCode="0.0" sourceLinked="1"/>
        <c:majorTickMark val="none"/>
        <c:minorTickMark val="none"/>
        <c:tickLblPos val="none"/>
        <c:crossAx val="165276672"/>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3.6577050264550298E-2"/>
          <c:y val="0.175384126984127"/>
          <c:w val="0.50055820105820104"/>
          <c:h val="0.11724960317460301"/>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a:t>
            </a:r>
            <a:r>
              <a:rPr lang="en-US" sz="800" b="1" i="0" baseline="0">
                <a:effectLst/>
              </a:rPr>
              <a:t> </a:t>
            </a:r>
            <a:r>
              <a:rPr lang="cs-CZ" sz="800" b="1" i="0" baseline="0">
                <a:effectLst/>
              </a:rPr>
              <a:t>A2</a:t>
            </a:r>
            <a:r>
              <a:rPr lang="en-US" sz="800" b="1" i="0" baseline="0">
                <a:effectLst/>
              </a:rPr>
              <a:t> </a:t>
            </a:r>
            <a:r>
              <a:rPr lang="cs-CZ" sz="800" b="1" i="0" baseline="0">
                <a:effectLst/>
                <a:latin typeface="Arial" panose="020B0604020202020204" pitchFamily="34" charset="0"/>
                <a:cs typeface="Arial" panose="020B0604020202020204" pitchFamily="34" charset="0"/>
              </a:rPr>
              <a:t>Fixed-telephone voice subscriptions in the Czech Republic using VoIP</a:t>
            </a:r>
            <a:endParaRPr lang="en-US" sz="800" b="1"/>
          </a:p>
        </c:rich>
      </c:tx>
      <c:layout/>
      <c:overlay val="1"/>
    </c:title>
    <c:autoTitleDeleted val="0"/>
    <c:plotArea>
      <c:layout>
        <c:manualLayout>
          <c:layoutTarget val="inner"/>
          <c:xMode val="edge"/>
          <c:yMode val="edge"/>
          <c:x val="2.2538872296135399E-2"/>
          <c:y val="0.15293293650793699"/>
          <c:w val="0.95492225540772901"/>
          <c:h val="0.64734206349206302"/>
        </c:manualLayout>
      </c:layout>
      <c:barChart>
        <c:barDir val="col"/>
        <c:grouping val="clustered"/>
        <c:varyColors val="0"/>
        <c:ser>
          <c:idx val="2"/>
          <c:order val="0"/>
          <c:tx>
            <c:strRef>
              <c:f>A_EN!$A$9</c:f>
              <c:strCache>
                <c:ptCount val="1"/>
                <c:pt idx="0">
                  <c:v> thousands</c:v>
                </c:pt>
              </c:strCache>
            </c:strRef>
          </c:tx>
          <c:spPr>
            <a:solidFill>
              <a:srgbClr val="009BB4"/>
            </a:solidFill>
            <a:ln w="25400">
              <a:noFill/>
            </a:ln>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A_EN!$B$8:$J$8</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A_EN!$B$9:$J$9</c:f>
              <c:numCache>
                <c:formatCode>0.0</c:formatCode>
                <c:ptCount val="9"/>
                <c:pt idx="0">
                  <c:v>309</c:v>
                </c:pt>
                <c:pt idx="1">
                  <c:v>387</c:v>
                </c:pt>
                <c:pt idx="2">
                  <c:v>462.48899999999998</c:v>
                </c:pt>
                <c:pt idx="3">
                  <c:v>578.68499999999995</c:v>
                </c:pt>
                <c:pt idx="4">
                  <c:v>625</c:v>
                </c:pt>
                <c:pt idx="5">
                  <c:v>747</c:v>
                </c:pt>
                <c:pt idx="6">
                  <c:v>853.255</c:v>
                </c:pt>
                <c:pt idx="7">
                  <c:v>899.76499999999999</c:v>
                </c:pt>
                <c:pt idx="8">
                  <c:v>917.245</c:v>
                </c:pt>
              </c:numCache>
            </c:numRef>
          </c:val>
          <c:extLst>
            <c:ext xmlns:c16="http://schemas.microsoft.com/office/drawing/2014/chart" uri="{C3380CC4-5D6E-409C-BE32-E72D297353CC}">
              <c16:uniqueId val="{00000000-A289-40A0-999B-8749F0FA6999}"/>
            </c:ext>
          </c:extLst>
        </c:ser>
        <c:dLbls>
          <c:showLegendKey val="0"/>
          <c:showVal val="0"/>
          <c:showCatName val="0"/>
          <c:showSerName val="0"/>
          <c:showPercent val="0"/>
          <c:showBubbleSize val="0"/>
        </c:dLbls>
        <c:gapWidth val="40"/>
        <c:axId val="136763904"/>
        <c:axId val="64250432"/>
      </c:barChart>
      <c:lineChart>
        <c:grouping val="standard"/>
        <c:varyColors val="0"/>
        <c:ser>
          <c:idx val="0"/>
          <c:order val="1"/>
          <c:tx>
            <c:strRef>
              <c:f>A_EN!$A$10</c:f>
              <c:strCache>
                <c:ptCount val="1"/>
                <c:pt idx="0">
                  <c:v> per 100 inhabitants</c:v>
                </c:pt>
              </c:strCache>
            </c:strRef>
          </c:tx>
          <c:spPr>
            <a:ln w="12700">
              <a:solidFill>
                <a:srgbClr val="009BB4"/>
              </a:solidFill>
            </a:ln>
          </c:spPr>
          <c:marker>
            <c:symbol val="diamond"/>
            <c:size val="4"/>
            <c:spPr>
              <a:solidFill>
                <a:srgbClr val="47E5FF"/>
              </a:solidFill>
              <a:ln w="12700">
                <a:solidFill>
                  <a:srgbClr val="009BB4"/>
                </a:solidFill>
              </a:ln>
            </c:spPr>
          </c:marker>
          <c:dLbls>
            <c:spPr>
              <a:noFill/>
              <a:ln>
                <a:noFill/>
              </a:ln>
              <a:effectLst/>
            </c:spPr>
            <c:txPr>
              <a:bodyPr/>
              <a:lstStyle/>
              <a:p>
                <a:pPr>
                  <a:defRPr b="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A_EN!$B$8:$J$8</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A_EN!$B$10:$J$10</c:f>
              <c:numCache>
                <c:formatCode>0.0</c:formatCode>
                <c:ptCount val="9"/>
                <c:pt idx="0">
                  <c:v>2.9519824233807608</c:v>
                </c:pt>
                <c:pt idx="1">
                  <c:v>3.683324334410444</c:v>
                </c:pt>
                <c:pt idx="2">
                  <c:v>4.39095318705336</c:v>
                </c:pt>
                <c:pt idx="3">
                  <c:v>5.5084292002861366</c:v>
                </c:pt>
                <c:pt idx="4">
                  <c:v>5.9432538125973204</c:v>
                </c:pt>
                <c:pt idx="5">
                  <c:v>7.1058811487631894</c:v>
                </c:pt>
                <c:pt idx="6">
                  <c:v>8.0967236098887145</c:v>
                </c:pt>
                <c:pt idx="7">
                  <c:v>8.5254726643176326</c:v>
                </c:pt>
                <c:pt idx="8">
                  <c:v>8.6705795164300028</c:v>
                </c:pt>
              </c:numCache>
            </c:numRef>
          </c:val>
          <c:smooth val="0"/>
          <c:extLst>
            <c:ext xmlns:c16="http://schemas.microsoft.com/office/drawing/2014/chart" uri="{C3380CC4-5D6E-409C-BE32-E72D297353CC}">
              <c16:uniqueId val="{00000001-A289-40A0-999B-8749F0FA6999}"/>
            </c:ext>
          </c:extLst>
        </c:ser>
        <c:dLbls>
          <c:showLegendKey val="0"/>
          <c:showVal val="0"/>
          <c:showCatName val="0"/>
          <c:showSerName val="0"/>
          <c:showPercent val="0"/>
          <c:showBubbleSize val="0"/>
        </c:dLbls>
        <c:marker val="1"/>
        <c:smooth val="0"/>
        <c:axId val="143080448"/>
        <c:axId val="64251008"/>
      </c:lineChart>
      <c:catAx>
        <c:axId val="1367639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64250432"/>
        <c:crosses val="autoZero"/>
        <c:auto val="1"/>
        <c:lblAlgn val="ctr"/>
        <c:lblOffset val="140"/>
        <c:tickLblSkip val="1"/>
        <c:tickMarkSkip val="1"/>
        <c:noMultiLvlLbl val="0"/>
      </c:catAx>
      <c:valAx>
        <c:axId val="64250432"/>
        <c:scaling>
          <c:orientation val="minMax"/>
          <c:max val="1500"/>
          <c:min val="0"/>
        </c:scaling>
        <c:delete val="0"/>
        <c:axPos val="l"/>
        <c:numFmt formatCode="0.0" sourceLinked="1"/>
        <c:majorTickMark val="none"/>
        <c:minorTickMark val="none"/>
        <c:tickLblPos val="none"/>
        <c:spPr>
          <a:ln w="9525">
            <a:noFill/>
          </a:ln>
        </c:spPr>
        <c:crossAx val="136763904"/>
        <c:crosses val="autoZero"/>
        <c:crossBetween val="between"/>
        <c:majorUnit val="1"/>
        <c:minorUnit val="0.1"/>
      </c:valAx>
      <c:valAx>
        <c:axId val="64251008"/>
        <c:scaling>
          <c:orientation val="minMax"/>
        </c:scaling>
        <c:delete val="0"/>
        <c:axPos val="r"/>
        <c:numFmt formatCode="0.0" sourceLinked="1"/>
        <c:majorTickMark val="none"/>
        <c:minorTickMark val="none"/>
        <c:tickLblPos val="none"/>
        <c:crossAx val="143080448"/>
        <c:crosses val="max"/>
        <c:crossBetween val="between"/>
      </c:valAx>
      <c:catAx>
        <c:axId val="143080448"/>
        <c:scaling>
          <c:orientation val="minMax"/>
        </c:scaling>
        <c:delete val="1"/>
        <c:axPos val="t"/>
        <c:numFmt formatCode="General" sourceLinked="1"/>
        <c:majorTickMark val="out"/>
        <c:minorTickMark val="none"/>
        <c:tickLblPos val="nextTo"/>
        <c:crossAx val="64251008"/>
        <c:crosses val="max"/>
        <c:auto val="1"/>
        <c:lblAlgn val="ctr"/>
        <c:lblOffset val="100"/>
        <c:noMultiLvlLbl val="0"/>
      </c:catAx>
      <c:spPr>
        <a:noFill/>
        <a:ln w="12700">
          <a:solidFill>
            <a:srgbClr val="969696"/>
          </a:solidFill>
          <a:prstDash val="solid"/>
        </a:ln>
      </c:spPr>
    </c:plotArea>
    <c:legend>
      <c:legendPos val="l"/>
      <c:layout>
        <c:manualLayout>
          <c:xMode val="edge"/>
          <c:yMode val="edge"/>
          <c:x val="5.3375992063492098E-2"/>
          <c:y val="0.19050317460317501"/>
          <c:w val="0.48779960317460302"/>
          <c:h val="0.1178396825396829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38872296135399E-2"/>
          <c:y val="0.16301230158730201"/>
          <c:w val="0.95492225540772901"/>
          <c:h val="0.637262698412698"/>
        </c:manualLayout>
      </c:layout>
      <c:barChart>
        <c:barDir val="col"/>
        <c:grouping val="clustered"/>
        <c:varyColors val="0"/>
        <c:ser>
          <c:idx val="2"/>
          <c:order val="0"/>
          <c:tx>
            <c:strRef>
              <c:f>A_EN!$H$349</c:f>
              <c:strCache>
                <c:ptCount val="1"/>
                <c:pt idx="0">
                  <c:v>  SIM cards using data services</c:v>
                </c:pt>
              </c:strCache>
            </c:strRef>
          </c:tx>
          <c:spPr>
            <a:solidFill>
              <a:srgbClr val="009BB4"/>
            </a:solidFill>
            <a:ln w="25400">
              <a:noFill/>
            </a:ln>
          </c:spPr>
          <c:invertIfNegative val="0"/>
          <c:dLbls>
            <c:numFmt formatCode="#,##0.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A_EN!$I$348:$N$348</c:f>
              <c:numCache>
                <c:formatCode>General</c:formatCode>
                <c:ptCount val="6"/>
                <c:pt idx="0">
                  <c:v>2011</c:v>
                </c:pt>
                <c:pt idx="1">
                  <c:v>2012</c:v>
                </c:pt>
                <c:pt idx="2">
                  <c:v>2013</c:v>
                </c:pt>
                <c:pt idx="3">
                  <c:v>2014</c:v>
                </c:pt>
                <c:pt idx="4">
                  <c:v>2015</c:v>
                </c:pt>
                <c:pt idx="5">
                  <c:v>2016</c:v>
                </c:pt>
              </c:numCache>
            </c:numRef>
          </c:cat>
          <c:val>
            <c:numRef>
              <c:f>A_EN!$I$349:$N$349</c:f>
              <c:numCache>
                <c:formatCode>General</c:formatCode>
                <c:ptCount val="6"/>
                <c:pt idx="0">
                  <c:v>203</c:v>
                </c:pt>
                <c:pt idx="1">
                  <c:v>257</c:v>
                </c:pt>
                <c:pt idx="2">
                  <c:v>272</c:v>
                </c:pt>
                <c:pt idx="3">
                  <c:v>347</c:v>
                </c:pt>
                <c:pt idx="4">
                  <c:v>573</c:v>
                </c:pt>
                <c:pt idx="5">
                  <c:v>983</c:v>
                </c:pt>
              </c:numCache>
            </c:numRef>
          </c:val>
          <c:extLst>
            <c:ext xmlns:c16="http://schemas.microsoft.com/office/drawing/2014/chart" uri="{C3380CC4-5D6E-409C-BE32-E72D297353CC}">
              <c16:uniqueId val="{00000000-0414-4753-865B-01B4EDE899A3}"/>
            </c:ext>
          </c:extLst>
        </c:ser>
        <c:dLbls>
          <c:showLegendKey val="0"/>
          <c:showVal val="0"/>
          <c:showCatName val="0"/>
          <c:showSerName val="0"/>
          <c:showPercent val="0"/>
          <c:showBubbleSize val="0"/>
        </c:dLbls>
        <c:gapWidth val="40"/>
        <c:axId val="161763840"/>
        <c:axId val="154098432"/>
      </c:barChart>
      <c:catAx>
        <c:axId val="161763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4098432"/>
        <c:crosses val="autoZero"/>
        <c:auto val="1"/>
        <c:lblAlgn val="ctr"/>
        <c:lblOffset val="140"/>
        <c:tickLblSkip val="1"/>
        <c:tickMarkSkip val="1"/>
        <c:noMultiLvlLbl val="0"/>
      </c:catAx>
      <c:valAx>
        <c:axId val="154098432"/>
        <c:scaling>
          <c:orientation val="minMax"/>
          <c:max val="1000"/>
          <c:min val="0"/>
        </c:scaling>
        <c:delete val="0"/>
        <c:axPos val="l"/>
        <c:numFmt formatCode="General" sourceLinked="1"/>
        <c:majorTickMark val="none"/>
        <c:minorTickMark val="none"/>
        <c:tickLblPos val="none"/>
        <c:spPr>
          <a:ln w="9525">
            <a:noFill/>
          </a:ln>
        </c:spPr>
        <c:crossAx val="161763840"/>
        <c:crosses val="autoZero"/>
        <c:crossBetween val="between"/>
        <c:majorUnit val="200"/>
        <c:minorUnit val="0.1"/>
      </c:valAx>
      <c:spPr>
        <a:noFill/>
        <a:ln w="12700">
          <a:solidFill>
            <a:srgbClr val="969696"/>
          </a:solidFill>
          <a:prstDash val="solid"/>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cs-CZ" sz="800"/>
              <a:t>Figure</a:t>
            </a:r>
            <a:r>
              <a:rPr lang="en-US" sz="800"/>
              <a:t> A</a:t>
            </a:r>
            <a:r>
              <a:rPr lang="cs-CZ" sz="800"/>
              <a:t>21</a:t>
            </a:r>
            <a:r>
              <a:rPr lang="en-US" sz="800"/>
              <a:t> </a:t>
            </a:r>
            <a:r>
              <a:rPr lang="cs-CZ" sz="800"/>
              <a:t>Mobile</a:t>
            </a:r>
            <a:r>
              <a:rPr lang="cs-CZ" sz="800" baseline="0"/>
              <a:t> broadband subscriptions per 100 inhabitants in EU countries</a:t>
            </a:r>
            <a:endParaRPr lang="en-US" sz="800"/>
          </a:p>
        </c:rich>
      </c:tx>
      <c:layout>
        <c:manualLayout>
          <c:xMode val="edge"/>
          <c:yMode val="edge"/>
          <c:x val="0.17128956052511296"/>
          <c:y val="3.9200313602508821E-2"/>
        </c:manualLayout>
      </c:layout>
      <c:overlay val="0"/>
    </c:title>
    <c:autoTitleDeleted val="0"/>
    <c:plotArea>
      <c:layout>
        <c:manualLayout>
          <c:layoutTarget val="inner"/>
          <c:xMode val="edge"/>
          <c:yMode val="edge"/>
          <c:x val="5.7065581854043403E-2"/>
          <c:y val="0.12833719677631436"/>
          <c:w val="0.91664217619986899"/>
          <c:h val="0.60725853995808343"/>
        </c:manualLayout>
      </c:layout>
      <c:barChart>
        <c:barDir val="col"/>
        <c:grouping val="clustered"/>
        <c:varyColors val="0"/>
        <c:ser>
          <c:idx val="0"/>
          <c:order val="0"/>
          <c:tx>
            <c:strRef>
              <c:f>A_EN!$B$368</c:f>
              <c:strCache>
                <c:ptCount val="1"/>
                <c:pt idx="0">
                  <c:v> 2016</c:v>
                </c:pt>
              </c:strCache>
            </c:strRef>
          </c:tx>
          <c:spPr>
            <a:solidFill>
              <a:srgbClr val="009BB4"/>
            </a:solidFill>
            <a:ln>
              <a:noFill/>
            </a:ln>
          </c:spPr>
          <c:invertIfNegative val="0"/>
          <c:dPt>
            <c:idx val="10"/>
            <c:invertIfNegative val="0"/>
            <c:bubble3D val="0"/>
            <c:extLst>
              <c:ext xmlns:c16="http://schemas.microsoft.com/office/drawing/2014/chart" uri="{C3380CC4-5D6E-409C-BE32-E72D297353CC}">
                <c16:uniqueId val="{00000000-D8DB-41CE-9613-715FFB5B2B0C}"/>
              </c:ext>
            </c:extLst>
          </c:dPt>
          <c:dPt>
            <c:idx val="13"/>
            <c:invertIfNegative val="0"/>
            <c:bubble3D val="0"/>
            <c:spPr>
              <a:solidFill>
                <a:srgbClr val="009BB4"/>
              </a:solidFill>
              <a:ln>
                <a:solidFill>
                  <a:srgbClr val="FF0000"/>
                </a:solidFill>
              </a:ln>
            </c:spPr>
            <c:extLst>
              <c:ext xmlns:c16="http://schemas.microsoft.com/office/drawing/2014/chart" uri="{C3380CC4-5D6E-409C-BE32-E72D297353CC}">
                <c16:uniqueId val="{00000002-D8DB-41CE-9613-715FFB5B2B0C}"/>
              </c:ext>
            </c:extLst>
          </c:dPt>
          <c:dPt>
            <c:idx val="14"/>
            <c:invertIfNegative val="0"/>
            <c:bubble3D val="0"/>
            <c:extLst>
              <c:ext xmlns:c16="http://schemas.microsoft.com/office/drawing/2014/chart" uri="{C3380CC4-5D6E-409C-BE32-E72D297353CC}">
                <c16:uniqueId val="{00000003-D8DB-41CE-9613-715FFB5B2B0C}"/>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05-D8DB-41CE-9613-715FFB5B2B0C}"/>
              </c:ext>
            </c:extLst>
          </c:dPt>
          <c:dPt>
            <c:idx val="19"/>
            <c:invertIfNegative val="0"/>
            <c:bubble3D val="0"/>
            <c:extLst>
              <c:ext xmlns:c16="http://schemas.microsoft.com/office/drawing/2014/chart" uri="{C3380CC4-5D6E-409C-BE32-E72D297353CC}">
                <c16:uniqueId val="{00000006-D8DB-41CE-9613-715FFB5B2B0C}"/>
              </c:ext>
            </c:extLst>
          </c:dPt>
          <c:dLbls>
            <c:dLbl>
              <c:idx val="28"/>
              <c:layout>
                <c:manualLayout>
                  <c:x val="-1.5307734625501001E-16"/>
                  <c:y val="0.1061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8DB-41CE-9613-715FFB5B2B0C}"/>
                </c:ext>
              </c:extLst>
            </c:dLbl>
            <c:numFmt formatCode="#,##0.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A_EN!$A$369:$A$397</c:f>
              <c:strCache>
                <c:ptCount val="29"/>
                <c:pt idx="0">
                  <c:v>Finland</c:v>
                </c:pt>
                <c:pt idx="1">
                  <c:v>Denmark</c:v>
                </c:pt>
                <c:pt idx="2">
                  <c:v>Poland</c:v>
                </c:pt>
                <c:pt idx="3">
                  <c:v>Sweden</c:v>
                </c:pt>
                <c:pt idx="4">
                  <c:v>Estonia</c:v>
                </c:pt>
                <c:pt idx="5">
                  <c:v>Luxembourg</c:v>
                </c:pt>
                <c:pt idx="6">
                  <c:v>Ireland</c:v>
                </c:pt>
                <c:pt idx="7">
                  <c:v>Cyprus</c:v>
                </c:pt>
                <c:pt idx="8">
                  <c:v>United Kingdom</c:v>
                </c:pt>
                <c:pt idx="9">
                  <c:v>Spain</c:v>
                </c:pt>
                <c:pt idx="10">
                  <c:v>Netherlands</c:v>
                </c:pt>
                <c:pt idx="11">
                  <c:v>Austria</c:v>
                </c:pt>
                <c:pt idx="12">
                  <c:v>Bulgaria</c:v>
                </c:pt>
                <c:pt idx="13">
                  <c:v>EU28</c:v>
                </c:pt>
                <c:pt idx="14">
                  <c:v>France</c:v>
                </c:pt>
                <c:pt idx="15">
                  <c:v>Italy</c:v>
                </c:pt>
                <c:pt idx="16">
                  <c:v>Romania</c:v>
                </c:pt>
                <c:pt idx="17">
                  <c:v>Czech Republic</c:v>
                </c:pt>
                <c:pt idx="18">
                  <c:v>Croatia</c:v>
                </c:pt>
                <c:pt idx="19">
                  <c:v>Lithuania</c:v>
                </c:pt>
                <c:pt idx="20">
                  <c:v>Slovakia</c:v>
                </c:pt>
                <c:pt idx="21">
                  <c:v>Germany</c:v>
                </c:pt>
                <c:pt idx="22">
                  <c:v>Latvia</c:v>
                </c:pt>
                <c:pt idx="23">
                  <c:v>Malta</c:v>
                </c:pt>
                <c:pt idx="24">
                  <c:v>Belgium</c:v>
                </c:pt>
                <c:pt idx="25">
                  <c:v>Portugal</c:v>
                </c:pt>
                <c:pt idx="26">
                  <c:v>Slovenia</c:v>
                </c:pt>
                <c:pt idx="27">
                  <c:v>Greece</c:v>
                </c:pt>
                <c:pt idx="28">
                  <c:v>Hungary</c:v>
                </c:pt>
              </c:strCache>
            </c:strRef>
          </c:cat>
          <c:val>
            <c:numRef>
              <c:f>A_EN!$B$369:$B$397</c:f>
              <c:numCache>
                <c:formatCode>#,##0.0</c:formatCode>
                <c:ptCount val="29"/>
                <c:pt idx="0">
                  <c:v>145.791</c:v>
                </c:pt>
                <c:pt idx="1">
                  <c:v>123.67100000000001</c:v>
                </c:pt>
                <c:pt idx="2">
                  <c:v>123.416</c:v>
                </c:pt>
                <c:pt idx="3">
                  <c:v>123.24</c:v>
                </c:pt>
                <c:pt idx="4">
                  <c:v>121.28400000000001</c:v>
                </c:pt>
                <c:pt idx="5">
                  <c:v>116.34699999999999</c:v>
                </c:pt>
                <c:pt idx="6">
                  <c:v>100.83799999999999</c:v>
                </c:pt>
                <c:pt idx="7">
                  <c:v>96.861400000000003</c:v>
                </c:pt>
                <c:pt idx="8">
                  <c:v>89.8459</c:v>
                </c:pt>
                <c:pt idx="9">
                  <c:v>88.982100000000003</c:v>
                </c:pt>
                <c:pt idx="10">
                  <c:v>87.333100000000002</c:v>
                </c:pt>
                <c:pt idx="11">
                  <c:v>87.183799999999977</c:v>
                </c:pt>
                <c:pt idx="12">
                  <c:v>87.115600000000001</c:v>
                </c:pt>
                <c:pt idx="13">
                  <c:v>86.831999999999994</c:v>
                </c:pt>
                <c:pt idx="14">
                  <c:v>85.488500000000002</c:v>
                </c:pt>
                <c:pt idx="15">
                  <c:v>83.441900000000004</c:v>
                </c:pt>
                <c:pt idx="16">
                  <c:v>80.982200000000006</c:v>
                </c:pt>
                <c:pt idx="17">
                  <c:v>80.824999999999974</c:v>
                </c:pt>
                <c:pt idx="18">
                  <c:v>80.673099999999977</c:v>
                </c:pt>
                <c:pt idx="19">
                  <c:v>79.444900000000004</c:v>
                </c:pt>
                <c:pt idx="20">
                  <c:v>79.018600000000006</c:v>
                </c:pt>
                <c:pt idx="21">
                  <c:v>76.793199999999999</c:v>
                </c:pt>
                <c:pt idx="22">
                  <c:v>76.398600000000002</c:v>
                </c:pt>
                <c:pt idx="23">
                  <c:v>75.069000000000003</c:v>
                </c:pt>
                <c:pt idx="24">
                  <c:v>66.2577</c:v>
                </c:pt>
                <c:pt idx="25">
                  <c:v>62.633699999999997</c:v>
                </c:pt>
                <c:pt idx="26">
                  <c:v>62.207500000000003</c:v>
                </c:pt>
                <c:pt idx="27">
                  <c:v>52.895200000000003</c:v>
                </c:pt>
                <c:pt idx="28">
                  <c:v>44.732500000000002</c:v>
                </c:pt>
              </c:numCache>
            </c:numRef>
          </c:val>
          <c:extLst>
            <c:ext xmlns:c16="http://schemas.microsoft.com/office/drawing/2014/chart" uri="{C3380CC4-5D6E-409C-BE32-E72D297353CC}">
              <c16:uniqueId val="{00000008-D8DB-41CE-9613-715FFB5B2B0C}"/>
            </c:ext>
          </c:extLst>
        </c:ser>
        <c:dLbls>
          <c:showLegendKey val="0"/>
          <c:showVal val="0"/>
          <c:showCatName val="0"/>
          <c:showSerName val="0"/>
          <c:showPercent val="0"/>
          <c:showBubbleSize val="0"/>
        </c:dLbls>
        <c:gapWidth val="50"/>
        <c:axId val="161764352"/>
        <c:axId val="161374784"/>
      </c:barChart>
      <c:barChart>
        <c:barDir val="col"/>
        <c:grouping val="clustered"/>
        <c:varyColors val="0"/>
        <c:ser>
          <c:idx val="1"/>
          <c:order val="1"/>
          <c:tx>
            <c:strRef>
              <c:f>A_EN!$C$368</c:f>
              <c:strCache>
                <c:ptCount val="1"/>
                <c:pt idx="0">
                  <c:v> 2010</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A_EN!$A$369:$A$397</c:f>
              <c:strCache>
                <c:ptCount val="29"/>
                <c:pt idx="0">
                  <c:v>Finland</c:v>
                </c:pt>
                <c:pt idx="1">
                  <c:v>Denmark</c:v>
                </c:pt>
                <c:pt idx="2">
                  <c:v>Poland</c:v>
                </c:pt>
                <c:pt idx="3">
                  <c:v>Sweden</c:v>
                </c:pt>
                <c:pt idx="4">
                  <c:v>Estonia</c:v>
                </c:pt>
                <c:pt idx="5">
                  <c:v>Luxembourg</c:v>
                </c:pt>
                <c:pt idx="6">
                  <c:v>Ireland</c:v>
                </c:pt>
                <c:pt idx="7">
                  <c:v>Cyprus</c:v>
                </c:pt>
                <c:pt idx="8">
                  <c:v>United Kingdom</c:v>
                </c:pt>
                <c:pt idx="9">
                  <c:v>Spain</c:v>
                </c:pt>
                <c:pt idx="10">
                  <c:v>Netherlands</c:v>
                </c:pt>
                <c:pt idx="11">
                  <c:v>Austria</c:v>
                </c:pt>
                <c:pt idx="12">
                  <c:v>Bulgaria</c:v>
                </c:pt>
                <c:pt idx="13">
                  <c:v>EU28</c:v>
                </c:pt>
                <c:pt idx="14">
                  <c:v>France</c:v>
                </c:pt>
                <c:pt idx="15">
                  <c:v>Italy</c:v>
                </c:pt>
                <c:pt idx="16">
                  <c:v>Romania</c:v>
                </c:pt>
                <c:pt idx="17">
                  <c:v>Czech Republic</c:v>
                </c:pt>
                <c:pt idx="18">
                  <c:v>Croatia</c:v>
                </c:pt>
                <c:pt idx="19">
                  <c:v>Lithuania</c:v>
                </c:pt>
                <c:pt idx="20">
                  <c:v>Slovakia</c:v>
                </c:pt>
                <c:pt idx="21">
                  <c:v>Germany</c:v>
                </c:pt>
                <c:pt idx="22">
                  <c:v>Latvia</c:v>
                </c:pt>
                <c:pt idx="23">
                  <c:v>Malta</c:v>
                </c:pt>
                <c:pt idx="24">
                  <c:v>Belgium</c:v>
                </c:pt>
                <c:pt idx="25">
                  <c:v>Portugal</c:v>
                </c:pt>
                <c:pt idx="26">
                  <c:v>Slovenia</c:v>
                </c:pt>
                <c:pt idx="27">
                  <c:v>Greece</c:v>
                </c:pt>
                <c:pt idx="28">
                  <c:v>Hungary</c:v>
                </c:pt>
              </c:strCache>
            </c:strRef>
          </c:cat>
          <c:val>
            <c:numRef>
              <c:f>A_EN!$C$369:$C$397</c:f>
              <c:numCache>
                <c:formatCode>#,##0.0__</c:formatCode>
                <c:ptCount val="29"/>
                <c:pt idx="0">
                  <c:v>84.135199999999998</c:v>
                </c:pt>
                <c:pt idx="1">
                  <c:v>63.764299999999999</c:v>
                </c:pt>
                <c:pt idx="2" formatCode="#,##0.0">
                  <c:v>40.663400000000003</c:v>
                </c:pt>
                <c:pt idx="3">
                  <c:v>82.444900000000004</c:v>
                </c:pt>
                <c:pt idx="4">
                  <c:v>26.322500000000002</c:v>
                </c:pt>
                <c:pt idx="5">
                  <c:v>45.014099999999999</c:v>
                </c:pt>
                <c:pt idx="6">
                  <c:v>40.000999999999998</c:v>
                </c:pt>
                <c:pt idx="7">
                  <c:v>33.474200000000003</c:v>
                </c:pt>
                <c:pt idx="8">
                  <c:v>35.8979</c:v>
                </c:pt>
                <c:pt idx="9">
                  <c:v>27.4346</c:v>
                </c:pt>
                <c:pt idx="10">
                  <c:v>33.633899999999997</c:v>
                </c:pt>
                <c:pt idx="11">
                  <c:v>27.709199999999999</c:v>
                </c:pt>
                <c:pt idx="12">
                  <c:v>8.1348500000000001</c:v>
                </c:pt>
                <c:pt idx="13">
                  <c:v>25.925316033213079</c:v>
                </c:pt>
                <c:pt idx="14">
                  <c:v>29.240300000000001</c:v>
                </c:pt>
                <c:pt idx="15">
                  <c:v>20.8035</c:v>
                </c:pt>
                <c:pt idx="16">
                  <c:v>11.3421</c:v>
                </c:pt>
                <c:pt idx="17">
                  <c:v>38.047899999999998</c:v>
                </c:pt>
                <c:pt idx="19">
                  <c:v>15.8148</c:v>
                </c:pt>
                <c:pt idx="20">
                  <c:v>27.8413</c:v>
                </c:pt>
                <c:pt idx="21">
                  <c:v>25.932200000000002</c:v>
                </c:pt>
                <c:pt idx="22">
                  <c:v>24.464400000000001</c:v>
                </c:pt>
                <c:pt idx="23">
                  <c:v>12.2659</c:v>
                </c:pt>
                <c:pt idx="24">
                  <c:v>9.4589600000000011</c:v>
                </c:pt>
                <c:pt idx="25">
                  <c:v>38.5745</c:v>
                </c:pt>
                <c:pt idx="26">
                  <c:v>29.614599999999999</c:v>
                </c:pt>
                <c:pt idx="27">
                  <c:v>25.051200000000001</c:v>
                </c:pt>
                <c:pt idx="28">
                  <c:v>7.78573</c:v>
                </c:pt>
              </c:numCache>
            </c:numRef>
          </c:val>
          <c:extLst>
            <c:ext xmlns:c16="http://schemas.microsoft.com/office/drawing/2014/chart" uri="{C3380CC4-5D6E-409C-BE32-E72D297353CC}">
              <c16:uniqueId val="{00000009-D8DB-41CE-9613-715FFB5B2B0C}"/>
            </c:ext>
          </c:extLst>
        </c:ser>
        <c:dLbls>
          <c:showLegendKey val="0"/>
          <c:showVal val="0"/>
          <c:showCatName val="0"/>
          <c:showSerName val="0"/>
          <c:showPercent val="0"/>
          <c:showBubbleSize val="0"/>
        </c:dLbls>
        <c:gapWidth val="200"/>
        <c:axId val="161766912"/>
        <c:axId val="161375360"/>
      </c:barChart>
      <c:catAx>
        <c:axId val="161764352"/>
        <c:scaling>
          <c:orientation val="minMax"/>
        </c:scaling>
        <c:delete val="0"/>
        <c:axPos val="b"/>
        <c:numFmt formatCode="General" sourceLinked="0"/>
        <c:majorTickMark val="out"/>
        <c:minorTickMark val="none"/>
        <c:tickLblPos val="nextTo"/>
        <c:spPr>
          <a:ln w="3175">
            <a:solidFill>
              <a:schemeClr val="tx1"/>
            </a:solidFill>
          </a:ln>
        </c:spPr>
        <c:crossAx val="161374784"/>
        <c:crosses val="autoZero"/>
        <c:auto val="1"/>
        <c:lblAlgn val="ctr"/>
        <c:lblOffset val="100"/>
        <c:noMultiLvlLbl val="0"/>
      </c:catAx>
      <c:valAx>
        <c:axId val="161374784"/>
        <c:scaling>
          <c:orientation val="minMax"/>
          <c:max val="150"/>
          <c:min val="0"/>
        </c:scaling>
        <c:delete val="0"/>
        <c:axPos val="l"/>
        <c:numFmt formatCode="#,##0" sourceLinked="0"/>
        <c:majorTickMark val="none"/>
        <c:minorTickMark val="none"/>
        <c:tickLblPos val="none"/>
        <c:txPr>
          <a:bodyPr/>
          <a:lstStyle/>
          <a:p>
            <a:pPr>
              <a:defRPr>
                <a:solidFill>
                  <a:sysClr val="windowText" lastClr="000000"/>
                </a:solidFill>
              </a:defRPr>
            </a:pPr>
            <a:endParaRPr lang="cs-CZ"/>
          </a:p>
        </c:txPr>
        <c:crossAx val="161764352"/>
        <c:crosses val="autoZero"/>
        <c:crossBetween val="between"/>
        <c:majorUnit val="25"/>
        <c:minorUnit val="0.05"/>
      </c:valAx>
      <c:valAx>
        <c:axId val="161375360"/>
        <c:scaling>
          <c:orientation val="minMax"/>
          <c:max val="150"/>
          <c:min val="0"/>
        </c:scaling>
        <c:delete val="0"/>
        <c:axPos val="r"/>
        <c:numFmt formatCode="#,##0.0__" sourceLinked="1"/>
        <c:majorTickMark val="none"/>
        <c:minorTickMark val="none"/>
        <c:tickLblPos val="none"/>
        <c:crossAx val="161766912"/>
        <c:crosses val="max"/>
        <c:crossBetween val="between"/>
        <c:majorUnit val="25"/>
        <c:minorUnit val="5"/>
      </c:valAx>
      <c:catAx>
        <c:axId val="161766912"/>
        <c:scaling>
          <c:orientation val="minMax"/>
        </c:scaling>
        <c:delete val="1"/>
        <c:axPos val="b"/>
        <c:numFmt formatCode="General" sourceLinked="0"/>
        <c:majorTickMark val="out"/>
        <c:minorTickMark val="none"/>
        <c:tickLblPos val="none"/>
        <c:crossAx val="16137536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8087689020381299"/>
          <c:y val="0.17449509803921601"/>
          <c:w val="7.1111932938855996E-2"/>
          <c:h val="0.116382098765432"/>
        </c:manualLayout>
      </c:layout>
      <c:overlay val="0"/>
      <c:spPr>
        <a:solidFill>
          <a:srgbClr val="FFFFFF"/>
        </a:solidFill>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en-US" sz="800" b="1"/>
              <a:t> A</a:t>
            </a:r>
            <a:r>
              <a:rPr lang="cs-CZ" sz="800" b="1"/>
              <a:t>3</a:t>
            </a:r>
            <a:r>
              <a:rPr lang="en-US" sz="800" b="1"/>
              <a:t> </a:t>
            </a:r>
            <a:r>
              <a:rPr lang="cs-CZ" sz="800" b="1">
                <a:solidFill>
                  <a:sysClr val="windowText" lastClr="000000"/>
                </a:solidFill>
              </a:rPr>
              <a:t>Voice-fixed</a:t>
            </a:r>
            <a:r>
              <a:rPr lang="cs-CZ" sz="800" b="1" baseline="0">
                <a:solidFill>
                  <a:sysClr val="windowText" lastClr="000000"/>
                </a:solidFill>
              </a:rPr>
              <a:t> subscriptions using </a:t>
            </a:r>
          </a:p>
          <a:p>
            <a:pPr>
              <a:defRPr sz="800" b="1"/>
            </a:pPr>
            <a:r>
              <a:rPr lang="cs-CZ" sz="800" b="1" baseline="0">
                <a:solidFill>
                  <a:sysClr val="windowText" lastClr="000000"/>
                </a:solidFill>
              </a:rPr>
              <a:t>PSTN stations in the Czech Republic (mil.)</a:t>
            </a:r>
            <a:r>
              <a:rPr lang="cs-CZ" sz="800" b="1">
                <a:solidFill>
                  <a:sysClr val="windowText" lastClr="000000"/>
                </a:solidFill>
              </a:rPr>
              <a:t> </a:t>
            </a:r>
            <a:endParaRPr lang="en-US" sz="800" b="1">
              <a:solidFill>
                <a:sysClr val="windowText" lastClr="000000"/>
              </a:solidFill>
            </a:endParaRPr>
          </a:p>
        </c:rich>
      </c:tx>
      <c:layout>
        <c:manualLayout>
          <c:xMode val="edge"/>
          <c:yMode val="edge"/>
          <c:x val="0.13826620370370399"/>
          <c:y val="5.0396825396825402E-3"/>
        </c:manualLayout>
      </c:layout>
      <c:overlay val="1"/>
    </c:title>
    <c:autoTitleDeleted val="0"/>
    <c:plotArea>
      <c:layout>
        <c:manualLayout>
          <c:layoutTarget val="inner"/>
          <c:xMode val="edge"/>
          <c:yMode val="edge"/>
          <c:x val="7.3443318563046298E-2"/>
          <c:y val="0.26636031746031702"/>
          <c:w val="0.88976620370370396"/>
          <c:h val="0.53917579365079404"/>
        </c:manualLayout>
      </c:layout>
      <c:lineChart>
        <c:grouping val="standard"/>
        <c:varyColors val="0"/>
        <c:ser>
          <c:idx val="4"/>
          <c:order val="0"/>
          <c:tx>
            <c:strRef>
              <c:f>A_EN!$A$29</c:f>
              <c:strCache>
                <c:ptCount val="1"/>
                <c:pt idx="0">
                  <c:v> individuals (residential stations)</c:v>
                </c:pt>
              </c:strCache>
            </c:strRef>
          </c:tx>
          <c:spPr>
            <a:ln w="19050">
              <a:solidFill>
                <a:srgbClr val="007D92"/>
              </a:solidFill>
            </a:ln>
          </c:spPr>
          <c:marker>
            <c:symbol val="triangle"/>
            <c:size val="4"/>
            <c:spPr>
              <a:solidFill>
                <a:srgbClr val="47E5FF"/>
              </a:solidFill>
              <a:ln w="12700">
                <a:solidFill>
                  <a:srgbClr val="007D92"/>
                </a:solidFill>
              </a:ln>
            </c:spPr>
          </c:marker>
          <c:cat>
            <c:numRef>
              <c:f>A_EN!$B$28:$N$28</c:f>
              <c:numCache>
                <c:formatCode>General</c:formatCode>
                <c:ptCount val="13"/>
                <c:pt idx="0">
                  <c:v>1992</c:v>
                </c:pt>
                <c:pt idx="1">
                  <c:v>1994</c:v>
                </c:pt>
                <c:pt idx="2">
                  <c:v>1996</c:v>
                </c:pt>
                <c:pt idx="3">
                  <c:v>1998</c:v>
                </c:pt>
                <c:pt idx="4">
                  <c:v>2000</c:v>
                </c:pt>
                <c:pt idx="5">
                  <c:v>2002</c:v>
                </c:pt>
                <c:pt idx="6">
                  <c:v>2004</c:v>
                </c:pt>
                <c:pt idx="7">
                  <c:v>2006</c:v>
                </c:pt>
                <c:pt idx="8">
                  <c:v>2008</c:v>
                </c:pt>
                <c:pt idx="9">
                  <c:v>2010</c:v>
                </c:pt>
                <c:pt idx="10">
                  <c:v>2012</c:v>
                </c:pt>
                <c:pt idx="11">
                  <c:v>2014</c:v>
                </c:pt>
                <c:pt idx="12">
                  <c:v>2016</c:v>
                </c:pt>
              </c:numCache>
            </c:numRef>
          </c:cat>
          <c:val>
            <c:numRef>
              <c:f>A_EN!$B$29:$N$29</c:f>
              <c:numCache>
                <c:formatCode>#,##0.00</c:formatCode>
                <c:ptCount val="13"/>
                <c:pt idx="0">
                  <c:v>1.2643500000000001</c:v>
                </c:pt>
                <c:pt idx="1">
                  <c:v>1.436564</c:v>
                </c:pt>
                <c:pt idx="2">
                  <c:v>1.85615</c:v>
                </c:pt>
                <c:pt idx="3">
                  <c:v>2.5841620000000001</c:v>
                </c:pt>
                <c:pt idx="4">
                  <c:v>2.6627900000000002</c:v>
                </c:pt>
                <c:pt idx="5">
                  <c:v>2.516035</c:v>
                </c:pt>
                <c:pt idx="6">
                  <c:v>2.2980879999999999</c:v>
                </c:pt>
                <c:pt idx="7">
                  <c:v>1.827963</c:v>
                </c:pt>
                <c:pt idx="8">
                  <c:v>1.27335</c:v>
                </c:pt>
                <c:pt idx="9">
                  <c:v>0.98899999999999999</c:v>
                </c:pt>
                <c:pt idx="10">
                  <c:v>0.76300000000000001</c:v>
                </c:pt>
                <c:pt idx="11">
                  <c:v>0.58896999999999999</c:v>
                </c:pt>
                <c:pt idx="12">
                  <c:v>0.40278700000000001</c:v>
                </c:pt>
              </c:numCache>
            </c:numRef>
          </c:val>
          <c:smooth val="0"/>
          <c:extLst>
            <c:ext xmlns:c16="http://schemas.microsoft.com/office/drawing/2014/chart" uri="{C3380CC4-5D6E-409C-BE32-E72D297353CC}">
              <c16:uniqueId val="{00000000-F766-4BD4-B266-EFD570A2D939}"/>
            </c:ext>
          </c:extLst>
        </c:ser>
        <c:ser>
          <c:idx val="1"/>
          <c:order val="1"/>
          <c:tx>
            <c:strRef>
              <c:f>A_EN!$A$30</c:f>
              <c:strCache>
                <c:ptCount val="1"/>
                <c:pt idx="0">
                  <c:v> enterprises (business stations)</c:v>
                </c:pt>
              </c:strCache>
            </c:strRef>
          </c:tx>
          <c:spPr>
            <a:ln w="19050">
              <a:solidFill>
                <a:srgbClr val="47E5FF"/>
              </a:solidFill>
            </a:ln>
          </c:spPr>
          <c:marker>
            <c:symbol val="diamond"/>
            <c:size val="4"/>
            <c:spPr>
              <a:solidFill>
                <a:srgbClr val="009BB4"/>
              </a:solidFill>
              <a:ln w="12700">
                <a:solidFill>
                  <a:srgbClr val="47E5FF"/>
                </a:solidFill>
              </a:ln>
            </c:spPr>
          </c:marker>
          <c:cat>
            <c:numRef>
              <c:f>A_EN!$B$28:$N$28</c:f>
              <c:numCache>
                <c:formatCode>General</c:formatCode>
                <c:ptCount val="13"/>
                <c:pt idx="0">
                  <c:v>1992</c:v>
                </c:pt>
                <c:pt idx="1">
                  <c:v>1994</c:v>
                </c:pt>
                <c:pt idx="2">
                  <c:v>1996</c:v>
                </c:pt>
                <c:pt idx="3">
                  <c:v>1998</c:v>
                </c:pt>
                <c:pt idx="4">
                  <c:v>2000</c:v>
                </c:pt>
                <c:pt idx="5">
                  <c:v>2002</c:v>
                </c:pt>
                <c:pt idx="6">
                  <c:v>2004</c:v>
                </c:pt>
                <c:pt idx="7">
                  <c:v>2006</c:v>
                </c:pt>
                <c:pt idx="8">
                  <c:v>2008</c:v>
                </c:pt>
                <c:pt idx="9">
                  <c:v>2010</c:v>
                </c:pt>
                <c:pt idx="10">
                  <c:v>2012</c:v>
                </c:pt>
                <c:pt idx="11">
                  <c:v>2014</c:v>
                </c:pt>
                <c:pt idx="12">
                  <c:v>2016</c:v>
                </c:pt>
              </c:numCache>
            </c:numRef>
          </c:cat>
          <c:val>
            <c:numRef>
              <c:f>A_EN!$B$30:$N$30</c:f>
              <c:numCache>
                <c:formatCode>#,##0.00</c:formatCode>
                <c:ptCount val="13"/>
                <c:pt idx="0">
                  <c:v>0.54999900000000002</c:v>
                </c:pt>
                <c:pt idx="1">
                  <c:v>0.65922700000000001</c:v>
                </c:pt>
                <c:pt idx="2">
                  <c:v>0.871417</c:v>
                </c:pt>
                <c:pt idx="3">
                  <c:v>1.044788</c:v>
                </c:pt>
                <c:pt idx="4" formatCode="0.00">
                  <c:v>1.0900000000000001</c:v>
                </c:pt>
                <c:pt idx="5">
                  <c:v>1.1272869999999999</c:v>
                </c:pt>
                <c:pt idx="6">
                  <c:v>1.099623</c:v>
                </c:pt>
                <c:pt idx="7" formatCode="0.00">
                  <c:v>0.99135200000000001</c:v>
                </c:pt>
                <c:pt idx="8">
                  <c:v>0.96868100000000001</c:v>
                </c:pt>
                <c:pt idx="9">
                  <c:v>0.88200000000000001</c:v>
                </c:pt>
                <c:pt idx="10">
                  <c:v>0.71499999999999997</c:v>
                </c:pt>
                <c:pt idx="11" formatCode="0.00">
                  <c:v>0.482541</c:v>
                </c:pt>
                <c:pt idx="12">
                  <c:v>0.429419</c:v>
                </c:pt>
              </c:numCache>
            </c:numRef>
          </c:val>
          <c:smooth val="0"/>
          <c:extLst>
            <c:ext xmlns:c16="http://schemas.microsoft.com/office/drawing/2014/chart" uri="{C3380CC4-5D6E-409C-BE32-E72D297353CC}">
              <c16:uniqueId val="{00000001-F766-4BD4-B266-EFD570A2D939}"/>
            </c:ext>
          </c:extLst>
        </c:ser>
        <c:dLbls>
          <c:showLegendKey val="0"/>
          <c:showVal val="0"/>
          <c:showCatName val="0"/>
          <c:showSerName val="0"/>
          <c:showPercent val="0"/>
          <c:showBubbleSize val="0"/>
        </c:dLbls>
        <c:marker val="1"/>
        <c:smooth val="0"/>
        <c:axId val="151332352"/>
        <c:axId val="64253312"/>
      </c:lineChart>
      <c:catAx>
        <c:axId val="151332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64253312"/>
        <c:crosses val="autoZero"/>
        <c:auto val="1"/>
        <c:lblAlgn val="ctr"/>
        <c:lblOffset val="100"/>
        <c:tickLblSkip val="2"/>
        <c:tickMarkSkip val="1"/>
        <c:noMultiLvlLbl val="0"/>
      </c:catAx>
      <c:valAx>
        <c:axId val="64253312"/>
        <c:scaling>
          <c:orientation val="minMax"/>
          <c:max val="3"/>
          <c:min val="0"/>
        </c:scaling>
        <c:delete val="0"/>
        <c:axPos val="l"/>
        <c:majorGridlines>
          <c:spPr>
            <a:ln w="12700">
              <a:solidFill>
                <a:srgbClr val="A6A6A6">
                  <a:alpha val="39000"/>
                </a:srgbClr>
              </a:solidFill>
              <a:prstDash val="solid"/>
            </a:ln>
          </c:spPr>
        </c:majorGridlines>
        <c:numFmt formatCode="#,##0.0" sourceLinked="0"/>
        <c:majorTickMark val="out"/>
        <c:minorTickMark val="none"/>
        <c:tickLblPos val="nextTo"/>
        <c:spPr>
          <a:ln w="3175">
            <a:solidFill>
              <a:srgbClr val="C0C0C0"/>
            </a:solidFill>
            <a:prstDash val="solid"/>
          </a:ln>
        </c:spPr>
        <c:txPr>
          <a:bodyPr rot="0" vert="horz"/>
          <a:lstStyle/>
          <a:p>
            <a:pPr>
              <a:defRPr/>
            </a:pPr>
            <a:endParaRPr lang="cs-CZ"/>
          </a:p>
        </c:txPr>
        <c:crossAx val="151332352"/>
        <c:crosses val="autoZero"/>
        <c:crossBetween val="between"/>
        <c:majorUnit val="0.5"/>
        <c:minorUnit val="0.01"/>
      </c:valAx>
      <c:spPr>
        <a:noFill/>
        <a:ln w="12700">
          <a:solidFill>
            <a:srgbClr val="A6A6A6"/>
          </a:solidFill>
          <a:prstDash val="solid"/>
        </a:ln>
      </c:spPr>
    </c:plotArea>
    <c:legend>
      <c:legendPos val="t"/>
      <c:layout>
        <c:manualLayout>
          <c:xMode val="edge"/>
          <c:yMode val="edge"/>
          <c:x val="7.7568121693121703E-2"/>
          <c:y val="0.14111111111111099"/>
          <c:w val="0.89106051587301605"/>
          <c:h val="9.6717460317460299E-2"/>
        </c:manualLayout>
      </c:layout>
      <c:overlay val="0"/>
      <c:spPr>
        <a:solidFill>
          <a:srgbClr val="FFFFFF"/>
        </a:solid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a:t>
            </a:r>
            <a:r>
              <a:rPr lang="en-US" sz="800" b="1" i="0" baseline="0">
                <a:effectLst/>
              </a:rPr>
              <a:t> </a:t>
            </a:r>
            <a:r>
              <a:rPr lang="cs-CZ" sz="800" b="1" i="0" baseline="0">
                <a:effectLst/>
              </a:rPr>
              <a:t>A4</a:t>
            </a:r>
            <a:r>
              <a:rPr lang="en-US" sz="800" b="1" i="0" baseline="0">
                <a:effectLst/>
              </a:rPr>
              <a:t> </a:t>
            </a:r>
            <a:r>
              <a:rPr lang="cs-CZ" sz="800" b="1" i="0" baseline="0">
                <a:effectLst/>
              </a:rPr>
              <a:t>Voice fixed subcsriptions using VoIP </a:t>
            </a:r>
            <a:r>
              <a:rPr lang="cs-CZ" sz="800" b="1" i="0" baseline="0">
                <a:solidFill>
                  <a:sysClr val="windowText" lastClr="000000"/>
                </a:solidFill>
                <a:effectLst/>
              </a:rPr>
              <a:t>stations </a:t>
            </a:r>
            <a:r>
              <a:rPr lang="cs-CZ" sz="800" b="1" i="0" baseline="0">
                <a:effectLst/>
              </a:rPr>
              <a:t>in the Czech Republic (thous.)</a:t>
            </a:r>
            <a:endParaRPr lang="cs-CZ" sz="800" b="1"/>
          </a:p>
        </c:rich>
      </c:tx>
      <c:layout>
        <c:manualLayout>
          <c:xMode val="edge"/>
          <c:yMode val="edge"/>
          <c:x val="0.12705291005291"/>
          <c:y val="2.0158730158730199E-2"/>
        </c:manualLayout>
      </c:layout>
      <c:overlay val="1"/>
    </c:title>
    <c:autoTitleDeleted val="0"/>
    <c:plotArea>
      <c:layout>
        <c:manualLayout>
          <c:layoutTarget val="inner"/>
          <c:xMode val="edge"/>
          <c:yMode val="edge"/>
          <c:x val="0.16552677376171401"/>
          <c:y val="0.16299484126984101"/>
          <c:w val="0.796754016064257"/>
          <c:h val="0.71809259259259295"/>
        </c:manualLayout>
      </c:layout>
      <c:barChart>
        <c:barDir val="bar"/>
        <c:grouping val="clustered"/>
        <c:varyColors val="0"/>
        <c:ser>
          <c:idx val="0"/>
          <c:order val="0"/>
          <c:tx>
            <c:strRef>
              <c:f>A_EN!$A$47</c:f>
              <c:strCache>
                <c:ptCount val="1"/>
                <c:pt idx="0">
                  <c:v> individuals (residential stations)</c:v>
                </c:pt>
              </c:strCache>
            </c:strRef>
          </c:tx>
          <c:spPr>
            <a:solidFill>
              <a:srgbClr val="47E5FF"/>
            </a:solidFill>
            <a:ln w="25400">
              <a:noFill/>
            </a:ln>
          </c:spPr>
          <c:invertIfNegative val="0"/>
          <c:dLbls>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A_EN!$B$46:$F$46</c:f>
              <c:numCache>
                <c:formatCode>General</c:formatCode>
                <c:ptCount val="5"/>
                <c:pt idx="0">
                  <c:v>2008</c:v>
                </c:pt>
                <c:pt idx="1">
                  <c:v>2010</c:v>
                </c:pt>
                <c:pt idx="2">
                  <c:v>2012</c:v>
                </c:pt>
                <c:pt idx="3">
                  <c:v>2014</c:v>
                </c:pt>
                <c:pt idx="4">
                  <c:v>2016</c:v>
                </c:pt>
              </c:numCache>
            </c:numRef>
          </c:cat>
          <c:val>
            <c:numRef>
              <c:f>A_EN!$B$47:$F$47</c:f>
              <c:numCache>
                <c:formatCode>#,##0</c:formatCode>
                <c:ptCount val="5"/>
                <c:pt idx="0">
                  <c:v>224</c:v>
                </c:pt>
                <c:pt idx="1">
                  <c:v>300.26100000000002</c:v>
                </c:pt>
                <c:pt idx="2">
                  <c:v>269</c:v>
                </c:pt>
                <c:pt idx="3">
                  <c:v>343.83</c:v>
                </c:pt>
                <c:pt idx="4">
                  <c:v>298.66500000000002</c:v>
                </c:pt>
              </c:numCache>
            </c:numRef>
          </c:val>
          <c:extLst>
            <c:ext xmlns:c16="http://schemas.microsoft.com/office/drawing/2014/chart" uri="{C3380CC4-5D6E-409C-BE32-E72D297353CC}">
              <c16:uniqueId val="{00000000-BF81-4480-A598-0E303D24D795}"/>
            </c:ext>
          </c:extLst>
        </c:ser>
        <c:ser>
          <c:idx val="1"/>
          <c:order val="1"/>
          <c:tx>
            <c:strRef>
              <c:f>A_EN!$A$48</c:f>
              <c:strCache>
                <c:ptCount val="1"/>
                <c:pt idx="0">
                  <c:v> enterprises (business stations)</c:v>
                </c:pt>
              </c:strCache>
            </c:strRef>
          </c:tx>
          <c:spPr>
            <a:solidFill>
              <a:srgbClr val="009BB4"/>
            </a:solidFill>
            <a:ln w="25400">
              <a:noFill/>
            </a:ln>
          </c:spPr>
          <c:invertIfNegative val="0"/>
          <c:dLbls>
            <c:numFmt formatCode="#,##0" sourceLinked="0"/>
            <c:spPr>
              <a:noFill/>
              <a:ln w="25400">
                <a:noFill/>
              </a:ln>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A_EN!$B$46:$F$46</c:f>
              <c:numCache>
                <c:formatCode>General</c:formatCode>
                <c:ptCount val="5"/>
                <c:pt idx="0">
                  <c:v>2008</c:v>
                </c:pt>
                <c:pt idx="1">
                  <c:v>2010</c:v>
                </c:pt>
                <c:pt idx="2">
                  <c:v>2012</c:v>
                </c:pt>
                <c:pt idx="3">
                  <c:v>2014</c:v>
                </c:pt>
                <c:pt idx="4">
                  <c:v>2016</c:v>
                </c:pt>
              </c:numCache>
            </c:numRef>
          </c:cat>
          <c:val>
            <c:numRef>
              <c:f>A_EN!$B$48:$F$48</c:f>
              <c:numCache>
                <c:formatCode>#,##0</c:formatCode>
                <c:ptCount val="5"/>
                <c:pt idx="0">
                  <c:v>85</c:v>
                </c:pt>
                <c:pt idx="1">
                  <c:v>162.22800000000001</c:v>
                </c:pt>
                <c:pt idx="2">
                  <c:v>356</c:v>
                </c:pt>
                <c:pt idx="3">
                  <c:v>509.42500000000001</c:v>
                </c:pt>
                <c:pt idx="4">
                  <c:v>618.58000000000004</c:v>
                </c:pt>
              </c:numCache>
            </c:numRef>
          </c:val>
          <c:extLst>
            <c:ext xmlns:c16="http://schemas.microsoft.com/office/drawing/2014/chart" uri="{C3380CC4-5D6E-409C-BE32-E72D297353CC}">
              <c16:uniqueId val="{00000001-BF81-4480-A598-0E303D24D795}"/>
            </c:ext>
          </c:extLst>
        </c:ser>
        <c:dLbls>
          <c:showLegendKey val="0"/>
          <c:showVal val="1"/>
          <c:showCatName val="0"/>
          <c:showSerName val="0"/>
          <c:showPercent val="0"/>
          <c:showBubbleSize val="0"/>
        </c:dLbls>
        <c:gapWidth val="57"/>
        <c:axId val="151332864"/>
        <c:axId val="64257344"/>
      </c:barChart>
      <c:catAx>
        <c:axId val="15133286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64257344"/>
        <c:crosses val="autoZero"/>
        <c:auto val="1"/>
        <c:lblAlgn val="ctr"/>
        <c:lblOffset val="40"/>
        <c:tickLblSkip val="1"/>
        <c:tickMarkSkip val="1"/>
        <c:noMultiLvlLbl val="0"/>
      </c:catAx>
      <c:valAx>
        <c:axId val="64257344"/>
        <c:scaling>
          <c:orientation val="minMax"/>
          <c:max val="700"/>
        </c:scaling>
        <c:delete val="0"/>
        <c:axPos val="b"/>
        <c:numFmt formatCode="#,##0" sourceLinked="1"/>
        <c:majorTickMark val="none"/>
        <c:minorTickMark val="none"/>
        <c:tickLblPos val="none"/>
        <c:spPr>
          <a:ln w="9525">
            <a:noFill/>
          </a:ln>
        </c:spPr>
        <c:crossAx val="151332864"/>
        <c:crosses val="autoZero"/>
        <c:crossBetween val="between"/>
        <c:majorUnit val="100"/>
        <c:minorUnit val="0.01"/>
      </c:valAx>
      <c:spPr>
        <a:noFill/>
        <a:ln w="12700">
          <a:solidFill>
            <a:srgbClr val="969696"/>
          </a:solidFill>
          <a:prstDash val="solid"/>
        </a:ln>
      </c:spPr>
    </c:plotArea>
    <c:legend>
      <c:legendPos val="r"/>
      <c:layout>
        <c:manualLayout>
          <c:xMode val="edge"/>
          <c:yMode val="edge"/>
          <c:x val="0.68972958500669401"/>
          <c:y val="0.50002500000000005"/>
          <c:w val="0.24014781746031699"/>
          <c:h val="0.371380158730159"/>
        </c:manualLayout>
      </c:layout>
      <c:overlay val="0"/>
      <c:spPr>
        <a:solidFill>
          <a:srgbClr val="FFFFFF"/>
        </a:solidFill>
        <a:ln w="9525">
          <a:solidFill>
            <a:schemeClr val="bg1">
              <a:lumMod val="50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5792759051186E-2"/>
          <c:y val="0.10228368055555601"/>
          <c:w val="0.95866182896379504"/>
          <c:h val="0.61601882716049405"/>
        </c:manualLayout>
      </c:layout>
      <c:barChart>
        <c:barDir val="col"/>
        <c:grouping val="clustered"/>
        <c:varyColors val="0"/>
        <c:ser>
          <c:idx val="0"/>
          <c:order val="0"/>
          <c:tx>
            <c:strRef>
              <c:f>A_EN!$B$51</c:f>
              <c:strCache>
                <c:ptCount val="1"/>
                <c:pt idx="0">
                  <c:v> 2016</c:v>
                </c:pt>
              </c:strCache>
            </c:strRef>
          </c:tx>
          <c:spPr>
            <a:solidFill>
              <a:srgbClr val="009BB4"/>
            </a:solidFill>
            <a:ln>
              <a:noFill/>
            </a:ln>
          </c:spPr>
          <c:invertIfNegative val="0"/>
          <c:dPt>
            <c:idx val="7"/>
            <c:invertIfNegative val="0"/>
            <c:bubble3D val="0"/>
            <c:spPr>
              <a:solidFill>
                <a:srgbClr val="009BB4"/>
              </a:solidFill>
              <a:ln>
                <a:solidFill>
                  <a:srgbClr val="FF0000"/>
                </a:solidFill>
              </a:ln>
            </c:spPr>
            <c:extLst>
              <c:ext xmlns:c16="http://schemas.microsoft.com/office/drawing/2014/chart" uri="{C3380CC4-5D6E-409C-BE32-E72D297353CC}">
                <c16:uniqueId val="{00000001-4002-4DE1-9396-220CC70ABDD8}"/>
              </c:ext>
            </c:extLst>
          </c:dPt>
          <c:dPt>
            <c:idx val="8"/>
            <c:invertIfNegative val="0"/>
            <c:bubble3D val="0"/>
            <c:spPr>
              <a:solidFill>
                <a:srgbClr val="009BB4"/>
              </a:solidFill>
              <a:ln w="19050">
                <a:noFill/>
              </a:ln>
            </c:spPr>
            <c:extLst>
              <c:ext xmlns:c16="http://schemas.microsoft.com/office/drawing/2014/chart" uri="{C3380CC4-5D6E-409C-BE32-E72D297353CC}">
                <c16:uniqueId val="{00000003-4002-4DE1-9396-220CC70ABDD8}"/>
              </c:ext>
            </c:extLst>
          </c:dPt>
          <c:dPt>
            <c:idx val="11"/>
            <c:invertIfNegative val="0"/>
            <c:bubble3D val="0"/>
            <c:extLst>
              <c:ext xmlns:c16="http://schemas.microsoft.com/office/drawing/2014/chart" uri="{C3380CC4-5D6E-409C-BE32-E72D297353CC}">
                <c16:uniqueId val="{00000004-4002-4DE1-9396-220CC70ABDD8}"/>
              </c:ext>
            </c:extLst>
          </c:dPt>
          <c:dPt>
            <c:idx val="12"/>
            <c:invertIfNegative val="0"/>
            <c:bubble3D val="0"/>
            <c:extLst>
              <c:ext xmlns:c16="http://schemas.microsoft.com/office/drawing/2014/chart" uri="{C3380CC4-5D6E-409C-BE32-E72D297353CC}">
                <c16:uniqueId val="{00000005-4002-4DE1-9396-220CC70ABDD8}"/>
              </c:ext>
            </c:extLst>
          </c:dPt>
          <c:dPt>
            <c:idx val="13"/>
            <c:invertIfNegative val="0"/>
            <c:bubble3D val="0"/>
            <c:spPr>
              <a:solidFill>
                <a:srgbClr val="009BB4"/>
              </a:solidFill>
              <a:ln w="19050">
                <a:noFill/>
              </a:ln>
            </c:spPr>
            <c:extLst>
              <c:ext xmlns:c16="http://schemas.microsoft.com/office/drawing/2014/chart" uri="{C3380CC4-5D6E-409C-BE32-E72D297353CC}">
                <c16:uniqueId val="{00000007-4002-4DE1-9396-220CC70ABDD8}"/>
              </c:ext>
            </c:extLst>
          </c:dPt>
          <c:dPt>
            <c:idx val="16"/>
            <c:invertIfNegative val="0"/>
            <c:bubble3D val="0"/>
            <c:extLst>
              <c:ext xmlns:c16="http://schemas.microsoft.com/office/drawing/2014/chart" uri="{C3380CC4-5D6E-409C-BE32-E72D297353CC}">
                <c16:uniqueId val="{00000008-4002-4DE1-9396-220CC70ABDD8}"/>
              </c:ext>
            </c:extLst>
          </c:dPt>
          <c:dPt>
            <c:idx val="17"/>
            <c:invertIfNegative val="0"/>
            <c:bubble3D val="0"/>
            <c:extLst>
              <c:ext xmlns:c16="http://schemas.microsoft.com/office/drawing/2014/chart" uri="{C3380CC4-5D6E-409C-BE32-E72D297353CC}">
                <c16:uniqueId val="{00000009-4002-4DE1-9396-220CC70ABDD8}"/>
              </c:ext>
            </c:extLst>
          </c:dPt>
          <c:dPt>
            <c:idx val="26"/>
            <c:invertIfNegative val="0"/>
            <c:bubble3D val="0"/>
            <c:spPr>
              <a:solidFill>
                <a:srgbClr val="009BB4"/>
              </a:solidFill>
              <a:ln>
                <a:solidFill>
                  <a:srgbClr val="FF0000"/>
                </a:solidFill>
              </a:ln>
            </c:spPr>
            <c:extLst>
              <c:ext xmlns:c16="http://schemas.microsoft.com/office/drawing/2014/chart" uri="{C3380CC4-5D6E-409C-BE32-E72D297353CC}">
                <c16:uniqueId val="{0000000B-4002-4DE1-9396-220CC70ABDD8}"/>
              </c:ext>
            </c:extLst>
          </c:dPt>
          <c:dLbls>
            <c:numFmt formatCode="#,##0.0" sourceLinked="0"/>
            <c:spPr>
              <a:solidFill>
                <a:schemeClr val="accent5">
                  <a:lumMod val="75000"/>
                  <a:alpha val="58000"/>
                </a:schemeClr>
              </a:solidFill>
            </c:spPr>
            <c:txPr>
              <a:bodyPr rot="-5400000" vert="horz"/>
              <a:lstStyle/>
              <a:p>
                <a:pPr>
                  <a:defRPr sz="800" b="1">
                    <a:solidFill>
                      <a:schemeClr val="bg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A_EN!$A$52:$A$80</c:f>
              <c:strCache>
                <c:ptCount val="29"/>
                <c:pt idx="0">
                  <c:v>France</c:v>
                </c:pt>
                <c:pt idx="1">
                  <c:v>Malta</c:v>
                </c:pt>
                <c:pt idx="2">
                  <c:v>Germany</c:v>
                </c:pt>
                <c:pt idx="3">
                  <c:v>United Kingdom</c:v>
                </c:pt>
                <c:pt idx="4">
                  <c:v>Luxembourg</c:v>
                </c:pt>
                <c:pt idx="5">
                  <c:v>Greece</c:v>
                </c:pt>
                <c:pt idx="6">
                  <c:v>Portugal</c:v>
                </c:pt>
                <c:pt idx="7">
                  <c:v>EU28</c:v>
                </c:pt>
                <c:pt idx="8">
                  <c:v>Austria</c:v>
                </c:pt>
                <c:pt idx="9">
                  <c:v>Spain</c:v>
                </c:pt>
                <c:pt idx="10">
                  <c:v>Netherlands</c:v>
                </c:pt>
                <c:pt idx="11">
                  <c:v>Ireland</c:v>
                </c:pt>
                <c:pt idx="12">
                  <c:v>Belgium</c:v>
                </c:pt>
                <c:pt idx="13">
                  <c:v>Cyprus</c:v>
                </c:pt>
                <c:pt idx="14">
                  <c:v>Slovenia</c:v>
                </c:pt>
                <c:pt idx="15">
                  <c:v>Sweden</c:v>
                </c:pt>
                <c:pt idx="16">
                  <c:v>Croatia</c:v>
                </c:pt>
                <c:pt idx="17">
                  <c:v>Italy</c:v>
                </c:pt>
                <c:pt idx="18">
                  <c:v>Hungary</c:v>
                </c:pt>
                <c:pt idx="19">
                  <c:v>Estonia</c:v>
                </c:pt>
                <c:pt idx="20">
                  <c:v>Denmark</c:v>
                </c:pt>
                <c:pt idx="21">
                  <c:v>Poland</c:v>
                </c:pt>
                <c:pt idx="22">
                  <c:v>Bulgaria</c:v>
                </c:pt>
                <c:pt idx="23">
                  <c:v>Romania</c:v>
                </c:pt>
                <c:pt idx="24">
                  <c:v>Latvia</c:v>
                </c:pt>
                <c:pt idx="25">
                  <c:v>Lithuania</c:v>
                </c:pt>
                <c:pt idx="26">
                  <c:v>Czech Republic</c:v>
                </c:pt>
                <c:pt idx="27">
                  <c:v>Slovakia</c:v>
                </c:pt>
                <c:pt idx="28">
                  <c:v>Finland</c:v>
                </c:pt>
              </c:strCache>
            </c:strRef>
          </c:cat>
          <c:val>
            <c:numRef>
              <c:f>A_EN!$B$52:$B$80</c:f>
              <c:numCache>
                <c:formatCode>#,##0.0</c:formatCode>
                <c:ptCount val="29"/>
                <c:pt idx="0">
                  <c:v>59.719006503915203</c:v>
                </c:pt>
                <c:pt idx="1">
                  <c:v>54.219052531986698</c:v>
                </c:pt>
                <c:pt idx="2">
                  <c:v>53.739504863291799</c:v>
                </c:pt>
                <c:pt idx="3" formatCode="#,##0">
                  <c:v>52.197662077104702</c:v>
                </c:pt>
                <c:pt idx="4">
                  <c:v>50.915478487301087</c:v>
                </c:pt>
                <c:pt idx="5">
                  <c:v>46.097064266285997</c:v>
                </c:pt>
                <c:pt idx="6">
                  <c:v>45.135343990254299</c:v>
                </c:pt>
                <c:pt idx="7" formatCode="#,##0">
                  <c:v>41.729133307519298</c:v>
                </c:pt>
                <c:pt idx="8">
                  <c:v>41.531234930199503</c:v>
                </c:pt>
                <c:pt idx="9">
                  <c:v>41.318365588482799</c:v>
                </c:pt>
                <c:pt idx="10">
                  <c:v>40.283120472783487</c:v>
                </c:pt>
                <c:pt idx="11">
                  <c:v>39.722785113864603</c:v>
                </c:pt>
                <c:pt idx="12">
                  <c:v>38.950919073287999</c:v>
                </c:pt>
                <c:pt idx="13">
                  <c:v>38.023128928952701</c:v>
                </c:pt>
                <c:pt idx="14">
                  <c:v>35.116445792360103</c:v>
                </c:pt>
                <c:pt idx="15">
                  <c:v>34.104946889617892</c:v>
                </c:pt>
                <c:pt idx="16">
                  <c:v>33.867693594351493</c:v>
                </c:pt>
                <c:pt idx="17">
                  <c:v>33.110321816298487</c:v>
                </c:pt>
                <c:pt idx="18">
                  <c:v>31.545460465327</c:v>
                </c:pt>
                <c:pt idx="19">
                  <c:v>29.0304209614321</c:v>
                </c:pt>
                <c:pt idx="20">
                  <c:v>27.395460636138701</c:v>
                </c:pt>
                <c:pt idx="21">
                  <c:v>24.451250616710499</c:v>
                </c:pt>
                <c:pt idx="22">
                  <c:v>20.958412223934879</c:v>
                </c:pt>
                <c:pt idx="23">
                  <c:v>19.102503943203001</c:v>
                </c:pt>
                <c:pt idx="24">
                  <c:v>18.1721048453667</c:v>
                </c:pt>
                <c:pt idx="25">
                  <c:v>17.765571994655001</c:v>
                </c:pt>
                <c:pt idx="26">
                  <c:v>15.5588636679999</c:v>
                </c:pt>
                <c:pt idx="27">
                  <c:v>15.080225516564701</c:v>
                </c:pt>
                <c:pt idx="28">
                  <c:v>8.3484599346034294</c:v>
                </c:pt>
              </c:numCache>
            </c:numRef>
          </c:val>
          <c:extLst>
            <c:ext xmlns:c16="http://schemas.microsoft.com/office/drawing/2014/chart" uri="{C3380CC4-5D6E-409C-BE32-E72D297353CC}">
              <c16:uniqueId val="{0000000C-4002-4DE1-9396-220CC70ABDD8}"/>
            </c:ext>
          </c:extLst>
        </c:ser>
        <c:dLbls>
          <c:showLegendKey val="0"/>
          <c:showVal val="0"/>
          <c:showCatName val="0"/>
          <c:showSerName val="0"/>
          <c:showPercent val="0"/>
          <c:showBubbleSize val="0"/>
        </c:dLbls>
        <c:gapWidth val="40"/>
        <c:axId val="151333888"/>
        <c:axId val="145186816"/>
      </c:barChart>
      <c:barChart>
        <c:barDir val="col"/>
        <c:grouping val="clustered"/>
        <c:varyColors val="0"/>
        <c:ser>
          <c:idx val="1"/>
          <c:order val="1"/>
          <c:tx>
            <c:strRef>
              <c:f>A_EN!$C$51</c:f>
              <c:strCache>
                <c:ptCount val="1"/>
                <c:pt idx="0">
                  <c:v> 2006</c:v>
                </c:pt>
              </c:strCache>
            </c:strRef>
          </c:tx>
          <c:spPr>
            <a:solidFill>
              <a:srgbClr val="47E5FF"/>
            </a:solidFill>
          </c:spPr>
          <c:invertIfNegative val="0"/>
          <c:dPt>
            <c:idx val="7"/>
            <c:invertIfNegative val="0"/>
            <c:bubble3D val="0"/>
            <c:spPr>
              <a:solidFill>
                <a:srgbClr val="47E5FF"/>
              </a:solidFill>
              <a:ln>
                <a:solidFill>
                  <a:srgbClr val="FF0000"/>
                </a:solidFill>
              </a:ln>
            </c:spPr>
            <c:extLst>
              <c:ext xmlns:c16="http://schemas.microsoft.com/office/drawing/2014/chart" uri="{C3380CC4-5D6E-409C-BE32-E72D297353CC}">
                <c16:uniqueId val="{0000000E-4002-4DE1-9396-220CC70ABDD8}"/>
              </c:ext>
            </c:extLst>
          </c:dPt>
          <c:dPt>
            <c:idx val="26"/>
            <c:invertIfNegative val="0"/>
            <c:bubble3D val="0"/>
            <c:spPr>
              <a:solidFill>
                <a:srgbClr val="47E5FF"/>
              </a:solidFill>
              <a:ln>
                <a:solidFill>
                  <a:srgbClr val="FF0000"/>
                </a:solidFill>
              </a:ln>
            </c:spPr>
            <c:extLst>
              <c:ext xmlns:c16="http://schemas.microsoft.com/office/drawing/2014/chart" uri="{C3380CC4-5D6E-409C-BE32-E72D297353CC}">
                <c16:uniqueId val="{00000010-4002-4DE1-9396-220CC70ABDD8}"/>
              </c:ext>
            </c:extLst>
          </c:dPt>
          <c:dLbls>
            <c:dLbl>
              <c:idx val="0"/>
              <c:layout>
                <c:manualLayout>
                  <c:x val="-4.8727199520382705E-18"/>
                  <c:y val="-1.37931034482758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4002-4DE1-9396-220CC70ABDD8}"/>
                </c:ext>
              </c:extLst>
            </c:dLbl>
            <c:dLbl>
              <c:idx val="1"/>
              <c:layout>
                <c:manualLayout>
                  <c:x val="0"/>
                  <c:y val="-2.298850574712643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4002-4DE1-9396-220CC70ABDD8}"/>
                </c:ext>
              </c:extLst>
            </c:dLbl>
            <c:dLbl>
              <c:idx val="2"/>
              <c:layout>
                <c:manualLayout>
                  <c:x val="-1.8167185054140901E-17"/>
                  <c:y val="7.71313611863248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4002-4DE1-9396-220CC70ABDD8}"/>
                </c:ext>
              </c:extLst>
            </c:dLbl>
            <c:dLbl>
              <c:idx val="6"/>
              <c:layout>
                <c:manualLayout>
                  <c:x val="0"/>
                  <c:y val="-4.13793103448275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4002-4DE1-9396-220CC70ABDD8}"/>
                </c:ext>
              </c:extLst>
            </c:dLbl>
            <c:dLbl>
              <c:idx val="15"/>
              <c:layout>
                <c:manualLayout>
                  <c:x val="0"/>
                  <c:y val="4.28507562146248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4002-4DE1-9396-220CC70ABDD8}"/>
                </c:ext>
              </c:extLst>
            </c:dLbl>
            <c:numFmt formatCode="#,##0.0" sourceLinked="0"/>
            <c:spPr>
              <a:noFill/>
              <a:ln>
                <a:noFill/>
              </a:ln>
              <a:effectLst/>
            </c:spPr>
            <c:txPr>
              <a:bodyPr rot="-5400000" vert="horz"/>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A_EN!$A$52:$A$80</c:f>
              <c:strCache>
                <c:ptCount val="29"/>
                <c:pt idx="0">
                  <c:v>France</c:v>
                </c:pt>
                <c:pt idx="1">
                  <c:v>Malta</c:v>
                </c:pt>
                <c:pt idx="2">
                  <c:v>Germany</c:v>
                </c:pt>
                <c:pt idx="3">
                  <c:v>United Kingdom</c:v>
                </c:pt>
                <c:pt idx="4">
                  <c:v>Luxembourg</c:v>
                </c:pt>
                <c:pt idx="5">
                  <c:v>Greece</c:v>
                </c:pt>
                <c:pt idx="6">
                  <c:v>Portugal</c:v>
                </c:pt>
                <c:pt idx="7">
                  <c:v>EU28</c:v>
                </c:pt>
                <c:pt idx="8">
                  <c:v>Austria</c:v>
                </c:pt>
                <c:pt idx="9">
                  <c:v>Spain</c:v>
                </c:pt>
                <c:pt idx="10">
                  <c:v>Netherlands</c:v>
                </c:pt>
                <c:pt idx="11">
                  <c:v>Ireland</c:v>
                </c:pt>
                <c:pt idx="12">
                  <c:v>Belgium</c:v>
                </c:pt>
                <c:pt idx="13">
                  <c:v>Cyprus</c:v>
                </c:pt>
                <c:pt idx="14">
                  <c:v>Slovenia</c:v>
                </c:pt>
                <c:pt idx="15">
                  <c:v>Sweden</c:v>
                </c:pt>
                <c:pt idx="16">
                  <c:v>Croatia</c:v>
                </c:pt>
                <c:pt idx="17">
                  <c:v>Italy</c:v>
                </c:pt>
                <c:pt idx="18">
                  <c:v>Hungary</c:v>
                </c:pt>
                <c:pt idx="19">
                  <c:v>Estonia</c:v>
                </c:pt>
                <c:pt idx="20">
                  <c:v>Denmark</c:v>
                </c:pt>
                <c:pt idx="21">
                  <c:v>Poland</c:v>
                </c:pt>
                <c:pt idx="22">
                  <c:v>Bulgaria</c:v>
                </c:pt>
                <c:pt idx="23">
                  <c:v>Romania</c:v>
                </c:pt>
                <c:pt idx="24">
                  <c:v>Latvia</c:v>
                </c:pt>
                <c:pt idx="25">
                  <c:v>Lithuania</c:v>
                </c:pt>
                <c:pt idx="26">
                  <c:v>Czech Republic</c:v>
                </c:pt>
                <c:pt idx="27">
                  <c:v>Slovakia</c:v>
                </c:pt>
                <c:pt idx="28">
                  <c:v>Finland</c:v>
                </c:pt>
              </c:strCache>
            </c:strRef>
          </c:cat>
          <c:val>
            <c:numRef>
              <c:f>A_EN!$C$52:$C$80</c:f>
              <c:numCache>
                <c:formatCode>#,##0.0</c:formatCode>
                <c:ptCount val="29"/>
                <c:pt idx="0">
                  <c:v>55.178055015682013</c:v>
                </c:pt>
                <c:pt idx="1">
                  <c:v>50.016563286156</c:v>
                </c:pt>
                <c:pt idx="2">
                  <c:v>64.962746372708125</c:v>
                </c:pt>
                <c:pt idx="3" formatCode="#,##0">
                  <c:v>55.836363517292703</c:v>
                </c:pt>
                <c:pt idx="4">
                  <c:v>53.280824694503998</c:v>
                </c:pt>
                <c:pt idx="5">
                  <c:v>55.828520099590001</c:v>
                </c:pt>
                <c:pt idx="6">
                  <c:v>40.257182964573097</c:v>
                </c:pt>
                <c:pt idx="7" formatCode="#,##0">
                  <c:v>48.124372462116298</c:v>
                </c:pt>
                <c:pt idx="8">
                  <c:v>43.552360024466587</c:v>
                </c:pt>
                <c:pt idx="9">
                  <c:v>45.108386633718503</c:v>
                </c:pt>
                <c:pt idx="10">
                  <c:v>45.493924484848399</c:v>
                </c:pt>
                <c:pt idx="11">
                  <c:v>51.504790227595002</c:v>
                </c:pt>
                <c:pt idx="12">
                  <c:v>44.653571194810297</c:v>
                </c:pt>
                <c:pt idx="13">
                  <c:v>38.950066487712448</c:v>
                </c:pt>
                <c:pt idx="14">
                  <c:v>51.221332021925001</c:v>
                </c:pt>
                <c:pt idx="15">
                  <c:v>61.025270754945403</c:v>
                </c:pt>
                <c:pt idx="16">
                  <c:v>41.818151505469388</c:v>
                </c:pt>
                <c:pt idx="17">
                  <c:v>45.516462389361394</c:v>
                </c:pt>
                <c:pt idx="18">
                  <c:v>33.346882316463287</c:v>
                </c:pt>
                <c:pt idx="19">
                  <c:v>34.264493025590397</c:v>
                </c:pt>
                <c:pt idx="20">
                  <c:v>56.949528600202498</c:v>
                </c:pt>
                <c:pt idx="21">
                  <c:v>30.045462705911401</c:v>
                </c:pt>
                <c:pt idx="22">
                  <c:v>31.4767228853452</c:v>
                </c:pt>
                <c:pt idx="23">
                  <c:v>19.025253508783781</c:v>
                </c:pt>
                <c:pt idx="24">
                  <c:v>29.91682287691718</c:v>
                </c:pt>
                <c:pt idx="25">
                  <c:v>24.464380380626402</c:v>
                </c:pt>
                <c:pt idx="26">
                  <c:v>28.103254667244599</c:v>
                </c:pt>
                <c:pt idx="27">
                  <c:v>21.62876320358928</c:v>
                </c:pt>
                <c:pt idx="28">
                  <c:v>36.257903416158896</c:v>
                </c:pt>
              </c:numCache>
            </c:numRef>
          </c:val>
          <c:extLst>
            <c:ext xmlns:c16="http://schemas.microsoft.com/office/drawing/2014/chart" uri="{C3380CC4-5D6E-409C-BE32-E72D297353CC}">
              <c16:uniqueId val="{00000016-4002-4DE1-9396-220CC70ABDD8}"/>
            </c:ext>
          </c:extLst>
        </c:ser>
        <c:dLbls>
          <c:showLegendKey val="0"/>
          <c:showVal val="0"/>
          <c:showCatName val="0"/>
          <c:showSerName val="0"/>
          <c:showPercent val="0"/>
          <c:showBubbleSize val="0"/>
        </c:dLbls>
        <c:gapWidth val="305"/>
        <c:axId val="151492096"/>
        <c:axId val="145187392"/>
      </c:barChart>
      <c:catAx>
        <c:axId val="151333888"/>
        <c:scaling>
          <c:orientation val="minMax"/>
        </c:scaling>
        <c:delete val="0"/>
        <c:axPos val="b"/>
        <c:numFmt formatCode="General" sourceLinked="0"/>
        <c:majorTickMark val="out"/>
        <c:minorTickMark val="none"/>
        <c:tickLblPos val="nextTo"/>
        <c:spPr>
          <a:ln w="3175">
            <a:solidFill>
              <a:schemeClr val="tx1"/>
            </a:solidFill>
          </a:ln>
        </c:spPr>
        <c:txPr>
          <a:bodyPr rot="-2700000" vert="horz"/>
          <a:lstStyle/>
          <a:p>
            <a:pPr>
              <a:defRPr/>
            </a:pPr>
            <a:endParaRPr lang="cs-CZ"/>
          </a:p>
        </c:txPr>
        <c:crossAx val="145186816"/>
        <c:crosses val="autoZero"/>
        <c:auto val="1"/>
        <c:lblAlgn val="ctr"/>
        <c:lblOffset val="100"/>
        <c:noMultiLvlLbl val="0"/>
      </c:catAx>
      <c:valAx>
        <c:axId val="145186816"/>
        <c:scaling>
          <c:orientation val="minMax"/>
          <c:max val="0.70000000000000095"/>
          <c:min val="0"/>
        </c:scaling>
        <c:delete val="1"/>
        <c:axPos val="l"/>
        <c:numFmt formatCode="#,##0.0" sourceLinked="1"/>
        <c:majorTickMark val="out"/>
        <c:minorTickMark val="none"/>
        <c:tickLblPos val="nextTo"/>
        <c:crossAx val="151333888"/>
        <c:crosses val="autoZero"/>
        <c:crossBetween val="between"/>
        <c:majorUnit val="0.1"/>
        <c:minorUnit val="0.05"/>
      </c:valAx>
      <c:valAx>
        <c:axId val="145187392"/>
        <c:scaling>
          <c:orientation val="minMax"/>
          <c:max val="70"/>
        </c:scaling>
        <c:delete val="0"/>
        <c:axPos val="r"/>
        <c:numFmt formatCode="0" sourceLinked="0"/>
        <c:majorTickMark val="none"/>
        <c:minorTickMark val="none"/>
        <c:tickLblPos val="none"/>
        <c:crossAx val="151492096"/>
        <c:crosses val="max"/>
        <c:crossBetween val="between"/>
        <c:majorUnit val="10"/>
        <c:minorUnit val="1"/>
      </c:valAx>
      <c:catAx>
        <c:axId val="151492096"/>
        <c:scaling>
          <c:orientation val="minMax"/>
        </c:scaling>
        <c:delete val="1"/>
        <c:axPos val="b"/>
        <c:numFmt formatCode="General" sourceLinked="0"/>
        <c:majorTickMark val="out"/>
        <c:minorTickMark val="none"/>
        <c:tickLblPos val="none"/>
        <c:crossAx val="145187392"/>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7934650614811805"/>
          <c:y val="0.13253055555555601"/>
          <c:w val="6.9586721030664295E-2"/>
          <c:h val="0.11638209876543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en-US" sz="800" b="1"/>
              <a:t> </a:t>
            </a:r>
            <a:r>
              <a:rPr lang="cs-CZ" sz="800" b="1"/>
              <a:t>A6 Mobile</a:t>
            </a:r>
            <a:r>
              <a:rPr lang="cs-CZ" sz="800" b="1" baseline="0"/>
              <a:t> telephone subscriptions in the Czech Republic – active SIM cards</a:t>
            </a:r>
            <a:endParaRPr lang="en-US" sz="800" b="1"/>
          </a:p>
        </c:rich>
      </c:tx>
      <c:layout/>
      <c:overlay val="1"/>
    </c:title>
    <c:autoTitleDeleted val="0"/>
    <c:plotArea>
      <c:layout>
        <c:manualLayout>
          <c:layoutTarget val="inner"/>
          <c:xMode val="edge"/>
          <c:yMode val="edge"/>
          <c:x val="3.10394912985274E-2"/>
          <c:y val="0.157972619047619"/>
          <c:w val="0.94108895502645495"/>
          <c:h val="0.64230238095238101"/>
        </c:manualLayout>
      </c:layout>
      <c:barChart>
        <c:barDir val="col"/>
        <c:grouping val="clustered"/>
        <c:varyColors val="0"/>
        <c:ser>
          <c:idx val="2"/>
          <c:order val="0"/>
          <c:tx>
            <c:strRef>
              <c:f>A_EN!$A$84</c:f>
              <c:strCache>
                <c:ptCount val="1"/>
                <c:pt idx="0">
                  <c:v> thousands</c:v>
                </c:pt>
              </c:strCache>
            </c:strRef>
          </c:tx>
          <c:spPr>
            <a:solidFill>
              <a:srgbClr val="009BB4"/>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1B8-47EF-8D79-06765CEB1285}"/>
                </c:ext>
              </c:extLst>
            </c:dLbl>
            <c:dLbl>
              <c:idx val="1"/>
              <c:delete val="1"/>
              <c:extLst>
                <c:ext xmlns:c15="http://schemas.microsoft.com/office/drawing/2012/chart" uri="{CE6537A1-D6FC-4f65-9D91-7224C49458BB}"/>
                <c:ext xmlns:c16="http://schemas.microsoft.com/office/drawing/2014/chart" uri="{C3380CC4-5D6E-409C-BE32-E72D297353CC}">
                  <c16:uniqueId val="{00000001-41B8-47EF-8D79-06765CEB1285}"/>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A_EN!$B$83:$K$83</c:f>
              <c:numCache>
                <c:formatCode>General</c:formatCode>
                <c:ptCount val="10"/>
                <c:pt idx="0">
                  <c:v>1996</c:v>
                </c:pt>
                <c:pt idx="1">
                  <c:v>1998</c:v>
                </c:pt>
                <c:pt idx="2">
                  <c:v>2000</c:v>
                </c:pt>
                <c:pt idx="3">
                  <c:v>2002</c:v>
                </c:pt>
                <c:pt idx="4">
                  <c:v>2004</c:v>
                </c:pt>
                <c:pt idx="5">
                  <c:v>2006</c:v>
                </c:pt>
                <c:pt idx="6">
                  <c:v>2010</c:v>
                </c:pt>
                <c:pt idx="7">
                  <c:v>2012</c:v>
                </c:pt>
                <c:pt idx="8">
                  <c:v>2014</c:v>
                </c:pt>
                <c:pt idx="9">
                  <c:v>2016</c:v>
                </c:pt>
              </c:numCache>
            </c:numRef>
          </c:cat>
          <c:val>
            <c:numRef>
              <c:f>A_EN!$B$84:$K$84</c:f>
              <c:numCache>
                <c:formatCode>#,##0.0</c:formatCode>
                <c:ptCount val="10"/>
                <c:pt idx="0">
                  <c:v>200.4</c:v>
                </c:pt>
                <c:pt idx="1">
                  <c:v>960.5</c:v>
                </c:pt>
                <c:pt idx="2">
                  <c:v>4338</c:v>
                </c:pt>
                <c:pt idx="3">
                  <c:v>8581.4</c:v>
                </c:pt>
                <c:pt idx="4">
                  <c:v>10584</c:v>
                </c:pt>
                <c:pt idx="5">
                  <c:v>12326</c:v>
                </c:pt>
                <c:pt idx="6">
                  <c:v>12992.87956041978</c:v>
                </c:pt>
                <c:pt idx="7">
                  <c:v>13506</c:v>
                </c:pt>
                <c:pt idx="8">
                  <c:v>13518.262000000001</c:v>
                </c:pt>
                <c:pt idx="9">
                  <c:v>14299.317999999999</c:v>
                </c:pt>
              </c:numCache>
            </c:numRef>
          </c:val>
          <c:extLst>
            <c:ext xmlns:c16="http://schemas.microsoft.com/office/drawing/2014/chart" uri="{C3380CC4-5D6E-409C-BE32-E72D297353CC}">
              <c16:uniqueId val="{00000002-41B8-47EF-8D79-06765CEB1285}"/>
            </c:ext>
          </c:extLst>
        </c:ser>
        <c:dLbls>
          <c:showLegendKey val="0"/>
          <c:showVal val="0"/>
          <c:showCatName val="0"/>
          <c:showSerName val="0"/>
          <c:showPercent val="0"/>
          <c:showBubbleSize val="0"/>
        </c:dLbls>
        <c:gapWidth val="40"/>
        <c:axId val="151490560"/>
        <c:axId val="145190272"/>
      </c:barChart>
      <c:lineChart>
        <c:grouping val="standard"/>
        <c:varyColors val="0"/>
        <c:ser>
          <c:idx val="0"/>
          <c:order val="1"/>
          <c:tx>
            <c:strRef>
              <c:f>A_EN!$A$85</c:f>
              <c:strCache>
                <c:ptCount val="1"/>
                <c:pt idx="0">
                  <c:v> per 100 inhabitants</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A_EN!$B$83:$K$83</c:f>
              <c:numCache>
                <c:formatCode>General</c:formatCode>
                <c:ptCount val="10"/>
                <c:pt idx="0">
                  <c:v>1996</c:v>
                </c:pt>
                <c:pt idx="1">
                  <c:v>1998</c:v>
                </c:pt>
                <c:pt idx="2">
                  <c:v>2000</c:v>
                </c:pt>
                <c:pt idx="3">
                  <c:v>2002</c:v>
                </c:pt>
                <c:pt idx="4">
                  <c:v>2004</c:v>
                </c:pt>
                <c:pt idx="5">
                  <c:v>2006</c:v>
                </c:pt>
                <c:pt idx="6">
                  <c:v>2010</c:v>
                </c:pt>
                <c:pt idx="7">
                  <c:v>2012</c:v>
                </c:pt>
                <c:pt idx="8">
                  <c:v>2014</c:v>
                </c:pt>
                <c:pt idx="9">
                  <c:v>2016</c:v>
                </c:pt>
              </c:numCache>
            </c:numRef>
          </c:cat>
          <c:val>
            <c:numRef>
              <c:f>A_EN!$B$85:$K$85</c:f>
              <c:numCache>
                <c:formatCode>#,##0.0</c:formatCode>
                <c:ptCount val="10"/>
                <c:pt idx="0">
                  <c:v>1.943906652904108</c:v>
                </c:pt>
                <c:pt idx="1">
                  <c:v>9.3346489632611327</c:v>
                </c:pt>
                <c:pt idx="2">
                  <c:v>42.253743371918851</c:v>
                </c:pt>
                <c:pt idx="3">
                  <c:v>84.104417907633305</c:v>
                </c:pt>
                <c:pt idx="4">
                  <c:v>103.5557972901138</c:v>
                </c:pt>
                <c:pt idx="5">
                  <c:v>119.8189320717253</c:v>
                </c:pt>
                <c:pt idx="6">
                  <c:v>123.35671965133371</c:v>
                </c:pt>
                <c:pt idx="7">
                  <c:v>128.43133758870309</c:v>
                </c:pt>
                <c:pt idx="8">
                  <c:v>128.27774944191529</c:v>
                </c:pt>
                <c:pt idx="9">
                  <c:v>135.1693099986577</c:v>
                </c:pt>
              </c:numCache>
            </c:numRef>
          </c:val>
          <c:smooth val="0"/>
          <c:extLst>
            <c:ext xmlns:c16="http://schemas.microsoft.com/office/drawing/2014/chart" uri="{C3380CC4-5D6E-409C-BE32-E72D297353CC}">
              <c16:uniqueId val="{00000003-41B8-47EF-8D79-06765CEB1285}"/>
            </c:ext>
          </c:extLst>
        </c:ser>
        <c:dLbls>
          <c:showLegendKey val="0"/>
          <c:showVal val="0"/>
          <c:showCatName val="0"/>
          <c:showSerName val="0"/>
          <c:showPercent val="0"/>
          <c:showBubbleSize val="0"/>
        </c:dLbls>
        <c:marker val="1"/>
        <c:smooth val="0"/>
        <c:axId val="151494144"/>
        <c:axId val="145190848"/>
      </c:lineChart>
      <c:catAx>
        <c:axId val="151490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45190272"/>
        <c:crosses val="autoZero"/>
        <c:auto val="1"/>
        <c:lblAlgn val="ctr"/>
        <c:lblOffset val="140"/>
        <c:tickLblSkip val="1"/>
        <c:tickMarkSkip val="1"/>
        <c:noMultiLvlLbl val="0"/>
      </c:catAx>
      <c:valAx>
        <c:axId val="145190272"/>
        <c:scaling>
          <c:orientation val="minMax"/>
          <c:max val="18000"/>
          <c:min val="0"/>
        </c:scaling>
        <c:delete val="0"/>
        <c:axPos val="l"/>
        <c:numFmt formatCode="#,##0.0" sourceLinked="1"/>
        <c:majorTickMark val="none"/>
        <c:minorTickMark val="none"/>
        <c:tickLblPos val="none"/>
        <c:spPr>
          <a:ln w="9525">
            <a:noFill/>
          </a:ln>
        </c:spPr>
        <c:crossAx val="151490560"/>
        <c:crosses val="autoZero"/>
        <c:crossBetween val="between"/>
        <c:majorUnit val="1"/>
        <c:minorUnit val="0.1"/>
      </c:valAx>
      <c:catAx>
        <c:axId val="151494144"/>
        <c:scaling>
          <c:orientation val="minMax"/>
        </c:scaling>
        <c:delete val="1"/>
        <c:axPos val="b"/>
        <c:numFmt formatCode="General" sourceLinked="1"/>
        <c:majorTickMark val="out"/>
        <c:minorTickMark val="none"/>
        <c:tickLblPos val="none"/>
        <c:crossAx val="145190848"/>
        <c:crosses val="autoZero"/>
        <c:auto val="1"/>
        <c:lblAlgn val="ctr"/>
        <c:lblOffset val="100"/>
        <c:noMultiLvlLbl val="0"/>
      </c:catAx>
      <c:valAx>
        <c:axId val="145190848"/>
        <c:scaling>
          <c:orientation val="minMax"/>
          <c:max val="160"/>
          <c:min val="0"/>
        </c:scaling>
        <c:delete val="0"/>
        <c:axPos val="r"/>
        <c:numFmt formatCode="#,##0.0" sourceLinked="1"/>
        <c:majorTickMark val="none"/>
        <c:minorTickMark val="none"/>
        <c:tickLblPos val="none"/>
        <c:crossAx val="151494144"/>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4.0574404761904798E-2"/>
          <c:y val="0.17034444444444399"/>
          <c:w val="0.34676388888888898"/>
          <c:h val="0.197548412698413"/>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a:t>
            </a:r>
            <a:r>
              <a:rPr lang="en-US" sz="800" b="1" i="0" baseline="0">
                <a:effectLst/>
              </a:rPr>
              <a:t> </a:t>
            </a:r>
            <a:r>
              <a:rPr lang="cs-CZ" sz="800" b="1" i="0" baseline="0">
                <a:effectLst/>
              </a:rPr>
              <a:t>A7 SIM cards used in the Czech Republic  in M2M network</a:t>
            </a:r>
            <a:endParaRPr lang="en-US" sz="800" b="1"/>
          </a:p>
        </c:rich>
      </c:tx>
      <c:layout/>
      <c:overlay val="1"/>
    </c:title>
    <c:autoTitleDeleted val="0"/>
    <c:plotArea>
      <c:layout>
        <c:manualLayout>
          <c:layoutTarget val="inner"/>
          <c:xMode val="edge"/>
          <c:yMode val="edge"/>
          <c:x val="2.2538872296135399E-2"/>
          <c:y val="0.16301230158730201"/>
          <c:w val="0.95492225540772901"/>
          <c:h val="0.637262698412698"/>
        </c:manualLayout>
      </c:layout>
      <c:barChart>
        <c:barDir val="col"/>
        <c:grouping val="clustered"/>
        <c:varyColors val="0"/>
        <c:ser>
          <c:idx val="2"/>
          <c:order val="0"/>
          <c:tx>
            <c:strRef>
              <c:f>A_EN!$A$105</c:f>
              <c:strCache>
                <c:ptCount val="1"/>
                <c:pt idx="0">
                  <c:v> thousands</c:v>
                </c:pt>
              </c:strCache>
            </c:strRef>
          </c:tx>
          <c:spPr>
            <a:solidFill>
              <a:srgbClr val="009BB4"/>
            </a:solidFill>
            <a:ln w="25400">
              <a:noFill/>
            </a:ln>
          </c:spPr>
          <c:invertIfNegative val="0"/>
          <c:dLbls>
            <c:dLbl>
              <c:idx val="0"/>
              <c:layout>
                <c:manualLayout>
                  <c:x val="8.3994708994708997E-3"/>
                  <c:y val="7.358452380952379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4A2-4C5E-87D7-42F35A50C6E3}"/>
                </c:ext>
              </c:extLst>
            </c:dLbl>
            <c:numFmt formatCode="#,##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A_EN!$B$104:$I$104</c:f>
              <c:numCache>
                <c:formatCode>General</c:formatCode>
                <c:ptCount val="8"/>
                <c:pt idx="0">
                  <c:v>2009</c:v>
                </c:pt>
                <c:pt idx="1">
                  <c:v>2010</c:v>
                </c:pt>
                <c:pt idx="2">
                  <c:v>2011</c:v>
                </c:pt>
                <c:pt idx="3">
                  <c:v>2012</c:v>
                </c:pt>
                <c:pt idx="4">
                  <c:v>2013</c:v>
                </c:pt>
                <c:pt idx="5">
                  <c:v>2014</c:v>
                </c:pt>
                <c:pt idx="6">
                  <c:v>2015</c:v>
                </c:pt>
                <c:pt idx="7">
                  <c:v>2016</c:v>
                </c:pt>
              </c:numCache>
            </c:numRef>
          </c:cat>
          <c:val>
            <c:numRef>
              <c:f>A_EN!$B$105:$I$105</c:f>
              <c:numCache>
                <c:formatCode>0.0</c:formatCode>
                <c:ptCount val="8"/>
                <c:pt idx="0">
                  <c:v>106.499</c:v>
                </c:pt>
                <c:pt idx="1">
                  <c:v>178.596</c:v>
                </c:pt>
                <c:pt idx="2">
                  <c:v>322.83699999999902</c:v>
                </c:pt>
                <c:pt idx="3">
                  <c:v>533.20000000000005</c:v>
                </c:pt>
                <c:pt idx="4">
                  <c:v>613.91300000000001</c:v>
                </c:pt>
                <c:pt idx="5">
                  <c:v>688.21400000000006</c:v>
                </c:pt>
                <c:pt idx="6">
                  <c:v>744.05599999999936</c:v>
                </c:pt>
                <c:pt idx="7">
                  <c:v>837.85599999999874</c:v>
                </c:pt>
              </c:numCache>
            </c:numRef>
          </c:val>
          <c:extLst>
            <c:ext xmlns:c16="http://schemas.microsoft.com/office/drawing/2014/chart" uri="{C3380CC4-5D6E-409C-BE32-E72D297353CC}">
              <c16:uniqueId val="{00000001-44A2-4C5E-87D7-42F35A50C6E3}"/>
            </c:ext>
          </c:extLst>
        </c:ser>
        <c:dLbls>
          <c:showLegendKey val="0"/>
          <c:showVal val="0"/>
          <c:showCatName val="0"/>
          <c:showSerName val="0"/>
          <c:showPercent val="0"/>
          <c:showBubbleSize val="0"/>
        </c:dLbls>
        <c:gapWidth val="40"/>
        <c:axId val="151237120"/>
        <c:axId val="145192576"/>
      </c:barChart>
      <c:lineChart>
        <c:grouping val="standard"/>
        <c:varyColors val="0"/>
        <c:ser>
          <c:idx val="0"/>
          <c:order val="1"/>
          <c:tx>
            <c:strRef>
              <c:f>A_EN!$A$106</c:f>
              <c:strCache>
                <c:ptCount val="1"/>
                <c:pt idx="0">
                  <c:v> per 100 inhabitants</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A_EN!$B$104:$I$104</c:f>
              <c:numCache>
                <c:formatCode>General</c:formatCode>
                <c:ptCount val="8"/>
                <c:pt idx="0">
                  <c:v>2009</c:v>
                </c:pt>
                <c:pt idx="1">
                  <c:v>2010</c:v>
                </c:pt>
                <c:pt idx="2">
                  <c:v>2011</c:v>
                </c:pt>
                <c:pt idx="3">
                  <c:v>2012</c:v>
                </c:pt>
                <c:pt idx="4">
                  <c:v>2013</c:v>
                </c:pt>
                <c:pt idx="5">
                  <c:v>2014</c:v>
                </c:pt>
                <c:pt idx="6">
                  <c:v>2015</c:v>
                </c:pt>
                <c:pt idx="7">
                  <c:v>2016</c:v>
                </c:pt>
              </c:numCache>
            </c:numRef>
          </c:cat>
          <c:val>
            <c:numRef>
              <c:f>A_EN!$B$106:$I$106</c:f>
              <c:numCache>
                <c:formatCode>0.0</c:formatCode>
                <c:ptCount val="8"/>
                <c:pt idx="0">
                  <c:v>1.0136184968743609</c:v>
                </c:pt>
                <c:pt idx="1">
                  <c:v>1.6956223291688699</c:v>
                </c:pt>
                <c:pt idx="2">
                  <c:v>3.0730445021605459</c:v>
                </c:pt>
                <c:pt idx="3">
                  <c:v>5.0703086926030299</c:v>
                </c:pt>
                <c:pt idx="4">
                  <c:v>5.8398832847130704</c:v>
                </c:pt>
                <c:pt idx="5">
                  <c:v>6.5306134068431509</c:v>
                </c:pt>
                <c:pt idx="6">
                  <c:v>7.0500954012675763</c:v>
                </c:pt>
                <c:pt idx="7">
                  <c:v>7.9201271975513334</c:v>
                </c:pt>
              </c:numCache>
            </c:numRef>
          </c:val>
          <c:smooth val="0"/>
          <c:extLst>
            <c:ext xmlns:c16="http://schemas.microsoft.com/office/drawing/2014/chart" uri="{C3380CC4-5D6E-409C-BE32-E72D297353CC}">
              <c16:uniqueId val="{00000002-44A2-4C5E-87D7-42F35A50C6E3}"/>
            </c:ext>
          </c:extLst>
        </c:ser>
        <c:dLbls>
          <c:showLegendKey val="0"/>
          <c:showVal val="0"/>
          <c:showCatName val="0"/>
          <c:showSerName val="0"/>
          <c:showPercent val="0"/>
          <c:showBubbleSize val="0"/>
        </c:dLbls>
        <c:marker val="1"/>
        <c:smooth val="0"/>
        <c:axId val="151238144"/>
        <c:axId val="145193152"/>
      </c:lineChart>
      <c:catAx>
        <c:axId val="1512371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45192576"/>
        <c:crosses val="autoZero"/>
        <c:auto val="1"/>
        <c:lblAlgn val="ctr"/>
        <c:lblOffset val="140"/>
        <c:tickLblSkip val="1"/>
        <c:tickMarkSkip val="1"/>
        <c:noMultiLvlLbl val="0"/>
      </c:catAx>
      <c:valAx>
        <c:axId val="145192576"/>
        <c:scaling>
          <c:orientation val="minMax"/>
          <c:max val="1200"/>
          <c:min val="0"/>
        </c:scaling>
        <c:delete val="0"/>
        <c:axPos val="l"/>
        <c:numFmt formatCode="0.0" sourceLinked="1"/>
        <c:majorTickMark val="none"/>
        <c:minorTickMark val="none"/>
        <c:tickLblPos val="none"/>
        <c:spPr>
          <a:ln w="9525">
            <a:noFill/>
          </a:ln>
        </c:spPr>
        <c:crossAx val="151237120"/>
        <c:crosses val="autoZero"/>
        <c:crossBetween val="between"/>
        <c:majorUnit val="1"/>
        <c:minorUnit val="0.1"/>
      </c:valAx>
      <c:catAx>
        <c:axId val="151238144"/>
        <c:scaling>
          <c:orientation val="minMax"/>
        </c:scaling>
        <c:delete val="1"/>
        <c:axPos val="b"/>
        <c:numFmt formatCode="General" sourceLinked="1"/>
        <c:majorTickMark val="out"/>
        <c:minorTickMark val="none"/>
        <c:tickLblPos val="none"/>
        <c:crossAx val="145193152"/>
        <c:crosses val="autoZero"/>
        <c:auto val="1"/>
        <c:lblAlgn val="ctr"/>
        <c:lblOffset val="100"/>
        <c:noMultiLvlLbl val="0"/>
      </c:catAx>
      <c:valAx>
        <c:axId val="145193152"/>
        <c:scaling>
          <c:orientation val="minMax"/>
          <c:max val="10"/>
          <c:min val="0"/>
        </c:scaling>
        <c:delete val="0"/>
        <c:axPos val="r"/>
        <c:numFmt formatCode="0.0" sourceLinked="1"/>
        <c:majorTickMark val="none"/>
        <c:minorTickMark val="none"/>
        <c:tickLblPos val="none"/>
        <c:crossAx val="151238144"/>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4.0776785714285703E-2"/>
          <c:y val="0.185463492063492"/>
          <c:w val="0.35096362433862399"/>
          <c:h val="0.20258809523809501"/>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en-US" sz="800" b="1"/>
              <a:t> A</a:t>
            </a:r>
            <a:r>
              <a:rPr lang="cs-CZ" sz="800" b="1"/>
              <a:t>8</a:t>
            </a:r>
            <a:r>
              <a:rPr lang="en-US" sz="800" b="1"/>
              <a:t> </a:t>
            </a:r>
            <a:r>
              <a:rPr lang="cs-CZ" sz="800" b="1"/>
              <a:t>Total fixed telephone traffic in</a:t>
            </a:r>
            <a:r>
              <a:rPr lang="cs-CZ" sz="800" b="1" baseline="0"/>
              <a:t> the Czech Republic (</a:t>
            </a:r>
            <a:r>
              <a:rPr lang="cs-CZ" sz="800" b="1" baseline="0">
                <a:solidFill>
                  <a:sysClr val="windowText" lastClr="000000"/>
                </a:solidFill>
              </a:rPr>
              <a:t>billion called </a:t>
            </a:r>
            <a:r>
              <a:rPr lang="cs-CZ" sz="800" b="1" baseline="0"/>
              <a:t>minutes)</a:t>
            </a:r>
            <a:endParaRPr lang="en-US" sz="800" b="1"/>
          </a:p>
        </c:rich>
      </c:tx>
      <c:layout>
        <c:manualLayout>
          <c:xMode val="edge"/>
          <c:yMode val="edge"/>
          <c:x val="0.137351836667922"/>
          <c:y val="0"/>
        </c:manualLayout>
      </c:layout>
      <c:overlay val="1"/>
    </c:title>
    <c:autoTitleDeleted val="0"/>
    <c:plotArea>
      <c:layout>
        <c:manualLayout>
          <c:layoutTarget val="inner"/>
          <c:xMode val="edge"/>
          <c:yMode val="edge"/>
          <c:x val="7.3443318563046298E-2"/>
          <c:y val="0.13846659411476001"/>
          <c:w val="0.91330876039766995"/>
          <c:h val="0.66797508520390203"/>
        </c:manualLayout>
      </c:layout>
      <c:lineChart>
        <c:grouping val="standard"/>
        <c:varyColors val="0"/>
        <c:ser>
          <c:idx val="4"/>
          <c:order val="0"/>
          <c:tx>
            <c:strRef>
              <c:f>A_EN!$A$111</c:f>
              <c:strCache>
                <c:ptCount val="1"/>
                <c:pt idx="0">
                  <c:v> from PSTN lines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1.6798941798941799E-2"/>
                  <c:y val="3.79914529914529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0BB-411B-9EE6-934B553BAA35}"/>
                </c:ext>
              </c:extLst>
            </c:dLbl>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A_EN!$B$110:$H$110</c:f>
              <c:numCache>
                <c:formatCode>General</c:formatCode>
                <c:ptCount val="7"/>
                <c:pt idx="0">
                  <c:v>2004</c:v>
                </c:pt>
                <c:pt idx="1">
                  <c:v>2006</c:v>
                </c:pt>
                <c:pt idx="2" formatCode="0">
                  <c:v>2008</c:v>
                </c:pt>
                <c:pt idx="3" formatCode="0">
                  <c:v>2010</c:v>
                </c:pt>
                <c:pt idx="4" formatCode="0">
                  <c:v>2012</c:v>
                </c:pt>
                <c:pt idx="5" formatCode="0">
                  <c:v>2014</c:v>
                </c:pt>
                <c:pt idx="6" formatCode="0">
                  <c:v>2016</c:v>
                </c:pt>
              </c:numCache>
            </c:numRef>
          </c:cat>
          <c:val>
            <c:numRef>
              <c:f>A_EN!$B$111:$H$111</c:f>
              <c:numCache>
                <c:formatCode>#,##0.0</c:formatCode>
                <c:ptCount val="7"/>
                <c:pt idx="0">
                  <c:v>8.18</c:v>
                </c:pt>
                <c:pt idx="1">
                  <c:v>5.4451804499999898</c:v>
                </c:pt>
                <c:pt idx="2">
                  <c:v>3.17</c:v>
                </c:pt>
                <c:pt idx="3">
                  <c:v>2.274</c:v>
                </c:pt>
                <c:pt idx="4">
                  <c:v>1.7390000000000001</c:v>
                </c:pt>
                <c:pt idx="5">
                  <c:v>1.3696410800000001</c:v>
                </c:pt>
                <c:pt idx="6">
                  <c:v>1.0111733274000001</c:v>
                </c:pt>
              </c:numCache>
            </c:numRef>
          </c:val>
          <c:smooth val="0"/>
          <c:extLst>
            <c:ext xmlns:c16="http://schemas.microsoft.com/office/drawing/2014/chart" uri="{C3380CC4-5D6E-409C-BE32-E72D297353CC}">
              <c16:uniqueId val="{00000001-20BB-411B-9EE6-934B553BAA35}"/>
            </c:ext>
          </c:extLst>
        </c:ser>
        <c:ser>
          <c:idx val="1"/>
          <c:order val="1"/>
          <c:tx>
            <c:strRef>
              <c:f>A_EN!$A$112</c:f>
              <c:strCache>
                <c:ptCount val="1"/>
                <c:pt idx="0">
                  <c:v> from VoIP</c:v>
                </c:pt>
              </c:strCache>
            </c:strRef>
          </c:tx>
          <c:spPr>
            <a:ln w="19050">
              <a:solidFill>
                <a:srgbClr val="47E5FF"/>
              </a:solidFill>
            </a:ln>
          </c:spPr>
          <c:marker>
            <c:symbol val="circle"/>
            <c:size val="4"/>
            <c:spPr>
              <a:solidFill>
                <a:srgbClr val="47E5FF"/>
              </a:solidFill>
              <a:ln w="12700">
                <a:solidFill>
                  <a:srgbClr val="007D92"/>
                </a:solidFill>
              </a:ln>
            </c:spPr>
          </c:marker>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A_EN!$B$110:$H$110</c:f>
              <c:numCache>
                <c:formatCode>General</c:formatCode>
                <c:ptCount val="7"/>
                <c:pt idx="0">
                  <c:v>2004</c:v>
                </c:pt>
                <c:pt idx="1">
                  <c:v>2006</c:v>
                </c:pt>
                <c:pt idx="2" formatCode="0">
                  <c:v>2008</c:v>
                </c:pt>
                <c:pt idx="3" formatCode="0">
                  <c:v>2010</c:v>
                </c:pt>
                <c:pt idx="4" formatCode="0">
                  <c:v>2012</c:v>
                </c:pt>
                <c:pt idx="5" formatCode="0">
                  <c:v>2014</c:v>
                </c:pt>
                <c:pt idx="6" formatCode="0">
                  <c:v>2016</c:v>
                </c:pt>
              </c:numCache>
            </c:numRef>
          </c:cat>
          <c:val>
            <c:numRef>
              <c:f>A_EN!$B$112:$H$112</c:f>
              <c:numCache>
                <c:formatCode>General</c:formatCode>
                <c:ptCount val="7"/>
                <c:pt idx="2" formatCode="#,##0.0">
                  <c:v>0.35899999999999999</c:v>
                </c:pt>
                <c:pt idx="3" formatCode="#,##0.0">
                  <c:v>0.48899999999999999</c:v>
                </c:pt>
                <c:pt idx="4" formatCode="#,##0.0">
                  <c:v>0.53300000000000003</c:v>
                </c:pt>
                <c:pt idx="5" formatCode="#,##0.0">
                  <c:v>0.69157465833999998</c:v>
                </c:pt>
                <c:pt idx="6" formatCode="#,##0.0">
                  <c:v>0.59028397960000001</c:v>
                </c:pt>
              </c:numCache>
            </c:numRef>
          </c:val>
          <c:smooth val="0"/>
          <c:extLst>
            <c:ext xmlns:c16="http://schemas.microsoft.com/office/drawing/2014/chart" uri="{C3380CC4-5D6E-409C-BE32-E72D297353CC}">
              <c16:uniqueId val="{00000002-20BB-411B-9EE6-934B553BAA35}"/>
            </c:ext>
          </c:extLst>
        </c:ser>
        <c:dLbls>
          <c:showLegendKey val="0"/>
          <c:showVal val="0"/>
          <c:showCatName val="0"/>
          <c:showSerName val="0"/>
          <c:showPercent val="0"/>
          <c:showBubbleSize val="0"/>
        </c:dLbls>
        <c:marker val="1"/>
        <c:smooth val="0"/>
        <c:axId val="151239168"/>
        <c:axId val="151101440"/>
      </c:lineChart>
      <c:catAx>
        <c:axId val="1512391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1101440"/>
        <c:crosses val="autoZero"/>
        <c:auto val="1"/>
        <c:lblAlgn val="ctr"/>
        <c:lblOffset val="100"/>
        <c:tickLblSkip val="1"/>
        <c:tickMarkSkip val="1"/>
        <c:noMultiLvlLbl val="0"/>
      </c:catAx>
      <c:valAx>
        <c:axId val="151101440"/>
        <c:scaling>
          <c:orientation val="minMax"/>
          <c:max val="8.3000000000000007"/>
          <c:min val="0"/>
        </c:scaling>
        <c:delete val="1"/>
        <c:axPos val="l"/>
        <c:numFmt formatCode="#,##0" sourceLinked="0"/>
        <c:majorTickMark val="out"/>
        <c:minorTickMark val="none"/>
        <c:tickLblPos val="nextTo"/>
        <c:crossAx val="151239168"/>
        <c:crosses val="autoZero"/>
        <c:crossBetween val="between"/>
        <c:majorUnit val="1"/>
        <c:minorUnit val="0.1"/>
      </c:valAx>
      <c:spPr>
        <a:noFill/>
        <a:ln w="12700">
          <a:solidFill>
            <a:srgbClr val="A6A6A6"/>
          </a:solidFill>
          <a:prstDash val="solid"/>
        </a:ln>
      </c:spPr>
    </c:plotArea>
    <c:legend>
      <c:legendPos val="r"/>
      <c:layout>
        <c:manualLayout>
          <c:xMode val="edge"/>
          <c:yMode val="edge"/>
          <c:x val="0.41759450830140499"/>
          <c:y val="0.19097222222222199"/>
          <c:w val="0.50131257982120003"/>
          <c:h val="0.23690277777777799"/>
        </c:manualLayout>
      </c:layout>
      <c:overlay val="0"/>
      <c:spPr>
        <a:solidFill>
          <a:srgbClr val="FFFFFF"/>
        </a:solid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a:t>
            </a:r>
            <a:r>
              <a:rPr lang="en-US" sz="800" b="1" i="0" baseline="0">
                <a:effectLst/>
              </a:rPr>
              <a:t> A</a:t>
            </a:r>
            <a:r>
              <a:rPr lang="cs-CZ" sz="800" b="1" i="0" baseline="0">
                <a:effectLst/>
              </a:rPr>
              <a:t>9</a:t>
            </a:r>
            <a:r>
              <a:rPr lang="en-US" sz="800" b="1" i="0" baseline="0">
                <a:effectLst/>
              </a:rPr>
              <a:t> </a:t>
            </a:r>
            <a:r>
              <a:rPr lang="cs-CZ" sz="800" b="1" i="0" baseline="0">
                <a:effectLst/>
              </a:rPr>
              <a:t>Mobile telephone traffic </a:t>
            </a:r>
          </a:p>
          <a:p>
            <a:pPr>
              <a:defRPr sz="800" b="1"/>
            </a:pPr>
            <a:r>
              <a:rPr lang="cs-CZ" sz="800" b="1" i="0" baseline="0">
                <a:effectLst/>
              </a:rPr>
              <a:t>in the Czech Republic</a:t>
            </a:r>
            <a:endParaRPr lang="en-US" sz="800" b="1"/>
          </a:p>
        </c:rich>
      </c:tx>
      <c:layout>
        <c:manualLayout>
          <c:xMode val="edge"/>
          <c:yMode val="edge"/>
          <c:x val="0.23899109419386416"/>
          <c:y val="2.1709272642289577E-2"/>
        </c:manualLayout>
      </c:layout>
      <c:overlay val="1"/>
    </c:title>
    <c:autoTitleDeleted val="0"/>
    <c:plotArea>
      <c:layout>
        <c:manualLayout>
          <c:layoutTarget val="inner"/>
          <c:xMode val="edge"/>
          <c:yMode val="edge"/>
          <c:x val="2.2538872296135399E-2"/>
          <c:y val="0.14130299145299099"/>
          <c:w val="0.95072255291005303"/>
          <c:h val="0.65897222222222196"/>
        </c:manualLayout>
      </c:layout>
      <c:barChart>
        <c:barDir val="col"/>
        <c:grouping val="clustered"/>
        <c:varyColors val="0"/>
        <c:ser>
          <c:idx val="2"/>
          <c:order val="0"/>
          <c:tx>
            <c:strRef>
              <c:f>A_EN!$A$124</c:f>
              <c:strCache>
                <c:ptCount val="1"/>
                <c:pt idx="0">
                  <c:v> billion called minutes</c:v>
                </c:pt>
              </c:strCache>
            </c:strRef>
          </c:tx>
          <c:spPr>
            <a:solidFill>
              <a:srgbClr val="009BB4"/>
            </a:solidFill>
            <a:ln w="25400">
              <a:noFill/>
            </a:ln>
          </c:spPr>
          <c:invertIfNegative val="0"/>
          <c:dLbls>
            <c:numFmt formatCode="#,##0.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A_EN!$B$123:$H$123</c:f>
              <c:numCache>
                <c:formatCode>0</c:formatCode>
                <c:ptCount val="7"/>
                <c:pt idx="0" formatCode="General">
                  <c:v>2004</c:v>
                </c:pt>
                <c:pt idx="1">
                  <c:v>2006</c:v>
                </c:pt>
                <c:pt idx="2">
                  <c:v>2008</c:v>
                </c:pt>
                <c:pt idx="3">
                  <c:v>2010</c:v>
                </c:pt>
                <c:pt idx="4">
                  <c:v>2012</c:v>
                </c:pt>
                <c:pt idx="5">
                  <c:v>2014</c:v>
                </c:pt>
                <c:pt idx="6">
                  <c:v>2016</c:v>
                </c:pt>
              </c:numCache>
            </c:numRef>
          </c:cat>
          <c:val>
            <c:numRef>
              <c:f>A_EN!$B$124:$H$124</c:f>
              <c:numCache>
                <c:formatCode>#,##0.0</c:formatCode>
                <c:ptCount val="7"/>
                <c:pt idx="0">
                  <c:v>6.722251</c:v>
                </c:pt>
                <c:pt idx="1">
                  <c:v>9.5982709999999987</c:v>
                </c:pt>
                <c:pt idx="2">
                  <c:v>12.6982</c:v>
                </c:pt>
                <c:pt idx="3">
                  <c:v>14.861039</c:v>
                </c:pt>
                <c:pt idx="4">
                  <c:v>16.112912000000001</c:v>
                </c:pt>
                <c:pt idx="5">
                  <c:v>20.731107999999999</c:v>
                </c:pt>
                <c:pt idx="6">
                  <c:v>20.97891447632</c:v>
                </c:pt>
              </c:numCache>
            </c:numRef>
          </c:val>
          <c:extLst>
            <c:ext xmlns:c16="http://schemas.microsoft.com/office/drawing/2014/chart" uri="{C3380CC4-5D6E-409C-BE32-E72D297353CC}">
              <c16:uniqueId val="{00000000-A942-43B4-848B-63CF85883A02}"/>
            </c:ext>
          </c:extLst>
        </c:ser>
        <c:dLbls>
          <c:showLegendKey val="0"/>
          <c:showVal val="0"/>
          <c:showCatName val="0"/>
          <c:showSerName val="0"/>
          <c:showPercent val="0"/>
          <c:showBubbleSize val="0"/>
        </c:dLbls>
        <c:gapWidth val="40"/>
        <c:axId val="151240192"/>
        <c:axId val="151103168"/>
      </c:barChart>
      <c:lineChart>
        <c:grouping val="standard"/>
        <c:varyColors val="0"/>
        <c:ser>
          <c:idx val="0"/>
          <c:order val="1"/>
          <c:tx>
            <c:strRef>
              <c:f>A_EN!$A$125</c:f>
              <c:strCache>
                <c:ptCount val="1"/>
                <c:pt idx="0">
                  <c:v> minutes per one subscription (SIM card)</c:v>
                </c:pt>
              </c:strCache>
            </c:strRef>
          </c:tx>
          <c:spPr>
            <a:ln w="12700">
              <a:solidFill>
                <a:srgbClr val="009BB4"/>
              </a:solidFill>
            </a:ln>
          </c:spPr>
          <c:marker>
            <c:symbol val="diamond"/>
            <c:size val="4"/>
            <c:spPr>
              <a:solidFill>
                <a:srgbClr val="47E5FF"/>
              </a:solidFill>
              <a:ln w="12700">
                <a:solidFill>
                  <a:srgbClr val="009BB4"/>
                </a:solidFill>
              </a:ln>
            </c:spPr>
          </c:marker>
          <c:dLbls>
            <c:dLbl>
              <c:idx val="3"/>
              <c:layout>
                <c:manualLayout>
                  <c:x val="-7.5647817460317499E-2"/>
                  <c:y val="-4.93752136752136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942-43B4-848B-63CF85883A02}"/>
                </c:ext>
              </c:extLst>
            </c:dLbl>
            <c:dLbl>
              <c:idx val="4"/>
              <c:layout>
                <c:manualLayout>
                  <c:x val="-7.56481481481482E-2"/>
                  <c:y val="3.7461965811965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942-43B4-848B-63CF85883A02}"/>
                </c:ext>
              </c:extLst>
            </c:dLbl>
            <c:dLbl>
              <c:idx val="5"/>
              <c:layout>
                <c:manualLayout>
                  <c:x val="-6.3048611111111097E-2"/>
                  <c:y val="4.83170940170939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942-43B4-848B-63CF85883A02}"/>
                </c:ext>
              </c:extLst>
            </c:dLbl>
            <c:numFmt formatCode="#,##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A_EN!$B$123:$H$123</c:f>
              <c:numCache>
                <c:formatCode>0</c:formatCode>
                <c:ptCount val="7"/>
                <c:pt idx="0" formatCode="General">
                  <c:v>2004</c:v>
                </c:pt>
                <c:pt idx="1">
                  <c:v>2006</c:v>
                </c:pt>
                <c:pt idx="2">
                  <c:v>2008</c:v>
                </c:pt>
                <c:pt idx="3">
                  <c:v>2010</c:v>
                </c:pt>
                <c:pt idx="4">
                  <c:v>2012</c:v>
                </c:pt>
                <c:pt idx="5">
                  <c:v>2014</c:v>
                </c:pt>
                <c:pt idx="6">
                  <c:v>2016</c:v>
                </c:pt>
              </c:numCache>
            </c:numRef>
          </c:cat>
          <c:val>
            <c:numRef>
              <c:f>A_EN!$B$125:$H$125</c:f>
              <c:numCache>
                <c:formatCode>#,##0.0</c:formatCode>
                <c:ptCount val="7"/>
                <c:pt idx="0">
                  <c:v>634.31546116933418</c:v>
                </c:pt>
                <c:pt idx="1">
                  <c:v>897.87428745438081</c:v>
                </c:pt>
                <c:pt idx="2">
                  <c:v>1184.8830665686601</c:v>
                </c:pt>
                <c:pt idx="3">
                  <c:v>1392.3312256330171</c:v>
                </c:pt>
                <c:pt idx="4">
                  <c:v>1499.5151961106119</c:v>
                </c:pt>
                <c:pt idx="5">
                  <c:v>1905.642350643853</c:v>
                </c:pt>
                <c:pt idx="6">
                  <c:v>1933.0165283079821</c:v>
                </c:pt>
              </c:numCache>
            </c:numRef>
          </c:val>
          <c:smooth val="0"/>
          <c:extLst>
            <c:ext xmlns:c16="http://schemas.microsoft.com/office/drawing/2014/chart" uri="{C3380CC4-5D6E-409C-BE32-E72D297353CC}">
              <c16:uniqueId val="{00000004-A942-43B4-848B-63CF85883A02}"/>
            </c:ext>
          </c:extLst>
        </c:ser>
        <c:dLbls>
          <c:showLegendKey val="0"/>
          <c:showVal val="0"/>
          <c:showCatName val="0"/>
          <c:showSerName val="0"/>
          <c:showPercent val="0"/>
          <c:showBubbleSize val="0"/>
        </c:dLbls>
        <c:marker val="1"/>
        <c:smooth val="0"/>
        <c:axId val="154162176"/>
        <c:axId val="151103744"/>
      </c:lineChart>
      <c:catAx>
        <c:axId val="151240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51103168"/>
        <c:crosses val="autoZero"/>
        <c:auto val="1"/>
        <c:lblAlgn val="ctr"/>
        <c:lblOffset val="140"/>
        <c:tickLblSkip val="1"/>
        <c:tickMarkSkip val="1"/>
        <c:noMultiLvlLbl val="0"/>
      </c:catAx>
      <c:valAx>
        <c:axId val="151103168"/>
        <c:scaling>
          <c:orientation val="minMax"/>
          <c:max val="30"/>
          <c:min val="0"/>
        </c:scaling>
        <c:delete val="0"/>
        <c:axPos val="l"/>
        <c:numFmt formatCode="#,##0.0" sourceLinked="1"/>
        <c:majorTickMark val="none"/>
        <c:minorTickMark val="none"/>
        <c:tickLblPos val="none"/>
        <c:spPr>
          <a:ln w="9525">
            <a:noFill/>
          </a:ln>
        </c:spPr>
        <c:crossAx val="151240192"/>
        <c:crosses val="autoZero"/>
        <c:crossBetween val="between"/>
        <c:majorUnit val="5"/>
        <c:minorUnit val="0.1"/>
      </c:valAx>
      <c:catAx>
        <c:axId val="154162176"/>
        <c:scaling>
          <c:orientation val="minMax"/>
        </c:scaling>
        <c:delete val="1"/>
        <c:axPos val="b"/>
        <c:numFmt formatCode="General" sourceLinked="1"/>
        <c:majorTickMark val="out"/>
        <c:minorTickMark val="none"/>
        <c:tickLblPos val="none"/>
        <c:crossAx val="151103744"/>
        <c:crosses val="autoZero"/>
        <c:auto val="1"/>
        <c:lblAlgn val="ctr"/>
        <c:lblOffset val="100"/>
        <c:noMultiLvlLbl val="0"/>
      </c:catAx>
      <c:valAx>
        <c:axId val="151103744"/>
        <c:scaling>
          <c:orientation val="minMax"/>
          <c:max val="2400"/>
          <c:min val="0"/>
        </c:scaling>
        <c:delete val="0"/>
        <c:axPos val="r"/>
        <c:numFmt formatCode="#,##0.0" sourceLinked="1"/>
        <c:majorTickMark val="none"/>
        <c:minorTickMark val="none"/>
        <c:tickLblPos val="none"/>
        <c:crossAx val="154162176"/>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3.2377714650431398E-2"/>
          <c:y val="0.15864916013767266"/>
          <c:w val="0.724740079365079"/>
          <c:h val="0.1084672635098694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0.02649</cdr:x>
      <cdr:y>0.90429</cdr:y>
    </cdr:from>
    <cdr:to>
      <cdr:x>1</cdr:x>
      <cdr:y>0.97896</cdr:y>
    </cdr:to>
    <cdr:sp macro="" textlink="">
      <cdr:nvSpPr>
        <cdr:cNvPr id="2" name="TextovéPole 1"/>
        <cdr:cNvSpPr txBox="1"/>
      </cdr:nvSpPr>
      <cdr:spPr>
        <a:xfrm xmlns:a="http://schemas.openxmlformats.org/drawingml/2006/main">
          <a:off x="89105" y="1953266"/>
          <a:ext cx="3060000" cy="1612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latin typeface="Arial" panose="020B0604020202020204" pitchFamily="34" charset="0"/>
            <a:cs typeface="Arial" panose="020B060402020202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0.04102</cdr:x>
      <cdr:y>0.90076</cdr:y>
    </cdr:from>
    <cdr:to>
      <cdr:x>0.99189</cdr:x>
      <cdr:y>0.97045</cdr:y>
    </cdr:to>
    <cdr:sp macro="" textlink="">
      <cdr:nvSpPr>
        <cdr:cNvPr id="2" name="TextovéPole 1"/>
        <cdr:cNvSpPr txBox="1"/>
      </cdr:nvSpPr>
      <cdr:spPr>
        <a:xfrm xmlns:a="http://schemas.openxmlformats.org/drawingml/2006/main">
          <a:off x="127000" y="2432050"/>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0.0202</cdr:x>
      <cdr:y>4.27355E-7</cdr:y>
    </cdr:from>
    <cdr:to>
      <cdr:x>1</cdr:x>
      <cdr:y>0.14654</cdr:y>
    </cdr:to>
    <cdr:sp macro="" textlink="">
      <cdr:nvSpPr>
        <cdr:cNvPr id="3" name="TextovéPole 2"/>
        <cdr:cNvSpPr txBox="1"/>
      </cdr:nvSpPr>
      <cdr:spPr>
        <a:xfrm xmlns:a="http://schemas.openxmlformats.org/drawingml/2006/main">
          <a:off x="57601" y="1"/>
          <a:ext cx="2793550" cy="3428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a:t>
          </a:r>
          <a:r>
            <a:rPr lang="en-US" sz="800" b="1" i="0" baseline="0">
              <a:effectLst/>
              <a:latin typeface="Arial" panose="020B0604020202020204" pitchFamily="34" charset="0"/>
              <a:ea typeface="+mn-ea"/>
              <a:cs typeface="Arial" panose="020B0604020202020204" pitchFamily="34" charset="0"/>
            </a:rPr>
            <a:t>A1</a:t>
          </a:r>
          <a:r>
            <a:rPr lang="cs-CZ" sz="800" b="1" i="0" baseline="0">
              <a:effectLst/>
              <a:latin typeface="Arial" panose="020B0604020202020204" pitchFamily="34" charset="0"/>
              <a:ea typeface="+mn-ea"/>
              <a:cs typeface="Arial" panose="020B0604020202020204" pitchFamily="34" charset="0"/>
            </a:rPr>
            <a:t>1</a:t>
          </a:r>
          <a:r>
            <a:rPr lang="en-US" sz="800" b="1" i="0" baseline="0">
              <a:effectLst/>
              <a:latin typeface="Arial" panose="020B0604020202020204" pitchFamily="34" charset="0"/>
              <a:ea typeface="+mn-ea"/>
              <a:cs typeface="Arial" panose="020B0604020202020204" pitchFamily="34" charset="0"/>
            </a:rPr>
            <a:t> </a:t>
          </a:r>
          <a:r>
            <a:rPr lang="cs-CZ" sz="800" b="1" i="0" baseline="0">
              <a:effectLst/>
              <a:latin typeface="Arial" panose="020B0604020202020204" pitchFamily="34" charset="0"/>
              <a:ea typeface="+mn-ea"/>
              <a:cs typeface="Arial" panose="020B0604020202020204" pitchFamily="34" charset="0"/>
            </a:rPr>
            <a:t>The average retail price for one outgoing called minute in the mobile network in CZK</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dr:relSizeAnchor xmlns:cdr="http://schemas.openxmlformats.org/drawingml/2006/chartDrawing">
    <cdr:from>
      <cdr:x>0.04913</cdr:x>
      <cdr:y>0.90908</cdr:y>
    </cdr:from>
    <cdr:to>
      <cdr:x>1</cdr:x>
      <cdr:y>0.97877</cdr:y>
    </cdr:to>
    <cdr:sp macro="" textlink="">
      <cdr:nvSpPr>
        <cdr:cNvPr id="4" name="TextovéPole 1"/>
        <cdr:cNvSpPr txBox="1"/>
      </cdr:nvSpPr>
      <cdr:spPr>
        <a:xfrm xmlns:a="http://schemas.openxmlformats.org/drawingml/2006/main">
          <a:off x="148569" y="2127250"/>
          <a:ext cx="2875431" cy="163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0.91487</cdr:y>
    </cdr:from>
    <cdr:to>
      <cdr:x>0.99841</cdr:x>
      <cdr:y>0.97527</cdr:y>
    </cdr:to>
    <cdr:sp macro="" textlink="">
      <cdr:nvSpPr>
        <cdr:cNvPr id="3" name="TextovéPole 1"/>
        <cdr:cNvSpPr txBox="1"/>
      </cdr:nvSpPr>
      <cdr:spPr>
        <a:xfrm xmlns:a="http://schemas.openxmlformats.org/drawingml/2006/main">
          <a:off x="0" y="2470150"/>
          <a:ext cx="2875431" cy="163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0.12243</cdr:x>
      <cdr:y>0.91405</cdr:y>
    </cdr:from>
    <cdr:to>
      <cdr:x>1</cdr:x>
      <cdr:y>0.97371</cdr:y>
    </cdr:to>
    <cdr:sp macro="" textlink="">
      <cdr:nvSpPr>
        <cdr:cNvPr id="3" name="TextovéPole 1"/>
        <cdr:cNvSpPr txBox="1"/>
      </cdr:nvSpPr>
      <cdr:spPr>
        <a:xfrm xmlns:a="http://schemas.openxmlformats.org/drawingml/2006/main">
          <a:off x="401170" y="2498725"/>
          <a:ext cx="2875431" cy="163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0.18839</cdr:x>
      <cdr:y>0.93486</cdr:y>
    </cdr:from>
    <cdr:to>
      <cdr:x>0.972</cdr:x>
      <cdr:y>0.99993</cdr:y>
    </cdr:to>
    <cdr:sp macro="" textlink="">
      <cdr:nvSpPr>
        <cdr:cNvPr id="2" name="TextovéPole 1"/>
        <cdr:cNvSpPr txBox="1"/>
      </cdr:nvSpPr>
      <cdr:spPr>
        <a:xfrm xmlns:a="http://schemas.openxmlformats.org/drawingml/2006/main">
          <a:off x="1146175" y="2860675"/>
          <a:ext cx="4767497" cy="1991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CZSO calculations based on European Commission data, 2018</a:t>
          </a:r>
        </a:p>
      </cdr:txBody>
    </cdr:sp>
  </cdr:relSizeAnchor>
</c:userShapes>
</file>

<file path=word/drawings/drawing15.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CZSO calculations based</a:t>
          </a:r>
          <a:r>
            <a:rPr lang="cs-CZ" sz="800" i="1" baseline="0">
              <a:latin typeface="Arial" panose="020B0604020202020204" pitchFamily="34" charset="0"/>
              <a:cs typeface="Arial" panose="020B0604020202020204" pitchFamily="34" charset="0"/>
            </a:rPr>
            <a:t> on International Telecommunication Union data, 201</a:t>
          </a:r>
          <a:r>
            <a:rPr lang="cs-CZ" sz="800" i="1">
              <a:latin typeface="Arial" panose="020B0604020202020204" pitchFamily="34" charset="0"/>
              <a:cs typeface="Arial" panose="020B0604020202020204" pitchFamily="34" charset="0"/>
            </a:rPr>
            <a:t>8</a:t>
          </a:r>
        </a:p>
      </cdr:txBody>
    </cdr:sp>
  </cdr:relSizeAnchor>
  <cdr:relSizeAnchor xmlns:cdr="http://schemas.openxmlformats.org/drawingml/2006/chartDrawing">
    <cdr:from>
      <cdr:x>0.02552</cdr:x>
      <cdr:y>0.0208</cdr:y>
    </cdr:from>
    <cdr:to>
      <cdr:x>0.99989</cdr:x>
      <cdr:y>0.10919</cdr:y>
    </cdr:to>
    <cdr:sp macro="" textlink="">
      <cdr:nvSpPr>
        <cdr:cNvPr id="3" name="Textové pole 2"/>
        <cdr:cNvSpPr txBox="1"/>
      </cdr:nvSpPr>
      <cdr:spPr>
        <a:xfrm xmlns:a="http://schemas.openxmlformats.org/drawingml/2006/main">
          <a:off x="152400" y="76200"/>
          <a:ext cx="581977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a:latin typeface="Arial" panose="020B0604020202020204" pitchFamily="34" charset="0"/>
              <a:cs typeface="Arial" panose="020B0604020202020204" pitchFamily="34" charset="0"/>
            </a:rPr>
            <a:t>Figure</a:t>
          </a:r>
          <a:r>
            <a:rPr lang="en-US" sz="800" b="1">
              <a:latin typeface="Arial" panose="020B0604020202020204" pitchFamily="34" charset="0"/>
              <a:cs typeface="Arial" panose="020B0604020202020204" pitchFamily="34" charset="0"/>
            </a:rPr>
            <a:t> A</a:t>
          </a:r>
          <a:r>
            <a:rPr lang="cs-CZ" sz="800" b="1">
              <a:latin typeface="Arial" panose="020B0604020202020204" pitchFamily="34" charset="0"/>
              <a:cs typeface="Arial" panose="020B0604020202020204" pitchFamily="34" charset="0"/>
            </a:rPr>
            <a:t>15 Fixed broadband</a:t>
          </a:r>
          <a:r>
            <a:rPr lang="cs-CZ" sz="800" b="1" baseline="0">
              <a:latin typeface="Arial" panose="020B0604020202020204" pitchFamily="34" charset="0"/>
              <a:cs typeface="Arial" panose="020B0604020202020204" pitchFamily="34" charset="0"/>
            </a:rPr>
            <a:t> subscriptions per 100 inhabitants in EU countries by technology; 2016</a:t>
          </a:r>
          <a:endParaRPr lang="en-US" sz="800" b="1">
            <a:latin typeface="Arial" panose="020B0604020202020204" pitchFamily="34" charset="0"/>
            <a:cs typeface="Arial" panose="020B0604020202020204" pitchFamily="34" charset="0"/>
          </a:endParaRPr>
        </a:p>
        <a:p xmlns:a="http://schemas.openxmlformats.org/drawingml/2006/main">
          <a:endParaRPr lang="cs-CZ" sz="800" b="1">
            <a:latin typeface="Arial" panose="020B0604020202020204" pitchFamily="34" charset="0"/>
            <a:cs typeface="Arial" panose="020B0604020202020204" pitchFamily="34"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0.02255</cdr:x>
      <cdr:y>0.90429</cdr:y>
    </cdr:from>
    <cdr:to>
      <cdr:x>0.9302</cdr:x>
      <cdr:y>0.96469</cdr:y>
    </cdr:to>
    <cdr:sp macro="" textlink="">
      <cdr:nvSpPr>
        <cdr:cNvPr id="3" name="TextovéPole 1"/>
        <cdr:cNvSpPr txBox="1"/>
      </cdr:nvSpPr>
      <cdr:spPr>
        <a:xfrm xmlns:a="http://schemas.openxmlformats.org/drawingml/2006/main">
          <a:off x="72398" y="2618462"/>
          <a:ext cx="2913488" cy="1748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0.00159</cdr:x>
      <cdr:y>0.92883</cdr:y>
    </cdr:from>
    <cdr:to>
      <cdr:x>1</cdr:x>
      <cdr:y>1</cdr:y>
    </cdr:to>
    <cdr:sp macro="" textlink="">
      <cdr:nvSpPr>
        <cdr:cNvPr id="3" name="TextovéPole 1"/>
        <cdr:cNvSpPr txBox="1"/>
      </cdr:nvSpPr>
      <cdr:spPr>
        <a:xfrm xmlns:a="http://schemas.openxmlformats.org/drawingml/2006/main">
          <a:off x="4822" y="2486025"/>
          <a:ext cx="3027578"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dr:relSizeAnchor xmlns:cdr="http://schemas.openxmlformats.org/drawingml/2006/chartDrawing">
    <cdr:from>
      <cdr:x>0.01974</cdr:x>
      <cdr:y>0</cdr:y>
    </cdr:from>
    <cdr:to>
      <cdr:x>0.97368</cdr:x>
      <cdr:y>0.15947</cdr:y>
    </cdr:to>
    <cdr:sp macro="" textlink="">
      <cdr:nvSpPr>
        <cdr:cNvPr id="2" name="Textové pole 1"/>
        <cdr:cNvSpPr txBox="1"/>
      </cdr:nvSpPr>
      <cdr:spPr>
        <a:xfrm xmlns:a="http://schemas.openxmlformats.org/drawingml/2006/main">
          <a:off x="57150" y="0"/>
          <a:ext cx="2762250" cy="4571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solidFill>
                <a:schemeClr val="dk1"/>
              </a:solidFill>
              <a:effectLst/>
              <a:latin typeface="Arial" panose="020B0604020202020204" pitchFamily="34" charset="0"/>
              <a:ea typeface="+mn-ea"/>
              <a:cs typeface="Arial" panose="020B0604020202020204" pitchFamily="34" charset="0"/>
            </a:rPr>
            <a:t>Figure A17 Fixed broadband internet connection in the Czech Republic by speed and used technology; 2016 (% and thous. of subscriptions)</a:t>
          </a:r>
          <a:endParaRPr lang="cs-CZ" sz="800">
            <a:effectLst/>
            <a:latin typeface="Arial" panose="020B0604020202020204" pitchFamily="34" charset="0"/>
            <a:cs typeface="Arial" panose="020B0604020202020204" pitchFamily="34" charset="0"/>
          </a:endParaRPr>
        </a:p>
        <a:p xmlns:a="http://schemas.openxmlformats.org/drawingml/2006/main">
          <a:endParaRPr lang="cs-CZ" sz="800"/>
        </a:p>
      </cdr:txBody>
    </cdr:sp>
  </cdr:relSizeAnchor>
</c:userShapes>
</file>

<file path=word/drawings/drawing18.xml><?xml version="1.0" encoding="utf-8"?>
<c:userShapes xmlns:c="http://schemas.openxmlformats.org/drawingml/2006/chart">
  <cdr:relSizeAnchor xmlns:cdr="http://schemas.openxmlformats.org/drawingml/2006/chartDrawing">
    <cdr:from>
      <cdr:x>0.19779</cdr:x>
      <cdr:y>0.93175</cdr:y>
    </cdr:from>
    <cdr:to>
      <cdr:x>0.9814</cdr:x>
      <cdr:y>0.99682</cdr:y>
    </cdr:to>
    <cdr:sp macro="" textlink="">
      <cdr:nvSpPr>
        <cdr:cNvPr id="2" name="TextovéPole 1"/>
        <cdr:cNvSpPr txBox="1"/>
      </cdr:nvSpPr>
      <cdr:spPr>
        <a:xfrm xmlns:a="http://schemas.openxmlformats.org/drawingml/2006/main">
          <a:off x="1203325" y="2851150"/>
          <a:ext cx="4767497" cy="1991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CZSO calculations based on European Commission data, 2018</a:t>
          </a:r>
        </a:p>
      </cdr:txBody>
    </cdr:sp>
  </cdr:relSizeAnchor>
</c:userShapes>
</file>

<file path=word/drawings/drawing19.xml><?xml version="1.0" encoding="utf-8"?>
<c:userShapes xmlns:c="http://schemas.openxmlformats.org/drawingml/2006/chart">
  <cdr:relSizeAnchor xmlns:cdr="http://schemas.openxmlformats.org/drawingml/2006/chartDrawing">
    <cdr:from>
      <cdr:x>0.04515</cdr:x>
      <cdr:y>0.90462</cdr:y>
    </cdr:from>
    <cdr:to>
      <cdr:x>0.99602</cdr:x>
      <cdr:y>0.96934</cdr:y>
    </cdr:to>
    <cdr:sp macro="" textlink="">
      <cdr:nvSpPr>
        <cdr:cNvPr id="3" name="TextovéPole 1"/>
        <cdr:cNvSpPr txBox="1"/>
      </cdr:nvSpPr>
      <cdr:spPr>
        <a:xfrm xmlns:a="http://schemas.openxmlformats.org/drawingml/2006/main">
          <a:off x="136525" y="2279650"/>
          <a:ext cx="2875431" cy="163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0.02649</cdr:x>
      <cdr:y>0.90429</cdr:y>
    </cdr:from>
    <cdr:to>
      <cdr:x>1</cdr:x>
      <cdr:y>0.97896</cdr:y>
    </cdr:to>
    <cdr:sp macro="" textlink="">
      <cdr:nvSpPr>
        <cdr:cNvPr id="2" name="TextovéPole 1"/>
        <cdr:cNvSpPr txBox="1"/>
      </cdr:nvSpPr>
      <cdr:spPr>
        <a:xfrm xmlns:a="http://schemas.openxmlformats.org/drawingml/2006/main">
          <a:off x="89105" y="1953266"/>
          <a:ext cx="3060000" cy="1612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eaLnBrk="1" fontAlgn="auto" latinLnBrk="0" hangingPunct="1"/>
          <a:endParaRPr lang="cs-CZ" sz="800" i="0">
            <a:effectLst/>
          </a:endParaRPr>
        </a:p>
      </cdr:txBody>
    </cdr:sp>
  </cdr:relSizeAnchor>
  <cdr:relSizeAnchor xmlns:cdr="http://schemas.openxmlformats.org/drawingml/2006/chartDrawing">
    <cdr:from>
      <cdr:x>0</cdr:x>
      <cdr:y>0.8895</cdr:y>
    </cdr:from>
    <cdr:to>
      <cdr:x>0.97351</cdr:x>
      <cdr:y>0.96417</cdr:y>
    </cdr:to>
    <cdr:sp macro="" textlink="">
      <cdr:nvSpPr>
        <cdr:cNvPr id="3" name="TextovéPole 1"/>
        <cdr:cNvSpPr txBox="1"/>
      </cdr:nvSpPr>
      <cdr:spPr>
        <a:xfrm xmlns:a="http://schemas.openxmlformats.org/drawingml/2006/main">
          <a:off x="0" y="2241550"/>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latin typeface="Arial" panose="020B0604020202020204" pitchFamily="34" charset="0"/>
            <a:cs typeface="Arial" panose="020B0604020202020204"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0.04913</cdr:x>
      <cdr:y>0.90462</cdr:y>
    </cdr:from>
    <cdr:to>
      <cdr:x>1</cdr:x>
      <cdr:y>0.96934</cdr:y>
    </cdr:to>
    <cdr:sp macro="" textlink="">
      <cdr:nvSpPr>
        <cdr:cNvPr id="3" name="TextovéPole 1"/>
        <cdr:cNvSpPr txBox="1"/>
      </cdr:nvSpPr>
      <cdr:spPr>
        <a:xfrm xmlns:a="http://schemas.openxmlformats.org/drawingml/2006/main">
          <a:off x="148569" y="2279650"/>
          <a:ext cx="2875431" cy="163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Telecommunication Office, 2018</a:t>
          </a:r>
          <a:endParaRPr lang="cs-CZ" sz="800" baseline="0">
            <a:effectLst/>
            <a:latin typeface="Arial" panose="020B0604020202020204" pitchFamily="34" charset="0"/>
          </a:endParaRPr>
        </a:p>
      </cdr:txBody>
    </cdr:sp>
  </cdr:relSizeAnchor>
  <cdr:relSizeAnchor xmlns:cdr="http://schemas.openxmlformats.org/drawingml/2006/chartDrawing">
    <cdr:from>
      <cdr:x>0.02835</cdr:x>
      <cdr:y>0.00756</cdr:y>
    </cdr:from>
    <cdr:to>
      <cdr:x>0.97644</cdr:x>
      <cdr:y>0.14363</cdr:y>
    </cdr:to>
    <cdr:sp macro="" textlink="">
      <cdr:nvSpPr>
        <cdr:cNvPr id="4" name="TextovéPole 3"/>
        <cdr:cNvSpPr txBox="1"/>
      </cdr:nvSpPr>
      <cdr:spPr>
        <a:xfrm xmlns:a="http://schemas.openxmlformats.org/drawingml/2006/main">
          <a:off x="85725" y="19050"/>
          <a:ext cx="28670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a:t>
          </a:r>
          <a:r>
            <a:rPr lang="en-US" sz="800" b="1" i="0" baseline="0">
              <a:effectLst/>
              <a:latin typeface="Arial" panose="020B0604020202020204" pitchFamily="34" charset="0"/>
              <a:ea typeface="+mn-ea"/>
              <a:cs typeface="Arial" panose="020B0604020202020204" pitchFamily="34" charset="0"/>
            </a:rPr>
            <a:t> A</a:t>
          </a:r>
          <a:r>
            <a:rPr lang="cs-CZ" sz="800" b="1" i="0" baseline="0">
              <a:effectLst/>
              <a:latin typeface="Arial" panose="020B0604020202020204" pitchFamily="34" charset="0"/>
              <a:ea typeface="+mn-ea"/>
              <a:cs typeface="Arial" panose="020B0604020202020204" pitchFamily="34" charset="0"/>
            </a:rPr>
            <a:t>20</a:t>
          </a:r>
          <a:r>
            <a:rPr lang="en-US" sz="800" b="1" i="0" baseline="0">
              <a:effectLst/>
              <a:latin typeface="Arial" panose="020B0604020202020204" pitchFamily="34" charset="0"/>
              <a:ea typeface="+mn-ea"/>
              <a:cs typeface="Arial" panose="020B0604020202020204" pitchFamily="34" charset="0"/>
            </a:rPr>
            <a:t> </a:t>
          </a:r>
          <a:r>
            <a:rPr lang="cs-CZ" sz="800" b="1" i="0" baseline="0">
              <a:effectLst/>
              <a:latin typeface="Arial" panose="020B0604020202020204" pitchFamily="34" charset="0"/>
              <a:ea typeface="+mn-ea"/>
              <a:cs typeface="Arial" panose="020B0604020202020204" pitchFamily="34" charset="0"/>
            </a:rPr>
            <a:t>Average mobile data consumption per one active SIM card in the Czech Republic (in MB)</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21.xml><?xml version="1.0" encoding="utf-8"?>
<c:userShapes xmlns:c="http://schemas.openxmlformats.org/drawingml/2006/chart">
  <cdr:relSizeAnchor xmlns:cdr="http://schemas.openxmlformats.org/drawingml/2006/chartDrawing">
    <cdr:from>
      <cdr:x>0.20561</cdr:x>
      <cdr:y>0.93493</cdr:y>
    </cdr:from>
    <cdr:to>
      <cdr:x>0.98923</cdr:x>
      <cdr:y>1</cdr:y>
    </cdr:to>
    <cdr:sp macro="" textlink="">
      <cdr:nvSpPr>
        <cdr:cNvPr id="2" name="TextovéPole 1"/>
        <cdr:cNvSpPr txBox="1"/>
      </cdr:nvSpPr>
      <cdr:spPr>
        <a:xfrm xmlns:a="http://schemas.openxmlformats.org/drawingml/2006/main">
          <a:off x="1250950" y="2860894"/>
          <a:ext cx="4767497" cy="1991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CZSO calculations based on European Commission data, 2018</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0.89328</cdr:y>
    </cdr:from>
    <cdr:to>
      <cdr:x>0.97351</cdr:x>
      <cdr:y>0.96795</cdr:y>
    </cdr:to>
    <cdr:sp macro="" textlink="">
      <cdr:nvSpPr>
        <cdr:cNvPr id="3" name="TextovéPole 1"/>
        <cdr:cNvSpPr txBox="1"/>
      </cdr:nvSpPr>
      <cdr:spPr>
        <a:xfrm xmlns:a="http://schemas.openxmlformats.org/drawingml/2006/main">
          <a:off x="0" y="2251075"/>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0.90462</cdr:y>
    </cdr:from>
    <cdr:to>
      <cdr:x>0.97351</cdr:x>
      <cdr:y>0.97929</cdr:y>
    </cdr:to>
    <cdr:sp macro="" textlink="">
      <cdr:nvSpPr>
        <cdr:cNvPr id="3" name="TextovéPole 1"/>
        <cdr:cNvSpPr txBox="1"/>
      </cdr:nvSpPr>
      <cdr:spPr>
        <a:xfrm xmlns:a="http://schemas.openxmlformats.org/drawingml/2006/main">
          <a:off x="0" y="2279650"/>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0.23583</cdr:x>
      <cdr:y>0.92473</cdr:y>
    </cdr:from>
    <cdr:to>
      <cdr:x>0.96749</cdr:x>
      <cdr:y>0.99191</cdr:y>
    </cdr:to>
    <cdr:sp macro="" textlink="">
      <cdr:nvSpPr>
        <cdr:cNvPr id="2" name="TextovéPole 1"/>
        <cdr:cNvSpPr txBox="1"/>
      </cdr:nvSpPr>
      <cdr:spPr>
        <a:xfrm xmlns:a="http://schemas.openxmlformats.org/drawingml/2006/main">
          <a:off x="1511222" y="2740696"/>
          <a:ext cx="4688477" cy="1991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CZSO calculations</a:t>
          </a:r>
          <a:r>
            <a:rPr lang="cs-CZ" sz="800" i="1" baseline="0">
              <a:latin typeface="Arial" panose="020B0604020202020204" pitchFamily="34" charset="0"/>
              <a:cs typeface="Arial" panose="020B0604020202020204" pitchFamily="34" charset="0"/>
            </a:rPr>
            <a:t> based on </a:t>
          </a:r>
          <a:r>
            <a:rPr lang="cs-CZ" sz="800" i="1">
              <a:latin typeface="Arial" panose="020B0604020202020204" pitchFamily="34" charset="0"/>
              <a:cs typeface="Arial" panose="020B0604020202020204" pitchFamily="34" charset="0"/>
            </a:rPr>
            <a:t>International Telecommunication Union data, 2018</a:t>
          </a:r>
        </a:p>
      </cdr:txBody>
    </cdr:sp>
  </cdr:relSizeAnchor>
  <cdr:relSizeAnchor xmlns:cdr="http://schemas.openxmlformats.org/drawingml/2006/chartDrawing">
    <cdr:from>
      <cdr:x>0.04162</cdr:x>
      <cdr:y>0.00321</cdr:y>
    </cdr:from>
    <cdr:to>
      <cdr:x>0.98699</cdr:x>
      <cdr:y>0.08677</cdr:y>
    </cdr:to>
    <cdr:sp macro="" textlink="">
      <cdr:nvSpPr>
        <cdr:cNvPr id="3" name="TextovéPole 2"/>
        <cdr:cNvSpPr txBox="1"/>
      </cdr:nvSpPr>
      <cdr:spPr>
        <a:xfrm xmlns:a="http://schemas.openxmlformats.org/drawingml/2006/main">
          <a:off x="266700" y="9525"/>
          <a:ext cx="60579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a:t>
          </a:r>
          <a:r>
            <a:rPr lang="en-US" sz="800" b="1" i="0" baseline="0">
              <a:effectLst/>
              <a:latin typeface="Arial" panose="020B0604020202020204" pitchFamily="34" charset="0"/>
              <a:ea typeface="+mn-ea"/>
              <a:cs typeface="Arial" panose="020B0604020202020204" pitchFamily="34" charset="0"/>
            </a:rPr>
            <a:t> A</a:t>
          </a:r>
          <a:r>
            <a:rPr lang="cs-CZ" sz="800" b="1" i="0" baseline="0">
              <a:effectLst/>
              <a:latin typeface="Arial" panose="020B0604020202020204" pitchFamily="34" charset="0"/>
              <a:ea typeface="+mn-ea"/>
              <a:cs typeface="Arial" panose="020B0604020202020204" pitchFamily="34" charset="0"/>
            </a:rPr>
            <a:t>5</a:t>
          </a:r>
          <a:r>
            <a:rPr lang="en-US" sz="800" b="1" i="0" baseline="0">
              <a:effectLst/>
              <a:latin typeface="Arial" panose="020B0604020202020204" pitchFamily="34" charset="0"/>
              <a:ea typeface="+mn-ea"/>
              <a:cs typeface="Arial" panose="020B0604020202020204" pitchFamily="34" charset="0"/>
            </a:rPr>
            <a:t> </a:t>
          </a:r>
          <a:r>
            <a:rPr lang="cs-CZ" sz="800" b="1" i="0" baseline="0">
              <a:effectLst/>
              <a:latin typeface="Arial" panose="020B0604020202020204" pitchFamily="34" charset="0"/>
              <a:ea typeface="+mn-ea"/>
              <a:cs typeface="Arial" panose="020B0604020202020204" pitchFamily="34" charset="0"/>
            </a:rPr>
            <a:t>Fixed-telephone voice subscriptions (both PSTN and VoIP) per 100 inhabitants in EU countries</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0.90462</cdr:y>
    </cdr:from>
    <cdr:to>
      <cdr:x>0.97351</cdr:x>
      <cdr:y>0.97929</cdr:y>
    </cdr:to>
    <cdr:sp macro="" textlink="">
      <cdr:nvSpPr>
        <cdr:cNvPr id="3" name="TextovéPole 1"/>
        <cdr:cNvSpPr txBox="1"/>
      </cdr:nvSpPr>
      <cdr:spPr>
        <a:xfrm xmlns:a="http://schemas.openxmlformats.org/drawingml/2006/main">
          <a:off x="0" y="2279650"/>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0.04095</cdr:x>
      <cdr:y>0.90336</cdr:y>
    </cdr:from>
    <cdr:to>
      <cdr:x>0.97329</cdr:x>
      <cdr:y>0.97896</cdr:y>
    </cdr:to>
    <cdr:sp macro="" textlink="">
      <cdr:nvSpPr>
        <cdr:cNvPr id="3" name="TextovéPole 2"/>
        <cdr:cNvSpPr txBox="1"/>
      </cdr:nvSpPr>
      <cdr:spPr>
        <a:xfrm xmlns:a="http://schemas.openxmlformats.org/drawingml/2006/main">
          <a:off x="123825" y="2276475"/>
          <a:ext cx="28194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Telecommunication Office, 2018</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8.xml><?xml version="1.0" encoding="utf-8"?>
<c:userShapes xmlns:c="http://schemas.openxmlformats.org/drawingml/2006/chart">
  <cdr:relSizeAnchor xmlns:cdr="http://schemas.openxmlformats.org/drawingml/2006/chartDrawing">
    <cdr:from>
      <cdr:x>0.04102</cdr:x>
      <cdr:y>0.90076</cdr:y>
    </cdr:from>
    <cdr:to>
      <cdr:x>0.99189</cdr:x>
      <cdr:y>0.97045</cdr:y>
    </cdr:to>
    <cdr:sp macro="" textlink="">
      <cdr:nvSpPr>
        <cdr:cNvPr id="2" name="TextovéPole 1"/>
        <cdr:cNvSpPr txBox="1"/>
      </cdr:nvSpPr>
      <cdr:spPr>
        <a:xfrm xmlns:a="http://schemas.openxmlformats.org/drawingml/2006/main">
          <a:off x="127000" y="2432050"/>
          <a:ext cx="2943894"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Telecommunication Office, 2018</a:t>
          </a:r>
          <a:endParaRPr lang="cs-CZ" sz="400" i="1">
            <a:effectLst/>
            <a:latin typeface="Arial" panose="020B060402020202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0.02649</cdr:x>
      <cdr:y>0.90429</cdr:y>
    </cdr:from>
    <cdr:to>
      <cdr:x>1</cdr:x>
      <cdr:y>0.97896</cdr:y>
    </cdr:to>
    <cdr:sp macro="" textlink="">
      <cdr:nvSpPr>
        <cdr:cNvPr id="2" name="TextovéPole 1"/>
        <cdr:cNvSpPr txBox="1"/>
      </cdr:nvSpPr>
      <cdr:spPr>
        <a:xfrm xmlns:a="http://schemas.openxmlformats.org/drawingml/2006/main">
          <a:off x="89105" y="1953266"/>
          <a:ext cx="3060000" cy="1612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baseline="0">
              <a:effectLst/>
              <a:latin typeface="Arial" panose="020B0604020202020204" pitchFamily="34" charset="0"/>
              <a:ea typeface="+mn-ea"/>
              <a:cs typeface="+mn-cs"/>
            </a:rPr>
            <a:t>Source: Czech </a:t>
          </a:r>
          <a:r>
            <a:rPr lang="cs-CZ" sz="800" b="0" i="1" baseline="0">
              <a:effectLst/>
              <a:latin typeface="Arial" panose="020B0604020202020204" pitchFamily="34" charset="0"/>
              <a:ea typeface="+mn-ea"/>
              <a:cs typeface="+mn-cs"/>
            </a:rPr>
            <a:t>Telecommunication</a:t>
          </a:r>
          <a:r>
            <a:rPr lang="cs-CZ" sz="800" i="1" baseline="0">
              <a:effectLst/>
              <a:latin typeface="Arial" panose="020B0604020202020204" pitchFamily="34" charset="0"/>
              <a:ea typeface="+mn-ea"/>
              <a:cs typeface="+mn-cs"/>
            </a:rPr>
            <a:t> Office, 2018</a:t>
          </a:r>
          <a:endParaRPr lang="cs-CZ" sz="800" i="1" baseline="0">
            <a:effectLst/>
            <a:latin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7CA6-D6DC-4199-88FA-E9AFF57B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EN_2017-08-14-3.dotx</Template>
  <TotalTime>0</TotalTime>
  <Pages>13</Pages>
  <Words>4410</Words>
  <Characters>26023</Characters>
  <Application>Microsoft Office Word</Application>
  <DocSecurity>0</DocSecurity>
  <Lines>216</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cp:lastModifiedBy>Alena Kotrbatá</cp:lastModifiedBy>
  <cp:revision>2</cp:revision>
  <cp:lastPrinted>2019-01-03T11:43:00Z</cp:lastPrinted>
  <dcterms:created xsi:type="dcterms:W3CDTF">2019-01-09T13:33:00Z</dcterms:created>
  <dcterms:modified xsi:type="dcterms:W3CDTF">2019-01-09T13:33:00Z</dcterms:modified>
</cp:coreProperties>
</file>