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CEFD" w14:textId="77777777" w:rsidR="0084761E" w:rsidRPr="006F4567" w:rsidRDefault="0084761E" w:rsidP="00FB4C8C">
      <w:pPr>
        <w:spacing w:after="360"/>
        <w:rPr>
          <w:rFonts w:ascii="Arial" w:hAnsi="Arial" w:cs="Arial"/>
          <w:b/>
          <w:caps/>
          <w:color w:val="C00000"/>
          <w:sz w:val="20"/>
          <w:szCs w:val="20"/>
        </w:rPr>
      </w:pPr>
      <w:r w:rsidRPr="006F4567">
        <w:rPr>
          <w:rFonts w:ascii="Arial" w:hAnsi="Arial" w:cs="Arial"/>
          <w:b/>
          <w:caps/>
          <w:color w:val="C00000"/>
          <w:sz w:val="20"/>
          <w:szCs w:val="20"/>
        </w:rPr>
        <w:t>Metodický komentář</w:t>
      </w:r>
    </w:p>
    <w:p w14:paraId="6BEBF68C" w14:textId="16905964" w:rsidR="000917C5" w:rsidRDefault="00554C11" w:rsidP="006F4567">
      <w:pPr>
        <w:pStyle w:val="Perex"/>
        <w:spacing w:after="160" w:line="288" w:lineRule="auto"/>
        <w:rPr>
          <w:b w:val="0"/>
          <w:szCs w:val="20"/>
        </w:rPr>
      </w:pPr>
      <w:r w:rsidRPr="00B122C8">
        <w:rPr>
          <w:b w:val="0"/>
          <w:szCs w:val="20"/>
        </w:rPr>
        <w:t>Údaje o počtu zemřelých vychází z běžné evidence demografických událostí</w:t>
      </w:r>
      <w:r w:rsidR="00A13E9B" w:rsidRPr="00B122C8">
        <w:rPr>
          <w:b w:val="0"/>
          <w:szCs w:val="20"/>
        </w:rPr>
        <w:t>, kdy každé úmrtí na území České republiky</w:t>
      </w:r>
      <w:r w:rsidRPr="00B122C8">
        <w:rPr>
          <w:b w:val="0"/>
          <w:szCs w:val="20"/>
        </w:rPr>
        <w:t xml:space="preserve"> </w:t>
      </w:r>
      <w:r w:rsidR="00A531A3">
        <w:rPr>
          <w:b w:val="0"/>
          <w:szCs w:val="20"/>
        </w:rPr>
        <w:t xml:space="preserve">a úmrtí občanů ČR na území jiného státu </w:t>
      </w:r>
      <w:r w:rsidRPr="00B122C8">
        <w:rPr>
          <w:b w:val="0"/>
          <w:szCs w:val="20"/>
        </w:rPr>
        <w:t xml:space="preserve">je </w:t>
      </w:r>
      <w:r w:rsidR="00762C08">
        <w:rPr>
          <w:b w:val="0"/>
          <w:szCs w:val="20"/>
        </w:rPr>
        <w:t xml:space="preserve">hlášeno matričním úřadům, které je zaznamenávají </w:t>
      </w:r>
      <w:r w:rsidR="007A72CF">
        <w:rPr>
          <w:b w:val="0"/>
          <w:szCs w:val="20"/>
        </w:rPr>
        <w:t xml:space="preserve">do příslušných informačních systémů. Před rokem 2024 přebíral Český statistický úřad údaje o </w:t>
      </w:r>
      <w:r w:rsidR="003C53D7">
        <w:rPr>
          <w:b w:val="0"/>
          <w:szCs w:val="20"/>
        </w:rPr>
        <w:t xml:space="preserve">všech </w:t>
      </w:r>
      <w:r w:rsidR="007A72CF">
        <w:rPr>
          <w:b w:val="0"/>
          <w:szCs w:val="20"/>
        </w:rPr>
        <w:t>úmrtí</w:t>
      </w:r>
      <w:r w:rsidR="00683F74">
        <w:rPr>
          <w:b w:val="0"/>
          <w:szCs w:val="20"/>
        </w:rPr>
        <w:t>ch</w:t>
      </w:r>
      <w:r w:rsidR="007A72CF">
        <w:rPr>
          <w:b w:val="0"/>
          <w:szCs w:val="20"/>
        </w:rPr>
        <w:t xml:space="preserve"> prostřednictvím matrikou zaslaných </w:t>
      </w:r>
      <w:r w:rsidRPr="00B122C8">
        <w:rPr>
          <w:b w:val="0"/>
          <w:szCs w:val="20"/>
        </w:rPr>
        <w:t>statistick</w:t>
      </w:r>
      <w:r w:rsidR="007A72CF">
        <w:rPr>
          <w:b w:val="0"/>
          <w:szCs w:val="20"/>
        </w:rPr>
        <w:t>ých</w:t>
      </w:r>
      <w:r w:rsidRPr="00B122C8">
        <w:rPr>
          <w:b w:val="0"/>
          <w:szCs w:val="20"/>
        </w:rPr>
        <w:t xml:space="preserve"> hlášení o úmrtí</w:t>
      </w:r>
      <w:r w:rsidR="007A72CF">
        <w:rPr>
          <w:b w:val="0"/>
          <w:szCs w:val="20"/>
        </w:rPr>
        <w:t xml:space="preserve">, od roku 2024 se </w:t>
      </w:r>
      <w:r w:rsidR="000917C5">
        <w:rPr>
          <w:b w:val="0"/>
          <w:szCs w:val="20"/>
        </w:rPr>
        <w:t>hlášení o</w:t>
      </w:r>
      <w:r w:rsidR="00A531A3">
        <w:rPr>
          <w:b w:val="0"/>
          <w:szCs w:val="20"/>
        </w:rPr>
        <w:t> </w:t>
      </w:r>
      <w:r w:rsidR="000917C5">
        <w:rPr>
          <w:b w:val="0"/>
          <w:szCs w:val="20"/>
        </w:rPr>
        <w:t xml:space="preserve">úmrtí zasílá </w:t>
      </w:r>
      <w:r w:rsidR="003C53D7">
        <w:rPr>
          <w:b w:val="0"/>
          <w:szCs w:val="20"/>
        </w:rPr>
        <w:t xml:space="preserve">pouze </w:t>
      </w:r>
      <w:r w:rsidR="000917C5">
        <w:rPr>
          <w:b w:val="0"/>
          <w:szCs w:val="20"/>
        </w:rPr>
        <w:t>v případě úmrtí cizince (osoby, která není státním občanem České republiky)</w:t>
      </w:r>
      <w:r w:rsidR="003C53D7">
        <w:rPr>
          <w:b w:val="0"/>
          <w:szCs w:val="20"/>
        </w:rPr>
        <w:t xml:space="preserve"> a </w:t>
      </w:r>
      <w:r w:rsidR="000917C5">
        <w:rPr>
          <w:b w:val="0"/>
          <w:szCs w:val="20"/>
        </w:rPr>
        <w:t>údaje o</w:t>
      </w:r>
      <w:r w:rsidR="00A531A3">
        <w:rPr>
          <w:b w:val="0"/>
          <w:szCs w:val="20"/>
        </w:rPr>
        <w:t> </w:t>
      </w:r>
      <w:r w:rsidR="000917C5">
        <w:rPr>
          <w:b w:val="0"/>
          <w:szCs w:val="20"/>
        </w:rPr>
        <w:t xml:space="preserve">úmrtí českých občanů jsou </w:t>
      </w:r>
      <w:r w:rsidR="003C53D7">
        <w:rPr>
          <w:b w:val="0"/>
          <w:szCs w:val="20"/>
        </w:rPr>
        <w:t>získáv</w:t>
      </w:r>
      <w:r w:rsidR="00683F74">
        <w:rPr>
          <w:b w:val="0"/>
          <w:szCs w:val="20"/>
        </w:rPr>
        <w:t>á</w:t>
      </w:r>
      <w:r w:rsidR="003C53D7">
        <w:rPr>
          <w:b w:val="0"/>
          <w:szCs w:val="20"/>
        </w:rPr>
        <w:t>n</w:t>
      </w:r>
      <w:r w:rsidR="00683F74">
        <w:rPr>
          <w:b w:val="0"/>
          <w:szCs w:val="20"/>
        </w:rPr>
        <w:t>y</w:t>
      </w:r>
      <w:r w:rsidR="003C53D7">
        <w:rPr>
          <w:b w:val="0"/>
          <w:szCs w:val="20"/>
        </w:rPr>
        <w:t xml:space="preserve"> z Registru obyvatel prostřednictvím</w:t>
      </w:r>
      <w:r w:rsidR="000917C5">
        <w:rPr>
          <w:b w:val="0"/>
          <w:szCs w:val="20"/>
        </w:rPr>
        <w:t xml:space="preserve"> Cenzového informačního systému, spravovaného ČSÚ</w:t>
      </w:r>
      <w:r w:rsidRPr="00B122C8">
        <w:rPr>
          <w:b w:val="0"/>
          <w:szCs w:val="20"/>
        </w:rPr>
        <w:t>.</w:t>
      </w:r>
    </w:p>
    <w:p w14:paraId="514BE9A2" w14:textId="7264EF5C" w:rsidR="00B62F55" w:rsidRDefault="00B122C8" w:rsidP="006F4567">
      <w:pPr>
        <w:pStyle w:val="Perex"/>
        <w:spacing w:after="160" w:line="288" w:lineRule="auto"/>
        <w:rPr>
          <w:b w:val="0"/>
          <w:szCs w:val="20"/>
        </w:rPr>
      </w:pPr>
      <w:r w:rsidRPr="00B122C8">
        <w:rPr>
          <w:b w:val="0"/>
          <w:szCs w:val="20"/>
        </w:rPr>
        <w:t>Do statistiky jsou zařazována</w:t>
      </w:r>
      <w:r w:rsidR="00A13E9B" w:rsidRPr="00B122C8">
        <w:rPr>
          <w:b w:val="0"/>
          <w:szCs w:val="20"/>
        </w:rPr>
        <w:t xml:space="preserve"> úmrtí obyvatel ČR, tj. občanů České republiky a cizinců s trvalým pobytem v</w:t>
      </w:r>
      <w:r w:rsidR="00B62F55">
        <w:rPr>
          <w:b w:val="0"/>
          <w:szCs w:val="20"/>
        </w:rPr>
        <w:t> </w:t>
      </w:r>
      <w:r w:rsidR="00A13E9B" w:rsidRPr="00B122C8">
        <w:rPr>
          <w:b w:val="0"/>
          <w:szCs w:val="20"/>
        </w:rPr>
        <w:t>Č</w:t>
      </w:r>
      <w:r w:rsidR="00B62F55">
        <w:rPr>
          <w:b w:val="0"/>
          <w:szCs w:val="20"/>
        </w:rPr>
        <w:t>eské republice</w:t>
      </w:r>
      <w:r w:rsidR="00A13E9B" w:rsidRPr="00B122C8">
        <w:rPr>
          <w:b w:val="0"/>
          <w:szCs w:val="20"/>
        </w:rPr>
        <w:t>, občanů třetích zemí s přechodným pobytem na území Č</w:t>
      </w:r>
      <w:r w:rsidR="00B62F55">
        <w:rPr>
          <w:b w:val="0"/>
          <w:szCs w:val="20"/>
        </w:rPr>
        <w:t>eské republiky</w:t>
      </w:r>
      <w:r w:rsidR="00A13E9B" w:rsidRPr="00B122C8">
        <w:rPr>
          <w:b w:val="0"/>
          <w:szCs w:val="20"/>
        </w:rPr>
        <w:t xml:space="preserve"> na </w:t>
      </w:r>
      <w:r w:rsidR="00B62F55">
        <w:rPr>
          <w:b w:val="0"/>
          <w:szCs w:val="20"/>
        </w:rPr>
        <w:t xml:space="preserve">základě </w:t>
      </w:r>
      <w:r w:rsidR="00A13E9B" w:rsidRPr="00B122C8">
        <w:rPr>
          <w:b w:val="0"/>
          <w:szCs w:val="20"/>
        </w:rPr>
        <w:t>dlouhodobé</w:t>
      </w:r>
      <w:r w:rsidR="00B62F55">
        <w:rPr>
          <w:b w:val="0"/>
          <w:szCs w:val="20"/>
        </w:rPr>
        <w:t>ho</w:t>
      </w:r>
      <w:r w:rsidR="00A13E9B" w:rsidRPr="00B122C8">
        <w:rPr>
          <w:b w:val="0"/>
          <w:szCs w:val="20"/>
        </w:rPr>
        <w:t xml:space="preserve"> víz</w:t>
      </w:r>
      <w:r w:rsidR="00B62F55">
        <w:rPr>
          <w:b w:val="0"/>
          <w:szCs w:val="20"/>
        </w:rPr>
        <w:t>a</w:t>
      </w:r>
      <w:r w:rsidR="00A13E9B" w:rsidRPr="00B122C8">
        <w:rPr>
          <w:b w:val="0"/>
          <w:szCs w:val="20"/>
        </w:rPr>
        <w:t xml:space="preserve"> (nad 90 dnů) nebo povolení k dlouhodobému pobytu, občanů zemí EU</w:t>
      </w:r>
      <w:r w:rsidR="00B62F55">
        <w:rPr>
          <w:b w:val="0"/>
          <w:szCs w:val="20"/>
        </w:rPr>
        <w:t>, Norska, Švýcarska, Islandu, Lichtenštejnska a jejich rodinných příslušníků</w:t>
      </w:r>
      <w:r w:rsidR="00A13E9B" w:rsidRPr="00B122C8">
        <w:rPr>
          <w:b w:val="0"/>
          <w:szCs w:val="20"/>
        </w:rPr>
        <w:t xml:space="preserve"> s hlášeným přechodným pobytem na území Č</w:t>
      </w:r>
      <w:r w:rsidR="00B62F55">
        <w:rPr>
          <w:b w:val="0"/>
          <w:szCs w:val="20"/>
        </w:rPr>
        <w:t>eské republiky</w:t>
      </w:r>
      <w:r w:rsidR="00A13E9B" w:rsidRPr="00B122C8">
        <w:rPr>
          <w:b w:val="0"/>
          <w:szCs w:val="20"/>
        </w:rPr>
        <w:t xml:space="preserve"> a cizinců s </w:t>
      </w:r>
      <w:r w:rsidR="00B62F55">
        <w:rPr>
          <w:b w:val="0"/>
          <w:szCs w:val="20"/>
        </w:rPr>
        <w:t>mezinárodní</w:t>
      </w:r>
      <w:r w:rsidR="000917C5">
        <w:rPr>
          <w:b w:val="0"/>
          <w:szCs w:val="20"/>
        </w:rPr>
        <w:t xml:space="preserve"> ochranou </w:t>
      </w:r>
      <w:r w:rsidR="00A13E9B" w:rsidRPr="00B122C8">
        <w:rPr>
          <w:b w:val="0"/>
          <w:szCs w:val="20"/>
        </w:rPr>
        <w:t>v</w:t>
      </w:r>
      <w:r w:rsidR="00B62F55">
        <w:rPr>
          <w:b w:val="0"/>
          <w:szCs w:val="20"/>
        </w:rPr>
        <w:t> </w:t>
      </w:r>
      <w:r w:rsidR="00A13E9B" w:rsidRPr="00B122C8">
        <w:rPr>
          <w:b w:val="0"/>
          <w:szCs w:val="20"/>
        </w:rPr>
        <w:t>Č</w:t>
      </w:r>
      <w:r w:rsidR="00B62F55">
        <w:rPr>
          <w:b w:val="0"/>
          <w:szCs w:val="20"/>
        </w:rPr>
        <w:t>eské republice</w:t>
      </w:r>
      <w:r w:rsidR="00A13E9B" w:rsidRPr="00B122C8">
        <w:rPr>
          <w:b w:val="0"/>
          <w:szCs w:val="20"/>
        </w:rPr>
        <w:t xml:space="preserve">. </w:t>
      </w:r>
      <w:r w:rsidR="00B62F55">
        <w:rPr>
          <w:b w:val="0"/>
          <w:szCs w:val="20"/>
        </w:rPr>
        <w:t>Od roku 2022 jsou do obyvatelstva zahrnovány také osoby s udělenou dočasnou ochranou v České republice s obvyklým pobytem v České republice.</w:t>
      </w:r>
    </w:p>
    <w:p w14:paraId="6CC6B0F6" w14:textId="2AF9613B" w:rsidR="00A13E9B" w:rsidRPr="00B122C8" w:rsidRDefault="00A13E9B" w:rsidP="006F4567">
      <w:pPr>
        <w:pStyle w:val="Perex"/>
        <w:spacing w:after="160" w:line="288" w:lineRule="auto"/>
        <w:rPr>
          <w:b w:val="0"/>
          <w:szCs w:val="20"/>
        </w:rPr>
      </w:pPr>
      <w:r w:rsidRPr="00B122C8">
        <w:rPr>
          <w:b w:val="0"/>
          <w:szCs w:val="20"/>
        </w:rPr>
        <w:t xml:space="preserve">Údaje </w:t>
      </w:r>
      <w:r w:rsidR="00B62F55">
        <w:rPr>
          <w:b w:val="0"/>
          <w:szCs w:val="20"/>
        </w:rPr>
        <w:t>zohledňují i</w:t>
      </w:r>
      <w:r w:rsidRPr="00B122C8">
        <w:rPr>
          <w:b w:val="0"/>
          <w:szCs w:val="20"/>
        </w:rPr>
        <w:t xml:space="preserve"> úmrtí českých občanů s trvalým pobytem na území České republiky, ke kterým došlo v</w:t>
      </w:r>
      <w:r w:rsidR="00B62F55">
        <w:rPr>
          <w:b w:val="0"/>
          <w:szCs w:val="20"/>
        </w:rPr>
        <w:t> </w:t>
      </w:r>
      <w:r w:rsidRPr="00B122C8">
        <w:rPr>
          <w:b w:val="0"/>
          <w:szCs w:val="20"/>
        </w:rPr>
        <w:t>cizině</w:t>
      </w:r>
      <w:r w:rsidR="00B62F55">
        <w:rPr>
          <w:b w:val="0"/>
          <w:szCs w:val="20"/>
        </w:rPr>
        <w:t>, a byly zaregistrovány v ČR v termínu, který umožňuje jejich zařazení do statistiky</w:t>
      </w:r>
      <w:r w:rsidRPr="00B122C8">
        <w:rPr>
          <w:b w:val="0"/>
          <w:szCs w:val="20"/>
        </w:rPr>
        <w:t>.</w:t>
      </w:r>
    </w:p>
    <w:p w14:paraId="25D76584" w14:textId="57A31139" w:rsidR="00172BB6" w:rsidRDefault="00DB500A" w:rsidP="006F4567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roku 2026 jsou s</w:t>
      </w:r>
      <w:r w:rsidR="00573AD4">
        <w:rPr>
          <w:rFonts w:ascii="Arial" w:hAnsi="Arial" w:cs="Arial"/>
          <w:sz w:val="20"/>
          <w:szCs w:val="20"/>
        </w:rPr>
        <w:t>tatistické údaje o počtech zemřelých</w:t>
      </w:r>
      <w:r w:rsidR="00271904">
        <w:rPr>
          <w:rFonts w:ascii="Arial" w:hAnsi="Arial" w:cs="Arial"/>
          <w:sz w:val="20"/>
          <w:szCs w:val="20"/>
        </w:rPr>
        <w:t xml:space="preserve"> </w:t>
      </w:r>
      <w:r w:rsidR="00554C11" w:rsidRPr="00B122C8">
        <w:rPr>
          <w:rFonts w:ascii="Arial" w:hAnsi="Arial" w:cs="Arial"/>
          <w:sz w:val="20"/>
          <w:szCs w:val="20"/>
        </w:rPr>
        <w:t>aktualizov</w:t>
      </w:r>
      <w:r w:rsidR="00573AD4">
        <w:rPr>
          <w:rFonts w:ascii="Arial" w:hAnsi="Arial" w:cs="Arial"/>
          <w:sz w:val="20"/>
          <w:szCs w:val="20"/>
        </w:rPr>
        <w:t>ány</w:t>
      </w:r>
      <w:r w:rsidR="00554C11" w:rsidRPr="00B122C8">
        <w:rPr>
          <w:rFonts w:ascii="Arial" w:hAnsi="Arial" w:cs="Arial"/>
          <w:sz w:val="20"/>
          <w:szCs w:val="20"/>
        </w:rPr>
        <w:t xml:space="preserve"> </w:t>
      </w:r>
      <w:r w:rsidR="001D5AEA">
        <w:rPr>
          <w:rFonts w:ascii="Arial" w:hAnsi="Arial" w:cs="Arial"/>
          <w:sz w:val="20"/>
          <w:szCs w:val="20"/>
        </w:rPr>
        <w:t xml:space="preserve">jednou </w:t>
      </w:r>
      <w:r>
        <w:rPr>
          <w:rFonts w:ascii="Arial" w:hAnsi="Arial" w:cs="Arial"/>
          <w:sz w:val="20"/>
          <w:szCs w:val="20"/>
        </w:rPr>
        <w:t>čtvrtletně</w:t>
      </w:r>
      <w:r w:rsidR="001D5AEA">
        <w:rPr>
          <w:rFonts w:ascii="Arial" w:hAnsi="Arial" w:cs="Arial"/>
          <w:sz w:val="20"/>
          <w:szCs w:val="20"/>
        </w:rPr>
        <w:t xml:space="preserve">, </w:t>
      </w:r>
      <w:r w:rsidR="005113D1">
        <w:rPr>
          <w:rFonts w:ascii="Arial" w:hAnsi="Arial" w:cs="Arial"/>
          <w:sz w:val="20"/>
          <w:szCs w:val="20"/>
        </w:rPr>
        <w:t xml:space="preserve">a to </w:t>
      </w:r>
      <w:r w:rsidR="00172BB6">
        <w:rPr>
          <w:rFonts w:ascii="Arial" w:hAnsi="Arial" w:cs="Arial"/>
          <w:sz w:val="20"/>
          <w:szCs w:val="20"/>
        </w:rPr>
        <w:t xml:space="preserve">obvykle </w:t>
      </w:r>
      <w:r w:rsidR="00161F54">
        <w:rPr>
          <w:rFonts w:ascii="Arial" w:hAnsi="Arial" w:cs="Arial"/>
          <w:sz w:val="20"/>
          <w:szCs w:val="20"/>
        </w:rPr>
        <w:t>40. ka</w:t>
      </w:r>
      <w:r w:rsidR="00172BB6">
        <w:rPr>
          <w:rFonts w:ascii="Arial" w:hAnsi="Arial" w:cs="Arial"/>
          <w:sz w:val="20"/>
          <w:szCs w:val="20"/>
        </w:rPr>
        <w:t xml:space="preserve">lendářní den po skončení </w:t>
      </w:r>
      <w:r>
        <w:rPr>
          <w:rFonts w:ascii="Arial" w:hAnsi="Arial" w:cs="Arial"/>
          <w:sz w:val="20"/>
          <w:szCs w:val="20"/>
        </w:rPr>
        <w:t xml:space="preserve">období </w:t>
      </w:r>
      <w:r w:rsidR="00172BB6">
        <w:rPr>
          <w:rFonts w:ascii="Arial" w:hAnsi="Arial" w:cs="Arial"/>
          <w:sz w:val="20"/>
          <w:szCs w:val="20"/>
        </w:rPr>
        <w:t>–</w:t>
      </w:r>
      <w:r w:rsidR="00161F54">
        <w:rPr>
          <w:rFonts w:ascii="Arial" w:hAnsi="Arial" w:cs="Arial"/>
          <w:sz w:val="20"/>
          <w:szCs w:val="20"/>
        </w:rPr>
        <w:t xml:space="preserve"> přesné termíny viz </w:t>
      </w:r>
      <w:hyperlink r:id="rId7" w:history="1">
        <w:r w:rsidRPr="00DB500A">
          <w:rPr>
            <w:rStyle w:val="Hypertextovodkaz"/>
            <w:rFonts w:ascii="Arial" w:hAnsi="Arial" w:cs="Arial"/>
            <w:sz w:val="20"/>
            <w:szCs w:val="20"/>
          </w:rPr>
          <w:t>Katalog produktů | Statistika</w:t>
        </w:r>
      </w:hyperlink>
      <w:r w:rsidRPr="00DB500A">
        <w:rPr>
          <w:rFonts w:ascii="Arial" w:hAnsi="Arial" w:cs="Arial"/>
          <w:sz w:val="20"/>
          <w:szCs w:val="20"/>
        </w:rPr>
        <w:t xml:space="preserve"> </w:t>
      </w:r>
      <w:r w:rsidR="00172BB6">
        <w:rPr>
          <w:rFonts w:ascii="Arial" w:hAnsi="Arial" w:cs="Arial"/>
          <w:sz w:val="20"/>
          <w:szCs w:val="20"/>
        </w:rPr>
        <w:t>(produkt 130184)</w:t>
      </w:r>
      <w:r w:rsidR="00161F54">
        <w:rPr>
          <w:rFonts w:ascii="Arial" w:hAnsi="Arial" w:cs="Arial"/>
          <w:sz w:val="20"/>
          <w:szCs w:val="20"/>
        </w:rPr>
        <w:t xml:space="preserve">. </w:t>
      </w:r>
    </w:p>
    <w:p w14:paraId="3AE5D590" w14:textId="1860E49B" w:rsidR="00172BB6" w:rsidRPr="00C81443" w:rsidRDefault="00452DA4" w:rsidP="006F4567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jsou tříděna podle kalendářních týdnů</w:t>
      </w:r>
      <w:r w:rsidRPr="001D5A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kalendářních měsíců a dále podle </w:t>
      </w:r>
      <w:r w:rsidR="00B62F55">
        <w:rPr>
          <w:rFonts w:ascii="Arial" w:hAnsi="Arial" w:cs="Arial"/>
          <w:sz w:val="20"/>
          <w:szCs w:val="20"/>
        </w:rPr>
        <w:t xml:space="preserve">pohlaví a </w:t>
      </w:r>
      <w:r>
        <w:rPr>
          <w:rFonts w:ascii="Arial" w:hAnsi="Arial" w:cs="Arial"/>
          <w:sz w:val="20"/>
          <w:szCs w:val="20"/>
        </w:rPr>
        <w:t xml:space="preserve">širších věkových skupin. </w:t>
      </w:r>
      <w:r w:rsidR="00172BB6" w:rsidRPr="00B122C8">
        <w:rPr>
          <w:rFonts w:ascii="Arial" w:hAnsi="Arial" w:cs="Arial"/>
          <w:sz w:val="20"/>
          <w:szCs w:val="20"/>
        </w:rPr>
        <w:t xml:space="preserve">Při </w:t>
      </w:r>
      <w:r w:rsidR="00172BB6">
        <w:rPr>
          <w:rFonts w:ascii="Arial" w:hAnsi="Arial" w:cs="Arial"/>
          <w:sz w:val="20"/>
          <w:szCs w:val="20"/>
        </w:rPr>
        <w:t>každém</w:t>
      </w:r>
      <w:r w:rsidR="00172BB6" w:rsidRPr="00B122C8">
        <w:rPr>
          <w:rFonts w:ascii="Arial" w:hAnsi="Arial" w:cs="Arial"/>
          <w:sz w:val="20"/>
          <w:szCs w:val="20"/>
        </w:rPr>
        <w:t xml:space="preserve"> vydání </w:t>
      </w:r>
      <w:r w:rsidR="00172BB6">
        <w:rPr>
          <w:rFonts w:ascii="Arial" w:hAnsi="Arial" w:cs="Arial"/>
          <w:sz w:val="20"/>
          <w:szCs w:val="20"/>
        </w:rPr>
        <w:t xml:space="preserve">produktu </w:t>
      </w:r>
      <w:r w:rsidR="00172BB6" w:rsidRPr="00B122C8">
        <w:rPr>
          <w:rFonts w:ascii="Arial" w:hAnsi="Arial" w:cs="Arial"/>
          <w:sz w:val="20"/>
          <w:szCs w:val="20"/>
        </w:rPr>
        <w:t>jsou aktualizovány údaje za všech</w:t>
      </w:r>
      <w:r w:rsidR="00172BB6">
        <w:rPr>
          <w:rFonts w:ascii="Arial" w:hAnsi="Arial" w:cs="Arial"/>
          <w:sz w:val="20"/>
          <w:szCs w:val="20"/>
        </w:rPr>
        <w:t>ny</w:t>
      </w:r>
      <w:r w:rsidR="00172BB6" w:rsidRPr="00B122C8">
        <w:rPr>
          <w:rFonts w:ascii="Arial" w:hAnsi="Arial" w:cs="Arial"/>
          <w:sz w:val="20"/>
          <w:szCs w:val="20"/>
        </w:rPr>
        <w:t xml:space="preserve"> kalendářní týdn</w:t>
      </w:r>
      <w:r w:rsidR="00172BB6">
        <w:rPr>
          <w:rFonts w:ascii="Arial" w:hAnsi="Arial" w:cs="Arial"/>
          <w:sz w:val="20"/>
          <w:szCs w:val="20"/>
        </w:rPr>
        <w:t>y a měsíce označené jako předběžné</w:t>
      </w:r>
      <w:r w:rsidR="00172BB6" w:rsidRPr="00B122C8">
        <w:rPr>
          <w:rFonts w:ascii="Arial" w:hAnsi="Arial" w:cs="Arial"/>
          <w:sz w:val="20"/>
          <w:szCs w:val="20"/>
        </w:rPr>
        <w:t xml:space="preserve">. </w:t>
      </w:r>
    </w:p>
    <w:p w14:paraId="73F6313B" w14:textId="582ECD8C" w:rsidR="0086481A" w:rsidRPr="00B122C8" w:rsidRDefault="002F78DF" w:rsidP="006F4567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Upozorňujeme, že s</w:t>
      </w:r>
      <w:r w:rsidRPr="002F78DF">
        <w:rPr>
          <w:rFonts w:ascii="Arial" w:hAnsi="Arial" w:cs="Arial"/>
          <w:sz w:val="20"/>
          <w:szCs w:val="20"/>
        </w:rPr>
        <w:t>oučet počtů zemřelých za jednotlivé kalendářní týdny roku neodpovídá celkovému počtu zemřelých v daném kalendářním roce</w:t>
      </w:r>
      <w:r w:rsidR="00142D0E">
        <w:rPr>
          <w:rFonts w:ascii="Arial" w:hAnsi="Arial" w:cs="Arial"/>
          <w:sz w:val="20"/>
          <w:szCs w:val="20"/>
        </w:rPr>
        <w:t>, neboť kalendářní týdny přesně nepokrývají období 1. 1. – 31. 12. roku</w:t>
      </w:r>
      <w:r w:rsidR="005113D1">
        <w:rPr>
          <w:rFonts w:ascii="Arial" w:hAnsi="Arial" w:cs="Arial"/>
          <w:sz w:val="20"/>
          <w:szCs w:val="20"/>
        </w:rPr>
        <w:t xml:space="preserve"> (</w:t>
      </w:r>
      <w:r w:rsidR="00DF4C57">
        <w:rPr>
          <w:rFonts w:ascii="Arial" w:hAnsi="Arial" w:cs="Arial"/>
          <w:sz w:val="20"/>
          <w:szCs w:val="20"/>
        </w:rPr>
        <w:t xml:space="preserve">první či poslední kalendářní </w:t>
      </w:r>
      <w:r w:rsidR="005113D1">
        <w:rPr>
          <w:rFonts w:ascii="Arial" w:hAnsi="Arial" w:cs="Arial"/>
          <w:sz w:val="20"/>
          <w:szCs w:val="20"/>
        </w:rPr>
        <w:t xml:space="preserve">týden </w:t>
      </w:r>
      <w:r w:rsidR="00DF4C57">
        <w:rPr>
          <w:rFonts w:ascii="Arial" w:hAnsi="Arial" w:cs="Arial"/>
          <w:sz w:val="20"/>
          <w:szCs w:val="20"/>
        </w:rPr>
        <w:t>roku obvykle zahrnuje i několik dní z</w:t>
      </w:r>
      <w:r w:rsidR="00B62F55">
        <w:rPr>
          <w:rFonts w:ascii="Arial" w:hAnsi="Arial" w:cs="Arial"/>
          <w:sz w:val="20"/>
          <w:szCs w:val="20"/>
        </w:rPr>
        <w:t> </w:t>
      </w:r>
      <w:r w:rsidR="00DF4C57">
        <w:rPr>
          <w:rFonts w:ascii="Arial" w:hAnsi="Arial" w:cs="Arial"/>
          <w:sz w:val="20"/>
          <w:szCs w:val="20"/>
        </w:rPr>
        <w:t>předešlého</w:t>
      </w:r>
      <w:r w:rsidR="00B62F55">
        <w:rPr>
          <w:rFonts w:ascii="Arial" w:hAnsi="Arial" w:cs="Arial"/>
          <w:sz w:val="20"/>
          <w:szCs w:val="20"/>
        </w:rPr>
        <w:t>,</w:t>
      </w:r>
      <w:r w:rsidR="00DF4C57">
        <w:rPr>
          <w:rFonts w:ascii="Arial" w:hAnsi="Arial" w:cs="Arial"/>
          <w:sz w:val="20"/>
          <w:szCs w:val="20"/>
        </w:rPr>
        <w:t xml:space="preserve"> resp. následujícího roku</w:t>
      </w:r>
      <w:r w:rsidR="00195D77">
        <w:rPr>
          <w:rFonts w:ascii="Arial" w:hAnsi="Arial" w:cs="Arial"/>
          <w:sz w:val="20"/>
          <w:szCs w:val="20"/>
        </w:rPr>
        <w:t>)</w:t>
      </w:r>
      <w:r w:rsidRPr="002F78DF">
        <w:rPr>
          <w:rFonts w:ascii="Arial" w:hAnsi="Arial" w:cs="Arial"/>
          <w:sz w:val="20"/>
          <w:szCs w:val="20"/>
        </w:rPr>
        <w:t>.</w:t>
      </w:r>
    </w:p>
    <w:p w14:paraId="46CB8A56" w14:textId="4F664627" w:rsidR="0084761E" w:rsidRPr="00B122C8" w:rsidRDefault="00892E76" w:rsidP="006F4567">
      <w:pPr>
        <w:spacing w:line="288" w:lineRule="auto"/>
        <w:rPr>
          <w:rFonts w:ascii="Arial" w:hAnsi="Arial" w:cs="Arial"/>
          <w:sz w:val="20"/>
          <w:szCs w:val="20"/>
        </w:rPr>
      </w:pPr>
      <w:r w:rsidRPr="00B122C8">
        <w:rPr>
          <w:rFonts w:ascii="Arial" w:hAnsi="Arial" w:cs="Arial"/>
          <w:sz w:val="20"/>
          <w:szCs w:val="20"/>
        </w:rPr>
        <w:t xml:space="preserve">Pro ukazatel </w:t>
      </w:r>
      <w:r w:rsidR="00C34A05" w:rsidRPr="00B122C8">
        <w:rPr>
          <w:rFonts w:ascii="Arial" w:hAnsi="Arial" w:cs="Arial"/>
          <w:sz w:val="20"/>
          <w:szCs w:val="20"/>
        </w:rPr>
        <w:t xml:space="preserve">relativního </w:t>
      </w:r>
      <w:r w:rsidRPr="00B122C8">
        <w:rPr>
          <w:rFonts w:ascii="Arial" w:hAnsi="Arial" w:cs="Arial"/>
          <w:sz w:val="20"/>
          <w:szCs w:val="20"/>
        </w:rPr>
        <w:t>počt</w:t>
      </w:r>
      <w:r w:rsidR="00C34A05" w:rsidRPr="00B122C8">
        <w:rPr>
          <w:rFonts w:ascii="Arial" w:hAnsi="Arial" w:cs="Arial"/>
          <w:sz w:val="20"/>
          <w:szCs w:val="20"/>
        </w:rPr>
        <w:t>u</w:t>
      </w:r>
      <w:r w:rsidRPr="00B122C8">
        <w:rPr>
          <w:rFonts w:ascii="Arial" w:hAnsi="Arial" w:cs="Arial"/>
          <w:sz w:val="20"/>
          <w:szCs w:val="20"/>
        </w:rPr>
        <w:t xml:space="preserve"> zemřelých v hodnoceném období </w:t>
      </w:r>
      <w:r w:rsidR="00861050" w:rsidRPr="00B122C8">
        <w:rPr>
          <w:rFonts w:ascii="Arial" w:hAnsi="Arial" w:cs="Arial"/>
          <w:sz w:val="20"/>
          <w:szCs w:val="20"/>
        </w:rPr>
        <w:t xml:space="preserve">(v přepočtu </w:t>
      </w:r>
      <w:r w:rsidRPr="00B122C8">
        <w:rPr>
          <w:rFonts w:ascii="Arial" w:hAnsi="Arial" w:cs="Arial"/>
          <w:sz w:val="20"/>
          <w:szCs w:val="20"/>
        </w:rPr>
        <w:t xml:space="preserve">na </w:t>
      </w:r>
      <w:r w:rsidR="00F90BFF" w:rsidRPr="00B122C8">
        <w:rPr>
          <w:rFonts w:ascii="Arial" w:hAnsi="Arial" w:cs="Arial"/>
          <w:sz w:val="20"/>
          <w:szCs w:val="20"/>
        </w:rPr>
        <w:t>100</w:t>
      </w:r>
      <w:r w:rsidR="00B122C8">
        <w:rPr>
          <w:rFonts w:ascii="Arial" w:hAnsi="Arial" w:cs="Arial"/>
          <w:sz w:val="20"/>
          <w:szCs w:val="20"/>
        </w:rPr>
        <w:t> </w:t>
      </w:r>
      <w:r w:rsidR="00861050" w:rsidRPr="00B122C8">
        <w:rPr>
          <w:rFonts w:ascii="Arial" w:hAnsi="Arial" w:cs="Arial"/>
          <w:sz w:val="20"/>
          <w:szCs w:val="20"/>
        </w:rPr>
        <w:t>tisíc</w:t>
      </w:r>
      <w:r w:rsidRPr="00B122C8">
        <w:rPr>
          <w:rFonts w:ascii="Arial" w:hAnsi="Arial" w:cs="Arial"/>
          <w:sz w:val="20"/>
          <w:szCs w:val="20"/>
        </w:rPr>
        <w:t xml:space="preserve"> obyvatel </w:t>
      </w:r>
      <w:r w:rsidR="00861050" w:rsidRPr="00B122C8">
        <w:rPr>
          <w:rFonts w:ascii="Arial" w:hAnsi="Arial" w:cs="Arial"/>
          <w:sz w:val="20"/>
          <w:szCs w:val="20"/>
        </w:rPr>
        <w:t xml:space="preserve">daného věku) </w:t>
      </w:r>
      <w:r w:rsidRPr="00B122C8">
        <w:rPr>
          <w:rFonts w:ascii="Arial" w:hAnsi="Arial" w:cs="Arial"/>
          <w:sz w:val="20"/>
          <w:szCs w:val="20"/>
        </w:rPr>
        <w:t>je používán údaj o počtu obyvatel k počátku roku (k 1.</w:t>
      </w:r>
      <w:r w:rsidR="002F78DF">
        <w:rPr>
          <w:rFonts w:ascii="Arial" w:hAnsi="Arial" w:cs="Arial"/>
          <w:sz w:val="20"/>
          <w:szCs w:val="20"/>
        </w:rPr>
        <w:t> </w:t>
      </w:r>
      <w:r w:rsidRPr="00B122C8">
        <w:rPr>
          <w:rFonts w:ascii="Arial" w:hAnsi="Arial" w:cs="Arial"/>
          <w:sz w:val="20"/>
          <w:szCs w:val="20"/>
        </w:rPr>
        <w:t>1.)</w:t>
      </w:r>
      <w:r w:rsidR="009F768D">
        <w:rPr>
          <w:rFonts w:ascii="Arial" w:hAnsi="Arial" w:cs="Arial"/>
          <w:sz w:val="20"/>
          <w:szCs w:val="20"/>
        </w:rPr>
        <w:t>, a to pro zajištění srovnatelnosti s rokem/roky, za které není v době vydání dat k dispozici střední stav obyvatel.</w:t>
      </w:r>
      <w:r w:rsidRPr="00B122C8">
        <w:rPr>
          <w:rFonts w:ascii="Arial" w:hAnsi="Arial" w:cs="Arial"/>
          <w:sz w:val="20"/>
          <w:szCs w:val="20"/>
        </w:rPr>
        <w:t xml:space="preserve"> </w:t>
      </w:r>
    </w:p>
    <w:sectPr w:rsidR="0084761E" w:rsidRPr="00B122C8" w:rsidSect="009C41A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93A1A" w14:textId="77777777" w:rsidR="00165AC3" w:rsidRDefault="00165AC3" w:rsidP="00DF4C57">
      <w:pPr>
        <w:spacing w:after="0" w:line="240" w:lineRule="auto"/>
      </w:pPr>
      <w:r>
        <w:separator/>
      </w:r>
    </w:p>
  </w:endnote>
  <w:endnote w:type="continuationSeparator" w:id="0">
    <w:p w14:paraId="10A919EE" w14:textId="77777777" w:rsidR="00165AC3" w:rsidRDefault="00165AC3" w:rsidP="00DF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B7F2" w14:textId="10E0511E" w:rsidR="009C41AB" w:rsidRDefault="009C41AB" w:rsidP="009C41AB">
    <w:pPr>
      <w:pStyle w:val="Zpat"/>
      <w:jc w:val="right"/>
    </w:pPr>
    <w:r>
      <w:rPr>
        <w:noProof/>
        <w:lang w:eastAsia="cs-CZ"/>
      </w:rPr>
      <w:drawing>
        <wp:inline distT="0" distB="0" distL="0" distR="0" wp14:anchorId="0894B28F" wp14:editId="46078C62">
          <wp:extent cx="512064" cy="271272"/>
          <wp:effectExtent l="0" t="0" r="254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ČSÚ logo do zápatí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271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EF69" w14:textId="4A702887" w:rsidR="009C41AB" w:rsidRDefault="009C41AB">
    <w:pPr>
      <w:pStyle w:val="Zpat"/>
    </w:pPr>
    <w:r>
      <w:rPr>
        <w:noProof/>
        <w:lang w:eastAsia="cs-CZ"/>
      </w:rPr>
      <w:drawing>
        <wp:inline distT="0" distB="0" distL="0" distR="0" wp14:anchorId="4BCF9BFC" wp14:editId="427E19A8">
          <wp:extent cx="512064" cy="271272"/>
          <wp:effectExtent l="0" t="0" r="254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ČSÚ logo do zápatí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271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54EE4" w14:textId="77777777" w:rsidR="00165AC3" w:rsidRDefault="00165AC3" w:rsidP="00DF4C57">
      <w:pPr>
        <w:spacing w:after="0" w:line="240" w:lineRule="auto"/>
      </w:pPr>
      <w:r>
        <w:separator/>
      </w:r>
    </w:p>
  </w:footnote>
  <w:footnote w:type="continuationSeparator" w:id="0">
    <w:p w14:paraId="147B21AC" w14:textId="77777777" w:rsidR="00165AC3" w:rsidRDefault="00165AC3" w:rsidP="00DF4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0E8EF" w14:textId="12D1EA09" w:rsidR="009C41AB" w:rsidRPr="009C41AB" w:rsidRDefault="009C41AB">
    <w:pPr>
      <w:pStyle w:val="Zhlav"/>
      <w:rPr>
        <w:rFonts w:ascii="Arial" w:hAnsi="Arial" w:cs="Arial"/>
        <w:sz w:val="16"/>
        <w:szCs w:val="16"/>
      </w:rPr>
    </w:pPr>
    <w:r w:rsidRPr="009C41AB">
      <w:rPr>
        <w:rFonts w:ascii="Arial" w:hAnsi="Arial" w:cs="Arial"/>
        <w:sz w:val="16"/>
        <w:szCs w:val="16"/>
      </w:rPr>
      <w:t>Počet zemřelých – týdenní a měsíční časové řady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CC99" w14:textId="705647A0" w:rsidR="009C41AB" w:rsidRPr="009C41AB" w:rsidRDefault="00DB500A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</w:t>
    </w:r>
    <w:r w:rsidR="009C41AB" w:rsidRPr="009C41AB">
      <w:rPr>
        <w:rFonts w:ascii="Arial" w:hAnsi="Arial" w:cs="Arial"/>
        <w:sz w:val="16"/>
        <w:szCs w:val="16"/>
      </w:rPr>
      <w:t>emřel</w:t>
    </w:r>
    <w:r>
      <w:rPr>
        <w:rFonts w:ascii="Arial" w:hAnsi="Arial" w:cs="Arial"/>
        <w:sz w:val="16"/>
        <w:szCs w:val="16"/>
      </w:rPr>
      <w:t>í</w:t>
    </w:r>
    <w:r w:rsidR="009C41AB" w:rsidRPr="009C41AB">
      <w:rPr>
        <w:rFonts w:ascii="Arial" w:hAnsi="Arial" w:cs="Arial"/>
        <w:sz w:val="16"/>
        <w:szCs w:val="16"/>
      </w:rPr>
      <w:t xml:space="preserve"> – týdenní a měsíční časové řady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61E"/>
    <w:rsid w:val="00061D5D"/>
    <w:rsid w:val="000620D3"/>
    <w:rsid w:val="000917C5"/>
    <w:rsid w:val="00094DA9"/>
    <w:rsid w:val="000B3B3F"/>
    <w:rsid w:val="000B68ED"/>
    <w:rsid w:val="000D675B"/>
    <w:rsid w:val="000D78BB"/>
    <w:rsid w:val="00102D0D"/>
    <w:rsid w:val="00142D0E"/>
    <w:rsid w:val="00150935"/>
    <w:rsid w:val="00161F54"/>
    <w:rsid w:val="00165AC3"/>
    <w:rsid w:val="00172BB6"/>
    <w:rsid w:val="00181165"/>
    <w:rsid w:val="0019301D"/>
    <w:rsid w:val="00195D77"/>
    <w:rsid w:val="001B3540"/>
    <w:rsid w:val="001D5AEA"/>
    <w:rsid w:val="001E1A8D"/>
    <w:rsid w:val="00205EDE"/>
    <w:rsid w:val="00266699"/>
    <w:rsid w:val="00271904"/>
    <w:rsid w:val="0028503B"/>
    <w:rsid w:val="002C790B"/>
    <w:rsid w:val="002D0FB0"/>
    <w:rsid w:val="002F78DF"/>
    <w:rsid w:val="003279C0"/>
    <w:rsid w:val="00375D13"/>
    <w:rsid w:val="00380187"/>
    <w:rsid w:val="00391909"/>
    <w:rsid w:val="003A3D14"/>
    <w:rsid w:val="003B0DD4"/>
    <w:rsid w:val="003C53D7"/>
    <w:rsid w:val="003E77D3"/>
    <w:rsid w:val="003F7DCB"/>
    <w:rsid w:val="004024D2"/>
    <w:rsid w:val="00452DA4"/>
    <w:rsid w:val="00466DF7"/>
    <w:rsid w:val="004865C9"/>
    <w:rsid w:val="004C3E09"/>
    <w:rsid w:val="004D6CD2"/>
    <w:rsid w:val="00501838"/>
    <w:rsid w:val="005113D1"/>
    <w:rsid w:val="00554C11"/>
    <w:rsid w:val="00573369"/>
    <w:rsid w:val="00573AD4"/>
    <w:rsid w:val="00617AE7"/>
    <w:rsid w:val="00623CD9"/>
    <w:rsid w:val="00626899"/>
    <w:rsid w:val="00673113"/>
    <w:rsid w:val="00674A5A"/>
    <w:rsid w:val="006759CA"/>
    <w:rsid w:val="00683F74"/>
    <w:rsid w:val="006911FF"/>
    <w:rsid w:val="006E2D3F"/>
    <w:rsid w:val="006F4567"/>
    <w:rsid w:val="00713D28"/>
    <w:rsid w:val="00714EC1"/>
    <w:rsid w:val="00762C08"/>
    <w:rsid w:val="0076541E"/>
    <w:rsid w:val="00770E00"/>
    <w:rsid w:val="007729A2"/>
    <w:rsid w:val="007A72CF"/>
    <w:rsid w:val="007B6F42"/>
    <w:rsid w:val="007D4057"/>
    <w:rsid w:val="007D4DE5"/>
    <w:rsid w:val="007D70A2"/>
    <w:rsid w:val="0084761E"/>
    <w:rsid w:val="008533A5"/>
    <w:rsid w:val="00854547"/>
    <w:rsid w:val="00861050"/>
    <w:rsid w:val="0086481A"/>
    <w:rsid w:val="00892E76"/>
    <w:rsid w:val="008A7385"/>
    <w:rsid w:val="008D1253"/>
    <w:rsid w:val="0091498B"/>
    <w:rsid w:val="009307E5"/>
    <w:rsid w:val="0094596E"/>
    <w:rsid w:val="00946D91"/>
    <w:rsid w:val="009609AD"/>
    <w:rsid w:val="0096691D"/>
    <w:rsid w:val="009C41AB"/>
    <w:rsid w:val="009F768D"/>
    <w:rsid w:val="00A13E9B"/>
    <w:rsid w:val="00A531A3"/>
    <w:rsid w:val="00AA1607"/>
    <w:rsid w:val="00AC4D61"/>
    <w:rsid w:val="00B03301"/>
    <w:rsid w:val="00B122C8"/>
    <w:rsid w:val="00B62F55"/>
    <w:rsid w:val="00B67D8D"/>
    <w:rsid w:val="00B724F0"/>
    <w:rsid w:val="00B77066"/>
    <w:rsid w:val="00BD174A"/>
    <w:rsid w:val="00C211CE"/>
    <w:rsid w:val="00C34A05"/>
    <w:rsid w:val="00C81443"/>
    <w:rsid w:val="00CF08A4"/>
    <w:rsid w:val="00CF4019"/>
    <w:rsid w:val="00D1050F"/>
    <w:rsid w:val="00D21581"/>
    <w:rsid w:val="00DA2ED4"/>
    <w:rsid w:val="00DB500A"/>
    <w:rsid w:val="00DB6EEA"/>
    <w:rsid w:val="00DC38D1"/>
    <w:rsid w:val="00DD734B"/>
    <w:rsid w:val="00DE53C6"/>
    <w:rsid w:val="00DF4C57"/>
    <w:rsid w:val="00DF6B4B"/>
    <w:rsid w:val="00E060D0"/>
    <w:rsid w:val="00E21269"/>
    <w:rsid w:val="00E44B6F"/>
    <w:rsid w:val="00E52979"/>
    <w:rsid w:val="00E7126E"/>
    <w:rsid w:val="00E82492"/>
    <w:rsid w:val="00EB2999"/>
    <w:rsid w:val="00F0456D"/>
    <w:rsid w:val="00F528C8"/>
    <w:rsid w:val="00F65B0D"/>
    <w:rsid w:val="00F90BFF"/>
    <w:rsid w:val="00FA4AEE"/>
    <w:rsid w:val="00FB4C8C"/>
    <w:rsid w:val="00F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8653"/>
  <w15:chartTrackingRefBased/>
  <w15:docId w15:val="{8903A5EF-6B90-43DE-AE02-796A704B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">
    <w:name w:val="Perex_"/>
    <w:next w:val="Normln"/>
    <w:qFormat/>
    <w:rsid w:val="00554C11"/>
    <w:pPr>
      <w:autoSpaceDE w:val="0"/>
      <w:autoSpaceDN w:val="0"/>
      <w:adjustRightInd w:val="0"/>
      <w:spacing w:after="280" w:line="276" w:lineRule="auto"/>
    </w:pPr>
    <w:rPr>
      <w:rFonts w:ascii="Arial" w:eastAsia="Calibri" w:hAnsi="Arial" w:cs="Arial"/>
      <w:b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0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93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34A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4A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4A0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4A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4A05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4C5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4C5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F4C5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A2ED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C4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41AB"/>
  </w:style>
  <w:style w:type="paragraph" w:styleId="Zpat">
    <w:name w:val="footer"/>
    <w:basedOn w:val="Normln"/>
    <w:link w:val="ZpatChar"/>
    <w:uiPriority w:val="99"/>
    <w:unhideWhenUsed/>
    <w:rsid w:val="009C4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41AB"/>
  </w:style>
  <w:style w:type="character" w:styleId="Sledovanodkaz">
    <w:name w:val="FollowedHyperlink"/>
    <w:basedOn w:val="Standardnpsmoodstavce"/>
    <w:uiPriority w:val="99"/>
    <w:semiHidden/>
    <w:unhideWhenUsed/>
    <w:rsid w:val="000917C5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DB500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DB5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su.gov.cz/katalog-produktu?pocet=10&amp;start=10&amp;pouzePosledni=false&amp;razeni=-datumVydani&amp;vyhledat=13018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1BEC3-0C63-440D-86C0-92270EB70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ČSÚ</dc:creator>
  <cp:keywords/>
  <dc:description/>
  <cp:lastModifiedBy>Němečková Michaela</cp:lastModifiedBy>
  <cp:revision>3</cp:revision>
  <dcterms:created xsi:type="dcterms:W3CDTF">2026-04-28T09:07:00Z</dcterms:created>
  <dcterms:modified xsi:type="dcterms:W3CDTF">2026-04-28T09:09:00Z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7dcdf11e85ae0458d4fd9319817f61cc2097252ec786f57e1300d4e198fe2804</vt:lpwstr>
  </property>
</Properties>
</file>