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2E" w:rsidRPr="00CC212E" w:rsidRDefault="00CC212E" w:rsidP="003D54AC">
      <w:pPr>
        <w:pStyle w:val="Nadpis1"/>
        <w:numPr>
          <w:ilvl w:val="0"/>
          <w:numId w:val="25"/>
        </w:numPr>
      </w:pPr>
      <w:bookmarkStart w:id="0" w:name="_Toc493683638"/>
      <w:r w:rsidRPr="0051593C">
        <w:t>Trh práce</w:t>
      </w:r>
      <w:bookmarkEnd w:id="0"/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FD77BB" w:rsidRPr="00F06A1D" w:rsidTr="00CF0826">
        <w:trPr>
          <w:trHeight w:val="145"/>
        </w:trPr>
        <w:tc>
          <w:tcPr>
            <w:tcW w:w="1016" w:type="pct"/>
            <w:shd w:val="clear" w:color="auto" w:fill="auto"/>
          </w:tcPr>
          <w:p w:rsidR="00FD77BB" w:rsidRPr="000C7A77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Sílící ekonomika zvyšovala poptávku po pracovní síle, která však stále výrazněji narážela na nedostatečnou nabídku. Zaměstnanost nadále významně rostla, práci mělo nejvíce lidí v historii ČR.</w:t>
            </w:r>
          </w:p>
        </w:tc>
        <w:tc>
          <w:tcPr>
            <w:tcW w:w="144" w:type="pct"/>
          </w:tcPr>
          <w:p w:rsidR="00FD77BB" w:rsidRPr="00A90EFD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FD77BB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Na trhu práce v průběhu roku 2017 pokračovaly příznivé tendence z předchozích let. Zároveň se však stále více projevovalo i rostoucí napětí pramenící z neuspokojené poptávky firem</w:t>
            </w:r>
            <w:r w:rsidR="0092465F">
              <w:rPr>
                <w:rFonts w:cs="Arial"/>
                <w:color w:val="0D0D0D" w:themeColor="text1" w:themeTint="F2"/>
                <w:spacing w:val="-4"/>
              </w:rPr>
              <w:t xml:space="preserve"> po pracovní síle. Na pozadí této skutečnosti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zaměstnanost po většinu roku </w:t>
            </w:r>
            <w:r w:rsidR="00066B7B">
              <w:rPr>
                <w:rFonts w:cs="Arial"/>
                <w:color w:val="0D0D0D" w:themeColor="text1" w:themeTint="F2"/>
                <w:spacing w:val="-4"/>
              </w:rPr>
              <w:t xml:space="preserve">stále </w:t>
            </w:r>
            <w:r>
              <w:rPr>
                <w:rFonts w:cs="Arial"/>
                <w:color w:val="0D0D0D" w:themeColor="text1" w:themeTint="F2"/>
                <w:spacing w:val="-4"/>
              </w:rPr>
              <w:t>sílila. Oproti roku 2016 se počet pracovníků</w:t>
            </w:r>
            <w:r w:rsidRPr="008A4BA8">
              <w:rPr>
                <w:rStyle w:val="Znakapoznpodarou"/>
                <w:color w:val="0D0D0D" w:themeColor="text1" w:themeTint="F2"/>
                <w:spacing w:val="-4"/>
              </w:rPr>
              <w:footnoteReference w:id="1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navýšil o 1,6 %, šlo o nejvyšší meziroční tempo od konjunkturního roku 2008. V posledních třech měsících loňského roku se však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mezičtvrtletní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 růst zaměstnanosti zastavil. V pozadí stála především vysoká základna (růst v předchozím čtvrtletí byl nejsilnější 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>od konce konjunktury minulé dekády</w:t>
            </w:r>
            <w:r>
              <w:rPr>
                <w:rFonts w:cs="Arial"/>
                <w:color w:val="0D0D0D" w:themeColor="text1" w:themeTint="F2"/>
                <w:spacing w:val="-4"/>
              </w:rPr>
              <w:t>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2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V Česku pracovalo na sklonku loňského roku nejvíce lidí v jeho historii </w:t>
            </w:r>
            <w:r w:rsidR="00066B7B">
              <w:rPr>
                <w:rFonts w:cs="Arial"/>
                <w:color w:val="0D0D0D" w:themeColor="text1" w:themeTint="F2"/>
                <w:spacing w:val="-4"/>
              </w:rPr>
              <w:t>(5,36 mil.). Projevil se zde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vliv 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>hospod</w:t>
            </w:r>
            <w:r>
              <w:rPr>
                <w:rFonts w:cs="Arial"/>
                <w:color w:val="0D0D0D" w:themeColor="text1" w:themeTint="F2"/>
                <w:spacing w:val="-4"/>
              </w:rPr>
              <w:t>ářského cyklu spojeného i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 xml:space="preserve"> s přílivem pracovní síly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ze zahraničí, ale rovněž posun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 xml:space="preserve"> ve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věkové skladbě obyvatelstva </w:t>
            </w:r>
            <w:r w:rsidR="00066B7B">
              <w:rPr>
                <w:rFonts w:cs="Arial"/>
                <w:color w:val="0D0D0D" w:themeColor="text1" w:themeTint="F2"/>
                <w:spacing w:val="-4"/>
              </w:rPr>
              <w:t>č</w:t>
            </w:r>
            <w:r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pravidelné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 xml:space="preserve"> navyšová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ní důchodového věku. </w:t>
            </w:r>
          </w:p>
          <w:p w:rsidR="00FD77BB" w:rsidRPr="003E12B1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</w:p>
        </w:tc>
      </w:tr>
      <w:tr w:rsidR="00FD77BB" w:rsidRPr="008A4BA8" w:rsidTr="00CF0826">
        <w:trPr>
          <w:trHeight w:val="145"/>
        </w:trPr>
        <w:tc>
          <w:tcPr>
            <w:tcW w:w="1016" w:type="pct"/>
            <w:shd w:val="clear" w:color="auto" w:fill="auto"/>
          </w:tcPr>
          <w:p w:rsidR="00FD77BB" w:rsidRPr="000C7A77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 xml:space="preserve">Míra zaměstnanosti se nadále navyšovala. U mužů dosahovalo Česko čelního postavení v celé EU. </w:t>
            </w:r>
          </w:p>
        </w:tc>
        <w:tc>
          <w:tcPr>
            <w:tcW w:w="144" w:type="pct"/>
          </w:tcPr>
          <w:p w:rsidR="00FD77BB" w:rsidRPr="00A90EFD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FD77BB" w:rsidRPr="00A347EA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Z podrobnějších dat Výběrového šetření pracovních sil (VŠPS) vyplynulo, že hlavním zdrojem růstu zaměstnanosti byl v 1. až 3. čtvrtletí 2017 čistý přítok z nezaměstnanosti (vlivem její další redukce). Ve 4. čtvrtletí 2017 pracovalo ve věku 15–64 let již 74,3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% obyvatel</w:t>
            </w:r>
            <w:r w:rsidR="00E94ADB"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r w:rsidR="00E94ADB" w:rsidRPr="00E94ADB">
              <w:rPr>
                <w:rFonts w:cs="Arial"/>
                <w:color w:val="0D0D0D" w:themeColor="text1" w:themeTint="F2"/>
                <w:spacing w:val="-4"/>
              </w:rPr>
              <w:t>M</w:t>
            </w:r>
            <w:r w:rsidRPr="00E94ADB">
              <w:rPr>
                <w:rFonts w:cs="Arial"/>
                <w:color w:val="0D0D0D" w:themeColor="text1" w:themeTint="F2"/>
                <w:spacing w:val="-4"/>
              </w:rPr>
              <w:t>eziroční tempo růstu míry zaměstnanosti mírně sláblo –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E94ADB">
              <w:rPr>
                <w:rFonts w:cs="Arial"/>
                <w:color w:val="0D0D0D" w:themeColor="text1" w:themeTint="F2"/>
                <w:spacing w:val="-4"/>
              </w:rPr>
              <w:t>z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E94ADB">
              <w:rPr>
                <w:rFonts w:cs="Arial"/>
                <w:color w:val="0D0D0D" w:themeColor="text1" w:themeTint="F2"/>
                <w:spacing w:val="-4"/>
              </w:rPr>
              <w:t>2,1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E94ADB">
              <w:rPr>
                <w:rFonts w:cs="Arial"/>
                <w:color w:val="0D0D0D" w:themeColor="text1" w:themeTint="F2"/>
                <w:spacing w:val="-4"/>
              </w:rPr>
              <w:t>p.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proofErr w:type="spellStart"/>
            <w:r w:rsidRPr="00E94ADB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Pr="00E94ADB"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r w:rsidR="00E94ADB" w:rsidRPr="00E94ADB">
              <w:rPr>
                <w:rFonts w:cs="Arial"/>
                <w:color w:val="0D0D0D" w:themeColor="text1" w:themeTint="F2"/>
                <w:spacing w:val="-4"/>
              </w:rPr>
              <w:t xml:space="preserve">(ve </w:t>
            </w:r>
            <w:r w:rsidR="00E94ADB">
              <w:rPr>
                <w:rFonts w:cs="Arial"/>
                <w:color w:val="0D0D0D" w:themeColor="text1" w:themeTint="F2"/>
                <w:spacing w:val="-4"/>
              </w:rPr>
              <w:t>4. </w:t>
            </w:r>
            <w:r w:rsidR="00E94ADB" w:rsidRPr="00E94ADB">
              <w:rPr>
                <w:rFonts w:cs="Arial"/>
                <w:color w:val="0D0D0D" w:themeColor="text1" w:themeTint="F2"/>
                <w:spacing w:val="-4"/>
              </w:rPr>
              <w:t xml:space="preserve">čtvrtletí 2016) </w:t>
            </w:r>
            <w:r w:rsidR="00E94ADB">
              <w:rPr>
                <w:rFonts w:cs="Arial"/>
                <w:color w:val="0D0D0D" w:themeColor="text1" w:themeTint="F2"/>
                <w:spacing w:val="-4"/>
              </w:rPr>
              <w:t>na 1,4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="00E94ADB">
              <w:rPr>
                <w:rFonts w:cs="Arial"/>
                <w:color w:val="0D0D0D" w:themeColor="text1" w:themeTint="F2"/>
                <w:spacing w:val="-4"/>
              </w:rPr>
              <w:t>p.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proofErr w:type="spellStart"/>
            <w:r w:rsidR="00E94ADB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="00E94ADB">
              <w:rPr>
                <w:rFonts w:cs="Arial"/>
                <w:color w:val="0D0D0D" w:themeColor="text1" w:themeTint="F2"/>
                <w:spacing w:val="-4"/>
              </w:rPr>
              <w:t>. (o rok později)</w:t>
            </w:r>
            <w:r w:rsidRPr="00E94ADB">
              <w:rPr>
                <w:rFonts w:cs="Arial"/>
                <w:color w:val="0D0D0D" w:themeColor="text1" w:themeTint="F2"/>
                <w:spacing w:val="-4"/>
              </w:rPr>
              <w:t>. Na tomto růstu se podíleli spíše starší pracovníci (nad 55 let), míra zaměstnanosti ale vzrostla ve všech věkových s</w:t>
            </w:r>
            <w:r w:rsidR="0026595E">
              <w:rPr>
                <w:rFonts w:cs="Arial"/>
                <w:color w:val="0D0D0D" w:themeColor="text1" w:themeTint="F2"/>
                <w:spacing w:val="-4"/>
              </w:rPr>
              <w:t>kupinách (vyjma žen</w:t>
            </w:r>
            <w:r w:rsidRPr="00E94ADB">
              <w:rPr>
                <w:rFonts w:cs="Arial"/>
                <w:color w:val="0D0D0D" w:themeColor="text1" w:themeTint="F2"/>
                <w:spacing w:val="-4"/>
              </w:rPr>
              <w:t xml:space="preserve"> ve věku 35–39 let).</w:t>
            </w:r>
            <w:r w:rsidRPr="00066B7B">
              <w:rPr>
                <w:rFonts w:cs="Arial"/>
                <w:color w:val="FF0000"/>
                <w:spacing w:val="-4"/>
              </w:rPr>
              <w:t xml:space="preserve"> 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>Zaměstnanost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mužů dosáhla ve 3. čtvrtletí 81</w:t>
            </w:r>
            <w:r w:rsidR="00636A84">
              <w:rPr>
                <w:rFonts w:cs="Arial"/>
                <w:color w:val="0D0D0D" w:themeColor="text1" w:themeTint="F2"/>
                <w:spacing w:val="-4"/>
              </w:rPr>
              <w:t>,4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>%</w:t>
            </w:r>
            <w:r w:rsidR="00E94ADB">
              <w:rPr>
                <w:rFonts w:cs="Arial"/>
                <w:color w:val="0D0D0D" w:themeColor="text1" w:themeTint="F2"/>
                <w:spacing w:val="-4"/>
              </w:rPr>
              <w:t xml:space="preserve"> a </w:t>
            </w:r>
            <w:r>
              <w:rPr>
                <w:rFonts w:cs="Arial"/>
                <w:color w:val="0D0D0D" w:themeColor="text1" w:themeTint="F2"/>
                <w:spacing w:val="-4"/>
              </w:rPr>
              <w:t>byla již více než rok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nejvyšší </w:t>
            </w:r>
            <w:r w:rsidRPr="00F848FE">
              <w:rPr>
                <w:rFonts w:cs="Arial"/>
                <w:color w:val="0D0D0D" w:themeColor="text1" w:themeTint="F2"/>
                <w:spacing w:val="-4"/>
              </w:rPr>
              <w:t>v</w:t>
            </w:r>
            <w:r w:rsidRPr="00860F31">
              <w:rPr>
                <w:rFonts w:cs="Arial"/>
                <w:color w:val="0D0D0D" w:themeColor="text1" w:themeTint="F2"/>
                <w:spacing w:val="-4"/>
              </w:rPr>
              <w:t xml:space="preserve"> EU</w:t>
            </w:r>
            <w:r>
              <w:rPr>
                <w:rFonts w:cs="Arial"/>
                <w:color w:val="0D0D0D" w:themeColor="text1" w:themeTint="F2"/>
                <w:spacing w:val="-4"/>
              </w:rPr>
              <w:t>. Zaměstnanost žen řadila ČR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 xml:space="preserve"> nadále až na jedenácté místo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,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 xml:space="preserve">a to </w:t>
            </w:r>
            <w:r>
              <w:rPr>
                <w:rFonts w:cs="Arial"/>
                <w:color w:val="0D0D0D" w:themeColor="text1" w:themeTint="F2"/>
                <w:spacing w:val="-4"/>
              </w:rPr>
              <w:t>i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přesto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>, že se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meziročně zvyšovala dvojnásobným tempem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 xml:space="preserve"> než v Uni</w:t>
            </w:r>
            <w:r>
              <w:rPr>
                <w:rFonts w:cs="Arial"/>
                <w:color w:val="0D0D0D" w:themeColor="text1" w:themeTint="F2"/>
                <w:spacing w:val="-4"/>
              </w:rPr>
              <w:t>i (z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64,5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% na 66,7</w:t>
            </w:r>
            <w:r w:rsidR="00323A13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A4BA8">
              <w:rPr>
                <w:rFonts w:cs="Arial"/>
                <w:color w:val="0D0D0D" w:themeColor="text1" w:themeTint="F2"/>
                <w:spacing w:val="-4"/>
              </w:rPr>
              <w:t>%).</w:t>
            </w:r>
          </w:p>
        </w:tc>
      </w:tr>
    </w:tbl>
    <w:p w:rsidR="00FD77BB" w:rsidRPr="00FD77BB" w:rsidRDefault="00FD77BB" w:rsidP="00FD77BB">
      <w:pPr>
        <w:rPr>
          <w:sz w:val="14"/>
          <w:szCs w:val="14"/>
          <w:lang w:eastAsia="ar-SA"/>
        </w:rPr>
      </w:pPr>
    </w:p>
    <w:tbl>
      <w:tblPr>
        <w:tblW w:w="4977" w:type="pct"/>
        <w:tblInd w:w="80" w:type="dxa"/>
        <w:tblLayout w:type="fixed"/>
        <w:tblLook w:val="00A0"/>
      </w:tblPr>
      <w:tblGrid>
        <w:gridCol w:w="2004"/>
        <w:gridCol w:w="284"/>
        <w:gridCol w:w="1122"/>
        <w:gridCol w:w="6399"/>
      </w:tblGrid>
      <w:tr w:rsidR="00FD77BB" w:rsidRPr="000117D0" w:rsidTr="00CF0826">
        <w:trPr>
          <w:trHeight w:val="145"/>
        </w:trPr>
        <w:tc>
          <w:tcPr>
            <w:tcW w:w="1018" w:type="pct"/>
            <w:shd w:val="clear" w:color="auto" w:fill="auto"/>
          </w:tcPr>
          <w:p w:rsidR="00FD77BB" w:rsidRPr="00AA4A76" w:rsidRDefault="00FD77BB" w:rsidP="00CF0826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FD77BB" w:rsidRPr="00AA4A76" w:rsidRDefault="00FD77BB" w:rsidP="00CF0826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0" w:type="pct"/>
          </w:tcPr>
          <w:p w:rsidR="00FD77BB" w:rsidRPr="00AA4A76" w:rsidRDefault="00FD77BB" w:rsidP="00CF0826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>Graf č. 15</w:t>
            </w:r>
          </w:p>
        </w:tc>
        <w:tc>
          <w:tcPr>
            <w:tcW w:w="3253" w:type="pct"/>
          </w:tcPr>
          <w:p w:rsidR="00FD77BB" w:rsidRPr="000117D0" w:rsidRDefault="00FD77BB" w:rsidP="00CF0826">
            <w:pPr>
              <w:pStyle w:val="Textpoznpodarou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Počet pracovníků ve vybraných odvětvích </w:t>
            </w:r>
            <w:r w:rsidRPr="00886A8F">
              <w:rPr>
                <w:b/>
                <w:lang w:eastAsia="en-US"/>
              </w:rPr>
              <w:t xml:space="preserve">a </w:t>
            </w:r>
            <w:r>
              <w:rPr>
                <w:b/>
                <w:lang w:eastAsia="en-US"/>
              </w:rPr>
              <w:t xml:space="preserve">celkový počet </w:t>
            </w:r>
            <w:r w:rsidRPr="00886A8F">
              <w:rPr>
                <w:b/>
                <w:lang w:eastAsia="en-US"/>
              </w:rPr>
              <w:t xml:space="preserve">zaměstnanců </w:t>
            </w:r>
            <w:r>
              <w:rPr>
                <w:spacing w:val="-4"/>
                <w:lang w:eastAsia="en-US"/>
              </w:rPr>
              <w:t>(</w:t>
            </w:r>
            <w:r w:rsidRPr="00582DA0">
              <w:rPr>
                <w:spacing w:val="-4"/>
                <w:lang w:eastAsia="en-US"/>
              </w:rPr>
              <w:t>dle</w:t>
            </w:r>
            <w:r>
              <w:rPr>
                <w:spacing w:val="-4"/>
                <w:lang w:eastAsia="en-US"/>
              </w:rPr>
              <w:t xml:space="preserve"> národních účtů</w:t>
            </w:r>
            <w:r w:rsidRPr="00582DA0">
              <w:rPr>
                <w:spacing w:val="-4"/>
                <w:lang w:eastAsia="en-US"/>
              </w:rPr>
              <w:t xml:space="preserve">, </w:t>
            </w:r>
            <w:r>
              <w:rPr>
                <w:spacing w:val="-4"/>
                <w:lang w:eastAsia="en-US"/>
              </w:rPr>
              <w:t xml:space="preserve">sezónně očištěno, </w:t>
            </w:r>
            <w:r w:rsidRPr="00E62A33">
              <w:rPr>
                <w:spacing w:val="-2"/>
              </w:rPr>
              <w:t>meziročně</w:t>
            </w:r>
            <w:r w:rsidRPr="00E62A33">
              <w:rPr>
                <w:bCs/>
                <w:spacing w:val="-2"/>
              </w:rPr>
              <w:t xml:space="preserve"> v %)</w:t>
            </w:r>
          </w:p>
        </w:tc>
      </w:tr>
      <w:tr w:rsidR="00FD77BB" w:rsidRPr="00535F78" w:rsidTr="00CF0826">
        <w:trPr>
          <w:trHeight w:val="145"/>
        </w:trPr>
        <w:tc>
          <w:tcPr>
            <w:tcW w:w="1018" w:type="pct"/>
            <w:shd w:val="clear" w:color="auto" w:fill="auto"/>
          </w:tcPr>
          <w:p w:rsidR="00FD77BB" w:rsidRPr="006D3F53" w:rsidRDefault="00FD77BB" w:rsidP="00CF0826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FD77BB" w:rsidRPr="00A74192" w:rsidRDefault="00FD77BB" w:rsidP="00CF0826">
            <w:pPr>
              <w:pStyle w:val="Textpoznpodarou"/>
              <w:jc w:val="both"/>
            </w:pPr>
          </w:p>
        </w:tc>
        <w:tc>
          <w:tcPr>
            <w:tcW w:w="3823" w:type="pct"/>
            <w:gridSpan w:val="2"/>
          </w:tcPr>
          <w:p w:rsidR="00FD77BB" w:rsidRDefault="00FD77BB" w:rsidP="00CF0826">
            <w:pPr>
              <w:pStyle w:val="Textpoznpodarou"/>
              <w:ind w:left="-124"/>
              <w:jc w:val="both"/>
              <w:rPr>
                <w:sz w:val="16"/>
                <w:szCs w:val="16"/>
              </w:rPr>
            </w:pPr>
            <w:r w:rsidRPr="002128FB">
              <w:rPr>
                <w:noProof/>
                <w:sz w:val="16"/>
                <w:szCs w:val="16"/>
              </w:rPr>
              <w:drawing>
                <wp:inline distT="0" distB="0" distL="0" distR="0">
                  <wp:extent cx="4736872" cy="3522957"/>
                  <wp:effectExtent l="0" t="0" r="0" b="0"/>
                  <wp:docPr id="40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FD77BB" w:rsidRPr="00535F78" w:rsidRDefault="00FD77BB" w:rsidP="00CF0826">
            <w:pPr>
              <w:pStyle w:val="Textpoznpodarou"/>
              <w:ind w:left="-124"/>
              <w:jc w:val="right"/>
              <w:rPr>
                <w:sz w:val="14"/>
                <w:szCs w:val="14"/>
              </w:rPr>
            </w:pP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>ČSÚ (národní účty)</w:t>
            </w:r>
          </w:p>
        </w:tc>
      </w:tr>
    </w:tbl>
    <w:p w:rsidR="00FD77BB" w:rsidRPr="00FD77BB" w:rsidRDefault="00FD77BB" w:rsidP="00FD77BB">
      <w:pPr>
        <w:rPr>
          <w:sz w:val="14"/>
          <w:szCs w:val="14"/>
          <w:lang w:eastAsia="ar-SA"/>
        </w:rPr>
      </w:pPr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FD77BB" w:rsidRPr="00F06A1D" w:rsidTr="00CF0826">
        <w:trPr>
          <w:trHeight w:val="145"/>
        </w:trPr>
        <w:tc>
          <w:tcPr>
            <w:tcW w:w="1016" w:type="pct"/>
            <w:shd w:val="clear" w:color="auto" w:fill="auto"/>
          </w:tcPr>
          <w:p w:rsidR="00FD77BB" w:rsidRPr="00592E9D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592E9D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K v</w:t>
            </w:r>
            <w:r w:rsidR="007D3A2C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yšší zaměstnanosti loni přispěli</w:t>
            </w:r>
            <w:r w:rsidRPr="00592E9D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 xml:space="preserve"> jak zaměstna</w:t>
            </w:r>
            <w:r w:rsidR="007D3A2C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 xml:space="preserve">nci, tak </w:t>
            </w:r>
            <w:proofErr w:type="spellStart"/>
            <w:r w:rsidRPr="00592E9D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sebezaměstnaní</w:t>
            </w:r>
            <w:proofErr w:type="spellEnd"/>
            <w:r w:rsidRPr="00592E9D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.</w:t>
            </w: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FD77BB" w:rsidRPr="000C7A77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lastRenderedPageBreak/>
              <w:t xml:space="preserve">Těžiště růstu nových pracovních míst se přesunulo ze zpracovatelského průmyslu do služeb.  Stavebnictví ožilo, recese v těžbě a dobývání naopak pokračovala. </w:t>
            </w:r>
          </w:p>
        </w:tc>
        <w:tc>
          <w:tcPr>
            <w:tcW w:w="144" w:type="pct"/>
          </w:tcPr>
          <w:p w:rsidR="00FD77BB" w:rsidRPr="00A90EFD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FD77BB" w:rsidRPr="003E12B1" w:rsidRDefault="00FD77BB" w:rsidP="0037040B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K vyšší zaměstnanosti přispěl</w:t>
            </w:r>
            <w:r w:rsidR="007D3A2C">
              <w:rPr>
                <w:rFonts w:cs="Arial"/>
                <w:color w:val="0D0D0D" w:themeColor="text1" w:themeTint="F2"/>
                <w:spacing w:val="-4"/>
              </w:rPr>
              <w:t>i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v roce 2017 přede</w:t>
            </w:r>
            <w:r w:rsidR="0019161A">
              <w:rPr>
                <w:rFonts w:cs="Arial"/>
                <w:color w:val="0D0D0D" w:themeColor="text1" w:themeTint="F2"/>
                <w:spacing w:val="-4"/>
              </w:rPr>
              <w:t>vším zaměstnanci</w:t>
            </w:r>
            <w:r w:rsidR="0026595E">
              <w:rPr>
                <w:rFonts w:cs="Arial"/>
                <w:color w:val="0D0D0D" w:themeColor="text1" w:themeTint="F2"/>
                <w:spacing w:val="-4"/>
              </w:rPr>
              <w:t xml:space="preserve">. Šestinou se ale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podíleli i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sebezaměstnaní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>, jejichž růst prostupo</w:t>
            </w:r>
            <w:r w:rsidR="00CF0826">
              <w:rPr>
                <w:rFonts w:cs="Arial"/>
                <w:color w:val="0D0D0D" w:themeColor="text1" w:themeTint="F2"/>
                <w:spacing w:val="-4"/>
              </w:rPr>
              <w:t>val většinu významných odvětví.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proofErr w:type="spellStart"/>
            <w:r w:rsidR="00CF0826">
              <w:rPr>
                <w:rFonts w:cs="Arial"/>
                <w:color w:val="0D0D0D" w:themeColor="text1" w:themeTint="F2"/>
                <w:spacing w:val="-4"/>
              </w:rPr>
              <w:t>Sebezaměstnaných</w:t>
            </w:r>
            <w:proofErr w:type="spellEnd"/>
            <w:r w:rsidR="00CF0826">
              <w:rPr>
                <w:rFonts w:cs="Arial"/>
                <w:color w:val="0D0D0D" w:themeColor="text1" w:themeTint="F2"/>
                <w:spacing w:val="-4"/>
              </w:rPr>
              <w:t xml:space="preserve"> přibývalo již druhým rokem v řadě.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Z pohledu odvětví táhly v roce 2017 růst </w:t>
            </w:r>
            <w:r w:rsidR="00066B7B">
              <w:rPr>
                <w:rFonts w:cs="Arial"/>
                <w:color w:val="0D0D0D" w:themeColor="text1" w:themeTint="F2"/>
                <w:spacing w:val="-4"/>
              </w:rPr>
              <w:t xml:space="preserve">celkové </w:t>
            </w:r>
            <w:r>
              <w:rPr>
                <w:rFonts w:cs="Arial"/>
                <w:color w:val="0D0D0D" w:themeColor="text1" w:themeTint="F2"/>
                <w:spacing w:val="-4"/>
              </w:rPr>
              <w:t>zaměstnanosti především služby. Role zpraco</w:t>
            </w:r>
            <w:r w:rsidR="00066B7B">
              <w:rPr>
                <w:rFonts w:cs="Arial"/>
                <w:color w:val="0D0D0D" w:themeColor="text1" w:themeTint="F2"/>
                <w:spacing w:val="-4"/>
              </w:rPr>
              <w:t>vatelského průmyslu, který intenziv</w:t>
            </w:r>
            <w:r>
              <w:rPr>
                <w:rFonts w:cs="Arial"/>
                <w:color w:val="0D0D0D" w:themeColor="text1" w:themeTint="F2"/>
                <w:spacing w:val="-4"/>
              </w:rPr>
              <w:t>ně nabíral pracovníky v letech 2015 i 2016, postupně slábla. V</w:t>
            </w:r>
            <w:r w:rsidR="00CF0826">
              <w:rPr>
                <w:rFonts w:cs="Arial"/>
                <w:color w:val="0D0D0D" w:themeColor="text1" w:themeTint="F2"/>
                <w:spacing w:val="-4"/>
              </w:rPr>
              <w:t xml:space="preserve"> sektoru </w:t>
            </w:r>
            <w:r w:rsidR="00CF0826">
              <w:rPr>
                <w:rFonts w:cs="Arial"/>
                <w:color w:val="0D0D0D" w:themeColor="text1" w:themeTint="F2"/>
                <w:spacing w:val="-4"/>
              </w:rPr>
              <w:lastRenderedPageBreak/>
              <w:t>služeb pracovalo oproti roku 2016 o 71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tis. lidí více, </w:t>
            </w:r>
            <w:r w:rsidR="00066B7B">
              <w:rPr>
                <w:rFonts w:cs="Arial"/>
                <w:color w:val="0D0D0D" w:themeColor="text1" w:themeTint="F2"/>
                <w:spacing w:val="-4"/>
              </w:rPr>
              <w:t>ve zpracovatelském průmyslu o 8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tis. V rámci služeb vytvářela nová pracovní </w:t>
            </w:r>
            <w:r w:rsidR="005959ED">
              <w:rPr>
                <w:rFonts w:cs="Arial"/>
                <w:color w:val="0D0D0D" w:themeColor="text1" w:themeTint="F2"/>
                <w:spacing w:val="-4"/>
              </w:rPr>
              <w:t>místa relativně nejvíce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odvětví </w:t>
            </w:r>
            <w:r>
              <w:rPr>
                <w:rFonts w:cs="Arial"/>
                <w:color w:val="000000" w:themeColor="text1"/>
                <w:spacing w:val="-4"/>
              </w:rPr>
              <w:t>p</w:t>
            </w:r>
            <w:r w:rsidRPr="004C1899">
              <w:rPr>
                <w:rFonts w:cs="Arial"/>
                <w:color w:val="000000" w:themeColor="text1"/>
                <w:spacing w:val="-4"/>
              </w:rPr>
              <w:t>rofesní, vědecké, technické a</w:t>
            </w:r>
            <w:r w:rsidRPr="00174670">
              <w:rPr>
                <w:rFonts w:cs="Arial"/>
                <w:color w:val="0D0D0D" w:themeColor="text1" w:themeTint="F2"/>
                <w:spacing w:val="-2"/>
              </w:rPr>
              <w:t> </w:t>
            </w:r>
            <w:r w:rsidRPr="004C1899">
              <w:rPr>
                <w:rFonts w:cs="Arial"/>
                <w:color w:val="000000" w:themeColor="text1"/>
                <w:spacing w:val="-4"/>
              </w:rPr>
              <w:t>administrativní činnosti</w:t>
            </w:r>
            <w:r>
              <w:rPr>
                <w:rFonts w:cs="Arial"/>
                <w:color w:val="000000" w:themeColor="text1"/>
                <w:spacing w:val="-4"/>
              </w:rPr>
              <w:t xml:space="preserve"> a také informační </w:t>
            </w:r>
            <w:r w:rsidR="007D3A2C">
              <w:rPr>
                <w:rFonts w:cs="Arial"/>
                <w:color w:val="000000" w:themeColor="text1"/>
                <w:spacing w:val="-4"/>
              </w:rPr>
              <w:t>a</w:t>
            </w:r>
            <w:r>
              <w:rPr>
                <w:rFonts w:cs="Arial"/>
                <w:color w:val="000000" w:themeColor="text1"/>
                <w:spacing w:val="-4"/>
              </w:rPr>
              <w:t> komunikační činnosti</w:t>
            </w:r>
            <w:r w:rsidR="005959ED">
              <w:rPr>
                <w:rFonts w:cs="Arial"/>
                <w:color w:val="000000" w:themeColor="text1"/>
                <w:spacing w:val="-4"/>
              </w:rPr>
              <w:t xml:space="preserve"> (v obou případech o 3,8 %).</w:t>
            </w:r>
            <w:r w:rsidR="007D3A2C">
              <w:rPr>
                <w:rFonts w:cs="Arial"/>
                <w:color w:val="000000" w:themeColor="text1"/>
                <w:spacing w:val="-4"/>
              </w:rPr>
              <w:t xml:space="preserve"> Pokračovalo mírné</w:t>
            </w:r>
            <w:r>
              <w:rPr>
                <w:rFonts w:cs="Arial"/>
                <w:color w:val="000000" w:themeColor="text1"/>
                <w:spacing w:val="-4"/>
              </w:rPr>
              <w:t xml:space="preserve"> navyšování zaměstnanosti </w:t>
            </w:r>
            <w:r w:rsidRPr="006B28D9">
              <w:rPr>
                <w:rFonts w:cs="Arial"/>
                <w:color w:val="0D0D0D" w:themeColor="text1" w:themeTint="F2"/>
                <w:spacing w:val="-4"/>
              </w:rPr>
              <w:t>v odvětvích s dominancí stát</w:t>
            </w:r>
            <w:r w:rsidR="007D3A2C">
              <w:rPr>
                <w:rFonts w:cs="Arial"/>
                <w:color w:val="0D0D0D" w:themeColor="text1" w:themeTint="F2"/>
                <w:spacing w:val="-4"/>
              </w:rPr>
              <w:t>u</w:t>
            </w:r>
            <w:r w:rsidRPr="006B28D9">
              <w:rPr>
                <w:rStyle w:val="Znakapoznpodarou"/>
                <w:color w:val="0D0D0D" w:themeColor="text1" w:themeTint="F2"/>
                <w:spacing w:val="-4"/>
              </w:rPr>
              <w:footnoteReference w:id="3"/>
            </w:r>
            <w:r w:rsidR="005959ED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5959ED" w:rsidRPr="005959ED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="0037040B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5959ED">
              <w:rPr>
                <w:rFonts w:cs="Arial"/>
                <w:color w:val="0D0D0D" w:themeColor="text1" w:themeTint="F2"/>
                <w:spacing w:val="-4"/>
              </w:rPr>
              <w:t>hlavně v obraně a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ve vz</w:t>
            </w:r>
            <w:r w:rsidR="005959ED">
              <w:rPr>
                <w:rFonts w:cs="Arial"/>
                <w:color w:val="0D0D0D" w:themeColor="text1" w:themeTint="F2"/>
                <w:spacing w:val="-4"/>
              </w:rPr>
              <w:t xml:space="preserve">dělávání. Zastavila se šest let trvající redukce </w:t>
            </w:r>
            <w:r>
              <w:rPr>
                <w:rFonts w:cs="Arial"/>
                <w:color w:val="0D0D0D" w:themeColor="text1" w:themeTint="F2"/>
                <w:spacing w:val="-4"/>
              </w:rPr>
              <w:t>zaměstnanost</w:t>
            </w:r>
            <w:r w:rsidR="005959ED">
              <w:rPr>
                <w:rFonts w:cs="Arial"/>
                <w:color w:val="0D0D0D" w:themeColor="text1" w:themeTint="F2"/>
                <w:spacing w:val="-4"/>
              </w:rPr>
              <w:t>i ve stavebnictví, a to výhradně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vlivem vyššího počtu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sebezaměstnaných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 (těžících z vyšší poptávky po menších stavebních pracích, jejichž vývoj nebyl negativně ovlivněn nepravidelnostmi čerpání evropských fondů). </w:t>
            </w:r>
            <w:r w:rsidR="0037040B">
              <w:rPr>
                <w:rFonts w:cs="Arial"/>
                <w:color w:val="0D0D0D" w:themeColor="text1" w:themeTint="F2"/>
                <w:spacing w:val="-4"/>
              </w:rPr>
              <w:t>Počet odpracovaných hodin v ce</w:t>
            </w:r>
            <w:r w:rsidR="007D3A2C">
              <w:rPr>
                <w:rFonts w:cs="Arial"/>
                <w:color w:val="0D0D0D" w:themeColor="text1" w:themeTint="F2"/>
                <w:spacing w:val="-4"/>
              </w:rPr>
              <w:t xml:space="preserve">lé ekonomice loni vzrostl o 1,9 </w:t>
            </w:r>
            <w:r w:rsidR="0037040B">
              <w:rPr>
                <w:rFonts w:cs="Arial"/>
                <w:color w:val="0D0D0D" w:themeColor="text1" w:themeTint="F2"/>
                <w:spacing w:val="-4"/>
              </w:rPr>
              <w:t>% a</w:t>
            </w:r>
            <w:r w:rsidR="007D3A2C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="0037040B">
              <w:rPr>
                <w:rFonts w:cs="Arial"/>
                <w:color w:val="0D0D0D" w:themeColor="text1" w:themeTint="F2"/>
                <w:spacing w:val="-4"/>
              </w:rPr>
              <w:t xml:space="preserve">již druhým rokem v řadě vykazoval vyšší tempa než celková zaměstnanost. </w:t>
            </w:r>
            <w:r w:rsidR="00BD6526">
              <w:rPr>
                <w:rFonts w:cs="Arial"/>
                <w:color w:val="0D0D0D" w:themeColor="text1" w:themeTint="F2"/>
                <w:spacing w:val="-4"/>
              </w:rPr>
              <w:t>Jedním z </w:t>
            </w:r>
            <w:r w:rsidR="0026595E">
              <w:rPr>
                <w:rFonts w:cs="Arial"/>
                <w:color w:val="0D0D0D" w:themeColor="text1" w:themeTint="F2"/>
                <w:spacing w:val="-4"/>
              </w:rPr>
              <w:t>důvodů je také</w:t>
            </w:r>
            <w:r w:rsidR="00BD6526">
              <w:rPr>
                <w:rFonts w:cs="Arial"/>
                <w:color w:val="0D0D0D" w:themeColor="text1" w:themeTint="F2"/>
                <w:spacing w:val="-4"/>
              </w:rPr>
              <w:t xml:space="preserve"> rostoucí počet i podíl osob pracujících</w:t>
            </w:r>
            <w:r w:rsidR="0026595E">
              <w:rPr>
                <w:rFonts w:cs="Arial"/>
                <w:color w:val="0D0D0D" w:themeColor="text1" w:themeTint="F2"/>
                <w:spacing w:val="-4"/>
              </w:rPr>
              <w:t xml:space="preserve"> ve druhém zaměstnání</w:t>
            </w:r>
            <w:r w:rsidR="00BD6526">
              <w:rPr>
                <w:rFonts w:cs="Arial"/>
                <w:color w:val="0D0D0D" w:themeColor="text1" w:themeTint="F2"/>
                <w:spacing w:val="-4"/>
              </w:rPr>
              <w:t>, jak ukazují data z VŠPS</w:t>
            </w:r>
            <w:r w:rsidR="00BD6526">
              <w:rPr>
                <w:rStyle w:val="Znakapoznpodarou"/>
                <w:color w:val="0D0D0D" w:themeColor="text1" w:themeTint="F2"/>
                <w:spacing w:val="-4"/>
              </w:rPr>
              <w:footnoteReference w:id="4"/>
            </w:r>
            <w:r w:rsidR="00BD6526">
              <w:rPr>
                <w:rFonts w:cs="Arial"/>
                <w:color w:val="0D0D0D" w:themeColor="text1" w:themeTint="F2"/>
                <w:spacing w:val="-4"/>
              </w:rPr>
              <w:t>.</w:t>
            </w:r>
          </w:p>
        </w:tc>
      </w:tr>
    </w:tbl>
    <w:p w:rsidR="00FD77BB" w:rsidRPr="00FD77BB" w:rsidRDefault="00FD77BB" w:rsidP="00FD77BB">
      <w:pPr>
        <w:rPr>
          <w:sz w:val="14"/>
          <w:szCs w:val="14"/>
          <w:lang w:eastAsia="ar-SA"/>
        </w:rPr>
      </w:pPr>
    </w:p>
    <w:tbl>
      <w:tblPr>
        <w:tblW w:w="4977" w:type="pct"/>
        <w:tblInd w:w="80" w:type="dxa"/>
        <w:tblLayout w:type="fixed"/>
        <w:tblLook w:val="00A0"/>
      </w:tblPr>
      <w:tblGrid>
        <w:gridCol w:w="2004"/>
        <w:gridCol w:w="284"/>
        <w:gridCol w:w="1122"/>
        <w:gridCol w:w="6399"/>
      </w:tblGrid>
      <w:tr w:rsidR="00FD77BB" w:rsidRPr="000117D0" w:rsidTr="00CF0826">
        <w:trPr>
          <w:trHeight w:val="145"/>
        </w:trPr>
        <w:tc>
          <w:tcPr>
            <w:tcW w:w="1018" w:type="pct"/>
            <w:shd w:val="clear" w:color="auto" w:fill="auto"/>
          </w:tcPr>
          <w:p w:rsidR="00FD77BB" w:rsidRPr="00AA4A76" w:rsidRDefault="00FD77BB" w:rsidP="00CF0826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FD77BB" w:rsidRPr="00AA4A76" w:rsidRDefault="00FD77BB" w:rsidP="00CF0826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0" w:type="pct"/>
          </w:tcPr>
          <w:p w:rsidR="00FD77BB" w:rsidRPr="00AA4A76" w:rsidRDefault="00FD77BB" w:rsidP="00CF0826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>Graf č. 16</w:t>
            </w:r>
          </w:p>
        </w:tc>
        <w:tc>
          <w:tcPr>
            <w:tcW w:w="3253" w:type="pct"/>
          </w:tcPr>
          <w:p w:rsidR="00FD77BB" w:rsidRPr="000117D0" w:rsidRDefault="00FD77BB" w:rsidP="00CF0826">
            <w:pPr>
              <w:pStyle w:val="Textpoznpodarou"/>
              <w:rPr>
                <w:b/>
                <w:lang w:eastAsia="en-US"/>
              </w:rPr>
            </w:pPr>
            <w:r w:rsidRPr="0006150D">
              <w:rPr>
                <w:rFonts w:cs="Arial"/>
                <w:b/>
                <w:bCs/>
                <w:spacing w:val="-2"/>
              </w:rPr>
              <w:t xml:space="preserve">Obecná míra nezaměstnanosti mužů a žen </w:t>
            </w:r>
            <w:r w:rsidRPr="0006150D">
              <w:rPr>
                <w:rFonts w:cs="Arial"/>
                <w:bCs/>
                <w:spacing w:val="-2"/>
              </w:rPr>
              <w:t>(v %, sezónně očištěno)</w:t>
            </w:r>
            <w:r w:rsidRPr="0006150D">
              <w:rPr>
                <w:rFonts w:cs="Arial"/>
                <w:b/>
                <w:bCs/>
                <w:spacing w:val="-2"/>
              </w:rPr>
              <w:t xml:space="preserve"> a vybrané skup</w:t>
            </w:r>
            <w:r>
              <w:rPr>
                <w:rFonts w:cs="Arial"/>
                <w:b/>
                <w:bCs/>
                <w:spacing w:val="-2"/>
              </w:rPr>
              <w:t>i</w:t>
            </w:r>
            <w:r w:rsidRPr="0006150D">
              <w:rPr>
                <w:rFonts w:cs="Arial"/>
                <w:b/>
                <w:bCs/>
                <w:spacing w:val="-2"/>
              </w:rPr>
              <w:t xml:space="preserve">ny nezaměstnaných </w:t>
            </w:r>
            <w:r w:rsidRPr="0006150D">
              <w:rPr>
                <w:rFonts w:cs="Arial"/>
                <w:bCs/>
                <w:spacing w:val="-2"/>
              </w:rPr>
              <w:t>(y/y, v %)</w:t>
            </w:r>
          </w:p>
        </w:tc>
      </w:tr>
      <w:tr w:rsidR="00FD77BB" w:rsidRPr="00535F78" w:rsidTr="00CF0826">
        <w:trPr>
          <w:trHeight w:val="145"/>
        </w:trPr>
        <w:tc>
          <w:tcPr>
            <w:tcW w:w="1018" w:type="pct"/>
            <w:shd w:val="clear" w:color="auto" w:fill="auto"/>
          </w:tcPr>
          <w:p w:rsidR="00FD77BB" w:rsidRPr="006D3F53" w:rsidRDefault="00FD77BB" w:rsidP="00CF0826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FD77BB" w:rsidRPr="00A74192" w:rsidRDefault="00FD77BB" w:rsidP="00CF0826">
            <w:pPr>
              <w:pStyle w:val="Textpoznpodarou"/>
              <w:jc w:val="both"/>
            </w:pPr>
          </w:p>
        </w:tc>
        <w:tc>
          <w:tcPr>
            <w:tcW w:w="3823" w:type="pct"/>
            <w:gridSpan w:val="2"/>
          </w:tcPr>
          <w:p w:rsidR="00FD77BB" w:rsidRDefault="00FD77BB" w:rsidP="00CF0826">
            <w:pPr>
              <w:pStyle w:val="Textpoznpodarou"/>
              <w:ind w:left="-124"/>
              <w:jc w:val="both"/>
              <w:rPr>
                <w:sz w:val="16"/>
                <w:szCs w:val="16"/>
              </w:rPr>
            </w:pPr>
            <w:r w:rsidRPr="00CD2DE4">
              <w:rPr>
                <w:noProof/>
                <w:sz w:val="16"/>
                <w:szCs w:val="16"/>
              </w:rPr>
              <w:drawing>
                <wp:inline distT="0" distB="0" distL="0" distR="0">
                  <wp:extent cx="4748515" cy="3483177"/>
                  <wp:effectExtent l="19050" t="0" r="0" b="0"/>
                  <wp:docPr id="4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FD77BB" w:rsidRPr="00535F78" w:rsidRDefault="00FD77BB" w:rsidP="00CF0826">
            <w:pPr>
              <w:pStyle w:val="Textpoznpodarou"/>
              <w:ind w:left="-124"/>
              <w:jc w:val="right"/>
              <w:rPr>
                <w:sz w:val="14"/>
                <w:szCs w:val="14"/>
              </w:rPr>
            </w:pP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>ČSÚ (VŠPS-výběrové šetření pracovních sil)</w:t>
            </w:r>
          </w:p>
        </w:tc>
      </w:tr>
    </w:tbl>
    <w:p w:rsidR="00FD77BB" w:rsidRPr="00FD77BB" w:rsidRDefault="00FD77BB" w:rsidP="00FD77BB">
      <w:pPr>
        <w:rPr>
          <w:sz w:val="14"/>
          <w:szCs w:val="14"/>
          <w:lang w:eastAsia="ar-SA"/>
        </w:rPr>
      </w:pPr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FD77BB" w:rsidRPr="00F06A1D" w:rsidTr="00CF0826">
        <w:trPr>
          <w:trHeight w:val="145"/>
        </w:trPr>
        <w:tc>
          <w:tcPr>
            <w:tcW w:w="1016" w:type="pct"/>
            <w:shd w:val="clear" w:color="auto" w:fill="auto"/>
          </w:tcPr>
          <w:p w:rsidR="00FD77BB" w:rsidRPr="00B5271F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z w:val="16"/>
                <w:szCs w:val="16"/>
              </w:rPr>
            </w:pPr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>Tempo redukce míry nezaměstnanosti během roku 2017 nepolevovalo zásluhou příznivého vývoje u dlouhodobě nezaměstnaných, resp.</w:t>
            </w:r>
            <w:r w:rsidR="00181410">
              <w:rPr>
                <w:rFonts w:cs="Arial"/>
                <w:color w:val="0D0D0D" w:themeColor="text1" w:themeTint="F2"/>
                <w:sz w:val="16"/>
                <w:szCs w:val="16"/>
              </w:rPr>
              <w:t> u </w:t>
            </w:r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>osob s nejnižším stupněm vzdělání.</w:t>
            </w:r>
          </w:p>
        </w:tc>
        <w:tc>
          <w:tcPr>
            <w:tcW w:w="144" w:type="pct"/>
          </w:tcPr>
          <w:p w:rsidR="00FD77BB" w:rsidRPr="00A90EFD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FD77BB" w:rsidRPr="004621FE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3"/>
              </w:rPr>
            </w:pPr>
            <w:r w:rsidRPr="004621FE">
              <w:rPr>
                <w:rFonts w:cs="Arial"/>
                <w:color w:val="0D0D0D" w:themeColor="text1" w:themeTint="F2"/>
                <w:spacing w:val="-4"/>
              </w:rPr>
              <w:t>Obecná míra nezaměstnanosti nepřetržitě klesala na historická minima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v kontextu vývoje samostatné ČR i jejího postavení v rámci EU</w:t>
            </w:r>
            <w:r w:rsidRPr="00B5271F">
              <w:rPr>
                <w:rFonts w:cs="Arial"/>
                <w:color w:val="0D0D0D" w:themeColor="text1" w:themeTint="F2"/>
                <w:spacing w:val="-4"/>
              </w:rPr>
              <w:t>. V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prosinci</w:t>
            </w:r>
            <w:r w:rsidRPr="001639F9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2017 bylo (</w:t>
            </w:r>
            <w:r w:rsidRPr="001639F9">
              <w:rPr>
                <w:rFonts w:cs="Arial"/>
                <w:color w:val="0D0D0D" w:themeColor="text1" w:themeTint="F2"/>
                <w:spacing w:val="-4"/>
              </w:rPr>
              <w:t>dle sezónně očištěných údajů</w:t>
            </w:r>
            <w:r>
              <w:rPr>
                <w:rFonts w:cs="Arial"/>
                <w:color w:val="0D0D0D" w:themeColor="text1" w:themeTint="F2"/>
                <w:spacing w:val="-4"/>
              </w:rPr>
              <w:t>) ve věku 15–64 let nezaměstnaných 2,4 % osob, meziročně o 1,3</w:t>
            </w:r>
            <w:r w:rsidR="0051668A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p.</w:t>
            </w:r>
            <w:r w:rsidR="0051668A">
              <w:rPr>
                <w:rFonts w:cs="Arial"/>
                <w:color w:val="0D0D0D" w:themeColor="text1" w:themeTint="F2"/>
                <w:spacing w:val="-4"/>
              </w:rPr>
              <w:t> 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proofErr w:type="gramStart"/>
            <w:r>
              <w:rPr>
                <w:rFonts w:cs="Arial"/>
                <w:color w:val="0D0D0D" w:themeColor="text1" w:themeTint="F2"/>
                <w:spacing w:val="-4"/>
              </w:rPr>
              <w:t>méně</w:t>
            </w:r>
            <w:proofErr w:type="gramEnd"/>
            <w:r>
              <w:rPr>
                <w:rFonts w:cs="Arial"/>
                <w:color w:val="0D0D0D" w:themeColor="text1" w:themeTint="F2"/>
                <w:spacing w:val="-4"/>
              </w:rPr>
              <w:t>. Tempo redukce nezaměstnanosti oproti rokům 2015 i 2016 nepolevovalo, o což se zasloužil příznivý vývoj především v první polovině roku 2017. Na sklonku roku bylo bez práce 2,0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% mužů a 2,9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% žen (meziroční redukce nezaměstnanosti byla u obou pohlaví srovnatelná). Na nižším počtu nezaměstnaných (o 63 tis.) se z více než poloviny podílely osoby, které byly bez práce déle než rok. Četnost dlouhodobě nezaměstnaných se ve 4. čtvrtletí snížila na rekordních 40 tis. Souviselo to 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s </w:t>
            </w:r>
            <w:r>
              <w:rPr>
                <w:rFonts w:cs="Arial"/>
                <w:color w:val="0D0D0D" w:themeColor="text1" w:themeTint="F2"/>
                <w:spacing w:val="-4"/>
              </w:rPr>
              <w:t>výrazným zlepšením postavení osob s nejnižším stupněm vzdělání na trhu práce. Nezaměstnanost osob s maximálně základním vzděláním klesla z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18,5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% na 10,1 % (nejsilnější meziroční pokles v historii ČR).</w:t>
            </w:r>
          </w:p>
          <w:p w:rsidR="00FD77BB" w:rsidRPr="003E12B1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3"/>
                <w:sz w:val="14"/>
                <w:szCs w:val="14"/>
              </w:rPr>
            </w:pPr>
          </w:p>
        </w:tc>
      </w:tr>
      <w:tr w:rsidR="00FD77BB" w:rsidRPr="0094422D" w:rsidTr="00CF0826">
        <w:trPr>
          <w:trHeight w:val="145"/>
        </w:trPr>
        <w:tc>
          <w:tcPr>
            <w:tcW w:w="1016" w:type="pct"/>
            <w:shd w:val="clear" w:color="auto" w:fill="auto"/>
          </w:tcPr>
          <w:p w:rsidR="00FD77BB" w:rsidRPr="00B5271F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z w:val="16"/>
                <w:szCs w:val="16"/>
              </w:rPr>
            </w:pPr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 xml:space="preserve">Nabídka pracovních míst </w:t>
            </w:r>
            <w:proofErr w:type="gramStart"/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>na</w:t>
            </w:r>
            <w:proofErr w:type="gramEnd"/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 xml:space="preserve"> ÚP se meziročně t</w:t>
            </w:r>
            <w:r>
              <w:rPr>
                <w:rFonts w:cs="Arial"/>
                <w:color w:val="0D0D0D" w:themeColor="text1" w:themeTint="F2"/>
                <w:sz w:val="16"/>
                <w:szCs w:val="16"/>
              </w:rPr>
              <w:t xml:space="preserve">éměř </w:t>
            </w:r>
            <w:proofErr w:type="gramStart"/>
            <w:r>
              <w:rPr>
                <w:rFonts w:cs="Arial"/>
                <w:color w:val="0D0D0D" w:themeColor="text1" w:themeTint="F2"/>
                <w:sz w:val="16"/>
                <w:szCs w:val="16"/>
              </w:rPr>
              <w:t>zdvojnásobila</w:t>
            </w:r>
            <w:proofErr w:type="gramEnd"/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 xml:space="preserve">. Více než tři čtvrtiny přírůstku ale tvořila místa s minimálními deklarovanými nároky </w:t>
            </w:r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lastRenderedPageBreak/>
              <w:t>na</w:t>
            </w:r>
            <w:r w:rsidR="00181410">
              <w:rPr>
                <w:rFonts w:cs="Arial"/>
                <w:color w:val="0D0D0D" w:themeColor="text1" w:themeTint="F2"/>
                <w:sz w:val="16"/>
                <w:szCs w:val="16"/>
              </w:rPr>
              <w:t> </w:t>
            </w:r>
            <w:r w:rsidRPr="00B5271F">
              <w:rPr>
                <w:rFonts w:cs="Arial"/>
                <w:color w:val="0D0D0D" w:themeColor="text1" w:themeTint="F2"/>
                <w:sz w:val="16"/>
                <w:szCs w:val="16"/>
              </w:rPr>
              <w:t>kvalifikaci.</w:t>
            </w:r>
          </w:p>
        </w:tc>
        <w:tc>
          <w:tcPr>
            <w:tcW w:w="144" w:type="pct"/>
          </w:tcPr>
          <w:p w:rsidR="00FD77BB" w:rsidRPr="00A90EFD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FD77BB" w:rsidRPr="009113CC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 xml:space="preserve">V roce 2017 akcelerovala nabídka </w:t>
            </w:r>
            <w:r w:rsidRPr="003170C6">
              <w:rPr>
                <w:rFonts w:cs="Arial"/>
                <w:color w:val="0D0D0D" w:themeColor="text1" w:themeTint="F2"/>
                <w:spacing w:val="-4"/>
              </w:rPr>
              <w:t>volných pracovních míst na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úřadech práce (ÚP). Na konci září jejich počet poprvé v historii překonal 200tis. hranici, na sklonku roku jich bylo již 217 tis. (meziročně o 84 tis. více). Rok 2017 byl prvním v historii ČR, kdy počet volných míst meziměsíčně rostl (navzdory sezónním vlivům) nepřetržitě po celý rok. O meziroční přírůstek se z více než tří čtvrtin zasloužila místa s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 požadavkem minimální kvalifikace,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na ně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ž postačovalo základní vzdělání</w:t>
            </w:r>
            <w:r>
              <w:rPr>
                <w:rFonts w:cs="Arial"/>
                <w:color w:val="0D0D0D" w:themeColor="text1" w:themeTint="F2"/>
                <w:spacing w:val="-4"/>
              </w:rPr>
              <w:t>. Tato skutečnost společně s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citelnou </w:t>
            </w:r>
            <w:r>
              <w:rPr>
                <w:rFonts w:cs="Arial"/>
                <w:color w:val="0D0D0D" w:themeColor="text1" w:themeTint="F2"/>
                <w:spacing w:val="-4"/>
              </w:rPr>
              <w:lastRenderedPageBreak/>
              <w:t>redukcí stavů dlouhodobě nezaměstnaných naznačuje, že zaměstnavatelé mohou mít s obsazením takto vzniklých míst pracovníky z tuzemska značné problémy. V odvětvovém pohledu k rozšíření nabídky zásadně přispěl zpracovatelský průmysl. Na je</w:t>
            </w:r>
            <w:r w:rsidR="00181410">
              <w:rPr>
                <w:rFonts w:cs="Arial"/>
                <w:color w:val="0D0D0D" w:themeColor="text1" w:themeTint="F2"/>
                <w:spacing w:val="-4"/>
              </w:rPr>
              <w:t>dno volné místo celkem připadal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na konci roku jen 1,3 uchazeče, nejméně od poloviny 90. let. Šance na uplatnění se meziročně zlepšila ve všech krajích, z pohledu kvalifikací pak hlavně pro řemeslníky, opraváře</w:t>
            </w:r>
            <w:r w:rsidRPr="001639F9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či montéry i obsluhu strojů</w:t>
            </w:r>
            <w:r w:rsidRPr="001639F9">
              <w:rPr>
                <w:rFonts w:cs="Arial"/>
                <w:color w:val="0D0D0D" w:themeColor="text1" w:themeTint="F2"/>
                <w:spacing w:val="-4"/>
              </w:rPr>
              <w:t xml:space="preserve"> a zařízení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</w:p>
        </w:tc>
      </w:tr>
    </w:tbl>
    <w:p w:rsidR="00FD77BB" w:rsidRPr="00FF5A0D" w:rsidRDefault="00FD77BB" w:rsidP="00FD77BB">
      <w:pPr>
        <w:pStyle w:val="Textpoznpodarou"/>
        <w:jc w:val="both"/>
        <w:rPr>
          <w:rFonts w:cs="Arial"/>
          <w:color w:val="000000"/>
          <w:spacing w:val="-2"/>
          <w:sz w:val="14"/>
          <w:szCs w:val="14"/>
        </w:rPr>
      </w:pPr>
    </w:p>
    <w:tbl>
      <w:tblPr>
        <w:tblW w:w="4963" w:type="pct"/>
        <w:tblInd w:w="108" w:type="dxa"/>
        <w:tblLayout w:type="fixed"/>
        <w:tblLook w:val="00A0"/>
      </w:tblPr>
      <w:tblGrid>
        <w:gridCol w:w="1997"/>
        <w:gridCol w:w="284"/>
        <w:gridCol w:w="1119"/>
        <w:gridCol w:w="6381"/>
      </w:tblGrid>
      <w:tr w:rsidR="00FD77BB" w:rsidRPr="00AA4A76" w:rsidTr="00CF0826">
        <w:trPr>
          <w:trHeight w:val="145"/>
        </w:trPr>
        <w:tc>
          <w:tcPr>
            <w:tcW w:w="1021" w:type="pct"/>
            <w:shd w:val="clear" w:color="auto" w:fill="auto"/>
          </w:tcPr>
          <w:p w:rsidR="00FD77BB" w:rsidRPr="00AA4A76" w:rsidRDefault="00FD77BB" w:rsidP="00CF0826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FD77BB" w:rsidRPr="00AA4A76" w:rsidRDefault="00FD77BB" w:rsidP="00CF0826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2" w:type="pct"/>
          </w:tcPr>
          <w:p w:rsidR="00FD77BB" w:rsidRPr="00AA4A76" w:rsidRDefault="00FD77BB" w:rsidP="00CF0826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>Graf č. 17</w:t>
            </w:r>
          </w:p>
        </w:tc>
        <w:tc>
          <w:tcPr>
            <w:tcW w:w="3262" w:type="pct"/>
          </w:tcPr>
          <w:p w:rsidR="00FD77BB" w:rsidRPr="0006150D" w:rsidRDefault="00FD77BB" w:rsidP="00CF0826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/>
                <w:bCs/>
                <w:spacing w:val="-2"/>
              </w:rPr>
              <w:t xml:space="preserve">Průměrná hrubá měsíční mzda a mzdový medián </w:t>
            </w:r>
            <w:r w:rsidRPr="0006150D">
              <w:rPr>
                <w:rFonts w:cs="Arial"/>
                <w:bCs/>
                <w:spacing w:val="-2"/>
              </w:rPr>
              <w:t>(</w:t>
            </w:r>
            <w:r>
              <w:rPr>
                <w:rFonts w:cs="Arial"/>
                <w:bCs/>
                <w:spacing w:val="-2"/>
              </w:rPr>
              <w:t xml:space="preserve">na zaměstnance </w:t>
            </w:r>
            <w:proofErr w:type="spellStart"/>
            <w:r>
              <w:rPr>
                <w:rFonts w:cs="Arial"/>
                <w:bCs/>
                <w:spacing w:val="-2"/>
              </w:rPr>
              <w:t>přepočt</w:t>
            </w:r>
            <w:proofErr w:type="spellEnd"/>
            <w:r>
              <w:rPr>
                <w:rFonts w:cs="Arial"/>
                <w:bCs/>
                <w:spacing w:val="-2"/>
              </w:rPr>
              <w:t>. na plně zaměstnané, meziročně</w:t>
            </w:r>
            <w:r w:rsidRPr="0006150D">
              <w:rPr>
                <w:rFonts w:cs="Arial"/>
                <w:bCs/>
                <w:spacing w:val="-2"/>
              </w:rPr>
              <w:t>, v %)</w:t>
            </w:r>
            <w:r>
              <w:rPr>
                <w:rFonts w:cs="Arial"/>
                <w:bCs/>
                <w:spacing w:val="-2"/>
              </w:rPr>
              <w:t xml:space="preserve"> </w:t>
            </w:r>
            <w:r w:rsidRPr="00560905">
              <w:rPr>
                <w:rFonts w:cs="Arial"/>
                <w:b/>
                <w:bCs/>
                <w:spacing w:val="-2"/>
              </w:rPr>
              <w:t>a produktivita práce</w:t>
            </w:r>
            <w:r>
              <w:rPr>
                <w:rFonts w:cs="Arial"/>
                <w:b/>
                <w:bCs/>
                <w:spacing w:val="-2"/>
              </w:rPr>
              <w:t>*</w:t>
            </w:r>
          </w:p>
        </w:tc>
      </w:tr>
      <w:tr w:rsidR="00FD77BB" w:rsidRPr="00AA4A76" w:rsidTr="00CF0826">
        <w:trPr>
          <w:trHeight w:val="145"/>
        </w:trPr>
        <w:tc>
          <w:tcPr>
            <w:tcW w:w="1021" w:type="pct"/>
            <w:shd w:val="clear" w:color="auto" w:fill="auto"/>
          </w:tcPr>
          <w:p w:rsidR="00FD77BB" w:rsidRPr="006D3F53" w:rsidRDefault="00FD77BB" w:rsidP="00CF0826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FD77BB" w:rsidRPr="00A74192" w:rsidRDefault="00FD77BB" w:rsidP="00CF0826">
            <w:pPr>
              <w:pStyle w:val="Textpoznpodarou"/>
              <w:jc w:val="both"/>
            </w:pPr>
          </w:p>
        </w:tc>
        <w:tc>
          <w:tcPr>
            <w:tcW w:w="3833" w:type="pct"/>
            <w:gridSpan w:val="2"/>
          </w:tcPr>
          <w:p w:rsidR="00FD77BB" w:rsidRPr="007E5880" w:rsidRDefault="00FD77BB" w:rsidP="00CF0826">
            <w:pPr>
              <w:pStyle w:val="Textpoznpodarou"/>
              <w:rPr>
                <w:sz w:val="14"/>
                <w:szCs w:val="14"/>
              </w:rPr>
            </w:pPr>
            <w:r w:rsidRPr="002C4BCF">
              <w:rPr>
                <w:noProof/>
                <w:sz w:val="14"/>
                <w:szCs w:val="14"/>
              </w:rPr>
              <w:drawing>
                <wp:inline distT="0" distB="0" distL="0" distR="0">
                  <wp:extent cx="4737600" cy="3528000"/>
                  <wp:effectExtent l="19050" t="0" r="0" b="0"/>
                  <wp:docPr id="4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FD77BB" w:rsidRPr="007E5880" w:rsidRDefault="00FD77BB" w:rsidP="00CF0826">
            <w:pPr>
              <w:pStyle w:val="Textpoznpodarou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*Podíl sez</w:t>
            </w:r>
            <w:r w:rsidR="00910098">
              <w:rPr>
                <w:rFonts w:cs="Arial"/>
                <w:sz w:val="14"/>
                <w:szCs w:val="14"/>
              </w:rPr>
              <w:t>ó</w:t>
            </w:r>
            <w:r>
              <w:rPr>
                <w:rFonts w:cs="Arial"/>
                <w:sz w:val="14"/>
                <w:szCs w:val="14"/>
              </w:rPr>
              <w:t xml:space="preserve">nně neočištěného HDP a zaměstnanosti (v pojetí národních účtů).                                              </w:t>
            </w: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 xml:space="preserve">ČSÚ </w:t>
            </w:r>
          </w:p>
        </w:tc>
      </w:tr>
    </w:tbl>
    <w:p w:rsidR="00FD77BB" w:rsidRPr="003D54AC" w:rsidRDefault="00FD77BB" w:rsidP="00FD77BB">
      <w:pPr>
        <w:pStyle w:val="Textpoznpodarou"/>
        <w:jc w:val="both"/>
        <w:rPr>
          <w:rFonts w:cs="Arial"/>
          <w:color w:val="000000"/>
          <w:spacing w:val="-2"/>
          <w:sz w:val="13"/>
          <w:szCs w:val="13"/>
        </w:rPr>
      </w:pPr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FD77BB" w:rsidRPr="009113CC" w:rsidTr="00CF0826">
        <w:trPr>
          <w:trHeight w:val="145"/>
        </w:trPr>
        <w:tc>
          <w:tcPr>
            <w:tcW w:w="1016" w:type="pct"/>
            <w:shd w:val="clear" w:color="auto" w:fill="auto"/>
          </w:tcPr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Mzdový růst v průběhu roku akceleroval. V pozadí stál sílící nedostatek volných pracovníků na trhu i vyšší aktivita státu.</w:t>
            </w: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 xml:space="preserve">Nominální růst mezd byl v roce 2017 nejvyšší za posledních devět let. Relativně nejvíce rostly nadále výdělky v odvětvích s nízkou mzdovou úrovní.  </w:t>
            </w: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FD77BB" w:rsidRPr="001C4DD3" w:rsidRDefault="00FD77BB" w:rsidP="00CF0826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 xml:space="preserve">Relativní mzdové diference mezi odvětvími i regiony se snížily a dokládaly přetrvávající silnou poptávku po méně kvalifikovaných pracovnících. </w:t>
            </w:r>
          </w:p>
        </w:tc>
        <w:tc>
          <w:tcPr>
            <w:tcW w:w="144" w:type="pct"/>
          </w:tcPr>
          <w:p w:rsidR="00FD77BB" w:rsidRPr="00A90EFD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FD77BB" w:rsidRPr="004F39B9" w:rsidRDefault="00FD77BB" w:rsidP="00CF0826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Dobré hospodářské výsledky firem, pokračující pozitivní očekávání, ale i p</w:t>
            </w:r>
            <w:r w:rsidR="0092465F">
              <w:rPr>
                <w:rFonts w:cs="Arial"/>
                <w:color w:val="0D0D0D" w:themeColor="text1" w:themeTint="F2"/>
                <w:spacing w:val="-4"/>
              </w:rPr>
              <w:t>rohlubující se nesoulad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 xml:space="preserve"> mezi nabídkou </w:t>
            </w:r>
            <w:r w:rsidR="00F0356B">
              <w:rPr>
                <w:rFonts w:cs="Arial"/>
                <w:color w:val="0D0D0D" w:themeColor="text1" w:themeTint="F2"/>
                <w:spacing w:val="-4"/>
              </w:rPr>
              <w:t xml:space="preserve">pracovní síly 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>a</w:t>
            </w:r>
            <w:r w:rsidR="00F0356B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 xml:space="preserve">poptávkou po </w:t>
            </w:r>
            <w:r w:rsidR="00F0356B">
              <w:rPr>
                <w:rFonts w:cs="Arial"/>
                <w:color w:val="0D0D0D" w:themeColor="text1" w:themeTint="F2"/>
                <w:spacing w:val="-4"/>
              </w:rPr>
              <w:t>ní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 xml:space="preserve"> vedly během roku 2017 k dynamizaci mzdového růstu. Význam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nou roli sehrál i stát – 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>po</w:t>
            </w:r>
            <w:r>
              <w:rPr>
                <w:rFonts w:cs="Arial"/>
                <w:color w:val="0D0D0D" w:themeColor="text1" w:themeTint="F2"/>
                <w:spacing w:val="-4"/>
              </w:rPr>
              <w:t>sílením platových tarifů vlastních zaměstnanců i dalš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 xml:space="preserve">ím navýšením hranice minimální mzdy (vč. sekundárního dopadu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do 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>na n</w:t>
            </w:r>
            <w:r w:rsidR="00D37E80">
              <w:rPr>
                <w:rFonts w:cs="Arial"/>
                <w:color w:val="0D0D0D" w:themeColor="text1" w:themeTint="F2"/>
                <w:spacing w:val="-4"/>
              </w:rPr>
              <w:t>i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 xml:space="preserve"> navázané zaručené mzdy). </w:t>
            </w:r>
            <w:r>
              <w:rPr>
                <w:rFonts w:cs="Arial"/>
                <w:color w:val="0D0D0D" w:themeColor="text1" w:themeTint="F2"/>
                <w:spacing w:val="-4"/>
              </w:rPr>
              <w:t>Průměrná hrubá měsíční mzda překročila ve 4. čtvrtletí 2017 poprvé v historii 30tis. hranici a meziročně posílila o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8,0 % (o rok dříve o 3,7 %). Během roku 2017 růst kulminoval ve 2. i ve 4.</w:t>
            </w:r>
            <w:r w:rsidR="00D37E8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čtvrtletí, což souviselo i s meziročně vyšším objemem vyplacených odměn. V úhrnu za celý rok mzdy vystoupaly o</w:t>
            </w:r>
            <w:r w:rsidRPr="003E14BD">
              <w:rPr>
                <w:rFonts w:cs="Arial"/>
                <w:color w:val="0D0D0D" w:themeColor="text1" w:themeTint="F2"/>
                <w:spacing w:val="-4"/>
              </w:rPr>
              <w:t xml:space="preserve"> 7,0 %, což odpovídá te</w:t>
            </w:r>
            <w:r>
              <w:rPr>
                <w:rFonts w:cs="Arial"/>
                <w:color w:val="0D0D0D" w:themeColor="text1" w:themeTint="F2"/>
                <w:spacing w:val="-4"/>
              </w:rPr>
              <w:t>mpům z konjunkturních let 2007 a 2008. Již třetí rok v řadě si nejvíce polepšili zaměstnanci v u</w:t>
            </w:r>
            <w:r w:rsidRPr="00907EA2">
              <w:rPr>
                <w:rFonts w:cs="Arial"/>
                <w:color w:val="0D0D0D" w:themeColor="text1" w:themeTint="F2"/>
                <w:spacing w:val="-4"/>
              </w:rPr>
              <w:t>bytování, stravování a</w:t>
            </w:r>
            <w:r w:rsidR="00D37E80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07EA2">
              <w:rPr>
                <w:rFonts w:cs="Arial"/>
                <w:color w:val="0D0D0D" w:themeColor="text1" w:themeTint="F2"/>
                <w:spacing w:val="-4"/>
              </w:rPr>
              <w:t>pohostinství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(loni o 11,9 %). Přesto šlo stále o odvětví s nejnižší úrovní mezd (17,5</w:t>
            </w:r>
            <w:r w:rsidR="00D37E80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tis. korun). Růst minimální mzdy táhl i výdělky v administrativních a podpůrných činnostech (+8,0 %). V odvětvích s dominancí státu vykázaly nejvyšší tempo </w:t>
            </w:r>
            <w:r w:rsidR="00D37E80">
              <w:rPr>
                <w:rFonts w:cs="Arial"/>
                <w:color w:val="0D0D0D" w:themeColor="text1" w:themeTint="F2"/>
                <w:spacing w:val="-4"/>
              </w:rPr>
              <w:t xml:space="preserve">růstu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mzdy v kulturních, zábavních a rekreačních činnostech (9,3 %), hlavně </w:t>
            </w:r>
            <w:r w:rsidR="0092465F">
              <w:rPr>
                <w:rFonts w:cs="Arial"/>
                <w:color w:val="0D0D0D" w:themeColor="text1" w:themeTint="F2"/>
                <w:spacing w:val="-4"/>
              </w:rPr>
              <w:t>vlivem výrazné akcelerace ve 4.</w:t>
            </w:r>
            <w:r w:rsidR="0092465F" w:rsidRPr="00350A96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čtvrtletí (+13,4 %). Dynamicky rostly loni výdělky i ve </w:t>
            </w:r>
            <w:r w:rsidR="0092465F">
              <w:rPr>
                <w:rFonts w:cs="Arial"/>
                <w:color w:val="0D0D0D" w:themeColor="text1" w:themeTint="F2"/>
                <w:spacing w:val="-4"/>
              </w:rPr>
              <w:t>zdravotní a sociální péči (+9,1</w:t>
            </w:r>
            <w:r w:rsidR="0092465F" w:rsidRPr="00350A96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%). Naopak i přes zlepšení na sklonku roku zůstala loni dynamika i absolutní výše mezd ve vzdělávání pod úrovní národního hospodářství. Ve váhově dominantním odvětví zpracovatelského průmyslu kopírovala výše mezd i</w:t>
            </w:r>
            <w:r w:rsidRPr="00350A96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jejich dynamika v posledních třech letech hodnoty za celou ekonomiku. Ve většině odvětví s nadprůměrnou mzdovou úrovní byl relativní růst skromnější, a to zejména v peněžnictví a pojišťovnictví (+3,6 %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>
              <w:rPr>
                <w:rFonts w:cs="Arial"/>
                <w:color w:val="0D0D0D" w:themeColor="text1" w:themeTint="F2"/>
                <w:spacing w:val="-4"/>
              </w:rPr>
              <w:t>). Ve většině z nich byl však kompenzován silným růstem zaměstnanosti (informační komunikační činnosti, energetika). Mzdová diferenciace se loni mírně snížila, mediánová mzda převyšovala tempa průměrné mzdy již po dva a půl roku. Pozitivn</w:t>
            </w:r>
            <w:r w:rsidR="00D37E80">
              <w:rPr>
                <w:rFonts w:cs="Arial"/>
                <w:color w:val="0D0D0D" w:themeColor="text1" w:themeTint="F2"/>
                <w:spacing w:val="-4"/>
              </w:rPr>
              <w:t>ím trendem bylo také navyšování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tempa růstu průměrné reálné mzdy – ta v roce 2017 posílila o 4,4 %, nejvíce po roce 2003.</w:t>
            </w:r>
          </w:p>
        </w:tc>
      </w:tr>
    </w:tbl>
    <w:p w:rsidR="0036710C" w:rsidRPr="003D54AC" w:rsidRDefault="0036710C" w:rsidP="00D94859">
      <w:pPr>
        <w:rPr>
          <w:sz w:val="2"/>
          <w:szCs w:val="2"/>
          <w:lang w:eastAsia="ar-SA"/>
        </w:rPr>
      </w:pPr>
    </w:p>
    <w:sectPr w:rsidR="0036710C" w:rsidRPr="003D54AC" w:rsidSect="003D54AC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 w:code="9"/>
      <w:pgMar w:top="1134" w:right="1134" w:bottom="1418" w:left="1134" w:header="680" w:footer="680" w:gutter="0"/>
      <w:pgNumType w:start="2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4FCE60" w15:done="0"/>
  <w15:commentEx w15:paraId="30BEC4BA" w15:done="0"/>
  <w15:commentEx w15:paraId="5AD8A77A" w15:done="0"/>
  <w15:commentEx w15:paraId="725DECB0" w15:done="0"/>
  <w15:commentEx w15:paraId="4BCA0381" w15:done="0"/>
  <w15:commentEx w15:paraId="7BB55DD9" w15:done="0"/>
  <w15:commentEx w15:paraId="1846474D" w15:done="0"/>
  <w15:commentEx w15:paraId="1FF54E19" w15:done="0"/>
  <w15:commentEx w15:paraId="20C1CD95" w15:done="0"/>
  <w15:commentEx w15:paraId="40D38D09" w15:done="0"/>
  <w15:commentEx w15:paraId="6D53AB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4FCE60" w16cid:durableId="1E5515BA"/>
  <w16cid:commentId w16cid:paraId="30BEC4BA" w16cid:durableId="1E551738"/>
  <w16cid:commentId w16cid:paraId="5AD8A77A" w16cid:durableId="1E551C84"/>
  <w16cid:commentId w16cid:paraId="725DECB0" w16cid:durableId="1E551DB9"/>
  <w16cid:commentId w16cid:paraId="4BCA0381" w16cid:durableId="1E550EE3"/>
  <w16cid:commentId w16cid:paraId="7BB55DD9" w16cid:durableId="1E553A5B"/>
  <w16cid:commentId w16cid:paraId="1846474D" w16cid:durableId="1E554F46"/>
  <w16cid:commentId w16cid:paraId="1FF54E19" w16cid:durableId="1E550EE4"/>
  <w16cid:commentId w16cid:paraId="20C1CD95" w16cid:durableId="1E550EE5"/>
  <w16cid:commentId w16cid:paraId="40D38D09" w16cid:durableId="1E5644B5"/>
  <w16cid:commentId w16cid:paraId="6D53ABCB" w16cid:durableId="1E5687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96" w:rsidRDefault="006E3996" w:rsidP="00E71A58">
      <w:r>
        <w:separator/>
      </w:r>
    </w:p>
  </w:endnote>
  <w:endnote w:type="continuationSeparator" w:id="0">
    <w:p w:rsidR="006E3996" w:rsidRDefault="006E399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158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C01587" w:rsidRPr="005A21E0">
      <w:rPr>
        <w:rFonts w:ascii="Arial" w:hAnsi="Arial" w:cs="Arial"/>
        <w:sz w:val="16"/>
        <w:szCs w:val="16"/>
      </w:rPr>
      <w:fldChar w:fldCharType="separate"/>
    </w:r>
    <w:r w:rsidR="003D54AC">
      <w:rPr>
        <w:rFonts w:ascii="Arial" w:hAnsi="Arial" w:cs="Arial"/>
        <w:noProof/>
        <w:sz w:val="16"/>
        <w:szCs w:val="16"/>
      </w:rPr>
      <w:t>22</w:t>
    </w:r>
    <w:r w:rsidR="00C01587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522795" w:rsidRPr="00223E00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>
      <w:rPr>
        <w:rFonts w:ascii="Arial" w:hAnsi="Arial" w:cs="Arial"/>
        <w:sz w:val="16"/>
        <w:szCs w:val="16"/>
      </w:rPr>
      <w:tab/>
    </w:r>
    <w:r w:rsidR="00C01587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C01587" w:rsidRPr="00223E00">
      <w:rPr>
        <w:rFonts w:ascii="Arial" w:hAnsi="Arial" w:cs="Arial"/>
        <w:sz w:val="16"/>
        <w:szCs w:val="16"/>
      </w:rPr>
      <w:fldChar w:fldCharType="separate"/>
    </w:r>
    <w:r w:rsidR="003D54AC">
      <w:rPr>
        <w:rFonts w:ascii="Arial" w:hAnsi="Arial" w:cs="Arial"/>
        <w:noProof/>
        <w:sz w:val="16"/>
        <w:szCs w:val="16"/>
      </w:rPr>
      <w:t>21</w:t>
    </w:r>
    <w:r w:rsidR="00C01587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96" w:rsidRDefault="006E3996" w:rsidP="00E71A58">
      <w:r>
        <w:separator/>
      </w:r>
    </w:p>
  </w:footnote>
  <w:footnote w:type="continuationSeparator" w:id="0">
    <w:p w:rsidR="006E3996" w:rsidRDefault="006E3996" w:rsidP="00E71A58">
      <w:r>
        <w:continuationSeparator/>
      </w:r>
    </w:p>
  </w:footnote>
  <w:footnote w:id="1">
    <w:p w:rsidR="00522795" w:rsidRPr="00B4223A" w:rsidRDefault="00522795" w:rsidP="00FD77BB">
      <w:pPr>
        <w:pStyle w:val="Textpoznpodarou"/>
        <w:jc w:val="both"/>
        <w:rPr>
          <w:sz w:val="16"/>
          <w:szCs w:val="16"/>
        </w:rPr>
      </w:pPr>
      <w:r w:rsidRPr="00B4223A">
        <w:rPr>
          <w:rStyle w:val="Znakapoznpodarou"/>
          <w:sz w:val="16"/>
          <w:szCs w:val="16"/>
        </w:rPr>
        <w:footnoteRef/>
      </w:r>
      <w:r w:rsidRPr="00B4223A">
        <w:rPr>
          <w:sz w:val="16"/>
          <w:szCs w:val="16"/>
        </w:rPr>
        <w:t xml:space="preserve"> Pok</w:t>
      </w:r>
      <w:r>
        <w:rPr>
          <w:sz w:val="16"/>
          <w:szCs w:val="16"/>
        </w:rPr>
        <w:t xml:space="preserve">ud není uvedeno jinak, jsou </w:t>
      </w:r>
      <w:r w:rsidRPr="00B4223A">
        <w:rPr>
          <w:sz w:val="16"/>
          <w:szCs w:val="16"/>
        </w:rPr>
        <w:t xml:space="preserve">v této kapitole </w:t>
      </w:r>
      <w:r>
        <w:rPr>
          <w:sz w:val="16"/>
          <w:szCs w:val="16"/>
        </w:rPr>
        <w:t>údaje o zaměstnanosti</w:t>
      </w:r>
      <w:r w:rsidRPr="00B422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uvedeny </w:t>
      </w:r>
      <w:r w:rsidRPr="00B4223A">
        <w:rPr>
          <w:sz w:val="16"/>
          <w:szCs w:val="16"/>
        </w:rPr>
        <w:t>v pojetí národních účtů v očištění o sezónní vlivy.</w:t>
      </w:r>
    </w:p>
  </w:footnote>
  <w:footnote w:id="2">
    <w:p w:rsidR="00522795" w:rsidRPr="00223866" w:rsidRDefault="00522795" w:rsidP="00FD77BB">
      <w:pPr>
        <w:pStyle w:val="Textpoznpodarou"/>
        <w:rPr>
          <w:sz w:val="16"/>
          <w:szCs w:val="16"/>
        </w:rPr>
      </w:pPr>
      <w:r w:rsidRPr="00223866">
        <w:rPr>
          <w:rStyle w:val="Znakapoznpodarou"/>
          <w:sz w:val="16"/>
          <w:szCs w:val="16"/>
        </w:rPr>
        <w:footnoteRef/>
      </w:r>
      <w:r w:rsidRPr="00223866">
        <w:rPr>
          <w:sz w:val="16"/>
          <w:szCs w:val="16"/>
        </w:rPr>
        <w:t xml:space="preserve"> </w:t>
      </w:r>
      <w:r w:rsidRPr="00223866">
        <w:rPr>
          <w:rFonts w:cs="Arial"/>
          <w:color w:val="0D0D0D" w:themeColor="text1" w:themeTint="F2"/>
          <w:spacing w:val="-4"/>
          <w:sz w:val="16"/>
          <w:szCs w:val="16"/>
        </w:rPr>
        <w:t>Obdobná situace se projevila také ve 3. čtvrtletí 2015 i 2016. V obou případech šlo jen o jednorázové vybočení z dlouhodobějšího růstového trendu.</w:t>
      </w:r>
    </w:p>
  </w:footnote>
  <w:footnote w:id="3">
    <w:p w:rsidR="00522795" w:rsidRPr="003161CA" w:rsidRDefault="00522795" w:rsidP="00FD77BB">
      <w:pPr>
        <w:pStyle w:val="Textpoznpodarou"/>
        <w:jc w:val="both"/>
        <w:rPr>
          <w:spacing w:val="-3"/>
          <w:sz w:val="16"/>
          <w:szCs w:val="16"/>
        </w:rPr>
      </w:pPr>
      <w:r w:rsidRPr="003161CA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Zahrnuje odvětví: </w:t>
      </w:r>
      <w:r w:rsidRPr="003161CA">
        <w:rPr>
          <w:spacing w:val="-3"/>
          <w:sz w:val="16"/>
          <w:szCs w:val="16"/>
        </w:rPr>
        <w:t>Veřejná správa a obrana, vzdělávání, zdravotní a sociální péče.</w:t>
      </w:r>
    </w:p>
  </w:footnote>
  <w:footnote w:id="4">
    <w:p w:rsidR="00522795" w:rsidRPr="00436EDB" w:rsidRDefault="00522795">
      <w:pPr>
        <w:pStyle w:val="Textpoznpodarou"/>
        <w:rPr>
          <w:sz w:val="16"/>
          <w:szCs w:val="16"/>
        </w:rPr>
      </w:pPr>
      <w:r w:rsidRPr="00436EDB">
        <w:rPr>
          <w:rStyle w:val="Znakapoznpodarou"/>
          <w:sz w:val="16"/>
          <w:szCs w:val="16"/>
        </w:rPr>
        <w:footnoteRef/>
      </w:r>
      <w:r w:rsidRPr="00436EDB">
        <w:rPr>
          <w:sz w:val="16"/>
          <w:szCs w:val="16"/>
        </w:rPr>
        <w:t xml:space="preserve"> Ve 3. čtvrtletí 2017 takto pracovalo 139 tis. osob, před dvěma lety 114 tis. </w:t>
      </w:r>
    </w:p>
  </w:footnote>
  <w:footnote w:id="5">
    <w:p w:rsidR="00522795" w:rsidRPr="00D65BFF" w:rsidRDefault="00522795" w:rsidP="00FD77BB">
      <w:pPr>
        <w:pStyle w:val="Textpoznpodarou"/>
        <w:rPr>
          <w:b/>
          <w:sz w:val="16"/>
          <w:szCs w:val="16"/>
        </w:rPr>
      </w:pPr>
      <w:r w:rsidRPr="00D65BFF">
        <w:rPr>
          <w:rStyle w:val="Znakapoznpodarou"/>
          <w:sz w:val="16"/>
          <w:szCs w:val="16"/>
        </w:rPr>
        <w:footnoteRef/>
      </w:r>
      <w:r w:rsidRPr="00D65BFF">
        <w:rPr>
          <w:sz w:val="16"/>
          <w:szCs w:val="16"/>
        </w:rPr>
        <w:t xml:space="preserve"> Šlo o jediné z 19 hlavních odvětví, kde se </w:t>
      </w:r>
      <w:r w:rsidRPr="00D65BFF">
        <w:rPr>
          <w:rFonts w:cs="Arial"/>
          <w:color w:val="0D0D0D" w:themeColor="text1" w:themeTint="F2"/>
          <w:spacing w:val="-4"/>
          <w:sz w:val="16"/>
          <w:szCs w:val="16"/>
        </w:rPr>
        <w:t xml:space="preserve">loňské tempo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o</w:t>
      </w:r>
      <w:r w:rsidRPr="00D65BFF">
        <w:rPr>
          <w:rFonts w:cs="Arial"/>
          <w:color w:val="0D0D0D" w:themeColor="text1" w:themeTint="F2"/>
          <w:spacing w:val="-4"/>
          <w:sz w:val="16"/>
          <w:szCs w:val="16"/>
        </w:rPr>
        <w:t>proti roku 2016 (+3,3 %) významně nezvýšilo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. V absolutním vyjádření</w:t>
      </w:r>
      <w:r w:rsidRPr="00D65BFF">
        <w:rPr>
          <w:rFonts w:cs="Arial"/>
          <w:color w:val="0D0D0D" w:themeColor="text1" w:themeTint="F2"/>
          <w:spacing w:val="-4"/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zde však byl loni přírůstek mezd (+1819 korun) srovnatelný s odvětvím u</w:t>
      </w:r>
      <w:r w:rsidRPr="00D65BFF">
        <w:rPr>
          <w:rFonts w:cs="Arial"/>
          <w:color w:val="0D0D0D" w:themeColor="text1" w:themeTint="F2"/>
          <w:spacing w:val="-4"/>
          <w:sz w:val="16"/>
          <w:szCs w:val="16"/>
        </w:rPr>
        <w:t>bytování, stravování a pohostinství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 xml:space="preserve"> či s celou ekonomikou.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C00831" w:rsidRDefault="0052279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30768C" w:rsidRDefault="00522795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48046E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50C37"/>
    <w:multiLevelType w:val="hybridMultilevel"/>
    <w:tmpl w:val="B7FCDA9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22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1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9"/>
  </w:num>
  <w:num w:numId="16">
    <w:abstractNumId w:val="16"/>
  </w:num>
  <w:num w:numId="17">
    <w:abstractNumId w:val="7"/>
  </w:num>
  <w:num w:numId="18">
    <w:abstractNumId w:val="23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3"/>
  </w:num>
  <w:num w:numId="24">
    <w:abstractNumId w:val="6"/>
  </w:num>
  <w:num w:numId="25">
    <w:abstractNumId w:val="2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4FF9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29CF"/>
    <w:rsid w:val="00014028"/>
    <w:rsid w:val="00014690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D3F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4913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6B7B"/>
    <w:rsid w:val="000673F8"/>
    <w:rsid w:val="00070314"/>
    <w:rsid w:val="000706A4"/>
    <w:rsid w:val="00070A0C"/>
    <w:rsid w:val="00071F80"/>
    <w:rsid w:val="00072118"/>
    <w:rsid w:val="00073173"/>
    <w:rsid w:val="0007324C"/>
    <w:rsid w:val="00073655"/>
    <w:rsid w:val="000779AC"/>
    <w:rsid w:val="000807ED"/>
    <w:rsid w:val="00080A41"/>
    <w:rsid w:val="00080AA8"/>
    <w:rsid w:val="00081851"/>
    <w:rsid w:val="00083803"/>
    <w:rsid w:val="00083D7F"/>
    <w:rsid w:val="00083FE5"/>
    <w:rsid w:val="00084393"/>
    <w:rsid w:val="00084771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A6F68"/>
    <w:rsid w:val="000B1CFE"/>
    <w:rsid w:val="000B210A"/>
    <w:rsid w:val="000B2324"/>
    <w:rsid w:val="000B249B"/>
    <w:rsid w:val="000B2729"/>
    <w:rsid w:val="000B2ADE"/>
    <w:rsid w:val="000B3B01"/>
    <w:rsid w:val="000B3C13"/>
    <w:rsid w:val="000B3DB9"/>
    <w:rsid w:val="000B3F02"/>
    <w:rsid w:val="000B48A2"/>
    <w:rsid w:val="000B48E7"/>
    <w:rsid w:val="000B4E9F"/>
    <w:rsid w:val="000B4F41"/>
    <w:rsid w:val="000B7663"/>
    <w:rsid w:val="000B7A90"/>
    <w:rsid w:val="000C1106"/>
    <w:rsid w:val="000C11D3"/>
    <w:rsid w:val="000C12F5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121"/>
    <w:rsid w:val="000F74B6"/>
    <w:rsid w:val="000F790F"/>
    <w:rsid w:val="000F7E1B"/>
    <w:rsid w:val="00100014"/>
    <w:rsid w:val="0010022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5BDB"/>
    <w:rsid w:val="00116DB9"/>
    <w:rsid w:val="00116F28"/>
    <w:rsid w:val="00117597"/>
    <w:rsid w:val="00117CE8"/>
    <w:rsid w:val="00117F28"/>
    <w:rsid w:val="001201F0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5B2"/>
    <w:rsid w:val="001307BE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6561"/>
    <w:rsid w:val="00136AE8"/>
    <w:rsid w:val="001400E1"/>
    <w:rsid w:val="001405FA"/>
    <w:rsid w:val="001408DD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40"/>
    <w:rsid w:val="001500FC"/>
    <w:rsid w:val="00151AC0"/>
    <w:rsid w:val="00151B27"/>
    <w:rsid w:val="00152046"/>
    <w:rsid w:val="001520AF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DCA"/>
    <w:rsid w:val="00160E61"/>
    <w:rsid w:val="00161300"/>
    <w:rsid w:val="00161DB6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2B64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410"/>
    <w:rsid w:val="001814AE"/>
    <w:rsid w:val="00181938"/>
    <w:rsid w:val="00182981"/>
    <w:rsid w:val="00184CF9"/>
    <w:rsid w:val="00184DE8"/>
    <w:rsid w:val="00185010"/>
    <w:rsid w:val="001852EC"/>
    <w:rsid w:val="00186447"/>
    <w:rsid w:val="001874CF"/>
    <w:rsid w:val="00187F91"/>
    <w:rsid w:val="00190214"/>
    <w:rsid w:val="00190D9B"/>
    <w:rsid w:val="0019161A"/>
    <w:rsid w:val="00191BAE"/>
    <w:rsid w:val="00193432"/>
    <w:rsid w:val="0019346C"/>
    <w:rsid w:val="0019431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008E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B1E"/>
    <w:rsid w:val="001C0E0E"/>
    <w:rsid w:val="001C0E66"/>
    <w:rsid w:val="001C0EB9"/>
    <w:rsid w:val="001C1219"/>
    <w:rsid w:val="001C357A"/>
    <w:rsid w:val="001C3657"/>
    <w:rsid w:val="001C3961"/>
    <w:rsid w:val="001C3A37"/>
    <w:rsid w:val="001C4384"/>
    <w:rsid w:val="001C55F5"/>
    <w:rsid w:val="001C65FF"/>
    <w:rsid w:val="001C6747"/>
    <w:rsid w:val="001D12FB"/>
    <w:rsid w:val="001D3787"/>
    <w:rsid w:val="001D47E5"/>
    <w:rsid w:val="001D584C"/>
    <w:rsid w:val="001D5E1B"/>
    <w:rsid w:val="001D66C1"/>
    <w:rsid w:val="001D6EF6"/>
    <w:rsid w:val="001D7C6F"/>
    <w:rsid w:val="001E0024"/>
    <w:rsid w:val="001E0735"/>
    <w:rsid w:val="001E0C65"/>
    <w:rsid w:val="001E23E3"/>
    <w:rsid w:val="001E29AF"/>
    <w:rsid w:val="001E3731"/>
    <w:rsid w:val="001E387A"/>
    <w:rsid w:val="001E3DA4"/>
    <w:rsid w:val="001E5469"/>
    <w:rsid w:val="001E5830"/>
    <w:rsid w:val="001E5F62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37A1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4C1"/>
    <w:rsid w:val="0022272B"/>
    <w:rsid w:val="00222A99"/>
    <w:rsid w:val="00223678"/>
    <w:rsid w:val="002236F7"/>
    <w:rsid w:val="00223E00"/>
    <w:rsid w:val="00224048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2A3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52E5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09C2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95E"/>
    <w:rsid w:val="00265E54"/>
    <w:rsid w:val="00266306"/>
    <w:rsid w:val="002664A1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6A5"/>
    <w:rsid w:val="0027786C"/>
    <w:rsid w:val="00277BF7"/>
    <w:rsid w:val="00281416"/>
    <w:rsid w:val="00282084"/>
    <w:rsid w:val="00283C61"/>
    <w:rsid w:val="00283D6A"/>
    <w:rsid w:val="00284C6F"/>
    <w:rsid w:val="00285CD3"/>
    <w:rsid w:val="0028633E"/>
    <w:rsid w:val="0028686A"/>
    <w:rsid w:val="00286E66"/>
    <w:rsid w:val="002870B7"/>
    <w:rsid w:val="002919B5"/>
    <w:rsid w:val="00292D0B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6F67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323"/>
    <w:rsid w:val="002B7937"/>
    <w:rsid w:val="002C0FF4"/>
    <w:rsid w:val="002C125A"/>
    <w:rsid w:val="002C2668"/>
    <w:rsid w:val="002C43BD"/>
    <w:rsid w:val="002C493D"/>
    <w:rsid w:val="002C5261"/>
    <w:rsid w:val="002C5CB7"/>
    <w:rsid w:val="002C6091"/>
    <w:rsid w:val="002C63C1"/>
    <w:rsid w:val="002C6A6E"/>
    <w:rsid w:val="002D0562"/>
    <w:rsid w:val="002D1B5A"/>
    <w:rsid w:val="002D2500"/>
    <w:rsid w:val="002D338A"/>
    <w:rsid w:val="002D3E4C"/>
    <w:rsid w:val="002D3F00"/>
    <w:rsid w:val="002D4A1E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1BFA"/>
    <w:rsid w:val="002E2CE4"/>
    <w:rsid w:val="002E31A0"/>
    <w:rsid w:val="002E34F3"/>
    <w:rsid w:val="002E4217"/>
    <w:rsid w:val="002E435E"/>
    <w:rsid w:val="002E73F2"/>
    <w:rsid w:val="002F149A"/>
    <w:rsid w:val="002F33FB"/>
    <w:rsid w:val="002F36D0"/>
    <w:rsid w:val="002F663A"/>
    <w:rsid w:val="002F68A4"/>
    <w:rsid w:val="002F7594"/>
    <w:rsid w:val="002F7902"/>
    <w:rsid w:val="003003E7"/>
    <w:rsid w:val="003004EB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31A6"/>
    <w:rsid w:val="00314331"/>
    <w:rsid w:val="00317E31"/>
    <w:rsid w:val="00320214"/>
    <w:rsid w:val="003209D6"/>
    <w:rsid w:val="0032109A"/>
    <w:rsid w:val="0032214F"/>
    <w:rsid w:val="00322164"/>
    <w:rsid w:val="00323486"/>
    <w:rsid w:val="00323A13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5E99"/>
    <w:rsid w:val="0033627B"/>
    <w:rsid w:val="003406BD"/>
    <w:rsid w:val="00343474"/>
    <w:rsid w:val="00343F84"/>
    <w:rsid w:val="00344135"/>
    <w:rsid w:val="003450E2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6CAE"/>
    <w:rsid w:val="00357449"/>
    <w:rsid w:val="00357C28"/>
    <w:rsid w:val="00361F76"/>
    <w:rsid w:val="0036238B"/>
    <w:rsid w:val="00362408"/>
    <w:rsid w:val="003630B0"/>
    <w:rsid w:val="00364087"/>
    <w:rsid w:val="003649FC"/>
    <w:rsid w:val="00364C0E"/>
    <w:rsid w:val="003651A4"/>
    <w:rsid w:val="00365680"/>
    <w:rsid w:val="003657F3"/>
    <w:rsid w:val="00366D4D"/>
    <w:rsid w:val="00366F77"/>
    <w:rsid w:val="00367038"/>
    <w:rsid w:val="003670FE"/>
    <w:rsid w:val="0036710C"/>
    <w:rsid w:val="0037040B"/>
    <w:rsid w:val="00370963"/>
    <w:rsid w:val="0037144E"/>
    <w:rsid w:val="00372272"/>
    <w:rsid w:val="0037290D"/>
    <w:rsid w:val="003736B5"/>
    <w:rsid w:val="00374DB6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187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B769D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1FA0"/>
    <w:rsid w:val="003D2393"/>
    <w:rsid w:val="003D2C4E"/>
    <w:rsid w:val="003D3600"/>
    <w:rsid w:val="003D3825"/>
    <w:rsid w:val="003D3EC4"/>
    <w:rsid w:val="003D3FB2"/>
    <w:rsid w:val="003D44E2"/>
    <w:rsid w:val="003D4760"/>
    <w:rsid w:val="003D49DC"/>
    <w:rsid w:val="003D4DD9"/>
    <w:rsid w:val="003D4FB5"/>
    <w:rsid w:val="003D54AC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E7F69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3F7631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1D6"/>
    <w:rsid w:val="004123BE"/>
    <w:rsid w:val="0041329F"/>
    <w:rsid w:val="00414CE5"/>
    <w:rsid w:val="00416673"/>
    <w:rsid w:val="0041677D"/>
    <w:rsid w:val="00420D92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6EDB"/>
    <w:rsid w:val="00437C76"/>
    <w:rsid w:val="00437F4A"/>
    <w:rsid w:val="0044105C"/>
    <w:rsid w:val="00442197"/>
    <w:rsid w:val="00442BD1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4921"/>
    <w:rsid w:val="00454D3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61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0524"/>
    <w:rsid w:val="00490B20"/>
    <w:rsid w:val="0049104F"/>
    <w:rsid w:val="00491218"/>
    <w:rsid w:val="00491CFD"/>
    <w:rsid w:val="00492991"/>
    <w:rsid w:val="00493362"/>
    <w:rsid w:val="00494343"/>
    <w:rsid w:val="00494AAB"/>
    <w:rsid w:val="00494FB8"/>
    <w:rsid w:val="0049548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D61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41DC"/>
    <w:rsid w:val="004B55B7"/>
    <w:rsid w:val="004B5836"/>
    <w:rsid w:val="004B5E1F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74F"/>
    <w:rsid w:val="004D4F13"/>
    <w:rsid w:val="004D504B"/>
    <w:rsid w:val="004D536E"/>
    <w:rsid w:val="004D58CE"/>
    <w:rsid w:val="004D6307"/>
    <w:rsid w:val="004D70B1"/>
    <w:rsid w:val="004D745A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950"/>
    <w:rsid w:val="004F5CC5"/>
    <w:rsid w:val="004F5DCC"/>
    <w:rsid w:val="004F6350"/>
    <w:rsid w:val="004F7170"/>
    <w:rsid w:val="005028E1"/>
    <w:rsid w:val="00503955"/>
    <w:rsid w:val="00505989"/>
    <w:rsid w:val="00506309"/>
    <w:rsid w:val="0050692E"/>
    <w:rsid w:val="00507040"/>
    <w:rsid w:val="005079F8"/>
    <w:rsid w:val="00510189"/>
    <w:rsid w:val="00510428"/>
    <w:rsid w:val="005108C0"/>
    <w:rsid w:val="00511873"/>
    <w:rsid w:val="00512495"/>
    <w:rsid w:val="00512603"/>
    <w:rsid w:val="00512B54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668A"/>
    <w:rsid w:val="00517567"/>
    <w:rsid w:val="0051778E"/>
    <w:rsid w:val="005215EF"/>
    <w:rsid w:val="00522795"/>
    <w:rsid w:val="00524637"/>
    <w:rsid w:val="00524FDD"/>
    <w:rsid w:val="00525137"/>
    <w:rsid w:val="005251DD"/>
    <w:rsid w:val="00526D50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69C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8E2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3B4"/>
    <w:rsid w:val="0057454C"/>
    <w:rsid w:val="005752EB"/>
    <w:rsid w:val="005755FE"/>
    <w:rsid w:val="0057569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59ED"/>
    <w:rsid w:val="00595C7C"/>
    <w:rsid w:val="00596C5E"/>
    <w:rsid w:val="005A038A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03"/>
    <w:rsid w:val="005D757A"/>
    <w:rsid w:val="005D76AE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9ED"/>
    <w:rsid w:val="005F4C83"/>
    <w:rsid w:val="005F5628"/>
    <w:rsid w:val="005F5916"/>
    <w:rsid w:val="005F5F61"/>
    <w:rsid w:val="005F601D"/>
    <w:rsid w:val="005F6119"/>
    <w:rsid w:val="005F7940"/>
    <w:rsid w:val="00600712"/>
    <w:rsid w:val="0060091A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5C4"/>
    <w:rsid w:val="00630E82"/>
    <w:rsid w:val="00630F66"/>
    <w:rsid w:val="00631FC2"/>
    <w:rsid w:val="00632171"/>
    <w:rsid w:val="0063332A"/>
    <w:rsid w:val="00633729"/>
    <w:rsid w:val="006347F9"/>
    <w:rsid w:val="0063494E"/>
    <w:rsid w:val="00634C90"/>
    <w:rsid w:val="00635818"/>
    <w:rsid w:val="00635E79"/>
    <w:rsid w:val="006365E8"/>
    <w:rsid w:val="00636A84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152"/>
    <w:rsid w:val="006B59D7"/>
    <w:rsid w:val="006B5CA3"/>
    <w:rsid w:val="006B6171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927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C7A7B"/>
    <w:rsid w:val="006D004F"/>
    <w:rsid w:val="006D042D"/>
    <w:rsid w:val="006D06EF"/>
    <w:rsid w:val="006D07EC"/>
    <w:rsid w:val="006D1418"/>
    <w:rsid w:val="006D142E"/>
    <w:rsid w:val="006D3976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3996"/>
    <w:rsid w:val="006E4368"/>
    <w:rsid w:val="006E442A"/>
    <w:rsid w:val="006E4434"/>
    <w:rsid w:val="006E4A1B"/>
    <w:rsid w:val="006E59FC"/>
    <w:rsid w:val="006E5CFD"/>
    <w:rsid w:val="006E635B"/>
    <w:rsid w:val="006E642F"/>
    <w:rsid w:val="006E76BE"/>
    <w:rsid w:val="006E7E2C"/>
    <w:rsid w:val="006F0D32"/>
    <w:rsid w:val="006F1326"/>
    <w:rsid w:val="006F1DDD"/>
    <w:rsid w:val="006F2280"/>
    <w:rsid w:val="006F2BEE"/>
    <w:rsid w:val="006F32FF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398"/>
    <w:rsid w:val="00711EF1"/>
    <w:rsid w:val="0071229A"/>
    <w:rsid w:val="00712572"/>
    <w:rsid w:val="00713495"/>
    <w:rsid w:val="00713EEB"/>
    <w:rsid w:val="007142C1"/>
    <w:rsid w:val="0071479D"/>
    <w:rsid w:val="00715487"/>
    <w:rsid w:val="007159D2"/>
    <w:rsid w:val="00716DCC"/>
    <w:rsid w:val="00717726"/>
    <w:rsid w:val="0072050E"/>
    <w:rsid w:val="00720958"/>
    <w:rsid w:val="00720FA2"/>
    <w:rsid w:val="007211F5"/>
    <w:rsid w:val="00722985"/>
    <w:rsid w:val="007240C5"/>
    <w:rsid w:val="00724666"/>
    <w:rsid w:val="00724E80"/>
    <w:rsid w:val="00725492"/>
    <w:rsid w:val="007256B7"/>
    <w:rsid w:val="00726043"/>
    <w:rsid w:val="007265C6"/>
    <w:rsid w:val="0072671B"/>
    <w:rsid w:val="0072704A"/>
    <w:rsid w:val="007273DC"/>
    <w:rsid w:val="007279B9"/>
    <w:rsid w:val="00727F9F"/>
    <w:rsid w:val="00730AE8"/>
    <w:rsid w:val="007315DA"/>
    <w:rsid w:val="00731963"/>
    <w:rsid w:val="00732706"/>
    <w:rsid w:val="0073325D"/>
    <w:rsid w:val="0073402C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40C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47459"/>
    <w:rsid w:val="0075057A"/>
    <w:rsid w:val="00751771"/>
    <w:rsid w:val="00751C1C"/>
    <w:rsid w:val="00752180"/>
    <w:rsid w:val="007521A1"/>
    <w:rsid w:val="00752BC3"/>
    <w:rsid w:val="0075315D"/>
    <w:rsid w:val="007538F9"/>
    <w:rsid w:val="00753AFD"/>
    <w:rsid w:val="00754253"/>
    <w:rsid w:val="007552BB"/>
    <w:rsid w:val="007558D3"/>
    <w:rsid w:val="007559D7"/>
    <w:rsid w:val="00755D3A"/>
    <w:rsid w:val="00755EA0"/>
    <w:rsid w:val="00760141"/>
    <w:rsid w:val="007609C6"/>
    <w:rsid w:val="00760C01"/>
    <w:rsid w:val="007610A0"/>
    <w:rsid w:val="00762036"/>
    <w:rsid w:val="007620F2"/>
    <w:rsid w:val="00762EBA"/>
    <w:rsid w:val="0076359D"/>
    <w:rsid w:val="00763A13"/>
    <w:rsid w:val="00763D86"/>
    <w:rsid w:val="00766F78"/>
    <w:rsid w:val="0077058D"/>
    <w:rsid w:val="00770931"/>
    <w:rsid w:val="00770FA7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235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38B"/>
    <w:rsid w:val="00796642"/>
    <w:rsid w:val="007A11D9"/>
    <w:rsid w:val="007A327B"/>
    <w:rsid w:val="007A4048"/>
    <w:rsid w:val="007A45B1"/>
    <w:rsid w:val="007A4606"/>
    <w:rsid w:val="007A4D58"/>
    <w:rsid w:val="007A5039"/>
    <w:rsid w:val="007A74B4"/>
    <w:rsid w:val="007B04E8"/>
    <w:rsid w:val="007B0920"/>
    <w:rsid w:val="007B0D67"/>
    <w:rsid w:val="007B0F90"/>
    <w:rsid w:val="007B1966"/>
    <w:rsid w:val="007B2257"/>
    <w:rsid w:val="007B22E6"/>
    <w:rsid w:val="007B2779"/>
    <w:rsid w:val="007B2AF7"/>
    <w:rsid w:val="007B2F3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5363"/>
    <w:rsid w:val="007C605B"/>
    <w:rsid w:val="007C6EBA"/>
    <w:rsid w:val="007C7BAC"/>
    <w:rsid w:val="007C7CC5"/>
    <w:rsid w:val="007D2749"/>
    <w:rsid w:val="007D2A5A"/>
    <w:rsid w:val="007D2AD8"/>
    <w:rsid w:val="007D2C47"/>
    <w:rsid w:val="007D2C61"/>
    <w:rsid w:val="007D2DA3"/>
    <w:rsid w:val="007D2F81"/>
    <w:rsid w:val="007D3167"/>
    <w:rsid w:val="007D3A2C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5E9"/>
    <w:rsid w:val="007E1EF7"/>
    <w:rsid w:val="007E3715"/>
    <w:rsid w:val="007E4996"/>
    <w:rsid w:val="007E5880"/>
    <w:rsid w:val="007E5F3D"/>
    <w:rsid w:val="007E61FF"/>
    <w:rsid w:val="007E6588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61D3"/>
    <w:rsid w:val="007F69EE"/>
    <w:rsid w:val="007F7B54"/>
    <w:rsid w:val="007F7C60"/>
    <w:rsid w:val="00800073"/>
    <w:rsid w:val="008005D7"/>
    <w:rsid w:val="00801547"/>
    <w:rsid w:val="00801D15"/>
    <w:rsid w:val="00801FDD"/>
    <w:rsid w:val="008020C2"/>
    <w:rsid w:val="0080255C"/>
    <w:rsid w:val="00802C0B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4626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37566"/>
    <w:rsid w:val="00840458"/>
    <w:rsid w:val="00840699"/>
    <w:rsid w:val="00841D9F"/>
    <w:rsid w:val="00842078"/>
    <w:rsid w:val="00842604"/>
    <w:rsid w:val="00843ECF"/>
    <w:rsid w:val="00845AB1"/>
    <w:rsid w:val="00846673"/>
    <w:rsid w:val="00846891"/>
    <w:rsid w:val="008508A9"/>
    <w:rsid w:val="0085188D"/>
    <w:rsid w:val="008518D8"/>
    <w:rsid w:val="008525F9"/>
    <w:rsid w:val="0085281A"/>
    <w:rsid w:val="00853C0F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4F00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620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05"/>
    <w:rsid w:val="00893D83"/>
    <w:rsid w:val="00893F0C"/>
    <w:rsid w:val="00893F3C"/>
    <w:rsid w:val="008945A1"/>
    <w:rsid w:val="00894A63"/>
    <w:rsid w:val="00894F71"/>
    <w:rsid w:val="00895A54"/>
    <w:rsid w:val="00896776"/>
    <w:rsid w:val="00896874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5F34"/>
    <w:rsid w:val="008A615E"/>
    <w:rsid w:val="008A632B"/>
    <w:rsid w:val="008A6BFE"/>
    <w:rsid w:val="008A6F21"/>
    <w:rsid w:val="008A6F3F"/>
    <w:rsid w:val="008A73DA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7D1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A23"/>
    <w:rsid w:val="008D0E3B"/>
    <w:rsid w:val="008D13EA"/>
    <w:rsid w:val="008D2671"/>
    <w:rsid w:val="008D2A16"/>
    <w:rsid w:val="008D2ECF"/>
    <w:rsid w:val="008D347D"/>
    <w:rsid w:val="008D3F3D"/>
    <w:rsid w:val="008D4376"/>
    <w:rsid w:val="008D51E9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1723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29C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098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465F"/>
    <w:rsid w:val="0092500F"/>
    <w:rsid w:val="009250D2"/>
    <w:rsid w:val="0092519D"/>
    <w:rsid w:val="0092540B"/>
    <w:rsid w:val="009256C5"/>
    <w:rsid w:val="00925A21"/>
    <w:rsid w:val="00926283"/>
    <w:rsid w:val="009306BE"/>
    <w:rsid w:val="0093161F"/>
    <w:rsid w:val="00934836"/>
    <w:rsid w:val="00934963"/>
    <w:rsid w:val="00936ECA"/>
    <w:rsid w:val="00937320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4FC3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0D56"/>
    <w:rsid w:val="00962D2E"/>
    <w:rsid w:val="00963724"/>
    <w:rsid w:val="00963D22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621"/>
    <w:rsid w:val="0098095B"/>
    <w:rsid w:val="00982072"/>
    <w:rsid w:val="009833FA"/>
    <w:rsid w:val="00983ACF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676"/>
    <w:rsid w:val="009B0975"/>
    <w:rsid w:val="009B0EF2"/>
    <w:rsid w:val="009B23A3"/>
    <w:rsid w:val="009B25CE"/>
    <w:rsid w:val="009B2C0E"/>
    <w:rsid w:val="009B4925"/>
    <w:rsid w:val="009B4B4B"/>
    <w:rsid w:val="009B4BD4"/>
    <w:rsid w:val="009B4CE3"/>
    <w:rsid w:val="009B6FD3"/>
    <w:rsid w:val="009B70BD"/>
    <w:rsid w:val="009C07A5"/>
    <w:rsid w:val="009C24A3"/>
    <w:rsid w:val="009C3705"/>
    <w:rsid w:val="009C6215"/>
    <w:rsid w:val="009C7388"/>
    <w:rsid w:val="009C74C2"/>
    <w:rsid w:val="009D0CFF"/>
    <w:rsid w:val="009D1551"/>
    <w:rsid w:val="009D2859"/>
    <w:rsid w:val="009D36EC"/>
    <w:rsid w:val="009D3CD0"/>
    <w:rsid w:val="009D3E88"/>
    <w:rsid w:val="009D4173"/>
    <w:rsid w:val="009D51CA"/>
    <w:rsid w:val="009D6095"/>
    <w:rsid w:val="009D6306"/>
    <w:rsid w:val="009D6727"/>
    <w:rsid w:val="009E048A"/>
    <w:rsid w:val="009E1124"/>
    <w:rsid w:val="009E1FBA"/>
    <w:rsid w:val="009E2C54"/>
    <w:rsid w:val="009E3710"/>
    <w:rsid w:val="009E6F65"/>
    <w:rsid w:val="009E72A1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5B39"/>
    <w:rsid w:val="00A17754"/>
    <w:rsid w:val="00A2055B"/>
    <w:rsid w:val="00A20E22"/>
    <w:rsid w:val="00A219FE"/>
    <w:rsid w:val="00A22210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1C5"/>
    <w:rsid w:val="00A30336"/>
    <w:rsid w:val="00A30BB5"/>
    <w:rsid w:val="00A3128F"/>
    <w:rsid w:val="00A326D0"/>
    <w:rsid w:val="00A33C9A"/>
    <w:rsid w:val="00A348DC"/>
    <w:rsid w:val="00A35287"/>
    <w:rsid w:val="00A355F2"/>
    <w:rsid w:val="00A35CB2"/>
    <w:rsid w:val="00A37201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5E2F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21F"/>
    <w:rsid w:val="00A5430D"/>
    <w:rsid w:val="00A55301"/>
    <w:rsid w:val="00A572FB"/>
    <w:rsid w:val="00A57B3C"/>
    <w:rsid w:val="00A57E77"/>
    <w:rsid w:val="00A57F1B"/>
    <w:rsid w:val="00A600D2"/>
    <w:rsid w:val="00A60383"/>
    <w:rsid w:val="00A6128E"/>
    <w:rsid w:val="00A614EB"/>
    <w:rsid w:val="00A62CE1"/>
    <w:rsid w:val="00A631FA"/>
    <w:rsid w:val="00A63517"/>
    <w:rsid w:val="00A64203"/>
    <w:rsid w:val="00A64348"/>
    <w:rsid w:val="00A644E1"/>
    <w:rsid w:val="00A67641"/>
    <w:rsid w:val="00A6766C"/>
    <w:rsid w:val="00A70765"/>
    <w:rsid w:val="00A711B0"/>
    <w:rsid w:val="00A71279"/>
    <w:rsid w:val="00A721FB"/>
    <w:rsid w:val="00A727BA"/>
    <w:rsid w:val="00A72CA4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798"/>
    <w:rsid w:val="00A83B58"/>
    <w:rsid w:val="00A84D7D"/>
    <w:rsid w:val="00A84FAF"/>
    <w:rsid w:val="00A851B6"/>
    <w:rsid w:val="00A851ED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5AAE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5A7"/>
    <w:rsid w:val="00AB7BEE"/>
    <w:rsid w:val="00AB7DF2"/>
    <w:rsid w:val="00AC1E3F"/>
    <w:rsid w:val="00AC219A"/>
    <w:rsid w:val="00AC3D02"/>
    <w:rsid w:val="00AC4F18"/>
    <w:rsid w:val="00AC5F5B"/>
    <w:rsid w:val="00AC69CA"/>
    <w:rsid w:val="00AD0B46"/>
    <w:rsid w:val="00AD1094"/>
    <w:rsid w:val="00AD2565"/>
    <w:rsid w:val="00AD2862"/>
    <w:rsid w:val="00AD306C"/>
    <w:rsid w:val="00AD3111"/>
    <w:rsid w:val="00AD3424"/>
    <w:rsid w:val="00AD3E3F"/>
    <w:rsid w:val="00AD4FEF"/>
    <w:rsid w:val="00AD50D1"/>
    <w:rsid w:val="00AD59BB"/>
    <w:rsid w:val="00AD5D68"/>
    <w:rsid w:val="00AD5D71"/>
    <w:rsid w:val="00AD6483"/>
    <w:rsid w:val="00AD675A"/>
    <w:rsid w:val="00AD6A63"/>
    <w:rsid w:val="00AD6C73"/>
    <w:rsid w:val="00AD7D49"/>
    <w:rsid w:val="00AE06D0"/>
    <w:rsid w:val="00AE1B8A"/>
    <w:rsid w:val="00AE20DF"/>
    <w:rsid w:val="00AE26E1"/>
    <w:rsid w:val="00AE39DC"/>
    <w:rsid w:val="00AE3CDA"/>
    <w:rsid w:val="00AE481D"/>
    <w:rsid w:val="00AE608F"/>
    <w:rsid w:val="00AE6734"/>
    <w:rsid w:val="00AE684E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B98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3C0"/>
    <w:rsid w:val="00B01436"/>
    <w:rsid w:val="00B01C2C"/>
    <w:rsid w:val="00B0231C"/>
    <w:rsid w:val="00B07372"/>
    <w:rsid w:val="00B07C2A"/>
    <w:rsid w:val="00B10100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1953"/>
    <w:rsid w:val="00B22E17"/>
    <w:rsid w:val="00B2419B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0AD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1D6"/>
    <w:rsid w:val="00B46D25"/>
    <w:rsid w:val="00B47430"/>
    <w:rsid w:val="00B4795A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43EC"/>
    <w:rsid w:val="00B6449F"/>
    <w:rsid w:val="00B6493D"/>
    <w:rsid w:val="00B6553E"/>
    <w:rsid w:val="00B65C84"/>
    <w:rsid w:val="00B6608F"/>
    <w:rsid w:val="00B661F6"/>
    <w:rsid w:val="00B67E42"/>
    <w:rsid w:val="00B73180"/>
    <w:rsid w:val="00B74317"/>
    <w:rsid w:val="00B74D75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CFE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6D2C"/>
    <w:rsid w:val="00BB0274"/>
    <w:rsid w:val="00BB0B13"/>
    <w:rsid w:val="00BB12AC"/>
    <w:rsid w:val="00BB1CFD"/>
    <w:rsid w:val="00BB2C53"/>
    <w:rsid w:val="00BB32DA"/>
    <w:rsid w:val="00BB3A54"/>
    <w:rsid w:val="00BB4286"/>
    <w:rsid w:val="00BB462A"/>
    <w:rsid w:val="00BB4D26"/>
    <w:rsid w:val="00BB4E21"/>
    <w:rsid w:val="00BB6F86"/>
    <w:rsid w:val="00BB7746"/>
    <w:rsid w:val="00BC22EB"/>
    <w:rsid w:val="00BC26CA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7B"/>
    <w:rsid w:val="00BD55A9"/>
    <w:rsid w:val="00BD56BC"/>
    <w:rsid w:val="00BD5D91"/>
    <w:rsid w:val="00BD6445"/>
    <w:rsid w:val="00BD6526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3FE5"/>
    <w:rsid w:val="00BF4C31"/>
    <w:rsid w:val="00BF4E57"/>
    <w:rsid w:val="00BF53B8"/>
    <w:rsid w:val="00BF71D5"/>
    <w:rsid w:val="00BF786A"/>
    <w:rsid w:val="00BF7CB8"/>
    <w:rsid w:val="00BF7F08"/>
    <w:rsid w:val="00BF7F28"/>
    <w:rsid w:val="00C00831"/>
    <w:rsid w:val="00C00F20"/>
    <w:rsid w:val="00C01354"/>
    <w:rsid w:val="00C01587"/>
    <w:rsid w:val="00C01700"/>
    <w:rsid w:val="00C01B84"/>
    <w:rsid w:val="00C034E6"/>
    <w:rsid w:val="00C05715"/>
    <w:rsid w:val="00C05926"/>
    <w:rsid w:val="00C0784A"/>
    <w:rsid w:val="00C10B28"/>
    <w:rsid w:val="00C10B3B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BF1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FDE"/>
    <w:rsid w:val="00C35C16"/>
    <w:rsid w:val="00C36EC3"/>
    <w:rsid w:val="00C40E09"/>
    <w:rsid w:val="00C40F81"/>
    <w:rsid w:val="00C41463"/>
    <w:rsid w:val="00C41A06"/>
    <w:rsid w:val="00C41A72"/>
    <w:rsid w:val="00C42D45"/>
    <w:rsid w:val="00C43CB1"/>
    <w:rsid w:val="00C4422D"/>
    <w:rsid w:val="00C466D1"/>
    <w:rsid w:val="00C476C5"/>
    <w:rsid w:val="00C47EB6"/>
    <w:rsid w:val="00C503B0"/>
    <w:rsid w:val="00C511C2"/>
    <w:rsid w:val="00C527C6"/>
    <w:rsid w:val="00C538FC"/>
    <w:rsid w:val="00C53CDB"/>
    <w:rsid w:val="00C53D7B"/>
    <w:rsid w:val="00C53D82"/>
    <w:rsid w:val="00C54748"/>
    <w:rsid w:val="00C553E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953"/>
    <w:rsid w:val="00C80C9B"/>
    <w:rsid w:val="00C8180B"/>
    <w:rsid w:val="00C8335E"/>
    <w:rsid w:val="00C83F9C"/>
    <w:rsid w:val="00C84CE3"/>
    <w:rsid w:val="00C85614"/>
    <w:rsid w:val="00C86127"/>
    <w:rsid w:val="00C864FB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97D46"/>
    <w:rsid w:val="00CA02B2"/>
    <w:rsid w:val="00CA0883"/>
    <w:rsid w:val="00CA1085"/>
    <w:rsid w:val="00CA140F"/>
    <w:rsid w:val="00CA25C2"/>
    <w:rsid w:val="00CA2BF5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9A"/>
    <w:rsid w:val="00CB28EE"/>
    <w:rsid w:val="00CB2B15"/>
    <w:rsid w:val="00CB2EEA"/>
    <w:rsid w:val="00CB39FE"/>
    <w:rsid w:val="00CB43A7"/>
    <w:rsid w:val="00CB4DF1"/>
    <w:rsid w:val="00CB5996"/>
    <w:rsid w:val="00CB6809"/>
    <w:rsid w:val="00CB7452"/>
    <w:rsid w:val="00CC0E10"/>
    <w:rsid w:val="00CC0F96"/>
    <w:rsid w:val="00CC1DAF"/>
    <w:rsid w:val="00CC212E"/>
    <w:rsid w:val="00CC2642"/>
    <w:rsid w:val="00CC2967"/>
    <w:rsid w:val="00CC2A1E"/>
    <w:rsid w:val="00CC2A36"/>
    <w:rsid w:val="00CC2E15"/>
    <w:rsid w:val="00CC30E2"/>
    <w:rsid w:val="00CC3440"/>
    <w:rsid w:val="00CC351B"/>
    <w:rsid w:val="00CC3908"/>
    <w:rsid w:val="00CC4F3D"/>
    <w:rsid w:val="00CC62AD"/>
    <w:rsid w:val="00CC6CA2"/>
    <w:rsid w:val="00CC7086"/>
    <w:rsid w:val="00CC7B80"/>
    <w:rsid w:val="00CD0080"/>
    <w:rsid w:val="00CD0779"/>
    <w:rsid w:val="00CD1A5C"/>
    <w:rsid w:val="00CD2B3C"/>
    <w:rsid w:val="00CD30F6"/>
    <w:rsid w:val="00CD4B29"/>
    <w:rsid w:val="00CD5493"/>
    <w:rsid w:val="00CD6607"/>
    <w:rsid w:val="00CD67CA"/>
    <w:rsid w:val="00CD6954"/>
    <w:rsid w:val="00CD6DA3"/>
    <w:rsid w:val="00CD6EF1"/>
    <w:rsid w:val="00CD7E35"/>
    <w:rsid w:val="00CE0CD6"/>
    <w:rsid w:val="00CE1313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E3C"/>
    <w:rsid w:val="00CE7158"/>
    <w:rsid w:val="00CE797F"/>
    <w:rsid w:val="00CF0826"/>
    <w:rsid w:val="00CF107E"/>
    <w:rsid w:val="00CF15BF"/>
    <w:rsid w:val="00CF243E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0AB"/>
    <w:rsid w:val="00D11102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48FE"/>
    <w:rsid w:val="00D26923"/>
    <w:rsid w:val="00D26E27"/>
    <w:rsid w:val="00D277FF"/>
    <w:rsid w:val="00D27856"/>
    <w:rsid w:val="00D27D34"/>
    <w:rsid w:val="00D3006B"/>
    <w:rsid w:val="00D301CA"/>
    <w:rsid w:val="00D30740"/>
    <w:rsid w:val="00D309C0"/>
    <w:rsid w:val="00D30DC4"/>
    <w:rsid w:val="00D31075"/>
    <w:rsid w:val="00D31445"/>
    <w:rsid w:val="00D31932"/>
    <w:rsid w:val="00D32AE0"/>
    <w:rsid w:val="00D360DA"/>
    <w:rsid w:val="00D374B3"/>
    <w:rsid w:val="00D37689"/>
    <w:rsid w:val="00D378CC"/>
    <w:rsid w:val="00D37E80"/>
    <w:rsid w:val="00D4042C"/>
    <w:rsid w:val="00D40B9E"/>
    <w:rsid w:val="00D41281"/>
    <w:rsid w:val="00D41320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1739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3F7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4CE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875C9"/>
    <w:rsid w:val="00D90116"/>
    <w:rsid w:val="00D90C1E"/>
    <w:rsid w:val="00D91BDF"/>
    <w:rsid w:val="00D91F2C"/>
    <w:rsid w:val="00D9266B"/>
    <w:rsid w:val="00D93F09"/>
    <w:rsid w:val="00D94859"/>
    <w:rsid w:val="00D954C2"/>
    <w:rsid w:val="00D95D83"/>
    <w:rsid w:val="00D96368"/>
    <w:rsid w:val="00D9640A"/>
    <w:rsid w:val="00D97AAD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0C2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670"/>
    <w:rsid w:val="00DD2872"/>
    <w:rsid w:val="00DD2A62"/>
    <w:rsid w:val="00DD2BB1"/>
    <w:rsid w:val="00DD2BD0"/>
    <w:rsid w:val="00DD2BFE"/>
    <w:rsid w:val="00DD36E7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1A2F"/>
    <w:rsid w:val="00DF21FD"/>
    <w:rsid w:val="00DF2873"/>
    <w:rsid w:val="00DF293C"/>
    <w:rsid w:val="00DF34B2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B2B"/>
    <w:rsid w:val="00E05EAD"/>
    <w:rsid w:val="00E065FC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4871"/>
    <w:rsid w:val="00E25223"/>
    <w:rsid w:val="00E25999"/>
    <w:rsid w:val="00E26123"/>
    <w:rsid w:val="00E263A8"/>
    <w:rsid w:val="00E30BEA"/>
    <w:rsid w:val="00E31764"/>
    <w:rsid w:val="00E3288A"/>
    <w:rsid w:val="00E329AB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6E03"/>
    <w:rsid w:val="00E4793B"/>
    <w:rsid w:val="00E47B32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00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724B"/>
    <w:rsid w:val="00E80E31"/>
    <w:rsid w:val="00E81130"/>
    <w:rsid w:val="00E813EF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32EA"/>
    <w:rsid w:val="00E9446C"/>
    <w:rsid w:val="00E94612"/>
    <w:rsid w:val="00E94ADB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0938"/>
    <w:rsid w:val="00EB1298"/>
    <w:rsid w:val="00EB20A0"/>
    <w:rsid w:val="00EB29CA"/>
    <w:rsid w:val="00EB2CE9"/>
    <w:rsid w:val="00EB30B6"/>
    <w:rsid w:val="00EB4335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4D9C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07DE"/>
    <w:rsid w:val="00EE1057"/>
    <w:rsid w:val="00EE10AA"/>
    <w:rsid w:val="00EE1637"/>
    <w:rsid w:val="00EE208C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03D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32C4"/>
    <w:rsid w:val="00F0356B"/>
    <w:rsid w:val="00F04811"/>
    <w:rsid w:val="00F0488C"/>
    <w:rsid w:val="00F0496E"/>
    <w:rsid w:val="00F04D10"/>
    <w:rsid w:val="00F04FAE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60EC"/>
    <w:rsid w:val="00F172BE"/>
    <w:rsid w:val="00F1776C"/>
    <w:rsid w:val="00F2037E"/>
    <w:rsid w:val="00F20D17"/>
    <w:rsid w:val="00F2103E"/>
    <w:rsid w:val="00F214FC"/>
    <w:rsid w:val="00F21837"/>
    <w:rsid w:val="00F21C31"/>
    <w:rsid w:val="00F23825"/>
    <w:rsid w:val="00F2389A"/>
    <w:rsid w:val="00F23F6C"/>
    <w:rsid w:val="00F23FFF"/>
    <w:rsid w:val="00F24115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170B"/>
    <w:rsid w:val="00F43921"/>
    <w:rsid w:val="00F44E1B"/>
    <w:rsid w:val="00F45222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C8E"/>
    <w:rsid w:val="00F70E45"/>
    <w:rsid w:val="00F727D5"/>
    <w:rsid w:val="00F72F44"/>
    <w:rsid w:val="00F73A0C"/>
    <w:rsid w:val="00F7593B"/>
    <w:rsid w:val="00F759DC"/>
    <w:rsid w:val="00F76563"/>
    <w:rsid w:val="00F76F35"/>
    <w:rsid w:val="00F7717C"/>
    <w:rsid w:val="00F771A5"/>
    <w:rsid w:val="00F77387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A76E1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B7710"/>
    <w:rsid w:val="00FC0D8A"/>
    <w:rsid w:val="00FC0E5F"/>
    <w:rsid w:val="00FC135D"/>
    <w:rsid w:val="00FC26FB"/>
    <w:rsid w:val="00FC2CF4"/>
    <w:rsid w:val="00FC3C84"/>
    <w:rsid w:val="00FC3EED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262"/>
    <w:rsid w:val="00FD43A0"/>
    <w:rsid w:val="00FD473D"/>
    <w:rsid w:val="00FD55BA"/>
    <w:rsid w:val="00FD61C8"/>
    <w:rsid w:val="00FD63CE"/>
    <w:rsid w:val="00FD77BB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0A8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E7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A1"/>
    <w:rPr>
      <w:rFonts w:ascii="Arial" w:hAnsi="Arial"/>
      <w:b/>
      <w:bCs/>
    </w:rPr>
  </w:style>
  <w:style w:type="character" w:styleId="Zvraznn">
    <w:name w:val="Emphasis"/>
    <w:basedOn w:val="Standardnpsmoodstavce"/>
    <w:uiPriority w:val="20"/>
    <w:qFormat/>
    <w:locked/>
    <w:rsid w:val="005D7503"/>
    <w:rPr>
      <w:i/>
      <w:iCs/>
    </w:rPr>
  </w:style>
  <w:style w:type="paragraph" w:styleId="Revize">
    <w:name w:val="Revision"/>
    <w:hidden/>
    <w:uiPriority w:val="99"/>
    <w:semiHidden/>
    <w:rsid w:val="0079638B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47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7\QMakro\Celorok\Trh%20pr&#225;ce\Grafy-trh%20pr&#225;ce-201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JKAM%20CSU\PUBLIKACE\PUBLIKACE\2017\QMakro\Celorok\Grafy-trh%20pr&#225;ce-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\rok%202017\Trh%20pr&#225;ce\Grafy-trh%20pr&#225;ce-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306663279993893E-2"/>
          <c:y val="1.6549886621315381E-2"/>
          <c:w val="0.92698007507126057"/>
          <c:h val="0.73872874149660062"/>
        </c:manualLayout>
      </c:layout>
      <c:barChart>
        <c:barDir val="col"/>
        <c:grouping val="clustered"/>
        <c:ser>
          <c:idx val="0"/>
          <c:order val="0"/>
          <c:tx>
            <c:strRef>
              <c:f>'Trh práce 1'!$C$7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1'!$C$8:$C$39</c:f>
              <c:numCache>
                <c:formatCode>#,##0.0</c:formatCode>
                <c:ptCount val="32"/>
                <c:pt idx="0" formatCode="0.0">
                  <c:v>-2.7493629357650775</c:v>
                </c:pt>
                <c:pt idx="1">
                  <c:v>-1.231355670101081</c:v>
                </c:pt>
                <c:pt idx="2">
                  <c:v>-0.18766026442571621</c:v>
                </c:pt>
                <c:pt idx="3">
                  <c:v>6.7316120287756923E-2</c:v>
                </c:pt>
                <c:pt idx="4" formatCode="0.0">
                  <c:v>0.10338579028356776</c:v>
                </c:pt>
                <c:pt idx="5">
                  <c:v>2.018958815014571E-3</c:v>
                </c:pt>
                <c:pt idx="6">
                  <c:v>-0.44357673893365956</c:v>
                </c:pt>
                <c:pt idx="7">
                  <c:v>-0.74967660526091662</c:v>
                </c:pt>
                <c:pt idx="8" formatCode="0.0">
                  <c:v>-6.4487376943205832E-2</c:v>
                </c:pt>
                <c:pt idx="9">
                  <c:v>0.15991018585724517</c:v>
                </c:pt>
                <c:pt idx="10">
                  <c:v>0.67126249823633088</c:v>
                </c:pt>
                <c:pt idx="11">
                  <c:v>0.91419179797142669</c:v>
                </c:pt>
                <c:pt idx="12" formatCode="0.0">
                  <c:v>0.44342336418017692</c:v>
                </c:pt>
                <c:pt idx="13">
                  <c:v>0.67770819458963161</c:v>
                </c:pt>
                <c:pt idx="14">
                  <c:v>0.12895197144355475</c:v>
                </c:pt>
                <c:pt idx="15">
                  <c:v>4.0322580645167333E-2</c:v>
                </c:pt>
                <c:pt idx="16" formatCode="0.0">
                  <c:v>0.57697146908899177</c:v>
                </c:pt>
                <c:pt idx="17">
                  <c:v>8.0399106188068226E-2</c:v>
                </c:pt>
                <c:pt idx="18">
                  <c:v>0.61322218939174555</c:v>
                </c:pt>
                <c:pt idx="19">
                  <c:v>0.93792373035558363</c:v>
                </c:pt>
                <c:pt idx="20" formatCode="0.0">
                  <c:v>1.2656993874037625</c:v>
                </c:pt>
                <c:pt idx="21">
                  <c:v>1.7613382287180177</c:v>
                </c:pt>
                <c:pt idx="22">
                  <c:v>1.3482013235820041</c:v>
                </c:pt>
                <c:pt idx="23">
                  <c:v>1.3363413079349578</c:v>
                </c:pt>
                <c:pt idx="24" formatCode="0.0">
                  <c:v>1.25558572910262</c:v>
                </c:pt>
                <c:pt idx="25">
                  <c:v>1.1507983544329499</c:v>
                </c:pt>
                <c:pt idx="26">
                  <c:v>1.2387481612437441</c:v>
                </c:pt>
                <c:pt idx="27">
                  <c:v>1.4978787727267502</c:v>
                </c:pt>
                <c:pt idx="28" formatCode="0.0">
                  <c:v>1.4614799115755517</c:v>
                </c:pt>
                <c:pt idx="29">
                  <c:v>1.2931305511953326</c:v>
                </c:pt>
                <c:pt idx="30">
                  <c:v>2.0275621702766813</c:v>
                </c:pt>
                <c:pt idx="31">
                  <c:v>1.4810788094147682</c:v>
                </c:pt>
              </c:numCache>
            </c:numRef>
          </c:val>
        </c:ser>
        <c:ser>
          <c:idx val="1"/>
          <c:order val="1"/>
          <c:tx>
            <c:strRef>
              <c:f>'Trh práce 1'!$D$7</c:f>
              <c:strCache>
                <c:ptCount val="1"/>
                <c:pt idx="0">
                  <c:v>z toho zaměstnanci</c:v>
                </c:pt>
              </c:strCache>
            </c:strRef>
          </c:tx>
          <c:spPr>
            <a:solidFill>
              <a:srgbClr val="B4B4B4"/>
            </a:solidFill>
          </c:spP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1'!$D$8:$D$39</c:f>
              <c:numCache>
                <c:formatCode>#,##0.0</c:formatCode>
                <c:ptCount val="32"/>
                <c:pt idx="0" formatCode="0.0">
                  <c:v>-3.7183457539311604</c:v>
                </c:pt>
                <c:pt idx="1">
                  <c:v>-2.2037535918506852</c:v>
                </c:pt>
                <c:pt idx="2">
                  <c:v>-0.95031718324349868</c:v>
                </c:pt>
                <c:pt idx="3">
                  <c:v>-0.89602372013739251</c:v>
                </c:pt>
                <c:pt idx="4" formatCode="0.0">
                  <c:v>-0.12541420529301206</c:v>
                </c:pt>
                <c:pt idx="5">
                  <c:v>-0.18074186061507191</c:v>
                </c:pt>
                <c:pt idx="6">
                  <c:v>-0.68532067485385584</c:v>
                </c:pt>
                <c:pt idx="7">
                  <c:v>-1.0055124180924442</c:v>
                </c:pt>
                <c:pt idx="8" formatCode="0.0">
                  <c:v>-0.30649126299194263</c:v>
                </c:pt>
                <c:pt idx="9">
                  <c:v>8.2306292576589724E-2</c:v>
                </c:pt>
                <c:pt idx="10">
                  <c:v>1.1363397269730273</c:v>
                </c:pt>
                <c:pt idx="11">
                  <c:v>1.4752985788288413</c:v>
                </c:pt>
                <c:pt idx="12" formatCode="0.0">
                  <c:v>1.3546733566221858</c:v>
                </c:pt>
                <c:pt idx="13">
                  <c:v>1.6154432368700355</c:v>
                </c:pt>
                <c:pt idx="14">
                  <c:v>0.36949059992726441</c:v>
                </c:pt>
                <c:pt idx="15">
                  <c:v>0.47903550287971086</c:v>
                </c:pt>
                <c:pt idx="16" formatCode="0.0">
                  <c:v>0.66378516215239791</c:v>
                </c:pt>
                <c:pt idx="17">
                  <c:v>0.18975134112584302</c:v>
                </c:pt>
                <c:pt idx="18">
                  <c:v>1.2672516726795198</c:v>
                </c:pt>
                <c:pt idx="19">
                  <c:v>1.4210854345550401</c:v>
                </c:pt>
                <c:pt idx="20" formatCode="0.0">
                  <c:v>1.7902796675032424</c:v>
                </c:pt>
                <c:pt idx="21">
                  <c:v>2.2018522696376976</c:v>
                </c:pt>
                <c:pt idx="22">
                  <c:v>1.7829147341944758</c:v>
                </c:pt>
                <c:pt idx="23">
                  <c:v>2.023636901433207</c:v>
                </c:pt>
                <c:pt idx="24" formatCode="0.0">
                  <c:v>1.7634904453369258</c:v>
                </c:pt>
                <c:pt idx="25">
                  <c:v>1.2273587505034556</c:v>
                </c:pt>
                <c:pt idx="26">
                  <c:v>1.1016541871874277</c:v>
                </c:pt>
                <c:pt idx="27">
                  <c:v>0.89889101162970675</c:v>
                </c:pt>
                <c:pt idx="28" formatCode="0.0">
                  <c:v>0.87734573109716563</c:v>
                </c:pt>
                <c:pt idx="29">
                  <c:v>1.2188739489708951</c:v>
                </c:pt>
                <c:pt idx="30">
                  <c:v>2.0480467782725396</c:v>
                </c:pt>
                <c:pt idx="31">
                  <c:v>1.9483508578580069</c:v>
                </c:pt>
              </c:numCache>
            </c:numRef>
          </c:val>
        </c:ser>
        <c:gapWidth val="39"/>
        <c:axId val="118678656"/>
        <c:axId val="118680960"/>
      </c:barChart>
      <c:lineChart>
        <c:grouping val="standard"/>
        <c:ser>
          <c:idx val="2"/>
          <c:order val="2"/>
          <c:tx>
            <c:strRef>
              <c:f>'Trh práce 1'!$E$7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1'!$E$8:$E$39</c:f>
              <c:numCache>
                <c:formatCode>#,##0.0</c:formatCode>
                <c:ptCount val="32"/>
                <c:pt idx="0" formatCode="0.0">
                  <c:v>-7.1328240218293359</c:v>
                </c:pt>
                <c:pt idx="1">
                  <c:v>-3.3483416585653907</c:v>
                </c:pt>
                <c:pt idx="2">
                  <c:v>-1.2053324012494855</c:v>
                </c:pt>
                <c:pt idx="3">
                  <c:v>-0.57131663484785755</c:v>
                </c:pt>
                <c:pt idx="4" formatCode="0.0">
                  <c:v>3.9594013882738377</c:v>
                </c:pt>
                <c:pt idx="5">
                  <c:v>4.29177691707892</c:v>
                </c:pt>
                <c:pt idx="6">
                  <c:v>3.8641041434753802</c:v>
                </c:pt>
                <c:pt idx="7">
                  <c:v>2.3282676220815119</c:v>
                </c:pt>
                <c:pt idx="8" formatCode="0.0">
                  <c:v>0.60345793922903113</c:v>
                </c:pt>
                <c:pt idx="9">
                  <c:v>0.50872672006472897</c:v>
                </c:pt>
                <c:pt idx="10">
                  <c:v>1.2032645570921534</c:v>
                </c:pt>
                <c:pt idx="11">
                  <c:v>1.6438966600367309</c:v>
                </c:pt>
                <c:pt idx="12" formatCode="0.0">
                  <c:v>-0.17866048437355175</c:v>
                </c:pt>
                <c:pt idx="13">
                  <c:v>0.16028267064615417</c:v>
                </c:pt>
                <c:pt idx="14">
                  <c:v>-0.40170171733359439</c:v>
                </c:pt>
                <c:pt idx="15">
                  <c:v>-0.21424103300076236</c:v>
                </c:pt>
                <c:pt idx="16" formatCode="0.0">
                  <c:v>0.79613495033972015</c:v>
                </c:pt>
                <c:pt idx="17">
                  <c:v>0.76079016253729481</c:v>
                </c:pt>
                <c:pt idx="18">
                  <c:v>1.537859661648028</c:v>
                </c:pt>
                <c:pt idx="19">
                  <c:v>2.0804183493204675</c:v>
                </c:pt>
                <c:pt idx="20" formatCode="0.0">
                  <c:v>3.4953504286037127</c:v>
                </c:pt>
                <c:pt idx="21">
                  <c:v>3.6840014560195882</c:v>
                </c:pt>
                <c:pt idx="22">
                  <c:v>3.1112916815337428</c:v>
                </c:pt>
                <c:pt idx="23">
                  <c:v>3.7794080596979152</c:v>
                </c:pt>
                <c:pt idx="24" formatCode="0.0">
                  <c:v>2.431344478594383</c:v>
                </c:pt>
                <c:pt idx="25">
                  <c:v>1.5761795854152467</c:v>
                </c:pt>
                <c:pt idx="26">
                  <c:v>1.831630983970058</c:v>
                </c:pt>
                <c:pt idx="27">
                  <c:v>1.3319586258319731</c:v>
                </c:pt>
                <c:pt idx="28" formatCode="0.0">
                  <c:v>1.0374019421035999E-2</c:v>
                </c:pt>
                <c:pt idx="29">
                  <c:v>0.4452236515653426</c:v>
                </c:pt>
                <c:pt idx="30">
                  <c:v>0.98933067760368965</c:v>
                </c:pt>
                <c:pt idx="31">
                  <c:v>0.99466162609706998</c:v>
                </c:pt>
              </c:numCache>
            </c:numRef>
          </c:val>
        </c:ser>
        <c:ser>
          <c:idx val="3"/>
          <c:order val="3"/>
          <c:tx>
            <c:strRef>
              <c:f>'Trh práce 1'!$F$7</c:f>
              <c:strCache>
                <c:ptCount val="1"/>
                <c:pt idx="0">
                  <c:v>Stavebnictví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1'!$F$8:$F$39</c:f>
              <c:numCache>
                <c:formatCode>#,##0.0</c:formatCode>
                <c:ptCount val="32"/>
                <c:pt idx="0" formatCode="0.0">
                  <c:v>0.96973743053816608</c:v>
                </c:pt>
                <c:pt idx="1">
                  <c:v>1.5766212487064517</c:v>
                </c:pt>
                <c:pt idx="2">
                  <c:v>2.0505826231116777</c:v>
                </c:pt>
                <c:pt idx="3">
                  <c:v>2.0975017349063205</c:v>
                </c:pt>
                <c:pt idx="4" formatCode="0.0">
                  <c:v>-5.0057748344370765</c:v>
                </c:pt>
                <c:pt idx="5">
                  <c:v>-4.9400088718526733</c:v>
                </c:pt>
                <c:pt idx="6">
                  <c:v>-5.3825592625853345</c:v>
                </c:pt>
                <c:pt idx="7">
                  <c:v>-5.2114309503984755</c:v>
                </c:pt>
                <c:pt idx="8" formatCode="0.0">
                  <c:v>-1.0125955373515865</c:v>
                </c:pt>
                <c:pt idx="9">
                  <c:v>-0.65129343258656325</c:v>
                </c:pt>
                <c:pt idx="10">
                  <c:v>-1.6486726674023942</c:v>
                </c:pt>
                <c:pt idx="11">
                  <c:v>-1.8238369370116339</c:v>
                </c:pt>
                <c:pt idx="12" formatCode="0.0">
                  <c:v>-2.4231770393157888</c:v>
                </c:pt>
                <c:pt idx="13">
                  <c:v>-3.6906605297992368</c:v>
                </c:pt>
                <c:pt idx="14">
                  <c:v>-2.201849061585321</c:v>
                </c:pt>
                <c:pt idx="15">
                  <c:v>-1.0882912822572803</c:v>
                </c:pt>
                <c:pt idx="16" formatCode="0.0">
                  <c:v>-5.0648669747761375</c:v>
                </c:pt>
                <c:pt idx="17">
                  <c:v>-3.6538098049419152</c:v>
                </c:pt>
                <c:pt idx="18">
                  <c:v>-4.2712784278679123</c:v>
                </c:pt>
                <c:pt idx="19">
                  <c:v>-5.2428752740278899</c:v>
                </c:pt>
                <c:pt idx="20" formatCode="0.0">
                  <c:v>-0.17200523557662176</c:v>
                </c:pt>
                <c:pt idx="21">
                  <c:v>-9.2520605210694745E-2</c:v>
                </c:pt>
                <c:pt idx="22">
                  <c:v>-0.60778302632186865</c:v>
                </c:pt>
                <c:pt idx="23">
                  <c:v>-0.98361054964323058</c:v>
                </c:pt>
                <c:pt idx="24" formatCode="0.0">
                  <c:v>-0.8695503829872242</c:v>
                </c:pt>
                <c:pt idx="25">
                  <c:v>-1.2632757897594833</c:v>
                </c:pt>
                <c:pt idx="26">
                  <c:v>0.19494607796374913</c:v>
                </c:pt>
                <c:pt idx="27">
                  <c:v>0.47566227486591306</c:v>
                </c:pt>
                <c:pt idx="28" formatCode="0.0">
                  <c:v>0.87939049904241562</c:v>
                </c:pt>
                <c:pt idx="29">
                  <c:v>0.58337098073108551</c:v>
                </c:pt>
                <c:pt idx="30">
                  <c:v>1.6505219369769721</c:v>
                </c:pt>
                <c:pt idx="31">
                  <c:v>-6.5112294229238185E-2</c:v>
                </c:pt>
              </c:numCache>
            </c:numRef>
          </c:val>
        </c:ser>
        <c:ser>
          <c:idx val="4"/>
          <c:order val="4"/>
          <c:tx>
            <c:strRef>
              <c:f>'Trh práce 1'!$G$7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1'!$G$8:$G$39</c:f>
              <c:numCache>
                <c:formatCode>#,##0.0</c:formatCode>
                <c:ptCount val="32"/>
                <c:pt idx="0" formatCode="0.0">
                  <c:v>-1.4811264631436956</c:v>
                </c:pt>
                <c:pt idx="1">
                  <c:v>-0.55415302001367195</c:v>
                </c:pt>
                <c:pt idx="2">
                  <c:v>0.60230497012719364</c:v>
                </c:pt>
                <c:pt idx="3">
                  <c:v>1.1873384060302081</c:v>
                </c:pt>
                <c:pt idx="4" formatCode="0.0">
                  <c:v>-0.26525714239460285</c:v>
                </c:pt>
                <c:pt idx="5">
                  <c:v>-0.33716708681508756</c:v>
                </c:pt>
                <c:pt idx="6">
                  <c:v>-0.36196666950499801</c:v>
                </c:pt>
                <c:pt idx="7">
                  <c:v>-0.6159301049051038</c:v>
                </c:pt>
                <c:pt idx="8" formatCode="0.0">
                  <c:v>-0.54434279555370324</c:v>
                </c:pt>
                <c:pt idx="9">
                  <c:v>-0.40514396083042931</c:v>
                </c:pt>
                <c:pt idx="10">
                  <c:v>-0.37311748202134282</c:v>
                </c:pt>
                <c:pt idx="11">
                  <c:v>-0.76815794371515267</c:v>
                </c:pt>
                <c:pt idx="12" formatCode="0.0">
                  <c:v>0.77369328581768571</c:v>
                </c:pt>
                <c:pt idx="13">
                  <c:v>0.60429784295405464</c:v>
                </c:pt>
                <c:pt idx="14">
                  <c:v>7.7201205439365581E-2</c:v>
                </c:pt>
                <c:pt idx="15">
                  <c:v>0.17659710770475101</c:v>
                </c:pt>
                <c:pt idx="16" formatCode="0.0">
                  <c:v>-0.27532549141551532</c:v>
                </c:pt>
                <c:pt idx="17">
                  <c:v>-1.0247212280180378</c:v>
                </c:pt>
                <c:pt idx="18">
                  <c:v>-0.43357812735003465</c:v>
                </c:pt>
                <c:pt idx="19">
                  <c:v>0.64735384894699166</c:v>
                </c:pt>
                <c:pt idx="20" formatCode="0.0">
                  <c:v>0.50702313110330977</c:v>
                </c:pt>
                <c:pt idx="21">
                  <c:v>1.5961990830606112</c:v>
                </c:pt>
                <c:pt idx="22">
                  <c:v>0.93704012916178669</c:v>
                </c:pt>
                <c:pt idx="23">
                  <c:v>0.33427848272518373</c:v>
                </c:pt>
                <c:pt idx="24" formatCode="0.0">
                  <c:v>1.0009323399146552</c:v>
                </c:pt>
                <c:pt idx="25">
                  <c:v>1.7066855557750675</c:v>
                </c:pt>
                <c:pt idx="26">
                  <c:v>0.78520382793907162</c:v>
                </c:pt>
                <c:pt idx="27">
                  <c:v>1.1320860722512625</c:v>
                </c:pt>
                <c:pt idx="28" formatCode="0.0">
                  <c:v>2.2366384430481308</c:v>
                </c:pt>
                <c:pt idx="29">
                  <c:v>1.5235156303670294</c:v>
                </c:pt>
                <c:pt idx="30">
                  <c:v>3.2730570539692248</c:v>
                </c:pt>
                <c:pt idx="31">
                  <c:v>2.6959568583412352</c:v>
                </c:pt>
              </c:numCache>
            </c:numRef>
          </c:val>
        </c:ser>
        <c:ser>
          <c:idx val="5"/>
          <c:order val="5"/>
          <c:tx>
            <c:strRef>
              <c:f>'Trh práce 1'!$H$7</c:f>
              <c:strCache>
                <c:ptCount val="1"/>
                <c:pt idx="0">
                  <c:v>Veř.spr.,obrana,vzděl.,zdrav. a soc.péče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1'!$H$8:$H$39</c:f>
              <c:numCache>
                <c:formatCode>#,##0.0</c:formatCode>
                <c:ptCount val="32"/>
                <c:pt idx="0" formatCode="0.0">
                  <c:v>-1.855806077102784E-2</c:v>
                </c:pt>
                <c:pt idx="1">
                  <c:v>-0.2268975752819245</c:v>
                </c:pt>
                <c:pt idx="2">
                  <c:v>-0.29433275456824531</c:v>
                </c:pt>
                <c:pt idx="3">
                  <c:v>-0.22704563055180102</c:v>
                </c:pt>
                <c:pt idx="4" formatCode="0.0">
                  <c:v>-0.47110868534822964</c:v>
                </c:pt>
                <c:pt idx="5">
                  <c:v>-0.76334858695398466</c:v>
                </c:pt>
                <c:pt idx="6">
                  <c:v>-1.0474282405825956</c:v>
                </c:pt>
                <c:pt idx="7">
                  <c:v>-0.76086919786541785</c:v>
                </c:pt>
                <c:pt idx="8" formatCode="0.0">
                  <c:v>-2.5354254663728577</c:v>
                </c:pt>
                <c:pt idx="9">
                  <c:v>-1.902141619073888</c:v>
                </c:pt>
                <c:pt idx="10">
                  <c:v>-0.31903720704937688</c:v>
                </c:pt>
                <c:pt idx="11">
                  <c:v>0.36291810220055554</c:v>
                </c:pt>
                <c:pt idx="12" formatCode="0.0">
                  <c:v>0.82471995854189606</c:v>
                </c:pt>
                <c:pt idx="13">
                  <c:v>2.1008576235233787</c:v>
                </c:pt>
                <c:pt idx="14">
                  <c:v>1.1395620003701339</c:v>
                </c:pt>
                <c:pt idx="15">
                  <c:v>0.93291347702553662</c:v>
                </c:pt>
                <c:pt idx="16" formatCode="0.0">
                  <c:v>1.5775454229154633</c:v>
                </c:pt>
                <c:pt idx="17">
                  <c:v>0.97071946520879182</c:v>
                </c:pt>
                <c:pt idx="18">
                  <c:v>2.0062549533348024</c:v>
                </c:pt>
                <c:pt idx="19">
                  <c:v>1.909431171276182</c:v>
                </c:pt>
                <c:pt idx="20" formatCode="0.0">
                  <c:v>1.5186815850960897</c:v>
                </c:pt>
                <c:pt idx="21">
                  <c:v>1.3439686041484278</c:v>
                </c:pt>
                <c:pt idx="22">
                  <c:v>0.58259948981275822</c:v>
                </c:pt>
                <c:pt idx="23">
                  <c:v>0.49868099701011476</c:v>
                </c:pt>
                <c:pt idx="24" formatCode="0.0">
                  <c:v>0.63503922301082572</c:v>
                </c:pt>
                <c:pt idx="25">
                  <c:v>0.46250463543849207</c:v>
                </c:pt>
                <c:pt idx="26">
                  <c:v>0.92616906278036026</c:v>
                </c:pt>
                <c:pt idx="27">
                  <c:v>1.4567791547310804</c:v>
                </c:pt>
                <c:pt idx="28" formatCode="0.0">
                  <c:v>0.68284686073320722</c:v>
                </c:pt>
                <c:pt idx="29">
                  <c:v>0.93708384646460274</c:v>
                </c:pt>
                <c:pt idx="30">
                  <c:v>1.5259446362655855</c:v>
                </c:pt>
                <c:pt idx="31">
                  <c:v>1.6708582817110555</c:v>
                </c:pt>
              </c:numCache>
            </c:numRef>
          </c:val>
        </c:ser>
        <c:ser>
          <c:idx val="6"/>
          <c:order val="6"/>
          <c:tx>
            <c:strRef>
              <c:f>'Trh práce 1'!$I$7</c:f>
              <c:strCache>
                <c:ptCount val="1"/>
                <c:pt idx="0">
                  <c:v>Profesní, vědecké, technic. a  admin. čin.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'Trh práce 1'!$A$8:$B$39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1'!$I$8:$I$39</c:f>
              <c:numCache>
                <c:formatCode>#,##0.0</c:formatCode>
                <c:ptCount val="32"/>
                <c:pt idx="0" formatCode="0.0">
                  <c:v>-1.7361900970579192</c:v>
                </c:pt>
                <c:pt idx="1">
                  <c:v>-0.71964829861366886</c:v>
                </c:pt>
                <c:pt idx="2">
                  <c:v>-0.11701441372717625</c:v>
                </c:pt>
                <c:pt idx="3">
                  <c:v>-0.63412618780617469</c:v>
                </c:pt>
                <c:pt idx="4" formatCode="0.0">
                  <c:v>-2.4230206250949493</c:v>
                </c:pt>
                <c:pt idx="5">
                  <c:v>-2.8585508924448937</c:v>
                </c:pt>
                <c:pt idx="6">
                  <c:v>-4.6837027416279096</c:v>
                </c:pt>
                <c:pt idx="7">
                  <c:v>-3.5802788858820236</c:v>
                </c:pt>
                <c:pt idx="8" formatCode="0.0">
                  <c:v>1.6068564480613787</c:v>
                </c:pt>
                <c:pt idx="9">
                  <c:v>1.6977786534009738</c:v>
                </c:pt>
                <c:pt idx="10">
                  <c:v>2.5449653408908119</c:v>
                </c:pt>
                <c:pt idx="11">
                  <c:v>2.9858065152037767</c:v>
                </c:pt>
                <c:pt idx="12" formatCode="0.0">
                  <c:v>0.66302965148380666</c:v>
                </c:pt>
                <c:pt idx="13">
                  <c:v>1.9421049317841721</c:v>
                </c:pt>
                <c:pt idx="14">
                  <c:v>2.6322897423901201</c:v>
                </c:pt>
                <c:pt idx="15">
                  <c:v>2.3513113220413602</c:v>
                </c:pt>
                <c:pt idx="16" formatCode="0.0">
                  <c:v>4.0126223515170238</c:v>
                </c:pt>
                <c:pt idx="17">
                  <c:v>2.8253526346044833</c:v>
                </c:pt>
                <c:pt idx="18">
                  <c:v>1.4570943175436222</c:v>
                </c:pt>
                <c:pt idx="19">
                  <c:v>0.92527655436174427</c:v>
                </c:pt>
                <c:pt idx="20" formatCode="0.0">
                  <c:v>1.3229541252009369</c:v>
                </c:pt>
                <c:pt idx="21">
                  <c:v>1.2904626814640918</c:v>
                </c:pt>
                <c:pt idx="22">
                  <c:v>2.6152570557745487</c:v>
                </c:pt>
                <c:pt idx="23">
                  <c:v>4.1302041591579695</c:v>
                </c:pt>
                <c:pt idx="24" formatCode="0.0">
                  <c:v>3.3963743577633636</c:v>
                </c:pt>
                <c:pt idx="25">
                  <c:v>2.9950690380290768</c:v>
                </c:pt>
                <c:pt idx="26">
                  <c:v>3.032053915218031</c:v>
                </c:pt>
                <c:pt idx="27">
                  <c:v>3.0136602358342577</c:v>
                </c:pt>
                <c:pt idx="28" formatCode="0.0">
                  <c:v>5.6372163153985042</c:v>
                </c:pt>
                <c:pt idx="29">
                  <c:v>4.4779953320076373</c:v>
                </c:pt>
                <c:pt idx="30">
                  <c:v>3.6201533406352842</c:v>
                </c:pt>
                <c:pt idx="31">
                  <c:v>1.7309399029585397</c:v>
                </c:pt>
              </c:numCache>
            </c:numRef>
          </c:val>
        </c:ser>
        <c:marker val="1"/>
        <c:axId val="118678656"/>
        <c:axId val="118680960"/>
      </c:lineChart>
      <c:catAx>
        <c:axId val="118678656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crossAx val="118680960"/>
        <c:crosses val="autoZero"/>
        <c:auto val="1"/>
        <c:lblAlgn val="ctr"/>
        <c:lblOffset val="10"/>
      </c:catAx>
      <c:valAx>
        <c:axId val="118680960"/>
        <c:scaling>
          <c:orientation val="minMax"/>
          <c:max val="5"/>
          <c:min val="-7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8678656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2714458167939814E-2"/>
          <c:y val="0.85616374462013678"/>
          <c:w val="0.92505743233709536"/>
          <c:h val="0.13662103174603174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364838092894683E-2"/>
          <c:y val="1.643251153889452E-2"/>
          <c:w val="0.8844876162264117"/>
          <c:h val="0.75762726757370991"/>
        </c:manualLayout>
      </c:layout>
      <c:barChart>
        <c:barDir val="col"/>
        <c:grouping val="clustered"/>
        <c:ser>
          <c:idx val="0"/>
          <c:order val="0"/>
          <c:tx>
            <c:strRef>
              <c:f>'Trh práce-2'!$A$32</c:f>
              <c:strCache>
                <c:ptCount val="1"/>
                <c:pt idx="0">
                  <c:v>Míra nezaměstn. mužů (pravá osa)</c:v>
                </c:pt>
              </c:strCache>
            </c:strRef>
          </c:tx>
          <c:spPr>
            <a:solidFill>
              <a:srgbClr val="BCBCBC"/>
            </a:solidFill>
          </c:spPr>
          <c:cat>
            <c:multiLvlStrRef>
              <c:f>'Trh práce-2'!$B$30:$AG$31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práce-2'!$B$32:$AG$32</c:f>
              <c:numCache>
                <c:formatCode>#,##0.0</c:formatCode>
                <c:ptCount val="32"/>
                <c:pt idx="0">
                  <c:v>7.0897881060467505</c:v>
                </c:pt>
                <c:pt idx="1">
                  <c:v>6.4948830463203056</c:v>
                </c:pt>
                <c:pt idx="2">
                  <c:v>6.1954847565768434</c:v>
                </c:pt>
                <c:pt idx="3">
                  <c:v>6.0903971133860804</c:v>
                </c:pt>
                <c:pt idx="4">
                  <c:v>6.041331222528683</c:v>
                </c:pt>
                <c:pt idx="5">
                  <c:v>5.9797736823399372</c:v>
                </c:pt>
                <c:pt idx="6">
                  <c:v>5.7763516385054068</c:v>
                </c:pt>
                <c:pt idx="7">
                  <c:v>5.6844611004242012</c:v>
                </c:pt>
                <c:pt idx="8">
                  <c:v>5.9883995297741892</c:v>
                </c:pt>
                <c:pt idx="9">
                  <c:v>5.9715792201718934</c:v>
                </c:pt>
                <c:pt idx="10">
                  <c:v>6.0696872416346181</c:v>
                </c:pt>
                <c:pt idx="11">
                  <c:v>6.2558722127091864</c:v>
                </c:pt>
                <c:pt idx="12">
                  <c:v>6.2468670143094434</c:v>
                </c:pt>
                <c:pt idx="13">
                  <c:v>5.8774201799185946</c:v>
                </c:pt>
                <c:pt idx="14">
                  <c:v>5.9702328204790414</c:v>
                </c:pt>
                <c:pt idx="15">
                  <c:v>5.7539033345695074</c:v>
                </c:pt>
                <c:pt idx="16">
                  <c:v>5.5314098675456309</c:v>
                </c:pt>
                <c:pt idx="17">
                  <c:v>5.1944592597643977</c:v>
                </c:pt>
                <c:pt idx="18">
                  <c:v>4.9552609605886424</c:v>
                </c:pt>
                <c:pt idx="19">
                  <c:v>5.0219461606500095</c:v>
                </c:pt>
                <c:pt idx="20">
                  <c:v>4.9802638859509489</c:v>
                </c:pt>
                <c:pt idx="21">
                  <c:v>4.3377301537829673</c:v>
                </c:pt>
                <c:pt idx="22">
                  <c:v>4.1064091035501482</c:v>
                </c:pt>
                <c:pt idx="23">
                  <c:v>3.783516295939489</c:v>
                </c:pt>
                <c:pt idx="24">
                  <c:v>3.6028853211579648</c:v>
                </c:pt>
                <c:pt idx="25">
                  <c:v>3.5569765931747539</c:v>
                </c:pt>
                <c:pt idx="26">
                  <c:v>3.4175494614706357</c:v>
                </c:pt>
                <c:pt idx="27">
                  <c:v>3.1711261476998871</c:v>
                </c:pt>
                <c:pt idx="28">
                  <c:v>2.6541432499060202</c:v>
                </c:pt>
                <c:pt idx="29">
                  <c:v>2.4424632254729999</c:v>
                </c:pt>
                <c:pt idx="30">
                  <c:v>2.3092666517038567</c:v>
                </c:pt>
                <c:pt idx="31">
                  <c:v>2.0570351103222153</c:v>
                </c:pt>
              </c:numCache>
            </c:numRef>
          </c:val>
        </c:ser>
        <c:ser>
          <c:idx val="1"/>
          <c:order val="1"/>
          <c:tx>
            <c:strRef>
              <c:f>'Trh práce-2'!$A$33</c:f>
              <c:strCache>
                <c:ptCount val="1"/>
                <c:pt idx="0">
                  <c:v>Míra nezaměstn. žen (pravá osa)</c:v>
                </c:pt>
              </c:strCache>
            </c:strRef>
          </c:tx>
          <c:spPr>
            <a:solidFill>
              <a:srgbClr val="DBDBDB"/>
            </a:solidFill>
          </c:spPr>
          <c:cat>
            <c:multiLvlStrRef>
              <c:f>'Trh práce-2'!$B$30:$AG$31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práce-2'!$B$33:$AG$33</c:f>
              <c:numCache>
                <c:formatCode>#,##0.0</c:formatCode>
                <c:ptCount val="32"/>
                <c:pt idx="0">
                  <c:v>8.8070482028071027</c:v>
                </c:pt>
                <c:pt idx="1">
                  <c:v>8.5515005079088748</c:v>
                </c:pt>
                <c:pt idx="2">
                  <c:v>8.4779561429475887</c:v>
                </c:pt>
                <c:pt idx="3">
                  <c:v>8.307946834892352</c:v>
                </c:pt>
                <c:pt idx="4">
                  <c:v>8.1997599950744782</c:v>
                </c:pt>
                <c:pt idx="5">
                  <c:v>8.1112451223312139</c:v>
                </c:pt>
                <c:pt idx="6">
                  <c:v>7.8152073780504745</c:v>
                </c:pt>
                <c:pt idx="7">
                  <c:v>7.7322289409197333</c:v>
                </c:pt>
                <c:pt idx="8">
                  <c:v>8.0964981327617718</c:v>
                </c:pt>
                <c:pt idx="9">
                  <c:v>8.1792420680415532</c:v>
                </c:pt>
                <c:pt idx="10">
                  <c:v>8.2857121491612205</c:v>
                </c:pt>
                <c:pt idx="11">
                  <c:v>8.499260910915007</c:v>
                </c:pt>
                <c:pt idx="12">
                  <c:v>8.5100993111767327</c:v>
                </c:pt>
                <c:pt idx="13">
                  <c:v>8.4201009610948159</c:v>
                </c:pt>
                <c:pt idx="14">
                  <c:v>8.3715700152671246</c:v>
                </c:pt>
                <c:pt idx="15">
                  <c:v>8.1811283788845319</c:v>
                </c:pt>
                <c:pt idx="16">
                  <c:v>8.0110940581855861</c:v>
                </c:pt>
                <c:pt idx="17">
                  <c:v>7.7071054713087745</c:v>
                </c:pt>
                <c:pt idx="18">
                  <c:v>7.3443982956592828</c:v>
                </c:pt>
                <c:pt idx="19">
                  <c:v>6.949706470164589</c:v>
                </c:pt>
                <c:pt idx="20">
                  <c:v>6.8326094254127083</c:v>
                </c:pt>
                <c:pt idx="21">
                  <c:v>6.2564575741642772</c:v>
                </c:pt>
                <c:pt idx="22">
                  <c:v>5.9676720404272219</c:v>
                </c:pt>
                <c:pt idx="23">
                  <c:v>5.5995399968117043</c:v>
                </c:pt>
                <c:pt idx="24">
                  <c:v>5.1465821561751879</c:v>
                </c:pt>
                <c:pt idx="25">
                  <c:v>4.8217365886656856</c:v>
                </c:pt>
                <c:pt idx="26">
                  <c:v>4.7352348719843995</c:v>
                </c:pt>
                <c:pt idx="27">
                  <c:v>4.3799747506870785</c:v>
                </c:pt>
                <c:pt idx="28">
                  <c:v>4.4178013166761945</c:v>
                </c:pt>
                <c:pt idx="29">
                  <c:v>3.8370291427455516</c:v>
                </c:pt>
                <c:pt idx="30">
                  <c:v>3.2958892787255842</c:v>
                </c:pt>
                <c:pt idx="31">
                  <c:v>2.9680398079305212</c:v>
                </c:pt>
              </c:numCache>
            </c:numRef>
          </c:val>
        </c:ser>
        <c:gapWidth val="68"/>
        <c:axId val="159363840"/>
        <c:axId val="159198208"/>
      </c:barChart>
      <c:lineChart>
        <c:grouping val="standard"/>
        <c:ser>
          <c:idx val="2"/>
          <c:order val="2"/>
          <c:tx>
            <c:strRef>
              <c:f>'Trh práce-2'!$A$34</c:f>
              <c:strCache>
                <c:ptCount val="1"/>
                <c:pt idx="0">
                  <c:v>Nezaměstnaní s max. základ. vzděl.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'Trh práce-2'!$B$30:$AG$31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práce-2'!$B$34:$AG$34</c:f>
              <c:numCache>
                <c:formatCode>0</c:formatCode>
                <c:ptCount val="32"/>
                <c:pt idx="0">
                  <c:v>21.714768670214291</c:v>
                </c:pt>
                <c:pt idx="1">
                  <c:v>-1.21634331078873</c:v>
                </c:pt>
                <c:pt idx="2">
                  <c:v>-16.17582875054989</c:v>
                </c:pt>
                <c:pt idx="3">
                  <c:v>-17.326849096450193</c:v>
                </c:pt>
                <c:pt idx="4">
                  <c:v>-20.685159269353587</c:v>
                </c:pt>
                <c:pt idx="5">
                  <c:v>-13.109667018498982</c:v>
                </c:pt>
                <c:pt idx="6">
                  <c:v>-3.4347558981075395</c:v>
                </c:pt>
                <c:pt idx="7">
                  <c:v>-1.2914192636035153</c:v>
                </c:pt>
                <c:pt idx="8">
                  <c:v>15.116142329292568</c:v>
                </c:pt>
                <c:pt idx="9">
                  <c:v>20.564252208332089</c:v>
                </c:pt>
                <c:pt idx="10">
                  <c:v>17.300096375591213</c:v>
                </c:pt>
                <c:pt idx="11">
                  <c:v>21.054278842458295</c:v>
                </c:pt>
                <c:pt idx="12">
                  <c:v>1.5586037838760241</c:v>
                </c:pt>
                <c:pt idx="13">
                  <c:v>-14.506006075302388</c:v>
                </c:pt>
                <c:pt idx="14">
                  <c:v>-19.243419598176732</c:v>
                </c:pt>
                <c:pt idx="15">
                  <c:v>-25.150929504907829</c:v>
                </c:pt>
                <c:pt idx="16">
                  <c:v>-25.77535118359669</c:v>
                </c:pt>
                <c:pt idx="17">
                  <c:v>-22.26063113150277</c:v>
                </c:pt>
                <c:pt idx="18">
                  <c:v>-14.590196785136953</c:v>
                </c:pt>
                <c:pt idx="19">
                  <c:v>-9.444471544328108</c:v>
                </c:pt>
                <c:pt idx="20">
                  <c:v>-1.188370832677478</c:v>
                </c:pt>
                <c:pt idx="21">
                  <c:v>2.1795435785889632</c:v>
                </c:pt>
                <c:pt idx="22">
                  <c:v>-0.63856381013110364</c:v>
                </c:pt>
                <c:pt idx="23">
                  <c:v>4.3365931482174886</c:v>
                </c:pt>
                <c:pt idx="24">
                  <c:v>-7.7096667806765433</c:v>
                </c:pt>
                <c:pt idx="25">
                  <c:v>-3.4192888313452157</c:v>
                </c:pt>
                <c:pt idx="26">
                  <c:v>-5.2224150656789661</c:v>
                </c:pt>
                <c:pt idx="27">
                  <c:v>-15.506068308866634</c:v>
                </c:pt>
                <c:pt idx="28">
                  <c:v>-27.918696562118029</c:v>
                </c:pt>
                <c:pt idx="29">
                  <c:v>-33.500879210484243</c:v>
                </c:pt>
                <c:pt idx="30">
                  <c:v>-44.75740935216605</c:v>
                </c:pt>
                <c:pt idx="31">
                  <c:v>-45.405405405405396</c:v>
                </c:pt>
              </c:numCache>
            </c:numRef>
          </c:val>
        </c:ser>
        <c:ser>
          <c:idx val="3"/>
          <c:order val="3"/>
          <c:tx>
            <c:strRef>
              <c:f>'Trh práce-2'!$A$35</c:f>
              <c:strCache>
                <c:ptCount val="1"/>
                <c:pt idx="0">
                  <c:v>Nezaměstn. se střed.vzděl.bez mat.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'Trh práce-2'!$B$30:$AG$31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práce-2'!$B$35:$AG$35</c:f>
              <c:numCache>
                <c:formatCode>0</c:formatCode>
                <c:ptCount val="32"/>
                <c:pt idx="0">
                  <c:v>49.784188022706395</c:v>
                </c:pt>
                <c:pt idx="1">
                  <c:v>13.867544627418576</c:v>
                </c:pt>
                <c:pt idx="2">
                  <c:v>-3.4814801600927581</c:v>
                </c:pt>
                <c:pt idx="3">
                  <c:v>-3.5322380372063265</c:v>
                </c:pt>
                <c:pt idx="4">
                  <c:v>-11.579352488945252</c:v>
                </c:pt>
                <c:pt idx="5">
                  <c:v>-8.4345228185388521</c:v>
                </c:pt>
                <c:pt idx="6">
                  <c:v>-7.4278516415523796</c:v>
                </c:pt>
                <c:pt idx="7">
                  <c:v>-11.39844334476407</c:v>
                </c:pt>
                <c:pt idx="8">
                  <c:v>-6.9967808393978146</c:v>
                </c:pt>
                <c:pt idx="9">
                  <c:v>-4.6316506832057804</c:v>
                </c:pt>
                <c:pt idx="10">
                  <c:v>1.5130013110978575</c:v>
                </c:pt>
                <c:pt idx="11">
                  <c:v>15.444727754266269</c:v>
                </c:pt>
                <c:pt idx="12">
                  <c:v>11.295553399301276</c:v>
                </c:pt>
                <c:pt idx="13">
                  <c:v>11.135950773644549</c:v>
                </c:pt>
                <c:pt idx="14">
                  <c:v>2.1227982768583051</c:v>
                </c:pt>
                <c:pt idx="15">
                  <c:v>-8.1974891991531127</c:v>
                </c:pt>
                <c:pt idx="16">
                  <c:v>-9.6245134843654139</c:v>
                </c:pt>
                <c:pt idx="17">
                  <c:v>-16.231929719850893</c:v>
                </c:pt>
                <c:pt idx="18">
                  <c:v>-19.827481877336286</c:v>
                </c:pt>
                <c:pt idx="19">
                  <c:v>-16.693209567708788</c:v>
                </c:pt>
                <c:pt idx="20">
                  <c:v>-16.454778753219031</c:v>
                </c:pt>
                <c:pt idx="21">
                  <c:v>-22.216756280012163</c:v>
                </c:pt>
                <c:pt idx="22">
                  <c:v>-16.999907523882399</c:v>
                </c:pt>
                <c:pt idx="23">
                  <c:v>-31.514681784053035</c:v>
                </c:pt>
                <c:pt idx="24">
                  <c:v>-32.064032560839479</c:v>
                </c:pt>
                <c:pt idx="25">
                  <c:v>-26.106419495499964</c:v>
                </c:pt>
                <c:pt idx="26">
                  <c:v>-25.857804572569627</c:v>
                </c:pt>
                <c:pt idx="27">
                  <c:v>-16.010888695992598</c:v>
                </c:pt>
                <c:pt idx="28">
                  <c:v>-18.906457523972289</c:v>
                </c:pt>
                <c:pt idx="29">
                  <c:v>-22.991543113790527</c:v>
                </c:pt>
                <c:pt idx="30">
                  <c:v>-24.844081230829687</c:v>
                </c:pt>
                <c:pt idx="31">
                  <c:v>-23.076923076922885</c:v>
                </c:pt>
              </c:numCache>
            </c:numRef>
          </c:val>
        </c:ser>
        <c:ser>
          <c:idx val="5"/>
          <c:order val="4"/>
          <c:tx>
            <c:strRef>
              <c:f>'Trh práce-2'!$A$37</c:f>
              <c:strCache>
                <c:ptCount val="1"/>
                <c:pt idx="0">
                  <c:v>Dlouhodobě nezaměstnaní (&gt;1 rok)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olid"/>
            </a:ln>
          </c:spPr>
          <c:marker>
            <c:symbol val="none"/>
          </c:marker>
          <c:cat>
            <c:multiLvlStrRef>
              <c:f>'Trh práce-2'!$B$30:$AG$31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práce-2'!$B$37:$AG$37</c:f>
              <c:numCache>
                <c:formatCode>0</c:formatCode>
                <c:ptCount val="32"/>
                <c:pt idx="0">
                  <c:v>44.412607449856289</c:v>
                </c:pt>
                <c:pt idx="1">
                  <c:v>60</c:v>
                </c:pt>
                <c:pt idx="2">
                  <c:v>47.702205882352963</c:v>
                </c:pt>
                <c:pt idx="3">
                  <c:v>40.757042253521149</c:v>
                </c:pt>
                <c:pt idx="4">
                  <c:v>-1.4550264550264536</c:v>
                </c:pt>
                <c:pt idx="5">
                  <c:v>-11.639871382636542</c:v>
                </c:pt>
                <c:pt idx="6">
                  <c:v>-14.18792781580585</c:v>
                </c:pt>
                <c:pt idx="7">
                  <c:v>-10.318949343339597</c:v>
                </c:pt>
                <c:pt idx="8">
                  <c:v>6.3758389261745085</c:v>
                </c:pt>
                <c:pt idx="9">
                  <c:v>12.590975254730694</c:v>
                </c:pt>
                <c:pt idx="10">
                  <c:v>15.155910079768061</c:v>
                </c:pt>
                <c:pt idx="11">
                  <c:v>12.482566248256756</c:v>
                </c:pt>
                <c:pt idx="12">
                  <c:v>6.6876971608832889</c:v>
                </c:pt>
                <c:pt idx="13">
                  <c:v>2.2624434389140187</c:v>
                </c:pt>
                <c:pt idx="14">
                  <c:v>1.4483627204030121</c:v>
                </c:pt>
                <c:pt idx="15">
                  <c:v>-7.1915685058896734</c:v>
                </c:pt>
                <c:pt idx="16">
                  <c:v>-13.18746303962152</c:v>
                </c:pt>
                <c:pt idx="17">
                  <c:v>-13.211125158027798</c:v>
                </c:pt>
                <c:pt idx="18">
                  <c:v>-14.959652389820089</c:v>
                </c:pt>
                <c:pt idx="19">
                  <c:v>-5.8116232464929851</c:v>
                </c:pt>
                <c:pt idx="20">
                  <c:v>-1.8392370572207284</c:v>
                </c:pt>
                <c:pt idx="21">
                  <c:v>-11.070648215586424</c:v>
                </c:pt>
                <c:pt idx="22">
                  <c:v>-9.1240875912408779</c:v>
                </c:pt>
                <c:pt idx="23">
                  <c:v>-18.581560283687889</c:v>
                </c:pt>
                <c:pt idx="24">
                  <c:v>-26.578764746703669</c:v>
                </c:pt>
                <c:pt idx="25">
                  <c:v>-25.389025389025289</c:v>
                </c:pt>
                <c:pt idx="26">
                  <c:v>-33.092369477911646</c:v>
                </c:pt>
                <c:pt idx="27">
                  <c:v>-35.017421602786939</c:v>
                </c:pt>
                <c:pt idx="28">
                  <c:v>-35.727788279773165</c:v>
                </c:pt>
                <c:pt idx="29">
                  <c:v>-35.016465422611994</c:v>
                </c:pt>
                <c:pt idx="30">
                  <c:v>-41.288782816229428</c:v>
                </c:pt>
                <c:pt idx="31">
                  <c:v>-45.783132530121044</c:v>
                </c:pt>
              </c:numCache>
            </c:numRef>
          </c:val>
        </c:ser>
        <c:marker val="1"/>
        <c:axId val="157314048"/>
        <c:axId val="159195904"/>
      </c:lineChart>
      <c:catAx>
        <c:axId val="157314048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crossAx val="159195904"/>
        <c:crossesAt val="-50"/>
        <c:auto val="1"/>
        <c:lblAlgn val="ctr"/>
        <c:lblOffset val="0"/>
      </c:catAx>
      <c:valAx>
        <c:axId val="159195904"/>
        <c:scaling>
          <c:orientation val="minMax"/>
          <c:max val="60"/>
          <c:min val="-5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57314048"/>
        <c:crosses val="autoZero"/>
        <c:crossBetween val="between"/>
        <c:majorUnit val="10"/>
      </c:valAx>
      <c:valAx>
        <c:axId val="159198208"/>
        <c:scaling>
          <c:orientation val="minMax"/>
          <c:max val="11"/>
          <c:min val="0"/>
        </c:scaling>
        <c:axPos val="r"/>
        <c:numFmt formatCode="#,##0" sourceLinked="0"/>
        <c:tickLblPos val="nextTo"/>
        <c:crossAx val="159363840"/>
        <c:crosses val="max"/>
        <c:crossBetween val="between"/>
        <c:majorUnit val="1"/>
      </c:valAx>
      <c:catAx>
        <c:axId val="159363840"/>
        <c:scaling>
          <c:orientation val="minMax"/>
        </c:scaling>
        <c:delete val="1"/>
        <c:axPos val="b"/>
        <c:tickLblPos val="none"/>
        <c:crossAx val="159198208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9958329787081639E-2"/>
          <c:y val="0.86998849777404264"/>
          <c:w val="0.88690640708897361"/>
          <c:h val="0.1121402318784866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4.0091348527306885E-2"/>
          <c:y val="2.4094443232317627E-2"/>
          <c:w val="0.94100987714831774"/>
          <c:h val="0.774751491613208"/>
        </c:manualLayout>
      </c:layout>
      <c:barChart>
        <c:barDir val="col"/>
        <c:grouping val="clustered"/>
        <c:ser>
          <c:idx val="2"/>
          <c:order val="2"/>
          <c:tx>
            <c:strRef>
              <c:f>'Trh práce 3'!$E$8</c:f>
              <c:strCache>
                <c:ptCount val="1"/>
                <c:pt idx="0">
                  <c:v>Průměrná mzda (reálně)</c:v>
                </c:pt>
              </c:strCache>
            </c:strRef>
          </c:tx>
          <c:spPr>
            <a:solidFill>
              <a:srgbClr val="A6A6A6"/>
            </a:solidFill>
            <a:ln w="19050">
              <a:noFill/>
            </a:ln>
          </c:spPr>
          <c:cat>
            <c:multiLvlStrRef>
              <c:f>'Trh práce 3'!$A$9:$B$40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3'!$E$9:$E$40</c:f>
              <c:numCache>
                <c:formatCode>#,##0.0</c:formatCode>
                <c:ptCount val="32"/>
                <c:pt idx="0">
                  <c:v>2.0999999999999943</c:v>
                </c:pt>
                <c:pt idx="1">
                  <c:v>1.9000000000000061</c:v>
                </c:pt>
                <c:pt idx="2">
                  <c:v>0.30000000000000016</c:v>
                </c:pt>
                <c:pt idx="3">
                  <c:v>-1.4000000000000057</c:v>
                </c:pt>
                <c:pt idx="4">
                  <c:v>1.0999999999999854</c:v>
                </c:pt>
                <c:pt idx="5">
                  <c:v>0.7999999999999976</c:v>
                </c:pt>
                <c:pt idx="6">
                  <c:v>0.30000000000000016</c:v>
                </c:pt>
                <c:pt idx="7">
                  <c:v>0</c:v>
                </c:pt>
                <c:pt idx="8">
                  <c:v>-0.5</c:v>
                </c:pt>
                <c:pt idx="9">
                  <c:v>-1.2999999999999869</c:v>
                </c:pt>
                <c:pt idx="10">
                  <c:v>-1.7999999999999869</c:v>
                </c:pt>
                <c:pt idx="11">
                  <c:v>0.40000000000000568</c:v>
                </c:pt>
                <c:pt idx="12">
                  <c:v>-2.4000000000000057</c:v>
                </c:pt>
                <c:pt idx="13">
                  <c:v>-0.5</c:v>
                </c:pt>
                <c:pt idx="14">
                  <c:v>0</c:v>
                </c:pt>
                <c:pt idx="15">
                  <c:v>-3.0999999999999943</c:v>
                </c:pt>
                <c:pt idx="16">
                  <c:v>3.7000000000000042</c:v>
                </c:pt>
                <c:pt idx="17">
                  <c:v>2.5999999999999943</c:v>
                </c:pt>
                <c:pt idx="18">
                  <c:v>1.5999999999999854</c:v>
                </c:pt>
                <c:pt idx="19">
                  <c:v>2.2999999999999972</c:v>
                </c:pt>
                <c:pt idx="20">
                  <c:v>2.2000000000000042</c:v>
                </c:pt>
                <c:pt idx="21">
                  <c:v>2.5999999999999943</c:v>
                </c:pt>
                <c:pt idx="22">
                  <c:v>3.0999999999999943</c:v>
                </c:pt>
                <c:pt idx="23">
                  <c:v>3.5999999999999943</c:v>
                </c:pt>
                <c:pt idx="24">
                  <c:v>3.2999999999999972</c:v>
                </c:pt>
                <c:pt idx="25">
                  <c:v>3.0999999999999943</c:v>
                </c:pt>
                <c:pt idx="26">
                  <c:v>3.5</c:v>
                </c:pt>
                <c:pt idx="27">
                  <c:v>2.2999999999999972</c:v>
                </c:pt>
                <c:pt idx="28">
                  <c:v>2.9000000000000057</c:v>
                </c:pt>
                <c:pt idx="29">
                  <c:v>5.2999999999999972</c:v>
                </c:pt>
                <c:pt idx="30">
                  <c:v>4.2000000000000028</c:v>
                </c:pt>
                <c:pt idx="31">
                  <c:v>5.2999999999999972</c:v>
                </c:pt>
              </c:numCache>
            </c:numRef>
          </c:val>
        </c:ser>
        <c:gapWidth val="78"/>
        <c:axId val="168258176"/>
        <c:axId val="168792832"/>
      </c:barChart>
      <c:lineChart>
        <c:grouping val="standard"/>
        <c:ser>
          <c:idx val="0"/>
          <c:order val="0"/>
          <c:tx>
            <c:strRef>
              <c:f>'Trh práce 3'!$C$8</c:f>
              <c:strCache>
                <c:ptCount val="1"/>
                <c:pt idx="0">
                  <c:v>Průměrná mzda (nominálně)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'Trh práce 3'!$A$9:$B$40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3'!$C$9:$C$40</c:f>
              <c:numCache>
                <c:formatCode>0.0</c:formatCode>
                <c:ptCount val="32"/>
                <c:pt idx="0">
                  <c:v>2.7999999999999972</c:v>
                </c:pt>
                <c:pt idx="1">
                  <c:v>3.0999999999999943</c:v>
                </c:pt>
                <c:pt idx="2">
                  <c:v>2.2000000000000042</c:v>
                </c:pt>
                <c:pt idx="3">
                  <c:v>0.70000000000000284</c:v>
                </c:pt>
                <c:pt idx="4">
                  <c:v>2.7999999999999972</c:v>
                </c:pt>
                <c:pt idx="5">
                  <c:v>2.5999999999999943</c:v>
                </c:pt>
                <c:pt idx="6">
                  <c:v>2.0999999999999943</c:v>
                </c:pt>
                <c:pt idx="7">
                  <c:v>2.4000000000000057</c:v>
                </c:pt>
                <c:pt idx="8">
                  <c:v>3.2000000000000042</c:v>
                </c:pt>
                <c:pt idx="9">
                  <c:v>2.0999999999999943</c:v>
                </c:pt>
                <c:pt idx="10">
                  <c:v>1.4000000000000057</c:v>
                </c:pt>
                <c:pt idx="11">
                  <c:v>3.2000000000000042</c:v>
                </c:pt>
                <c:pt idx="12">
                  <c:v>-0.59999999999999432</c:v>
                </c:pt>
                <c:pt idx="13">
                  <c:v>1</c:v>
                </c:pt>
                <c:pt idx="14">
                  <c:v>1.2000000000000028</c:v>
                </c:pt>
                <c:pt idx="15">
                  <c:v>-2</c:v>
                </c:pt>
                <c:pt idx="16">
                  <c:v>3.9000000000000057</c:v>
                </c:pt>
                <c:pt idx="17">
                  <c:v>2.7999999999999972</c:v>
                </c:pt>
                <c:pt idx="18">
                  <c:v>2.2000000000000042</c:v>
                </c:pt>
                <c:pt idx="19">
                  <c:v>2.7999999999999972</c:v>
                </c:pt>
                <c:pt idx="20">
                  <c:v>2.2999999999999972</c:v>
                </c:pt>
                <c:pt idx="21">
                  <c:v>3.2999999999999972</c:v>
                </c:pt>
                <c:pt idx="22">
                  <c:v>3.5</c:v>
                </c:pt>
                <c:pt idx="23">
                  <c:v>3.7000000000000042</c:v>
                </c:pt>
                <c:pt idx="24">
                  <c:v>3.7999999999999972</c:v>
                </c:pt>
                <c:pt idx="25">
                  <c:v>3.2999999999999972</c:v>
                </c:pt>
                <c:pt idx="26">
                  <c:v>4</c:v>
                </c:pt>
                <c:pt idx="27">
                  <c:v>3.7000000000000042</c:v>
                </c:pt>
                <c:pt idx="28">
                  <c:v>5.4000000000000083</c:v>
                </c:pt>
                <c:pt idx="29">
                  <c:v>7.5999999999999943</c:v>
                </c:pt>
                <c:pt idx="30">
                  <c:v>6.7999999999999972</c:v>
                </c:pt>
                <c:pt idx="31">
                  <c:v>8</c:v>
                </c:pt>
              </c:numCache>
            </c:numRef>
          </c:val>
        </c:ser>
        <c:ser>
          <c:idx val="1"/>
          <c:order val="1"/>
          <c:tx>
            <c:strRef>
              <c:f>'Trh práce 3'!$D$8</c:f>
              <c:strCache>
                <c:ptCount val="1"/>
                <c:pt idx="0">
                  <c:v>Mediánová mzda (nominálně)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'Trh práce 3'!$A$9:$B$40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3'!$D$9:$D$40</c:f>
              <c:numCache>
                <c:formatCode>0.0</c:formatCode>
                <c:ptCount val="32"/>
                <c:pt idx="0">
                  <c:v>3.2000000000000042</c:v>
                </c:pt>
                <c:pt idx="1">
                  <c:v>2.5999999999999943</c:v>
                </c:pt>
                <c:pt idx="2">
                  <c:v>2.7999999999999972</c:v>
                </c:pt>
                <c:pt idx="3">
                  <c:v>1.7999999999999869</c:v>
                </c:pt>
                <c:pt idx="4">
                  <c:v>2.7999999999999972</c:v>
                </c:pt>
                <c:pt idx="5">
                  <c:v>2.2000000000000042</c:v>
                </c:pt>
                <c:pt idx="6">
                  <c:v>1.7000000000000028</c:v>
                </c:pt>
                <c:pt idx="7">
                  <c:v>2.2000000000000042</c:v>
                </c:pt>
                <c:pt idx="8">
                  <c:v>1.4000000000000057</c:v>
                </c:pt>
                <c:pt idx="9">
                  <c:v>1.2999999999999869</c:v>
                </c:pt>
                <c:pt idx="10">
                  <c:v>-0.40000000000000568</c:v>
                </c:pt>
                <c:pt idx="11">
                  <c:v>-0.59999999999999432</c:v>
                </c:pt>
                <c:pt idx="12">
                  <c:v>0.59999999999999432</c:v>
                </c:pt>
                <c:pt idx="13">
                  <c:v>1.4000000000000057</c:v>
                </c:pt>
                <c:pt idx="14">
                  <c:v>2.2999999999999972</c:v>
                </c:pt>
                <c:pt idx="15">
                  <c:v>1.2000000000000028</c:v>
                </c:pt>
                <c:pt idx="16">
                  <c:v>4.7000000000000028</c:v>
                </c:pt>
                <c:pt idx="17">
                  <c:v>3.2999999999999972</c:v>
                </c:pt>
                <c:pt idx="18">
                  <c:v>2.5999999999999943</c:v>
                </c:pt>
                <c:pt idx="19">
                  <c:v>2.2999999999999972</c:v>
                </c:pt>
                <c:pt idx="20">
                  <c:v>0.70000000000000284</c:v>
                </c:pt>
                <c:pt idx="21">
                  <c:v>2.2999999999999972</c:v>
                </c:pt>
                <c:pt idx="22">
                  <c:v>3.7999999999999972</c:v>
                </c:pt>
                <c:pt idx="23">
                  <c:v>4.7000000000000028</c:v>
                </c:pt>
                <c:pt idx="24">
                  <c:v>5.7999999999999972</c:v>
                </c:pt>
                <c:pt idx="25">
                  <c:v>3.7999999999999972</c:v>
                </c:pt>
                <c:pt idx="26">
                  <c:v>4.5999999999999943</c:v>
                </c:pt>
                <c:pt idx="27">
                  <c:v>5.7000000000000028</c:v>
                </c:pt>
                <c:pt idx="28">
                  <c:v>5.2999999999999972</c:v>
                </c:pt>
                <c:pt idx="29">
                  <c:v>8.2000000000000011</c:v>
                </c:pt>
                <c:pt idx="30">
                  <c:v>7.2000000000000028</c:v>
                </c:pt>
                <c:pt idx="31">
                  <c:v>8.9000000000000057</c:v>
                </c:pt>
              </c:numCache>
            </c:numRef>
          </c:val>
        </c:ser>
        <c:ser>
          <c:idx val="3"/>
          <c:order val="3"/>
          <c:tx>
            <c:strRef>
              <c:f>'Trh práce 3'!$F$8</c:f>
              <c:strCache>
                <c:ptCount val="1"/>
                <c:pt idx="0">
                  <c:v>Produktivita práce v NH (reálně)*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'Trh práce 3'!$A$9:$B$40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</c:lvl>
              </c:multiLvlStrCache>
            </c:multiLvlStrRef>
          </c:cat>
          <c:val>
            <c:numRef>
              <c:f>'Trh práce 3'!$F$9:$F$40</c:f>
              <c:numCache>
                <c:formatCode>#,##0.0</c:formatCode>
                <c:ptCount val="32"/>
                <c:pt idx="0">
                  <c:v>3.5332846838865208</c:v>
                </c:pt>
                <c:pt idx="1">
                  <c:v>4.425122650740704</c:v>
                </c:pt>
                <c:pt idx="2">
                  <c:v>2.3152819998793182</c:v>
                </c:pt>
                <c:pt idx="3">
                  <c:v>2.9717863026053952</c:v>
                </c:pt>
                <c:pt idx="4">
                  <c:v>2.9527260280244576</c:v>
                </c:pt>
                <c:pt idx="5">
                  <c:v>2.0923191727528945</c:v>
                </c:pt>
                <c:pt idx="6">
                  <c:v>1.8080251400873806</c:v>
                </c:pt>
                <c:pt idx="7">
                  <c:v>1.5019620723850398</c:v>
                </c:pt>
                <c:pt idx="8">
                  <c:v>0.41537995919813397</c:v>
                </c:pt>
                <c:pt idx="9">
                  <c:v>-1.2819231607881099</c:v>
                </c:pt>
                <c:pt idx="10">
                  <c:v>-1.8249350322319771</c:v>
                </c:pt>
                <c:pt idx="11">
                  <c:v>-2.0588258996494337</c:v>
                </c:pt>
                <c:pt idx="12">
                  <c:v>-2.8802810421720504</c:v>
                </c:pt>
                <c:pt idx="13">
                  <c:v>-1.827948004663384</c:v>
                </c:pt>
                <c:pt idx="14">
                  <c:v>0.40461936993752284</c:v>
                </c:pt>
                <c:pt idx="15">
                  <c:v>0.95515229453815265</c:v>
                </c:pt>
                <c:pt idx="16">
                  <c:v>1.7448585072078089</c:v>
                </c:pt>
                <c:pt idx="17">
                  <c:v>2.7515963261383551</c:v>
                </c:pt>
                <c:pt idx="18">
                  <c:v>3.0294730201186377</c:v>
                </c:pt>
                <c:pt idx="19">
                  <c:v>1.0840279704352802</c:v>
                </c:pt>
                <c:pt idx="20">
                  <c:v>3.7518410336967767</c:v>
                </c:pt>
                <c:pt idx="21">
                  <c:v>4.1202609165826694</c:v>
                </c:pt>
                <c:pt idx="22">
                  <c:v>3.76028698995718</c:v>
                </c:pt>
                <c:pt idx="23">
                  <c:v>3.6745015563025016</c:v>
                </c:pt>
                <c:pt idx="24">
                  <c:v>1.8399838919702205</c:v>
                </c:pt>
                <c:pt idx="25">
                  <c:v>2.8834334980329612</c:v>
                </c:pt>
                <c:pt idx="26">
                  <c:v>0.36633315668368027</c:v>
                </c:pt>
                <c:pt idx="27">
                  <c:v>0.17270104557236915</c:v>
                </c:pt>
                <c:pt idx="28">
                  <c:v>2.4404303443109852</c:v>
                </c:pt>
                <c:pt idx="29">
                  <c:v>1.9968691932011211</c:v>
                </c:pt>
                <c:pt idx="30">
                  <c:v>2.6892821072455035</c:v>
                </c:pt>
                <c:pt idx="31">
                  <c:v>3.565600356638015</c:v>
                </c:pt>
              </c:numCache>
            </c:numRef>
          </c:val>
        </c:ser>
        <c:marker val="1"/>
        <c:axId val="168258176"/>
        <c:axId val="168792832"/>
      </c:lineChart>
      <c:catAx>
        <c:axId val="168258176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8792832"/>
        <c:crosses val="autoZero"/>
        <c:auto val="1"/>
        <c:lblAlgn val="ctr"/>
        <c:lblOffset val="0"/>
        <c:tickMarkSkip val="4"/>
      </c:catAx>
      <c:valAx>
        <c:axId val="168792832"/>
        <c:scaling>
          <c:orientation val="minMax"/>
          <c:max val="9"/>
          <c:min val="-4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8258176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6639859844647071E-2"/>
          <c:y val="0.89378061224490402"/>
          <c:w val="0.94038331644714623"/>
          <c:h val="9.5420068027211244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0.03882</cdr:x>
      <cdr:y>0.4281</cdr:y>
    </cdr:from>
    <cdr:to>
      <cdr:x>0.94336</cdr:x>
      <cdr:y>0.42924</cdr:y>
    </cdr:to>
    <cdr:sp macro="" textlink="">
      <cdr:nvSpPr>
        <cdr:cNvPr id="3" name="Přímá spojovací čára 2"/>
        <cdr:cNvSpPr/>
      </cdr:nvSpPr>
      <cdr:spPr bwMode="auto">
        <a:xfrm xmlns:a="http://schemas.openxmlformats.org/drawingml/2006/main">
          <a:off x="183914" y="1497514"/>
          <a:ext cx="4285716" cy="3989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0EDE4-B818-4F29-B78B-0BBFA8520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F7D90-CB60-4CAC-9829-715199483F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59EA1-865C-4D11-908E-ADE89C59CD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D7EEE-A446-4AD4-B82E-B79989AA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</TotalTime>
  <Pages>3</Pages>
  <Words>1287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8869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2018-03-14T17:02:00Z</cp:lastPrinted>
  <dcterms:created xsi:type="dcterms:W3CDTF">2018-03-22T15:42:00Z</dcterms:created>
  <dcterms:modified xsi:type="dcterms:W3CDTF">2018-03-22T15:43:00Z</dcterms:modified>
</cp:coreProperties>
</file>