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6764C0" w:rsidP="0097104F">
      <w:pPr>
        <w:pStyle w:val="Nadpis1"/>
        <w:rPr>
          <w:spacing w:val="-2"/>
        </w:rPr>
      </w:pPr>
      <w:bookmarkStart w:id="0" w:name="_GoBack"/>
      <w:bookmarkEnd w:id="0"/>
      <w:r w:rsidRPr="006764C0">
        <w:rPr>
          <w:rFonts w:cs="Arial"/>
        </w:rPr>
        <w:t xml:space="preserve">Meziroční </w:t>
      </w:r>
      <w:r w:rsidR="008531ED" w:rsidRPr="008531ED">
        <w:rPr>
          <w:rFonts w:cs="Arial"/>
        </w:rPr>
        <w:t xml:space="preserve">růst cen </w:t>
      </w:r>
      <w:r w:rsidR="008531ED">
        <w:rPr>
          <w:rFonts w:cs="Arial"/>
        </w:rPr>
        <w:t>byl nejnižší za posledních sedm </w:t>
      </w:r>
      <w:r w:rsidR="008531ED" w:rsidRPr="008531ED">
        <w:rPr>
          <w:rFonts w:cs="Arial"/>
        </w:rPr>
        <w:t>let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531ED">
        <w:t>dub</w:t>
      </w:r>
      <w:r w:rsidR="006764C0">
        <w:t>en</w:t>
      </w:r>
      <w:r w:rsidR="00250429">
        <w:t> 20</w:t>
      </w:r>
      <w:r w:rsidR="00D563FA">
        <w:t>2</w:t>
      </w:r>
      <w:r w:rsidR="00536F60">
        <w:t>5</w:t>
      </w:r>
    </w:p>
    <w:p w:rsidR="0078029C" w:rsidRDefault="008531ED" w:rsidP="00B47419">
      <w:pPr>
        <w:pStyle w:val="Perex"/>
      </w:pPr>
      <w:r w:rsidRPr="001A6012">
        <w:t xml:space="preserve">Spotřebitelské ceny meziměsíčně </w:t>
      </w:r>
      <w:r>
        <w:t>klesly</w:t>
      </w:r>
      <w:r w:rsidRPr="004F1710">
        <w:t xml:space="preserve"> o </w:t>
      </w:r>
      <w:r>
        <w:t>0,1</w:t>
      </w:r>
      <w:r w:rsidRPr="004F1710">
        <w:t xml:space="preserve"> %. Tento vývoj byl ovlivněn zejména </w:t>
      </w:r>
      <w:r>
        <w:t xml:space="preserve">nižšími </w:t>
      </w:r>
      <w:r w:rsidRPr="004F1710">
        <w:t xml:space="preserve">cenami v oddíle </w:t>
      </w:r>
      <w:r>
        <w:t>alkoholické nápoje, tabák</w:t>
      </w:r>
      <w:r w:rsidRPr="004F1710">
        <w:t xml:space="preserve">. </w:t>
      </w:r>
      <w:r w:rsidRPr="004F1710">
        <w:rPr>
          <w:spacing w:val="-4"/>
        </w:rPr>
        <w:t>Meziročně vzrostly spotřebitelské ceny v</w:t>
      </w:r>
      <w:r>
        <w:rPr>
          <w:spacing w:val="-4"/>
        </w:rPr>
        <w:t> dubnu o 1,8 %, což bylo o 0,9 procentního bodu méně než v březnu.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531ED" w:rsidRDefault="008531ED" w:rsidP="008531ED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D42728">
        <w:rPr>
          <w:rFonts w:eastAsia="Calibri" w:cs="Arial"/>
          <w:szCs w:val="20"/>
        </w:rPr>
        <w:t xml:space="preserve">Meziměsíčně </w:t>
      </w:r>
      <w:r>
        <w:rPr>
          <w:rFonts w:eastAsia="Calibri" w:cs="Arial"/>
          <w:szCs w:val="20"/>
        </w:rPr>
        <w:t>klesly</w:t>
      </w:r>
      <w:r w:rsidRPr="00D42728">
        <w:rPr>
          <w:rFonts w:eastAsia="Calibri" w:cs="Arial"/>
          <w:szCs w:val="20"/>
        </w:rPr>
        <w:t xml:space="preserve"> spotřebitelské ceny v </w:t>
      </w:r>
      <w:r>
        <w:rPr>
          <w:rFonts w:eastAsia="Calibri" w:cs="Arial"/>
          <w:szCs w:val="20"/>
        </w:rPr>
        <w:t>dubnu</w:t>
      </w:r>
      <w:r w:rsidRPr="00D42728">
        <w:rPr>
          <w:rFonts w:eastAsia="Calibri" w:cs="Arial"/>
          <w:szCs w:val="20"/>
        </w:rPr>
        <w:t xml:space="preserve"> o </w:t>
      </w:r>
      <w:r>
        <w:rPr>
          <w:rFonts w:eastAsia="Calibri" w:cs="Arial"/>
          <w:szCs w:val="20"/>
        </w:rPr>
        <w:t>0,1</w:t>
      </w:r>
      <w:r w:rsidRPr="00D42728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alkoholické nápoje, tabák byly nižší ceny vína o 5,1 %, lihovin o 2,1 % a piva o 1,6 %. V oddíle rekreace a kultura klesly ceny dovolených s komplexními službami o 3,0 %. Pokles cen v oddíle potraviny a nealkoholické nápoje byl ovlivněn především nižšími cenami uzenin o 1,6 %, vajec o 4,4 %, cukru o 10,6 %, olejů a tuků o 1,3 % a čokolády a čokoládových výrobků o 2,5 %. V oddíle doprava klesly zejména ceny pohonných hmot a olejů o 2,7 %. Naopak na meziměsíční zvyšování celkové cenové hladiny měly v dubnu největší vliv ceny v oddíle bytové vybavení, zařízení domácnosti, kde vzrostly zejména ceny výrobků pro čištění a údržbu domácnosti o 1,7 % a ceny přístrojů a spotřebičů pro domácnost o 1,1 %. V oddíle stravování a ubytování byly vyšší ceny ubytovacích služeb o 2,5 % a stravovacích služeb o 0,4 %. Z potravin vzrostly především ceny hovězího a telecího masa o 4,7 %, ovoce o 0,9 % a jogurtů o 2,9 %.</w:t>
      </w:r>
    </w:p>
    <w:p w:rsidR="004F3D10" w:rsidRPr="00A80AD3" w:rsidRDefault="008531ED" w:rsidP="008531ED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0,3 %, zatímco ceny služeb</w:t>
      </w:r>
      <w:r w:rsidRPr="0016351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 0,2 % vzrostly.</w:t>
      </w:r>
    </w:p>
    <w:p w:rsidR="00836FBD" w:rsidRPr="005C3013" w:rsidRDefault="00836FBD" w:rsidP="005C3013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:rsidR="008531ED" w:rsidRPr="005D711D" w:rsidRDefault="008531ED" w:rsidP="008531ED">
      <w:pPr>
        <w:jc w:val="both"/>
        <w:rPr>
          <w:rFonts w:cs="Arial"/>
          <w:i/>
          <w:iCs/>
          <w:szCs w:val="20"/>
        </w:rPr>
      </w:pPr>
      <w:r w:rsidRPr="0040466C">
        <w:rPr>
          <w:rFonts w:cs="Arial"/>
          <w:i/>
          <w:iCs/>
          <w:szCs w:val="20"/>
        </w:rPr>
        <w:t>„</w:t>
      </w:r>
      <w:r>
        <w:rPr>
          <w:rFonts w:cs="Arial"/>
          <w:i/>
          <w:iCs/>
          <w:szCs w:val="20"/>
        </w:rPr>
        <w:t>Spotřebitelské ceny v dubnu výrazně oslabily svůj meziroční růst na 1,8 %, což byla nejnižší hodnota od března 2018. Toto zpomalení bylo ovlivněno jak loňskou vyšší srovnávací základnou, tak pokračujícím poklesem cen pohonných hmot</w:t>
      </w:r>
      <w:r w:rsidRPr="0040466C">
        <w:rPr>
          <w:rFonts w:cs="Arial"/>
          <w:i/>
          <w:iCs/>
          <w:szCs w:val="20"/>
        </w:rPr>
        <w:t>,</w:t>
      </w:r>
      <w:r w:rsidRPr="0040466C">
        <w:rPr>
          <w:rFonts w:cs="Arial"/>
          <w:i/>
          <w:szCs w:val="20"/>
        </w:rPr>
        <w:t xml:space="preserve">“ </w:t>
      </w:r>
      <w:r w:rsidRPr="0040466C">
        <w:rPr>
          <w:rFonts w:cs="Arial"/>
          <w:szCs w:val="20"/>
        </w:rPr>
        <w:t>uvedla Pavla Šedivá, vedoucí oddělení statistiky spotřebitelských cen ČSÚ.</w:t>
      </w:r>
    </w:p>
    <w:p w:rsidR="008531ED" w:rsidRDefault="008531ED" w:rsidP="008531ED">
      <w:pPr>
        <w:jc w:val="both"/>
      </w:pPr>
      <w:r w:rsidRPr="004F1710">
        <w:rPr>
          <w:spacing w:val="-4"/>
        </w:rPr>
        <w:t>Meziročně vzrostly spotřebitelské ceny v</w:t>
      </w:r>
      <w:r>
        <w:rPr>
          <w:spacing w:val="-4"/>
        </w:rPr>
        <w:t> dubnu o 1,8 %, což bylo o 0,9 procentního bodu méně než v březnu.</w:t>
      </w:r>
      <w:r>
        <w:rPr>
          <w:rFonts w:cs="Arial"/>
          <w:szCs w:val="20"/>
        </w:rPr>
        <w:t xml:space="preserve"> Ke </w:t>
      </w:r>
      <w:r w:rsidRPr="00FD2925">
        <w:rPr>
          <w:rFonts w:cs="Arial"/>
          <w:b/>
          <w:szCs w:val="20"/>
        </w:rPr>
        <w:t>z</w:t>
      </w:r>
      <w:r>
        <w:rPr>
          <w:rFonts w:cs="Arial"/>
          <w:b/>
          <w:szCs w:val="20"/>
        </w:rPr>
        <w:t>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došlo především v oddíle potraviny a nealkoholické nápoje a v oddíle alkoholické nápoje, tabák (oboje částečně vlivem meziměsíčního růstu jejich cen v dubnu loňského roku). V oddíle potraviny a nealkoholické nápoje zpomalily svůj růst ceny masa na 1,4 % (v březnu růst o 3,7 %), vajec na 37,1 % (v březnu růst o 46,0 %), ostatních jedlých olejů na 5,3 % (v březnu růst o 16,1 %), čokolády a čokoládových výrobků na 17,8 % (v březnu růst o 33,9 %). Ceny mouky klesly o 14,2 % (v březnu pokles o 2,1 %) a ceny cukru o 32,4 % (v březnu pokles o 22,7 %). V oddíle alkoholické nápoje, tabák klesly ceny lihovin o 2,4 % (v březnu růst o 3,5 %), ceny vína o 9,0 % (v březnu růst o 1,1 %) a ceny piva o 1,7 % (v březnu růst o 1,3 %).</w:t>
      </w:r>
    </w:p>
    <w:p w:rsidR="008531ED" w:rsidRDefault="008531ED" w:rsidP="008531ED">
      <w:pPr>
        <w:jc w:val="both"/>
        <w:rPr>
          <w:rFonts w:cs="Arial"/>
          <w:szCs w:val="20"/>
        </w:rPr>
      </w:pPr>
      <w:r w:rsidRPr="0010070F">
        <w:rPr>
          <w:rFonts w:cs="Arial"/>
        </w:rPr>
        <w:t xml:space="preserve">Na meziroční </w:t>
      </w:r>
      <w:r w:rsidRPr="0010070F">
        <w:rPr>
          <w:rFonts w:cs="Arial"/>
          <w:b/>
          <w:bCs/>
        </w:rPr>
        <w:t>růst cenové hladiny</w:t>
      </w:r>
      <w:r w:rsidRPr="0010070F">
        <w:rPr>
          <w:rFonts w:cs="Arial"/>
        </w:rPr>
        <w:t xml:space="preserve"> měly v </w:t>
      </w:r>
      <w:r>
        <w:rPr>
          <w:rFonts w:cs="Arial"/>
        </w:rPr>
        <w:t>dubnu</w:t>
      </w:r>
      <w:r w:rsidRPr="0010070F">
        <w:rPr>
          <w:rFonts w:cs="Arial"/>
        </w:rPr>
        <w:t xml:space="preserve"> největší vliv ceny v oddíle potraviny a nealkoholické nápoje, kde </w:t>
      </w:r>
      <w:r>
        <w:rPr>
          <w:rFonts w:cs="Arial"/>
        </w:rPr>
        <w:t xml:space="preserve">kromě již výše zmíněného </w:t>
      </w:r>
      <w:r w:rsidRPr="0010070F">
        <w:rPr>
          <w:rFonts w:cs="Arial"/>
        </w:rPr>
        <w:t xml:space="preserve">vzrostly ceny </w:t>
      </w:r>
      <w:r>
        <w:rPr>
          <w:rFonts w:cs="Arial"/>
        </w:rPr>
        <w:t xml:space="preserve">másla o 28,8 %, kávy o 20,4 % a kakaa o 18,9 %. </w:t>
      </w:r>
      <w:r>
        <w:rPr>
          <w:rFonts w:cs="Arial"/>
          <w:szCs w:val="20"/>
        </w:rPr>
        <w:t xml:space="preserve">Další v pořadí vlivu byly ceny v oddíle </w:t>
      </w:r>
      <w:r w:rsidRPr="00E44F81">
        <w:rPr>
          <w:rFonts w:cs="Arial"/>
          <w:szCs w:val="20"/>
        </w:rPr>
        <w:t>bydlení</w:t>
      </w:r>
      <w:r>
        <w:rPr>
          <w:rFonts w:cs="Arial"/>
          <w:szCs w:val="20"/>
        </w:rPr>
        <w:t>, kde se kromě nákladů vlastnického bydlení</w:t>
      </w:r>
      <w:r w:rsidRPr="00E44F8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zvýšily </w:t>
      </w:r>
      <w:r w:rsidRPr="00B3645D">
        <w:rPr>
          <w:rFonts w:cs="Arial"/>
          <w:szCs w:val="20"/>
        </w:rPr>
        <w:t xml:space="preserve">ceny 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5,9</w:t>
      </w:r>
      <w:r w:rsidRPr="00B3645D">
        <w:rPr>
          <w:rFonts w:cs="Arial"/>
          <w:szCs w:val="20"/>
        </w:rPr>
        <w:t xml:space="preserve"> %, </w:t>
      </w:r>
      <w:r>
        <w:rPr>
          <w:rFonts w:cs="Arial"/>
          <w:szCs w:val="20"/>
        </w:rPr>
        <w:t xml:space="preserve">výrobků a služeb pro běžnou údržbu bytu o 3,4 %, </w:t>
      </w:r>
      <w:r w:rsidRPr="00B3645D">
        <w:rPr>
          <w:rFonts w:cs="Arial"/>
          <w:szCs w:val="20"/>
        </w:rPr>
        <w:t>vodného o </w:t>
      </w:r>
      <w:r>
        <w:rPr>
          <w:rFonts w:cs="Arial"/>
          <w:szCs w:val="20"/>
        </w:rPr>
        <w:t>4,2</w:t>
      </w:r>
      <w:r w:rsidRPr="00B3645D">
        <w:rPr>
          <w:rFonts w:cs="Arial"/>
          <w:szCs w:val="20"/>
        </w:rPr>
        <w:t> %, stočného o </w:t>
      </w:r>
      <w:r>
        <w:rPr>
          <w:rFonts w:cs="Arial"/>
          <w:szCs w:val="20"/>
        </w:rPr>
        <w:t>3,7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B3645D">
        <w:rPr>
          <w:rFonts w:cs="Arial"/>
          <w:szCs w:val="20"/>
        </w:rPr>
        <w:t>tepla a teplé vody o </w:t>
      </w:r>
      <w:r>
        <w:rPr>
          <w:rFonts w:cs="Arial"/>
          <w:szCs w:val="20"/>
        </w:rPr>
        <w:t>4,9</w:t>
      </w:r>
      <w:r w:rsidRPr="00B3645D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Ceny elektřiny meziročně klesly o 4,7 % a zemního plynu o 8,9 %. V oddíle stravování a ubytování byly vyšší ceny stravovacích služeb o 4,7 % a ubytovacích služeb o 8,2 %. </w:t>
      </w:r>
      <w:r w:rsidRPr="00163514">
        <w:rPr>
          <w:rFonts w:cs="Arial"/>
          <w:szCs w:val="20"/>
        </w:rPr>
        <w:t>N</w:t>
      </w:r>
      <w:r w:rsidRPr="00163514">
        <w:t xml:space="preserve">a meziroční snižování </w:t>
      </w:r>
      <w:r>
        <w:t xml:space="preserve">celkové </w:t>
      </w:r>
      <w:r w:rsidRPr="00163514">
        <w:t>cenové hladiny v</w:t>
      </w:r>
      <w:r>
        <w:t> dubnu působily především ceny v oddíle doprava, kde klesly ceny pohonných hmot a olejů o 13,4 %.</w:t>
      </w:r>
    </w:p>
    <w:p w:rsidR="008531ED" w:rsidRPr="00163514" w:rsidRDefault="008531ED" w:rsidP="008531E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4,1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březnu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3,6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1C6197">
        <w:rPr>
          <w:rFonts w:cs="Arial"/>
          <w:szCs w:val="20"/>
        </w:rPr>
        <w:t>zejména v důsledku růstu cen nových nemovitostí</w:t>
      </w:r>
      <w:r>
        <w:rPr>
          <w:rFonts w:cs="Arial"/>
          <w:szCs w:val="20"/>
        </w:rPr>
        <w:t>, a </w:t>
      </w:r>
      <w:r w:rsidRPr="001C6197">
        <w:rPr>
          <w:rFonts w:cs="Arial"/>
          <w:szCs w:val="20"/>
        </w:rPr>
        <w:t>také růstu cen stavebních prací.</w:t>
      </w:r>
      <w:r w:rsidRPr="00E45A17">
        <w:rPr>
          <w:rFonts w:cs="Arial"/>
          <w:szCs w:val="20"/>
        </w:rPr>
        <w:t xml:space="preserve"> Úhrnný index spotřebitelských cen bez započtení nákladů vlastnického bydlení </w:t>
      </w:r>
      <w:r w:rsidRPr="00AD3D40">
        <w:rPr>
          <w:rFonts w:cs="Arial"/>
          <w:szCs w:val="20"/>
        </w:rPr>
        <w:t xml:space="preserve">byl </w:t>
      </w:r>
      <w:r w:rsidRPr="003E212C">
        <w:rPr>
          <w:rFonts w:cs="Arial"/>
          <w:szCs w:val="20"/>
        </w:rPr>
        <w:t>101,6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8531ED" w:rsidRDefault="008531ED" w:rsidP="008531E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</w:t>
      </w:r>
      <w:r>
        <w:rPr>
          <w:rFonts w:cs="Arial"/>
          <w:szCs w:val="20"/>
        </w:rPr>
        <w:t>0,2</w:t>
      </w:r>
      <w:r w:rsidRPr="00F21728">
        <w:rPr>
          <w:rFonts w:cs="Arial"/>
          <w:szCs w:val="20"/>
        </w:rPr>
        <w:t> % a ceny služeb o 4,</w:t>
      </w:r>
      <w:r>
        <w:rPr>
          <w:rFonts w:cs="Arial"/>
          <w:szCs w:val="20"/>
        </w:rPr>
        <w:t>7</w:t>
      </w:r>
      <w:r w:rsidRPr="00F21728">
        <w:rPr>
          <w:rFonts w:cs="Arial"/>
          <w:szCs w:val="20"/>
        </w:rPr>
        <w:t> %.</w:t>
      </w:r>
    </w:p>
    <w:p w:rsidR="008531ED" w:rsidRDefault="008531ED" w:rsidP="008531E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dubnu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154,</w:t>
      </w:r>
      <w:r>
        <w:rPr>
          <w:rFonts w:cs="Arial"/>
          <w:szCs w:val="20"/>
        </w:rPr>
        <w:t>2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březnu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54,4</w:t>
      </w:r>
      <w:r w:rsidRPr="00526E1C">
        <w:rPr>
          <w:rFonts w:cs="Arial"/>
          <w:szCs w:val="20"/>
        </w:rPr>
        <w:t> %).</w:t>
      </w:r>
    </w:p>
    <w:p w:rsidR="00C36840" w:rsidRPr="00071A61" w:rsidRDefault="008531ED" w:rsidP="008531ED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</w:t>
      </w:r>
      <w:r>
        <w:rPr>
          <w:rFonts w:cs="Arial"/>
          <w:szCs w:val="20"/>
        </w:rPr>
        <w:t> dubnu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2,5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březnu 2,6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8531ED" w:rsidRPr="008531ED" w:rsidRDefault="008531ED" w:rsidP="008531ED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531ED">
        <w:rPr>
          <w:rFonts w:cs="Arial"/>
          <w:sz w:val="20"/>
          <w:szCs w:val="20"/>
        </w:rPr>
        <w:t>Podle předběžných výpočtů HICP</w:t>
      </w:r>
      <w:r w:rsidRPr="008531ED">
        <w:rPr>
          <w:rFonts w:cs="Arial"/>
          <w:b/>
          <w:sz w:val="20"/>
          <w:szCs w:val="20"/>
        </w:rPr>
        <w:t xml:space="preserve"> v dubnu</w:t>
      </w:r>
      <w:r w:rsidRPr="008531ED">
        <w:rPr>
          <w:rFonts w:cs="Arial"/>
          <w:sz w:val="20"/>
          <w:szCs w:val="20"/>
        </w:rPr>
        <w:t xml:space="preserve"> v Česku </w:t>
      </w:r>
      <w:r w:rsidRPr="008531ED">
        <w:rPr>
          <w:rFonts w:cs="Arial"/>
          <w:b/>
          <w:sz w:val="20"/>
          <w:szCs w:val="20"/>
        </w:rPr>
        <w:t>meziměsíčně</w:t>
      </w:r>
      <w:r w:rsidRPr="008531ED">
        <w:rPr>
          <w:rFonts w:cs="Arial"/>
          <w:sz w:val="20"/>
          <w:szCs w:val="20"/>
        </w:rPr>
        <w:t xml:space="preserve"> klesl o 0,1 % a </w:t>
      </w:r>
      <w:r w:rsidRPr="008531ED">
        <w:rPr>
          <w:rFonts w:cs="Arial"/>
          <w:b/>
          <w:sz w:val="20"/>
          <w:szCs w:val="20"/>
        </w:rPr>
        <w:t>meziročně</w:t>
      </w:r>
      <w:r w:rsidRPr="008531ED">
        <w:rPr>
          <w:rFonts w:cs="Arial"/>
          <w:sz w:val="20"/>
          <w:szCs w:val="20"/>
        </w:rPr>
        <w:t xml:space="preserve"> o 1,7 % vzrostl (v březnu o 2,7 %). </w:t>
      </w:r>
      <w:r w:rsidRPr="008531ED">
        <w:rPr>
          <w:rFonts w:cs="Arial"/>
          <w:b/>
          <w:sz w:val="20"/>
          <w:szCs w:val="20"/>
        </w:rPr>
        <w:t>Podle bleskových odhadů</w:t>
      </w:r>
      <w:r w:rsidRPr="008531ED">
        <w:rPr>
          <w:rFonts w:cs="Arial"/>
          <w:sz w:val="20"/>
          <w:szCs w:val="20"/>
        </w:rPr>
        <w:t xml:space="preserve"> </w:t>
      </w:r>
      <w:proofErr w:type="spellStart"/>
      <w:r w:rsidRPr="008531ED">
        <w:rPr>
          <w:rFonts w:cs="Arial"/>
          <w:sz w:val="20"/>
          <w:szCs w:val="20"/>
        </w:rPr>
        <w:t>Eurostatu</w:t>
      </w:r>
      <w:proofErr w:type="spellEnd"/>
      <w:r w:rsidRPr="008531ED">
        <w:rPr>
          <w:rFonts w:cs="Arial"/>
          <w:b/>
          <w:sz w:val="20"/>
          <w:szCs w:val="20"/>
        </w:rPr>
        <w:t xml:space="preserve"> </w:t>
      </w:r>
      <w:r w:rsidRPr="008531ED">
        <w:rPr>
          <w:rFonts w:cs="Arial"/>
          <w:sz w:val="20"/>
          <w:szCs w:val="20"/>
        </w:rPr>
        <w:t xml:space="preserve">byla </w:t>
      </w:r>
      <w:r w:rsidRPr="008531ED">
        <w:rPr>
          <w:rFonts w:cs="Arial"/>
          <w:b/>
          <w:sz w:val="20"/>
          <w:szCs w:val="20"/>
        </w:rPr>
        <w:t>meziroční</w:t>
      </w:r>
      <w:r w:rsidRPr="008531ED">
        <w:rPr>
          <w:rFonts w:cs="Arial"/>
          <w:sz w:val="20"/>
          <w:szCs w:val="20"/>
        </w:rPr>
        <w:t xml:space="preserve"> změna HICP </w:t>
      </w:r>
      <w:r w:rsidRPr="008531ED">
        <w:rPr>
          <w:rFonts w:cs="Arial"/>
          <w:b/>
          <w:sz w:val="20"/>
          <w:szCs w:val="20"/>
        </w:rPr>
        <w:t xml:space="preserve">v dubnu </w:t>
      </w:r>
      <w:r w:rsidRPr="008531ED">
        <w:rPr>
          <w:rFonts w:cs="Arial"/>
          <w:b/>
          <w:bCs/>
          <w:sz w:val="20"/>
          <w:szCs w:val="20"/>
        </w:rPr>
        <w:t xml:space="preserve">2025 </w:t>
      </w:r>
      <w:r w:rsidRPr="008531ED">
        <w:rPr>
          <w:rFonts w:cs="Arial"/>
          <w:b/>
          <w:sz w:val="20"/>
          <w:szCs w:val="20"/>
        </w:rPr>
        <w:t>za Eurozónu</w:t>
      </w:r>
      <w:r w:rsidRPr="008531ED">
        <w:rPr>
          <w:rFonts w:cs="Arial"/>
          <w:sz w:val="20"/>
          <w:szCs w:val="20"/>
        </w:rPr>
        <w:t xml:space="preserve"> 2,2 % (v březnu také 2,2 %), v Německu 2,2 % a na Slovensku 3,9 %. </w:t>
      </w:r>
      <w:r w:rsidRPr="008531ED">
        <w:rPr>
          <w:rFonts w:cs="Arial"/>
          <w:bCs/>
          <w:sz w:val="20"/>
          <w:szCs w:val="20"/>
        </w:rPr>
        <w:t>Nejvyšší byla v dubnu v Estonsku (4,4 %) a nejnižší ve Francii (0,8 %). P</w:t>
      </w:r>
      <w:r w:rsidRPr="008531ED">
        <w:rPr>
          <w:rFonts w:cs="Arial"/>
          <w:sz w:val="20"/>
          <w:szCs w:val="20"/>
        </w:rPr>
        <w:t xml:space="preserve">odle předběžných údajů </w:t>
      </w:r>
      <w:proofErr w:type="spellStart"/>
      <w:r w:rsidRPr="008531ED">
        <w:rPr>
          <w:rFonts w:cs="Arial"/>
          <w:sz w:val="20"/>
          <w:szCs w:val="20"/>
        </w:rPr>
        <w:t>Eurostatu</w:t>
      </w:r>
      <w:proofErr w:type="spellEnd"/>
      <w:r w:rsidRPr="008531ED">
        <w:rPr>
          <w:rFonts w:cs="Arial"/>
          <w:sz w:val="20"/>
          <w:szCs w:val="20"/>
        </w:rPr>
        <w:t xml:space="preserve"> byla </w:t>
      </w:r>
      <w:r w:rsidRPr="008531ED">
        <w:rPr>
          <w:rFonts w:cs="Arial"/>
          <w:b/>
          <w:sz w:val="20"/>
          <w:szCs w:val="20"/>
        </w:rPr>
        <w:t>meziroční</w:t>
      </w:r>
      <w:r w:rsidRPr="008531ED">
        <w:rPr>
          <w:rFonts w:cs="Arial"/>
          <w:sz w:val="20"/>
          <w:szCs w:val="20"/>
        </w:rPr>
        <w:t xml:space="preserve"> změna HICP </w:t>
      </w:r>
      <w:r w:rsidRPr="008531ED">
        <w:rPr>
          <w:rFonts w:cs="Arial"/>
          <w:b/>
          <w:bCs/>
          <w:sz w:val="20"/>
          <w:szCs w:val="20"/>
        </w:rPr>
        <w:t xml:space="preserve">27 členských zemí EU </w:t>
      </w:r>
      <w:r w:rsidRPr="008531ED">
        <w:rPr>
          <w:rFonts w:cs="Arial"/>
          <w:b/>
          <w:sz w:val="20"/>
          <w:szCs w:val="20"/>
        </w:rPr>
        <w:t>v březnu</w:t>
      </w:r>
      <w:r w:rsidRPr="008531ED">
        <w:rPr>
          <w:rFonts w:cs="Arial"/>
          <w:sz w:val="20"/>
          <w:szCs w:val="20"/>
        </w:rPr>
        <w:t xml:space="preserve"> 2,5 %, což bylo o 0,2 procentního bodu méně než v únoru. </w:t>
      </w:r>
      <w:r w:rsidRPr="008531ED">
        <w:rPr>
          <w:rFonts w:cs="Arial"/>
          <w:bCs/>
          <w:sz w:val="20"/>
          <w:szCs w:val="20"/>
        </w:rPr>
        <w:t>Nejvyšší byla v březnu v Rumunsku (5,1 %) a nejnižší ve Francii (0,9 %).</w:t>
      </w:r>
    </w:p>
    <w:p w:rsidR="00AB7393" w:rsidRPr="008531ED" w:rsidRDefault="008531ED" w:rsidP="008531ED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8531E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8531ED">
        <w:rPr>
          <w:rFonts w:cs="Arial"/>
          <w:sz w:val="20"/>
          <w:szCs w:val="20"/>
        </w:rPr>
        <w:t>Eurostatu</w:t>
      </w:r>
      <w:proofErr w:type="spellEnd"/>
      <w:r w:rsidRPr="008531ED">
        <w:rPr>
          <w:rFonts w:cs="Arial"/>
          <w:sz w:val="20"/>
          <w:szCs w:val="20"/>
        </w:rPr>
        <w:t xml:space="preserve">: </w:t>
      </w:r>
      <w:hyperlink r:id="rId9" w:history="1">
        <w:r w:rsidRPr="008531ED">
          <w:rPr>
            <w:rStyle w:val="Hypertextovodkaz"/>
            <w:rFonts w:cs="Arial"/>
            <w:sz w:val="20"/>
            <w:szCs w:val="20"/>
          </w:rPr>
          <w:t>HICP</w:t>
        </w:r>
      </w:hyperlink>
      <w:r w:rsidRPr="008531ED">
        <w:rPr>
          <w:rFonts w:cs="Arial"/>
          <w:sz w:val="20"/>
          <w:szCs w:val="20"/>
        </w:rPr>
        <w:t>.)</w:t>
      </w:r>
    </w:p>
    <w:sectPr w:rsidR="00AB7393" w:rsidRPr="008531ED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7FC" w:rsidRDefault="00FF77FC" w:rsidP="00E71A58">
      <w:r>
        <w:separator/>
      </w:r>
    </w:p>
  </w:endnote>
  <w:endnote w:type="continuationSeparator" w:id="0">
    <w:p w:rsidR="00FF77FC" w:rsidRDefault="00FF77F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E7115A">
      <w:rPr>
        <w:szCs w:val="16"/>
      </w:rPr>
      <w:t>dub</w:t>
    </w:r>
    <w:r w:rsidR="0028098E">
      <w:rPr>
        <w:szCs w:val="16"/>
      </w:rPr>
      <w:t>en</w:t>
    </w:r>
    <w:r w:rsidR="00A16F97">
      <w:rPr>
        <w:rStyle w:val="ZpatChar"/>
        <w:szCs w:val="16"/>
      </w:rPr>
      <w:t xml:space="preserve"> 202</w:t>
    </w:r>
    <w:r w:rsidR="00443E40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 w:rsidR="00E7115A">
      <w:rPr>
        <w:rStyle w:val="ZpatChar"/>
        <w:i/>
        <w:szCs w:val="16"/>
      </w:rPr>
      <w:t>April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43E40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7FC" w:rsidRDefault="00FF77FC" w:rsidP="00E71A58">
      <w:r>
        <w:separator/>
      </w:r>
    </w:p>
  </w:footnote>
  <w:footnote w:type="continuationSeparator" w:id="0">
    <w:p w:rsidR="00FF77FC" w:rsidRDefault="00FF77FC" w:rsidP="00E71A58">
      <w:r>
        <w:continuationSeparator/>
      </w:r>
    </w:p>
  </w:footnote>
  <w:footnote w:id="1">
    <w:p w:rsidR="008531ED" w:rsidRPr="008531ED" w:rsidRDefault="008531ED" w:rsidP="008531ED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8531ED">
        <w:rPr>
          <w:rStyle w:val="Znakapoznpodarou"/>
          <w:rFonts w:ascii="Arial" w:hAnsi="Arial" w:cs="Arial"/>
          <w:szCs w:val="18"/>
          <w:lang w:val="cs-CZ"/>
        </w:rPr>
        <w:footnoteRef/>
      </w:r>
      <w:r w:rsidRPr="008531ED">
        <w:rPr>
          <w:rFonts w:ascii="Arial" w:hAnsi="Arial" w:cs="Arial"/>
          <w:szCs w:val="18"/>
          <w:vertAlign w:val="superscript"/>
          <w:lang w:val="cs-CZ"/>
        </w:rPr>
        <w:t>)</w:t>
      </w:r>
      <w:r w:rsidRPr="008531ED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8531ED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8531ED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8531ED" w:rsidRPr="00743BAE" w:rsidRDefault="008531ED" w:rsidP="008531ED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8531ED">
        <w:rPr>
          <w:rStyle w:val="Znakapoznpodarou"/>
          <w:rFonts w:ascii="Arial" w:hAnsi="Arial" w:cs="Arial"/>
          <w:szCs w:val="18"/>
          <w:lang w:val="cs-CZ"/>
        </w:rPr>
        <w:footnoteRef/>
      </w:r>
      <w:r w:rsidRPr="008531ED">
        <w:rPr>
          <w:rFonts w:ascii="Arial" w:hAnsi="Arial" w:cs="Arial"/>
          <w:szCs w:val="18"/>
          <w:vertAlign w:val="superscript"/>
          <w:lang w:val="cs-CZ"/>
        </w:rPr>
        <w:t>)</w:t>
      </w:r>
      <w:r w:rsidRPr="008531ED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8531ED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152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0516D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6341"/>
    <w:rsid w:val="00147D26"/>
    <w:rsid w:val="0015087F"/>
    <w:rsid w:val="00155623"/>
    <w:rsid w:val="00157546"/>
    <w:rsid w:val="0016256B"/>
    <w:rsid w:val="00163793"/>
    <w:rsid w:val="001637B7"/>
    <w:rsid w:val="00166698"/>
    <w:rsid w:val="00167915"/>
    <w:rsid w:val="001706D6"/>
    <w:rsid w:val="001714F2"/>
    <w:rsid w:val="00176E2A"/>
    <w:rsid w:val="001778BB"/>
    <w:rsid w:val="00182E2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C3C8F"/>
    <w:rsid w:val="001D043C"/>
    <w:rsid w:val="001D68B2"/>
    <w:rsid w:val="001E723E"/>
    <w:rsid w:val="001F4597"/>
    <w:rsid w:val="001F7337"/>
    <w:rsid w:val="00201F3A"/>
    <w:rsid w:val="00204B44"/>
    <w:rsid w:val="002118B9"/>
    <w:rsid w:val="00216823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0E1B"/>
    <w:rsid w:val="00252480"/>
    <w:rsid w:val="00253C0F"/>
    <w:rsid w:val="0026303C"/>
    <w:rsid w:val="00264B76"/>
    <w:rsid w:val="00267CC0"/>
    <w:rsid w:val="00271465"/>
    <w:rsid w:val="00271612"/>
    <w:rsid w:val="00274B22"/>
    <w:rsid w:val="0028098E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A479A"/>
    <w:rsid w:val="002B3598"/>
    <w:rsid w:val="002B43B9"/>
    <w:rsid w:val="002B6FD1"/>
    <w:rsid w:val="002C4142"/>
    <w:rsid w:val="002C43BD"/>
    <w:rsid w:val="002D0E59"/>
    <w:rsid w:val="002D18F3"/>
    <w:rsid w:val="002D2D7D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26B8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4A0D"/>
    <w:rsid w:val="003657F3"/>
    <w:rsid w:val="00371C3B"/>
    <w:rsid w:val="003818DC"/>
    <w:rsid w:val="00382250"/>
    <w:rsid w:val="00382B29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26E43"/>
    <w:rsid w:val="00432A58"/>
    <w:rsid w:val="00434617"/>
    <w:rsid w:val="00435AC6"/>
    <w:rsid w:val="00435D9F"/>
    <w:rsid w:val="00435DF6"/>
    <w:rsid w:val="00440900"/>
    <w:rsid w:val="00443E4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0A4E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E2BAA"/>
    <w:rsid w:val="004F06F5"/>
    <w:rsid w:val="004F1C34"/>
    <w:rsid w:val="004F33A0"/>
    <w:rsid w:val="004F3D10"/>
    <w:rsid w:val="004F6796"/>
    <w:rsid w:val="00500157"/>
    <w:rsid w:val="00503485"/>
    <w:rsid w:val="00505B31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36F60"/>
    <w:rsid w:val="0054037F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055"/>
    <w:rsid w:val="00574773"/>
    <w:rsid w:val="00576105"/>
    <w:rsid w:val="00583FFD"/>
    <w:rsid w:val="005911BE"/>
    <w:rsid w:val="00593152"/>
    <w:rsid w:val="005933F8"/>
    <w:rsid w:val="005A10F2"/>
    <w:rsid w:val="005A116D"/>
    <w:rsid w:val="005A21E0"/>
    <w:rsid w:val="005A28FF"/>
    <w:rsid w:val="005A3DF8"/>
    <w:rsid w:val="005A5549"/>
    <w:rsid w:val="005B0AA7"/>
    <w:rsid w:val="005B121D"/>
    <w:rsid w:val="005B1F6C"/>
    <w:rsid w:val="005B336F"/>
    <w:rsid w:val="005B5366"/>
    <w:rsid w:val="005B77D2"/>
    <w:rsid w:val="005B7A04"/>
    <w:rsid w:val="005C06ED"/>
    <w:rsid w:val="005C1D40"/>
    <w:rsid w:val="005C2A6E"/>
    <w:rsid w:val="005C3013"/>
    <w:rsid w:val="005D5802"/>
    <w:rsid w:val="005D7890"/>
    <w:rsid w:val="005D7D83"/>
    <w:rsid w:val="005E1698"/>
    <w:rsid w:val="005E3A03"/>
    <w:rsid w:val="005E7910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764C0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13C3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1BE4"/>
    <w:rsid w:val="007020D6"/>
    <w:rsid w:val="00705A9E"/>
    <w:rsid w:val="00706AD4"/>
    <w:rsid w:val="007140BE"/>
    <w:rsid w:val="007211F5"/>
    <w:rsid w:val="0072465B"/>
    <w:rsid w:val="0072569E"/>
    <w:rsid w:val="00725BB5"/>
    <w:rsid w:val="00730AE8"/>
    <w:rsid w:val="00730D1E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054F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5B55"/>
    <w:rsid w:val="0084708F"/>
    <w:rsid w:val="008477C8"/>
    <w:rsid w:val="0085114D"/>
    <w:rsid w:val="00852217"/>
    <w:rsid w:val="008531ED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C7F8E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9730B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333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15ED"/>
    <w:rsid w:val="00AA2996"/>
    <w:rsid w:val="00AA52BF"/>
    <w:rsid w:val="00AA559A"/>
    <w:rsid w:val="00AA765E"/>
    <w:rsid w:val="00AB24DE"/>
    <w:rsid w:val="00AB2AF1"/>
    <w:rsid w:val="00AB345B"/>
    <w:rsid w:val="00AB3B37"/>
    <w:rsid w:val="00AB7393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4B21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419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21DD"/>
    <w:rsid w:val="00BC33D1"/>
    <w:rsid w:val="00BC6FFA"/>
    <w:rsid w:val="00BC7154"/>
    <w:rsid w:val="00BD366B"/>
    <w:rsid w:val="00BD6D50"/>
    <w:rsid w:val="00BE126A"/>
    <w:rsid w:val="00BE18B9"/>
    <w:rsid w:val="00BE2311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840"/>
    <w:rsid w:val="00C36A79"/>
    <w:rsid w:val="00C40515"/>
    <w:rsid w:val="00C405D4"/>
    <w:rsid w:val="00C41BCD"/>
    <w:rsid w:val="00C43300"/>
    <w:rsid w:val="00C4513B"/>
    <w:rsid w:val="00C463E9"/>
    <w:rsid w:val="00C50C07"/>
    <w:rsid w:val="00C520A6"/>
    <w:rsid w:val="00C54697"/>
    <w:rsid w:val="00C73885"/>
    <w:rsid w:val="00C747B1"/>
    <w:rsid w:val="00C7712F"/>
    <w:rsid w:val="00C809FA"/>
    <w:rsid w:val="00C82191"/>
    <w:rsid w:val="00C90CF4"/>
    <w:rsid w:val="00C92EB6"/>
    <w:rsid w:val="00C93389"/>
    <w:rsid w:val="00C93EE8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16FF0"/>
    <w:rsid w:val="00D20C94"/>
    <w:rsid w:val="00D215D1"/>
    <w:rsid w:val="00D23F20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37F59"/>
    <w:rsid w:val="00D50F46"/>
    <w:rsid w:val="00D54425"/>
    <w:rsid w:val="00D559EE"/>
    <w:rsid w:val="00D563FA"/>
    <w:rsid w:val="00D5777E"/>
    <w:rsid w:val="00D66223"/>
    <w:rsid w:val="00D74701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158B"/>
    <w:rsid w:val="00DC4155"/>
    <w:rsid w:val="00DC440D"/>
    <w:rsid w:val="00DC530D"/>
    <w:rsid w:val="00DC5B3B"/>
    <w:rsid w:val="00DD129F"/>
    <w:rsid w:val="00DD1FAB"/>
    <w:rsid w:val="00DD263B"/>
    <w:rsid w:val="00DD685B"/>
    <w:rsid w:val="00DE40E0"/>
    <w:rsid w:val="00DE479F"/>
    <w:rsid w:val="00DE78E6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15A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43B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31AE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6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7FC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A49E32C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28137-50F1-4D76-9832-29F26D9F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707</TotalTime>
  <Pages>2</Pages>
  <Words>707</Words>
  <Characters>4177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291</cp:revision>
  <cp:lastPrinted>2017-01-18T13:33:00Z</cp:lastPrinted>
  <dcterms:created xsi:type="dcterms:W3CDTF">2017-02-09T16:27:00Z</dcterms:created>
  <dcterms:modified xsi:type="dcterms:W3CDTF">2025-05-12T15:52:00Z</dcterms:modified>
</cp:coreProperties>
</file>