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8A" w:rsidRDefault="0011338A" w:rsidP="0011338A">
      <w:pPr>
        <w:jc w:val="center"/>
        <w:rPr>
          <w:rFonts w:ascii="Arial" w:hAnsi="Arial"/>
          <w:b/>
          <w:bCs/>
          <w:sz w:val="22"/>
          <w:vertAlign w:val="superscript"/>
        </w:rPr>
      </w:pPr>
      <w:r>
        <w:rPr>
          <w:rFonts w:ascii="Arial" w:hAnsi="Arial"/>
          <w:b/>
          <w:bCs/>
          <w:sz w:val="22"/>
        </w:rPr>
        <w:t xml:space="preserve">Souhrnné indikátory důvěry (CZ-NACE) </w:t>
      </w:r>
      <w:r>
        <w:rPr>
          <w:rFonts w:ascii="Arial" w:hAnsi="Arial"/>
          <w:b/>
          <w:bCs/>
          <w:sz w:val="22"/>
          <w:vertAlign w:val="superscript"/>
        </w:rPr>
        <w:t>1)</w:t>
      </w:r>
    </w:p>
    <w:p w:rsidR="0011338A" w:rsidRDefault="0011338A" w:rsidP="0011338A">
      <w:pPr>
        <w:jc w:val="center"/>
        <w:rPr>
          <w:rFonts w:ascii="Arial" w:hAnsi="Arial"/>
          <w:b/>
          <w:bCs/>
          <w:i/>
          <w:iCs/>
          <w:sz w:val="22"/>
          <w:vertAlign w:val="superscript"/>
          <w:lang w:val="en-US"/>
        </w:rPr>
      </w:pPr>
      <w:r>
        <w:rPr>
          <w:rFonts w:ascii="Arial" w:hAnsi="Arial"/>
          <w:b/>
          <w:bCs/>
          <w:i/>
          <w:iCs/>
          <w:sz w:val="22"/>
          <w:lang w:val="en-US"/>
        </w:rPr>
        <w:t xml:space="preserve">Composite confidence indicator </w:t>
      </w:r>
      <w:r>
        <w:rPr>
          <w:rFonts w:ascii="Arial" w:hAnsi="Arial"/>
          <w:b/>
          <w:bCs/>
          <w:sz w:val="22"/>
        </w:rPr>
        <w:t>(CZ-NACE)</w:t>
      </w:r>
      <w:r>
        <w:rPr>
          <w:rFonts w:ascii="Arial" w:hAnsi="Arial"/>
          <w:b/>
          <w:bCs/>
          <w:i/>
          <w:iCs/>
          <w:sz w:val="22"/>
          <w:lang w:val="en-US"/>
        </w:rPr>
        <w:t xml:space="preserve"> </w:t>
      </w:r>
      <w:r>
        <w:rPr>
          <w:rFonts w:ascii="Arial" w:hAnsi="Arial"/>
          <w:b/>
          <w:bCs/>
          <w:i/>
          <w:iCs/>
          <w:sz w:val="22"/>
          <w:vertAlign w:val="superscript"/>
          <w:lang w:val="en-US"/>
        </w:rPr>
        <w:t>1)</w:t>
      </w:r>
    </w:p>
    <w:p w:rsidR="0011338A" w:rsidRDefault="0011338A" w:rsidP="0011338A">
      <w:pPr>
        <w:jc w:val="center"/>
        <w:rPr>
          <w:rFonts w:ascii="Arial" w:hAnsi="Arial"/>
          <w:b/>
          <w:bCs/>
          <w:i/>
          <w:iCs/>
          <w:sz w:val="22"/>
        </w:rPr>
      </w:pPr>
      <w:r>
        <w:rPr>
          <w:rFonts w:ascii="Arial" w:hAnsi="Arial"/>
          <w:b/>
          <w:bCs/>
          <w:i/>
          <w:iCs/>
          <w:sz w:val="22"/>
        </w:rPr>
        <w:t xml:space="preserve">                                                                                                                                                                 </w:t>
      </w:r>
    </w:p>
    <w:tbl>
      <w:tblPr>
        <w:tblW w:w="9220" w:type="dxa"/>
        <w:tblCellMar>
          <w:left w:w="0" w:type="dxa"/>
          <w:right w:w="0" w:type="dxa"/>
        </w:tblCellMar>
        <w:tblLook w:val="0000"/>
      </w:tblPr>
      <w:tblGrid>
        <w:gridCol w:w="480"/>
        <w:gridCol w:w="880"/>
        <w:gridCol w:w="800"/>
        <w:gridCol w:w="1180"/>
        <w:gridCol w:w="720"/>
        <w:gridCol w:w="820"/>
        <w:gridCol w:w="1120"/>
        <w:gridCol w:w="1080"/>
        <w:gridCol w:w="135"/>
        <w:gridCol w:w="985"/>
        <w:gridCol w:w="1020"/>
      </w:tblGrid>
      <w:tr w:rsidR="0011338A" w:rsidTr="00B52388">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lang w:val="en-US"/>
              </w:rPr>
            </w:pPr>
            <w:r>
              <w:rPr>
                <w:rFonts w:ascii="Arial" w:hAnsi="Arial"/>
                <w:b/>
                <w:bCs/>
                <w:sz w:val="16"/>
                <w:szCs w:val="16"/>
              </w:rPr>
              <w:t>Rok</w:t>
            </w:r>
            <w:r>
              <w:rPr>
                <w:rFonts w:ascii="Arial" w:hAnsi="Arial"/>
                <w:b/>
                <w:bCs/>
                <w:sz w:val="16"/>
                <w:szCs w:val="16"/>
                <w:lang w:val="en-US"/>
              </w:rPr>
              <w:t xml:space="preserve"> 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lang w:val="en-US"/>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215" w:type="dxa"/>
            <w:gridSpan w:val="2"/>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985"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215" w:type="dxa"/>
            <w:gridSpan w:val="2"/>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985"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44,7</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1215" w:type="dxa"/>
            <w:gridSpan w:val="2"/>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99,0</w:t>
            </w:r>
          </w:p>
        </w:tc>
        <w:tc>
          <w:tcPr>
            <w:tcW w:w="985" w:type="dxa"/>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80,8</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75,4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92,1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100,3</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102,3</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105,4</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106,3</w:t>
            </w:r>
          </w:p>
        </w:tc>
      </w:tr>
      <w:tr w:rsidR="0011338A" w:rsidTr="00522705">
        <w:trPr>
          <w:trHeight w:val="6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 xml:space="preserve"> 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105,1</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104,2</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104,9</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105,6</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105,5</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w:t>
            </w:r>
          </w:p>
        </w:tc>
        <w:tc>
          <w:tcPr>
            <w:tcW w:w="1215" w:type="dxa"/>
            <w:gridSpan w:val="2"/>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105,0</w:t>
            </w:r>
          </w:p>
        </w:tc>
        <w:tc>
          <w:tcPr>
            <w:tcW w:w="985" w:type="dxa"/>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103,1</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41,7</w:t>
            </w:r>
          </w:p>
        </w:tc>
        <w:tc>
          <w:tcPr>
            <w:tcW w:w="0" w:type="auto"/>
            <w:tcBorders>
              <w:top w:val="nil"/>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-12,5</w:t>
            </w:r>
          </w:p>
        </w:tc>
        <w:tc>
          <w:tcPr>
            <w:tcW w:w="1215" w:type="dxa"/>
            <w:gridSpan w:val="2"/>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c>
          <w:tcPr>
            <w:tcW w:w="985" w:type="dxa"/>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89,5</w:t>
            </w:r>
          </w:p>
        </w:tc>
        <w:tc>
          <w:tcPr>
            <w:tcW w:w="1020"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101,6</w:t>
            </w: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2008</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45,3</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-10,8</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105,2</w:t>
            </w:r>
          </w:p>
        </w:tc>
        <w:tc>
          <w:tcPr>
            <w:tcW w:w="0" w:type="auto"/>
            <w:gridSpan w:val="2"/>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102,8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48,3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104,4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103,8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99,1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88,5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87,1</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-27,5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72,2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-28,7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74,9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76,6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78,4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-13,0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77,3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79,0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94,1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82,6</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81,8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95,3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84,5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6,7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89,3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96,3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-31,0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23,0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-11,0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hAnsi="Arial" w:cs="Arial"/>
                <w:sz w:val="16"/>
                <w:szCs w:val="16"/>
              </w:rPr>
              <w:t>90,6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94,6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-7,3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94,8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89,2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88,0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91,6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92,7</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10,7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96,4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cs="Arial"/>
                <w:sz w:val="16"/>
                <w:szCs w:val="16"/>
              </w:rPr>
            </w:pPr>
            <w:r>
              <w:rPr>
                <w:rFonts w:ascii="Arial" w:hAnsi="Arial" w:cs="Arial"/>
                <w:sz w:val="16"/>
                <w:szCs w:val="16"/>
              </w:rPr>
              <w:t>95,8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95,6</w:t>
            </w:r>
          </w:p>
        </w:tc>
      </w:tr>
      <w:tr w:rsidR="0011338A" w:rsidTr="00522705">
        <w:trPr>
          <w:trHeight w:val="25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78,8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86,6</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20,3</w:t>
            </w:r>
          </w:p>
        </w:tc>
        <w:tc>
          <w:tcPr>
            <w:tcW w:w="0" w:type="auto"/>
            <w:tcBorders>
              <w:top w:val="nil"/>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-29,8</w:t>
            </w:r>
          </w:p>
        </w:tc>
        <w:tc>
          <w:tcPr>
            <w:tcW w:w="0" w:type="auto"/>
            <w:tcBorders>
              <w:top w:val="nil"/>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87,7</w:t>
            </w:r>
          </w:p>
        </w:tc>
        <w:tc>
          <w:tcPr>
            <w:tcW w:w="0" w:type="auto"/>
            <w:gridSpan w:val="2"/>
            <w:tcBorders>
              <w:top w:val="nil"/>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71,8</w:t>
            </w:r>
          </w:p>
        </w:tc>
        <w:tc>
          <w:tcPr>
            <w:tcW w:w="1020" w:type="dxa"/>
            <w:tcBorders>
              <w:top w:val="nil"/>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85,0</w:t>
            </w:r>
          </w:p>
        </w:tc>
      </w:tr>
      <w:tr w:rsidR="0011338A" w:rsidTr="00522705">
        <w:trPr>
          <w:trHeight w:val="225"/>
        </w:trPr>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gridSpan w:val="2"/>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1020" w:type="dxa"/>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2012</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w:t>
            </w:r>
          </w:p>
        </w:tc>
        <w:tc>
          <w:tcPr>
            <w:tcW w:w="0" w:type="auto"/>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single" w:sz="12"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89,4</w:t>
            </w:r>
          </w:p>
        </w:tc>
        <w:tc>
          <w:tcPr>
            <w:tcW w:w="0" w:type="auto"/>
            <w:gridSpan w:val="2"/>
            <w:tcBorders>
              <w:top w:val="single" w:sz="12"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76,4</w:t>
            </w:r>
          </w:p>
        </w:tc>
        <w:tc>
          <w:tcPr>
            <w:tcW w:w="1020" w:type="dxa"/>
            <w:tcBorders>
              <w:top w:val="single" w:sz="12"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76,2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 xml:space="preserve">-45,0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86,6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 xml:space="preserve">5 </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70,6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72,3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74,4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71,8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74,7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24,6</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79,5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85,0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82,7</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82,0</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 xml:space="preserve">7 </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81,3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84,8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87,5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89,0</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88,5</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88,9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Pr="00861B7F" w:rsidRDefault="0011338A" w:rsidP="00522705">
            <w:pPr>
              <w:pStyle w:val="Nadpis4"/>
              <w:rPr>
                <w:rFonts w:eastAsia="Arial Unicode MS"/>
                <w:b w:val="0"/>
                <w:sz w:val="16"/>
                <w:szCs w:val="16"/>
                <w:lang w:val="cs-CZ" w:eastAsia="cs-CZ"/>
              </w:rPr>
            </w:pPr>
            <w:r w:rsidRPr="00861B7F">
              <w:rPr>
                <w:rFonts w:eastAsia="Arial Unicode MS"/>
                <w:b w:val="0"/>
                <w:sz w:val="16"/>
                <w:szCs w:val="16"/>
                <w:lang w:val="cs-CZ" w:eastAsia="cs-CZ"/>
              </w:rPr>
              <w:t>-9,3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89,9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92,8</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90,4</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90,1</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90,9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91,2</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-3 7,0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99,4</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91,6</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97,9</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12,3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96,3</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100,2</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r>
      <w:tr w:rsidR="0011338A" w:rsidTr="00522705">
        <w:trPr>
          <w:trHeight w:val="225"/>
        </w:trPr>
        <w:tc>
          <w:tcPr>
            <w:tcW w:w="0" w:type="auto"/>
            <w:tcBorders>
              <w:top w:val="nil"/>
              <w:left w:val="single" w:sz="12"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94,8</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105,1</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93,4</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26,7</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92,9</w:t>
            </w:r>
          </w:p>
        </w:tc>
        <w:tc>
          <w:tcPr>
            <w:tcW w:w="0" w:type="auto"/>
            <w:gridSpan w:val="2"/>
            <w:tcBorders>
              <w:top w:val="nil"/>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105,7</w:t>
            </w:r>
          </w:p>
        </w:tc>
        <w:tc>
          <w:tcPr>
            <w:tcW w:w="1020" w:type="dxa"/>
            <w:tcBorders>
              <w:top w:val="nil"/>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20,7</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28,7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93,8</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21,3</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31,7</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95,5</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 xml:space="preserve">97,0 </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94,6</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17,6</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103,6</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94,4</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95,9</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31,0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104,8</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105,3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r>
      <w:tr w:rsidR="0011338A" w:rsidTr="00522705">
        <w:trPr>
          <w:trHeight w:val="225"/>
        </w:trPr>
        <w:tc>
          <w:tcPr>
            <w:tcW w:w="0" w:type="auto"/>
            <w:tcBorders>
              <w:top w:val="nil"/>
              <w:left w:val="single" w:sz="12"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single" w:sz="4"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-16,5</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19,3</w:t>
            </w:r>
          </w:p>
        </w:tc>
        <w:tc>
          <w:tcPr>
            <w:tcW w:w="0" w:type="auto"/>
            <w:tcBorders>
              <w:top w:val="single" w:sz="4" w:space="0" w:color="auto"/>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single" w:sz="4"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single" w:sz="4" w:space="0" w:color="auto"/>
              <w:left w:val="nil"/>
              <w:bottom w:val="single" w:sz="12"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107,4</w:t>
            </w:r>
          </w:p>
        </w:tc>
        <w:tc>
          <w:tcPr>
            <w:tcW w:w="1020" w:type="dxa"/>
            <w:tcBorders>
              <w:top w:val="single" w:sz="4"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96,5</w:t>
            </w:r>
          </w:p>
        </w:tc>
      </w:tr>
      <w:tr w:rsidR="0011338A" w:rsidTr="00522705">
        <w:trPr>
          <w:trHeight w:val="225"/>
        </w:trPr>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0" w:type="auto"/>
            <w:gridSpan w:val="2"/>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c>
          <w:tcPr>
            <w:tcW w:w="1020" w:type="dxa"/>
            <w:tcBorders>
              <w:top w:val="single" w:sz="12" w:space="0" w:color="auto"/>
            </w:tcBorders>
            <w:noWrap/>
            <w:tcMar>
              <w:top w:w="15" w:type="dxa"/>
              <w:left w:w="15" w:type="dxa"/>
              <w:bottom w:w="0" w:type="dxa"/>
              <w:right w:w="15" w:type="dxa"/>
            </w:tcMar>
            <w:vAlign w:val="bottom"/>
          </w:tcPr>
          <w:p w:rsidR="0011338A" w:rsidRDefault="0011338A" w:rsidP="00522705">
            <w:pPr>
              <w:jc w:val="center"/>
              <w:rPr>
                <w:rFonts w:ascii="Arial" w:hAnsi="Arial"/>
                <w:sz w:val="16"/>
                <w:szCs w:val="16"/>
              </w:rPr>
            </w:pPr>
          </w:p>
        </w:tc>
      </w:tr>
      <w:tr w:rsidR="0011338A" w:rsidTr="00522705">
        <w:trPr>
          <w:trHeight w:val="466"/>
        </w:trPr>
        <w:tc>
          <w:tcPr>
            <w:tcW w:w="480" w:type="dxa"/>
            <w:tcBorders>
              <w:top w:val="single" w:sz="12" w:space="0" w:color="auto"/>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880" w:type="dxa"/>
            <w:tcBorders>
              <w:top w:val="single" w:sz="12" w:space="0" w:color="auto"/>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12"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cs="Arial"/>
                <w:b/>
                <w:bCs/>
                <w:sz w:val="16"/>
                <w:szCs w:val="16"/>
              </w:rPr>
              <w:t xml:space="preserve">Salda indikátorů důvěry za </w:t>
            </w:r>
            <w:r>
              <w:rPr>
                <w:rFonts w:ascii="Arial" w:hAnsi="Arial" w:cs="Arial"/>
                <w:sz w:val="16"/>
                <w:szCs w:val="16"/>
              </w:rPr>
              <w:t>(všechny hodnoty jsou počítány ze sezónně očištěných sald)</w:t>
            </w:r>
          </w:p>
        </w:tc>
        <w:tc>
          <w:tcPr>
            <w:tcW w:w="3220" w:type="dxa"/>
            <w:gridSpan w:val="4"/>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Bazické indexy k průměru roku 2005 </w:t>
            </w:r>
          </w:p>
        </w:tc>
      </w:tr>
      <w:tr w:rsidR="0011338A" w:rsidTr="00522705">
        <w:trPr>
          <w:trHeight w:val="452"/>
        </w:trPr>
        <w:tc>
          <w:tcPr>
            <w:tcW w:w="0" w:type="auto"/>
            <w:tcBorders>
              <w:top w:val="nil"/>
              <w:left w:val="single" w:sz="12" w:space="0" w:color="auto"/>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Unicode MS"/>
                <w:b/>
                <w:bCs/>
                <w:sz w:val="16"/>
                <w:szCs w:val="16"/>
              </w:rPr>
            </w:pPr>
          </w:p>
        </w:tc>
        <w:tc>
          <w:tcPr>
            <w:tcW w:w="0" w:type="auto"/>
            <w:tcBorders>
              <w:top w:val="nil"/>
              <w:left w:val="nil"/>
              <w:bottom w:val="nil"/>
              <w:right w:val="nil"/>
            </w:tcBorders>
            <w:noWrap/>
            <w:tcMar>
              <w:top w:w="15" w:type="dxa"/>
              <w:left w:w="180" w:type="dxa"/>
              <w:bottom w:w="0" w:type="dxa"/>
              <w:right w:w="15" w:type="dxa"/>
            </w:tcMar>
            <w:vAlign w:val="bottom"/>
          </w:tcPr>
          <w:p w:rsidR="0011338A" w:rsidRDefault="0011338A" w:rsidP="00522705">
            <w:pPr>
              <w:ind w:firstLineChars="100" w:firstLine="160"/>
              <w:rPr>
                <w:rFonts w:ascii="Arial" w:eastAsia="Arial Unicode MS" w:hAnsi="Arial" w:cs="Arial Unicode MS"/>
                <w:b/>
                <w:bCs/>
                <w:sz w:val="16"/>
                <w:szCs w:val="16"/>
              </w:rPr>
            </w:pPr>
          </w:p>
        </w:tc>
        <w:tc>
          <w:tcPr>
            <w:tcW w:w="4640" w:type="dxa"/>
            <w:gridSpan w:val="5"/>
            <w:tcBorders>
              <w:top w:val="single" w:sz="4" w:space="0" w:color="auto"/>
              <w:left w:val="single" w:sz="8" w:space="0" w:color="auto"/>
              <w:bottom w:val="single" w:sz="4" w:space="0" w:color="auto"/>
              <w:right w:val="single" w:sz="8" w:space="0" w:color="000000"/>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cs="Arial"/>
                <w:b/>
                <w:bCs/>
                <w:sz w:val="16"/>
                <w:szCs w:val="16"/>
                <w:lang w:val="en-US"/>
              </w:rPr>
              <w:t xml:space="preserve">Balances of confidence indicators for </w:t>
            </w:r>
            <w:r>
              <w:rPr>
                <w:rFonts w:ascii="Arial" w:hAnsi="Arial" w:cs="Arial"/>
                <w:sz w:val="16"/>
                <w:szCs w:val="16"/>
                <w:lang w:val="en-US"/>
              </w:rPr>
              <w:t>(all the data are calculated from seasonally adjusted balances)</w:t>
            </w:r>
          </w:p>
        </w:tc>
        <w:tc>
          <w:tcPr>
            <w:tcW w:w="3220" w:type="dxa"/>
            <w:gridSpan w:val="4"/>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 xml:space="preserve">Basic indices to the average of 2005 </w:t>
            </w:r>
          </w:p>
        </w:tc>
      </w:tr>
      <w:tr w:rsidR="0011338A" w:rsidTr="00522705">
        <w:trPr>
          <w:cantSplit/>
          <w:trHeight w:val="214"/>
        </w:trPr>
        <w:tc>
          <w:tcPr>
            <w:tcW w:w="480" w:type="dxa"/>
            <w:vMerge w:val="restart"/>
            <w:tcBorders>
              <w:top w:val="single" w:sz="8" w:space="0" w:color="auto"/>
              <w:left w:val="single" w:sz="12"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Rok </w:t>
            </w:r>
            <w:r>
              <w:rPr>
                <w:rFonts w:ascii="Arial" w:hAnsi="Arial"/>
                <w:b/>
                <w:bCs/>
                <w:sz w:val="16"/>
                <w:szCs w:val="16"/>
                <w:lang w:val="en-US"/>
              </w:rPr>
              <w:t>Year</w:t>
            </w:r>
          </w:p>
        </w:tc>
        <w:tc>
          <w:tcPr>
            <w:tcW w:w="880" w:type="dxa"/>
            <w:vMerge w:val="restart"/>
            <w:tcBorders>
              <w:top w:val="single" w:sz="8" w:space="0" w:color="auto"/>
              <w:left w:val="single" w:sz="4" w:space="0" w:color="auto"/>
              <w:bottom w:val="single" w:sz="8" w:space="0" w:color="000000"/>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 xml:space="preserve">Měsíc </w:t>
            </w:r>
            <w:r>
              <w:rPr>
                <w:rFonts w:ascii="Arial" w:hAnsi="Arial"/>
                <w:b/>
                <w:bCs/>
                <w:i/>
                <w:iCs/>
                <w:sz w:val="16"/>
                <w:szCs w:val="16"/>
                <w:lang w:val="en-US"/>
              </w:rPr>
              <w:t>Month</w:t>
            </w:r>
          </w:p>
        </w:tc>
        <w:tc>
          <w:tcPr>
            <w:tcW w:w="80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průmysl</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stavebnictví</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obchod</w:t>
            </w:r>
          </w:p>
        </w:tc>
        <w:tc>
          <w:tcPr>
            <w:tcW w:w="820" w:type="dxa"/>
            <w:tcBorders>
              <w:top w:val="nil"/>
              <w:left w:val="nil"/>
              <w:bottom w:val="single" w:sz="4"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služby</w:t>
            </w:r>
          </w:p>
        </w:tc>
        <w:tc>
          <w:tcPr>
            <w:tcW w:w="1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80"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podnikatele celkem</w:t>
            </w:r>
          </w:p>
        </w:tc>
        <w:tc>
          <w:tcPr>
            <w:tcW w:w="112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spotřebitele</w:t>
            </w:r>
          </w:p>
        </w:tc>
        <w:tc>
          <w:tcPr>
            <w:tcW w:w="1020" w:type="dxa"/>
            <w:tcBorders>
              <w:top w:val="nil"/>
              <w:left w:val="nil"/>
              <w:bottom w:val="single" w:sz="4"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sz w:val="16"/>
                <w:szCs w:val="16"/>
              </w:rPr>
            </w:pPr>
            <w:r>
              <w:rPr>
                <w:rFonts w:ascii="Arial" w:hAnsi="Arial"/>
                <w:b/>
                <w:bCs/>
                <w:sz w:val="16"/>
                <w:szCs w:val="16"/>
              </w:rPr>
              <w:t>souhrnný indikátor</w:t>
            </w:r>
          </w:p>
        </w:tc>
      </w:tr>
      <w:tr w:rsidR="0011338A" w:rsidTr="00522705">
        <w:trPr>
          <w:cantSplit/>
          <w:trHeight w:val="363"/>
        </w:trPr>
        <w:tc>
          <w:tcPr>
            <w:tcW w:w="0" w:type="auto"/>
            <w:vMerge/>
            <w:tcBorders>
              <w:top w:val="single" w:sz="8" w:space="0" w:color="auto"/>
              <w:left w:val="single" w:sz="12"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0" w:type="auto"/>
            <w:vMerge/>
            <w:tcBorders>
              <w:top w:val="single" w:sz="8" w:space="0" w:color="auto"/>
              <w:left w:val="single" w:sz="4" w:space="0" w:color="auto"/>
              <w:bottom w:val="single" w:sz="12" w:space="0" w:color="auto"/>
              <w:right w:val="single" w:sz="4" w:space="0" w:color="auto"/>
            </w:tcBorders>
            <w:vAlign w:val="center"/>
          </w:tcPr>
          <w:p w:rsidR="0011338A" w:rsidRDefault="0011338A" w:rsidP="00522705">
            <w:pPr>
              <w:rPr>
                <w:rFonts w:ascii="Arial" w:eastAsia="Arial Unicode MS" w:hAnsi="Arial" w:cs="Arial Unicode MS"/>
                <w:b/>
                <w:bCs/>
                <w:sz w:val="16"/>
                <w:szCs w:val="16"/>
              </w:rPr>
            </w:pPr>
          </w:p>
        </w:tc>
        <w:tc>
          <w:tcPr>
            <w:tcW w:w="80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Industry</w:t>
            </w:r>
          </w:p>
        </w:tc>
        <w:tc>
          <w:tcPr>
            <w:tcW w:w="118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Construction</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Trade</w:t>
            </w:r>
          </w:p>
        </w:tc>
        <w:tc>
          <w:tcPr>
            <w:tcW w:w="820" w:type="dxa"/>
            <w:tcBorders>
              <w:top w:val="nil"/>
              <w:left w:val="nil"/>
              <w:bottom w:val="single" w:sz="12" w:space="0" w:color="auto"/>
              <w:right w:val="nil"/>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Services</w:t>
            </w:r>
          </w:p>
        </w:tc>
        <w:tc>
          <w:tcPr>
            <w:tcW w:w="1120" w:type="dxa"/>
            <w:tcBorders>
              <w:top w:val="nil"/>
              <w:left w:val="single" w:sz="4"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80" w:type="dxa"/>
            <w:tcBorders>
              <w:top w:val="nil"/>
              <w:left w:val="single" w:sz="8" w:space="0" w:color="auto"/>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Business indicator</w:t>
            </w:r>
          </w:p>
        </w:tc>
        <w:tc>
          <w:tcPr>
            <w:tcW w:w="1120" w:type="dxa"/>
            <w:gridSpan w:val="2"/>
            <w:tcBorders>
              <w:top w:val="nil"/>
              <w:left w:val="nil"/>
              <w:bottom w:val="single" w:sz="12" w:space="0" w:color="auto"/>
              <w:right w:val="single" w:sz="4"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Consumers</w:t>
            </w:r>
          </w:p>
        </w:tc>
        <w:tc>
          <w:tcPr>
            <w:tcW w:w="1020" w:type="dxa"/>
            <w:tcBorders>
              <w:top w:val="nil"/>
              <w:left w:val="nil"/>
              <w:bottom w:val="single" w:sz="12" w:space="0" w:color="auto"/>
              <w:right w:val="single" w:sz="12" w:space="0" w:color="auto"/>
            </w:tcBorders>
            <w:tcMar>
              <w:top w:w="15" w:type="dxa"/>
              <w:left w:w="15" w:type="dxa"/>
              <w:bottom w:w="0" w:type="dxa"/>
              <w:right w:w="15" w:type="dxa"/>
            </w:tcMar>
            <w:vAlign w:val="center"/>
          </w:tcPr>
          <w:p w:rsidR="0011338A" w:rsidRDefault="0011338A" w:rsidP="00522705">
            <w:pPr>
              <w:jc w:val="center"/>
              <w:rPr>
                <w:rFonts w:ascii="Arial" w:eastAsia="Arial Unicode MS" w:hAnsi="Arial" w:cs="Arial Unicode MS"/>
                <w:b/>
                <w:bCs/>
                <w:i/>
                <w:iCs/>
                <w:sz w:val="16"/>
                <w:szCs w:val="16"/>
                <w:lang w:val="en-US"/>
              </w:rPr>
            </w:pPr>
            <w:r>
              <w:rPr>
                <w:rFonts w:ascii="Arial" w:hAnsi="Arial"/>
                <w:b/>
                <w:bCs/>
                <w:i/>
                <w:iCs/>
                <w:sz w:val="16"/>
                <w:szCs w:val="16"/>
                <w:lang w:val="en-US"/>
              </w:rPr>
              <w:t>Composite indicator</w:t>
            </w:r>
          </w:p>
        </w:tc>
      </w:tr>
      <w:tr w:rsidR="0011338A" w:rsidTr="00522705">
        <w:trPr>
          <w:trHeight w:val="225"/>
        </w:trPr>
        <w:tc>
          <w:tcPr>
            <w:tcW w:w="0" w:type="auto"/>
            <w:tcBorders>
              <w:top w:val="single" w:sz="12" w:space="0" w:color="auto"/>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2016</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w:t>
            </w:r>
          </w:p>
        </w:tc>
        <w:tc>
          <w:tcPr>
            <w:tcW w:w="0" w:type="auto"/>
            <w:tcBorders>
              <w:top w:val="single" w:sz="12"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12"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22,0</w:t>
            </w:r>
          </w:p>
        </w:tc>
        <w:tc>
          <w:tcPr>
            <w:tcW w:w="0" w:type="auto"/>
            <w:tcBorders>
              <w:top w:val="single" w:sz="12"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12"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7,5</w:t>
            </w:r>
          </w:p>
        </w:tc>
        <w:tc>
          <w:tcPr>
            <w:tcW w:w="0" w:type="auto"/>
            <w:tcBorders>
              <w:top w:val="single" w:sz="12"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c>
          <w:tcPr>
            <w:tcW w:w="0" w:type="auto"/>
            <w:gridSpan w:val="2"/>
            <w:tcBorders>
              <w:top w:val="single" w:sz="12"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110,0</w:t>
            </w:r>
          </w:p>
        </w:tc>
        <w:tc>
          <w:tcPr>
            <w:tcW w:w="1020" w:type="dxa"/>
            <w:tcBorders>
              <w:top w:val="single" w:sz="12"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98,4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2</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106,2</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3</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-22,5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95,1</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104,8</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96,7</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4</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93,8</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95,6</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5</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94,3</w:t>
            </w:r>
          </w:p>
        </w:tc>
        <w:tc>
          <w:tcPr>
            <w:tcW w:w="0" w:type="auto"/>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single" w:sz="4"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96,0</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6</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1,3</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18,0</w:t>
            </w:r>
          </w:p>
        </w:tc>
        <w:tc>
          <w:tcPr>
            <w:tcW w:w="0" w:type="auto"/>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32,3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1,5</w:t>
            </w:r>
          </w:p>
        </w:tc>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93,5</w:t>
            </w:r>
          </w:p>
        </w:tc>
        <w:tc>
          <w:tcPr>
            <w:tcW w:w="0" w:type="auto"/>
            <w:gridSpan w:val="2"/>
            <w:tcBorders>
              <w:top w:val="nil"/>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103,8</w:t>
            </w:r>
          </w:p>
        </w:tc>
        <w:tc>
          <w:tcPr>
            <w:tcW w:w="1020" w:type="dxa"/>
            <w:tcBorders>
              <w:top w:val="nil"/>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7</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-26,0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33,3</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0,0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94,0</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102,3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95,4</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8</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-24,5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17,7</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33,0</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95,3</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104,3</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96,8</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9</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-29,5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16,3</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4,0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106,4</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10</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-27,5</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34,7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95,2</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108,9</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97,5</w:t>
            </w:r>
          </w:p>
        </w:tc>
      </w:tr>
      <w:tr w:rsidR="0011338A" w:rsidTr="00522705">
        <w:trPr>
          <w:trHeight w:val="225"/>
        </w:trPr>
        <w:tc>
          <w:tcPr>
            <w:tcW w:w="0" w:type="auto"/>
            <w:tcBorders>
              <w:top w:val="nil"/>
              <w:left w:val="single" w:sz="12"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11</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-23,0</w:t>
            </w:r>
          </w:p>
        </w:tc>
        <w:tc>
          <w:tcPr>
            <w:tcW w:w="0" w:type="auto"/>
            <w:tcBorders>
              <w:top w:val="single" w:sz="4" w:space="0" w:color="auto"/>
              <w:left w:val="nil"/>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21,0</w:t>
            </w:r>
          </w:p>
        </w:tc>
        <w:tc>
          <w:tcPr>
            <w:tcW w:w="0" w:type="auto"/>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5,5</w:t>
            </w:r>
          </w:p>
        </w:tc>
        <w:tc>
          <w:tcPr>
            <w:tcW w:w="0" w:type="auto"/>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97,5</w:t>
            </w:r>
          </w:p>
        </w:tc>
        <w:tc>
          <w:tcPr>
            <w:tcW w:w="0" w:type="auto"/>
            <w:gridSpan w:val="2"/>
            <w:tcBorders>
              <w:top w:val="single" w:sz="4" w:space="0" w:color="auto"/>
              <w:left w:val="nil"/>
              <w:bottom w:val="nil"/>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107,9</w:t>
            </w:r>
          </w:p>
        </w:tc>
        <w:tc>
          <w:tcPr>
            <w:tcW w:w="1020" w:type="dxa"/>
            <w:tcBorders>
              <w:top w:val="single" w:sz="4" w:space="0" w:color="auto"/>
              <w:left w:val="single" w:sz="4" w:space="0" w:color="auto"/>
              <w:bottom w:val="nil"/>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99,3</w:t>
            </w:r>
          </w:p>
        </w:tc>
      </w:tr>
      <w:tr w:rsidR="0011338A" w:rsidTr="00895F51">
        <w:trPr>
          <w:trHeight w:val="225"/>
        </w:trPr>
        <w:tc>
          <w:tcPr>
            <w:tcW w:w="0" w:type="auto"/>
            <w:tcBorders>
              <w:top w:val="nil"/>
              <w:left w:val="single" w:sz="12"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hAnsi="Arial"/>
                <w:b/>
                <w:bCs/>
                <w:sz w:val="16"/>
                <w:szCs w:val="16"/>
              </w:rPr>
            </w:pPr>
            <w:r>
              <w:rPr>
                <w:rFonts w:ascii="Arial" w:hAnsi="Arial"/>
                <w:b/>
                <w:bCs/>
                <w:sz w:val="16"/>
                <w:szCs w:val="16"/>
              </w:rPr>
              <w:t>12</w:t>
            </w:r>
          </w:p>
        </w:tc>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6,0</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19,7</w:t>
            </w:r>
          </w:p>
        </w:tc>
        <w:tc>
          <w:tcPr>
            <w:tcW w:w="0" w:type="auto"/>
            <w:tcBorders>
              <w:top w:val="single" w:sz="4" w:space="0" w:color="auto"/>
              <w:left w:val="nil"/>
              <w:bottom w:val="single" w:sz="8"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37,7</w:t>
            </w:r>
          </w:p>
        </w:tc>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97,1</w:t>
            </w:r>
          </w:p>
        </w:tc>
        <w:tc>
          <w:tcPr>
            <w:tcW w:w="0" w:type="auto"/>
            <w:gridSpan w:val="2"/>
            <w:tcBorders>
              <w:top w:val="single" w:sz="4" w:space="0" w:color="auto"/>
              <w:left w:val="nil"/>
              <w:bottom w:val="single" w:sz="8" w:space="0" w:color="auto"/>
              <w:right w:val="nil"/>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108,7</w:t>
            </w:r>
          </w:p>
        </w:tc>
        <w:tc>
          <w:tcPr>
            <w:tcW w:w="1020" w:type="dxa"/>
            <w:tcBorders>
              <w:top w:val="single" w:sz="4"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11338A" w:rsidRDefault="0011338A" w:rsidP="00522705">
            <w:pPr>
              <w:jc w:val="center"/>
              <w:rPr>
                <w:rFonts w:ascii="Arial" w:eastAsia="Arial Unicode MS" w:hAnsi="Arial" w:cs="Arial"/>
                <w:sz w:val="16"/>
                <w:szCs w:val="16"/>
              </w:rPr>
            </w:pPr>
            <w:r>
              <w:rPr>
                <w:rFonts w:ascii="Arial" w:eastAsia="Arial Unicode MS" w:hAnsi="Arial" w:cs="Arial"/>
                <w:sz w:val="16"/>
                <w:szCs w:val="16"/>
              </w:rPr>
              <w:t>99,1</w:t>
            </w:r>
          </w:p>
        </w:tc>
      </w:tr>
      <w:tr w:rsidR="00895F51" w:rsidTr="00895F51">
        <w:trPr>
          <w:trHeight w:val="225"/>
        </w:trPr>
        <w:tc>
          <w:tcPr>
            <w:tcW w:w="0" w:type="auto"/>
            <w:tcBorders>
              <w:top w:val="single" w:sz="8" w:space="0" w:color="auto"/>
              <w:left w:val="single" w:sz="12" w:space="0" w:color="auto"/>
              <w:right w:val="single" w:sz="12" w:space="0" w:color="auto"/>
            </w:tcBorders>
            <w:noWrap/>
            <w:tcMar>
              <w:top w:w="15" w:type="dxa"/>
              <w:left w:w="15" w:type="dxa"/>
              <w:bottom w:w="0" w:type="dxa"/>
              <w:right w:w="15" w:type="dxa"/>
            </w:tcMar>
            <w:vAlign w:val="bottom"/>
          </w:tcPr>
          <w:p w:rsidR="00895F51" w:rsidRPr="00895F51" w:rsidRDefault="00895F51" w:rsidP="002366CB">
            <w:pPr>
              <w:jc w:val="center"/>
              <w:rPr>
                <w:rFonts w:ascii="Arial" w:hAnsi="Arial"/>
                <w:b/>
                <w:bCs/>
                <w:sz w:val="16"/>
                <w:szCs w:val="16"/>
              </w:rPr>
            </w:pPr>
            <w:r w:rsidRPr="00895F51">
              <w:rPr>
                <w:rFonts w:ascii="Arial" w:hAnsi="Arial"/>
                <w:b/>
                <w:bCs/>
                <w:sz w:val="16"/>
                <w:szCs w:val="16"/>
              </w:rPr>
              <w:t>2017</w:t>
            </w: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r>
              <w:rPr>
                <w:rFonts w:ascii="Arial" w:hAnsi="Arial"/>
                <w:b/>
                <w:bCs/>
                <w:sz w:val="16"/>
                <w:szCs w:val="16"/>
              </w:rPr>
              <w:t>1</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5,3</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-27,0</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24,7</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37,3</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7,5</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97,0</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110,0</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99,2</w:t>
            </w:r>
          </w:p>
        </w:tc>
      </w:tr>
      <w:tr w:rsidR="00895F51" w:rsidTr="00F928BA">
        <w:trPr>
          <w:trHeight w:val="225"/>
        </w:trPr>
        <w:tc>
          <w:tcPr>
            <w:tcW w:w="0" w:type="auto"/>
            <w:tcBorders>
              <w:left w:val="single" w:sz="12"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p>
        </w:tc>
        <w:tc>
          <w:tcPr>
            <w:tcW w:w="0" w:type="auto"/>
            <w:tcBorders>
              <w:top w:val="single" w:sz="8" w:space="0" w:color="auto"/>
              <w:left w:val="single" w:sz="12"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hAnsi="Arial"/>
                <w:b/>
                <w:bCs/>
                <w:sz w:val="16"/>
                <w:szCs w:val="16"/>
              </w:rPr>
            </w:pPr>
            <w:r>
              <w:rPr>
                <w:rFonts w:ascii="Arial" w:hAnsi="Arial"/>
                <w:b/>
                <w:bCs/>
                <w:sz w:val="16"/>
                <w:szCs w:val="16"/>
              </w:rPr>
              <w:t>2</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3,7</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-22,5</w:t>
            </w:r>
          </w:p>
        </w:tc>
        <w:tc>
          <w:tcPr>
            <w:tcW w:w="0" w:type="auto"/>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24,3</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35,3</w:t>
            </w:r>
          </w:p>
        </w:tc>
        <w:tc>
          <w:tcPr>
            <w:tcW w:w="0" w:type="auto"/>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5,8</w:t>
            </w:r>
          </w:p>
        </w:tc>
        <w:tc>
          <w:tcPr>
            <w:tcW w:w="0" w:type="auto"/>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95,9</w:t>
            </w:r>
          </w:p>
        </w:tc>
        <w:tc>
          <w:tcPr>
            <w:tcW w:w="0" w:type="auto"/>
            <w:gridSpan w:val="2"/>
            <w:tcBorders>
              <w:top w:val="single" w:sz="8" w:space="0" w:color="auto"/>
              <w:left w:val="nil"/>
              <w:bottom w:val="single" w:sz="8" w:space="0" w:color="auto"/>
              <w:right w:val="nil"/>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108,2</w:t>
            </w:r>
          </w:p>
        </w:tc>
        <w:tc>
          <w:tcPr>
            <w:tcW w:w="1020" w:type="dxa"/>
            <w:tcBorders>
              <w:top w:val="single" w:sz="8" w:space="0" w:color="auto"/>
              <w:left w:val="single" w:sz="4" w:space="0" w:color="auto"/>
              <w:bottom w:val="single" w:sz="8" w:space="0" w:color="auto"/>
              <w:right w:val="single" w:sz="12" w:space="0" w:color="auto"/>
            </w:tcBorders>
            <w:noWrap/>
            <w:tcMar>
              <w:top w:w="15" w:type="dxa"/>
              <w:left w:w="15" w:type="dxa"/>
              <w:bottom w:w="0" w:type="dxa"/>
              <w:right w:w="15" w:type="dxa"/>
            </w:tcMar>
            <w:vAlign w:val="bottom"/>
          </w:tcPr>
          <w:p w:rsidR="00895F51" w:rsidRDefault="00895F51" w:rsidP="002366CB">
            <w:pPr>
              <w:jc w:val="center"/>
              <w:rPr>
                <w:rFonts w:ascii="Arial" w:eastAsia="Arial Unicode MS" w:hAnsi="Arial" w:cs="Arial"/>
                <w:sz w:val="16"/>
                <w:szCs w:val="16"/>
              </w:rPr>
            </w:pPr>
            <w:r>
              <w:rPr>
                <w:rFonts w:ascii="Arial" w:eastAsia="Arial Unicode MS" w:hAnsi="Arial" w:cs="Arial"/>
                <w:sz w:val="16"/>
                <w:szCs w:val="16"/>
              </w:rPr>
              <w:t>98,0</w:t>
            </w:r>
          </w:p>
        </w:tc>
      </w:tr>
      <w:tr w:rsidR="00F928BA" w:rsidTr="00F928BA">
        <w:trPr>
          <w:trHeight w:val="225"/>
        </w:trPr>
        <w:tc>
          <w:tcPr>
            <w:tcW w:w="0" w:type="auto"/>
            <w:tcBorders>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F928BA" w:rsidRDefault="00F928BA" w:rsidP="002366CB">
            <w:pPr>
              <w:jc w:val="center"/>
              <w:rPr>
                <w:rFonts w:ascii="Arial" w:hAnsi="Arial"/>
                <w:b/>
                <w:bCs/>
                <w:sz w:val="16"/>
                <w:szCs w:val="16"/>
              </w:rPr>
            </w:pPr>
          </w:p>
        </w:tc>
        <w:tc>
          <w:tcPr>
            <w:tcW w:w="0" w:type="auto"/>
            <w:tcBorders>
              <w:top w:val="single" w:sz="8" w:space="0" w:color="auto"/>
              <w:left w:val="single" w:sz="12" w:space="0" w:color="auto"/>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hAnsi="Arial"/>
                <w:b/>
                <w:bCs/>
                <w:sz w:val="16"/>
                <w:szCs w:val="16"/>
              </w:rPr>
            </w:pPr>
            <w:r>
              <w:rPr>
                <w:rFonts w:ascii="Arial" w:hAnsi="Arial"/>
                <w:b/>
                <w:bCs/>
                <w:sz w:val="16"/>
                <w:szCs w:val="16"/>
              </w:rPr>
              <w:t>3</w:t>
            </w:r>
          </w:p>
        </w:tc>
        <w:tc>
          <w:tcPr>
            <w:tcW w:w="0" w:type="auto"/>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1,0</w:t>
            </w:r>
          </w:p>
        </w:tc>
        <w:tc>
          <w:tcPr>
            <w:tcW w:w="0" w:type="auto"/>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-24,0</w:t>
            </w:r>
          </w:p>
        </w:tc>
        <w:tc>
          <w:tcPr>
            <w:tcW w:w="0" w:type="auto"/>
            <w:tcBorders>
              <w:top w:val="single" w:sz="8" w:space="0" w:color="auto"/>
              <w:left w:val="nil"/>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25,0</w:t>
            </w:r>
          </w:p>
        </w:tc>
        <w:tc>
          <w:tcPr>
            <w:tcW w:w="0" w:type="auto"/>
            <w:tcBorders>
              <w:top w:val="single" w:sz="8" w:space="0" w:color="auto"/>
              <w:left w:val="nil"/>
              <w:bottom w:val="single" w:sz="12" w:space="0" w:color="auto"/>
              <w:right w:val="nil"/>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33,3</w:t>
            </w:r>
          </w:p>
        </w:tc>
        <w:tc>
          <w:tcPr>
            <w:tcW w:w="0" w:type="auto"/>
            <w:tcBorders>
              <w:top w:val="single" w:sz="8"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6,3</w:t>
            </w:r>
          </w:p>
        </w:tc>
        <w:tc>
          <w:tcPr>
            <w:tcW w:w="0" w:type="auto"/>
            <w:tcBorders>
              <w:top w:val="single" w:sz="8" w:space="0" w:color="auto"/>
              <w:left w:val="single" w:sz="8" w:space="0" w:color="auto"/>
              <w:bottom w:val="single" w:sz="12" w:space="0" w:color="auto"/>
              <w:right w:val="single" w:sz="4"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94,1</w:t>
            </w:r>
          </w:p>
        </w:tc>
        <w:tc>
          <w:tcPr>
            <w:tcW w:w="0" w:type="auto"/>
            <w:gridSpan w:val="2"/>
            <w:tcBorders>
              <w:top w:val="single" w:sz="8" w:space="0" w:color="auto"/>
              <w:left w:val="nil"/>
              <w:bottom w:val="single" w:sz="12" w:space="0" w:color="auto"/>
              <w:right w:val="nil"/>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108,7</w:t>
            </w:r>
          </w:p>
        </w:tc>
        <w:tc>
          <w:tcPr>
            <w:tcW w:w="1020" w:type="dxa"/>
            <w:tcBorders>
              <w:top w:val="single" w:sz="8" w:space="0" w:color="auto"/>
              <w:left w:val="single" w:sz="4" w:space="0" w:color="auto"/>
              <w:bottom w:val="single" w:sz="12" w:space="0" w:color="auto"/>
              <w:right w:val="single" w:sz="12" w:space="0" w:color="auto"/>
            </w:tcBorders>
            <w:noWrap/>
            <w:tcMar>
              <w:top w:w="15" w:type="dxa"/>
              <w:left w:w="15" w:type="dxa"/>
              <w:bottom w:w="0" w:type="dxa"/>
              <w:right w:w="15" w:type="dxa"/>
            </w:tcMar>
            <w:vAlign w:val="bottom"/>
          </w:tcPr>
          <w:p w:rsidR="00F928BA" w:rsidRDefault="00F928BA" w:rsidP="000050D7">
            <w:pPr>
              <w:jc w:val="center"/>
              <w:rPr>
                <w:rFonts w:ascii="Arial" w:eastAsia="Arial Unicode MS" w:hAnsi="Arial" w:cs="Arial"/>
                <w:sz w:val="16"/>
                <w:szCs w:val="16"/>
              </w:rPr>
            </w:pPr>
            <w:r>
              <w:rPr>
                <w:rFonts w:ascii="Arial" w:eastAsia="Arial Unicode MS" w:hAnsi="Arial" w:cs="Arial"/>
                <w:sz w:val="16"/>
                <w:szCs w:val="16"/>
              </w:rPr>
              <w:t>96,6</w:t>
            </w:r>
          </w:p>
        </w:tc>
      </w:tr>
    </w:tbl>
    <w:p w:rsidR="0011338A" w:rsidRDefault="0011338A" w:rsidP="0011338A">
      <w:pPr>
        <w:pBdr>
          <w:top w:val="single" w:sz="4" w:space="1" w:color="auto"/>
        </w:pBdr>
        <w:jc w:val="both"/>
        <w:rPr>
          <w:rFonts w:ascii="Arial" w:hAnsi="Arial"/>
          <w:b/>
          <w:bCs/>
          <w:i/>
          <w:iCs/>
          <w:sz w:val="16"/>
          <w:szCs w:val="16"/>
          <w:vertAlign w:val="superscript"/>
        </w:rPr>
      </w:pPr>
    </w:p>
    <w:p w:rsidR="0011338A" w:rsidRDefault="0011338A" w:rsidP="0011338A">
      <w:pPr>
        <w:pBdr>
          <w:top w:val="single" w:sz="4" w:space="1" w:color="auto"/>
        </w:pBdr>
        <w:jc w:val="both"/>
        <w:rPr>
          <w:rFonts w:ascii="Arial" w:hAnsi="Arial"/>
          <w:b/>
          <w:bCs/>
          <w:i/>
          <w:iCs/>
          <w:sz w:val="16"/>
          <w:szCs w:val="16"/>
          <w:vertAlign w:val="superscript"/>
        </w:rPr>
      </w:pPr>
    </w:p>
    <w:p w:rsidR="0011338A" w:rsidRPr="00AB291D" w:rsidRDefault="0011338A" w:rsidP="0011338A">
      <w:pPr>
        <w:pBdr>
          <w:top w:val="single" w:sz="4" w:space="1" w:color="auto"/>
        </w:pBdr>
        <w:jc w:val="both"/>
        <w:rPr>
          <w:rFonts w:ascii="Arial" w:hAnsi="Arial"/>
          <w:i/>
          <w:iCs/>
          <w:sz w:val="16"/>
          <w:szCs w:val="16"/>
        </w:rPr>
      </w:pPr>
      <w:r>
        <w:rPr>
          <w:rFonts w:ascii="Arial" w:hAnsi="Arial"/>
          <w:b/>
          <w:bCs/>
          <w:i/>
          <w:iCs/>
          <w:sz w:val="16"/>
          <w:szCs w:val="16"/>
          <w:vertAlign w:val="superscript"/>
        </w:rPr>
        <w:t>1</w:t>
      </w:r>
      <w:r w:rsidRPr="00AB291D">
        <w:rPr>
          <w:rFonts w:ascii="Arial" w:hAnsi="Arial"/>
          <w:b/>
          <w:bCs/>
          <w:i/>
          <w:iCs/>
          <w:sz w:val="16"/>
          <w:szCs w:val="16"/>
          <w:vertAlign w:val="superscript"/>
        </w:rPr>
        <w:t xml:space="preserve">) </w:t>
      </w:r>
      <w:r w:rsidRPr="00AB291D">
        <w:rPr>
          <w:rFonts w:ascii="Arial" w:hAnsi="Arial"/>
          <w:i/>
          <w:iCs/>
          <w:sz w:val="16"/>
          <w:szCs w:val="16"/>
        </w:rPr>
        <w:t xml:space="preserve">Od května 2010 jsou výsledky v souladu s programem konjunkturálních průzkumů v EU zpracovávány a publikovány podle nové </w:t>
      </w:r>
      <w:r w:rsidRPr="00AB291D">
        <w:rPr>
          <w:rFonts w:ascii="Arial" w:hAnsi="Arial"/>
          <w:b/>
          <w:bCs/>
          <w:i/>
          <w:iCs/>
          <w:sz w:val="16"/>
          <w:szCs w:val="16"/>
        </w:rPr>
        <w:t>Klasifikace ekonomických činností CZ-NACE</w:t>
      </w:r>
      <w:r w:rsidRPr="00AB291D">
        <w:rPr>
          <w:rFonts w:ascii="Arial" w:hAnsi="Arial"/>
          <w:i/>
          <w:iCs/>
          <w:sz w:val="16"/>
          <w:szCs w:val="16"/>
        </w:rPr>
        <w:t xml:space="preserve"> (národní verze NACE Rev.2), která nahradila dříve používanou klasifikaci OKEČ (národní verze NACE Rev.1.1). Změny se týkají všech časových řad s výjimkou indikátoru spotřebitelské důvěry. Vyčerpávající informace o zavedení této klasifikace včetně převodníků jsou k dispozici na </w:t>
      </w:r>
      <w:hyperlink r:id="rId8" w:history="1">
        <w:hyperlink r:id="rId9" w:history="1">
          <w:r w:rsidRPr="00AB291D">
            <w:rPr>
              <w:rStyle w:val="Hypertextovodkaz"/>
              <w:i/>
              <w:iCs/>
              <w:sz w:val="16"/>
              <w:szCs w:val="16"/>
            </w:rPr>
            <w:t>http://www.czso.cz/csu/klasifik.nsf/i/klasifikace_ekonomickych_cinnosti_(cz_nace)</w:t>
          </w:r>
        </w:hyperlink>
        <w:r w:rsidRPr="00AB291D">
          <w:rPr>
            <w:rFonts w:ascii="Arial" w:hAnsi="Arial"/>
            <w:i/>
            <w:iCs/>
            <w:sz w:val="16"/>
            <w:szCs w:val="16"/>
          </w:rPr>
          <w:t xml:space="preserve">. </w:t>
        </w:r>
      </w:hyperlink>
      <w:r w:rsidRPr="00AB291D">
        <w:rPr>
          <w:rFonts w:ascii="Arial" w:hAnsi="Arial"/>
          <w:i/>
          <w:iCs/>
          <w:sz w:val="16"/>
          <w:szCs w:val="16"/>
        </w:rPr>
        <w:t xml:space="preserve">Celé časové řady jsou zpětně přepočítány, údaje jsou srovnatelné a jsou k dispozici na </w:t>
      </w:r>
      <w:hyperlink r:id="rId10" w:history="1">
        <w:r w:rsidRPr="00AB291D">
          <w:rPr>
            <w:rStyle w:val="Hypertextovodkaz"/>
            <w:i/>
            <w:iCs/>
            <w:sz w:val="16"/>
            <w:szCs w:val="16"/>
          </w:rPr>
          <w:t>http://czso.cz</w:t>
        </w:r>
        <w:r w:rsidRPr="00AB291D">
          <w:rPr>
            <w:rStyle w:val="Hypertextovodkaz"/>
            <w:i/>
            <w:iCs/>
            <w:sz w:val="16"/>
            <w:szCs w:val="16"/>
          </w:rPr>
          <w:t>/</w:t>
        </w:r>
        <w:r w:rsidRPr="00AB291D">
          <w:rPr>
            <w:rStyle w:val="Hypertextovodkaz"/>
            <w:i/>
            <w:iCs/>
            <w:sz w:val="16"/>
            <w:szCs w:val="16"/>
          </w:rPr>
          <w:t>csu/redakce.nsf/i/kpr_cr</w:t>
        </w:r>
      </w:hyperlink>
      <w:r w:rsidRPr="00AB291D">
        <w:rPr>
          <w:rFonts w:ascii="Arial" w:hAnsi="Arial"/>
          <w:i/>
          <w:iCs/>
          <w:sz w:val="16"/>
          <w:szCs w:val="16"/>
        </w:rPr>
        <w:t>.</w:t>
      </w:r>
    </w:p>
    <w:p w:rsidR="0011338A" w:rsidRPr="00AB291D" w:rsidRDefault="0011338A" w:rsidP="0011338A">
      <w:pPr>
        <w:pBdr>
          <w:top w:val="single" w:sz="4" w:space="1" w:color="auto"/>
        </w:pBdr>
        <w:jc w:val="both"/>
        <w:rPr>
          <w:rFonts w:ascii="Arial" w:hAnsi="Arial"/>
          <w:i/>
          <w:iCs/>
          <w:sz w:val="16"/>
          <w:szCs w:val="16"/>
        </w:rPr>
      </w:pPr>
      <w:r w:rsidRPr="00AB291D">
        <w:rPr>
          <w:rFonts w:ascii="Arial" w:hAnsi="Arial"/>
          <w:i/>
          <w:iCs/>
          <w:sz w:val="16"/>
          <w:szCs w:val="16"/>
        </w:rPr>
        <w:t xml:space="preserve">Od ledna 2009 je </w:t>
      </w:r>
      <w:r w:rsidRPr="00AB291D">
        <w:rPr>
          <w:rFonts w:ascii="Arial" w:hAnsi="Arial"/>
          <w:b/>
          <w:bCs/>
          <w:i/>
          <w:iCs/>
          <w:sz w:val="16"/>
          <w:szCs w:val="16"/>
        </w:rPr>
        <w:t>souhrnný indikátor důvěry</w:t>
      </w:r>
      <w:r w:rsidRPr="00AB291D">
        <w:rPr>
          <w:rFonts w:ascii="Arial" w:hAnsi="Arial"/>
          <w:i/>
          <w:iCs/>
          <w:sz w:val="16"/>
          <w:szCs w:val="16"/>
        </w:rPr>
        <w:t xml:space="preserve"> (indikátor ekonomického sentimentu) prezentován v souladu s metodiku EU jako vážený průměr sezónně očištěných indikátorů důvěry v průmyslu, stavebnictví, obchodě, ve vybraných odvětvích služeb a sezonně očištěného</w:t>
      </w:r>
      <w:r w:rsidRPr="00AB291D">
        <w:rPr>
          <w:rFonts w:ascii="Arial" w:hAnsi="Arial"/>
          <w:b/>
          <w:bCs/>
          <w:i/>
          <w:iCs/>
          <w:sz w:val="16"/>
          <w:szCs w:val="16"/>
        </w:rPr>
        <w:t xml:space="preserve"> indikátoru spotřebitelské důvěry</w:t>
      </w:r>
      <w:r w:rsidRPr="00AB291D">
        <w:rPr>
          <w:rFonts w:ascii="Arial" w:hAnsi="Arial"/>
          <w:i/>
          <w:iCs/>
          <w:sz w:val="16"/>
          <w:szCs w:val="16"/>
        </w:rPr>
        <w:t xml:space="preserve">. </w:t>
      </w:r>
      <w:r w:rsidRPr="00AB291D">
        <w:rPr>
          <w:rFonts w:ascii="Arial" w:hAnsi="Arial"/>
          <w:b/>
          <w:bCs/>
          <w:i/>
          <w:iCs/>
          <w:sz w:val="16"/>
          <w:szCs w:val="16"/>
        </w:rPr>
        <w:t>Souhrnný podnikatelský indikátor důvěry</w:t>
      </w:r>
      <w:r w:rsidRPr="00AB291D">
        <w:rPr>
          <w:rFonts w:ascii="Arial" w:hAnsi="Arial"/>
          <w:i/>
          <w:iCs/>
          <w:sz w:val="16"/>
          <w:szCs w:val="16"/>
        </w:rPr>
        <w:t xml:space="preserve"> je vážený průměr sezonně očištěných indikátorů důvěry v průmyslu, stavebnictví, obchodě a ve vybraných službách.</w:t>
      </w:r>
    </w:p>
    <w:p w:rsidR="0011338A" w:rsidRPr="00AB291D" w:rsidRDefault="0011338A" w:rsidP="0011338A">
      <w:pPr>
        <w:pBdr>
          <w:top w:val="single" w:sz="4" w:space="1" w:color="auto"/>
        </w:pBdr>
        <w:jc w:val="both"/>
        <w:rPr>
          <w:rFonts w:ascii="Arial" w:hAnsi="Arial"/>
          <w:i/>
          <w:iCs/>
          <w:sz w:val="16"/>
          <w:szCs w:val="16"/>
        </w:rPr>
      </w:pPr>
      <w:r w:rsidRPr="00AB291D">
        <w:rPr>
          <w:rFonts w:ascii="Arial" w:hAnsi="Arial"/>
          <w:i/>
          <w:iCs/>
          <w:sz w:val="16"/>
          <w:szCs w:val="16"/>
        </w:rPr>
        <w:t>Od ledna 2006 je</w:t>
      </w:r>
      <w:r w:rsidRPr="00AB291D">
        <w:rPr>
          <w:rFonts w:ascii="Arial" w:hAnsi="Arial"/>
          <w:b/>
          <w:bCs/>
          <w:i/>
          <w:iCs/>
          <w:sz w:val="16"/>
          <w:szCs w:val="16"/>
        </w:rPr>
        <w:t xml:space="preserve"> vzhledem k zahrnutí indikátoru důvěry ve vybraných odvětvích služeb používán nový váhový systém</w:t>
      </w:r>
      <w:r w:rsidRPr="00AB291D">
        <w:rPr>
          <w:rFonts w:ascii="Arial" w:hAnsi="Arial"/>
          <w:i/>
          <w:iCs/>
          <w:sz w:val="16"/>
          <w:szCs w:val="16"/>
        </w:rPr>
        <w:t>: indikátoru důvěry v průmyslu je přiřazena váha 40 %, ve stavebnictví a obchodě po 5  %, ve službách 30 % a spotřebitelskému indikátoru důvěry je přiřazena 20% váha. Indikátory jsou zobrazovány jako bazické indexy, bázi tvoří průměr roku 2005. Časové řady souhrnného a podnikatelského indikátoru jsou přepočítány novým váhovým systémem, a to zpětně až do května 2002 (počátek konjunkturálního šetření ve vybraných odvětvích služeb). Celé časové řady bazických indexů jsou pak přepočteny na průměr roku 2005; údaje jsou srovnatelné.</w:t>
      </w:r>
    </w:p>
    <w:p w:rsidR="0011338A" w:rsidRPr="00AB291D" w:rsidRDefault="0011338A" w:rsidP="0011338A">
      <w:pPr>
        <w:jc w:val="both"/>
        <w:rPr>
          <w:rFonts w:ascii="Arial" w:hAnsi="Arial"/>
          <w:b/>
          <w:bCs/>
          <w:i/>
          <w:iCs/>
          <w:sz w:val="16"/>
          <w:szCs w:val="16"/>
          <w:vertAlign w:val="superscript"/>
        </w:rPr>
      </w:pPr>
    </w:p>
    <w:p w:rsidR="0011338A" w:rsidRPr="00AB291D" w:rsidRDefault="0011338A" w:rsidP="0011338A">
      <w:pPr>
        <w:jc w:val="both"/>
        <w:rPr>
          <w:rFonts w:ascii="Arial" w:hAnsi="Arial"/>
          <w:i/>
          <w:iCs/>
          <w:sz w:val="16"/>
          <w:szCs w:val="16"/>
          <w:lang w:val="en-GB"/>
        </w:rPr>
      </w:pPr>
      <w:r w:rsidRPr="00AB291D">
        <w:rPr>
          <w:rFonts w:ascii="Arial" w:hAnsi="Arial"/>
          <w:b/>
          <w:bCs/>
          <w:i/>
          <w:iCs/>
          <w:sz w:val="16"/>
          <w:szCs w:val="16"/>
          <w:vertAlign w:val="superscript"/>
        </w:rPr>
        <w:t xml:space="preserve">1)  </w:t>
      </w:r>
      <w:r w:rsidRPr="00AB291D">
        <w:rPr>
          <w:rFonts w:ascii="Arial" w:hAnsi="Arial"/>
          <w:i/>
          <w:iCs/>
          <w:sz w:val="16"/>
          <w:szCs w:val="16"/>
          <w:lang w:val="en-GB"/>
        </w:rPr>
        <w:t xml:space="preserve">Since May 2010, the results are in compliance with the programme of business   and consumer surveys in the EU processed according to the new </w:t>
      </w:r>
      <w:r w:rsidRPr="00AB291D">
        <w:rPr>
          <w:rFonts w:ascii="Arial" w:hAnsi="Arial"/>
          <w:b/>
          <w:bCs/>
          <w:i/>
          <w:iCs/>
          <w:sz w:val="16"/>
          <w:szCs w:val="16"/>
          <w:lang w:val="en-GB"/>
        </w:rPr>
        <w:t>CZ-NACE classification</w:t>
      </w:r>
      <w:r w:rsidRPr="00AB291D">
        <w:rPr>
          <w:rFonts w:ascii="Arial" w:hAnsi="Arial"/>
          <w:i/>
          <w:iCs/>
          <w:sz w:val="16"/>
          <w:szCs w:val="16"/>
          <w:lang w:val="en-GB"/>
        </w:rPr>
        <w:t xml:space="preserve"> (national version of NACE Rev. 2), which replaced the former classification CZ-NACE (OKEČ, the national version of NACE Rev. 1.1). The changes apply to all data except the consumer confidence indicator. Exhaustive information on the introduction of this classification is available at: </w:t>
      </w:r>
      <w:hyperlink r:id="rId11" w:history="1">
        <w:r w:rsidRPr="00AB291D">
          <w:rPr>
            <w:rStyle w:val="Hypertextovodkaz"/>
            <w:i/>
            <w:iCs/>
            <w:sz w:val="16"/>
            <w:szCs w:val="16"/>
            <w:lang w:val="en-GB"/>
          </w:rPr>
          <w:t>http://www.czso.cz/csu/klasifik.nsf/i/klasifikace_ekonomickych_cinn</w:t>
        </w:r>
        <w:r w:rsidRPr="00AB291D">
          <w:rPr>
            <w:rStyle w:val="Hypertextovodkaz"/>
            <w:i/>
            <w:iCs/>
            <w:sz w:val="16"/>
            <w:szCs w:val="16"/>
            <w:lang w:val="en-GB"/>
          </w:rPr>
          <w:t>o</w:t>
        </w:r>
        <w:r w:rsidRPr="00AB291D">
          <w:rPr>
            <w:rStyle w:val="Hypertextovodkaz"/>
            <w:i/>
            <w:iCs/>
            <w:sz w:val="16"/>
            <w:szCs w:val="16"/>
            <w:lang w:val="en-GB"/>
          </w:rPr>
          <w:t>sti_(cz_nace)</w:t>
        </w:r>
      </w:hyperlink>
      <w:r w:rsidRPr="00AB291D">
        <w:rPr>
          <w:rFonts w:ascii="Arial" w:hAnsi="Arial"/>
          <w:i/>
          <w:iCs/>
          <w:sz w:val="16"/>
          <w:szCs w:val="16"/>
          <w:lang w:val="en-GB"/>
        </w:rPr>
        <w:t xml:space="preserve">. The whole time series are recalculated back, data are comparable and available at </w:t>
      </w:r>
      <w:hyperlink r:id="rId12" w:history="1">
        <w:r w:rsidRPr="00AB291D">
          <w:rPr>
            <w:rStyle w:val="Hypertextovodkaz"/>
            <w:i/>
            <w:iCs/>
            <w:sz w:val="16"/>
            <w:szCs w:val="16"/>
            <w:lang w:val="en-GB"/>
          </w:rPr>
          <w:t>http://czso.cz/eng/redakce.nsf/i/kpr_ts</w:t>
        </w:r>
      </w:hyperlink>
      <w:r w:rsidRPr="00AB291D">
        <w:rPr>
          <w:rFonts w:ascii="Arial" w:hAnsi="Arial"/>
          <w:i/>
          <w:iCs/>
          <w:sz w:val="16"/>
          <w:szCs w:val="16"/>
          <w:lang w:val="en-GB"/>
        </w:rPr>
        <w:t>.</w:t>
      </w:r>
    </w:p>
    <w:p w:rsidR="0011338A" w:rsidRPr="00AB291D" w:rsidRDefault="0011338A" w:rsidP="0011338A">
      <w:pPr>
        <w:jc w:val="both"/>
        <w:rPr>
          <w:rFonts w:ascii="Arial" w:hAnsi="Arial"/>
          <w:i/>
          <w:iCs/>
          <w:sz w:val="16"/>
          <w:szCs w:val="16"/>
          <w:lang w:val="en-GB"/>
        </w:rPr>
      </w:pPr>
      <w:r w:rsidRPr="00AB291D">
        <w:rPr>
          <w:rFonts w:ascii="Arial" w:hAnsi="Arial"/>
          <w:i/>
          <w:iCs/>
          <w:sz w:val="16"/>
          <w:szCs w:val="16"/>
          <w:lang w:val="en-GB"/>
        </w:rPr>
        <w:t xml:space="preserve">Since January 2009, the </w:t>
      </w:r>
      <w:r w:rsidRPr="00AB291D">
        <w:rPr>
          <w:rFonts w:ascii="Arial" w:hAnsi="Arial"/>
          <w:b/>
          <w:bCs/>
          <w:i/>
          <w:iCs/>
          <w:sz w:val="16"/>
          <w:szCs w:val="16"/>
          <w:lang w:val="en-GB"/>
        </w:rPr>
        <w:t>composite confidence indicator</w:t>
      </w:r>
      <w:r w:rsidRPr="00AB291D">
        <w:rPr>
          <w:rFonts w:ascii="Arial" w:hAnsi="Arial"/>
          <w:i/>
          <w:iCs/>
          <w:sz w:val="16"/>
          <w:szCs w:val="16"/>
          <w:lang w:val="en-GB"/>
        </w:rPr>
        <w:t xml:space="preserve"> (economic sentiment indicator) is in compliance with the EU methodology presented as a weighted average of seasonally adjusted confidence indicators in industry, construction, trade, selected services and seasonally adjusted </w:t>
      </w:r>
      <w:r w:rsidRPr="00AB291D">
        <w:rPr>
          <w:rFonts w:ascii="Arial" w:hAnsi="Arial"/>
          <w:b/>
          <w:bCs/>
          <w:i/>
          <w:iCs/>
          <w:sz w:val="16"/>
          <w:szCs w:val="16"/>
          <w:lang w:val="en-GB"/>
        </w:rPr>
        <w:t>consumer confidence indicator</w:t>
      </w:r>
      <w:r w:rsidRPr="00AB291D">
        <w:rPr>
          <w:rFonts w:ascii="Arial" w:hAnsi="Arial"/>
          <w:i/>
          <w:iCs/>
          <w:sz w:val="16"/>
          <w:szCs w:val="16"/>
          <w:lang w:val="en-GB"/>
        </w:rPr>
        <w:t xml:space="preserve">. </w:t>
      </w:r>
      <w:r w:rsidRPr="00AB291D">
        <w:rPr>
          <w:rFonts w:ascii="Arial" w:hAnsi="Arial"/>
          <w:b/>
          <w:bCs/>
          <w:i/>
          <w:iCs/>
          <w:sz w:val="16"/>
          <w:szCs w:val="16"/>
          <w:lang w:val="en-GB"/>
        </w:rPr>
        <w:t>Composite business confidence indicator</w:t>
      </w:r>
      <w:r w:rsidRPr="00AB291D">
        <w:rPr>
          <w:rFonts w:ascii="Arial" w:hAnsi="Arial"/>
          <w:i/>
          <w:iCs/>
          <w:sz w:val="16"/>
          <w:szCs w:val="16"/>
          <w:lang w:val="en-GB"/>
        </w:rPr>
        <w:t xml:space="preserve"> is a weighted average of seasonally adjusted confidence indicators in industry, construction, trade and selected services. </w:t>
      </w:r>
    </w:p>
    <w:p w:rsidR="0011338A" w:rsidRPr="00AB291D" w:rsidRDefault="0011338A" w:rsidP="0011338A">
      <w:pPr>
        <w:jc w:val="both"/>
        <w:rPr>
          <w:rFonts w:ascii="Arial" w:hAnsi="Arial" w:cs="Arial"/>
          <w:sz w:val="16"/>
          <w:szCs w:val="16"/>
          <w:lang w:val="en-GB"/>
        </w:rPr>
      </w:pPr>
      <w:r w:rsidRPr="00AB291D">
        <w:rPr>
          <w:rFonts w:ascii="Arial" w:hAnsi="Arial" w:cs="Arial"/>
          <w:sz w:val="16"/>
          <w:szCs w:val="16"/>
          <w:lang w:val="en-GB"/>
        </w:rPr>
        <w:t>Since January 2006,</w:t>
      </w:r>
      <w:r w:rsidRPr="00AB291D">
        <w:rPr>
          <w:rFonts w:ascii="Arial" w:hAnsi="Arial" w:cs="Arial"/>
          <w:b/>
          <w:bCs/>
          <w:sz w:val="16"/>
          <w:szCs w:val="16"/>
          <w:lang w:val="en-GB"/>
        </w:rPr>
        <w:t xml:space="preserve"> due to the inclusion of confidence indicator in selected services, a new weighting system has been used</w:t>
      </w:r>
      <w:r w:rsidRPr="00AB291D">
        <w:rPr>
          <w:rFonts w:ascii="Arial" w:hAnsi="Arial" w:cs="Arial"/>
          <w:sz w:val="16"/>
          <w:szCs w:val="16"/>
          <w:lang w:val="en-GB"/>
        </w:rPr>
        <w:t>: confidence indicator in industry is assigned the weight of 40%, in construction and trade 5% each, in services 30%, and consumer confidence indicator is assigned the weight of 20%. Indicators are presented as basic indices, the base being the average of 2005. Time series of composite and business confidence indicator are recalculated, using the new weighting system – back to May 2002 (the beginning of the business cycle survey in selected services). The whole time series of base indices are then re-based to the average of 2005; the data are comparable.</w:t>
      </w:r>
    </w:p>
    <w:p w:rsidR="0011338A" w:rsidRDefault="0011338A" w:rsidP="0011338A">
      <w:pPr>
        <w:pStyle w:val="Podtitul"/>
        <w:tabs>
          <w:tab w:val="left" w:pos="600"/>
          <w:tab w:val="right" w:pos="9072"/>
        </w:tabs>
        <w:jc w:val="both"/>
        <w:rPr>
          <w:i w:val="0"/>
          <w:iCs w:val="0"/>
          <w:sz w:val="20"/>
          <w:szCs w:val="22"/>
        </w:rPr>
      </w:pPr>
    </w:p>
    <w:p w:rsidR="0011338A" w:rsidRPr="00F40984" w:rsidRDefault="0011338A" w:rsidP="0011338A">
      <w:pPr>
        <w:pStyle w:val="Podtitul"/>
        <w:tabs>
          <w:tab w:val="left" w:pos="600"/>
          <w:tab w:val="right" w:pos="9072"/>
        </w:tabs>
        <w:jc w:val="both"/>
        <w:rPr>
          <w:i w:val="0"/>
          <w:iCs w:val="0"/>
          <w:sz w:val="22"/>
          <w:szCs w:val="22"/>
        </w:rPr>
      </w:pPr>
      <w:r w:rsidRPr="00F40984">
        <w:rPr>
          <w:i w:val="0"/>
          <w:iCs w:val="0"/>
          <w:sz w:val="22"/>
          <w:szCs w:val="22"/>
        </w:rPr>
        <w:t>Navštivte také:  http://www.czso.cz/csu/produkty.nsf/podskupina?openform&amp;:</w:t>
      </w:r>
      <w:r>
        <w:rPr>
          <w:i w:val="0"/>
          <w:iCs w:val="0"/>
          <w:sz w:val="22"/>
          <w:szCs w:val="22"/>
        </w:rPr>
        <w:t>2017-0</w:t>
      </w:r>
      <w:r w:rsidR="00B04050">
        <w:rPr>
          <w:i w:val="0"/>
          <w:iCs w:val="0"/>
          <w:sz w:val="22"/>
          <w:szCs w:val="22"/>
        </w:rPr>
        <w:t>2</w:t>
      </w:r>
    </w:p>
    <w:p w:rsidR="0011338A" w:rsidRPr="00913146" w:rsidRDefault="0011338A" w:rsidP="0011338A">
      <w:pPr>
        <w:pStyle w:val="Podtitul"/>
        <w:tabs>
          <w:tab w:val="left" w:pos="600"/>
          <w:tab w:val="right" w:pos="9072"/>
        </w:tabs>
        <w:jc w:val="both"/>
        <w:rPr>
          <w:i w:val="0"/>
          <w:iCs w:val="0"/>
          <w:sz w:val="20"/>
          <w:szCs w:val="22"/>
        </w:rPr>
      </w:pPr>
    </w:p>
    <w:p w:rsidR="00073B6C" w:rsidRPr="0011338A" w:rsidRDefault="0011338A" w:rsidP="0011338A">
      <w:pPr>
        <w:pStyle w:val="Podtitul"/>
        <w:tabs>
          <w:tab w:val="left" w:pos="600"/>
          <w:tab w:val="right" w:pos="9072"/>
        </w:tabs>
        <w:jc w:val="left"/>
      </w:pPr>
      <w:r w:rsidRPr="00672E7B">
        <w:rPr>
          <w:sz w:val="22"/>
          <w:szCs w:val="22"/>
          <w:lang w:val="en-US"/>
        </w:rPr>
        <w:t>See also:</w:t>
      </w:r>
      <w:r w:rsidRPr="00672E7B">
        <w:rPr>
          <w:sz w:val="22"/>
          <w:szCs w:val="22"/>
        </w:rPr>
        <w:t xml:space="preserve"> http://www.czso.cz/csu/produkty.nsf/engpodskupina?openform&amp;:201</w:t>
      </w:r>
      <w:r>
        <w:rPr>
          <w:sz w:val="22"/>
          <w:szCs w:val="22"/>
        </w:rPr>
        <w:t>7-</w:t>
      </w:r>
      <w:r w:rsidRPr="00672E7B">
        <w:rPr>
          <w:sz w:val="22"/>
          <w:szCs w:val="22"/>
        </w:rPr>
        <w:t>0</w:t>
      </w:r>
      <w:r w:rsidR="00B04050">
        <w:rPr>
          <w:sz w:val="22"/>
          <w:szCs w:val="22"/>
        </w:rPr>
        <w:t>2</w:t>
      </w:r>
    </w:p>
    <w:sectPr w:rsidR="00073B6C" w:rsidRPr="0011338A">
      <w:footerReference w:type="even" r:id="rId13"/>
      <w:footerReference w:type="default" r:id="rId14"/>
      <w:pgSz w:w="11906" w:h="16838"/>
      <w:pgMar w:top="1417" w:right="1417" w:bottom="1417"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7F" w:rsidRDefault="00861B7F">
      <w:r>
        <w:separator/>
      </w:r>
    </w:p>
  </w:endnote>
  <w:endnote w:type="continuationSeparator" w:id="0">
    <w:p w:rsidR="00861B7F" w:rsidRDefault="00861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E oby_ejné">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C" w:rsidRDefault="00F8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0E6C" w:rsidRDefault="00F80E6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6C" w:rsidRDefault="00F80E6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C19F1">
      <w:rPr>
        <w:rStyle w:val="slostrnky"/>
        <w:noProof/>
      </w:rPr>
      <w:t>14</w:t>
    </w:r>
    <w:r>
      <w:rPr>
        <w:rStyle w:val="slostrnky"/>
      </w:rPr>
      <w:fldChar w:fldCharType="end"/>
    </w:r>
  </w:p>
  <w:p w:rsidR="00F80E6C" w:rsidRDefault="00F80E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7F" w:rsidRDefault="00861B7F">
      <w:r>
        <w:separator/>
      </w:r>
    </w:p>
  </w:footnote>
  <w:footnote w:type="continuationSeparator" w:id="0">
    <w:p w:rsidR="00861B7F" w:rsidRDefault="008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92D7CA7"/>
    <w:multiLevelType w:val="hybridMultilevel"/>
    <w:tmpl w:val="27A68B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008671B"/>
    <w:multiLevelType w:val="hybridMultilevel"/>
    <w:tmpl w:val="ACBE5F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BD941C9"/>
    <w:multiLevelType w:val="hybridMultilevel"/>
    <w:tmpl w:val="4920C1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DB72F9C"/>
    <w:multiLevelType w:val="hybridMultilevel"/>
    <w:tmpl w:val="3CF4C916"/>
    <w:lvl w:ilvl="0" w:tplc="04050001">
      <w:start w:val="1"/>
      <w:numFmt w:val="bullet"/>
      <w:lvlText w:val=""/>
      <w:lvlJc w:val="left"/>
      <w:pPr>
        <w:ind w:left="10346" w:hanging="360"/>
      </w:pPr>
      <w:rPr>
        <w:rFonts w:ascii="Symbol" w:hAnsi="Symbol" w:hint="default"/>
      </w:rPr>
    </w:lvl>
    <w:lvl w:ilvl="1" w:tplc="04050003" w:tentative="1">
      <w:start w:val="1"/>
      <w:numFmt w:val="bullet"/>
      <w:lvlText w:val="o"/>
      <w:lvlJc w:val="left"/>
      <w:pPr>
        <w:ind w:left="11066" w:hanging="360"/>
      </w:pPr>
      <w:rPr>
        <w:rFonts w:ascii="Courier New" w:hAnsi="Courier New" w:cs="Courier New" w:hint="default"/>
      </w:rPr>
    </w:lvl>
    <w:lvl w:ilvl="2" w:tplc="04050005" w:tentative="1">
      <w:start w:val="1"/>
      <w:numFmt w:val="bullet"/>
      <w:lvlText w:val=""/>
      <w:lvlJc w:val="left"/>
      <w:pPr>
        <w:ind w:left="11786" w:hanging="360"/>
      </w:pPr>
      <w:rPr>
        <w:rFonts w:ascii="Wingdings" w:hAnsi="Wingdings" w:hint="default"/>
      </w:rPr>
    </w:lvl>
    <w:lvl w:ilvl="3" w:tplc="04050001" w:tentative="1">
      <w:start w:val="1"/>
      <w:numFmt w:val="bullet"/>
      <w:lvlText w:val=""/>
      <w:lvlJc w:val="left"/>
      <w:pPr>
        <w:ind w:left="12506" w:hanging="360"/>
      </w:pPr>
      <w:rPr>
        <w:rFonts w:ascii="Symbol" w:hAnsi="Symbol" w:hint="default"/>
      </w:rPr>
    </w:lvl>
    <w:lvl w:ilvl="4" w:tplc="04050003" w:tentative="1">
      <w:start w:val="1"/>
      <w:numFmt w:val="bullet"/>
      <w:lvlText w:val="o"/>
      <w:lvlJc w:val="left"/>
      <w:pPr>
        <w:ind w:left="13226" w:hanging="360"/>
      </w:pPr>
      <w:rPr>
        <w:rFonts w:ascii="Courier New" w:hAnsi="Courier New" w:cs="Courier New" w:hint="default"/>
      </w:rPr>
    </w:lvl>
    <w:lvl w:ilvl="5" w:tplc="04050005" w:tentative="1">
      <w:start w:val="1"/>
      <w:numFmt w:val="bullet"/>
      <w:lvlText w:val=""/>
      <w:lvlJc w:val="left"/>
      <w:pPr>
        <w:ind w:left="13946" w:hanging="360"/>
      </w:pPr>
      <w:rPr>
        <w:rFonts w:ascii="Wingdings" w:hAnsi="Wingdings" w:hint="default"/>
      </w:rPr>
    </w:lvl>
    <w:lvl w:ilvl="6" w:tplc="04050001" w:tentative="1">
      <w:start w:val="1"/>
      <w:numFmt w:val="bullet"/>
      <w:lvlText w:val=""/>
      <w:lvlJc w:val="left"/>
      <w:pPr>
        <w:ind w:left="14666" w:hanging="360"/>
      </w:pPr>
      <w:rPr>
        <w:rFonts w:ascii="Symbol" w:hAnsi="Symbol" w:hint="default"/>
      </w:rPr>
    </w:lvl>
    <w:lvl w:ilvl="7" w:tplc="04050003" w:tentative="1">
      <w:start w:val="1"/>
      <w:numFmt w:val="bullet"/>
      <w:lvlText w:val="o"/>
      <w:lvlJc w:val="left"/>
      <w:pPr>
        <w:ind w:left="15386" w:hanging="360"/>
      </w:pPr>
      <w:rPr>
        <w:rFonts w:ascii="Courier New" w:hAnsi="Courier New" w:cs="Courier New" w:hint="default"/>
      </w:rPr>
    </w:lvl>
    <w:lvl w:ilvl="8" w:tplc="04050005" w:tentative="1">
      <w:start w:val="1"/>
      <w:numFmt w:val="bullet"/>
      <w:lvlText w:val=""/>
      <w:lvlJc w:val="left"/>
      <w:pPr>
        <w:ind w:left="16106" w:hanging="360"/>
      </w:pPr>
      <w:rPr>
        <w:rFonts w:ascii="Wingdings" w:hAnsi="Wingdings" w:hint="default"/>
      </w:rPr>
    </w:lvl>
  </w:abstractNum>
  <w:abstractNum w:abstractNumId="8">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D3B5B97"/>
    <w:multiLevelType w:val="hybridMultilevel"/>
    <w:tmpl w:val="C794ED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7C7788F"/>
    <w:multiLevelType w:val="hybridMultilevel"/>
    <w:tmpl w:val="C69273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5"/>
  </w:num>
  <w:num w:numId="4">
    <w:abstractNumId w:val="10"/>
  </w:num>
  <w:num w:numId="5">
    <w:abstractNumId w:val="14"/>
  </w:num>
  <w:num w:numId="6">
    <w:abstractNumId w:val="8"/>
  </w:num>
  <w:num w:numId="7">
    <w:abstractNumId w:val="11"/>
  </w:num>
  <w:num w:numId="8">
    <w:abstractNumId w:val="0"/>
  </w:num>
  <w:num w:numId="9">
    <w:abstractNumId w:val="13"/>
  </w:num>
  <w:num w:numId="10">
    <w:abstractNumId w:val="1"/>
  </w:num>
  <w:num w:numId="11">
    <w:abstractNumId w:val="7"/>
  </w:num>
  <w:num w:numId="12">
    <w:abstractNumId w:val="9"/>
  </w:num>
  <w:num w:numId="13">
    <w:abstractNumId w:val="4"/>
  </w:num>
  <w:num w:numId="14">
    <w:abstractNumId w:val="12"/>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3FB"/>
    <w:rsid w:val="000050D7"/>
    <w:rsid w:val="00064547"/>
    <w:rsid w:val="00066A97"/>
    <w:rsid w:val="00073B6C"/>
    <w:rsid w:val="00094BE1"/>
    <w:rsid w:val="000A4CA6"/>
    <w:rsid w:val="000B3F52"/>
    <w:rsid w:val="000D2AB6"/>
    <w:rsid w:val="000D520F"/>
    <w:rsid w:val="0011338A"/>
    <w:rsid w:val="001246CD"/>
    <w:rsid w:val="00127952"/>
    <w:rsid w:val="001A1DA1"/>
    <w:rsid w:val="001A2EC7"/>
    <w:rsid w:val="001D1447"/>
    <w:rsid w:val="001D3975"/>
    <w:rsid w:val="001F2684"/>
    <w:rsid w:val="00205168"/>
    <w:rsid w:val="002366CB"/>
    <w:rsid w:val="002455D9"/>
    <w:rsid w:val="002D7669"/>
    <w:rsid w:val="002E7D22"/>
    <w:rsid w:val="002F00AA"/>
    <w:rsid w:val="002F4F7D"/>
    <w:rsid w:val="00304780"/>
    <w:rsid w:val="00332B00"/>
    <w:rsid w:val="00333745"/>
    <w:rsid w:val="003506BB"/>
    <w:rsid w:val="0035390B"/>
    <w:rsid w:val="00371414"/>
    <w:rsid w:val="0037204E"/>
    <w:rsid w:val="00396D83"/>
    <w:rsid w:val="003B009C"/>
    <w:rsid w:val="003B7924"/>
    <w:rsid w:val="004225BA"/>
    <w:rsid w:val="00433A5E"/>
    <w:rsid w:val="00436811"/>
    <w:rsid w:val="004603F6"/>
    <w:rsid w:val="00462645"/>
    <w:rsid w:val="00466E92"/>
    <w:rsid w:val="00472978"/>
    <w:rsid w:val="00496969"/>
    <w:rsid w:val="00497C67"/>
    <w:rsid w:val="004A3167"/>
    <w:rsid w:val="00514A88"/>
    <w:rsid w:val="00515106"/>
    <w:rsid w:val="00522705"/>
    <w:rsid w:val="00522C36"/>
    <w:rsid w:val="0055096F"/>
    <w:rsid w:val="00566FCC"/>
    <w:rsid w:val="005C0D21"/>
    <w:rsid w:val="005C613B"/>
    <w:rsid w:val="006700A1"/>
    <w:rsid w:val="006D63B9"/>
    <w:rsid w:val="006E0C2C"/>
    <w:rsid w:val="007047FA"/>
    <w:rsid w:val="007E1653"/>
    <w:rsid w:val="008264FB"/>
    <w:rsid w:val="0083638C"/>
    <w:rsid w:val="00850C4E"/>
    <w:rsid w:val="00861B7F"/>
    <w:rsid w:val="00895F51"/>
    <w:rsid w:val="008F13B8"/>
    <w:rsid w:val="008F3BDE"/>
    <w:rsid w:val="008F633D"/>
    <w:rsid w:val="00962B5E"/>
    <w:rsid w:val="00963893"/>
    <w:rsid w:val="00963B6E"/>
    <w:rsid w:val="00963BF2"/>
    <w:rsid w:val="009650D3"/>
    <w:rsid w:val="009F0010"/>
    <w:rsid w:val="009F543C"/>
    <w:rsid w:val="00A0781B"/>
    <w:rsid w:val="00A636A5"/>
    <w:rsid w:val="00A701C9"/>
    <w:rsid w:val="00AA1CA8"/>
    <w:rsid w:val="00AD5DCE"/>
    <w:rsid w:val="00AD75A4"/>
    <w:rsid w:val="00AE49FC"/>
    <w:rsid w:val="00AF1C60"/>
    <w:rsid w:val="00AF2EFC"/>
    <w:rsid w:val="00AF5B72"/>
    <w:rsid w:val="00B04050"/>
    <w:rsid w:val="00B063DB"/>
    <w:rsid w:val="00B14592"/>
    <w:rsid w:val="00B278FA"/>
    <w:rsid w:val="00B52388"/>
    <w:rsid w:val="00B536DF"/>
    <w:rsid w:val="00B758FB"/>
    <w:rsid w:val="00BD4E40"/>
    <w:rsid w:val="00BE09F6"/>
    <w:rsid w:val="00BF72B4"/>
    <w:rsid w:val="00C2420F"/>
    <w:rsid w:val="00C263FB"/>
    <w:rsid w:val="00C679B5"/>
    <w:rsid w:val="00C81763"/>
    <w:rsid w:val="00CA6F03"/>
    <w:rsid w:val="00CB143F"/>
    <w:rsid w:val="00CB78A4"/>
    <w:rsid w:val="00CE2BB3"/>
    <w:rsid w:val="00D2715E"/>
    <w:rsid w:val="00D3533F"/>
    <w:rsid w:val="00D3763F"/>
    <w:rsid w:val="00D457A8"/>
    <w:rsid w:val="00D641D6"/>
    <w:rsid w:val="00DA6D7F"/>
    <w:rsid w:val="00DB6D08"/>
    <w:rsid w:val="00DC29C5"/>
    <w:rsid w:val="00DD722B"/>
    <w:rsid w:val="00DE1FD1"/>
    <w:rsid w:val="00E30AB5"/>
    <w:rsid w:val="00E61479"/>
    <w:rsid w:val="00E82CF0"/>
    <w:rsid w:val="00E867C2"/>
    <w:rsid w:val="00E91FD0"/>
    <w:rsid w:val="00EC19F1"/>
    <w:rsid w:val="00EF79EB"/>
    <w:rsid w:val="00F05A63"/>
    <w:rsid w:val="00F47669"/>
    <w:rsid w:val="00F532A2"/>
    <w:rsid w:val="00F80E6C"/>
    <w:rsid w:val="00F928BA"/>
    <w:rsid w:val="00F95642"/>
    <w:rsid w:val="00FB5D8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C263FB"/>
    <w:pPr>
      <w:keepNext/>
      <w:jc w:val="center"/>
      <w:outlineLvl w:val="0"/>
    </w:pPr>
    <w:rPr>
      <w:rFonts w:ascii="Arial" w:hAnsi="Arial"/>
      <w:i/>
      <w:iCs/>
      <w:sz w:val="20"/>
      <w:szCs w:val="20"/>
      <w:lang/>
    </w:rPr>
  </w:style>
  <w:style w:type="paragraph" w:styleId="Nadpis2">
    <w:name w:val="heading 2"/>
    <w:basedOn w:val="Normln"/>
    <w:next w:val="Normln"/>
    <w:link w:val="Nadpis2Char"/>
    <w:qFormat/>
    <w:rsid w:val="00C263FB"/>
    <w:pPr>
      <w:keepNext/>
      <w:jc w:val="center"/>
      <w:outlineLvl w:val="1"/>
    </w:pPr>
    <w:rPr>
      <w:rFonts w:ascii="Arial" w:hAnsi="Arial"/>
      <w:b/>
      <w:bCs/>
      <w:sz w:val="22"/>
      <w:szCs w:val="20"/>
      <w:lang/>
    </w:rPr>
  </w:style>
  <w:style w:type="paragraph" w:styleId="Nadpis3">
    <w:name w:val="heading 3"/>
    <w:basedOn w:val="Normln"/>
    <w:next w:val="Normln"/>
    <w:link w:val="Nadpis3Char"/>
    <w:qFormat/>
    <w:rsid w:val="00C263FB"/>
    <w:pPr>
      <w:keepNext/>
      <w:ind w:firstLine="240"/>
      <w:outlineLvl w:val="2"/>
    </w:pPr>
    <w:rPr>
      <w:rFonts w:ascii="Arial" w:hAnsi="Arial"/>
      <w:b/>
      <w:bCs/>
      <w:i/>
      <w:iCs/>
      <w:sz w:val="20"/>
      <w:szCs w:val="20"/>
      <w:lang/>
    </w:rPr>
  </w:style>
  <w:style w:type="paragraph" w:styleId="Nadpis4">
    <w:name w:val="heading 4"/>
    <w:basedOn w:val="Normln"/>
    <w:next w:val="Normln"/>
    <w:link w:val="Nadpis4Char"/>
    <w:qFormat/>
    <w:rsid w:val="00C263FB"/>
    <w:pPr>
      <w:keepNext/>
      <w:jc w:val="center"/>
      <w:outlineLvl w:val="3"/>
    </w:pPr>
    <w:rPr>
      <w:rFonts w:ascii="Arial" w:hAnsi="Arial"/>
      <w:b/>
      <w:bCs/>
      <w:sz w:val="20"/>
      <w:szCs w:val="20"/>
      <w:lang/>
    </w:rPr>
  </w:style>
  <w:style w:type="paragraph" w:styleId="Nadpis5">
    <w:name w:val="heading 5"/>
    <w:basedOn w:val="Normln"/>
    <w:next w:val="Normln"/>
    <w:link w:val="Nadpis5Char"/>
    <w:qFormat/>
    <w:rsid w:val="00C263FB"/>
    <w:pPr>
      <w:keepNext/>
      <w:outlineLvl w:val="4"/>
    </w:pPr>
    <w:rPr>
      <w:rFonts w:ascii="Arial" w:hAnsi="Arial"/>
      <w:b/>
      <w:bCs/>
      <w:sz w:val="20"/>
      <w:szCs w:val="20"/>
      <w:lang/>
    </w:rPr>
  </w:style>
  <w:style w:type="paragraph" w:styleId="Nadpis6">
    <w:name w:val="heading 6"/>
    <w:basedOn w:val="Normln"/>
    <w:next w:val="Normln"/>
    <w:link w:val="Nadpis6Char"/>
    <w:qFormat/>
    <w:rsid w:val="00C263FB"/>
    <w:pPr>
      <w:keepNext/>
      <w:ind w:firstLine="525"/>
      <w:outlineLvl w:val="5"/>
    </w:pPr>
    <w:rPr>
      <w:rFonts w:ascii="Arial" w:hAnsi="Arial"/>
      <w:b/>
      <w:bCs/>
      <w:i/>
      <w:iCs/>
      <w:sz w:val="18"/>
      <w:szCs w:val="20"/>
      <w:lang/>
    </w:rPr>
  </w:style>
  <w:style w:type="paragraph" w:styleId="Nadpis7">
    <w:name w:val="heading 7"/>
    <w:basedOn w:val="Normln"/>
    <w:next w:val="Normln"/>
    <w:link w:val="Nadpis7Char"/>
    <w:qFormat/>
    <w:rsid w:val="00C263FB"/>
    <w:pPr>
      <w:keepNext/>
      <w:tabs>
        <w:tab w:val="left" w:pos="34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58"/>
      <w:ind w:left="345"/>
      <w:outlineLvl w:val="6"/>
    </w:pPr>
    <w:rPr>
      <w:rFonts w:ascii="Arial" w:hAnsi="Arial"/>
      <w:i/>
      <w:iCs/>
      <w:sz w:val="20"/>
      <w:szCs w:val="20"/>
      <w:lang/>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263FB"/>
    <w:rPr>
      <w:rFonts w:ascii="Arial" w:hAnsi="Arial"/>
      <w:i/>
      <w:iCs/>
    </w:rPr>
  </w:style>
  <w:style w:type="character" w:customStyle="1" w:styleId="Nadpis2Char">
    <w:name w:val="Nadpis 2 Char"/>
    <w:link w:val="Nadpis2"/>
    <w:rsid w:val="00C263FB"/>
    <w:rPr>
      <w:rFonts w:ascii="Arial" w:hAnsi="Arial"/>
      <w:b/>
      <w:bCs/>
      <w:sz w:val="22"/>
    </w:rPr>
  </w:style>
  <w:style w:type="character" w:customStyle="1" w:styleId="Nadpis3Char">
    <w:name w:val="Nadpis 3 Char"/>
    <w:link w:val="Nadpis3"/>
    <w:rsid w:val="00C263FB"/>
    <w:rPr>
      <w:rFonts w:ascii="Arial" w:hAnsi="Arial"/>
      <w:b/>
      <w:bCs/>
      <w:i/>
      <w:iCs/>
    </w:rPr>
  </w:style>
  <w:style w:type="character" w:customStyle="1" w:styleId="Nadpis4Char">
    <w:name w:val="Nadpis 4 Char"/>
    <w:link w:val="Nadpis4"/>
    <w:rsid w:val="00C263FB"/>
    <w:rPr>
      <w:rFonts w:ascii="Arial" w:hAnsi="Arial"/>
      <w:b/>
      <w:bCs/>
    </w:rPr>
  </w:style>
  <w:style w:type="character" w:customStyle="1" w:styleId="Nadpis5Char">
    <w:name w:val="Nadpis 5 Char"/>
    <w:link w:val="Nadpis5"/>
    <w:rsid w:val="00C263FB"/>
    <w:rPr>
      <w:rFonts w:ascii="Arial" w:hAnsi="Arial"/>
      <w:b/>
      <w:bCs/>
    </w:rPr>
  </w:style>
  <w:style w:type="character" w:customStyle="1" w:styleId="Nadpis6Char">
    <w:name w:val="Nadpis 6 Char"/>
    <w:link w:val="Nadpis6"/>
    <w:rsid w:val="00C263FB"/>
    <w:rPr>
      <w:rFonts w:ascii="Arial" w:hAnsi="Arial"/>
      <w:b/>
      <w:bCs/>
      <w:i/>
      <w:iCs/>
      <w:sz w:val="18"/>
    </w:rPr>
  </w:style>
  <w:style w:type="character" w:customStyle="1" w:styleId="Nadpis7Char">
    <w:name w:val="Nadpis 7 Char"/>
    <w:link w:val="Nadpis7"/>
    <w:rsid w:val="00C263FB"/>
    <w:rPr>
      <w:rFonts w:ascii="Arial" w:hAnsi="Arial"/>
      <w:i/>
      <w:iCs/>
    </w:rPr>
  </w:style>
  <w:style w:type="paragraph" w:customStyle="1" w:styleId="xl39">
    <w:name w:val="xl39"/>
    <w:basedOn w:val="Normln"/>
    <w:pPr>
      <w:pBdr>
        <w:left w:val="single" w:sz="8" w:space="9" w:color="auto"/>
        <w:bottom w:val="single" w:sz="4" w:space="0" w:color="auto"/>
        <w:right w:val="single" w:sz="4" w:space="0" w:color="auto"/>
      </w:pBdr>
      <w:spacing w:before="100" w:beforeAutospacing="1" w:after="100" w:afterAutospacing="1"/>
      <w:ind w:firstLineChars="100"/>
      <w:textAlignment w:val="center"/>
    </w:pPr>
    <w:rPr>
      <w:rFonts w:ascii="Arial" w:eastAsia="Arial Unicode MS" w:hAnsi="Arial" w:cs="Arial"/>
      <w:sz w:val="16"/>
      <w:szCs w:val="16"/>
    </w:rPr>
  </w:style>
  <w:style w:type="paragraph" w:styleId="Podtitul">
    <w:name w:val="Subtitle"/>
    <w:basedOn w:val="Normln"/>
    <w:qFormat/>
    <w:pPr>
      <w:jc w:val="center"/>
    </w:pPr>
    <w:rPr>
      <w:rFonts w:ascii="Arial" w:hAnsi="Arial"/>
      <w:b/>
      <w:bCs/>
      <w:i/>
      <w:iCs/>
      <w:sz w:val="28"/>
      <w:szCs w:val="20"/>
    </w:rPr>
  </w:style>
  <w:style w:type="character" w:styleId="slostrnky">
    <w:name w:val="page number"/>
    <w:basedOn w:val="Standardnpsmoodstavce"/>
    <w:semiHidden/>
  </w:style>
  <w:style w:type="paragraph" w:styleId="Zpat">
    <w:name w:val="footer"/>
    <w:basedOn w:val="Normln"/>
    <w:semiHidden/>
    <w:pPr>
      <w:tabs>
        <w:tab w:val="center" w:pos="4536"/>
        <w:tab w:val="right" w:pos="9072"/>
      </w:tabs>
    </w:pPr>
    <w:rPr>
      <w:szCs w:val="20"/>
    </w:rPr>
  </w:style>
  <w:style w:type="character" w:styleId="Hypertextovodkaz">
    <w:name w:val="Hyperlink"/>
    <w:semiHidden/>
    <w:rPr>
      <w:color w:val="0000FF"/>
      <w:u w:val="single"/>
    </w:rPr>
  </w:style>
  <w:style w:type="paragraph" w:styleId="Nzev">
    <w:name w:val="Title"/>
    <w:basedOn w:val="Normln"/>
    <w:link w:val="NzevChar"/>
    <w:qFormat/>
    <w:rsid w:val="00C263FB"/>
    <w:pPr>
      <w:jc w:val="center"/>
    </w:pPr>
    <w:rPr>
      <w:rFonts w:ascii="Arial" w:hAnsi="Arial"/>
      <w:b/>
      <w:bCs/>
      <w:sz w:val="28"/>
      <w:szCs w:val="20"/>
      <w:lang/>
    </w:rPr>
  </w:style>
  <w:style w:type="character" w:customStyle="1" w:styleId="NzevChar">
    <w:name w:val="Název Char"/>
    <w:link w:val="Nzev"/>
    <w:rsid w:val="00C263FB"/>
    <w:rPr>
      <w:rFonts w:ascii="Arial" w:hAnsi="Arial"/>
      <w:b/>
      <w:bCs/>
      <w:sz w:val="28"/>
    </w:rPr>
  </w:style>
  <w:style w:type="character" w:customStyle="1" w:styleId="ZhlavChar">
    <w:name w:val="Záhlaví Char"/>
    <w:link w:val="Zhlav"/>
    <w:semiHidden/>
    <w:rsid w:val="00C263FB"/>
    <w:rPr>
      <w:sz w:val="24"/>
    </w:rPr>
  </w:style>
  <w:style w:type="paragraph" w:styleId="Zhlav">
    <w:name w:val="header"/>
    <w:basedOn w:val="Normln"/>
    <w:link w:val="ZhlavChar"/>
    <w:semiHidden/>
    <w:rsid w:val="00C263FB"/>
    <w:pPr>
      <w:tabs>
        <w:tab w:val="center" w:pos="4536"/>
        <w:tab w:val="right" w:pos="9072"/>
      </w:tabs>
    </w:pPr>
    <w:rPr>
      <w:szCs w:val="20"/>
      <w:lang/>
    </w:rPr>
  </w:style>
  <w:style w:type="paragraph" w:styleId="Textpoznpodarou">
    <w:name w:val="footnote text"/>
    <w:basedOn w:val="Normln"/>
    <w:link w:val="TextpoznpodarouChar"/>
    <w:semiHidden/>
    <w:rsid w:val="00C263FB"/>
    <w:rPr>
      <w:sz w:val="20"/>
      <w:szCs w:val="20"/>
    </w:rPr>
  </w:style>
  <w:style w:type="character" w:customStyle="1" w:styleId="TextpoznpodarouChar">
    <w:name w:val="Text pozn. pod čarou Char"/>
    <w:basedOn w:val="Standardnpsmoodstavce"/>
    <w:link w:val="Textpoznpodarou"/>
    <w:semiHidden/>
    <w:rsid w:val="00C263FB"/>
  </w:style>
  <w:style w:type="character" w:customStyle="1" w:styleId="ZkladntextodsazenChar">
    <w:name w:val="Základní text odsazený Char"/>
    <w:link w:val="Zkladntextodsazen"/>
    <w:semiHidden/>
    <w:rsid w:val="00C263FB"/>
    <w:rPr>
      <w:szCs w:val="22"/>
    </w:rPr>
  </w:style>
  <w:style w:type="paragraph" w:styleId="Zkladntextodsazen">
    <w:name w:val="Body Text Indent"/>
    <w:basedOn w:val="Normln"/>
    <w:link w:val="ZkladntextodsazenChar"/>
    <w:semiHidden/>
    <w:rsid w:val="00C263F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jc w:val="both"/>
    </w:pPr>
    <w:rPr>
      <w:sz w:val="20"/>
      <w:szCs w:val="22"/>
      <w:lang/>
    </w:rPr>
  </w:style>
  <w:style w:type="paragraph" w:styleId="Zkladntext">
    <w:name w:val="Body Text"/>
    <w:basedOn w:val="Normln"/>
    <w:link w:val="ZkladntextChar"/>
    <w:semiHidden/>
    <w:rsid w:val="00C263F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pPr>
    <w:rPr>
      <w:rFonts w:ascii="Times New Roman CE oby_ejné" w:hAnsi="Times New Roman CE oby_ejné"/>
      <w:b/>
      <w:bCs/>
      <w:sz w:val="20"/>
      <w:szCs w:val="20"/>
      <w:u w:val="single"/>
      <w:lang/>
    </w:rPr>
  </w:style>
  <w:style w:type="character" w:customStyle="1" w:styleId="ZkladntextChar">
    <w:name w:val="Základní text Char"/>
    <w:link w:val="Zkladntext"/>
    <w:semiHidden/>
    <w:rsid w:val="00C263FB"/>
    <w:rPr>
      <w:rFonts w:ascii="Times New Roman CE oby_ejné" w:hAnsi="Times New Roman CE oby_ejné"/>
      <w:b/>
      <w:bCs/>
      <w:u w:val="single"/>
    </w:rPr>
  </w:style>
  <w:style w:type="character" w:customStyle="1" w:styleId="Zkladntextodsazen3Char">
    <w:name w:val="Základní text odsazený 3 Char"/>
    <w:link w:val="Zkladntextodsazen3"/>
    <w:semiHidden/>
    <w:rsid w:val="00C263FB"/>
    <w:rPr>
      <w:rFonts w:ascii="Arial" w:hAnsi="Arial"/>
      <w:szCs w:val="22"/>
    </w:rPr>
  </w:style>
  <w:style w:type="paragraph" w:styleId="Zkladntextodsazen3">
    <w:name w:val="Body Text Indent 3"/>
    <w:basedOn w:val="Normln"/>
    <w:link w:val="Zkladntextodsazen3Char"/>
    <w:semiHidden/>
    <w:rsid w:val="00C263FB"/>
    <w:pPr>
      <w:ind w:firstLine="708"/>
      <w:jc w:val="both"/>
    </w:pPr>
    <w:rPr>
      <w:rFonts w:ascii="Arial" w:hAnsi="Arial"/>
      <w:sz w:val="20"/>
      <w:szCs w:val="22"/>
      <w:lang/>
    </w:rPr>
  </w:style>
  <w:style w:type="character" w:customStyle="1" w:styleId="Zkladntext3Char">
    <w:name w:val="Základní text 3 Char"/>
    <w:link w:val="Zkladntext3"/>
    <w:semiHidden/>
    <w:rsid w:val="00C263FB"/>
    <w:rPr>
      <w:rFonts w:ascii="Arial" w:hAnsi="Arial"/>
      <w:szCs w:val="24"/>
    </w:rPr>
  </w:style>
  <w:style w:type="paragraph" w:styleId="Zkladntext3">
    <w:name w:val="Body Text 3"/>
    <w:basedOn w:val="Normln"/>
    <w:link w:val="Zkladntext3Char"/>
    <w:semiHidden/>
    <w:rsid w:val="00C263FB"/>
    <w:pPr>
      <w:jc w:val="both"/>
    </w:pPr>
    <w:rPr>
      <w:rFonts w:ascii="Arial" w:hAnsi="Arial"/>
      <w:sz w:val="20"/>
      <w:lang/>
    </w:rPr>
  </w:style>
  <w:style w:type="paragraph" w:customStyle="1" w:styleId="xl24">
    <w:name w:val="xl24"/>
    <w:basedOn w:val="Normln"/>
    <w:rsid w:val="00C263F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5">
    <w:name w:val="xl25"/>
    <w:basedOn w:val="Normln"/>
    <w:rsid w:val="00C263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ln"/>
    <w:rsid w:val="00C263F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16"/>
      <w:szCs w:val="16"/>
    </w:rPr>
  </w:style>
  <w:style w:type="character" w:customStyle="1" w:styleId="RozvrendokumentuChar">
    <w:name w:val="Rozvržení dokumentu Char"/>
    <w:link w:val="Rozvrendokumentu"/>
    <w:semiHidden/>
    <w:rsid w:val="00C263FB"/>
    <w:rPr>
      <w:rFonts w:ascii="Tahoma" w:hAnsi="Tahoma" w:cs="Tahoma"/>
      <w:sz w:val="24"/>
      <w:shd w:val="clear" w:color="auto" w:fill="000080"/>
    </w:rPr>
  </w:style>
  <w:style w:type="paragraph" w:styleId="Rozvrendokumentu">
    <w:name w:val="Document Map"/>
    <w:basedOn w:val="Normln"/>
    <w:link w:val="RozvrendokumentuChar"/>
    <w:semiHidden/>
    <w:rsid w:val="00C263FB"/>
    <w:pPr>
      <w:shd w:val="clear" w:color="auto" w:fill="000080"/>
    </w:pPr>
    <w:rPr>
      <w:rFonts w:ascii="Tahoma" w:hAnsi="Tahoma"/>
      <w:szCs w:val="20"/>
      <w:lang/>
    </w:rPr>
  </w:style>
  <w:style w:type="paragraph" w:styleId="z-Zatekformule">
    <w:name w:val="HTML Top of Form"/>
    <w:basedOn w:val="Normln"/>
    <w:next w:val="Normln"/>
    <w:link w:val="z-ZatekformuleChar"/>
    <w:hidden/>
    <w:rsid w:val="00C263FB"/>
    <w:pPr>
      <w:pBdr>
        <w:bottom w:val="single" w:sz="6" w:space="1" w:color="auto"/>
      </w:pBdr>
      <w:jc w:val="center"/>
    </w:pPr>
    <w:rPr>
      <w:rFonts w:ascii="Arial" w:eastAsia="Arial Unicode MS" w:hAnsi="Arial"/>
      <w:vanish/>
      <w:sz w:val="16"/>
      <w:szCs w:val="16"/>
      <w:lang/>
    </w:rPr>
  </w:style>
  <w:style w:type="character" w:customStyle="1" w:styleId="z-ZatekformuleChar">
    <w:name w:val="z-Začátek formuláře Char"/>
    <w:link w:val="z-Zatekformule"/>
    <w:rsid w:val="00C263FB"/>
    <w:rPr>
      <w:rFonts w:ascii="Arial" w:eastAsia="Arial Unicode MS" w:hAnsi="Arial" w:cs="Arial"/>
      <w:vanish/>
      <w:sz w:val="16"/>
      <w:szCs w:val="16"/>
    </w:rPr>
  </w:style>
  <w:style w:type="character" w:styleId="Siln">
    <w:name w:val="Strong"/>
    <w:qFormat/>
    <w:rsid w:val="00C263FB"/>
    <w:rPr>
      <w:b/>
      <w:bCs/>
    </w:rPr>
  </w:style>
  <w:style w:type="character" w:styleId="Zvraznn">
    <w:name w:val="Emphasis"/>
    <w:qFormat/>
    <w:rsid w:val="00C263FB"/>
    <w:rPr>
      <w:i/>
      <w:iCs/>
    </w:rPr>
  </w:style>
  <w:style w:type="paragraph" w:styleId="z-Konecformule">
    <w:name w:val="HTML Bottom of Form"/>
    <w:basedOn w:val="Normln"/>
    <w:next w:val="Normln"/>
    <w:link w:val="z-KonecformuleChar"/>
    <w:hidden/>
    <w:rsid w:val="00C263FB"/>
    <w:pPr>
      <w:pBdr>
        <w:top w:val="single" w:sz="6" w:space="1" w:color="auto"/>
      </w:pBdr>
      <w:jc w:val="center"/>
    </w:pPr>
    <w:rPr>
      <w:rFonts w:ascii="Arial" w:eastAsia="Arial Unicode MS" w:hAnsi="Arial"/>
      <w:vanish/>
      <w:sz w:val="16"/>
      <w:szCs w:val="16"/>
      <w:lang/>
    </w:rPr>
  </w:style>
  <w:style w:type="character" w:customStyle="1" w:styleId="z-KonecformuleChar">
    <w:name w:val="z-Konec formuláře Char"/>
    <w:link w:val="z-Konecformule"/>
    <w:rsid w:val="00C263FB"/>
    <w:rPr>
      <w:rFonts w:ascii="Arial" w:eastAsia="Arial Unicode MS" w:hAnsi="Arial" w:cs="Arial"/>
      <w:vanish/>
      <w:sz w:val="16"/>
      <w:szCs w:val="16"/>
    </w:rPr>
  </w:style>
  <w:style w:type="character" w:styleId="Znakapoznpodarou">
    <w:name w:val="footnote reference"/>
    <w:semiHidden/>
    <w:rsid w:val="00436811"/>
    <w:rPr>
      <w:vertAlign w:val="superscript"/>
    </w:rPr>
  </w:style>
  <w:style w:type="character" w:styleId="Sledovanodkaz">
    <w:name w:val="FollowedHyperlink"/>
    <w:semiHidden/>
    <w:rsid w:val="00436811"/>
    <w:rPr>
      <w:color w:val="800080"/>
      <w:u w:val="single"/>
    </w:rPr>
  </w:style>
  <w:style w:type="paragraph" w:styleId="Normlnweb">
    <w:name w:val="Normal (Web)"/>
    <w:basedOn w:val="Normln"/>
    <w:semiHidden/>
    <w:rsid w:val="00436811"/>
    <w:pPr>
      <w:spacing w:before="100" w:beforeAutospacing="1" w:after="100" w:afterAutospacing="1"/>
    </w:pPr>
    <w:rPr>
      <w:rFonts w:ascii="Arial Unicode MS" w:eastAsia="Arial Unicode MS" w:hAnsi="Arial Unicode MS" w:cs="Arial Unicode MS"/>
    </w:rPr>
  </w:style>
  <w:style w:type="paragraph" w:styleId="Textbubliny">
    <w:name w:val="Balloon Text"/>
    <w:basedOn w:val="Normln"/>
    <w:link w:val="TextbublinyChar"/>
    <w:uiPriority w:val="99"/>
    <w:semiHidden/>
    <w:unhideWhenUsed/>
    <w:rsid w:val="00AF1C60"/>
    <w:rPr>
      <w:rFonts w:ascii="Tahoma" w:hAnsi="Tahoma"/>
      <w:sz w:val="16"/>
      <w:szCs w:val="16"/>
      <w:lang/>
    </w:rPr>
  </w:style>
  <w:style w:type="character" w:customStyle="1" w:styleId="TextbublinyChar">
    <w:name w:val="Text bubliny Char"/>
    <w:link w:val="Textbubliny"/>
    <w:uiPriority w:val="99"/>
    <w:semiHidden/>
    <w:rsid w:val="00AF1C60"/>
    <w:rPr>
      <w:rFonts w:ascii="Tahoma" w:hAnsi="Tahoma" w:cs="Tahoma"/>
      <w:sz w:val="16"/>
      <w:szCs w:val="16"/>
    </w:rPr>
  </w:style>
  <w:style w:type="character" w:customStyle="1" w:styleId="spelle">
    <w:name w:val="spelle"/>
    <w:rsid w:val="00AF1C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klasifik.nsf/i/klasifikace_ekonomickych_cinnosti_%28cz_nace%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zso.cz/eng/redakce.nsf/i/kpr_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klasifik.nsf/i/klasifikace_ekonomickych_cinnosti_(cz_na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zso.cz/csu/redakce.nsf/i/kpr_cr" TargetMode="External"/><Relationship Id="rId4" Type="http://schemas.openxmlformats.org/officeDocument/2006/relationships/settings" Target="settings.xml"/><Relationship Id="rId9" Type="http://schemas.openxmlformats.org/officeDocument/2006/relationships/hyperlink" Target="http://www.czso.cz/csu/klasifik.nsf/i/klasifikace_ekonomickych_cinnosti_(cz_nace)"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C0309-1B22-4C9C-9D04-A2C41B5B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1974</Words>
  <Characters>11648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Souhrnné indikátory důvěry 1)</vt:lpstr>
    </vt:vector>
  </TitlesOfParts>
  <Company>ČSÚ</Company>
  <LinksUpToDate>false</LinksUpToDate>
  <CharactersWithSpaces>13595</CharactersWithSpaces>
  <SharedDoc>false</SharedDoc>
  <HLinks>
    <vt:vector size="30" baseType="variant">
      <vt:variant>
        <vt:i4>7929860</vt:i4>
      </vt:variant>
      <vt:variant>
        <vt:i4>12</vt:i4>
      </vt:variant>
      <vt:variant>
        <vt:i4>0</vt:i4>
      </vt:variant>
      <vt:variant>
        <vt:i4>5</vt:i4>
      </vt:variant>
      <vt:variant>
        <vt:lpwstr>http://czso.cz/eng/redakce.nsf/i/kpr_ts</vt:lpwstr>
      </vt:variant>
      <vt:variant>
        <vt:lpwstr/>
      </vt:variant>
      <vt:variant>
        <vt:i4>7012401</vt:i4>
      </vt:variant>
      <vt:variant>
        <vt:i4>9</vt:i4>
      </vt:variant>
      <vt:variant>
        <vt:i4>0</vt:i4>
      </vt:variant>
      <vt:variant>
        <vt:i4>5</vt:i4>
      </vt:variant>
      <vt:variant>
        <vt:lpwstr>http://www.czso.cz/csu/klasifik.nsf/i/klasifikace_ekonomickych_cinnosti_(cz_nace)</vt:lpwstr>
      </vt:variant>
      <vt:variant>
        <vt:lpwstr/>
      </vt:variant>
      <vt:variant>
        <vt:i4>7995417</vt:i4>
      </vt:variant>
      <vt:variant>
        <vt:i4>6</vt:i4>
      </vt:variant>
      <vt:variant>
        <vt:i4>0</vt:i4>
      </vt:variant>
      <vt:variant>
        <vt:i4>5</vt:i4>
      </vt:variant>
      <vt:variant>
        <vt:lpwstr>http://czso.cz/csu/redakce.nsf/i/kpr_cr</vt:lpwstr>
      </vt:variant>
      <vt:variant>
        <vt:lpwstr/>
      </vt:variant>
      <vt:variant>
        <vt:i4>7012401</vt:i4>
      </vt:variant>
      <vt:variant>
        <vt:i4>2</vt:i4>
      </vt:variant>
      <vt:variant>
        <vt:i4>0</vt:i4>
      </vt:variant>
      <vt:variant>
        <vt:i4>5</vt:i4>
      </vt:variant>
      <vt:variant>
        <vt:lpwstr>http://www.czso.cz/csu/klasifik.nsf/i/klasifikace_ekonomickych_cinnosti_(cz_nace)</vt:lpwstr>
      </vt:variant>
      <vt:variant>
        <vt:lpwstr/>
      </vt:variant>
      <vt:variant>
        <vt:i4>7012385</vt:i4>
      </vt:variant>
      <vt:variant>
        <vt:i4>0</vt:i4>
      </vt:variant>
      <vt:variant>
        <vt:i4>0</vt:i4>
      </vt:variant>
      <vt:variant>
        <vt:i4>5</vt:i4>
      </vt:variant>
      <vt:variant>
        <vt:lpwstr>http://www.czso.cz/csu/klasifik.nsf/i/klasifikace_ekonomickych_cinnosti_%28cz_nace%29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indikátory důvěry 1)</dc:title>
  <dc:creator>ehanusova</dc:creator>
  <cp:lastModifiedBy>Operator</cp:lastModifiedBy>
  <cp:revision>2</cp:revision>
  <dcterms:created xsi:type="dcterms:W3CDTF">2017-04-07T07:32:00Z</dcterms:created>
  <dcterms:modified xsi:type="dcterms:W3CDTF">2017-04-07T07:32:00Z</dcterms:modified>
</cp:coreProperties>
</file>