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6F6" w14:textId="7FB86510" w:rsidR="0068697A" w:rsidRPr="00702448" w:rsidRDefault="0068697A" w:rsidP="0068697A">
      <w:pPr>
        <w:pStyle w:val="Nadpis1"/>
      </w:pPr>
      <w:bookmarkStart w:id="0" w:name="_Toc224903145"/>
      <w:bookmarkStart w:id="1" w:name="_Toc145318531"/>
      <w:bookmarkStart w:id="2" w:name="_Toc153531174"/>
      <w:bookmarkStart w:id="3" w:name="_Toc169258114"/>
      <w:bookmarkStart w:id="4" w:name="_Toc137233026"/>
      <w:bookmarkStart w:id="5" w:name="_Toc130286019"/>
      <w:bookmarkStart w:id="6" w:name="_Toc114134050"/>
      <w:bookmarkStart w:id="7" w:name="_Toc145318534"/>
      <w:bookmarkStart w:id="8" w:name="_Toc153531177"/>
      <w:bookmarkStart w:id="9" w:name="_Toc121993822"/>
      <w:bookmarkStart w:id="10" w:name="_Toc137233031"/>
      <w:r w:rsidRPr="00702448">
        <w:t>1. Shrnutí</w:t>
      </w:r>
      <w:bookmarkEnd w:id="0"/>
    </w:p>
    <w:p w14:paraId="1DACE656" w14:textId="77777777" w:rsidR="00420136" w:rsidRPr="00702448" w:rsidRDefault="00420136" w:rsidP="00420136">
      <w:pPr>
        <w:pStyle w:val="Normalodrka"/>
        <w:shd w:val="clear" w:color="auto" w:fill="FFFFFF" w:themeFill="background1"/>
      </w:pPr>
      <w:r w:rsidRPr="00702448">
        <w:t>Hrubý domácí produkt (HDP) se v roce 2025 reálně zvýšil o 2,6 %</w:t>
      </w:r>
      <w:r w:rsidRPr="00702448">
        <w:rPr>
          <w:rStyle w:val="Znakapoznpodarou"/>
        </w:rPr>
        <w:footnoteReference w:id="1"/>
      </w:r>
      <w:r w:rsidRPr="00702448">
        <w:t xml:space="preserve">. Tahounem české ekonomiky byla především spotřeba a pozitivní roli hrály i kapitálové výdaje – změna zásob </w:t>
      </w:r>
      <w:r>
        <w:t>i</w:t>
      </w:r>
      <w:r w:rsidRPr="00702448">
        <w:t xml:space="preserve"> investi</w:t>
      </w:r>
      <w:r>
        <w:t>ce.</w:t>
      </w:r>
      <w:r w:rsidRPr="00702448">
        <w:t xml:space="preserve"> V</w:t>
      </w:r>
      <w:r>
        <w:t>e</w:t>
      </w:r>
      <w:r w:rsidRPr="00702448">
        <w:t xml:space="preserve"> 4. čtvrtletí 2025 česká ekonomika mezičtvrtletně vzrostla o 0,6 % a meziročně o 2,6 %. Mezičtvrtletně i meziročně se zvyšovala spotřeba domácností i vládních institucí a rostly také investice. K navýšení HDP přispíval</w:t>
      </w:r>
      <w:r>
        <w:t>a</w:t>
      </w:r>
      <w:r w:rsidRPr="00702448">
        <w:t xml:space="preserve"> také bilance zahraničního obchodu. Naopak meziroční i mezičtvrtletní růst HDP</w:t>
      </w:r>
      <w:r>
        <w:t xml:space="preserve"> byl</w:t>
      </w:r>
      <w:r w:rsidRPr="00702448">
        <w:t xml:space="preserve"> negativně ovliv</w:t>
      </w:r>
      <w:r>
        <w:t xml:space="preserve">něn </w:t>
      </w:r>
      <w:r w:rsidRPr="00702448">
        <w:t>vývoj</w:t>
      </w:r>
      <w:r>
        <w:t>em</w:t>
      </w:r>
      <w:r w:rsidRPr="00702448">
        <w:t xml:space="preserve"> zásob. </w:t>
      </w:r>
      <w:r>
        <w:t>Český hospodářský růst byl v rámci EU nadprůměrný. V roce 2025 v EU h</w:t>
      </w:r>
      <w:r w:rsidRPr="00702448">
        <w:t xml:space="preserve">rubý domácí produkt vzrostl o 1,5 % a </w:t>
      </w:r>
      <w:r>
        <w:t>v</w:t>
      </w:r>
      <w:r w:rsidRPr="00702448">
        <w:t xml:space="preserve"> samotném 4. čtvrtletí </w:t>
      </w:r>
      <w:r>
        <w:t xml:space="preserve">se </w:t>
      </w:r>
      <w:r w:rsidRPr="00702448">
        <w:t>HDP</w:t>
      </w:r>
      <w:r>
        <w:t xml:space="preserve"> zvýšil</w:t>
      </w:r>
      <w:r w:rsidRPr="00702448">
        <w:t xml:space="preserve"> mezičtvrtletně o 0,2 % a meziročně o 1,4 %</w:t>
      </w:r>
      <w:r>
        <w:t xml:space="preserve">. </w:t>
      </w:r>
    </w:p>
    <w:p w14:paraId="0D0D361B" w14:textId="77777777" w:rsidR="00420136" w:rsidRPr="00934464" w:rsidRDefault="00420136" w:rsidP="00420136">
      <w:pPr>
        <w:pStyle w:val="Normalodrka"/>
        <w:shd w:val="clear" w:color="auto" w:fill="FFFFFF" w:themeFill="background1"/>
      </w:pPr>
      <w:r w:rsidRPr="005A14E8">
        <w:t>Hrubá přidaná hodnota (HPH) v loňském roce vzrostla reálně o 2,8 %. K</w:t>
      </w:r>
      <w:r>
        <w:t> </w:t>
      </w:r>
      <w:r w:rsidRPr="005A14E8">
        <w:t>růstu</w:t>
      </w:r>
      <w:r>
        <w:t xml:space="preserve"> </w:t>
      </w:r>
      <w:r w:rsidRPr="005A14E8">
        <w:t>klíčově přispívala odvětví služeb, zejména váhově významné uskupení obchod, doprava, ubytování a pohostinství</w:t>
      </w:r>
      <w:r>
        <w:t xml:space="preserve"> a </w:t>
      </w:r>
      <w:r w:rsidRPr="005A14E8">
        <w:t>informační a</w:t>
      </w:r>
      <w:r>
        <w:t> </w:t>
      </w:r>
      <w:r w:rsidRPr="005A14E8">
        <w:t>komunikační činnosti</w:t>
      </w:r>
      <w:r>
        <w:t xml:space="preserve">. Došlo také </w:t>
      </w:r>
      <w:r w:rsidRPr="005A14E8">
        <w:t>k výraznému oživení stavebnictví</w:t>
      </w:r>
      <w:r>
        <w:t xml:space="preserve">. </w:t>
      </w:r>
      <w:r w:rsidRPr="005A14E8">
        <w:t xml:space="preserve">Naopak </w:t>
      </w:r>
      <w:r>
        <w:t>HPH v </w:t>
      </w:r>
      <w:r w:rsidRPr="005A14E8">
        <w:t>průmysl</w:t>
      </w:r>
      <w:r>
        <w:t>u vzrostla jen mírně.</w:t>
      </w:r>
      <w:r w:rsidRPr="00E374F4">
        <w:t xml:space="preserve"> </w:t>
      </w:r>
      <w:r>
        <w:t xml:space="preserve">Ve </w:t>
      </w:r>
      <w:r w:rsidRPr="00E374F4">
        <w:t>4. čtvrtletí 2025 vzrostla</w:t>
      </w:r>
      <w:r>
        <w:t xml:space="preserve"> HPH</w:t>
      </w:r>
      <w:r w:rsidRPr="00E374F4">
        <w:t xml:space="preserve"> meziročně o 2,8 % a mezičtvrtletně o</w:t>
      </w:r>
      <w:r>
        <w:t> </w:t>
      </w:r>
      <w:r w:rsidRPr="00E374F4">
        <w:t>0,5</w:t>
      </w:r>
      <w:r>
        <w:t> </w:t>
      </w:r>
      <w:r w:rsidRPr="00E374F4">
        <w:t>%. Silný meziroční růst si udržovaly informační a komunikační činnosti i uskupení obchod, doprava, ubytování a pohostinství</w:t>
      </w:r>
      <w:r>
        <w:t xml:space="preserve">. </w:t>
      </w:r>
      <w:r w:rsidRPr="00E374F4">
        <w:t xml:space="preserve">Ke znatelnému oživení meziročního růstu HPH došlo v závěru roku </w:t>
      </w:r>
      <w:r>
        <w:t xml:space="preserve">také </w:t>
      </w:r>
      <w:r w:rsidRPr="00E374F4">
        <w:t>ve zpracovatelském průmyslu</w:t>
      </w:r>
      <w:r>
        <w:t>, který zároveň klíčově podpořil celkový mezi</w:t>
      </w:r>
      <w:r w:rsidRPr="00E374F4">
        <w:t>čtvrtletní růst HPH</w:t>
      </w:r>
      <w:r>
        <w:t>.</w:t>
      </w:r>
      <w:r w:rsidRPr="00E374F4">
        <w:t xml:space="preserve"> </w:t>
      </w:r>
      <w:r>
        <w:t xml:space="preserve">Ve </w:t>
      </w:r>
      <w:r w:rsidRPr="00E374F4">
        <w:t xml:space="preserve">stavebnictví </w:t>
      </w:r>
      <w:r>
        <w:t xml:space="preserve">došlo </w:t>
      </w:r>
      <w:r w:rsidRPr="00E374F4">
        <w:t xml:space="preserve">po úspěšném vývoji pozorovatelném od 3. čtvrtletí 2024 </w:t>
      </w:r>
      <w:r>
        <w:t xml:space="preserve">k výraznému </w:t>
      </w:r>
      <w:r w:rsidRPr="00E374F4">
        <w:t>mezičtvrtletn</w:t>
      </w:r>
      <w:r>
        <w:t>ímu</w:t>
      </w:r>
      <w:r w:rsidRPr="00E374F4">
        <w:t xml:space="preserve"> </w:t>
      </w:r>
      <w:r>
        <w:t>pok</w:t>
      </w:r>
      <w:r w:rsidRPr="00E374F4">
        <w:t>les</w:t>
      </w:r>
      <w:r>
        <w:t>u HPH.</w:t>
      </w:r>
      <w:r w:rsidRPr="00E374F4">
        <w:t xml:space="preserve"> </w:t>
      </w:r>
      <w:r w:rsidRPr="00934464">
        <w:t xml:space="preserve">  </w:t>
      </w:r>
    </w:p>
    <w:p w14:paraId="4EE15A83" w14:textId="77777777" w:rsidR="00420136" w:rsidRPr="00CB2F3F" w:rsidRDefault="00420136" w:rsidP="00420136">
      <w:pPr>
        <w:pStyle w:val="Normalodrka"/>
      </w:pPr>
      <w:r>
        <w:t>Vývoz zboží a služeb se loni reálně zvýšil o 4,1 % a dovoz o 5,2 %. Ve 4. čtvrtletí export vzrostl meziročně o 5,1 % a mezičtvrtletně o 0,8 %. Dovoz ve 4. čtvrtletí meziročně vzrostl o 5,3 % a mezičtvrtletně o 0,6 %. Bilance zahraničního obchodu se zbožím a službami loni dosáhla přebytku 504,2 mld. korun a ve 4. čtvrtletí kladné saldo meziročně vzrostlo o 9,5 mld. korun na 133,9 mld. korun.</w:t>
      </w:r>
      <w:r w:rsidRPr="00CB2F3F">
        <w:t xml:space="preserve"> </w:t>
      </w:r>
      <w:r>
        <w:t xml:space="preserve">Loni se zhoršovala bilance obchodu s kovodělnými výrobky a elektrickými zařízeními. Naproti tomu posílil přebytek obchodu s motorovými vozidly. </w:t>
      </w:r>
    </w:p>
    <w:p w14:paraId="365A2FFA" w14:textId="77777777" w:rsidR="00420136" w:rsidRPr="003C1099" w:rsidRDefault="00420136" w:rsidP="00420136">
      <w:pPr>
        <w:pStyle w:val="Normalodrka"/>
        <w:shd w:val="clear" w:color="auto" w:fill="FFFFFF" w:themeFill="background1"/>
      </w:pPr>
      <w:r w:rsidRPr="003C1099">
        <w:t>Celková cenová hladina (podle deflátoru HDP) v</w:t>
      </w:r>
      <w:r>
        <w:t xml:space="preserve"> roce 2025 </w:t>
      </w:r>
      <w:r w:rsidRPr="003C1099">
        <w:t>vzrostla o 3,</w:t>
      </w:r>
      <w:r>
        <w:t>4</w:t>
      </w:r>
      <w:r w:rsidRPr="003C1099">
        <w:t xml:space="preserve"> % </w:t>
      </w:r>
      <w:r>
        <w:t xml:space="preserve">a v samotném 4. kvartálu byla meziročně vyšší o 3,9 % a mezičtvrtletně o 1,0 %. </w:t>
      </w:r>
      <w:r w:rsidRPr="003C1099">
        <w:t xml:space="preserve">Spotřebitelské ceny </w:t>
      </w:r>
      <w:r>
        <w:t>loni vzrostly o 2,5 %. K</w:t>
      </w:r>
      <w:r w:rsidRPr="009F7558">
        <w:t xml:space="preserve"> nárůstu spotřebitelských cen </w:t>
      </w:r>
      <w:r>
        <w:t xml:space="preserve">loni </w:t>
      </w:r>
      <w:r w:rsidRPr="009F7558">
        <w:t>nejvíce přispěly potravin</w:t>
      </w:r>
      <w:r>
        <w:t>y</w:t>
      </w:r>
      <w:r w:rsidRPr="009F7558">
        <w:t xml:space="preserve"> a nealkoholick</w:t>
      </w:r>
      <w:r>
        <w:t xml:space="preserve">é </w:t>
      </w:r>
      <w:r w:rsidRPr="009F7558">
        <w:t>nápoj</w:t>
      </w:r>
      <w:r>
        <w:t>e</w:t>
      </w:r>
      <w:r w:rsidRPr="009F7558">
        <w:t xml:space="preserve"> a dále oddíl bydlení, voda energie a paliva. Nadprůměrnou dynamiku si loni nadále držely dva oddíly zahrnující služby – stravování a ubytování a rekreace a kultura. Ve směru poklesu spotřebitelských cen loni působil jen vývoj u odívání a obuvi a dopravy.</w:t>
      </w:r>
    </w:p>
    <w:p w14:paraId="3CEF623C" w14:textId="77777777" w:rsidR="00420136" w:rsidRPr="004C180F" w:rsidRDefault="00420136" w:rsidP="00420136">
      <w:pPr>
        <w:pStyle w:val="Normalodrka"/>
      </w:pPr>
      <w:r w:rsidRPr="004C180F">
        <w:t>Celková zaměstnanost</w:t>
      </w:r>
      <w:r w:rsidRPr="004C180F">
        <w:rPr>
          <w:rStyle w:val="Znakapoznpodarou"/>
        </w:rPr>
        <w:footnoteReference w:id="2"/>
      </w:r>
      <w:r w:rsidRPr="004C180F">
        <w:t xml:space="preserve"> v</w:t>
      </w:r>
      <w:r>
        <w:t> roce 2025 vzrostla o 1,1 %. V samotném</w:t>
      </w:r>
      <w:r w:rsidRPr="004C180F">
        <w:t> </w:t>
      </w:r>
      <w:r>
        <w:t>4</w:t>
      </w:r>
      <w:r w:rsidRPr="004C180F">
        <w:t>. čtvrtletí byla meziročně vyšší o</w:t>
      </w:r>
      <w:r>
        <w:t> </w:t>
      </w:r>
      <w:r w:rsidRPr="004C180F">
        <w:t>1,0</w:t>
      </w:r>
      <w:r>
        <w:t> </w:t>
      </w:r>
      <w:r w:rsidRPr="004C180F">
        <w:t>% a mezičtvrtletně</w:t>
      </w:r>
      <w:r>
        <w:t xml:space="preserve"> se nezměnila</w:t>
      </w:r>
      <w:r w:rsidRPr="004C180F">
        <w:t xml:space="preserve">. Celková míra nezaměstnanosti se od počátku roku plíživě zvyšovala a ve </w:t>
      </w:r>
      <w:r>
        <w:t>4</w:t>
      </w:r>
      <w:r w:rsidRPr="004C180F">
        <w:t xml:space="preserve">. kvartálu </w:t>
      </w:r>
      <w:r>
        <w:t xml:space="preserve">se držela nad </w:t>
      </w:r>
      <w:r w:rsidRPr="004C180F">
        <w:t xml:space="preserve">3 %. </w:t>
      </w:r>
      <w:r>
        <w:t>P</w:t>
      </w:r>
      <w:r w:rsidRPr="004C180F">
        <w:t>růměrná hrubá měsíční mzda</w:t>
      </w:r>
      <w:r>
        <w:t xml:space="preserve"> v roce 2025 dosáhla 49 215 korun a byla vyšší o 7,2 %. Reálně </w:t>
      </w:r>
      <w:r w:rsidRPr="004C180F">
        <w:t xml:space="preserve">vzrostla o </w:t>
      </w:r>
      <w:r>
        <w:t xml:space="preserve">4,6 %. Ve 4. čtvrtletí průměrná mzda dosáhla 52 283 korun, meziročně byla vyšší o 7,4 % a mezičtvrtletně o 1,8 %. </w:t>
      </w:r>
      <w:r w:rsidRPr="004C180F">
        <w:t xml:space="preserve">Reálně průměrná mzda </w:t>
      </w:r>
      <w:r>
        <w:t xml:space="preserve">meziročně </w:t>
      </w:r>
      <w:r w:rsidRPr="004C180F">
        <w:t xml:space="preserve">posílila o </w:t>
      </w:r>
      <w:r>
        <w:t>5,1</w:t>
      </w:r>
      <w:r w:rsidRPr="004C180F">
        <w:t xml:space="preserve"> %.</w:t>
      </w:r>
    </w:p>
    <w:p w14:paraId="46987E86" w14:textId="77777777" w:rsidR="00420136" w:rsidRPr="00C16FB0" w:rsidRDefault="00420136" w:rsidP="00420136">
      <w:pPr>
        <w:pStyle w:val="Normalodrka"/>
      </w:pPr>
      <w:r w:rsidRPr="00C16FB0">
        <w:t xml:space="preserve">Základní </w:t>
      </w:r>
      <w:proofErr w:type="spellStart"/>
      <w:r w:rsidRPr="00C16FB0">
        <w:t>měnověpolitické</w:t>
      </w:r>
      <w:proofErr w:type="spellEnd"/>
      <w:r w:rsidRPr="00C16FB0">
        <w:t xml:space="preserve"> úrokové sazby se </w:t>
      </w:r>
      <w:r>
        <w:t xml:space="preserve">od května 2025 do konce roku </w:t>
      </w:r>
      <w:r w:rsidRPr="00C16FB0">
        <w:t xml:space="preserve">neměnily. </w:t>
      </w:r>
      <w:r>
        <w:t xml:space="preserve">V roce 2025 bylo patrné oživení </w:t>
      </w:r>
      <w:r w:rsidRPr="00C16FB0">
        <w:t>nemovitostního trhu</w:t>
      </w:r>
      <w:r>
        <w:t xml:space="preserve">. Mezi novými hypotečními smlouvami ale tvořily </w:t>
      </w:r>
      <w:r w:rsidRPr="00C16FB0">
        <w:t>čist</w:t>
      </w:r>
      <w:r>
        <w:t>é</w:t>
      </w:r>
      <w:r w:rsidRPr="00C16FB0">
        <w:t xml:space="preserve"> nov</w:t>
      </w:r>
      <w:r>
        <w:t>é</w:t>
      </w:r>
      <w:r w:rsidRPr="00C16FB0">
        <w:t xml:space="preserve"> úvěr</w:t>
      </w:r>
      <w:r>
        <w:t>y</w:t>
      </w:r>
      <w:r w:rsidRPr="00C16FB0">
        <w:t xml:space="preserve"> méně než polovin</w:t>
      </w:r>
      <w:r>
        <w:t>u.</w:t>
      </w:r>
    </w:p>
    <w:p w14:paraId="633AB5A4" w14:textId="77777777" w:rsidR="00420136" w:rsidRPr="0034226A" w:rsidRDefault="00420136" w:rsidP="00420136">
      <w:pPr>
        <w:pStyle w:val="Normalodrka"/>
      </w:pPr>
      <w:r>
        <w:t>Hospodaření státního rozpočtu skončilo v roce 2025 schodkem ve výši 290,7 mld. korun, meziročně hlubším o téměř 20 mld. korun. Na příjmovou i výdajovou stranu rozpočtu začínaly postupně více působit dopady konsolidačního ozdravného balíčku a zřetelný vliv má rovněž změna rozpočtového určení daní, jež od ledna 2025 opět zvýšila podíl na výnosu některých váhově významných daní ve prospěch státního rozpočtu.</w:t>
      </w:r>
      <w:r w:rsidRPr="005F3491">
        <w:rPr>
          <w:color w:val="0D0D0D" w:themeColor="text1" w:themeTint="F2"/>
          <w:spacing w:val="-2"/>
        </w:rPr>
        <w:t xml:space="preserve"> </w:t>
      </w:r>
      <w:r w:rsidRPr="00F316C9">
        <w:rPr>
          <w:color w:val="0D0D0D" w:themeColor="text1" w:themeTint="F2"/>
          <w:spacing w:val="-2"/>
        </w:rPr>
        <w:t>Posílily téměř všechny klíčové příjmové položky</w:t>
      </w:r>
      <w:r>
        <w:rPr>
          <w:color w:val="0D0D0D" w:themeColor="text1" w:themeTint="F2"/>
          <w:spacing w:val="-2"/>
        </w:rPr>
        <w:t xml:space="preserve">, ale také výdaje. </w:t>
      </w:r>
      <w:r>
        <w:rPr>
          <w:color w:val="0D0D0D" w:themeColor="text1" w:themeTint="F2"/>
          <w:szCs w:val="20"/>
        </w:rPr>
        <w:t>K meziročnímu růstu celkových výdajů přispěly loni</w:t>
      </w:r>
      <w:r w:rsidRPr="00FC6700">
        <w:rPr>
          <w:color w:val="0D0D0D" w:themeColor="text1" w:themeTint="F2"/>
          <w:szCs w:val="20"/>
        </w:rPr>
        <w:t xml:space="preserve"> jak běžné výdaje, tak investice</w:t>
      </w:r>
      <w:r>
        <w:rPr>
          <w:color w:val="0D0D0D" w:themeColor="text1" w:themeTint="F2"/>
          <w:szCs w:val="20"/>
        </w:rPr>
        <w:t>.</w:t>
      </w:r>
    </w:p>
    <w:p w14:paraId="7563C6FA" w14:textId="77777777" w:rsidR="0068697A" w:rsidRPr="00D40B2B" w:rsidRDefault="0068697A" w:rsidP="0068697A">
      <w:pPr>
        <w:pStyle w:val="Normalodrka"/>
        <w:numPr>
          <w:ilvl w:val="0"/>
          <w:numId w:val="0"/>
        </w:numPr>
        <w:spacing w:after="0"/>
        <w:jc w:val="center"/>
      </w:pPr>
    </w:p>
    <w:p w14:paraId="2143296F" w14:textId="10701E4E" w:rsidR="00A50D73" w:rsidRPr="00FC6700" w:rsidRDefault="000347D3" w:rsidP="00BE32CE">
      <w:pPr>
        <w:pStyle w:val="Normalodrka"/>
        <w:numPr>
          <w:ilvl w:val="0"/>
          <w:numId w:val="0"/>
        </w:numPr>
        <w:spacing w:after="0"/>
        <w:jc w:val="center"/>
        <w:rPr>
          <w:sz w:val="2"/>
          <w:szCs w:val="2"/>
        </w:rPr>
      </w:pPr>
      <w:r w:rsidRPr="000347D3">
        <w:rPr>
          <w:noProof/>
        </w:rPr>
        <w:drawing>
          <wp:inline distT="0" distB="0" distL="0" distR="0" wp14:anchorId="700346B6" wp14:editId="072F07A3">
            <wp:extent cx="5857875" cy="8867775"/>
            <wp:effectExtent l="0" t="0" r="9525" b="0"/>
            <wp:docPr id="705258006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86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A50D73" w:rsidRPr="00FC6700" w:rsidSect="00BE32CE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89B2" w14:textId="77777777" w:rsidR="00DB6A76" w:rsidRDefault="00DB6A76" w:rsidP="00E71A58">
      <w:r>
        <w:separator/>
      </w:r>
    </w:p>
  </w:endnote>
  <w:endnote w:type="continuationSeparator" w:id="0">
    <w:p w14:paraId="18A25D34" w14:textId="77777777" w:rsidR="00DB6A76" w:rsidRDefault="00DB6A76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6A50CB90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233D05">
      <w:rPr>
        <w:szCs w:val="16"/>
      </w:rPr>
      <w:t>50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F25B4A">
      <w:rPr>
        <w:szCs w:val="16"/>
      </w:rPr>
      <w:t>rok</w:t>
    </w:r>
    <w:r w:rsidR="00C5418A">
      <w:rPr>
        <w:szCs w:val="16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DCC68EF" w:rsidR="004C456F" w:rsidRPr="00932443" w:rsidRDefault="004C456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F25B4A">
      <w:rPr>
        <w:szCs w:val="16"/>
      </w:rPr>
      <w:t>rok</w:t>
    </w:r>
    <w:r>
      <w:rPr>
        <w:szCs w:val="16"/>
      </w:rPr>
      <w:t xml:space="preserve">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233D05">
      <w:rPr>
        <w:rStyle w:val="ZpatChar"/>
        <w:szCs w:val="16"/>
      </w:rPr>
      <w:t>49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1B41" w14:textId="77777777" w:rsidR="00DB6A76" w:rsidRDefault="00DB6A76" w:rsidP="00EA4302">
      <w:pPr>
        <w:spacing w:after="0"/>
      </w:pPr>
      <w:r>
        <w:separator/>
      </w:r>
    </w:p>
  </w:footnote>
  <w:footnote w:type="continuationSeparator" w:id="0">
    <w:p w14:paraId="180C9E54" w14:textId="77777777" w:rsidR="00DB6A76" w:rsidRDefault="00DB6A76" w:rsidP="00E71A58">
      <w:r>
        <w:continuationSeparator/>
      </w:r>
    </w:p>
  </w:footnote>
  <w:footnote w:id="1">
    <w:p w14:paraId="5E57420C" w14:textId="77777777" w:rsidR="00420136" w:rsidRDefault="00420136" w:rsidP="00420136">
      <w:pPr>
        <w:pStyle w:val="Textpoznpodarou"/>
        <w:rPr>
          <w:spacing w:val="-2"/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Data o HDP, hrubé přidané hodnotě a jejích složkách jsou vyjádřena ve stálých cenách a v očištění o sezónní a kalendářní vlivy.</w:t>
      </w:r>
    </w:p>
  </w:footnote>
  <w:footnote w:id="2">
    <w:p w14:paraId="548DAEA9" w14:textId="77777777" w:rsidR="00420136" w:rsidRDefault="00420136" w:rsidP="00420136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  <w:spacing w:val="-2"/>
          <w:sz w:val="16"/>
          <w:szCs w:val="16"/>
        </w:rPr>
        <w:footnoteRef/>
      </w:r>
      <w:r>
        <w:rPr>
          <w:spacing w:val="-2"/>
          <w:sz w:val="16"/>
          <w:szCs w:val="16"/>
        </w:rPr>
        <w:t xml:space="preserve"> Údaje o zaměstnanosti jsou uvedeny v pojetí národních účtů a očištěny o sezónní vlivy.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3C11EE3B" w:rsidR="004C456F" w:rsidRPr="00C27E4F" w:rsidRDefault="004C456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F78F164" w:rsidR="004C456F" w:rsidRPr="006F5416" w:rsidRDefault="004C456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11F39"/>
    <w:rsid w:val="00017058"/>
    <w:rsid w:val="0001750B"/>
    <w:rsid w:val="0002195D"/>
    <w:rsid w:val="000234D6"/>
    <w:rsid w:val="00023D29"/>
    <w:rsid w:val="00026389"/>
    <w:rsid w:val="00031AE0"/>
    <w:rsid w:val="000322EF"/>
    <w:rsid w:val="00033FCD"/>
    <w:rsid w:val="000347D3"/>
    <w:rsid w:val="00040D10"/>
    <w:rsid w:val="00041CEC"/>
    <w:rsid w:val="0004694F"/>
    <w:rsid w:val="000522E4"/>
    <w:rsid w:val="00054EA4"/>
    <w:rsid w:val="00055507"/>
    <w:rsid w:val="000610E1"/>
    <w:rsid w:val="00062EC5"/>
    <w:rsid w:val="00062F22"/>
    <w:rsid w:val="000673C2"/>
    <w:rsid w:val="000712B3"/>
    <w:rsid w:val="00073A4E"/>
    <w:rsid w:val="0008263E"/>
    <w:rsid w:val="000829B1"/>
    <w:rsid w:val="00082C19"/>
    <w:rsid w:val="00085395"/>
    <w:rsid w:val="00087634"/>
    <w:rsid w:val="00087F2B"/>
    <w:rsid w:val="000912CC"/>
    <w:rsid w:val="00092201"/>
    <w:rsid w:val="00095135"/>
    <w:rsid w:val="000974D1"/>
    <w:rsid w:val="0009799E"/>
    <w:rsid w:val="000A1183"/>
    <w:rsid w:val="000A256D"/>
    <w:rsid w:val="000A395A"/>
    <w:rsid w:val="000A3A2C"/>
    <w:rsid w:val="000A5265"/>
    <w:rsid w:val="000A57D4"/>
    <w:rsid w:val="000B3CE2"/>
    <w:rsid w:val="000B7C8D"/>
    <w:rsid w:val="000C004E"/>
    <w:rsid w:val="000C2CF1"/>
    <w:rsid w:val="000C3408"/>
    <w:rsid w:val="000C6AFD"/>
    <w:rsid w:val="000C7C6F"/>
    <w:rsid w:val="000D1B52"/>
    <w:rsid w:val="000D3CE8"/>
    <w:rsid w:val="000D5637"/>
    <w:rsid w:val="000E15EA"/>
    <w:rsid w:val="000E22F0"/>
    <w:rsid w:val="000E6FBD"/>
    <w:rsid w:val="000F49A9"/>
    <w:rsid w:val="00100F5C"/>
    <w:rsid w:val="00101CDA"/>
    <w:rsid w:val="00102C41"/>
    <w:rsid w:val="00104C4C"/>
    <w:rsid w:val="00107F50"/>
    <w:rsid w:val="00117623"/>
    <w:rsid w:val="0012096D"/>
    <w:rsid w:val="0012192F"/>
    <w:rsid w:val="001224E5"/>
    <w:rsid w:val="00124940"/>
    <w:rsid w:val="00125D69"/>
    <w:rsid w:val="001405FA"/>
    <w:rsid w:val="00142254"/>
    <w:rsid w:val="001425C3"/>
    <w:rsid w:val="001476BD"/>
    <w:rsid w:val="00151983"/>
    <w:rsid w:val="00153D91"/>
    <w:rsid w:val="001612F4"/>
    <w:rsid w:val="00161AB8"/>
    <w:rsid w:val="0016256B"/>
    <w:rsid w:val="001625B5"/>
    <w:rsid w:val="00163793"/>
    <w:rsid w:val="0016649F"/>
    <w:rsid w:val="00170621"/>
    <w:rsid w:val="001706D6"/>
    <w:rsid w:val="001714F2"/>
    <w:rsid w:val="00175B9F"/>
    <w:rsid w:val="00175C9E"/>
    <w:rsid w:val="00181BBC"/>
    <w:rsid w:val="00184B08"/>
    <w:rsid w:val="00185010"/>
    <w:rsid w:val="0019143B"/>
    <w:rsid w:val="001A0487"/>
    <w:rsid w:val="001A108E"/>
    <w:rsid w:val="001A4CA3"/>
    <w:rsid w:val="001A552F"/>
    <w:rsid w:val="001A5B6F"/>
    <w:rsid w:val="001A6170"/>
    <w:rsid w:val="001A7280"/>
    <w:rsid w:val="001B2CA9"/>
    <w:rsid w:val="001B3110"/>
    <w:rsid w:val="001B4729"/>
    <w:rsid w:val="001B6310"/>
    <w:rsid w:val="001B6C09"/>
    <w:rsid w:val="001B73E6"/>
    <w:rsid w:val="001C05CD"/>
    <w:rsid w:val="001C3924"/>
    <w:rsid w:val="001D1815"/>
    <w:rsid w:val="001D40D7"/>
    <w:rsid w:val="001D48D4"/>
    <w:rsid w:val="001D68B2"/>
    <w:rsid w:val="001E1C2E"/>
    <w:rsid w:val="001E504C"/>
    <w:rsid w:val="001E5850"/>
    <w:rsid w:val="001E6062"/>
    <w:rsid w:val="001E6753"/>
    <w:rsid w:val="001F4597"/>
    <w:rsid w:val="00203DA4"/>
    <w:rsid w:val="00207871"/>
    <w:rsid w:val="002118B9"/>
    <w:rsid w:val="00213E46"/>
    <w:rsid w:val="00214CF7"/>
    <w:rsid w:val="002152E4"/>
    <w:rsid w:val="00216286"/>
    <w:rsid w:val="00216A01"/>
    <w:rsid w:val="002175EA"/>
    <w:rsid w:val="00217C5B"/>
    <w:rsid w:val="0022139E"/>
    <w:rsid w:val="00222729"/>
    <w:rsid w:val="00222833"/>
    <w:rsid w:val="002252E0"/>
    <w:rsid w:val="002255F6"/>
    <w:rsid w:val="00227850"/>
    <w:rsid w:val="00227A53"/>
    <w:rsid w:val="00230682"/>
    <w:rsid w:val="00230C6E"/>
    <w:rsid w:val="00233546"/>
    <w:rsid w:val="00233CD7"/>
    <w:rsid w:val="00233D05"/>
    <w:rsid w:val="00236443"/>
    <w:rsid w:val="00237B95"/>
    <w:rsid w:val="00241B06"/>
    <w:rsid w:val="00242119"/>
    <w:rsid w:val="002421C4"/>
    <w:rsid w:val="00242C10"/>
    <w:rsid w:val="002436BA"/>
    <w:rsid w:val="00244A15"/>
    <w:rsid w:val="0024661A"/>
    <w:rsid w:val="00247319"/>
    <w:rsid w:val="0024741D"/>
    <w:rsid w:val="0024799E"/>
    <w:rsid w:val="00247EE7"/>
    <w:rsid w:val="00252D48"/>
    <w:rsid w:val="00253C0F"/>
    <w:rsid w:val="002558C1"/>
    <w:rsid w:val="00255B30"/>
    <w:rsid w:val="00261A17"/>
    <w:rsid w:val="0027099B"/>
    <w:rsid w:val="00271465"/>
    <w:rsid w:val="00275385"/>
    <w:rsid w:val="0028207A"/>
    <w:rsid w:val="00282918"/>
    <w:rsid w:val="00285412"/>
    <w:rsid w:val="00290725"/>
    <w:rsid w:val="00291407"/>
    <w:rsid w:val="00291640"/>
    <w:rsid w:val="0029568F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C5568"/>
    <w:rsid w:val="002D0E59"/>
    <w:rsid w:val="002E02A1"/>
    <w:rsid w:val="002E42AC"/>
    <w:rsid w:val="002E4E4C"/>
    <w:rsid w:val="002F3E4F"/>
    <w:rsid w:val="00302ADD"/>
    <w:rsid w:val="00304771"/>
    <w:rsid w:val="0030495D"/>
    <w:rsid w:val="003052D4"/>
    <w:rsid w:val="00306C5B"/>
    <w:rsid w:val="00307B34"/>
    <w:rsid w:val="003103E0"/>
    <w:rsid w:val="0031173F"/>
    <w:rsid w:val="00314F9F"/>
    <w:rsid w:val="003209D6"/>
    <w:rsid w:val="00321205"/>
    <w:rsid w:val="00321924"/>
    <w:rsid w:val="00324442"/>
    <w:rsid w:val="0032656E"/>
    <w:rsid w:val="00327D4E"/>
    <w:rsid w:val="00332190"/>
    <w:rsid w:val="00340188"/>
    <w:rsid w:val="003421E1"/>
    <w:rsid w:val="0034226A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71826"/>
    <w:rsid w:val="00373504"/>
    <w:rsid w:val="00374FEF"/>
    <w:rsid w:val="0038123E"/>
    <w:rsid w:val="003818DC"/>
    <w:rsid w:val="00382C5B"/>
    <w:rsid w:val="00384327"/>
    <w:rsid w:val="00385D98"/>
    <w:rsid w:val="003A1A03"/>
    <w:rsid w:val="003A2B4D"/>
    <w:rsid w:val="003A2B5E"/>
    <w:rsid w:val="003A2D12"/>
    <w:rsid w:val="003A478C"/>
    <w:rsid w:val="003A5525"/>
    <w:rsid w:val="003A6B38"/>
    <w:rsid w:val="003B461F"/>
    <w:rsid w:val="003B5A32"/>
    <w:rsid w:val="003B6B31"/>
    <w:rsid w:val="003B7AFA"/>
    <w:rsid w:val="003C1099"/>
    <w:rsid w:val="003C3490"/>
    <w:rsid w:val="003C6550"/>
    <w:rsid w:val="003C7E62"/>
    <w:rsid w:val="003D5B4E"/>
    <w:rsid w:val="003D6920"/>
    <w:rsid w:val="003E3F1E"/>
    <w:rsid w:val="003E48F2"/>
    <w:rsid w:val="003E4C91"/>
    <w:rsid w:val="003E5DB7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550D"/>
    <w:rsid w:val="004069FF"/>
    <w:rsid w:val="00407510"/>
    <w:rsid w:val="00407C13"/>
    <w:rsid w:val="0041041D"/>
    <w:rsid w:val="00410638"/>
    <w:rsid w:val="00410694"/>
    <w:rsid w:val="0041501E"/>
    <w:rsid w:val="004159C3"/>
    <w:rsid w:val="00416EB7"/>
    <w:rsid w:val="00420136"/>
    <w:rsid w:val="00432A58"/>
    <w:rsid w:val="00434617"/>
    <w:rsid w:val="00440900"/>
    <w:rsid w:val="00441BF6"/>
    <w:rsid w:val="00443556"/>
    <w:rsid w:val="004441A0"/>
    <w:rsid w:val="004455BA"/>
    <w:rsid w:val="00446D77"/>
    <w:rsid w:val="0045078A"/>
    <w:rsid w:val="0045086D"/>
    <w:rsid w:val="00451504"/>
    <w:rsid w:val="004557A9"/>
    <w:rsid w:val="00456339"/>
    <w:rsid w:val="004607BF"/>
    <w:rsid w:val="00460FB3"/>
    <w:rsid w:val="00465F26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963C7"/>
    <w:rsid w:val="004976EF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180F"/>
    <w:rsid w:val="004C384C"/>
    <w:rsid w:val="004C3867"/>
    <w:rsid w:val="004C456F"/>
    <w:rsid w:val="004C4CD0"/>
    <w:rsid w:val="004C5B81"/>
    <w:rsid w:val="004C6092"/>
    <w:rsid w:val="004C70DC"/>
    <w:rsid w:val="004D0211"/>
    <w:rsid w:val="004D0794"/>
    <w:rsid w:val="004D5C93"/>
    <w:rsid w:val="004E1288"/>
    <w:rsid w:val="004E7C6B"/>
    <w:rsid w:val="004F06F5"/>
    <w:rsid w:val="004F16B2"/>
    <w:rsid w:val="004F2C1B"/>
    <w:rsid w:val="004F33A0"/>
    <w:rsid w:val="004F3A59"/>
    <w:rsid w:val="005040A8"/>
    <w:rsid w:val="00504EE1"/>
    <w:rsid w:val="0050689D"/>
    <w:rsid w:val="00510205"/>
    <w:rsid w:val="005108C0"/>
    <w:rsid w:val="00511873"/>
    <w:rsid w:val="00511DE3"/>
    <w:rsid w:val="00512A2F"/>
    <w:rsid w:val="00513B7E"/>
    <w:rsid w:val="00515684"/>
    <w:rsid w:val="00515C74"/>
    <w:rsid w:val="00516086"/>
    <w:rsid w:val="0051713B"/>
    <w:rsid w:val="0052007E"/>
    <w:rsid w:val="0052337A"/>
    <w:rsid w:val="00525137"/>
    <w:rsid w:val="005251DD"/>
    <w:rsid w:val="00532CE7"/>
    <w:rsid w:val="00532E62"/>
    <w:rsid w:val="0053324C"/>
    <w:rsid w:val="00533DA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86D"/>
    <w:rsid w:val="00564AF1"/>
    <w:rsid w:val="0056601A"/>
    <w:rsid w:val="005722EB"/>
    <w:rsid w:val="0057364B"/>
    <w:rsid w:val="00574773"/>
    <w:rsid w:val="0058050D"/>
    <w:rsid w:val="0058308D"/>
    <w:rsid w:val="00583FFD"/>
    <w:rsid w:val="00591099"/>
    <w:rsid w:val="005911BE"/>
    <w:rsid w:val="00593152"/>
    <w:rsid w:val="00596010"/>
    <w:rsid w:val="005A10F2"/>
    <w:rsid w:val="005A14E8"/>
    <w:rsid w:val="005A21E0"/>
    <w:rsid w:val="005A28FF"/>
    <w:rsid w:val="005A3DF8"/>
    <w:rsid w:val="005A5113"/>
    <w:rsid w:val="005A5549"/>
    <w:rsid w:val="005A7038"/>
    <w:rsid w:val="005B121D"/>
    <w:rsid w:val="005B3361"/>
    <w:rsid w:val="005C06ED"/>
    <w:rsid w:val="005C2609"/>
    <w:rsid w:val="005C6CF0"/>
    <w:rsid w:val="005D0D46"/>
    <w:rsid w:val="005D5802"/>
    <w:rsid w:val="005D7119"/>
    <w:rsid w:val="005D7890"/>
    <w:rsid w:val="005E705E"/>
    <w:rsid w:val="005E7C78"/>
    <w:rsid w:val="005F18C5"/>
    <w:rsid w:val="005F3374"/>
    <w:rsid w:val="005F3491"/>
    <w:rsid w:val="005F3EB1"/>
    <w:rsid w:val="005F46D8"/>
    <w:rsid w:val="005F5469"/>
    <w:rsid w:val="00603FF5"/>
    <w:rsid w:val="00604307"/>
    <w:rsid w:val="0060487F"/>
    <w:rsid w:val="00604EAD"/>
    <w:rsid w:val="00605D96"/>
    <w:rsid w:val="006104FB"/>
    <w:rsid w:val="00612A2F"/>
    <w:rsid w:val="0061390C"/>
    <w:rsid w:val="006165E5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0072"/>
    <w:rsid w:val="00664803"/>
    <w:rsid w:val="0066504F"/>
    <w:rsid w:val="00665BA4"/>
    <w:rsid w:val="00667AF2"/>
    <w:rsid w:val="006710C9"/>
    <w:rsid w:val="006712EC"/>
    <w:rsid w:val="0067229E"/>
    <w:rsid w:val="006741AC"/>
    <w:rsid w:val="00674D89"/>
    <w:rsid w:val="00675E37"/>
    <w:rsid w:val="0068174E"/>
    <w:rsid w:val="00681DCE"/>
    <w:rsid w:val="0068260E"/>
    <w:rsid w:val="0068697A"/>
    <w:rsid w:val="00693FEC"/>
    <w:rsid w:val="0069490A"/>
    <w:rsid w:val="00695BEF"/>
    <w:rsid w:val="006977F6"/>
    <w:rsid w:val="00697A13"/>
    <w:rsid w:val="006A109C"/>
    <w:rsid w:val="006A2056"/>
    <w:rsid w:val="006A31AB"/>
    <w:rsid w:val="006B0F92"/>
    <w:rsid w:val="006B173A"/>
    <w:rsid w:val="006B344A"/>
    <w:rsid w:val="006B6C74"/>
    <w:rsid w:val="006B759B"/>
    <w:rsid w:val="006B78D8"/>
    <w:rsid w:val="006C113F"/>
    <w:rsid w:val="006C123E"/>
    <w:rsid w:val="006C1752"/>
    <w:rsid w:val="006C4460"/>
    <w:rsid w:val="006C4ED6"/>
    <w:rsid w:val="006C56D4"/>
    <w:rsid w:val="006C6924"/>
    <w:rsid w:val="006C70EB"/>
    <w:rsid w:val="006C7CA6"/>
    <w:rsid w:val="006D3E8A"/>
    <w:rsid w:val="006D61F6"/>
    <w:rsid w:val="006E279A"/>
    <w:rsid w:val="006E313B"/>
    <w:rsid w:val="006E41EC"/>
    <w:rsid w:val="006E4254"/>
    <w:rsid w:val="006E50F8"/>
    <w:rsid w:val="006E7227"/>
    <w:rsid w:val="006F438E"/>
    <w:rsid w:val="006F5416"/>
    <w:rsid w:val="006F7076"/>
    <w:rsid w:val="00702448"/>
    <w:rsid w:val="00705242"/>
    <w:rsid w:val="00706AD4"/>
    <w:rsid w:val="00707150"/>
    <w:rsid w:val="00710078"/>
    <w:rsid w:val="00710229"/>
    <w:rsid w:val="0071217E"/>
    <w:rsid w:val="007140BE"/>
    <w:rsid w:val="007143B4"/>
    <w:rsid w:val="007211F5"/>
    <w:rsid w:val="0072213B"/>
    <w:rsid w:val="00723946"/>
    <w:rsid w:val="007240E2"/>
    <w:rsid w:val="00725BB5"/>
    <w:rsid w:val="00730517"/>
    <w:rsid w:val="00730AE8"/>
    <w:rsid w:val="00730F1B"/>
    <w:rsid w:val="00733628"/>
    <w:rsid w:val="007342AC"/>
    <w:rsid w:val="00741493"/>
    <w:rsid w:val="00743C34"/>
    <w:rsid w:val="007457F6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5C12"/>
    <w:rsid w:val="007661E9"/>
    <w:rsid w:val="00770784"/>
    <w:rsid w:val="00773220"/>
    <w:rsid w:val="00776169"/>
    <w:rsid w:val="00776527"/>
    <w:rsid w:val="00776EAB"/>
    <w:rsid w:val="00780EF1"/>
    <w:rsid w:val="00782AD8"/>
    <w:rsid w:val="00790711"/>
    <w:rsid w:val="00790764"/>
    <w:rsid w:val="0079124F"/>
    <w:rsid w:val="0079453C"/>
    <w:rsid w:val="00794677"/>
    <w:rsid w:val="00795928"/>
    <w:rsid w:val="00797445"/>
    <w:rsid w:val="007A3861"/>
    <w:rsid w:val="007A4577"/>
    <w:rsid w:val="007A516D"/>
    <w:rsid w:val="007B6689"/>
    <w:rsid w:val="007C6BBD"/>
    <w:rsid w:val="007D293C"/>
    <w:rsid w:val="007D40DF"/>
    <w:rsid w:val="007E29B4"/>
    <w:rsid w:val="007E435A"/>
    <w:rsid w:val="007E76C3"/>
    <w:rsid w:val="007E7E61"/>
    <w:rsid w:val="007E7FCE"/>
    <w:rsid w:val="007F0076"/>
    <w:rsid w:val="007F0845"/>
    <w:rsid w:val="007F708D"/>
    <w:rsid w:val="00800216"/>
    <w:rsid w:val="00801E13"/>
    <w:rsid w:val="00807365"/>
    <w:rsid w:val="00807C82"/>
    <w:rsid w:val="00810C82"/>
    <w:rsid w:val="00811E1D"/>
    <w:rsid w:val="00814B15"/>
    <w:rsid w:val="00816905"/>
    <w:rsid w:val="00821777"/>
    <w:rsid w:val="00821C44"/>
    <w:rsid w:val="00821FF6"/>
    <w:rsid w:val="00822574"/>
    <w:rsid w:val="00825C4D"/>
    <w:rsid w:val="008304D1"/>
    <w:rsid w:val="00830D03"/>
    <w:rsid w:val="0083143E"/>
    <w:rsid w:val="00831CDE"/>
    <w:rsid w:val="00834304"/>
    <w:rsid w:val="00834FAA"/>
    <w:rsid w:val="0083516C"/>
    <w:rsid w:val="00836086"/>
    <w:rsid w:val="00843A14"/>
    <w:rsid w:val="00846121"/>
    <w:rsid w:val="008462A8"/>
    <w:rsid w:val="0084708F"/>
    <w:rsid w:val="008477C8"/>
    <w:rsid w:val="00847963"/>
    <w:rsid w:val="00850815"/>
    <w:rsid w:val="0085114D"/>
    <w:rsid w:val="00852217"/>
    <w:rsid w:val="00853B8D"/>
    <w:rsid w:val="00854F24"/>
    <w:rsid w:val="00855408"/>
    <w:rsid w:val="00855712"/>
    <w:rsid w:val="00856D65"/>
    <w:rsid w:val="00861B41"/>
    <w:rsid w:val="00861BE3"/>
    <w:rsid w:val="00863434"/>
    <w:rsid w:val="00865E4C"/>
    <w:rsid w:val="008701E4"/>
    <w:rsid w:val="0087052A"/>
    <w:rsid w:val="00871069"/>
    <w:rsid w:val="00875A32"/>
    <w:rsid w:val="00876086"/>
    <w:rsid w:val="008766AC"/>
    <w:rsid w:val="00881EAF"/>
    <w:rsid w:val="008825B0"/>
    <w:rsid w:val="00884AD6"/>
    <w:rsid w:val="008873D4"/>
    <w:rsid w:val="00890D6D"/>
    <w:rsid w:val="0089126C"/>
    <w:rsid w:val="0089296D"/>
    <w:rsid w:val="00893E85"/>
    <w:rsid w:val="00894031"/>
    <w:rsid w:val="00895508"/>
    <w:rsid w:val="008A6CB4"/>
    <w:rsid w:val="008B542E"/>
    <w:rsid w:val="008B5CF6"/>
    <w:rsid w:val="008B76AB"/>
    <w:rsid w:val="008B7C02"/>
    <w:rsid w:val="008B7D2B"/>
    <w:rsid w:val="008C0049"/>
    <w:rsid w:val="008C0E88"/>
    <w:rsid w:val="008C1968"/>
    <w:rsid w:val="008C53CB"/>
    <w:rsid w:val="008C6FD4"/>
    <w:rsid w:val="008D1BA1"/>
    <w:rsid w:val="008D1E6A"/>
    <w:rsid w:val="008D2A16"/>
    <w:rsid w:val="008D6B35"/>
    <w:rsid w:val="008D75D9"/>
    <w:rsid w:val="008E163D"/>
    <w:rsid w:val="008E2C57"/>
    <w:rsid w:val="008E31FF"/>
    <w:rsid w:val="008E6F06"/>
    <w:rsid w:val="008E7FC9"/>
    <w:rsid w:val="008F029B"/>
    <w:rsid w:val="008F3FC9"/>
    <w:rsid w:val="008F585B"/>
    <w:rsid w:val="009003A8"/>
    <w:rsid w:val="0090151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4464"/>
    <w:rsid w:val="00937AE2"/>
    <w:rsid w:val="00943853"/>
    <w:rsid w:val="0094427A"/>
    <w:rsid w:val="00945245"/>
    <w:rsid w:val="009452D0"/>
    <w:rsid w:val="00956572"/>
    <w:rsid w:val="00957309"/>
    <w:rsid w:val="0095759C"/>
    <w:rsid w:val="009607C5"/>
    <w:rsid w:val="00961532"/>
    <w:rsid w:val="0096774F"/>
    <w:rsid w:val="00967E76"/>
    <w:rsid w:val="009721DB"/>
    <w:rsid w:val="0097239B"/>
    <w:rsid w:val="00974071"/>
    <w:rsid w:val="00974923"/>
    <w:rsid w:val="009808F7"/>
    <w:rsid w:val="00980D3D"/>
    <w:rsid w:val="00981FFA"/>
    <w:rsid w:val="009855E1"/>
    <w:rsid w:val="00986D06"/>
    <w:rsid w:val="00987A30"/>
    <w:rsid w:val="00992CF3"/>
    <w:rsid w:val="00994868"/>
    <w:rsid w:val="0099574A"/>
    <w:rsid w:val="009968D6"/>
    <w:rsid w:val="009A1CAB"/>
    <w:rsid w:val="009A60D1"/>
    <w:rsid w:val="009B6FD3"/>
    <w:rsid w:val="009C02C3"/>
    <w:rsid w:val="009C1750"/>
    <w:rsid w:val="009C2E29"/>
    <w:rsid w:val="009C3F5D"/>
    <w:rsid w:val="009C554B"/>
    <w:rsid w:val="009C719E"/>
    <w:rsid w:val="009C7A10"/>
    <w:rsid w:val="009D1120"/>
    <w:rsid w:val="009D3ACD"/>
    <w:rsid w:val="009D4785"/>
    <w:rsid w:val="009E1988"/>
    <w:rsid w:val="009E5273"/>
    <w:rsid w:val="009E5DDB"/>
    <w:rsid w:val="009E7F05"/>
    <w:rsid w:val="009F46B7"/>
    <w:rsid w:val="009F4CA7"/>
    <w:rsid w:val="009F7558"/>
    <w:rsid w:val="009F791A"/>
    <w:rsid w:val="00A04CEF"/>
    <w:rsid w:val="00A10D66"/>
    <w:rsid w:val="00A14114"/>
    <w:rsid w:val="00A14995"/>
    <w:rsid w:val="00A1537C"/>
    <w:rsid w:val="00A16413"/>
    <w:rsid w:val="00A16E1D"/>
    <w:rsid w:val="00A17D5B"/>
    <w:rsid w:val="00A17EB2"/>
    <w:rsid w:val="00A206E5"/>
    <w:rsid w:val="00A20CC0"/>
    <w:rsid w:val="00A23447"/>
    <w:rsid w:val="00A23E43"/>
    <w:rsid w:val="00A25216"/>
    <w:rsid w:val="00A30F65"/>
    <w:rsid w:val="00A32BF2"/>
    <w:rsid w:val="00A33549"/>
    <w:rsid w:val="00A33A89"/>
    <w:rsid w:val="00A34D27"/>
    <w:rsid w:val="00A40EAC"/>
    <w:rsid w:val="00A40EDD"/>
    <w:rsid w:val="00A418BC"/>
    <w:rsid w:val="00A4206C"/>
    <w:rsid w:val="00A4632B"/>
    <w:rsid w:val="00A46DE0"/>
    <w:rsid w:val="00A472EB"/>
    <w:rsid w:val="00A47FCA"/>
    <w:rsid w:val="00A50D73"/>
    <w:rsid w:val="00A52CAD"/>
    <w:rsid w:val="00A53FC7"/>
    <w:rsid w:val="00A60799"/>
    <w:rsid w:val="00A62CE1"/>
    <w:rsid w:val="00A668A3"/>
    <w:rsid w:val="00A6741E"/>
    <w:rsid w:val="00A754EA"/>
    <w:rsid w:val="00A75E40"/>
    <w:rsid w:val="00A770F4"/>
    <w:rsid w:val="00A77D1D"/>
    <w:rsid w:val="00A84A6A"/>
    <w:rsid w:val="00A857C0"/>
    <w:rsid w:val="00A90FED"/>
    <w:rsid w:val="00AA2996"/>
    <w:rsid w:val="00AA2A70"/>
    <w:rsid w:val="00AA2DA1"/>
    <w:rsid w:val="00AA4B30"/>
    <w:rsid w:val="00AA52BF"/>
    <w:rsid w:val="00AA559A"/>
    <w:rsid w:val="00AB2AF1"/>
    <w:rsid w:val="00AB535B"/>
    <w:rsid w:val="00AC45BD"/>
    <w:rsid w:val="00AC5791"/>
    <w:rsid w:val="00AD168E"/>
    <w:rsid w:val="00AD306C"/>
    <w:rsid w:val="00AD4F16"/>
    <w:rsid w:val="00AD5323"/>
    <w:rsid w:val="00AD68C4"/>
    <w:rsid w:val="00AE09B3"/>
    <w:rsid w:val="00AE0ED3"/>
    <w:rsid w:val="00AE153F"/>
    <w:rsid w:val="00AE1A2E"/>
    <w:rsid w:val="00AE1A83"/>
    <w:rsid w:val="00AE31A7"/>
    <w:rsid w:val="00AF1DE9"/>
    <w:rsid w:val="00AF6128"/>
    <w:rsid w:val="00B00913"/>
    <w:rsid w:val="00B01593"/>
    <w:rsid w:val="00B01CF3"/>
    <w:rsid w:val="00B023F2"/>
    <w:rsid w:val="00B04705"/>
    <w:rsid w:val="00B04E70"/>
    <w:rsid w:val="00B07959"/>
    <w:rsid w:val="00B07BBB"/>
    <w:rsid w:val="00B10325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062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B8B"/>
    <w:rsid w:val="00B80EC6"/>
    <w:rsid w:val="00B84CF6"/>
    <w:rsid w:val="00B857A1"/>
    <w:rsid w:val="00B87623"/>
    <w:rsid w:val="00B92D1D"/>
    <w:rsid w:val="00B938C5"/>
    <w:rsid w:val="00B95940"/>
    <w:rsid w:val="00BA37EA"/>
    <w:rsid w:val="00BA5256"/>
    <w:rsid w:val="00BA6C2B"/>
    <w:rsid w:val="00BB22F6"/>
    <w:rsid w:val="00BB46F3"/>
    <w:rsid w:val="00BB4CB1"/>
    <w:rsid w:val="00BB4F98"/>
    <w:rsid w:val="00BB73ED"/>
    <w:rsid w:val="00BC5C12"/>
    <w:rsid w:val="00BC7154"/>
    <w:rsid w:val="00BC731E"/>
    <w:rsid w:val="00BD366B"/>
    <w:rsid w:val="00BD6D50"/>
    <w:rsid w:val="00BE18B9"/>
    <w:rsid w:val="00BE2495"/>
    <w:rsid w:val="00BE32CE"/>
    <w:rsid w:val="00BF1578"/>
    <w:rsid w:val="00BF3B1D"/>
    <w:rsid w:val="00BF6D32"/>
    <w:rsid w:val="00BF71A0"/>
    <w:rsid w:val="00BF723F"/>
    <w:rsid w:val="00C02943"/>
    <w:rsid w:val="00C16FB0"/>
    <w:rsid w:val="00C21F94"/>
    <w:rsid w:val="00C27913"/>
    <w:rsid w:val="00C27E4F"/>
    <w:rsid w:val="00C325AE"/>
    <w:rsid w:val="00C32964"/>
    <w:rsid w:val="00C33B68"/>
    <w:rsid w:val="00C36A79"/>
    <w:rsid w:val="00C401D2"/>
    <w:rsid w:val="00C405D4"/>
    <w:rsid w:val="00C41D07"/>
    <w:rsid w:val="00C4431F"/>
    <w:rsid w:val="00C4513B"/>
    <w:rsid w:val="00C5390B"/>
    <w:rsid w:val="00C53E5D"/>
    <w:rsid w:val="00C54141"/>
    <w:rsid w:val="00C5418A"/>
    <w:rsid w:val="00C54697"/>
    <w:rsid w:val="00C65535"/>
    <w:rsid w:val="00C65C22"/>
    <w:rsid w:val="00C66B0D"/>
    <w:rsid w:val="00C71E85"/>
    <w:rsid w:val="00C72884"/>
    <w:rsid w:val="00C73885"/>
    <w:rsid w:val="00C73BA9"/>
    <w:rsid w:val="00C747B1"/>
    <w:rsid w:val="00C82191"/>
    <w:rsid w:val="00C83134"/>
    <w:rsid w:val="00C85545"/>
    <w:rsid w:val="00C9003C"/>
    <w:rsid w:val="00C90CF4"/>
    <w:rsid w:val="00C92EB6"/>
    <w:rsid w:val="00C93389"/>
    <w:rsid w:val="00C96040"/>
    <w:rsid w:val="00C9769E"/>
    <w:rsid w:val="00CA0914"/>
    <w:rsid w:val="00CA6AB4"/>
    <w:rsid w:val="00CA7BE7"/>
    <w:rsid w:val="00CB2F3F"/>
    <w:rsid w:val="00CB4930"/>
    <w:rsid w:val="00CC0E87"/>
    <w:rsid w:val="00CC2E7D"/>
    <w:rsid w:val="00CC6B42"/>
    <w:rsid w:val="00CD10A5"/>
    <w:rsid w:val="00CD2076"/>
    <w:rsid w:val="00CD29B5"/>
    <w:rsid w:val="00CD6331"/>
    <w:rsid w:val="00CD7704"/>
    <w:rsid w:val="00CD7AFB"/>
    <w:rsid w:val="00CE3E57"/>
    <w:rsid w:val="00CE670B"/>
    <w:rsid w:val="00CF19CB"/>
    <w:rsid w:val="00CF262D"/>
    <w:rsid w:val="00CF322D"/>
    <w:rsid w:val="00CF39C9"/>
    <w:rsid w:val="00CF4908"/>
    <w:rsid w:val="00CF51EC"/>
    <w:rsid w:val="00CF59E5"/>
    <w:rsid w:val="00CF73AE"/>
    <w:rsid w:val="00D040DD"/>
    <w:rsid w:val="00D075BE"/>
    <w:rsid w:val="00D13986"/>
    <w:rsid w:val="00D21D83"/>
    <w:rsid w:val="00D235B7"/>
    <w:rsid w:val="00D23C02"/>
    <w:rsid w:val="00D23F97"/>
    <w:rsid w:val="00D25F28"/>
    <w:rsid w:val="00D26071"/>
    <w:rsid w:val="00D27973"/>
    <w:rsid w:val="00D35E1A"/>
    <w:rsid w:val="00D37C1E"/>
    <w:rsid w:val="00D40B2B"/>
    <w:rsid w:val="00D40F7C"/>
    <w:rsid w:val="00D417B7"/>
    <w:rsid w:val="00D42211"/>
    <w:rsid w:val="00D42756"/>
    <w:rsid w:val="00D50F46"/>
    <w:rsid w:val="00D567C6"/>
    <w:rsid w:val="00D57677"/>
    <w:rsid w:val="00D61DF8"/>
    <w:rsid w:val="00D66223"/>
    <w:rsid w:val="00D674D7"/>
    <w:rsid w:val="00D71625"/>
    <w:rsid w:val="00D751DA"/>
    <w:rsid w:val="00D8084C"/>
    <w:rsid w:val="00D915EA"/>
    <w:rsid w:val="00D95B68"/>
    <w:rsid w:val="00D96855"/>
    <w:rsid w:val="00DA47A8"/>
    <w:rsid w:val="00DA48C1"/>
    <w:rsid w:val="00DA7C0C"/>
    <w:rsid w:val="00DB08A9"/>
    <w:rsid w:val="00DB2EC8"/>
    <w:rsid w:val="00DB5AF8"/>
    <w:rsid w:val="00DB5FC0"/>
    <w:rsid w:val="00DB6566"/>
    <w:rsid w:val="00DB6A76"/>
    <w:rsid w:val="00DC1B9B"/>
    <w:rsid w:val="00DC1E84"/>
    <w:rsid w:val="00DC40D2"/>
    <w:rsid w:val="00DC48F1"/>
    <w:rsid w:val="00DC4EDE"/>
    <w:rsid w:val="00DC5B3B"/>
    <w:rsid w:val="00DD129F"/>
    <w:rsid w:val="00DD4EFE"/>
    <w:rsid w:val="00DE02BD"/>
    <w:rsid w:val="00DE5DBA"/>
    <w:rsid w:val="00DF42FF"/>
    <w:rsid w:val="00DF5908"/>
    <w:rsid w:val="00E01C0E"/>
    <w:rsid w:val="00E03F9A"/>
    <w:rsid w:val="00E0465E"/>
    <w:rsid w:val="00E04694"/>
    <w:rsid w:val="00E063CE"/>
    <w:rsid w:val="00E12B1E"/>
    <w:rsid w:val="00E12F7C"/>
    <w:rsid w:val="00E15B76"/>
    <w:rsid w:val="00E17262"/>
    <w:rsid w:val="00E20B53"/>
    <w:rsid w:val="00E253A2"/>
    <w:rsid w:val="00E314B9"/>
    <w:rsid w:val="00E329EF"/>
    <w:rsid w:val="00E3309D"/>
    <w:rsid w:val="00E374F4"/>
    <w:rsid w:val="00E409C2"/>
    <w:rsid w:val="00E43C1C"/>
    <w:rsid w:val="00E45931"/>
    <w:rsid w:val="00E47EBA"/>
    <w:rsid w:val="00E50156"/>
    <w:rsid w:val="00E51643"/>
    <w:rsid w:val="00E53470"/>
    <w:rsid w:val="00E53874"/>
    <w:rsid w:val="00E539F6"/>
    <w:rsid w:val="00E54E39"/>
    <w:rsid w:val="00E55091"/>
    <w:rsid w:val="00E6519D"/>
    <w:rsid w:val="00E67696"/>
    <w:rsid w:val="00E71654"/>
    <w:rsid w:val="00E71A58"/>
    <w:rsid w:val="00E72A7A"/>
    <w:rsid w:val="00E75C94"/>
    <w:rsid w:val="00E849A6"/>
    <w:rsid w:val="00E91024"/>
    <w:rsid w:val="00E920F4"/>
    <w:rsid w:val="00E93820"/>
    <w:rsid w:val="00E944EF"/>
    <w:rsid w:val="00E94A86"/>
    <w:rsid w:val="00E96143"/>
    <w:rsid w:val="00EA038B"/>
    <w:rsid w:val="00EA0987"/>
    <w:rsid w:val="00EA0C68"/>
    <w:rsid w:val="00EA32BC"/>
    <w:rsid w:val="00EA4302"/>
    <w:rsid w:val="00EA6C97"/>
    <w:rsid w:val="00EA7407"/>
    <w:rsid w:val="00EB39C7"/>
    <w:rsid w:val="00EB3D8F"/>
    <w:rsid w:val="00EB4511"/>
    <w:rsid w:val="00EB4A12"/>
    <w:rsid w:val="00EC03D7"/>
    <w:rsid w:val="00EC15CC"/>
    <w:rsid w:val="00EC313D"/>
    <w:rsid w:val="00ED281F"/>
    <w:rsid w:val="00ED62C6"/>
    <w:rsid w:val="00ED64C1"/>
    <w:rsid w:val="00EE0E68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066CF"/>
    <w:rsid w:val="00F10F11"/>
    <w:rsid w:val="00F15AAA"/>
    <w:rsid w:val="00F15BEF"/>
    <w:rsid w:val="00F17E83"/>
    <w:rsid w:val="00F24407"/>
    <w:rsid w:val="00F24931"/>
    <w:rsid w:val="00F24FAA"/>
    <w:rsid w:val="00F252A0"/>
    <w:rsid w:val="00F25B4A"/>
    <w:rsid w:val="00F25DEE"/>
    <w:rsid w:val="00F3364D"/>
    <w:rsid w:val="00F437CC"/>
    <w:rsid w:val="00F43E29"/>
    <w:rsid w:val="00F44537"/>
    <w:rsid w:val="00F44B6A"/>
    <w:rsid w:val="00F47067"/>
    <w:rsid w:val="00F50FC3"/>
    <w:rsid w:val="00F51087"/>
    <w:rsid w:val="00F5188A"/>
    <w:rsid w:val="00F52106"/>
    <w:rsid w:val="00F525EB"/>
    <w:rsid w:val="00F63DDE"/>
    <w:rsid w:val="00F63FB7"/>
    <w:rsid w:val="00F6421B"/>
    <w:rsid w:val="00F649D2"/>
    <w:rsid w:val="00F6602B"/>
    <w:rsid w:val="00F66643"/>
    <w:rsid w:val="00F66E76"/>
    <w:rsid w:val="00F66FD9"/>
    <w:rsid w:val="00F67C4E"/>
    <w:rsid w:val="00F70D20"/>
    <w:rsid w:val="00F72275"/>
    <w:rsid w:val="00F73990"/>
    <w:rsid w:val="00F73A0C"/>
    <w:rsid w:val="00F756DB"/>
    <w:rsid w:val="00F84E7D"/>
    <w:rsid w:val="00F85066"/>
    <w:rsid w:val="00F87A4D"/>
    <w:rsid w:val="00F90035"/>
    <w:rsid w:val="00F92283"/>
    <w:rsid w:val="00F9785E"/>
    <w:rsid w:val="00FA5D4D"/>
    <w:rsid w:val="00FA60AD"/>
    <w:rsid w:val="00FA7115"/>
    <w:rsid w:val="00FB0EE2"/>
    <w:rsid w:val="00FB4423"/>
    <w:rsid w:val="00FB542E"/>
    <w:rsid w:val="00FB6631"/>
    <w:rsid w:val="00FC0E5F"/>
    <w:rsid w:val="00FC1A95"/>
    <w:rsid w:val="00FC56DE"/>
    <w:rsid w:val="00FC6700"/>
    <w:rsid w:val="00FC684B"/>
    <w:rsid w:val="00FD1A5F"/>
    <w:rsid w:val="00FD3265"/>
    <w:rsid w:val="00FD5F92"/>
    <w:rsid w:val="00FD66F9"/>
    <w:rsid w:val="00FD78F8"/>
    <w:rsid w:val="00FE2F78"/>
    <w:rsid w:val="00FE470B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4</cp:revision>
  <cp:lastPrinted>2014-07-17T14:07:00Z</cp:lastPrinted>
  <dcterms:created xsi:type="dcterms:W3CDTF">2026-03-20T11:45:00Z</dcterms:created>
  <dcterms:modified xsi:type="dcterms:W3CDTF">2026-03-20T11:49:00Z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