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99" w:rsidRDefault="00E52E99">
      <w:pPr>
        <w:keepNext/>
        <w:tabs>
          <w:tab w:val="left" w:pos="0"/>
          <w:tab w:val="left" w:pos="708"/>
          <w:tab w:val="left" w:pos="1417"/>
          <w:tab w:val="left" w:pos="2124"/>
          <w:tab w:val="left" w:pos="260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52E99" w:rsidRDefault="00E52E99">
      <w:pPr>
        <w:keepNext/>
        <w:tabs>
          <w:tab w:val="left" w:pos="0"/>
          <w:tab w:val="left" w:pos="708"/>
          <w:tab w:val="left" w:pos="1417"/>
          <w:tab w:val="left" w:pos="2124"/>
          <w:tab w:val="left" w:pos="260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52E99" w:rsidRDefault="00E52E99">
      <w:pPr>
        <w:keepNext/>
        <w:tabs>
          <w:tab w:val="left" w:pos="0"/>
          <w:tab w:val="left" w:pos="708"/>
          <w:tab w:val="left" w:pos="1417"/>
          <w:tab w:val="left" w:pos="2124"/>
          <w:tab w:val="left" w:pos="260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52E99" w:rsidRDefault="00E52E99">
      <w:pPr>
        <w:tabs>
          <w:tab w:val="left" w:pos="4536"/>
          <w:tab w:val="left" w:pos="9072"/>
        </w:tabs>
        <w:spacing w:after="0" w:line="240" w:lineRule="auto"/>
        <w:rPr>
          <w:rFonts w:ascii="Times New Roman CE oby_ejné" w:eastAsia="Times New Roman CE oby_ejné" w:hAnsi="Times New Roman CE oby_ejné" w:cs="Times New Roman CE oby_ejné"/>
          <w:sz w:val="24"/>
        </w:rPr>
      </w:pPr>
    </w:p>
    <w:p w:rsidR="00E52E99" w:rsidRDefault="00E52E99">
      <w:pPr>
        <w:spacing w:after="0" w:line="240" w:lineRule="auto"/>
        <w:rPr>
          <w:rFonts w:ascii="Times New Roman CE oby_ejné" w:eastAsia="Times New Roman CE oby_ejné" w:hAnsi="Times New Roman CE oby_ejné" w:cs="Times New Roman CE oby_ejné"/>
          <w:sz w:val="24"/>
        </w:rPr>
      </w:pPr>
    </w:p>
    <w:p w:rsidR="00E52E99" w:rsidRDefault="00E52E99">
      <w:pPr>
        <w:spacing w:after="0" w:line="240" w:lineRule="auto"/>
        <w:rPr>
          <w:rFonts w:ascii="Times New Roman CE oby_ejné" w:eastAsia="Times New Roman CE oby_ejné" w:hAnsi="Times New Roman CE oby_ejné" w:cs="Times New Roman CE oby_ejné"/>
          <w:sz w:val="24"/>
        </w:rPr>
      </w:pPr>
    </w:p>
    <w:p w:rsidR="00E52E99" w:rsidRDefault="008B1746">
      <w:pPr>
        <w:keepNext/>
        <w:tabs>
          <w:tab w:val="left" w:pos="0"/>
          <w:tab w:val="left" w:pos="708"/>
          <w:tab w:val="left" w:pos="1417"/>
          <w:tab w:val="left" w:pos="2124"/>
          <w:tab w:val="left" w:pos="260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Ú v o d</w:t>
      </w:r>
    </w:p>
    <w:p w:rsidR="00E52E99" w:rsidRDefault="00E52E99">
      <w:pPr>
        <w:tabs>
          <w:tab w:val="left" w:pos="4536"/>
          <w:tab w:val="left" w:pos="9072"/>
        </w:tabs>
        <w:spacing w:after="0" w:line="240" w:lineRule="auto"/>
        <w:rPr>
          <w:rFonts w:ascii="Arial" w:eastAsia="Arial" w:hAnsi="Arial" w:cs="Arial"/>
        </w:rPr>
      </w:pPr>
    </w:p>
    <w:p w:rsidR="00E52E99" w:rsidRDefault="00E52E99">
      <w:pPr>
        <w:tabs>
          <w:tab w:val="left" w:pos="4536"/>
          <w:tab w:val="left" w:pos="9072"/>
        </w:tabs>
        <w:spacing w:after="0" w:line="240" w:lineRule="auto"/>
        <w:rPr>
          <w:rFonts w:ascii="Arial" w:eastAsia="Arial" w:hAnsi="Arial" w:cs="Arial"/>
        </w:rPr>
      </w:pPr>
    </w:p>
    <w:p w:rsidR="008B1746" w:rsidRDefault="008B1746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E-publikace (</w:t>
      </w:r>
      <w:r>
        <w:rPr>
          <w:rFonts w:ascii="Arial" w:eastAsia="Arial" w:hAnsi="Arial" w:cs="Arial"/>
          <w:b/>
        </w:rPr>
        <w:t>Energetika - 2016)</w:t>
      </w:r>
      <w:r>
        <w:rPr>
          <w:rFonts w:ascii="Arial" w:eastAsia="Arial" w:hAnsi="Arial" w:cs="Arial"/>
        </w:rPr>
        <w:t xml:space="preserve"> navazuje na publikace vydávané ČSÚ do roku 2015 a jejím obsahem jsou základní tabulky energetické bilance ČR (údaje o zdrojích, transformaci a konečné spotřebě paliv a energie). Obsahuje tabulky energetické bilance roku 2016 a 2015 v metodice </w:t>
      </w:r>
      <w:proofErr w:type="spellStart"/>
      <w:r>
        <w:rPr>
          <w:rFonts w:ascii="Arial" w:eastAsia="Arial" w:hAnsi="Arial" w:cs="Arial"/>
        </w:rPr>
        <w:t>Eurostatu</w:t>
      </w:r>
      <w:proofErr w:type="spellEnd"/>
      <w:r>
        <w:rPr>
          <w:rFonts w:ascii="Arial" w:eastAsia="Arial" w:hAnsi="Arial" w:cs="Arial"/>
        </w:rPr>
        <w:t xml:space="preserve"> v měrných jednotkách </w:t>
      </w:r>
      <w:proofErr w:type="spellStart"/>
      <w:r>
        <w:rPr>
          <w:rFonts w:ascii="Arial" w:eastAsia="Arial" w:hAnsi="Arial" w:cs="Arial"/>
        </w:rPr>
        <w:t>ktoe</w:t>
      </w:r>
      <w:proofErr w:type="spellEnd"/>
      <w:r>
        <w:rPr>
          <w:rFonts w:ascii="Arial" w:eastAsia="Arial" w:hAnsi="Arial" w:cs="Arial"/>
        </w:rPr>
        <w:t xml:space="preserve"> (tis. tun ropného ekvivalentu) a PJ doplněné o zkrácenou energetickou bilanci a bilance elektřiny a zemního plynu v časové řadě 2010 až 2016. K sestavení publikace byla se svolením </w:t>
      </w:r>
      <w:proofErr w:type="spellStart"/>
      <w:r>
        <w:rPr>
          <w:rFonts w:ascii="Arial" w:eastAsia="Arial" w:hAnsi="Arial" w:cs="Arial"/>
        </w:rPr>
        <w:t>Eurostatu</w:t>
      </w:r>
      <w:proofErr w:type="spellEnd"/>
      <w:r>
        <w:rPr>
          <w:rFonts w:ascii="Arial" w:eastAsia="Arial" w:hAnsi="Arial" w:cs="Arial"/>
        </w:rPr>
        <w:t xml:space="preserve"> využita jeho data (edice </w:t>
      </w:r>
      <w:r w:rsidR="004E4435">
        <w:rPr>
          <w:rFonts w:ascii="Arial" w:eastAsia="Arial" w:hAnsi="Arial" w:cs="Arial"/>
        </w:rPr>
        <w:t xml:space="preserve">leden </w:t>
      </w:r>
      <w:r>
        <w:rPr>
          <w:rFonts w:ascii="Arial" w:eastAsia="Arial" w:hAnsi="Arial" w:cs="Arial"/>
        </w:rPr>
        <w:t xml:space="preserve">2018). V průběhu roku lze očekávat, že </w:t>
      </w:r>
      <w:proofErr w:type="spellStart"/>
      <w:r>
        <w:rPr>
          <w:rFonts w:ascii="Arial" w:eastAsia="Arial" w:hAnsi="Arial" w:cs="Arial"/>
        </w:rPr>
        <w:t>Eurostat</w:t>
      </w:r>
      <w:proofErr w:type="spellEnd"/>
      <w:r>
        <w:rPr>
          <w:rFonts w:ascii="Arial" w:eastAsia="Arial" w:hAnsi="Arial" w:cs="Arial"/>
        </w:rPr>
        <w:t xml:space="preserve"> provede aktualizaci dat. </w:t>
      </w:r>
    </w:p>
    <w:p w:rsidR="008B1746" w:rsidRDefault="008B1746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E52E99" w:rsidRDefault="008B1746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</w:rPr>
        <w:t xml:space="preserve">Publikování energetická bilance v metodice ČSÚ a IEA bylo ukončeno vzhledem k tomu, že  EK provádí kontrolu postupu k dosažení strategických cílů 20/20/20 EU ve vztahu k energetické bilanci </w:t>
      </w:r>
      <w:proofErr w:type="spellStart"/>
      <w:r>
        <w:rPr>
          <w:rFonts w:ascii="Arial" w:eastAsia="Arial" w:hAnsi="Arial" w:cs="Arial"/>
        </w:rPr>
        <w:t>Eurostatu</w:t>
      </w:r>
      <w:proofErr w:type="spellEnd"/>
      <w:r>
        <w:rPr>
          <w:rFonts w:ascii="Arial" w:eastAsia="Arial" w:hAnsi="Arial" w:cs="Arial"/>
        </w:rPr>
        <w:t>, a využívání energetických bilancí v jiných metodikách by mohlo vést k nesprávným závěrům.</w:t>
      </w:r>
    </w:p>
    <w:sectPr w:rsidR="00E52E99" w:rsidSect="007F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 oby_ejn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2E99"/>
    <w:rsid w:val="004E4435"/>
    <w:rsid w:val="007F47FE"/>
    <w:rsid w:val="008B1746"/>
    <w:rsid w:val="00E5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7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</cp:lastModifiedBy>
  <cp:revision>3</cp:revision>
  <dcterms:created xsi:type="dcterms:W3CDTF">2018-03-09T14:29:00Z</dcterms:created>
  <dcterms:modified xsi:type="dcterms:W3CDTF">2018-03-09T14:31:00Z</dcterms:modified>
</cp:coreProperties>
</file>