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CCDFA" w14:textId="77777777" w:rsidR="00617E4C" w:rsidRPr="00617E4C" w:rsidRDefault="00617E4C" w:rsidP="00E84315">
      <w:pPr>
        <w:keepNext/>
        <w:spacing w:after="240" w:line="288" w:lineRule="auto"/>
        <w:outlineLvl w:val="3"/>
        <w:rPr>
          <w:b/>
          <w:sz w:val="28"/>
        </w:rPr>
      </w:pPr>
      <w:r w:rsidRPr="00617E4C">
        <w:rPr>
          <w:b/>
          <w:sz w:val="28"/>
        </w:rPr>
        <w:t>Metodické poznámky</w:t>
      </w:r>
    </w:p>
    <w:p w14:paraId="6D33D9C1" w14:textId="1872F6D4" w:rsidR="007E5666" w:rsidRDefault="00CB4700" w:rsidP="00E84315">
      <w:pPr>
        <w:spacing w:after="120" w:line="288" w:lineRule="auto"/>
        <w:rPr>
          <w:rFonts w:eastAsia="Arial Unicode MS" w:cs="Arial"/>
          <w:bCs w:val="0"/>
          <w:sz w:val="20"/>
        </w:rPr>
      </w:pPr>
      <w:r w:rsidRPr="007E5666">
        <w:rPr>
          <w:rFonts w:eastAsia="Arial Unicode MS" w:cs="Arial"/>
          <w:bCs w:val="0"/>
          <w:sz w:val="20"/>
        </w:rPr>
        <w:t xml:space="preserve">Základem </w:t>
      </w:r>
      <w:r w:rsidRPr="007E5666">
        <w:rPr>
          <w:rFonts w:eastAsia="Arial Unicode MS" w:cs="Arial"/>
          <w:sz w:val="20"/>
        </w:rPr>
        <w:t>informací o počtu a demografické struktuře obyvatel</w:t>
      </w:r>
      <w:r w:rsidRPr="007E5666">
        <w:rPr>
          <w:rFonts w:eastAsia="Arial Unicode MS" w:cs="Arial"/>
          <w:bCs w:val="0"/>
          <w:sz w:val="20"/>
        </w:rPr>
        <w:t xml:space="preserve"> </w:t>
      </w:r>
      <w:r w:rsidRPr="007E5666">
        <w:rPr>
          <w:rFonts w:eastAsia="Arial Unicode MS" w:cs="Arial"/>
          <w:sz w:val="20"/>
        </w:rPr>
        <w:t xml:space="preserve">jsou </w:t>
      </w:r>
      <w:r w:rsidRPr="007E5666">
        <w:rPr>
          <w:rFonts w:eastAsia="Arial Unicode MS" w:cs="Arial"/>
          <w:bCs w:val="0"/>
          <w:sz w:val="20"/>
        </w:rPr>
        <w:t xml:space="preserve">periodická </w:t>
      </w:r>
      <w:r w:rsidRPr="00695694">
        <w:rPr>
          <w:rFonts w:eastAsia="Arial Unicode MS" w:cs="Arial"/>
          <w:sz w:val="20"/>
        </w:rPr>
        <w:t>sčítání lidu, domů a bytů</w:t>
      </w:r>
      <w:r w:rsidRPr="007E5666">
        <w:rPr>
          <w:rFonts w:eastAsia="Arial Unicode MS" w:cs="Arial"/>
          <w:sz w:val="20"/>
        </w:rPr>
        <w:t xml:space="preserve"> konaná cca jednou za deset let</w:t>
      </w:r>
      <w:r w:rsidRPr="007E5666">
        <w:rPr>
          <w:rFonts w:eastAsia="Arial Unicode MS" w:cs="Arial"/>
          <w:bCs w:val="0"/>
          <w:sz w:val="20"/>
        </w:rPr>
        <w:t xml:space="preserve">. Na data zjištěná sčítáním pak navazují </w:t>
      </w:r>
      <w:proofErr w:type="spellStart"/>
      <w:r w:rsidRPr="007E5666">
        <w:rPr>
          <w:rFonts w:eastAsia="Arial Unicode MS" w:cs="Arial"/>
          <w:bCs w:val="0"/>
          <w:sz w:val="20"/>
        </w:rPr>
        <w:t>intercenzální</w:t>
      </w:r>
      <w:proofErr w:type="spellEnd"/>
      <w:r w:rsidRPr="007E5666">
        <w:rPr>
          <w:rFonts w:eastAsia="Arial Unicode MS" w:cs="Arial"/>
          <w:bCs w:val="0"/>
          <w:sz w:val="20"/>
        </w:rPr>
        <w:t xml:space="preserve"> </w:t>
      </w:r>
      <w:r w:rsidRPr="00695694">
        <w:rPr>
          <w:rFonts w:eastAsia="Arial Unicode MS" w:cs="Arial"/>
          <w:sz w:val="20"/>
        </w:rPr>
        <w:t>statistické bilance počtu obyvatel</w:t>
      </w:r>
      <w:r w:rsidRPr="007E5666">
        <w:rPr>
          <w:rFonts w:eastAsia="Arial Unicode MS" w:cs="Arial"/>
          <w:sz w:val="20"/>
        </w:rPr>
        <w:t xml:space="preserve"> a každoročně zpracovávané </w:t>
      </w:r>
      <w:r w:rsidRPr="00695694">
        <w:rPr>
          <w:rFonts w:eastAsia="Arial Unicode MS" w:cs="Arial"/>
          <w:sz w:val="20"/>
        </w:rPr>
        <w:t>statistiky sňatků, rozvodů, narozených,</w:t>
      </w:r>
      <w:r w:rsidR="00757592">
        <w:rPr>
          <w:rFonts w:eastAsia="Arial Unicode MS" w:cs="Arial"/>
          <w:bCs w:val="0"/>
          <w:sz w:val="20"/>
        </w:rPr>
        <w:t xml:space="preserve"> zemřelých, potratů a </w:t>
      </w:r>
      <w:r w:rsidRPr="00695694">
        <w:rPr>
          <w:rFonts w:eastAsia="Arial Unicode MS" w:cs="Arial"/>
          <w:bCs w:val="0"/>
          <w:sz w:val="20"/>
        </w:rPr>
        <w:t>stěhování</w:t>
      </w:r>
      <w:r w:rsidRPr="007E5666">
        <w:rPr>
          <w:rFonts w:eastAsia="Arial Unicode MS" w:cs="Arial"/>
          <w:bCs w:val="0"/>
          <w:sz w:val="20"/>
        </w:rPr>
        <w:t>. Ty aktuálně vycházejí ze zpracování statistických hlášení o sňatcích, narozeních a úmrtích, poskytovaných matričními úřady, a ze zpracování dat přebíraných z jiných informačních systémů. Zdrojem dat o rozvodech</w:t>
      </w:r>
      <w:r>
        <w:rPr>
          <w:rFonts w:eastAsia="Arial Unicode MS" w:cs="Arial"/>
          <w:bCs w:val="0"/>
          <w:sz w:val="20"/>
        </w:rPr>
        <w:t xml:space="preserve"> je </w:t>
      </w:r>
      <w:r w:rsidRPr="00617E4C">
        <w:rPr>
          <w:rFonts w:eastAsia="Arial Unicode MS" w:cs="Arial"/>
          <w:bCs w:val="0"/>
          <w:sz w:val="20"/>
        </w:rPr>
        <w:t>od roku 2007 Informační systém Ministerstva spravedlnosti ČR (před rokem 2007 byla statistika založena na zpracování hlášení o rozvodu). Údaje o potratech a od roku 2013 také o</w:t>
      </w:r>
      <w:r w:rsidR="007E5666">
        <w:rPr>
          <w:rFonts w:eastAsia="Arial Unicode MS" w:cs="Arial"/>
          <w:bCs w:val="0"/>
          <w:sz w:val="20"/>
        </w:rPr>
        <w:t> </w:t>
      </w:r>
      <w:r w:rsidRPr="00617E4C">
        <w:rPr>
          <w:rFonts w:eastAsia="Arial Unicode MS" w:cs="Arial"/>
          <w:bCs w:val="0"/>
          <w:sz w:val="20"/>
        </w:rPr>
        <w:t>příčinách smrti poskytuje ČSÚ Ústav zdravotnických informací a statistiky ČR (</w:t>
      </w:r>
      <w:r w:rsidR="00252098">
        <w:rPr>
          <w:rFonts w:eastAsia="Arial Unicode MS" w:cs="Arial"/>
          <w:bCs w:val="0"/>
          <w:sz w:val="20"/>
        </w:rPr>
        <w:t xml:space="preserve">dříve </w:t>
      </w:r>
      <w:r w:rsidR="00D7655D">
        <w:rPr>
          <w:rFonts w:eastAsia="Arial Unicode MS" w:cs="Arial"/>
          <w:bCs w:val="0"/>
          <w:sz w:val="20"/>
        </w:rPr>
        <w:t xml:space="preserve">byly </w:t>
      </w:r>
      <w:r w:rsidR="00252098">
        <w:rPr>
          <w:rFonts w:eastAsia="Arial Unicode MS" w:cs="Arial"/>
          <w:bCs w:val="0"/>
          <w:sz w:val="20"/>
        </w:rPr>
        <w:t>příčiny smrti součástí hlášení o úmrtí</w:t>
      </w:r>
      <w:r w:rsidR="005F1D20">
        <w:rPr>
          <w:rFonts w:eastAsia="Arial Unicode MS" w:cs="Arial"/>
          <w:bCs w:val="0"/>
          <w:sz w:val="20"/>
        </w:rPr>
        <w:t xml:space="preserve"> vyplňovaných matričními úřady</w:t>
      </w:r>
      <w:r w:rsidRPr="00617E4C">
        <w:rPr>
          <w:rFonts w:eastAsia="Arial Unicode MS" w:cs="Arial"/>
          <w:bCs w:val="0"/>
          <w:sz w:val="20"/>
        </w:rPr>
        <w:t xml:space="preserve">). Data o stěhování </w:t>
      </w:r>
      <w:r w:rsidRPr="00617E4C">
        <w:rPr>
          <w:rFonts w:eastAsia="Arial Unicode MS" w:cs="Arial"/>
          <w:bCs w:val="0"/>
          <w:color w:val="000000"/>
          <w:sz w:val="20"/>
        </w:rPr>
        <w:t>přebírá ČSÚ od roku 2001 (stěhování cizinců), resp. 2005</w:t>
      </w:r>
      <w:r w:rsidR="003113C4">
        <w:rPr>
          <w:rFonts w:eastAsia="Arial Unicode MS" w:cs="Arial"/>
          <w:bCs w:val="0"/>
          <w:color w:val="000000"/>
          <w:sz w:val="20"/>
        </w:rPr>
        <w:t xml:space="preserve"> (veškeré stěhování)</w:t>
      </w:r>
      <w:r w:rsidRPr="00617E4C">
        <w:rPr>
          <w:rFonts w:eastAsia="Arial Unicode MS" w:cs="Arial"/>
          <w:bCs w:val="0"/>
          <w:color w:val="000000"/>
          <w:sz w:val="20"/>
        </w:rPr>
        <w:t>, z informačních systémů Ředitelství služby cizinecké policie a Ministerstva vnitra ČR (před rokem 2005 byla statistika založena na zpracování hlášení o stěhování).</w:t>
      </w:r>
      <w:r w:rsidRPr="00617E4C">
        <w:rPr>
          <w:rFonts w:eastAsia="Arial Unicode MS" w:cs="Arial"/>
          <w:bCs w:val="0"/>
          <w:sz w:val="20"/>
        </w:rPr>
        <w:t xml:space="preserve"> </w:t>
      </w:r>
    </w:p>
    <w:p w14:paraId="5A0C8AA7" w14:textId="42865CE0" w:rsidR="0023097E" w:rsidRDefault="0023097E" w:rsidP="00E84315">
      <w:pPr>
        <w:pStyle w:val="Zkladntextodsazen"/>
        <w:spacing w:after="120" w:line="288" w:lineRule="auto"/>
        <w:ind w:firstLine="0"/>
        <w:jc w:val="left"/>
        <w:rPr>
          <w:rFonts w:eastAsia="Arial Unicode MS"/>
          <w:sz w:val="20"/>
          <w:szCs w:val="20"/>
        </w:rPr>
      </w:pPr>
      <w:r w:rsidRPr="006C5C91">
        <w:rPr>
          <w:rFonts w:eastAsia="Arial Unicode MS"/>
          <w:sz w:val="20"/>
          <w:szCs w:val="20"/>
        </w:rPr>
        <w:t>Základním</w:t>
      </w:r>
      <w:r>
        <w:rPr>
          <w:rFonts w:eastAsia="Arial Unicode MS"/>
          <w:sz w:val="20"/>
          <w:szCs w:val="20"/>
        </w:rPr>
        <w:t xml:space="preserve"> pramenem dat Demografické příručky byla pramenná díla demografické statistiky</w:t>
      </w:r>
      <w:r w:rsidR="00222B6A">
        <w:rPr>
          <w:rFonts w:eastAsia="Arial Unicode MS"/>
          <w:sz w:val="20"/>
          <w:szCs w:val="20"/>
        </w:rPr>
        <w:t>,</w:t>
      </w:r>
      <w:r>
        <w:rPr>
          <w:rFonts w:eastAsia="Arial Unicode MS"/>
          <w:sz w:val="20"/>
          <w:szCs w:val="20"/>
        </w:rPr>
        <w:t xml:space="preserve"> </w:t>
      </w:r>
      <w:r w:rsidR="00222B6A">
        <w:rPr>
          <w:rFonts w:eastAsia="Arial Unicode MS"/>
          <w:sz w:val="20"/>
          <w:szCs w:val="20"/>
        </w:rPr>
        <w:t xml:space="preserve">výsledky </w:t>
      </w:r>
      <w:r>
        <w:rPr>
          <w:rFonts w:eastAsia="Arial Unicode MS"/>
          <w:sz w:val="20"/>
          <w:szCs w:val="20"/>
        </w:rPr>
        <w:t xml:space="preserve">jednotlivých sčítání a starší vydání Demografické příručky. </w:t>
      </w:r>
    </w:p>
    <w:p w14:paraId="69ABAD26" w14:textId="7B878719" w:rsidR="0023097E" w:rsidRPr="00695694" w:rsidRDefault="0023097E" w:rsidP="00E84315">
      <w:pPr>
        <w:spacing w:after="120" w:line="288" w:lineRule="auto"/>
        <w:rPr>
          <w:rFonts w:cs="Arial"/>
          <w:sz w:val="20"/>
          <w:szCs w:val="20"/>
        </w:rPr>
      </w:pPr>
      <w:r w:rsidRPr="004A17A6">
        <w:rPr>
          <w:rFonts w:cs="Arial"/>
          <w:b/>
          <w:sz w:val="20"/>
          <w:szCs w:val="20"/>
        </w:rPr>
        <w:t xml:space="preserve">Údaje o demografických událostech vždy respektují legislativu platnou v daném roce události, </w:t>
      </w:r>
      <w:r w:rsidRPr="004A17A6">
        <w:rPr>
          <w:rFonts w:cs="Arial"/>
          <w:sz w:val="20"/>
          <w:szCs w:val="20"/>
        </w:rPr>
        <w:t>přičemž definice jednotlivých událostí se v čase měnily</w:t>
      </w:r>
      <w:r>
        <w:rPr>
          <w:rFonts w:cs="Arial"/>
          <w:sz w:val="20"/>
          <w:szCs w:val="20"/>
        </w:rPr>
        <w:t xml:space="preserve"> (viz</w:t>
      </w:r>
      <w:r w:rsidR="00252098">
        <w:rPr>
          <w:rFonts w:cs="Arial"/>
          <w:sz w:val="20"/>
          <w:szCs w:val="20"/>
        </w:rPr>
        <w:t xml:space="preserve"> níže</w:t>
      </w:r>
      <w:r>
        <w:rPr>
          <w:rFonts w:cs="Arial"/>
          <w:sz w:val="20"/>
          <w:szCs w:val="20"/>
        </w:rPr>
        <w:t>).</w:t>
      </w:r>
      <w:r w:rsidR="00592579">
        <w:rPr>
          <w:rFonts w:cs="Arial"/>
          <w:sz w:val="20"/>
          <w:szCs w:val="20"/>
        </w:rPr>
        <w:t xml:space="preserve"> </w:t>
      </w:r>
      <w:r w:rsidRPr="00617E4C">
        <w:rPr>
          <w:rFonts w:eastAsia="Arial Unicode MS" w:cs="Arial"/>
          <w:bCs w:val="0"/>
          <w:sz w:val="20"/>
        </w:rPr>
        <w:t>Pokud není uvedeno jinak, územní členění odpovídá stavu platnému k 1. 1. daného roku.</w:t>
      </w:r>
      <w:r w:rsidRPr="008632DE">
        <w:rPr>
          <w:rFonts w:cs="Arial"/>
          <w:sz w:val="20"/>
        </w:rPr>
        <w:t xml:space="preserve"> </w:t>
      </w:r>
    </w:p>
    <w:p w14:paraId="18A3A409" w14:textId="58AAA610" w:rsidR="00592579" w:rsidRPr="00617E4C" w:rsidRDefault="00592579" w:rsidP="00E84315">
      <w:pPr>
        <w:spacing w:after="120" w:line="288" w:lineRule="auto"/>
        <w:rPr>
          <w:rFonts w:eastAsia="Arial Unicode MS" w:cs="Arial"/>
          <w:bCs w:val="0"/>
          <w:sz w:val="20"/>
        </w:rPr>
      </w:pPr>
      <w:r w:rsidRPr="00617E4C">
        <w:rPr>
          <w:rFonts w:eastAsia="Arial Unicode MS" w:cs="Arial"/>
          <w:bCs w:val="0"/>
          <w:sz w:val="20"/>
        </w:rPr>
        <w:t xml:space="preserve">Údaje zohledňují i události (sňatky, narození a úmrtí) českých občanů </w:t>
      </w:r>
      <w:r>
        <w:rPr>
          <w:rFonts w:eastAsia="Arial Unicode MS" w:cs="Arial"/>
          <w:bCs w:val="0"/>
          <w:sz w:val="20"/>
        </w:rPr>
        <w:t xml:space="preserve">(u sňatku je českým občanem alespoň jeden ze snoubenců, u narozených je českým občanem alespoň jeden z rodičů dítěte) </w:t>
      </w:r>
      <w:r w:rsidR="00757592">
        <w:rPr>
          <w:rFonts w:eastAsia="Arial Unicode MS" w:cs="Arial"/>
          <w:bCs w:val="0"/>
          <w:sz w:val="20"/>
        </w:rPr>
        <w:t>s trvalým pobytem na </w:t>
      </w:r>
      <w:r w:rsidRPr="00617E4C">
        <w:rPr>
          <w:rFonts w:eastAsia="Arial Unicode MS" w:cs="Arial"/>
          <w:bCs w:val="0"/>
          <w:sz w:val="20"/>
        </w:rPr>
        <w:t>území Č</w:t>
      </w:r>
      <w:r>
        <w:rPr>
          <w:rFonts w:eastAsia="Arial Unicode MS" w:cs="Arial"/>
          <w:bCs w:val="0"/>
          <w:sz w:val="20"/>
        </w:rPr>
        <w:t>eské republiky</w:t>
      </w:r>
      <w:r w:rsidRPr="00617E4C">
        <w:rPr>
          <w:rFonts w:eastAsia="Arial Unicode MS" w:cs="Arial"/>
          <w:bCs w:val="0"/>
          <w:sz w:val="20"/>
        </w:rPr>
        <w:t xml:space="preserve">, které nastaly v cizině a byly </w:t>
      </w:r>
      <w:r w:rsidR="009D29FF">
        <w:rPr>
          <w:rFonts w:eastAsia="Arial Unicode MS" w:cs="Arial"/>
          <w:bCs w:val="0"/>
          <w:sz w:val="20"/>
        </w:rPr>
        <w:t>zaregistrovány v České republice</w:t>
      </w:r>
      <w:r w:rsidRPr="00617E4C">
        <w:rPr>
          <w:rFonts w:eastAsia="Arial Unicode MS" w:cs="Arial"/>
          <w:bCs w:val="0"/>
          <w:sz w:val="20"/>
        </w:rPr>
        <w:t xml:space="preserve"> </w:t>
      </w:r>
      <w:r>
        <w:rPr>
          <w:rFonts w:eastAsia="Arial Unicode MS" w:cs="Arial"/>
          <w:bCs w:val="0"/>
          <w:sz w:val="20"/>
        </w:rPr>
        <w:t>v termínu, který umožňuje jejich zařazení do statistiky</w:t>
      </w:r>
      <w:r w:rsidRPr="00617E4C">
        <w:rPr>
          <w:rFonts w:eastAsia="Arial Unicode MS" w:cs="Arial"/>
          <w:bCs w:val="0"/>
          <w:sz w:val="20"/>
        </w:rPr>
        <w:t>.</w:t>
      </w:r>
    </w:p>
    <w:p w14:paraId="58D8A76A" w14:textId="79578AA0" w:rsidR="00592579" w:rsidRDefault="00592579" w:rsidP="00E84315">
      <w:pPr>
        <w:spacing w:after="120" w:line="288" w:lineRule="auto"/>
        <w:rPr>
          <w:rFonts w:eastAsia="Arial Unicode MS" w:cs="Arial"/>
          <w:bCs w:val="0"/>
          <w:sz w:val="20"/>
        </w:rPr>
      </w:pPr>
      <w:r w:rsidRPr="00417751">
        <w:rPr>
          <w:rFonts w:eastAsia="Arial Unicode MS" w:cs="Arial"/>
          <w:b/>
          <w:bCs w:val="0"/>
          <w:sz w:val="20"/>
        </w:rPr>
        <w:t>Věk</w:t>
      </w:r>
      <w:r w:rsidRPr="00617E4C">
        <w:rPr>
          <w:rFonts w:eastAsia="Arial Unicode MS" w:cs="Arial"/>
          <w:bCs w:val="0"/>
          <w:sz w:val="20"/>
        </w:rPr>
        <w:t xml:space="preserve">em </w:t>
      </w:r>
      <w:r>
        <w:rPr>
          <w:rFonts w:eastAsia="Arial Unicode MS" w:cs="Arial"/>
          <w:bCs w:val="0"/>
          <w:sz w:val="20"/>
        </w:rPr>
        <w:t xml:space="preserve">osoby </w:t>
      </w:r>
      <w:r w:rsidRPr="00617E4C">
        <w:rPr>
          <w:rFonts w:eastAsia="Arial Unicode MS" w:cs="Arial"/>
          <w:bCs w:val="0"/>
          <w:sz w:val="20"/>
        </w:rPr>
        <w:t xml:space="preserve">se rozumí </w:t>
      </w:r>
      <w:r>
        <w:rPr>
          <w:rFonts w:eastAsia="Arial Unicode MS" w:cs="Arial"/>
          <w:bCs w:val="0"/>
          <w:sz w:val="20"/>
        </w:rPr>
        <w:t xml:space="preserve">tzv. </w:t>
      </w:r>
      <w:r w:rsidRPr="00617E4C">
        <w:rPr>
          <w:rFonts w:eastAsia="Arial Unicode MS" w:cs="Arial"/>
          <w:bCs w:val="0"/>
          <w:sz w:val="20"/>
        </w:rPr>
        <w:t>dokončený věk</w:t>
      </w:r>
      <w:r>
        <w:rPr>
          <w:rFonts w:eastAsia="Arial Unicode MS" w:cs="Arial"/>
          <w:bCs w:val="0"/>
          <w:sz w:val="20"/>
        </w:rPr>
        <w:t xml:space="preserve"> </w:t>
      </w:r>
      <w:r w:rsidR="00D7655D">
        <w:rPr>
          <w:rFonts w:eastAsia="Arial Unicode MS" w:cs="Arial"/>
          <w:bCs w:val="0"/>
          <w:sz w:val="20"/>
        </w:rPr>
        <w:t>(</w:t>
      </w:r>
      <w:r>
        <w:rPr>
          <w:rFonts w:eastAsia="Arial Unicode MS" w:cs="Arial"/>
          <w:bCs w:val="0"/>
          <w:sz w:val="20"/>
        </w:rPr>
        <w:t>v letech)</w:t>
      </w:r>
      <w:r w:rsidRPr="00617E4C">
        <w:rPr>
          <w:rFonts w:eastAsia="Arial Unicode MS" w:cs="Arial"/>
          <w:bCs w:val="0"/>
          <w:sz w:val="20"/>
        </w:rPr>
        <w:t>, tedy věk při posledních narozeninách.</w:t>
      </w:r>
      <w:r w:rsidR="00EA068E">
        <w:rPr>
          <w:rFonts w:eastAsia="Arial Unicode MS" w:cs="Arial"/>
          <w:bCs w:val="0"/>
          <w:sz w:val="20"/>
        </w:rPr>
        <w:t xml:space="preserve"> V případě stáří zemřelých kojenců jde o věk v dokončených dnech.</w:t>
      </w:r>
    </w:p>
    <w:p w14:paraId="0A9B658D" w14:textId="34EA2ECB" w:rsidR="00592579" w:rsidRDefault="00592579" w:rsidP="00E84315">
      <w:pPr>
        <w:spacing w:after="120" w:line="288" w:lineRule="auto"/>
        <w:rPr>
          <w:rFonts w:eastAsia="Arial Unicode MS" w:cs="Arial"/>
          <w:bCs w:val="0"/>
          <w:sz w:val="20"/>
        </w:rPr>
      </w:pPr>
      <w:r>
        <w:rPr>
          <w:rFonts w:eastAsia="Arial Unicode MS" w:cs="Arial"/>
          <w:bCs w:val="0"/>
          <w:sz w:val="20"/>
        </w:rPr>
        <w:t>V případě relativních ukazatelů v přepočtu na (obvykle tisíc) obyvatel j</w:t>
      </w:r>
      <w:r w:rsidR="00236FEC">
        <w:rPr>
          <w:rFonts w:eastAsia="Arial Unicode MS" w:cs="Arial"/>
          <w:bCs w:val="0"/>
          <w:sz w:val="20"/>
        </w:rPr>
        <w:t xml:space="preserve">sou počty událostí </w:t>
      </w:r>
      <w:r>
        <w:rPr>
          <w:rFonts w:eastAsia="Arial Unicode MS" w:cs="Arial"/>
          <w:bCs w:val="0"/>
          <w:sz w:val="20"/>
        </w:rPr>
        <w:t>vztah</w:t>
      </w:r>
      <w:r w:rsidR="00236FEC">
        <w:rPr>
          <w:rFonts w:eastAsia="Arial Unicode MS" w:cs="Arial"/>
          <w:bCs w:val="0"/>
          <w:sz w:val="20"/>
        </w:rPr>
        <w:t>ovány</w:t>
      </w:r>
      <w:r w:rsidR="00757592">
        <w:rPr>
          <w:rFonts w:eastAsia="Arial Unicode MS" w:cs="Arial"/>
          <w:bCs w:val="0"/>
          <w:sz w:val="20"/>
        </w:rPr>
        <w:t xml:space="preserve"> ke </w:t>
      </w:r>
      <w:r>
        <w:rPr>
          <w:rFonts w:eastAsia="Arial Unicode MS" w:cs="Arial"/>
          <w:bCs w:val="0"/>
          <w:sz w:val="20"/>
        </w:rPr>
        <w:t>střednímu stavu obyvatel (k 1. 7.).</w:t>
      </w:r>
    </w:p>
    <w:p w14:paraId="6F3DD9A8" w14:textId="4E5A582F" w:rsidR="0047105C" w:rsidRDefault="0047105C" w:rsidP="00E84315">
      <w:pPr>
        <w:tabs>
          <w:tab w:val="left" w:pos="2552"/>
          <w:tab w:val="left" w:pos="3686"/>
        </w:tabs>
        <w:spacing w:after="240" w:line="288" w:lineRule="auto"/>
        <w:rPr>
          <w:rFonts w:eastAsia="Arial Unicode MS" w:cs="Arial"/>
          <w:bCs w:val="0"/>
          <w:sz w:val="20"/>
        </w:rPr>
      </w:pPr>
      <w:r>
        <w:rPr>
          <w:rFonts w:eastAsia="Arial Unicode MS" w:cs="Arial"/>
          <w:bCs w:val="0"/>
          <w:sz w:val="20"/>
        </w:rPr>
        <w:t>Značky použité v tabulkách: pomlčka (-)</w:t>
      </w:r>
      <w:r>
        <w:rPr>
          <w:rFonts w:eastAsia="Arial Unicode MS" w:cs="Arial"/>
          <w:bCs w:val="0"/>
          <w:sz w:val="20"/>
        </w:rPr>
        <w:tab/>
        <w:t>na místě čísla značí, že jev se nevyskytoval</w:t>
      </w:r>
      <w:r>
        <w:rPr>
          <w:rFonts w:eastAsia="Arial Unicode MS" w:cs="Arial"/>
          <w:bCs w:val="0"/>
          <w:sz w:val="20"/>
        </w:rPr>
        <w:br/>
      </w:r>
      <w:r>
        <w:rPr>
          <w:rFonts w:eastAsia="Arial Unicode MS" w:cs="Arial"/>
          <w:bCs w:val="0"/>
          <w:sz w:val="20"/>
        </w:rPr>
        <w:tab/>
      </w:r>
      <w:proofErr w:type="gramStart"/>
      <w:r>
        <w:rPr>
          <w:rFonts w:eastAsia="Arial Unicode MS" w:cs="Arial"/>
          <w:bCs w:val="0"/>
          <w:sz w:val="20"/>
        </w:rPr>
        <w:t>tečka (.)</w:t>
      </w:r>
      <w:r>
        <w:rPr>
          <w:rFonts w:eastAsia="Arial Unicode MS" w:cs="Arial"/>
          <w:bCs w:val="0"/>
          <w:sz w:val="20"/>
        </w:rPr>
        <w:tab/>
        <w:t>na</w:t>
      </w:r>
      <w:proofErr w:type="gramEnd"/>
      <w:r>
        <w:rPr>
          <w:rFonts w:eastAsia="Arial Unicode MS" w:cs="Arial"/>
          <w:bCs w:val="0"/>
          <w:sz w:val="20"/>
        </w:rPr>
        <w:t xml:space="preserve"> místě čísla značí, že údaj není k dispozici nebo je nespolehlivý</w:t>
      </w:r>
      <w:r>
        <w:rPr>
          <w:rFonts w:eastAsia="Arial Unicode MS" w:cs="Arial"/>
          <w:bCs w:val="0"/>
          <w:sz w:val="20"/>
        </w:rPr>
        <w:br/>
      </w:r>
      <w:r>
        <w:rPr>
          <w:rFonts w:eastAsia="Arial Unicode MS" w:cs="Arial"/>
          <w:bCs w:val="0"/>
          <w:sz w:val="20"/>
        </w:rPr>
        <w:tab/>
        <w:t>křížek (x)</w:t>
      </w:r>
      <w:r>
        <w:rPr>
          <w:rFonts w:eastAsia="Arial Unicode MS" w:cs="Arial"/>
          <w:bCs w:val="0"/>
          <w:sz w:val="20"/>
        </w:rPr>
        <w:tab/>
        <w:t>na místě čísla značí, že zápis čísla není možný z logických důvodů</w:t>
      </w:r>
    </w:p>
    <w:p w14:paraId="2A451CF1" w14:textId="2E007B00" w:rsidR="00592579" w:rsidRPr="00695694" w:rsidRDefault="00B0093E" w:rsidP="00E84315">
      <w:pPr>
        <w:spacing w:after="120" w:line="288" w:lineRule="auto"/>
        <w:rPr>
          <w:rFonts w:eastAsia="Arial Unicode MS" w:cs="Arial"/>
          <w:b/>
          <w:bCs w:val="0"/>
          <w:sz w:val="24"/>
        </w:rPr>
      </w:pPr>
      <w:r w:rsidRPr="00695694">
        <w:rPr>
          <w:rFonts w:eastAsia="Arial Unicode MS" w:cs="Arial"/>
          <w:b/>
          <w:bCs w:val="0"/>
          <w:sz w:val="24"/>
        </w:rPr>
        <w:t>M</w:t>
      </w:r>
      <w:r w:rsidR="00592579" w:rsidRPr="00695694">
        <w:rPr>
          <w:rFonts w:eastAsia="Arial Unicode MS" w:cs="Arial"/>
          <w:b/>
          <w:bCs w:val="0"/>
          <w:sz w:val="24"/>
        </w:rPr>
        <w:t>etodické poznámky k pojetí obyvatelstva</w:t>
      </w:r>
    </w:p>
    <w:p w14:paraId="5897FEA6" w14:textId="74A5AB0A" w:rsidR="00236FEC" w:rsidRPr="00695694" w:rsidRDefault="00236FEC" w:rsidP="00E84315">
      <w:pPr>
        <w:spacing w:after="120" w:line="288" w:lineRule="auto"/>
        <w:rPr>
          <w:rFonts w:eastAsia="Arial Unicode MS" w:cs="Arial"/>
          <w:bCs w:val="0"/>
          <w:sz w:val="20"/>
        </w:rPr>
      </w:pPr>
      <w:r w:rsidRPr="00695694">
        <w:rPr>
          <w:rFonts w:eastAsia="Arial Unicode MS" w:cs="Arial"/>
          <w:bCs w:val="0"/>
          <w:sz w:val="20"/>
        </w:rPr>
        <w:t xml:space="preserve">Ve starších předválečných obdobích bylo předmětem demografické statistiky </w:t>
      </w:r>
      <w:r w:rsidRPr="00695694">
        <w:rPr>
          <w:rFonts w:eastAsia="Arial Unicode MS" w:cs="Arial"/>
          <w:b/>
          <w:sz w:val="20"/>
        </w:rPr>
        <w:t>přítomné obyvatelstvo</w:t>
      </w:r>
      <w:r w:rsidRPr="00695694">
        <w:rPr>
          <w:rFonts w:eastAsia="Arial Unicode MS" w:cs="Arial"/>
          <w:bCs w:val="0"/>
          <w:sz w:val="20"/>
        </w:rPr>
        <w:t xml:space="preserve">, definované prostou přítomností na daném území. Z této koncepce vycházejí veškeré časové řady statistiky obyvatelstva do roku 1950 (aplikované naposledy při sčítání lidu v roce 1950). Novější časové řady pak vychází z koncepce </w:t>
      </w:r>
      <w:r w:rsidRPr="00695694">
        <w:rPr>
          <w:rFonts w:eastAsia="Arial Unicode MS" w:cs="Arial"/>
          <w:b/>
          <w:bCs w:val="0"/>
          <w:sz w:val="20"/>
        </w:rPr>
        <w:t>bydlící</w:t>
      </w:r>
      <w:r w:rsidRPr="00695694">
        <w:rPr>
          <w:rFonts w:eastAsia="Arial Unicode MS" w:cs="Arial"/>
          <w:bCs w:val="0"/>
          <w:sz w:val="20"/>
        </w:rPr>
        <w:t xml:space="preserve">ho </w:t>
      </w:r>
      <w:r w:rsidRPr="00695694">
        <w:rPr>
          <w:rFonts w:eastAsia="Arial Unicode MS" w:cs="Arial"/>
          <w:b/>
          <w:bCs w:val="0"/>
          <w:sz w:val="20"/>
        </w:rPr>
        <w:t>obyvatelstva</w:t>
      </w:r>
      <w:r w:rsidRPr="00695694">
        <w:rPr>
          <w:rFonts w:eastAsia="Arial Unicode MS" w:cs="Arial"/>
          <w:bCs w:val="0"/>
          <w:sz w:val="20"/>
        </w:rPr>
        <w:t xml:space="preserve">, tj. </w:t>
      </w:r>
      <w:r w:rsidR="00DF1435">
        <w:rPr>
          <w:rFonts w:eastAsia="Arial Unicode MS" w:cs="Arial"/>
          <w:bCs w:val="0"/>
          <w:sz w:val="20"/>
        </w:rPr>
        <w:t>reflektují</w:t>
      </w:r>
      <w:r w:rsidRPr="00695694">
        <w:rPr>
          <w:rFonts w:eastAsia="Arial Unicode MS" w:cs="Arial"/>
          <w:bCs w:val="0"/>
          <w:sz w:val="20"/>
        </w:rPr>
        <w:t xml:space="preserve"> osoby přihlášené k pobytu na daném území a jejich události. Rozdíly v údajích mezi počty „přítomných“ a „bydlících“ obyvatel však v té době nebyly podstatné a data založená na koncepci přítomného obyvatelstva jsou srovnatelná s daty vycházejícími z k</w:t>
      </w:r>
      <w:r w:rsidR="00175CB4">
        <w:rPr>
          <w:rFonts w:eastAsia="Arial Unicode MS" w:cs="Arial"/>
          <w:bCs w:val="0"/>
          <w:sz w:val="20"/>
        </w:rPr>
        <w:t>oncepce obyvatelstva bydlícího.</w:t>
      </w:r>
    </w:p>
    <w:p w14:paraId="379F2A08" w14:textId="0D2D2CD6" w:rsidR="00617E4C" w:rsidRPr="00617E4C" w:rsidRDefault="00617E4C" w:rsidP="00E84315">
      <w:pPr>
        <w:spacing w:after="240" w:line="288" w:lineRule="auto"/>
        <w:rPr>
          <w:rFonts w:eastAsia="Arial Unicode MS" w:cs="Arial"/>
          <w:bCs w:val="0"/>
          <w:sz w:val="20"/>
        </w:rPr>
      </w:pPr>
      <w:r w:rsidRPr="00617E4C">
        <w:rPr>
          <w:rFonts w:eastAsia="Arial Unicode MS" w:cs="Arial"/>
          <w:bCs w:val="0"/>
          <w:sz w:val="20"/>
        </w:rPr>
        <w:t xml:space="preserve">V praxi české i dřívější československé demografické statistiky od roku 1950 nejsou za obyvatele považováni jen státní občané České republiky </w:t>
      </w:r>
      <w:r w:rsidR="00C2200D">
        <w:rPr>
          <w:rFonts w:eastAsia="Arial Unicode MS" w:cs="Arial"/>
          <w:bCs w:val="0"/>
          <w:sz w:val="20"/>
        </w:rPr>
        <w:t>(</w:t>
      </w:r>
      <w:r w:rsidRPr="00617E4C">
        <w:rPr>
          <w:rFonts w:eastAsia="Arial Unicode MS" w:cs="Arial"/>
          <w:bCs w:val="0"/>
          <w:sz w:val="20"/>
        </w:rPr>
        <w:t>nebo bývalého Československa</w:t>
      </w:r>
      <w:r w:rsidR="00C2200D">
        <w:rPr>
          <w:rFonts w:eastAsia="Arial Unicode MS" w:cs="Arial"/>
          <w:bCs w:val="0"/>
          <w:sz w:val="20"/>
        </w:rPr>
        <w:t>)</w:t>
      </w:r>
      <w:r w:rsidRPr="00617E4C">
        <w:rPr>
          <w:rFonts w:eastAsia="Arial Unicode MS" w:cs="Arial"/>
          <w:bCs w:val="0"/>
          <w:sz w:val="20"/>
        </w:rPr>
        <w:t>, ale všechny osoby, které k</w:t>
      </w:r>
      <w:r w:rsidR="00592579">
        <w:rPr>
          <w:rFonts w:eastAsia="Arial Unicode MS" w:cs="Arial"/>
          <w:bCs w:val="0"/>
          <w:sz w:val="20"/>
        </w:rPr>
        <w:t> </w:t>
      </w:r>
      <w:r w:rsidRPr="00617E4C">
        <w:rPr>
          <w:rFonts w:eastAsia="Arial Unicode MS" w:cs="Arial"/>
          <w:bCs w:val="0"/>
          <w:sz w:val="20"/>
        </w:rPr>
        <w:t>danému datu byly přihlášeny v daném území k pobytu, tedy i cizinci. Do roku 2000 se údaje týkaly pouze obyvatel s trvalým bydlištěm v České republice, od roku 2001 v návaznosti na Sčítání lidu, domů a bytů 2001 nově i</w:t>
      </w:r>
      <w:r w:rsidR="00AB6B7F">
        <w:rPr>
          <w:rFonts w:eastAsia="Arial Unicode MS" w:cs="Arial"/>
          <w:bCs w:val="0"/>
          <w:sz w:val="20"/>
        </w:rPr>
        <w:t xml:space="preserve"> cizinců s vízy k pobytu nad 90 </w:t>
      </w:r>
      <w:r w:rsidRPr="00617E4C">
        <w:rPr>
          <w:rFonts w:eastAsia="Arial Unicode MS" w:cs="Arial"/>
          <w:bCs w:val="0"/>
          <w:sz w:val="20"/>
        </w:rPr>
        <w:t>dnů a cizinců s azylem.</w:t>
      </w:r>
      <w:r w:rsidR="00D44A38">
        <w:rPr>
          <w:rFonts w:eastAsia="Arial Unicode MS" w:cs="Arial"/>
          <w:bCs w:val="0"/>
          <w:sz w:val="20"/>
        </w:rPr>
        <w:t xml:space="preserve"> </w:t>
      </w:r>
      <w:r w:rsidRPr="00617E4C">
        <w:rPr>
          <w:rFonts w:eastAsia="Arial Unicode MS" w:cs="Arial"/>
          <w:bCs w:val="0"/>
          <w:sz w:val="20"/>
        </w:rPr>
        <w:t>Od 1. 5</w:t>
      </w:r>
      <w:r w:rsidR="00757592">
        <w:rPr>
          <w:rFonts w:eastAsia="Arial Unicode MS" w:cs="Arial"/>
          <w:bCs w:val="0"/>
          <w:sz w:val="20"/>
        </w:rPr>
        <w:t>. 2004 (ve vazbě na vstup ČR do </w:t>
      </w:r>
      <w:r w:rsidRPr="00617E4C">
        <w:rPr>
          <w:rFonts w:eastAsia="Arial Unicode MS" w:cs="Arial"/>
          <w:bCs w:val="0"/>
          <w:sz w:val="20"/>
        </w:rPr>
        <w:t>Evropské unie)</w:t>
      </w:r>
      <w:r w:rsidRPr="00617E4C" w:rsidDel="003D6160">
        <w:rPr>
          <w:rFonts w:eastAsia="Arial Unicode MS" w:cs="Arial"/>
          <w:bCs w:val="0"/>
          <w:sz w:val="20"/>
        </w:rPr>
        <w:t xml:space="preserve"> </w:t>
      </w:r>
      <w:r w:rsidRPr="00617E4C">
        <w:rPr>
          <w:rFonts w:eastAsia="Arial Unicode MS" w:cs="Arial"/>
          <w:bCs w:val="0"/>
          <w:sz w:val="20"/>
        </w:rPr>
        <w:t>se veškeré údaje</w:t>
      </w:r>
      <w:r w:rsidR="00524AFD">
        <w:rPr>
          <w:rFonts w:eastAsia="Arial Unicode MS" w:cs="Arial"/>
          <w:bCs w:val="0"/>
          <w:sz w:val="20"/>
        </w:rPr>
        <w:t xml:space="preserve"> o obyvatelstvu</w:t>
      </w:r>
      <w:r w:rsidRPr="00617E4C">
        <w:rPr>
          <w:rFonts w:eastAsia="Arial Unicode MS" w:cs="Arial"/>
          <w:bCs w:val="0"/>
          <w:sz w:val="20"/>
        </w:rPr>
        <w:t xml:space="preserve"> týkají občanů </w:t>
      </w:r>
      <w:r w:rsidR="002015EF">
        <w:rPr>
          <w:rFonts w:eastAsia="Arial Unicode MS" w:cs="Arial"/>
          <w:bCs w:val="0"/>
          <w:sz w:val="20"/>
        </w:rPr>
        <w:t>České republiky a </w:t>
      </w:r>
      <w:r w:rsidRPr="00617E4C">
        <w:rPr>
          <w:rFonts w:eastAsia="Arial Unicode MS" w:cs="Arial"/>
          <w:bCs w:val="0"/>
          <w:sz w:val="20"/>
        </w:rPr>
        <w:t>cizinců s trvalým pobytem v České republice, občanů třetích zemí s přechodným poby</w:t>
      </w:r>
      <w:r w:rsidR="00757592">
        <w:rPr>
          <w:rFonts w:eastAsia="Arial Unicode MS" w:cs="Arial"/>
          <w:bCs w:val="0"/>
          <w:sz w:val="20"/>
        </w:rPr>
        <w:t>tem na území České republiky na </w:t>
      </w:r>
      <w:r w:rsidRPr="00617E4C">
        <w:rPr>
          <w:rFonts w:eastAsia="Arial Unicode MS" w:cs="Arial"/>
          <w:bCs w:val="0"/>
          <w:sz w:val="20"/>
        </w:rPr>
        <w:t>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r w:rsidR="00524AFD">
        <w:rPr>
          <w:rFonts w:eastAsia="Arial Unicode MS" w:cs="Arial"/>
          <w:bCs w:val="0"/>
          <w:sz w:val="20"/>
        </w:rPr>
        <w:t xml:space="preserve"> </w:t>
      </w:r>
      <w:r w:rsidR="00524AFD" w:rsidRPr="00524AFD">
        <w:rPr>
          <w:rFonts w:eastAsia="Arial Unicode MS" w:cs="Arial"/>
          <w:bCs w:val="0"/>
          <w:sz w:val="20"/>
        </w:rPr>
        <w:t xml:space="preserve">(dále </w:t>
      </w:r>
      <w:r w:rsidR="00524AFD">
        <w:rPr>
          <w:rFonts w:eastAsia="Arial Unicode MS" w:cs="Arial"/>
          <w:bCs w:val="0"/>
          <w:sz w:val="20"/>
        </w:rPr>
        <w:t>„</w:t>
      </w:r>
      <w:r w:rsidR="00E84315">
        <w:rPr>
          <w:rFonts w:eastAsia="Arial Unicode MS" w:cs="Arial"/>
          <w:bCs w:val="0"/>
          <w:sz w:val="20"/>
        </w:rPr>
        <w:t xml:space="preserve">s </w:t>
      </w:r>
      <w:r w:rsidR="00524AFD" w:rsidRPr="00524AFD">
        <w:rPr>
          <w:rFonts w:eastAsia="Arial Unicode MS" w:cs="Arial"/>
          <w:bCs w:val="0"/>
          <w:sz w:val="20"/>
        </w:rPr>
        <w:t>registrovan</w:t>
      </w:r>
      <w:r w:rsidR="00524AFD">
        <w:rPr>
          <w:rFonts w:eastAsia="Arial Unicode MS" w:cs="Arial"/>
          <w:bCs w:val="0"/>
          <w:sz w:val="20"/>
        </w:rPr>
        <w:t>ý</w:t>
      </w:r>
      <w:r w:rsidR="00E84315">
        <w:rPr>
          <w:rFonts w:eastAsia="Arial Unicode MS" w:cs="Arial"/>
          <w:bCs w:val="0"/>
          <w:sz w:val="20"/>
        </w:rPr>
        <w:t>m</w:t>
      </w:r>
      <w:r w:rsidR="00524AFD" w:rsidRPr="00524AFD">
        <w:rPr>
          <w:rFonts w:eastAsia="Arial Unicode MS" w:cs="Arial"/>
          <w:bCs w:val="0"/>
          <w:sz w:val="20"/>
        </w:rPr>
        <w:t xml:space="preserve"> pobyt</w:t>
      </w:r>
      <w:r w:rsidR="00E84315">
        <w:rPr>
          <w:rFonts w:eastAsia="Arial Unicode MS" w:cs="Arial"/>
          <w:bCs w:val="0"/>
          <w:sz w:val="20"/>
        </w:rPr>
        <w:t>em</w:t>
      </w:r>
      <w:r w:rsidR="00524AFD">
        <w:rPr>
          <w:rFonts w:eastAsia="Arial Unicode MS" w:cs="Arial"/>
          <w:bCs w:val="0"/>
          <w:sz w:val="20"/>
        </w:rPr>
        <w:t>“</w:t>
      </w:r>
      <w:r w:rsidR="00524AFD" w:rsidRPr="00524AFD">
        <w:rPr>
          <w:rFonts w:eastAsia="Arial Unicode MS" w:cs="Arial"/>
          <w:bCs w:val="0"/>
          <w:sz w:val="20"/>
        </w:rPr>
        <w:t>)</w:t>
      </w:r>
      <w:r w:rsidRPr="00617E4C">
        <w:rPr>
          <w:rFonts w:eastAsia="Arial Unicode MS" w:cs="Arial"/>
          <w:bCs w:val="0"/>
          <w:sz w:val="20"/>
        </w:rPr>
        <w:t xml:space="preserve">. </w:t>
      </w:r>
    </w:p>
    <w:p w14:paraId="4595AD61" w14:textId="0FFB2C92"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lastRenderedPageBreak/>
        <w:t>Metodické poznámky k</w:t>
      </w:r>
      <w:r>
        <w:rPr>
          <w:rFonts w:eastAsia="Arial Unicode MS" w:cs="Arial"/>
          <w:b/>
          <w:bCs w:val="0"/>
          <w:sz w:val="24"/>
        </w:rPr>
        <w:t>e sčítání</w:t>
      </w:r>
      <w:r w:rsidRPr="00417751">
        <w:rPr>
          <w:rFonts w:eastAsia="Arial Unicode MS" w:cs="Arial"/>
          <w:b/>
          <w:bCs w:val="0"/>
          <w:sz w:val="24"/>
        </w:rPr>
        <w:t xml:space="preserve"> obyvatelstva</w:t>
      </w:r>
    </w:p>
    <w:p w14:paraId="068A83A5" w14:textId="2BB84DE0" w:rsidR="00617E4C" w:rsidRDefault="00617E4C" w:rsidP="00E84315">
      <w:pPr>
        <w:spacing w:after="240" w:line="288" w:lineRule="auto"/>
        <w:rPr>
          <w:rFonts w:eastAsia="Arial Unicode MS" w:cs="Arial"/>
          <w:sz w:val="20"/>
        </w:rPr>
      </w:pPr>
      <w:r w:rsidRPr="00617E4C">
        <w:rPr>
          <w:rFonts w:eastAsia="Arial Unicode MS" w:cs="Arial"/>
          <w:bCs w:val="0"/>
          <w:sz w:val="20"/>
        </w:rPr>
        <w:t>Odlišné pojetí obyvatelstva představují údaje z</w:t>
      </w:r>
      <w:r w:rsidR="00884A9D">
        <w:rPr>
          <w:rFonts w:eastAsia="Arial Unicode MS" w:cs="Arial"/>
          <w:bCs w:val="0"/>
          <w:sz w:val="20"/>
        </w:rPr>
        <w:t>e</w:t>
      </w:r>
      <w:r w:rsidRPr="00617E4C">
        <w:rPr>
          <w:rFonts w:eastAsia="Arial Unicode MS" w:cs="Arial"/>
          <w:bCs w:val="0"/>
          <w:sz w:val="20"/>
        </w:rPr>
        <w:t xml:space="preserve"> sčítání lidu, domů a bytů </w:t>
      </w:r>
      <w:r w:rsidR="00884A9D">
        <w:rPr>
          <w:rFonts w:eastAsia="Arial Unicode MS" w:cs="Arial"/>
          <w:bCs w:val="0"/>
          <w:sz w:val="20"/>
        </w:rPr>
        <w:t>v letech</w:t>
      </w:r>
      <w:r w:rsidRPr="00617E4C">
        <w:rPr>
          <w:rFonts w:eastAsia="Arial Unicode MS" w:cs="Arial"/>
          <w:bCs w:val="0"/>
          <w:sz w:val="20"/>
        </w:rPr>
        <w:t xml:space="preserve"> 2011</w:t>
      </w:r>
      <w:r w:rsidR="00884A9D">
        <w:rPr>
          <w:rFonts w:eastAsia="Arial Unicode MS" w:cs="Arial"/>
          <w:bCs w:val="0"/>
          <w:sz w:val="20"/>
        </w:rPr>
        <w:t xml:space="preserve"> a 2021</w:t>
      </w:r>
      <w:r w:rsidRPr="00617E4C">
        <w:rPr>
          <w:rFonts w:eastAsia="Arial Unicode MS" w:cs="Arial"/>
          <w:bCs w:val="0"/>
          <w:sz w:val="20"/>
        </w:rPr>
        <w:t xml:space="preserve">, které </w:t>
      </w:r>
      <w:r w:rsidR="00757592">
        <w:rPr>
          <w:rFonts w:eastAsia="Arial Unicode MS" w:cs="Arial"/>
          <w:bCs w:val="0"/>
          <w:sz w:val="20"/>
        </w:rPr>
        <w:t>za </w:t>
      </w:r>
      <w:r w:rsidR="00884A9D">
        <w:rPr>
          <w:rFonts w:eastAsia="Arial Unicode MS" w:cs="Arial"/>
          <w:bCs w:val="0"/>
          <w:sz w:val="20"/>
        </w:rPr>
        <w:t>určující považují osobami deklarovaný</w:t>
      </w:r>
      <w:r w:rsidRPr="00617E4C">
        <w:rPr>
          <w:rFonts w:eastAsia="Arial Unicode MS" w:cs="Arial"/>
          <w:bCs w:val="0"/>
          <w:sz w:val="20"/>
        </w:rPr>
        <w:t xml:space="preserve"> obvykl</w:t>
      </w:r>
      <w:r w:rsidR="00884A9D">
        <w:rPr>
          <w:rFonts w:eastAsia="Arial Unicode MS" w:cs="Arial"/>
          <w:bCs w:val="0"/>
          <w:sz w:val="20"/>
        </w:rPr>
        <w:t>ý</w:t>
      </w:r>
      <w:r w:rsidRPr="00617E4C">
        <w:rPr>
          <w:rFonts w:eastAsia="Arial Unicode MS" w:cs="Arial"/>
          <w:bCs w:val="0"/>
          <w:sz w:val="20"/>
        </w:rPr>
        <w:t xml:space="preserve"> pobyt. Místo obvyklého pobytu osoby bylo definováno jako místo, kde osoba obvykle tráví dobu svého každodenního odpočinku (bez ohledu na dočasnou nepřítomnost) a kde je členem konkrétní domácnosti; mělo by proto lépe odpovídat skutečnému bydlišti osoby, na rozdíl od </w:t>
      </w:r>
      <w:r w:rsidR="00DA1267">
        <w:rPr>
          <w:rFonts w:eastAsia="Arial Unicode MS" w:cs="Arial"/>
          <w:bCs w:val="0"/>
          <w:sz w:val="20"/>
        </w:rPr>
        <w:t>registrovaného</w:t>
      </w:r>
      <w:r w:rsidR="00DA1267" w:rsidRPr="00617E4C">
        <w:rPr>
          <w:rFonts w:eastAsia="Arial Unicode MS" w:cs="Arial"/>
          <w:bCs w:val="0"/>
          <w:sz w:val="20"/>
        </w:rPr>
        <w:t xml:space="preserve"> </w:t>
      </w:r>
      <w:r w:rsidRPr="00617E4C">
        <w:rPr>
          <w:rFonts w:eastAsia="Arial Unicode MS" w:cs="Arial"/>
          <w:bCs w:val="0"/>
          <w:sz w:val="20"/>
        </w:rPr>
        <w:t xml:space="preserve">pobytu, který může mít v některých případech spíše evidenční charakter. Veškeré </w:t>
      </w:r>
      <w:r w:rsidRPr="00617E4C">
        <w:rPr>
          <w:rFonts w:eastAsia="Arial Unicode MS" w:cs="Arial"/>
          <w:b/>
          <w:bCs w:val="0"/>
          <w:sz w:val="20"/>
        </w:rPr>
        <w:t xml:space="preserve">údaje ze sčítání 2011 </w:t>
      </w:r>
      <w:r w:rsidR="00884A9D">
        <w:rPr>
          <w:rFonts w:eastAsia="Arial Unicode MS" w:cs="Arial"/>
          <w:b/>
          <w:bCs w:val="0"/>
          <w:sz w:val="20"/>
        </w:rPr>
        <w:t xml:space="preserve">a 2021 </w:t>
      </w:r>
      <w:r w:rsidRPr="00617E4C">
        <w:rPr>
          <w:rFonts w:eastAsia="Arial Unicode MS" w:cs="Arial"/>
          <w:bCs w:val="0"/>
          <w:sz w:val="20"/>
        </w:rPr>
        <w:t xml:space="preserve">v této publikaci jsou proto uváděny </w:t>
      </w:r>
      <w:r w:rsidRPr="00617E4C">
        <w:rPr>
          <w:rFonts w:eastAsia="Arial Unicode MS" w:cs="Arial"/>
          <w:b/>
          <w:bCs w:val="0"/>
          <w:sz w:val="20"/>
        </w:rPr>
        <w:t>za obvykle bydlící obyvatelstvo</w:t>
      </w:r>
      <w:r w:rsidRPr="00617E4C">
        <w:rPr>
          <w:rFonts w:eastAsia="Arial Unicode MS" w:cs="Arial"/>
          <w:bCs w:val="0"/>
          <w:sz w:val="20"/>
        </w:rPr>
        <w:t xml:space="preserve">. </w:t>
      </w:r>
      <w:r w:rsidR="00884A9D">
        <w:rPr>
          <w:rFonts w:eastAsia="Arial Unicode MS" w:cs="Arial"/>
          <w:bCs w:val="0"/>
          <w:sz w:val="20"/>
        </w:rPr>
        <w:t>(</w:t>
      </w:r>
      <w:r w:rsidRPr="00617E4C">
        <w:rPr>
          <w:rFonts w:eastAsia="Arial Unicode MS" w:cs="Arial"/>
          <w:bCs w:val="0"/>
          <w:sz w:val="20"/>
        </w:rPr>
        <w:t>Ostatní údaje o počtu obyvatel a údaje o demografických událostech</w:t>
      </w:r>
      <w:r w:rsidRPr="00617E4C">
        <w:rPr>
          <w:rFonts w:eastAsia="Arial Unicode MS" w:cs="Arial"/>
          <w:sz w:val="20"/>
        </w:rPr>
        <w:t xml:space="preserve"> jsou i po roce 2011 nadále vázány </w:t>
      </w:r>
      <w:r w:rsidR="002323CF">
        <w:rPr>
          <w:rFonts w:eastAsia="Arial Unicode MS" w:cs="Arial"/>
          <w:sz w:val="20"/>
        </w:rPr>
        <w:t xml:space="preserve">na </w:t>
      </w:r>
      <w:r w:rsidR="00DA1267">
        <w:rPr>
          <w:rFonts w:eastAsia="Arial Unicode MS" w:cs="Arial"/>
          <w:sz w:val="20"/>
        </w:rPr>
        <w:t>registrovaný</w:t>
      </w:r>
      <w:r w:rsidRPr="00617E4C">
        <w:rPr>
          <w:rFonts w:eastAsia="Arial Unicode MS" w:cs="Arial"/>
          <w:sz w:val="20"/>
        </w:rPr>
        <w:t xml:space="preserve"> pobyt </w:t>
      </w:r>
      <w:r w:rsidR="00524AFD" w:rsidRPr="00617E4C">
        <w:rPr>
          <w:rFonts w:eastAsia="Arial Unicode MS" w:cs="Arial"/>
          <w:sz w:val="20"/>
        </w:rPr>
        <w:t>o</w:t>
      </w:r>
      <w:r w:rsidR="00524AFD">
        <w:rPr>
          <w:rFonts w:eastAsia="Arial Unicode MS" w:cs="Arial"/>
          <w:sz w:val="20"/>
        </w:rPr>
        <w:t>byvatel</w:t>
      </w:r>
      <w:r w:rsidR="003C4B05">
        <w:rPr>
          <w:rFonts w:eastAsia="Arial Unicode MS" w:cs="Arial"/>
          <w:sz w:val="20"/>
        </w:rPr>
        <w:t>.</w:t>
      </w:r>
      <w:r w:rsidR="00485381">
        <w:rPr>
          <w:rFonts w:eastAsia="Arial Unicode MS" w:cs="Arial"/>
          <w:sz w:val="20"/>
        </w:rPr>
        <w:t>)</w:t>
      </w:r>
    </w:p>
    <w:p w14:paraId="4E1B5336" w14:textId="65C5F6E6" w:rsidR="00DF1435" w:rsidRPr="00417751" w:rsidRDefault="00DF1435" w:rsidP="004800AB">
      <w:pPr>
        <w:spacing w:after="16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údajům o přírůstcích a věkovém složení obyvatel</w:t>
      </w:r>
    </w:p>
    <w:p w14:paraId="4146C2AD" w14:textId="3856748B" w:rsidR="00617E4C" w:rsidRPr="00617E4C" w:rsidRDefault="00617E4C" w:rsidP="004800AB">
      <w:pPr>
        <w:spacing w:after="160" w:line="288" w:lineRule="auto"/>
        <w:rPr>
          <w:rFonts w:eastAsia="Arial Unicode MS" w:cs="Arial"/>
          <w:bCs w:val="0"/>
          <w:sz w:val="20"/>
        </w:rPr>
      </w:pPr>
      <w:r w:rsidRPr="00617E4C">
        <w:rPr>
          <w:rFonts w:eastAsia="Arial Unicode MS" w:cs="Arial"/>
          <w:b/>
          <w:sz w:val="20"/>
        </w:rPr>
        <w:t>Přirozený přírůstek obyvatel</w:t>
      </w:r>
      <w:r w:rsidRPr="00617E4C">
        <w:rPr>
          <w:rFonts w:eastAsia="Arial Unicode MS" w:cs="Arial"/>
          <w:bCs w:val="0"/>
          <w:sz w:val="20"/>
        </w:rPr>
        <w:t xml:space="preserve"> – rozdíl mezi počtem živě narozen</w:t>
      </w:r>
      <w:r w:rsidR="002015EF">
        <w:rPr>
          <w:rFonts w:eastAsia="Arial Unicode MS" w:cs="Arial"/>
          <w:bCs w:val="0"/>
          <w:sz w:val="20"/>
        </w:rPr>
        <w:t>ých dětí a</w:t>
      </w:r>
      <w:r w:rsidRPr="00617E4C">
        <w:rPr>
          <w:rFonts w:eastAsia="Arial Unicode MS" w:cs="Arial"/>
          <w:bCs w:val="0"/>
          <w:sz w:val="20"/>
        </w:rPr>
        <w:t xml:space="preserve"> počtem zemřelých osob v</w:t>
      </w:r>
      <w:r w:rsidR="00757592">
        <w:rPr>
          <w:rFonts w:eastAsia="Arial Unicode MS" w:cs="Arial"/>
          <w:bCs w:val="0"/>
          <w:sz w:val="20"/>
        </w:rPr>
        <w:t>e </w:t>
      </w:r>
      <w:r w:rsidR="00E559FE">
        <w:rPr>
          <w:rFonts w:eastAsia="Arial Unicode MS" w:cs="Arial"/>
          <w:bCs w:val="0"/>
          <w:sz w:val="20"/>
        </w:rPr>
        <w:t>stejném</w:t>
      </w:r>
      <w:r w:rsidRPr="00617E4C">
        <w:rPr>
          <w:rFonts w:eastAsia="Arial Unicode MS" w:cs="Arial"/>
          <w:bCs w:val="0"/>
          <w:sz w:val="20"/>
        </w:rPr>
        <w:t xml:space="preserve"> období. Pokud je počet živě narozených dětí menší než počet zemřelých, nabývá přirozený přírůstek záporné hodnoty (přirozený úbytek obyvatel). </w:t>
      </w:r>
    </w:p>
    <w:p w14:paraId="5F2AB4F8" w14:textId="77777777" w:rsidR="003C4B05" w:rsidRDefault="00617E4C" w:rsidP="004800AB">
      <w:pPr>
        <w:spacing w:after="160" w:line="288" w:lineRule="auto"/>
        <w:rPr>
          <w:rFonts w:eastAsia="Arial Unicode MS" w:cs="Arial"/>
          <w:bCs w:val="0"/>
          <w:sz w:val="20"/>
        </w:rPr>
      </w:pPr>
      <w:r w:rsidRPr="00617E4C">
        <w:rPr>
          <w:rFonts w:eastAsia="Arial Unicode MS" w:cs="Arial"/>
          <w:b/>
          <w:sz w:val="20"/>
        </w:rPr>
        <w:t>Celkový přírůstek obyvatel</w:t>
      </w:r>
      <w:r w:rsidRPr="00617E4C">
        <w:rPr>
          <w:rFonts w:eastAsia="Arial Unicode MS" w:cs="Arial"/>
          <w:bCs w:val="0"/>
          <w:sz w:val="20"/>
        </w:rPr>
        <w:t xml:space="preserve"> – rozdíl mezi počátečním </w:t>
      </w:r>
      <w:r w:rsidR="00E559FE">
        <w:rPr>
          <w:rFonts w:eastAsia="Arial Unicode MS" w:cs="Arial"/>
          <w:bCs w:val="0"/>
          <w:sz w:val="20"/>
        </w:rPr>
        <w:t xml:space="preserve">a koncovým </w:t>
      </w:r>
      <w:r w:rsidRPr="00617E4C">
        <w:rPr>
          <w:rFonts w:eastAsia="Arial Unicode MS" w:cs="Arial"/>
          <w:bCs w:val="0"/>
          <w:sz w:val="20"/>
        </w:rPr>
        <w:t>stavem obyvatel daného území</w:t>
      </w:r>
      <w:r w:rsidR="003C4B05">
        <w:rPr>
          <w:rFonts w:eastAsia="Arial Unicode MS" w:cs="Arial"/>
          <w:bCs w:val="0"/>
          <w:sz w:val="20"/>
        </w:rPr>
        <w:t>.</w:t>
      </w:r>
      <w:r w:rsidR="00390FBB">
        <w:rPr>
          <w:rFonts w:eastAsia="Arial Unicode MS" w:cs="Arial"/>
          <w:bCs w:val="0"/>
          <w:sz w:val="20"/>
        </w:rPr>
        <w:t xml:space="preserve"> Odpovídá</w:t>
      </w:r>
      <w:r w:rsidR="00390FBB" w:rsidRPr="00617E4C">
        <w:rPr>
          <w:rFonts w:eastAsia="Arial Unicode MS" w:cs="Arial"/>
          <w:bCs w:val="0"/>
          <w:sz w:val="20"/>
        </w:rPr>
        <w:t xml:space="preserve"> součt</w:t>
      </w:r>
      <w:r w:rsidR="00390FBB">
        <w:rPr>
          <w:rFonts w:eastAsia="Arial Unicode MS" w:cs="Arial"/>
          <w:bCs w:val="0"/>
          <w:sz w:val="20"/>
        </w:rPr>
        <w:t>u</w:t>
      </w:r>
      <w:r w:rsidR="00390FBB" w:rsidRPr="00617E4C">
        <w:rPr>
          <w:rFonts w:eastAsia="Arial Unicode MS" w:cs="Arial"/>
          <w:bCs w:val="0"/>
          <w:sz w:val="20"/>
        </w:rPr>
        <w:t xml:space="preserve"> přirozeného přírůstku a </w:t>
      </w:r>
      <w:r w:rsidR="00390FBB">
        <w:rPr>
          <w:rFonts w:eastAsia="Arial Unicode MS" w:cs="Arial"/>
          <w:bCs w:val="0"/>
          <w:sz w:val="20"/>
        </w:rPr>
        <w:t>přírůstku stěhováním (</w:t>
      </w:r>
      <w:r w:rsidR="00390FBB" w:rsidRPr="00617E4C">
        <w:rPr>
          <w:rFonts w:eastAsia="Arial Unicode MS" w:cs="Arial"/>
          <w:bCs w:val="0"/>
          <w:sz w:val="20"/>
        </w:rPr>
        <w:t>migračního salda</w:t>
      </w:r>
      <w:r w:rsidR="00390FBB">
        <w:rPr>
          <w:rFonts w:eastAsia="Arial Unicode MS" w:cs="Arial"/>
          <w:bCs w:val="0"/>
          <w:sz w:val="20"/>
        </w:rPr>
        <w:t>) ve stejném období</w:t>
      </w:r>
      <w:r w:rsidR="00390FBB" w:rsidRPr="00617E4C">
        <w:rPr>
          <w:rFonts w:eastAsia="Arial Unicode MS" w:cs="Arial"/>
          <w:bCs w:val="0"/>
          <w:sz w:val="20"/>
        </w:rPr>
        <w:t>.</w:t>
      </w:r>
    </w:p>
    <w:p w14:paraId="52A74388" w14:textId="7CDCE636" w:rsidR="00617E4C" w:rsidRDefault="003C4B05" w:rsidP="00E84315">
      <w:pPr>
        <w:spacing w:after="240" w:line="288" w:lineRule="auto"/>
        <w:rPr>
          <w:rFonts w:eastAsia="Arial Unicode MS" w:cs="Arial"/>
          <w:bCs w:val="0"/>
          <w:sz w:val="20"/>
        </w:rPr>
      </w:pPr>
      <w:r>
        <w:rPr>
          <w:rFonts w:eastAsia="Arial Unicode MS" w:cs="Arial"/>
          <w:bCs w:val="0"/>
          <w:sz w:val="20"/>
        </w:rPr>
        <w:t xml:space="preserve">Počáteční stav daného roku se </w:t>
      </w:r>
      <w:r w:rsidR="00390FBB">
        <w:rPr>
          <w:rFonts w:eastAsia="Arial Unicode MS" w:cs="Arial"/>
          <w:bCs w:val="0"/>
          <w:sz w:val="20"/>
        </w:rPr>
        <w:t xml:space="preserve">rovná koncovému stavu roku předchozího, </w:t>
      </w:r>
      <w:r w:rsidR="006E17EA">
        <w:rPr>
          <w:rFonts w:eastAsia="Arial Unicode MS" w:cs="Arial"/>
          <w:bCs w:val="0"/>
          <w:sz w:val="20"/>
        </w:rPr>
        <w:t>vyjma</w:t>
      </w:r>
      <w:r w:rsidR="006E17EA" w:rsidRPr="006E17EA">
        <w:rPr>
          <w:rFonts w:eastAsia="Arial Unicode MS" w:cs="Arial"/>
          <w:bCs w:val="0"/>
          <w:sz w:val="20"/>
        </w:rPr>
        <w:t xml:space="preserve"> </w:t>
      </w:r>
      <w:r w:rsidR="006E17EA">
        <w:rPr>
          <w:rFonts w:eastAsia="Arial Unicode MS" w:cs="Arial"/>
          <w:bCs w:val="0"/>
          <w:sz w:val="20"/>
        </w:rPr>
        <w:t>let, kdy se konalo sčítání</w:t>
      </w:r>
      <w:r w:rsidR="006E17EA">
        <w:rPr>
          <w:rStyle w:val="Znakapoznpodarou"/>
          <w:rFonts w:eastAsia="Arial Unicode MS" w:cs="Arial"/>
          <w:bCs w:val="0"/>
          <w:sz w:val="20"/>
        </w:rPr>
        <w:footnoteReference w:id="1"/>
      </w:r>
      <w:r w:rsidR="006E17EA">
        <w:rPr>
          <w:rFonts w:eastAsia="Arial Unicode MS" w:cs="Arial"/>
          <w:bCs w:val="0"/>
          <w:sz w:val="20"/>
        </w:rPr>
        <w:t>, či pokud došlo k územním změnám</w:t>
      </w:r>
      <w:r w:rsidR="009A48C4">
        <w:rPr>
          <w:rFonts w:eastAsia="Arial Unicode MS" w:cs="Arial"/>
          <w:bCs w:val="0"/>
          <w:sz w:val="20"/>
        </w:rPr>
        <w:t xml:space="preserve">. </w:t>
      </w:r>
    </w:p>
    <w:p w14:paraId="24B75E6B" w14:textId="3AC1778C"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sňatcích</w:t>
      </w:r>
    </w:p>
    <w:p w14:paraId="7834C50F" w14:textId="1B58819F" w:rsidR="00046676" w:rsidRDefault="00046676" w:rsidP="00E84315">
      <w:pPr>
        <w:spacing w:after="120" w:line="288" w:lineRule="auto"/>
        <w:rPr>
          <w:rFonts w:eastAsia="Arial Unicode MS" w:cs="Arial"/>
          <w:bCs w:val="0"/>
          <w:sz w:val="20"/>
        </w:rPr>
      </w:pPr>
      <w:r>
        <w:rPr>
          <w:rFonts w:eastAsia="Arial Unicode MS" w:cs="Arial"/>
          <w:bCs w:val="0"/>
          <w:sz w:val="20"/>
        </w:rPr>
        <w:t>Do počtu sňatků jsou zahrnuty jak občanské, tak (před rokem 1950 a od 1. 7. 1992) církevní sňatky. V případě regionálního třídění jsou sňatky standardně tříděny podle místa pobytu ženicha.</w:t>
      </w:r>
      <w:r w:rsidR="004F31E3">
        <w:rPr>
          <w:rFonts w:eastAsia="Arial Unicode MS" w:cs="Arial"/>
          <w:bCs w:val="0"/>
          <w:sz w:val="20"/>
        </w:rPr>
        <w:t xml:space="preserve"> Průměrný věk mužů/žen při prvním sňatku </w:t>
      </w:r>
      <w:r w:rsidR="009A48C4">
        <w:rPr>
          <w:rFonts w:eastAsia="Arial Unicode MS" w:cs="Arial"/>
          <w:bCs w:val="0"/>
          <w:sz w:val="20"/>
        </w:rPr>
        <w:t xml:space="preserve">v této publikaci </w:t>
      </w:r>
      <w:r w:rsidR="004F31E3">
        <w:rPr>
          <w:rFonts w:eastAsia="Arial Unicode MS" w:cs="Arial"/>
          <w:bCs w:val="0"/>
          <w:sz w:val="20"/>
        </w:rPr>
        <w:t>vychází z rozložení absolutních počtů sňatků svobodných mužů/žen podle věku.</w:t>
      </w:r>
    </w:p>
    <w:p w14:paraId="47ABFEE8" w14:textId="6BB110BD" w:rsidR="00617E4C" w:rsidRPr="00617E4C" w:rsidRDefault="004F31E3" w:rsidP="004800AB">
      <w:pPr>
        <w:spacing w:after="160" w:line="288" w:lineRule="auto"/>
        <w:rPr>
          <w:rFonts w:eastAsia="Arial Unicode MS" w:cs="Arial"/>
          <w:bCs w:val="0"/>
          <w:sz w:val="20"/>
        </w:rPr>
      </w:pPr>
      <w:r>
        <w:rPr>
          <w:rFonts w:eastAsia="Arial Unicode MS" w:cs="Arial"/>
          <w:bCs w:val="0"/>
          <w:sz w:val="20"/>
        </w:rPr>
        <w:t xml:space="preserve">Vzdělání ženicha/nevěsty je od roku 2008 dobrovolně poskytovaným údajem. </w:t>
      </w:r>
      <w:r w:rsidR="00617E4C" w:rsidRPr="00617E4C">
        <w:rPr>
          <w:rFonts w:eastAsia="Arial Unicode MS" w:cs="Arial"/>
          <w:bCs w:val="0"/>
          <w:sz w:val="20"/>
        </w:rPr>
        <w:t xml:space="preserve">Od roku 2015 </w:t>
      </w:r>
      <w:r>
        <w:rPr>
          <w:rFonts w:eastAsia="Arial Unicode MS" w:cs="Arial"/>
          <w:bCs w:val="0"/>
          <w:sz w:val="20"/>
        </w:rPr>
        <w:t>jsou zjišťované úrovně nejvyššího dokončeného</w:t>
      </w:r>
      <w:r w:rsidR="00617E4C" w:rsidRPr="00617E4C">
        <w:rPr>
          <w:rFonts w:eastAsia="Arial Unicode MS" w:cs="Arial"/>
          <w:bCs w:val="0"/>
          <w:sz w:val="20"/>
        </w:rPr>
        <w:t xml:space="preserve"> vzdělání ženicha/nevěsty rozšířen</w:t>
      </w:r>
      <w:r>
        <w:rPr>
          <w:rFonts w:eastAsia="Arial Unicode MS" w:cs="Arial"/>
          <w:bCs w:val="0"/>
          <w:sz w:val="20"/>
        </w:rPr>
        <w:t>y</w:t>
      </w:r>
      <w:r w:rsidR="00617E4C" w:rsidRPr="00617E4C">
        <w:rPr>
          <w:rFonts w:eastAsia="Arial Unicode MS" w:cs="Arial"/>
          <w:bCs w:val="0"/>
          <w:sz w:val="20"/>
        </w:rPr>
        <w:t xml:space="preserve"> o samostatnou kategorii </w:t>
      </w:r>
      <w:r w:rsidR="002015EF">
        <w:rPr>
          <w:rFonts w:eastAsia="Arial Unicode MS" w:cs="Arial"/>
          <w:bCs w:val="0"/>
          <w:sz w:val="20"/>
        </w:rPr>
        <w:t xml:space="preserve">pro </w:t>
      </w:r>
      <w:r>
        <w:rPr>
          <w:rFonts w:eastAsia="Arial Unicode MS" w:cs="Arial"/>
          <w:bCs w:val="0"/>
          <w:sz w:val="20"/>
        </w:rPr>
        <w:t xml:space="preserve">absolventy </w:t>
      </w:r>
      <w:r w:rsidR="002015EF">
        <w:rPr>
          <w:rFonts w:eastAsia="Arial Unicode MS" w:cs="Arial"/>
          <w:bCs w:val="0"/>
          <w:sz w:val="20"/>
        </w:rPr>
        <w:t>vyšší odborné školy a </w:t>
      </w:r>
      <w:r w:rsidR="00617E4C" w:rsidRPr="00617E4C">
        <w:rPr>
          <w:rFonts w:eastAsia="Arial Unicode MS" w:cs="Arial"/>
          <w:bCs w:val="0"/>
          <w:sz w:val="20"/>
        </w:rPr>
        <w:t xml:space="preserve">konzervatoře </w:t>
      </w:r>
      <w:r>
        <w:rPr>
          <w:rFonts w:eastAsia="Arial Unicode MS" w:cs="Arial"/>
          <w:bCs w:val="0"/>
          <w:sz w:val="20"/>
        </w:rPr>
        <w:t>(</w:t>
      </w:r>
      <w:r w:rsidR="00617E4C" w:rsidRPr="00617E4C">
        <w:rPr>
          <w:rFonts w:eastAsia="Arial Unicode MS" w:cs="Arial"/>
          <w:bCs w:val="0"/>
          <w:sz w:val="20"/>
        </w:rPr>
        <w:t>ukončené absolutoriem</w:t>
      </w:r>
      <w:r>
        <w:rPr>
          <w:rFonts w:eastAsia="Arial Unicode MS" w:cs="Arial"/>
          <w:bCs w:val="0"/>
          <w:sz w:val="20"/>
        </w:rPr>
        <w:t>)</w:t>
      </w:r>
      <w:r w:rsidR="00617E4C" w:rsidRPr="00617E4C">
        <w:rPr>
          <w:rFonts w:eastAsia="Arial Unicode MS" w:cs="Arial"/>
          <w:bCs w:val="0"/>
          <w:sz w:val="20"/>
        </w:rPr>
        <w:t>.</w:t>
      </w:r>
    </w:p>
    <w:p w14:paraId="4BB411B5" w14:textId="3AA5FC6C" w:rsidR="005107C8" w:rsidRDefault="005107C8" w:rsidP="00E84315">
      <w:pPr>
        <w:spacing w:after="240" w:line="288" w:lineRule="auto"/>
        <w:rPr>
          <w:rFonts w:eastAsia="Arial Unicode MS" w:cs="Arial"/>
          <w:bCs w:val="0"/>
          <w:sz w:val="20"/>
        </w:rPr>
      </w:pPr>
      <w:r w:rsidRPr="009D2ACA">
        <w:rPr>
          <w:rFonts w:eastAsia="Arial Unicode MS" w:cs="Arial"/>
          <w:b/>
          <w:bCs w:val="0"/>
          <w:sz w:val="20"/>
        </w:rPr>
        <w:t xml:space="preserve">Redukované míry sňatečnosti podle pohlaví a věku </w:t>
      </w:r>
      <w:r w:rsidRPr="009D2ACA">
        <w:rPr>
          <w:rFonts w:eastAsia="Arial Unicode MS" w:cs="Arial"/>
          <w:bCs w:val="0"/>
          <w:sz w:val="20"/>
        </w:rPr>
        <w:t xml:space="preserve">– </w:t>
      </w:r>
      <w:r w:rsidR="00516C18" w:rsidRPr="009D2ACA">
        <w:rPr>
          <w:rFonts w:eastAsia="Arial Unicode MS" w:cs="Arial"/>
          <w:bCs w:val="0"/>
          <w:sz w:val="20"/>
        </w:rPr>
        <w:t xml:space="preserve">počet </w:t>
      </w:r>
      <w:r w:rsidR="003632CB" w:rsidRPr="009D2ACA">
        <w:rPr>
          <w:rFonts w:eastAsia="Arial Unicode MS" w:cs="Arial"/>
          <w:bCs w:val="0"/>
          <w:sz w:val="20"/>
        </w:rPr>
        <w:t xml:space="preserve">sňatků </w:t>
      </w:r>
      <w:r w:rsidR="00516C18" w:rsidRPr="009D2ACA">
        <w:rPr>
          <w:rFonts w:eastAsia="Arial Unicode MS" w:cs="Arial"/>
          <w:bCs w:val="0"/>
          <w:sz w:val="20"/>
        </w:rPr>
        <w:t>mužů/žen</w:t>
      </w:r>
      <w:r w:rsidR="0031346C">
        <w:rPr>
          <w:rFonts w:eastAsia="Arial Unicode MS" w:cs="Arial"/>
          <w:bCs w:val="0"/>
          <w:sz w:val="20"/>
        </w:rPr>
        <w:t xml:space="preserve"> v daném věku </w:t>
      </w:r>
      <w:r w:rsidRPr="009D2ACA">
        <w:rPr>
          <w:rFonts w:eastAsia="Arial Unicode MS" w:cs="Arial"/>
          <w:bCs w:val="0"/>
          <w:sz w:val="20"/>
        </w:rPr>
        <w:t xml:space="preserve">na 1 000 </w:t>
      </w:r>
      <w:r w:rsidR="0031346C">
        <w:rPr>
          <w:rFonts w:eastAsia="Arial Unicode MS" w:cs="Arial"/>
          <w:bCs w:val="0"/>
          <w:sz w:val="20"/>
        </w:rPr>
        <w:t xml:space="preserve">všech </w:t>
      </w:r>
      <w:r w:rsidRPr="009D2ACA">
        <w:rPr>
          <w:rFonts w:eastAsia="Arial Unicode MS" w:cs="Arial"/>
          <w:bCs w:val="0"/>
          <w:sz w:val="20"/>
        </w:rPr>
        <w:t xml:space="preserve">mužů/žen středního stavu </w:t>
      </w:r>
      <w:r w:rsidR="0031346C">
        <w:rPr>
          <w:rFonts w:eastAsia="Arial Unicode MS" w:cs="Arial"/>
          <w:bCs w:val="0"/>
          <w:sz w:val="20"/>
        </w:rPr>
        <w:t xml:space="preserve">stejného věku (tj. </w:t>
      </w:r>
      <w:r w:rsidRPr="009D2ACA">
        <w:rPr>
          <w:rFonts w:eastAsia="Arial Unicode MS" w:cs="Arial"/>
          <w:bCs w:val="0"/>
          <w:sz w:val="20"/>
        </w:rPr>
        <w:t>bez rozlišení rodinného stavu</w:t>
      </w:r>
      <w:r w:rsidR="0031346C">
        <w:rPr>
          <w:rFonts w:eastAsia="Arial Unicode MS" w:cs="Arial"/>
          <w:bCs w:val="0"/>
          <w:sz w:val="20"/>
        </w:rPr>
        <w:t xml:space="preserve"> muže/ženy)</w:t>
      </w:r>
      <w:r w:rsidRPr="009D2ACA">
        <w:rPr>
          <w:rFonts w:eastAsia="Arial Unicode MS" w:cs="Arial"/>
          <w:bCs w:val="0"/>
          <w:sz w:val="20"/>
        </w:rPr>
        <w:t xml:space="preserve">. Střední stav </w:t>
      </w:r>
      <w:r w:rsidR="00703A9E" w:rsidRPr="009D2ACA">
        <w:rPr>
          <w:rFonts w:eastAsia="Arial Unicode MS" w:cs="Arial"/>
          <w:bCs w:val="0"/>
          <w:sz w:val="20"/>
        </w:rPr>
        <w:t>mužů/</w:t>
      </w:r>
      <w:r w:rsidRPr="009D2ACA">
        <w:rPr>
          <w:rFonts w:eastAsia="Arial Unicode MS" w:cs="Arial"/>
          <w:bCs w:val="0"/>
          <w:sz w:val="20"/>
        </w:rPr>
        <w:t xml:space="preserve">žen je počítán jako aritmetický průměr </w:t>
      </w:r>
      <w:r w:rsidR="009D2ACA">
        <w:rPr>
          <w:rFonts w:eastAsia="Arial Unicode MS" w:cs="Arial"/>
          <w:bCs w:val="0"/>
          <w:sz w:val="20"/>
        </w:rPr>
        <w:t>patřičných dvou koncových stavů.</w:t>
      </w:r>
    </w:p>
    <w:p w14:paraId="5476BB1F" w14:textId="2FAB4A30" w:rsidR="0031346C" w:rsidRPr="009D2ACA" w:rsidRDefault="0031346C" w:rsidP="00E84315">
      <w:pPr>
        <w:spacing w:after="240" w:line="288" w:lineRule="auto"/>
        <w:rPr>
          <w:rFonts w:eastAsia="Arial Unicode MS" w:cs="Arial"/>
          <w:bCs w:val="0"/>
          <w:sz w:val="20"/>
        </w:rPr>
      </w:pPr>
      <w:r w:rsidRPr="009D2ACA">
        <w:rPr>
          <w:rFonts w:eastAsia="Arial Unicode MS" w:cs="Arial"/>
          <w:b/>
          <w:bCs w:val="0"/>
          <w:sz w:val="20"/>
        </w:rPr>
        <w:t>Míry sňatečnosti žen podle věku</w:t>
      </w:r>
      <w:r w:rsidRPr="009D2ACA">
        <w:rPr>
          <w:rFonts w:eastAsia="Arial Unicode MS" w:cs="Arial"/>
          <w:bCs w:val="0"/>
          <w:sz w:val="20"/>
        </w:rPr>
        <w:t xml:space="preserve"> – počet sňatků </w:t>
      </w:r>
      <w:r w:rsidR="0015745B">
        <w:rPr>
          <w:rFonts w:eastAsia="Arial Unicode MS" w:cs="Arial"/>
          <w:bCs w:val="0"/>
          <w:sz w:val="20"/>
        </w:rPr>
        <w:t>žen v daném věku</w:t>
      </w:r>
      <w:r w:rsidRPr="009D2ACA">
        <w:rPr>
          <w:rFonts w:eastAsia="Arial Unicode MS" w:cs="Arial"/>
          <w:bCs w:val="0"/>
          <w:sz w:val="20"/>
        </w:rPr>
        <w:t xml:space="preserve"> na 1 000 svobodných, rozvedených a ovdově</w:t>
      </w:r>
      <w:r w:rsidR="0015745B">
        <w:rPr>
          <w:rFonts w:eastAsia="Arial Unicode MS" w:cs="Arial"/>
          <w:bCs w:val="0"/>
          <w:sz w:val="20"/>
        </w:rPr>
        <w:t>lých žen středního stavu stejného věku</w:t>
      </w:r>
      <w:bookmarkStart w:id="0" w:name="_GoBack"/>
      <w:bookmarkEnd w:id="0"/>
      <w:r>
        <w:rPr>
          <w:rFonts w:eastAsia="Arial Unicode MS" w:cs="Arial"/>
          <w:bCs w:val="0"/>
          <w:sz w:val="20"/>
        </w:rPr>
        <w:t>. Střední stav nevdaných</w:t>
      </w:r>
      <w:r w:rsidRPr="009D2ACA">
        <w:rPr>
          <w:rFonts w:eastAsia="Arial Unicode MS" w:cs="Arial"/>
          <w:bCs w:val="0"/>
          <w:sz w:val="20"/>
        </w:rPr>
        <w:t xml:space="preserve"> žen je počítán jako aritmetický průměr patřičných dv</w:t>
      </w:r>
      <w:r>
        <w:rPr>
          <w:rFonts w:eastAsia="Arial Unicode MS" w:cs="Arial"/>
          <w:bCs w:val="0"/>
          <w:sz w:val="20"/>
        </w:rPr>
        <w:t>ou koncových stavů.</w:t>
      </w:r>
    </w:p>
    <w:p w14:paraId="7585F24D" w14:textId="474B6AB3"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rozvodech</w:t>
      </w:r>
    </w:p>
    <w:p w14:paraId="1980BC0A" w14:textId="1F2B8498" w:rsidR="00222565" w:rsidRDefault="00617E4C" w:rsidP="00E84315">
      <w:pPr>
        <w:spacing w:after="120" w:line="288" w:lineRule="auto"/>
        <w:rPr>
          <w:rFonts w:eastAsia="Arial Unicode MS" w:cs="Arial"/>
          <w:bCs w:val="0"/>
          <w:sz w:val="20"/>
        </w:rPr>
      </w:pPr>
      <w:r w:rsidRPr="00617E4C">
        <w:rPr>
          <w:rFonts w:eastAsia="Arial Unicode MS" w:cs="Arial"/>
          <w:bCs w:val="0"/>
          <w:sz w:val="20"/>
        </w:rPr>
        <w:t>V </w:t>
      </w:r>
      <w:r w:rsidR="00222565">
        <w:rPr>
          <w:rFonts w:eastAsia="Arial Unicode MS" w:cs="Arial"/>
          <w:bCs w:val="0"/>
          <w:sz w:val="20"/>
        </w:rPr>
        <w:t>letech</w:t>
      </w:r>
      <w:r w:rsidRPr="00617E4C">
        <w:rPr>
          <w:rFonts w:eastAsia="Arial Unicode MS" w:cs="Arial"/>
          <w:bCs w:val="0"/>
          <w:sz w:val="20"/>
        </w:rPr>
        <w:t xml:space="preserve"> 1919–1949 mezi rozvody zahrnuty pouze rozluky manželství, které podle tehdy existující právní normy odpovídaly r</w:t>
      </w:r>
      <w:r w:rsidR="00EB5896">
        <w:rPr>
          <w:rFonts w:eastAsia="Arial Unicode MS" w:cs="Arial"/>
          <w:bCs w:val="0"/>
          <w:sz w:val="20"/>
        </w:rPr>
        <w:t>ozvodům v dnešním slova smyslu.</w:t>
      </w:r>
    </w:p>
    <w:p w14:paraId="79CDF9A0" w14:textId="0C040ED0" w:rsidR="00627157" w:rsidRPr="00617E4C" w:rsidRDefault="00627157" w:rsidP="004800AB">
      <w:pPr>
        <w:spacing w:after="160" w:line="288" w:lineRule="auto"/>
        <w:rPr>
          <w:rFonts w:eastAsia="Arial Unicode MS" w:cs="Arial"/>
          <w:bCs w:val="0"/>
          <w:sz w:val="20"/>
        </w:rPr>
      </w:pPr>
      <w:r>
        <w:rPr>
          <w:rFonts w:eastAsia="Arial Unicode MS" w:cs="Arial"/>
          <w:bCs w:val="0"/>
          <w:sz w:val="20"/>
        </w:rPr>
        <w:t xml:space="preserve">Vzdělání muže/ženy je od roku 2007 dobrovolně poskytovaným údajem. </w:t>
      </w:r>
      <w:r w:rsidR="00296AB1">
        <w:rPr>
          <w:rFonts w:eastAsia="Arial Unicode MS" w:cs="Arial"/>
          <w:bCs w:val="0"/>
          <w:sz w:val="20"/>
        </w:rPr>
        <w:t>V případě územního členění jsou rozvody tříděny podle posledního společného bydliště manželů.</w:t>
      </w:r>
    </w:p>
    <w:p w14:paraId="3981223C" w14:textId="77777777" w:rsidR="004800AB" w:rsidRDefault="00617E4C" w:rsidP="004800AB">
      <w:pPr>
        <w:spacing w:after="120" w:line="288" w:lineRule="auto"/>
        <w:rPr>
          <w:rFonts w:eastAsia="Arial Unicode MS" w:cs="Arial"/>
          <w:bCs w:val="0"/>
          <w:sz w:val="20"/>
        </w:rPr>
      </w:pPr>
      <w:r w:rsidRPr="00617E4C">
        <w:rPr>
          <w:rFonts w:eastAsia="Arial Unicode MS" w:cs="Arial"/>
          <w:b/>
          <w:bCs w:val="0"/>
          <w:sz w:val="20"/>
        </w:rPr>
        <w:t>Míra rozvodovosti podle délky trvání manželství</w:t>
      </w:r>
      <w:r w:rsidRPr="00617E4C">
        <w:rPr>
          <w:rFonts w:eastAsia="Arial Unicode MS" w:cs="Arial"/>
          <w:bCs w:val="0"/>
          <w:sz w:val="20"/>
        </w:rPr>
        <w:t xml:space="preserve"> – počet rozvodů </w:t>
      </w:r>
      <w:r w:rsidR="00627157">
        <w:rPr>
          <w:rFonts w:eastAsia="Arial Unicode MS" w:cs="Arial"/>
          <w:bCs w:val="0"/>
          <w:sz w:val="20"/>
        </w:rPr>
        <w:t xml:space="preserve">v </w:t>
      </w:r>
      <w:r w:rsidRPr="00617E4C">
        <w:rPr>
          <w:rFonts w:eastAsia="Arial Unicode MS" w:cs="Arial"/>
          <w:bCs w:val="0"/>
          <w:sz w:val="20"/>
        </w:rPr>
        <w:t>dané dél</w:t>
      </w:r>
      <w:r w:rsidR="00627157">
        <w:rPr>
          <w:rFonts w:eastAsia="Arial Unicode MS" w:cs="Arial"/>
          <w:bCs w:val="0"/>
          <w:sz w:val="20"/>
        </w:rPr>
        <w:t>ce</w:t>
      </w:r>
      <w:r w:rsidRPr="00617E4C">
        <w:rPr>
          <w:rFonts w:eastAsia="Arial Unicode MS" w:cs="Arial"/>
          <w:bCs w:val="0"/>
          <w:sz w:val="20"/>
        </w:rPr>
        <w:t xml:space="preserve"> trvání manželství </w:t>
      </w:r>
      <w:r w:rsidR="00757592">
        <w:rPr>
          <w:rFonts w:eastAsia="Arial Unicode MS" w:cs="Arial"/>
          <w:bCs w:val="0"/>
          <w:sz w:val="20"/>
        </w:rPr>
        <w:t>při </w:t>
      </w:r>
      <w:r w:rsidR="00BF5782" w:rsidRPr="00617E4C">
        <w:rPr>
          <w:rFonts w:eastAsia="Arial Unicode MS" w:cs="Arial"/>
          <w:bCs w:val="0"/>
          <w:sz w:val="20"/>
        </w:rPr>
        <w:t xml:space="preserve">rozvodu </w:t>
      </w:r>
      <w:r w:rsidR="00627157">
        <w:rPr>
          <w:rFonts w:eastAsia="Arial Unicode MS" w:cs="Arial"/>
          <w:bCs w:val="0"/>
          <w:sz w:val="20"/>
        </w:rPr>
        <w:t>(</w:t>
      </w:r>
      <w:r w:rsidR="00BF5782">
        <w:rPr>
          <w:rFonts w:eastAsia="Arial Unicode MS" w:cs="Arial"/>
          <w:bCs w:val="0"/>
          <w:sz w:val="20"/>
        </w:rPr>
        <w:t xml:space="preserve">udává se </w:t>
      </w:r>
      <w:r w:rsidR="00627157">
        <w:rPr>
          <w:rFonts w:eastAsia="Arial Unicode MS" w:cs="Arial"/>
          <w:bCs w:val="0"/>
          <w:sz w:val="20"/>
        </w:rPr>
        <w:t>v</w:t>
      </w:r>
      <w:r w:rsidR="00BF5782">
        <w:rPr>
          <w:rFonts w:eastAsia="Arial Unicode MS" w:cs="Arial"/>
          <w:bCs w:val="0"/>
          <w:sz w:val="20"/>
        </w:rPr>
        <w:t xml:space="preserve"> dokončených </w:t>
      </w:r>
      <w:r w:rsidR="00627157">
        <w:rPr>
          <w:rFonts w:eastAsia="Arial Unicode MS" w:cs="Arial"/>
          <w:bCs w:val="0"/>
          <w:sz w:val="20"/>
        </w:rPr>
        <w:t xml:space="preserve">letech) </w:t>
      </w:r>
      <w:r w:rsidRPr="00617E4C">
        <w:rPr>
          <w:rFonts w:eastAsia="Arial Unicode MS" w:cs="Arial"/>
          <w:bCs w:val="0"/>
          <w:sz w:val="20"/>
        </w:rPr>
        <w:t>na 100 sňatků uzavřených před příslušným počtem let.</w:t>
      </w:r>
      <w:r w:rsidR="00627157">
        <w:rPr>
          <w:rFonts w:eastAsia="Arial Unicode MS" w:cs="Arial"/>
          <w:bCs w:val="0"/>
          <w:sz w:val="20"/>
        </w:rPr>
        <w:t xml:space="preserve"> Z rozložení měr rozvodovosti podle délky trvání manželství vychází </w:t>
      </w:r>
      <w:r w:rsidR="00627157" w:rsidRPr="00695694">
        <w:rPr>
          <w:rFonts w:eastAsia="Arial Unicode MS" w:cs="Arial"/>
          <w:b/>
          <w:bCs w:val="0"/>
          <w:sz w:val="20"/>
        </w:rPr>
        <w:t>průmě</w:t>
      </w:r>
      <w:r w:rsidR="00757592">
        <w:rPr>
          <w:rFonts w:eastAsia="Arial Unicode MS" w:cs="Arial"/>
          <w:b/>
          <w:bCs w:val="0"/>
          <w:sz w:val="20"/>
        </w:rPr>
        <w:t>rná délka trvání manželství při </w:t>
      </w:r>
      <w:r w:rsidR="00627157" w:rsidRPr="00695694">
        <w:rPr>
          <w:rFonts w:eastAsia="Arial Unicode MS" w:cs="Arial"/>
          <w:b/>
          <w:bCs w:val="0"/>
          <w:sz w:val="20"/>
        </w:rPr>
        <w:t>rozvodu</w:t>
      </w:r>
      <w:r w:rsidR="00627157" w:rsidRPr="00390FBB">
        <w:rPr>
          <w:rFonts w:eastAsia="Arial Unicode MS" w:cs="Arial"/>
          <w:bCs w:val="0"/>
          <w:sz w:val="20"/>
        </w:rPr>
        <w:t>.</w:t>
      </w:r>
    </w:p>
    <w:p w14:paraId="23096C93" w14:textId="0534111C" w:rsidR="002015EF" w:rsidRPr="004800AB" w:rsidRDefault="00617E4C" w:rsidP="004800AB">
      <w:pPr>
        <w:spacing w:after="120" w:line="288" w:lineRule="auto"/>
        <w:rPr>
          <w:rFonts w:eastAsia="Arial Unicode MS" w:cs="Arial"/>
          <w:bCs w:val="0"/>
          <w:sz w:val="20"/>
        </w:rPr>
      </w:pPr>
      <w:r w:rsidRPr="00617E4C">
        <w:rPr>
          <w:rFonts w:eastAsia="Arial Unicode MS" w:cs="Arial"/>
          <w:b/>
          <w:bCs w:val="0"/>
          <w:sz w:val="20"/>
        </w:rPr>
        <w:lastRenderedPageBreak/>
        <w:t>Úhrnná rozvodovost</w:t>
      </w:r>
      <w:r w:rsidRPr="00617E4C">
        <w:rPr>
          <w:rFonts w:eastAsia="Arial Unicode MS" w:cs="Arial"/>
          <w:bCs w:val="0"/>
          <w:sz w:val="20"/>
        </w:rPr>
        <w:t xml:space="preserve"> – </w:t>
      </w:r>
      <w:r w:rsidRPr="00617E4C">
        <w:rPr>
          <w:rFonts w:eastAsia="Arial Unicode MS" w:cs="Arial"/>
          <w:bCs w:val="0"/>
          <w:sz w:val="20"/>
          <w:szCs w:val="20"/>
        </w:rPr>
        <w:t>podíl manželství, která by skončila rozvodem</w:t>
      </w:r>
      <w:r w:rsidR="00627157">
        <w:rPr>
          <w:rFonts w:eastAsia="Arial Unicode MS" w:cs="Arial"/>
          <w:bCs w:val="0"/>
          <w:sz w:val="20"/>
          <w:szCs w:val="20"/>
        </w:rPr>
        <w:t xml:space="preserve"> za předpokladu</w:t>
      </w:r>
      <w:r w:rsidRPr="00617E4C">
        <w:rPr>
          <w:rFonts w:eastAsia="Arial Unicode MS" w:cs="Arial"/>
          <w:bCs w:val="0"/>
          <w:sz w:val="20"/>
          <w:szCs w:val="20"/>
        </w:rPr>
        <w:t xml:space="preserve">, </w:t>
      </w:r>
      <w:r w:rsidR="00627157">
        <w:rPr>
          <w:rFonts w:eastAsia="Arial Unicode MS" w:cs="Arial"/>
          <w:bCs w:val="0"/>
          <w:sz w:val="20"/>
          <w:szCs w:val="20"/>
        </w:rPr>
        <w:t>že</w:t>
      </w:r>
      <w:r w:rsidRPr="00617E4C">
        <w:rPr>
          <w:rFonts w:eastAsia="Arial Unicode MS" w:cs="Arial"/>
          <w:bCs w:val="0"/>
          <w:sz w:val="20"/>
          <w:szCs w:val="20"/>
        </w:rPr>
        <w:t xml:space="preserve"> by intenzity rozvodovosti podle délky trvání manželství zaznamenané v</w:t>
      </w:r>
      <w:r w:rsidR="00627157">
        <w:rPr>
          <w:rFonts w:eastAsia="Arial Unicode MS" w:cs="Arial"/>
          <w:bCs w:val="0"/>
          <w:sz w:val="20"/>
          <w:szCs w:val="20"/>
        </w:rPr>
        <w:t>e sledovaném</w:t>
      </w:r>
      <w:r w:rsidRPr="00617E4C">
        <w:rPr>
          <w:rFonts w:eastAsia="Arial Unicode MS" w:cs="Arial"/>
          <w:bCs w:val="0"/>
          <w:sz w:val="20"/>
          <w:szCs w:val="20"/>
        </w:rPr>
        <w:t xml:space="preserve"> kalendářním roce zůstaly neměnné.</w:t>
      </w:r>
    </w:p>
    <w:p w14:paraId="6DE5C190" w14:textId="063FADE1"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narozených</w:t>
      </w:r>
    </w:p>
    <w:p w14:paraId="5AD885EC" w14:textId="73C55950" w:rsidR="00617E4C" w:rsidRPr="00695694" w:rsidRDefault="00617E4C" w:rsidP="00E84315">
      <w:pPr>
        <w:pStyle w:val="Zkladntextodsazen"/>
        <w:spacing w:after="120" w:line="288" w:lineRule="auto"/>
        <w:ind w:firstLine="0"/>
        <w:jc w:val="left"/>
        <w:rPr>
          <w:rFonts w:cs="Arial"/>
          <w:sz w:val="20"/>
        </w:rPr>
      </w:pPr>
      <w:r w:rsidRPr="00695694">
        <w:rPr>
          <w:rFonts w:eastAsia="Arial Unicode MS" w:cs="Arial"/>
          <w:sz w:val="20"/>
        </w:rPr>
        <w:t>Počet narozených dětí</w:t>
      </w:r>
      <w:r w:rsidRPr="00617E4C">
        <w:rPr>
          <w:rFonts w:eastAsia="Arial Unicode MS" w:cs="Arial"/>
          <w:bCs w:val="0"/>
          <w:sz w:val="20"/>
        </w:rPr>
        <w:t xml:space="preserve"> </w:t>
      </w:r>
      <w:r w:rsidR="00296AB1">
        <w:rPr>
          <w:rFonts w:eastAsia="Arial Unicode MS" w:cs="Arial"/>
          <w:bCs w:val="0"/>
          <w:sz w:val="20"/>
        </w:rPr>
        <w:t>n</w:t>
      </w:r>
      <w:r w:rsidRPr="00617E4C">
        <w:rPr>
          <w:rFonts w:eastAsia="Arial Unicode MS" w:cs="Arial"/>
          <w:bCs w:val="0"/>
          <w:sz w:val="20"/>
        </w:rPr>
        <w:t>ezahrnuje děti, jejichž matka požádala o utajení své osoby v souvislosti s porodem (podle zákona č. 20/1966 Sb., o péči o zdraví lidu, ve znění zákona č. 422/2004 Sb.), a nalezené děti (</w:t>
      </w:r>
      <w:r w:rsidR="00296AB1">
        <w:rPr>
          <w:rFonts w:eastAsia="Arial Unicode MS" w:cs="Arial"/>
          <w:bCs w:val="0"/>
          <w:sz w:val="20"/>
        </w:rPr>
        <w:t>jejichž</w:t>
      </w:r>
      <w:r w:rsidRPr="00617E4C">
        <w:rPr>
          <w:rFonts w:eastAsia="Arial Unicode MS" w:cs="Arial"/>
          <w:bCs w:val="0"/>
          <w:sz w:val="20"/>
        </w:rPr>
        <w:t xml:space="preserve"> matk</w:t>
      </w:r>
      <w:r w:rsidR="00296AB1">
        <w:rPr>
          <w:rFonts w:eastAsia="Arial Unicode MS" w:cs="Arial"/>
          <w:bCs w:val="0"/>
          <w:sz w:val="20"/>
        </w:rPr>
        <w:t>a má neznámou totožnost</w:t>
      </w:r>
      <w:r w:rsidRPr="00617E4C">
        <w:rPr>
          <w:rFonts w:eastAsia="Arial Unicode MS" w:cs="Arial"/>
          <w:bCs w:val="0"/>
          <w:sz w:val="20"/>
        </w:rPr>
        <w:t>).</w:t>
      </w:r>
      <w:r w:rsidR="001D211C">
        <w:rPr>
          <w:rFonts w:eastAsia="Arial Unicode MS" w:cs="Arial"/>
          <w:bCs w:val="0"/>
          <w:sz w:val="20"/>
        </w:rPr>
        <w:t xml:space="preserve"> </w:t>
      </w:r>
      <w:r w:rsidR="001D211C" w:rsidRPr="00BD31DF">
        <w:rPr>
          <w:rFonts w:cs="Arial"/>
          <w:sz w:val="20"/>
        </w:rPr>
        <w:t>Územně jsou narozené děti tříděny podle místa pobytu matky v době porodu</w:t>
      </w:r>
      <w:r w:rsidR="001D211C">
        <w:rPr>
          <w:rFonts w:cs="Arial"/>
          <w:sz w:val="20"/>
        </w:rPr>
        <w:t xml:space="preserve"> (v případě, že matka nemá v Česku registrovaný pobyt, tak podle místa pobytu otce v době narození dítěte)</w:t>
      </w:r>
      <w:r w:rsidR="001D211C" w:rsidRPr="00BD31DF">
        <w:rPr>
          <w:rFonts w:cs="Arial"/>
          <w:sz w:val="20"/>
        </w:rPr>
        <w:t>.</w:t>
      </w:r>
    </w:p>
    <w:p w14:paraId="31C670D2" w14:textId="62201194" w:rsidR="00236FEC" w:rsidRDefault="00296AB1" w:rsidP="00E84315">
      <w:pPr>
        <w:spacing w:after="120" w:line="288" w:lineRule="auto"/>
        <w:rPr>
          <w:rFonts w:eastAsia="Arial Unicode MS" w:cs="Arial"/>
          <w:bCs w:val="0"/>
          <w:sz w:val="20"/>
        </w:rPr>
      </w:pPr>
      <w:r>
        <w:rPr>
          <w:rFonts w:eastAsia="Arial Unicode MS" w:cs="Arial"/>
          <w:bCs w:val="0"/>
          <w:sz w:val="20"/>
        </w:rPr>
        <w:t xml:space="preserve">Rozlišení </w:t>
      </w:r>
      <w:r w:rsidRPr="00BF5782">
        <w:rPr>
          <w:rFonts w:eastAsia="Arial Unicode MS" w:cs="Arial"/>
          <w:b/>
          <w:bCs w:val="0"/>
          <w:sz w:val="20"/>
        </w:rPr>
        <w:t>živě a mrtvě</w:t>
      </w:r>
      <w:r>
        <w:rPr>
          <w:rFonts w:eastAsia="Arial Unicode MS" w:cs="Arial"/>
          <w:bCs w:val="0"/>
          <w:sz w:val="20"/>
        </w:rPr>
        <w:t xml:space="preserve"> narozených dětí vychází z údaje o vitalitě na hlášení o narození, dodržení definice ČSÚ předpokládá. </w:t>
      </w:r>
      <w:r w:rsidR="00DF1435">
        <w:rPr>
          <w:rFonts w:eastAsia="Arial Unicode MS" w:cs="Arial"/>
          <w:bCs w:val="0"/>
          <w:sz w:val="20"/>
        </w:rPr>
        <w:t xml:space="preserve">V průběhu let se kritéria vitality </w:t>
      </w:r>
      <w:r w:rsidR="00F71083">
        <w:rPr>
          <w:rFonts w:eastAsia="Arial Unicode MS" w:cs="Arial"/>
          <w:bCs w:val="0"/>
          <w:sz w:val="20"/>
        </w:rPr>
        <w:t xml:space="preserve">narozeného </w:t>
      </w:r>
      <w:r w:rsidR="00DF1435">
        <w:rPr>
          <w:rFonts w:eastAsia="Arial Unicode MS" w:cs="Arial"/>
          <w:bCs w:val="0"/>
          <w:sz w:val="20"/>
        </w:rPr>
        <w:t>dítěte měnila:</w:t>
      </w:r>
    </w:p>
    <w:p w14:paraId="54E506D1" w14:textId="75004C91" w:rsidR="00236FEC" w:rsidRDefault="00DF1435" w:rsidP="00E84315">
      <w:pPr>
        <w:pStyle w:val="Odstavecseseznamem"/>
        <w:numPr>
          <w:ilvl w:val="0"/>
          <w:numId w:val="5"/>
        </w:numPr>
        <w:spacing w:after="240" w:line="288" w:lineRule="auto"/>
        <w:rPr>
          <w:rFonts w:eastAsia="Arial Unicode MS" w:cs="Arial"/>
          <w:bCs w:val="0"/>
          <w:sz w:val="20"/>
        </w:rPr>
      </w:pPr>
      <w:r>
        <w:rPr>
          <w:rFonts w:eastAsia="Arial Unicode MS" w:cs="Arial"/>
          <w:bCs w:val="0"/>
          <w:sz w:val="20"/>
        </w:rPr>
        <w:t>D</w:t>
      </w:r>
      <w:r w:rsidR="00617E4C" w:rsidRPr="00695694">
        <w:rPr>
          <w:rFonts w:eastAsia="Arial Unicode MS" w:cs="Arial"/>
          <w:bCs w:val="0"/>
          <w:sz w:val="20"/>
        </w:rPr>
        <w:t>o roku 1948 platila v České republice mezinárodní definice živě narozeného dítěte, za které byl považován plod, u kterého byly zjištěny známky dechu či srdečního pulzu (bez ohledu na délku trvání těhotenství)</w:t>
      </w:r>
      <w:r w:rsidR="00222565" w:rsidRPr="00695694">
        <w:rPr>
          <w:rFonts w:eastAsia="Arial Unicode MS" w:cs="Arial"/>
          <w:bCs w:val="0"/>
          <w:sz w:val="20"/>
        </w:rPr>
        <w:t>,</w:t>
      </w:r>
      <w:r w:rsidR="00617E4C" w:rsidRPr="00695694">
        <w:rPr>
          <w:rFonts w:eastAsia="Arial Unicode MS" w:cs="Arial"/>
          <w:bCs w:val="0"/>
          <w:sz w:val="20"/>
        </w:rPr>
        <w:t xml:space="preserve"> a definice mrtvě narozeného dítěte, za které byl považován mrtvě narozený plod narozený </w:t>
      </w:r>
      <w:r w:rsidR="001009FD" w:rsidRPr="00695694">
        <w:rPr>
          <w:rFonts w:eastAsia="Arial Unicode MS" w:cs="Arial"/>
          <w:bCs w:val="0"/>
          <w:sz w:val="20"/>
        </w:rPr>
        <w:t>po </w:t>
      </w:r>
      <w:r w:rsidR="00617E4C" w:rsidRPr="00695694">
        <w:rPr>
          <w:rFonts w:eastAsia="Arial Unicode MS" w:cs="Arial"/>
          <w:bCs w:val="0"/>
          <w:sz w:val="20"/>
        </w:rPr>
        <w:t xml:space="preserve">28. týdnu těhotenství. </w:t>
      </w:r>
    </w:p>
    <w:p w14:paraId="41DCEE99" w14:textId="06469740" w:rsidR="00236FEC" w:rsidRDefault="00617E4C" w:rsidP="00E84315">
      <w:pPr>
        <w:pStyle w:val="Odstavecseseznamem"/>
        <w:numPr>
          <w:ilvl w:val="0"/>
          <w:numId w:val="5"/>
        </w:numPr>
        <w:spacing w:after="240" w:line="288" w:lineRule="auto"/>
        <w:rPr>
          <w:rFonts w:eastAsia="Arial Unicode MS" w:cs="Arial"/>
          <w:bCs w:val="0"/>
          <w:sz w:val="20"/>
        </w:rPr>
      </w:pPr>
      <w:r w:rsidRPr="00695694">
        <w:rPr>
          <w:rFonts w:eastAsia="Arial Unicode MS" w:cs="Arial"/>
          <w:bCs w:val="0"/>
          <w:sz w:val="20"/>
          <w:szCs w:val="20"/>
        </w:rPr>
        <w:t>V letech 1949–1952 musel plod, aby byl dle národní definice považován za dítě, vážit alespoň 400 g.</w:t>
      </w:r>
      <w:r w:rsidRPr="00695694">
        <w:rPr>
          <w:rFonts w:eastAsia="Arial Unicode MS" w:cs="Arial"/>
          <w:bCs w:val="0"/>
          <w:sz w:val="20"/>
        </w:rPr>
        <w:t xml:space="preserve"> Jeho vitalita (živě či mrtvě narozené) byla určena podle toho, zda plod projevoval při narození známky života</w:t>
      </w:r>
      <w:r w:rsidR="00BF5782">
        <w:rPr>
          <w:rFonts w:eastAsia="Arial Unicode MS" w:cs="Arial"/>
          <w:bCs w:val="0"/>
          <w:sz w:val="20"/>
        </w:rPr>
        <w:t>,</w:t>
      </w:r>
      <w:r w:rsidRPr="00695694">
        <w:rPr>
          <w:rFonts w:eastAsia="Arial Unicode MS" w:cs="Arial"/>
          <w:bCs w:val="0"/>
          <w:sz w:val="20"/>
        </w:rPr>
        <w:t xml:space="preserve"> či nikoliv. </w:t>
      </w:r>
    </w:p>
    <w:p w14:paraId="1864A8CD" w14:textId="19FD3874" w:rsidR="00236FEC" w:rsidRDefault="00617E4C" w:rsidP="00E84315">
      <w:pPr>
        <w:pStyle w:val="Odstavecseseznamem"/>
        <w:numPr>
          <w:ilvl w:val="0"/>
          <w:numId w:val="5"/>
        </w:numPr>
        <w:spacing w:after="240" w:line="288" w:lineRule="auto"/>
        <w:rPr>
          <w:rFonts w:eastAsia="Arial Unicode MS" w:cs="Arial"/>
          <w:bCs w:val="0"/>
          <w:sz w:val="20"/>
        </w:rPr>
      </w:pPr>
      <w:r w:rsidRPr="00695694">
        <w:rPr>
          <w:rFonts w:eastAsia="Arial Unicode MS" w:cs="Arial"/>
          <w:bCs w:val="0"/>
          <w:sz w:val="20"/>
        </w:rPr>
        <w:t>V období 1953–1964 byl za dítě pokládán plod měřící alespoň 35 cm a vážící alespoň 1 000 g, který byl výsledkem těhotenství trvajícího alespoň 28 týdnů (musel</w:t>
      </w:r>
      <w:r w:rsidR="00BF5782">
        <w:rPr>
          <w:rFonts w:eastAsia="Arial Unicode MS" w:cs="Arial"/>
          <w:bCs w:val="0"/>
          <w:sz w:val="20"/>
        </w:rPr>
        <w:t>a</w:t>
      </w:r>
      <w:r w:rsidRPr="00695694">
        <w:rPr>
          <w:rFonts w:eastAsia="Arial Unicode MS" w:cs="Arial"/>
          <w:bCs w:val="0"/>
          <w:sz w:val="20"/>
        </w:rPr>
        <w:t xml:space="preserve"> být splněn</w:t>
      </w:r>
      <w:r w:rsidR="00BF5782">
        <w:rPr>
          <w:rFonts w:eastAsia="Arial Unicode MS" w:cs="Arial"/>
          <w:bCs w:val="0"/>
          <w:sz w:val="20"/>
        </w:rPr>
        <w:t>a</w:t>
      </w:r>
      <w:r w:rsidRPr="00695694">
        <w:rPr>
          <w:rFonts w:eastAsia="Arial Unicode MS" w:cs="Arial"/>
          <w:bCs w:val="0"/>
          <w:sz w:val="20"/>
        </w:rPr>
        <w:t xml:space="preserve"> všechn</w:t>
      </w:r>
      <w:r w:rsidR="00BF5782">
        <w:rPr>
          <w:rFonts w:eastAsia="Arial Unicode MS" w:cs="Arial"/>
          <w:bCs w:val="0"/>
          <w:sz w:val="20"/>
        </w:rPr>
        <w:t>a</w:t>
      </w:r>
      <w:r w:rsidRPr="00695694">
        <w:rPr>
          <w:rFonts w:eastAsia="Arial Unicode MS" w:cs="Arial"/>
          <w:bCs w:val="0"/>
          <w:sz w:val="20"/>
        </w:rPr>
        <w:t xml:space="preserve"> tři kritéria). Kritériem života bylo alespoň jedno vdechnutí plodu. Za (živě narozené) dítě se považoval i plod, který </w:t>
      </w:r>
      <w:r w:rsidR="001009FD" w:rsidRPr="00695694">
        <w:rPr>
          <w:rFonts w:eastAsia="Arial Unicode MS" w:cs="Arial"/>
          <w:bCs w:val="0"/>
          <w:sz w:val="20"/>
        </w:rPr>
        <w:t>se </w:t>
      </w:r>
      <w:r w:rsidRPr="00695694">
        <w:rPr>
          <w:rFonts w:eastAsia="Arial Unicode MS" w:cs="Arial"/>
          <w:bCs w:val="0"/>
          <w:sz w:val="20"/>
        </w:rPr>
        <w:t xml:space="preserve">narodil živě a nesplňoval uvedená kritéria, ale přežil 24 hodin. V případě vícečetných porodů stačilo, aby všechny znaky dítěte měl alespoň jeden plod a za děti byly považovány všechny plody z tohoto těhotenství. </w:t>
      </w:r>
    </w:p>
    <w:p w14:paraId="4E2CF3C1" w14:textId="4EEB00C6" w:rsidR="006228E9" w:rsidRPr="005F1D20" w:rsidRDefault="00617E4C" w:rsidP="00E84315">
      <w:pPr>
        <w:pStyle w:val="Odstavecseseznamem"/>
        <w:numPr>
          <w:ilvl w:val="0"/>
          <w:numId w:val="5"/>
        </w:numPr>
        <w:spacing w:after="240" w:line="288" w:lineRule="auto"/>
        <w:rPr>
          <w:rFonts w:eastAsia="Arial Unicode MS" w:cs="Arial"/>
          <w:bCs w:val="0"/>
          <w:sz w:val="20"/>
        </w:rPr>
      </w:pPr>
      <w:r w:rsidRPr="006228E9">
        <w:rPr>
          <w:rFonts w:eastAsia="Arial Unicode MS" w:cs="Arial"/>
          <w:bCs w:val="0"/>
          <w:sz w:val="20"/>
        </w:rPr>
        <w:t>V období od 1. 1. 1965 do 29. 2. 1988 platily opět mezinárodně doporučené definice dítěte, podle kterých: narození živého plodu je vypuzení nebo úplné vynětí plod</w:t>
      </w:r>
      <w:r w:rsidR="00757592">
        <w:rPr>
          <w:rFonts w:eastAsia="Arial Unicode MS" w:cs="Arial"/>
          <w:bCs w:val="0"/>
          <w:sz w:val="20"/>
        </w:rPr>
        <w:t>u z těla matčina (bez ohledu na </w:t>
      </w:r>
      <w:r w:rsidRPr="006228E9">
        <w:rPr>
          <w:rFonts w:eastAsia="Arial Unicode MS" w:cs="Arial"/>
          <w:bCs w:val="0"/>
          <w:sz w:val="20"/>
        </w:rPr>
        <w:t>délku těhotenství), jestliže plod po narození dýchá nebo projevuje jiné známky života jako srdeční činnost, pulzaci pupečníku nebo aktivní pohyb svalstva, i když pupečník nebyl přerušen nebo placenta porozena; narození mrtvého plodu je narození plodu, jehož úmrtí nastalo před úplným vypuzením nebo vynětí</w:t>
      </w:r>
      <w:r w:rsidR="001009FD" w:rsidRPr="006228E9">
        <w:rPr>
          <w:rFonts w:eastAsia="Arial Unicode MS" w:cs="Arial"/>
          <w:bCs w:val="0"/>
          <w:sz w:val="20"/>
        </w:rPr>
        <w:t>m z těla matčina (bez ohledu na </w:t>
      </w:r>
      <w:r w:rsidRPr="006228E9">
        <w:rPr>
          <w:rFonts w:eastAsia="Arial Unicode MS" w:cs="Arial"/>
          <w:bCs w:val="0"/>
          <w:sz w:val="20"/>
        </w:rPr>
        <w:t xml:space="preserve">délku těhotenství). Úmrtí je prokázáno tím, že plod nedýchá ani neprojevuje jinou známku života jako srdeční činnost, pulzaci pupečníku nebo aktivní pohyb svalstva (vyhláška ministerstva zdravotnictví 194/1964 Sb.). Za mrtvě narozené dítě je považován plod narozený po 28. týdnu těhotenství nebo, </w:t>
      </w:r>
      <w:r w:rsidRPr="005F1D20">
        <w:rPr>
          <w:rFonts w:eastAsia="Arial Unicode MS" w:cs="Arial"/>
          <w:bCs w:val="0"/>
          <w:sz w:val="20"/>
        </w:rPr>
        <w:t>nelze-li délku určit, vážící alesp</w:t>
      </w:r>
      <w:r w:rsidR="006228E9" w:rsidRPr="005F1D20">
        <w:rPr>
          <w:rFonts w:eastAsia="Arial Unicode MS" w:cs="Arial"/>
          <w:bCs w:val="0"/>
          <w:sz w:val="20"/>
        </w:rPr>
        <w:t>oň 1000 g.</w:t>
      </w:r>
    </w:p>
    <w:p w14:paraId="3F96886D" w14:textId="67F8ED37" w:rsidR="00617E4C" w:rsidRPr="005F1D20" w:rsidRDefault="00617E4C" w:rsidP="00E84315">
      <w:pPr>
        <w:pStyle w:val="Odstavecseseznamem"/>
        <w:numPr>
          <w:ilvl w:val="0"/>
          <w:numId w:val="5"/>
        </w:numPr>
        <w:spacing w:after="240" w:line="288" w:lineRule="auto"/>
        <w:rPr>
          <w:rFonts w:eastAsia="Arial Unicode MS" w:cs="Arial"/>
          <w:bCs w:val="0"/>
          <w:sz w:val="20"/>
        </w:rPr>
      </w:pPr>
      <w:r w:rsidRPr="005F1D20">
        <w:rPr>
          <w:rFonts w:eastAsia="Arial Unicode MS" w:cs="Arial"/>
          <w:bCs w:val="0"/>
          <w:sz w:val="20"/>
        </w:rPr>
        <w:t>Od 1. 3. 1988 do 31. 3. 2012 platila vyhláška Ministerstva zdravotnictví ČSR č. 11/1988 Sb., o</w:t>
      </w:r>
      <w:r w:rsidR="00BF5782" w:rsidRPr="005F1D20">
        <w:rPr>
          <w:rFonts w:eastAsia="Arial Unicode MS" w:cs="Arial"/>
          <w:bCs w:val="0"/>
          <w:sz w:val="20"/>
        </w:rPr>
        <w:t> </w:t>
      </w:r>
      <w:r w:rsidRPr="005F1D20">
        <w:rPr>
          <w:rFonts w:eastAsia="Arial Unicode MS" w:cs="Arial"/>
          <w:bCs w:val="0"/>
          <w:sz w:val="20"/>
        </w:rPr>
        <w:t xml:space="preserve">povinném hlášení ukončení těhotenství, úmrtí dítěte a úmrtí matky, podle které byl za </w:t>
      </w:r>
      <w:r w:rsidRPr="005F1D20">
        <w:rPr>
          <w:rFonts w:eastAsia="Arial Unicode MS" w:cs="Arial"/>
          <w:sz w:val="20"/>
        </w:rPr>
        <w:t>živě narozené dítě</w:t>
      </w:r>
      <w:r w:rsidRPr="005F1D20">
        <w:rPr>
          <w:rFonts w:eastAsia="Arial Unicode MS" w:cs="Arial"/>
          <w:bCs w:val="0"/>
          <w:sz w:val="20"/>
        </w:rPr>
        <w:t xml:space="preserve"> považován plod, který projevil po narození aspoň jednu známku života a měl</w:t>
      </w:r>
      <w:r w:rsidR="001009FD" w:rsidRPr="005F1D20">
        <w:rPr>
          <w:rFonts w:eastAsia="Arial Unicode MS" w:cs="Arial"/>
          <w:bCs w:val="0"/>
          <w:sz w:val="20"/>
        </w:rPr>
        <w:t xml:space="preserve"> porodní hmotnost 500 g a </w:t>
      </w:r>
      <w:r w:rsidRPr="005F1D20">
        <w:rPr>
          <w:rFonts w:eastAsia="Arial Unicode MS" w:cs="Arial"/>
          <w:bCs w:val="0"/>
          <w:sz w:val="20"/>
        </w:rPr>
        <w:t>vyšší, případně nižší než 500 g, přežije-li 24 hodi</w:t>
      </w:r>
      <w:r w:rsidR="00757592">
        <w:rPr>
          <w:rFonts w:eastAsia="Arial Unicode MS" w:cs="Arial"/>
          <w:bCs w:val="0"/>
          <w:sz w:val="20"/>
        </w:rPr>
        <w:t>n po porodu. Známkami života se </w:t>
      </w:r>
      <w:r w:rsidRPr="005F1D20">
        <w:rPr>
          <w:rFonts w:eastAsia="Arial Unicode MS" w:cs="Arial"/>
          <w:bCs w:val="0"/>
          <w:sz w:val="20"/>
        </w:rPr>
        <w:t>rozumí dech, srdeční akce, pulsace pupečníku nebo aktivní pohyb svalstva</w:t>
      </w:r>
      <w:r w:rsidR="008A5032" w:rsidRPr="005F1D20">
        <w:rPr>
          <w:rFonts w:eastAsia="Arial Unicode MS" w:cs="Arial"/>
          <w:bCs w:val="0"/>
          <w:sz w:val="20"/>
        </w:rPr>
        <w:t>, i když pupečník nebyl přerušen nebo placenta nebyla porozena</w:t>
      </w:r>
      <w:r w:rsidRPr="005F1D20">
        <w:rPr>
          <w:rFonts w:eastAsia="Arial Unicode MS" w:cs="Arial"/>
          <w:bCs w:val="0"/>
          <w:sz w:val="20"/>
        </w:rPr>
        <w:t xml:space="preserve">. </w:t>
      </w:r>
      <w:r w:rsidR="008A5032" w:rsidRPr="005F1D20">
        <w:rPr>
          <w:rFonts w:eastAsia="Arial Unicode MS" w:cs="Arial"/>
          <w:bCs w:val="0"/>
          <w:sz w:val="20"/>
        </w:rPr>
        <w:t>Narozením mrtvého dítěte se rozumí úplné vypuzení nebo vynětí z těla matčina, jestliže plod neprojevuje ani jednu ze známek života a má porodní hmotnost 1 000 g a vyšší. </w:t>
      </w:r>
    </w:p>
    <w:p w14:paraId="0CFC8156" w14:textId="6A74D5C7" w:rsidR="00617E4C" w:rsidRPr="00EB5896" w:rsidRDefault="00414A32" w:rsidP="00E84315">
      <w:pPr>
        <w:pStyle w:val="Odstavecseseznamem"/>
        <w:numPr>
          <w:ilvl w:val="0"/>
          <w:numId w:val="5"/>
        </w:numPr>
        <w:spacing w:after="240" w:line="288" w:lineRule="auto"/>
        <w:ind w:left="709" w:hanging="283"/>
        <w:rPr>
          <w:rFonts w:cs="Arial"/>
          <w:sz w:val="20"/>
          <w:szCs w:val="20"/>
        </w:rPr>
      </w:pPr>
      <w:r w:rsidRPr="005F1D20">
        <w:rPr>
          <w:rFonts w:eastAsia="Arial Unicode MS" w:cs="Arial"/>
          <w:bCs w:val="0"/>
          <w:sz w:val="20"/>
        </w:rPr>
        <w:t xml:space="preserve">K 1. 4. 2012 </w:t>
      </w:r>
      <w:r w:rsidR="00EC46A0" w:rsidRPr="005F1D20">
        <w:rPr>
          <w:rFonts w:eastAsia="Arial Unicode MS" w:cs="Arial"/>
          <w:bCs w:val="0"/>
          <w:sz w:val="20"/>
        </w:rPr>
        <w:t xml:space="preserve">byla </w:t>
      </w:r>
      <w:r w:rsidR="00EB5896" w:rsidRPr="005F1D20">
        <w:rPr>
          <w:rFonts w:eastAsia="Arial Unicode MS" w:cs="Arial"/>
          <w:bCs w:val="0"/>
          <w:iCs/>
          <w:sz w:val="20"/>
          <w:szCs w:val="20"/>
        </w:rPr>
        <w:t xml:space="preserve">vyhláška č. 11/1988 Sb. </w:t>
      </w:r>
      <w:r w:rsidRPr="005F1D20">
        <w:rPr>
          <w:rFonts w:eastAsia="Arial Unicode MS" w:cs="Arial"/>
          <w:bCs w:val="0"/>
          <w:sz w:val="20"/>
        </w:rPr>
        <w:t>zákonem č. </w:t>
      </w:r>
      <w:r w:rsidRPr="005F1D20">
        <w:rPr>
          <w:rFonts w:eastAsia="Arial Unicode MS" w:cs="Arial"/>
          <w:sz w:val="20"/>
        </w:rPr>
        <w:t>372/2011</w:t>
      </w:r>
      <w:r w:rsidRPr="005F1D20">
        <w:rPr>
          <w:rFonts w:eastAsia="Arial Unicode MS" w:cs="Arial"/>
          <w:bCs w:val="0"/>
          <w:sz w:val="20"/>
          <w:szCs w:val="20"/>
        </w:rPr>
        <w:t xml:space="preserve"> Sb.</w:t>
      </w:r>
      <w:r w:rsidRPr="005F1D20">
        <w:rPr>
          <w:rFonts w:eastAsia="Arial Unicode MS" w:cs="Arial"/>
          <w:bCs w:val="0"/>
          <w:sz w:val="20"/>
        </w:rPr>
        <w:t>, o zdravotních službách</w:t>
      </w:r>
      <w:r w:rsidRPr="005F1D20">
        <w:rPr>
          <w:rFonts w:eastAsia="Arial Unicode MS" w:cs="Arial"/>
          <w:bCs w:val="0"/>
          <w:i/>
          <w:iCs/>
          <w:sz w:val="20"/>
          <w:szCs w:val="20"/>
        </w:rPr>
        <w:t xml:space="preserve"> </w:t>
      </w:r>
      <w:r w:rsidRPr="005F1D20">
        <w:rPr>
          <w:rFonts w:eastAsia="Arial Unicode MS" w:cs="Arial"/>
          <w:bCs w:val="0"/>
          <w:sz w:val="20"/>
        </w:rPr>
        <w:t>zrušena</w:t>
      </w:r>
      <w:r w:rsidR="00EB5896" w:rsidRPr="005F1D20">
        <w:rPr>
          <w:rFonts w:eastAsia="Arial Unicode MS" w:cs="Arial"/>
          <w:bCs w:val="0"/>
          <w:sz w:val="20"/>
        </w:rPr>
        <w:t>, přičemž</w:t>
      </w:r>
      <w:r w:rsidR="00EC46A0" w:rsidRPr="005F1D20">
        <w:rPr>
          <w:rFonts w:eastAsia="Arial Unicode MS" w:cs="Arial"/>
          <w:bCs w:val="0"/>
          <w:sz w:val="20"/>
        </w:rPr>
        <w:t xml:space="preserve"> tento </w:t>
      </w:r>
      <w:r w:rsidR="00EC46A0" w:rsidRPr="005F1D20">
        <w:rPr>
          <w:rFonts w:eastAsia="Arial Unicode MS" w:cs="Arial"/>
          <w:bCs w:val="0"/>
          <w:sz w:val="20"/>
          <w:szCs w:val="20"/>
        </w:rPr>
        <w:t>zákon</w:t>
      </w:r>
      <w:r w:rsidR="00EC46A0" w:rsidRPr="005F1D20">
        <w:rPr>
          <w:rFonts w:cs="Arial"/>
          <w:sz w:val="20"/>
          <w:szCs w:val="20"/>
        </w:rPr>
        <w:t xml:space="preserve"> definuje plod po potratu</w:t>
      </w:r>
      <w:r w:rsidR="00EB5896" w:rsidRPr="005F1D20">
        <w:rPr>
          <w:rFonts w:cs="Arial"/>
          <w:sz w:val="20"/>
          <w:szCs w:val="20"/>
        </w:rPr>
        <w:t xml:space="preserve"> jako</w:t>
      </w:r>
      <w:r w:rsidR="00EC46A0" w:rsidRPr="005F1D20">
        <w:rPr>
          <w:rFonts w:cs="Arial"/>
          <w:sz w:val="20"/>
          <w:szCs w:val="20"/>
        </w:rPr>
        <w:t xml:space="preserve"> plod, který po úplném vypuzení</w:t>
      </w:r>
      <w:r w:rsidR="00EC46A0" w:rsidRPr="00EB5896">
        <w:rPr>
          <w:rFonts w:cs="Arial"/>
          <w:sz w:val="20"/>
          <w:szCs w:val="20"/>
        </w:rPr>
        <w:t xml:space="preserve"> nebo vynětí z těla matčina neprojevuje ani jednu ze známek života a současně jeho porodní hmotnost je nižší než 500 g, a pokud ji nelze zjistit, jestliže je těhotenství kratší než 22 týdny</w:t>
      </w:r>
      <w:r w:rsidR="00EC46A0" w:rsidRPr="006C79DE">
        <w:rPr>
          <w:rFonts w:cs="Arial"/>
          <w:sz w:val="18"/>
          <w:szCs w:val="18"/>
        </w:rPr>
        <w:t xml:space="preserve"> </w:t>
      </w:r>
      <w:r w:rsidR="006228E9">
        <w:rPr>
          <w:rFonts w:cs="Arial"/>
          <w:sz w:val="18"/>
          <w:szCs w:val="18"/>
        </w:rPr>
        <w:t>(</w:t>
      </w:r>
      <w:r w:rsidR="00F75BFF">
        <w:rPr>
          <w:rFonts w:cs="Arial"/>
          <w:sz w:val="20"/>
          <w:szCs w:val="20"/>
        </w:rPr>
        <w:t>z</w:t>
      </w:r>
      <w:r w:rsidR="000A5542" w:rsidRPr="00EB5896">
        <w:rPr>
          <w:rFonts w:cs="Arial"/>
          <w:sz w:val="20"/>
          <w:szCs w:val="20"/>
        </w:rPr>
        <w:t xml:space="preserve"> čehož vyplývá, že jestliže má plod 500 g a </w:t>
      </w:r>
      <w:r w:rsidR="00F75BFF">
        <w:rPr>
          <w:rFonts w:cs="Arial"/>
          <w:sz w:val="20"/>
          <w:szCs w:val="20"/>
        </w:rPr>
        <w:t>více, jde o mrtvě narozené dítě</w:t>
      </w:r>
      <w:r w:rsidR="006228E9">
        <w:rPr>
          <w:rFonts w:cs="Arial"/>
          <w:sz w:val="20"/>
          <w:szCs w:val="20"/>
        </w:rPr>
        <w:t>)</w:t>
      </w:r>
      <w:r w:rsidR="00F75BFF">
        <w:rPr>
          <w:rFonts w:cs="Arial"/>
          <w:sz w:val="20"/>
          <w:szCs w:val="20"/>
        </w:rPr>
        <w:t>.</w:t>
      </w:r>
      <w:r w:rsidR="000A5542" w:rsidRPr="00EB5896">
        <w:rPr>
          <w:rFonts w:cs="Arial"/>
          <w:sz w:val="20"/>
          <w:szCs w:val="20"/>
        </w:rPr>
        <w:t xml:space="preserve"> </w:t>
      </w:r>
      <w:r w:rsidR="004D7D54" w:rsidRPr="00EB5896">
        <w:rPr>
          <w:rFonts w:cs="Arial"/>
          <w:sz w:val="20"/>
          <w:szCs w:val="20"/>
        </w:rPr>
        <w:t>Definice živě a mrtvě narozeného dítěte</w:t>
      </w:r>
      <w:r w:rsidR="00EC46A0" w:rsidRPr="00EB5896">
        <w:rPr>
          <w:rFonts w:cs="Arial"/>
          <w:sz w:val="20"/>
          <w:szCs w:val="20"/>
        </w:rPr>
        <w:t xml:space="preserve"> </w:t>
      </w:r>
      <w:r w:rsidR="004D7D54" w:rsidRPr="00EB5896">
        <w:rPr>
          <w:rFonts w:cs="Arial"/>
          <w:sz w:val="20"/>
          <w:szCs w:val="20"/>
        </w:rPr>
        <w:t>(</w:t>
      </w:r>
      <w:r w:rsidR="00EC46A0" w:rsidRPr="00EB5896">
        <w:rPr>
          <w:rFonts w:cs="Arial"/>
          <w:sz w:val="20"/>
          <w:szCs w:val="20"/>
        </w:rPr>
        <w:t xml:space="preserve">spolu s definicemi </w:t>
      </w:r>
      <w:r w:rsidR="004D7D54" w:rsidRPr="00EB5896">
        <w:rPr>
          <w:rFonts w:cs="Arial"/>
          <w:sz w:val="20"/>
          <w:szCs w:val="20"/>
        </w:rPr>
        <w:t>všech případů potratu)</w:t>
      </w:r>
      <w:r w:rsidR="001E4454" w:rsidRPr="00EB5896">
        <w:rPr>
          <w:rFonts w:cs="Arial"/>
          <w:sz w:val="20"/>
          <w:szCs w:val="20"/>
        </w:rPr>
        <w:t xml:space="preserve"> navazující na právní definici plodu po potratu </w:t>
      </w:r>
      <w:r w:rsidR="004D7D54" w:rsidRPr="00EB5896">
        <w:rPr>
          <w:rFonts w:cs="Arial"/>
          <w:sz w:val="20"/>
          <w:szCs w:val="20"/>
        </w:rPr>
        <w:t>j</w:t>
      </w:r>
      <w:r w:rsidR="00EC46A0" w:rsidRPr="00EB5896">
        <w:rPr>
          <w:rFonts w:cs="Arial"/>
          <w:sz w:val="20"/>
          <w:szCs w:val="20"/>
        </w:rPr>
        <w:t>sou uvedeny v pokynech k vyplnění Listu o prohlídce zemřelého (ve vyhlášce č. 297/2012 Sb., o Listu o</w:t>
      </w:r>
      <w:r w:rsidR="00BF5782">
        <w:rPr>
          <w:rFonts w:cs="Arial"/>
          <w:sz w:val="20"/>
          <w:szCs w:val="20"/>
        </w:rPr>
        <w:t> </w:t>
      </w:r>
      <w:r w:rsidR="00EC46A0" w:rsidRPr="00EB5896">
        <w:rPr>
          <w:rFonts w:cs="Arial"/>
          <w:sz w:val="20"/>
          <w:szCs w:val="20"/>
        </w:rPr>
        <w:t xml:space="preserve">prohlídce zemřelého, ve znění pozdějších předpisů), a to pro potřeby vyplnění tohoto listu. </w:t>
      </w:r>
    </w:p>
    <w:p w14:paraId="4DFA7B83" w14:textId="28DC15A2" w:rsidR="00617E4C" w:rsidRPr="00296AB1" w:rsidRDefault="00617E4C" w:rsidP="00E84315">
      <w:pPr>
        <w:spacing w:after="120" w:line="288" w:lineRule="auto"/>
        <w:rPr>
          <w:rFonts w:eastAsia="Arial Unicode MS" w:cs="Arial"/>
          <w:bCs w:val="0"/>
          <w:sz w:val="20"/>
        </w:rPr>
      </w:pPr>
      <w:r w:rsidRPr="00296AB1">
        <w:rPr>
          <w:rFonts w:eastAsia="Arial Unicode MS" w:cs="Arial"/>
          <w:bCs w:val="0"/>
          <w:iCs/>
          <w:sz w:val="20"/>
        </w:rPr>
        <w:lastRenderedPageBreak/>
        <w:t xml:space="preserve">V souladu s nařízením Evropského parlamentu a Rady (EU) č. 1260/2013 o evropské demografické statistice došlo v roce 2014 ke změně metodiky vykazovaného </w:t>
      </w:r>
      <w:r w:rsidRPr="00296AB1">
        <w:rPr>
          <w:rFonts w:eastAsia="Arial Unicode MS" w:cs="Arial"/>
          <w:b/>
          <w:bCs w:val="0"/>
          <w:iCs/>
          <w:sz w:val="20"/>
        </w:rPr>
        <w:t>pořadí dítěte</w:t>
      </w:r>
      <w:r w:rsidRPr="00296AB1">
        <w:rPr>
          <w:rFonts w:eastAsia="Arial Unicode MS" w:cs="Arial"/>
          <w:bCs w:val="0"/>
          <w:iCs/>
          <w:sz w:val="20"/>
        </w:rPr>
        <w:t xml:space="preserve">. </w:t>
      </w:r>
      <w:r w:rsidR="001D211C">
        <w:rPr>
          <w:rFonts w:eastAsia="Arial Unicode MS" w:cs="Arial"/>
          <w:bCs w:val="0"/>
          <w:iCs/>
          <w:sz w:val="20"/>
        </w:rPr>
        <w:t>Do roku 2013 (včetně) pořadí dítěte reflektovalo všechny děti ženě dříve narozené, tj. včetně mrtvě narozených, od roku 2014</w:t>
      </w:r>
      <w:r w:rsidRPr="00296AB1">
        <w:rPr>
          <w:rFonts w:eastAsia="Arial Unicode MS" w:cs="Arial"/>
          <w:bCs w:val="0"/>
          <w:iCs/>
          <w:sz w:val="20"/>
        </w:rPr>
        <w:t xml:space="preserve"> je </w:t>
      </w:r>
      <w:r w:rsidR="001D211C">
        <w:rPr>
          <w:rFonts w:eastAsia="Arial Unicode MS" w:cs="Arial"/>
          <w:bCs w:val="0"/>
          <w:iCs/>
          <w:sz w:val="20"/>
        </w:rPr>
        <w:t xml:space="preserve">pořadí </w:t>
      </w:r>
      <w:r w:rsidRPr="00296AB1">
        <w:rPr>
          <w:rFonts w:eastAsia="Arial Unicode MS" w:cs="Arial"/>
          <w:bCs w:val="0"/>
          <w:iCs/>
          <w:sz w:val="20"/>
        </w:rPr>
        <w:t xml:space="preserve">zjišťováno pouze </w:t>
      </w:r>
      <w:r w:rsidR="001D211C">
        <w:rPr>
          <w:rFonts w:eastAsia="Arial Unicode MS" w:cs="Arial"/>
          <w:bCs w:val="0"/>
          <w:iCs/>
          <w:sz w:val="20"/>
        </w:rPr>
        <w:t>ze</w:t>
      </w:r>
      <w:r w:rsidRPr="00296AB1">
        <w:rPr>
          <w:rFonts w:eastAsia="Arial Unicode MS" w:cs="Arial"/>
          <w:bCs w:val="0"/>
          <w:iCs/>
          <w:sz w:val="20"/>
        </w:rPr>
        <w:t xml:space="preserve"> živě narozených dětí a </w:t>
      </w:r>
      <w:r w:rsidR="001D211C">
        <w:rPr>
          <w:rFonts w:eastAsia="Arial Unicode MS" w:cs="Arial"/>
          <w:bCs w:val="0"/>
          <w:iCs/>
          <w:sz w:val="20"/>
        </w:rPr>
        <w:t>u</w:t>
      </w:r>
      <w:r w:rsidRPr="00296AB1">
        <w:rPr>
          <w:rFonts w:eastAsia="Arial Unicode MS" w:cs="Arial"/>
          <w:bCs w:val="0"/>
          <w:iCs/>
          <w:sz w:val="20"/>
        </w:rPr>
        <w:t xml:space="preserve"> živě narozených dětí.</w:t>
      </w:r>
    </w:p>
    <w:p w14:paraId="1D611E11" w14:textId="3FBD5174" w:rsidR="00617E4C" w:rsidRDefault="001D211C" w:rsidP="00E84315">
      <w:pPr>
        <w:spacing w:after="120" w:line="288" w:lineRule="auto"/>
        <w:rPr>
          <w:rFonts w:eastAsia="Arial Unicode MS" w:cs="Arial"/>
          <w:bCs w:val="0"/>
          <w:sz w:val="20"/>
        </w:rPr>
      </w:pPr>
      <w:r>
        <w:rPr>
          <w:rFonts w:eastAsia="Arial Unicode MS" w:cs="Arial"/>
          <w:bCs w:val="0"/>
          <w:sz w:val="20"/>
        </w:rPr>
        <w:t xml:space="preserve">Vzdělání je od roku 2007 dobrovolně poskytovaným údajem. </w:t>
      </w:r>
      <w:r w:rsidR="00617E4C" w:rsidRPr="00617E4C">
        <w:rPr>
          <w:rFonts w:eastAsia="Arial Unicode MS" w:cs="Arial"/>
          <w:bCs w:val="0"/>
          <w:sz w:val="20"/>
        </w:rPr>
        <w:t xml:space="preserve">Od roku 2015 </w:t>
      </w:r>
      <w:r>
        <w:rPr>
          <w:rFonts w:eastAsia="Arial Unicode MS" w:cs="Arial"/>
          <w:bCs w:val="0"/>
          <w:sz w:val="20"/>
        </w:rPr>
        <w:t>jsou zjišťované úrovně nejvyššího dokončeného</w:t>
      </w:r>
      <w:r w:rsidR="00617E4C" w:rsidRPr="00617E4C">
        <w:rPr>
          <w:rFonts w:eastAsia="Arial Unicode MS" w:cs="Arial"/>
          <w:bCs w:val="0"/>
          <w:sz w:val="20"/>
        </w:rPr>
        <w:t xml:space="preserve"> vzdělání matky/otce dítěte rozšířen</w:t>
      </w:r>
      <w:r>
        <w:rPr>
          <w:rFonts w:eastAsia="Arial Unicode MS" w:cs="Arial"/>
          <w:bCs w:val="0"/>
          <w:sz w:val="20"/>
        </w:rPr>
        <w:t>y</w:t>
      </w:r>
      <w:r w:rsidR="00617E4C" w:rsidRPr="00617E4C">
        <w:rPr>
          <w:rFonts w:eastAsia="Arial Unicode MS" w:cs="Arial"/>
          <w:bCs w:val="0"/>
          <w:sz w:val="20"/>
        </w:rPr>
        <w:t xml:space="preserve"> o samostatnou kate</w:t>
      </w:r>
      <w:r w:rsidR="002015EF">
        <w:rPr>
          <w:rFonts w:eastAsia="Arial Unicode MS" w:cs="Arial"/>
          <w:bCs w:val="0"/>
          <w:sz w:val="20"/>
        </w:rPr>
        <w:t xml:space="preserve">gorii pro </w:t>
      </w:r>
      <w:r>
        <w:rPr>
          <w:rFonts w:eastAsia="Arial Unicode MS" w:cs="Arial"/>
          <w:bCs w:val="0"/>
          <w:sz w:val="20"/>
        </w:rPr>
        <w:t xml:space="preserve">absolventy </w:t>
      </w:r>
      <w:r w:rsidR="002015EF">
        <w:rPr>
          <w:rFonts w:eastAsia="Arial Unicode MS" w:cs="Arial"/>
          <w:bCs w:val="0"/>
          <w:sz w:val="20"/>
        </w:rPr>
        <w:t>vyšší odborné školy a </w:t>
      </w:r>
      <w:r w:rsidR="00617E4C" w:rsidRPr="00617E4C">
        <w:rPr>
          <w:rFonts w:eastAsia="Arial Unicode MS" w:cs="Arial"/>
          <w:bCs w:val="0"/>
          <w:sz w:val="20"/>
        </w:rPr>
        <w:t xml:space="preserve">konzervatoře </w:t>
      </w:r>
      <w:r>
        <w:rPr>
          <w:rFonts w:eastAsia="Arial Unicode MS" w:cs="Arial"/>
          <w:bCs w:val="0"/>
          <w:sz w:val="20"/>
        </w:rPr>
        <w:t>(</w:t>
      </w:r>
      <w:r w:rsidR="00617E4C" w:rsidRPr="00617E4C">
        <w:rPr>
          <w:rFonts w:eastAsia="Arial Unicode MS" w:cs="Arial"/>
          <w:bCs w:val="0"/>
          <w:sz w:val="20"/>
        </w:rPr>
        <w:t>ukončené absolutoriem</w:t>
      </w:r>
      <w:r>
        <w:rPr>
          <w:rFonts w:eastAsia="Arial Unicode MS" w:cs="Arial"/>
          <w:bCs w:val="0"/>
          <w:sz w:val="20"/>
        </w:rPr>
        <w:t>)</w:t>
      </w:r>
      <w:r w:rsidR="00617E4C" w:rsidRPr="00617E4C">
        <w:rPr>
          <w:rFonts w:eastAsia="Arial Unicode MS" w:cs="Arial"/>
          <w:bCs w:val="0"/>
          <w:sz w:val="20"/>
        </w:rPr>
        <w:t>.</w:t>
      </w:r>
    </w:p>
    <w:p w14:paraId="6A55A1AF" w14:textId="4FAF1A43" w:rsidR="00296AB1" w:rsidRPr="00617E4C" w:rsidRDefault="00296AB1" w:rsidP="004800AB">
      <w:pPr>
        <w:spacing w:after="160" w:line="288" w:lineRule="auto"/>
        <w:rPr>
          <w:rFonts w:eastAsia="Arial Unicode MS" w:cs="Arial"/>
          <w:bCs w:val="0"/>
          <w:sz w:val="20"/>
        </w:rPr>
      </w:pPr>
      <w:r>
        <w:rPr>
          <w:rFonts w:eastAsia="Arial Unicode MS" w:cs="Arial"/>
          <w:bCs w:val="0"/>
          <w:sz w:val="20"/>
        </w:rPr>
        <w:t>U narozených nevdaným ženám nemusí být údaje o otci vyplněné</w:t>
      </w:r>
      <w:r w:rsidR="001D211C">
        <w:rPr>
          <w:rFonts w:eastAsia="Arial Unicode MS" w:cs="Arial"/>
          <w:bCs w:val="0"/>
          <w:sz w:val="20"/>
        </w:rPr>
        <w:t xml:space="preserve">, resp. až </w:t>
      </w:r>
      <w:r w:rsidR="00757592">
        <w:rPr>
          <w:rFonts w:eastAsia="Arial Unicode MS" w:cs="Arial"/>
          <w:bCs w:val="0"/>
          <w:sz w:val="20"/>
        </w:rPr>
        <w:t>do roku 2007 (včetně) nebyly ve </w:t>
      </w:r>
      <w:r w:rsidR="001D211C">
        <w:rPr>
          <w:rFonts w:eastAsia="Arial Unicode MS" w:cs="Arial"/>
          <w:bCs w:val="0"/>
          <w:sz w:val="20"/>
        </w:rPr>
        <w:t>statistice vůbec sledovány</w:t>
      </w:r>
      <w:r>
        <w:rPr>
          <w:rFonts w:eastAsia="Arial Unicode MS" w:cs="Arial"/>
          <w:bCs w:val="0"/>
          <w:sz w:val="20"/>
        </w:rPr>
        <w:t>.</w:t>
      </w:r>
    </w:p>
    <w:p w14:paraId="52B34E4B" w14:textId="5CEAB365" w:rsidR="00617E4C" w:rsidRDefault="00617E4C" w:rsidP="004800AB">
      <w:pPr>
        <w:spacing w:after="160" w:line="288" w:lineRule="auto"/>
        <w:rPr>
          <w:rFonts w:eastAsia="Arial Unicode MS" w:cs="Arial"/>
          <w:bCs w:val="0"/>
          <w:sz w:val="20"/>
        </w:rPr>
      </w:pPr>
      <w:r w:rsidRPr="00617E4C">
        <w:rPr>
          <w:rFonts w:eastAsia="Arial Unicode MS" w:cs="Arial"/>
          <w:b/>
          <w:sz w:val="20"/>
        </w:rPr>
        <w:t xml:space="preserve">Úhrnná plodnost </w:t>
      </w:r>
      <w:r w:rsidRPr="00617E4C">
        <w:rPr>
          <w:rFonts w:eastAsia="Arial Unicode MS" w:cs="Arial"/>
          <w:bCs w:val="0"/>
          <w:iCs/>
          <w:sz w:val="20"/>
        </w:rPr>
        <w:t xml:space="preserve">– </w:t>
      </w:r>
      <w:r w:rsidR="001D211C">
        <w:rPr>
          <w:rFonts w:eastAsia="Arial Unicode MS" w:cs="Arial"/>
          <w:bCs w:val="0"/>
          <w:iCs/>
          <w:sz w:val="20"/>
        </w:rPr>
        <w:t xml:space="preserve">průměrný </w:t>
      </w:r>
      <w:r w:rsidRPr="00617E4C">
        <w:rPr>
          <w:rFonts w:eastAsia="Arial Unicode MS" w:cs="Arial"/>
          <w:bCs w:val="0"/>
          <w:sz w:val="20"/>
        </w:rPr>
        <w:t xml:space="preserve">počet </w:t>
      </w:r>
      <w:r w:rsidR="001D211C">
        <w:rPr>
          <w:rFonts w:eastAsia="Arial Unicode MS" w:cs="Arial"/>
          <w:bCs w:val="0"/>
          <w:sz w:val="20"/>
        </w:rPr>
        <w:t xml:space="preserve">živě narozených </w:t>
      </w:r>
      <w:r w:rsidRPr="00617E4C">
        <w:rPr>
          <w:rFonts w:eastAsia="Arial Unicode MS" w:cs="Arial"/>
          <w:bCs w:val="0"/>
          <w:sz w:val="20"/>
        </w:rPr>
        <w:t xml:space="preserve">dětí, které by se narodily </w:t>
      </w:r>
      <w:r w:rsidR="001D211C">
        <w:rPr>
          <w:rFonts w:eastAsia="Arial Unicode MS" w:cs="Arial"/>
          <w:bCs w:val="0"/>
          <w:sz w:val="20"/>
        </w:rPr>
        <w:t>jedné</w:t>
      </w:r>
      <w:r w:rsidRPr="00617E4C">
        <w:rPr>
          <w:rFonts w:eastAsia="Arial Unicode MS" w:cs="Arial"/>
          <w:bCs w:val="0"/>
          <w:sz w:val="20"/>
        </w:rPr>
        <w:t xml:space="preserve"> ženě </w:t>
      </w:r>
      <w:r w:rsidR="001D211C">
        <w:rPr>
          <w:rFonts w:eastAsia="Arial Unicode MS" w:cs="Arial"/>
          <w:bCs w:val="0"/>
          <w:sz w:val="20"/>
        </w:rPr>
        <w:t>za předpoklad</w:t>
      </w:r>
      <w:r w:rsidR="0027645A">
        <w:rPr>
          <w:rFonts w:eastAsia="Arial Unicode MS" w:cs="Arial"/>
          <w:bCs w:val="0"/>
          <w:sz w:val="20"/>
        </w:rPr>
        <w:t>u</w:t>
      </w:r>
      <w:r w:rsidRPr="00617E4C">
        <w:rPr>
          <w:rFonts w:eastAsia="Arial Unicode MS" w:cs="Arial"/>
          <w:bCs w:val="0"/>
          <w:sz w:val="20"/>
        </w:rPr>
        <w:t xml:space="preserve">, </w:t>
      </w:r>
      <w:r w:rsidR="0027645A">
        <w:rPr>
          <w:rFonts w:eastAsia="Arial Unicode MS" w:cs="Arial"/>
          <w:bCs w:val="0"/>
          <w:sz w:val="20"/>
        </w:rPr>
        <w:t>že</w:t>
      </w:r>
      <w:r w:rsidRPr="00617E4C">
        <w:rPr>
          <w:rFonts w:eastAsia="Arial Unicode MS" w:cs="Arial"/>
          <w:bCs w:val="0"/>
          <w:sz w:val="20"/>
        </w:rPr>
        <w:t xml:space="preserve"> by mír</w:t>
      </w:r>
      <w:r w:rsidR="0027645A">
        <w:rPr>
          <w:rFonts w:eastAsia="Arial Unicode MS" w:cs="Arial"/>
          <w:bCs w:val="0"/>
          <w:sz w:val="20"/>
        </w:rPr>
        <w:t>y</w:t>
      </w:r>
      <w:r w:rsidRPr="00617E4C">
        <w:rPr>
          <w:rFonts w:eastAsia="Arial Unicode MS" w:cs="Arial"/>
          <w:bCs w:val="0"/>
          <w:sz w:val="20"/>
        </w:rPr>
        <w:t xml:space="preserve"> plodnosti podle věku </w:t>
      </w:r>
      <w:r w:rsidR="0027645A">
        <w:rPr>
          <w:rFonts w:eastAsia="Arial Unicode MS" w:cs="Arial"/>
          <w:bCs w:val="0"/>
          <w:sz w:val="20"/>
        </w:rPr>
        <w:t>zaznamenané ve sledovaném kalendářním roce</w:t>
      </w:r>
      <w:r w:rsidRPr="00617E4C">
        <w:rPr>
          <w:rFonts w:eastAsia="Arial Unicode MS" w:cs="Arial"/>
          <w:bCs w:val="0"/>
          <w:sz w:val="20"/>
        </w:rPr>
        <w:t xml:space="preserve"> zůstal</w:t>
      </w:r>
      <w:r w:rsidR="0027645A">
        <w:rPr>
          <w:rFonts w:eastAsia="Arial Unicode MS" w:cs="Arial"/>
          <w:bCs w:val="0"/>
          <w:sz w:val="20"/>
        </w:rPr>
        <w:t>y během jejího reprodukčního věku (15–49 let) neměnné</w:t>
      </w:r>
      <w:r w:rsidRPr="00617E4C">
        <w:rPr>
          <w:rFonts w:eastAsia="Arial Unicode MS" w:cs="Arial"/>
          <w:bCs w:val="0"/>
          <w:sz w:val="20"/>
        </w:rPr>
        <w:t xml:space="preserve">. </w:t>
      </w:r>
    </w:p>
    <w:p w14:paraId="2CC51DA7" w14:textId="43FF1601" w:rsidR="0027645A" w:rsidRPr="00617E4C" w:rsidRDefault="0027645A" w:rsidP="004800AB">
      <w:pPr>
        <w:spacing w:after="160" w:line="288" w:lineRule="auto"/>
        <w:rPr>
          <w:rFonts w:eastAsia="Arial Unicode MS" w:cs="Arial"/>
          <w:bCs w:val="0"/>
          <w:sz w:val="20"/>
        </w:rPr>
      </w:pPr>
      <w:r w:rsidRPr="00695694">
        <w:rPr>
          <w:rFonts w:eastAsia="Arial Unicode MS" w:cs="Arial"/>
          <w:b/>
          <w:bCs w:val="0"/>
          <w:sz w:val="20"/>
        </w:rPr>
        <w:t>Průměrný věk žen při narození prvního dítěte</w:t>
      </w:r>
      <w:r>
        <w:rPr>
          <w:rFonts w:eastAsia="Arial Unicode MS" w:cs="Arial"/>
          <w:bCs w:val="0"/>
          <w:sz w:val="20"/>
        </w:rPr>
        <w:t xml:space="preserve"> vychází z rozložení měr plodnosti prvního pořadí podle věku.</w:t>
      </w:r>
    </w:p>
    <w:p w14:paraId="43CF649E" w14:textId="38E63073" w:rsidR="00617E4C" w:rsidRPr="00617E4C" w:rsidRDefault="00617E4C" w:rsidP="004800AB">
      <w:pPr>
        <w:spacing w:after="160" w:line="288" w:lineRule="auto"/>
        <w:rPr>
          <w:rFonts w:eastAsia="Arial Unicode MS" w:cs="Arial"/>
          <w:bCs w:val="0"/>
          <w:sz w:val="20"/>
        </w:rPr>
      </w:pPr>
      <w:r w:rsidRPr="00617E4C">
        <w:rPr>
          <w:rFonts w:eastAsia="Arial Unicode MS" w:cs="Arial"/>
          <w:b/>
          <w:sz w:val="20"/>
        </w:rPr>
        <w:t>Hrubá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průměrn</w:t>
      </w:r>
      <w:r w:rsidR="0027645A">
        <w:rPr>
          <w:rFonts w:eastAsia="Arial Unicode MS" w:cs="Arial"/>
          <w:bCs w:val="0"/>
          <w:sz w:val="20"/>
        </w:rPr>
        <w:t>ý počet</w:t>
      </w:r>
      <w:r w:rsidRPr="00617E4C">
        <w:rPr>
          <w:rFonts w:eastAsia="Arial Unicode MS" w:cs="Arial"/>
          <w:bCs w:val="0"/>
          <w:sz w:val="20"/>
        </w:rPr>
        <w:t xml:space="preserve"> živě naro</w:t>
      </w:r>
      <w:r w:rsidR="0027645A">
        <w:rPr>
          <w:rFonts w:eastAsia="Arial Unicode MS" w:cs="Arial"/>
          <w:bCs w:val="0"/>
          <w:sz w:val="20"/>
        </w:rPr>
        <w:t>zených dcer, které by se narodily</w:t>
      </w:r>
      <w:r w:rsidRPr="00617E4C">
        <w:rPr>
          <w:rFonts w:eastAsia="Arial Unicode MS" w:cs="Arial"/>
          <w:bCs w:val="0"/>
          <w:sz w:val="20"/>
        </w:rPr>
        <w:t xml:space="preserve"> jedné ženě </w:t>
      </w:r>
      <w:r w:rsidR="00757592">
        <w:rPr>
          <w:rFonts w:eastAsia="Arial Unicode MS" w:cs="Arial"/>
          <w:bCs w:val="0"/>
          <w:sz w:val="20"/>
        </w:rPr>
        <w:t>za </w:t>
      </w:r>
      <w:r w:rsidR="0027645A">
        <w:rPr>
          <w:rFonts w:eastAsia="Arial Unicode MS" w:cs="Arial"/>
          <w:bCs w:val="0"/>
          <w:sz w:val="20"/>
        </w:rPr>
        <w:t>předpokladu, že by míry plodnosti podle věku zaznamenané ve sledovaném</w:t>
      </w:r>
      <w:r w:rsidRPr="00617E4C">
        <w:rPr>
          <w:rFonts w:eastAsia="Arial Unicode MS" w:cs="Arial"/>
          <w:bCs w:val="0"/>
          <w:sz w:val="20"/>
        </w:rPr>
        <w:t xml:space="preserve"> kalendářním roce </w:t>
      </w:r>
      <w:r w:rsidR="0027645A">
        <w:rPr>
          <w:rFonts w:eastAsia="Arial Unicode MS" w:cs="Arial"/>
          <w:bCs w:val="0"/>
          <w:sz w:val="20"/>
        </w:rPr>
        <w:t>zůstaly během jejího</w:t>
      </w:r>
      <w:r w:rsidRPr="00617E4C">
        <w:rPr>
          <w:rFonts w:eastAsia="Arial Unicode MS" w:cs="Arial"/>
          <w:bCs w:val="0"/>
          <w:sz w:val="20"/>
        </w:rPr>
        <w:t> reprodukční</w:t>
      </w:r>
      <w:r w:rsidR="0027645A">
        <w:rPr>
          <w:rFonts w:eastAsia="Arial Unicode MS" w:cs="Arial"/>
          <w:bCs w:val="0"/>
          <w:sz w:val="20"/>
        </w:rPr>
        <w:t>ho</w:t>
      </w:r>
      <w:r w:rsidRPr="00617E4C">
        <w:rPr>
          <w:rFonts w:eastAsia="Arial Unicode MS" w:cs="Arial"/>
          <w:bCs w:val="0"/>
          <w:sz w:val="20"/>
        </w:rPr>
        <w:t xml:space="preserve"> věku</w:t>
      </w:r>
      <w:r w:rsidR="0027645A">
        <w:rPr>
          <w:rFonts w:eastAsia="Arial Unicode MS" w:cs="Arial"/>
          <w:bCs w:val="0"/>
          <w:sz w:val="20"/>
        </w:rPr>
        <w:t xml:space="preserve"> (15–49 let) neměnné</w:t>
      </w:r>
      <w:r w:rsidRPr="00617E4C">
        <w:rPr>
          <w:rFonts w:eastAsia="Arial Unicode MS" w:cs="Arial"/>
          <w:bCs w:val="0"/>
          <w:sz w:val="20"/>
        </w:rPr>
        <w:t>.</w:t>
      </w:r>
    </w:p>
    <w:p w14:paraId="0653E548" w14:textId="54282A77" w:rsidR="00617E4C" w:rsidRPr="00617E4C" w:rsidRDefault="00617E4C" w:rsidP="004800AB">
      <w:pPr>
        <w:pStyle w:val="Zkladntext2"/>
        <w:spacing w:after="160" w:line="288" w:lineRule="auto"/>
        <w:jc w:val="left"/>
        <w:rPr>
          <w:rFonts w:eastAsia="Arial Unicode MS" w:cs="Arial"/>
          <w:bCs w:val="0"/>
          <w:sz w:val="20"/>
        </w:rPr>
      </w:pPr>
      <w:r w:rsidRPr="00617E4C">
        <w:rPr>
          <w:rFonts w:eastAsia="Arial Unicode MS" w:cs="Arial"/>
          <w:b/>
          <w:sz w:val="20"/>
        </w:rPr>
        <w:t>Čistá míra reprodukce</w:t>
      </w:r>
      <w:r w:rsidRPr="00617E4C">
        <w:rPr>
          <w:rFonts w:eastAsia="Arial Unicode MS" w:cs="Arial"/>
          <w:bCs w:val="0"/>
          <w:sz w:val="20"/>
        </w:rPr>
        <w:t xml:space="preserve"> </w:t>
      </w:r>
      <w:r w:rsidRPr="00617E4C">
        <w:rPr>
          <w:rFonts w:eastAsia="Arial Unicode MS" w:cs="Arial"/>
          <w:bCs w:val="0"/>
          <w:iCs/>
          <w:sz w:val="20"/>
        </w:rPr>
        <w:t>–</w:t>
      </w:r>
      <w:r w:rsidRPr="00617E4C">
        <w:rPr>
          <w:rFonts w:eastAsia="Arial Unicode MS" w:cs="Arial"/>
          <w:bCs w:val="0"/>
          <w:sz w:val="20"/>
        </w:rPr>
        <w:t xml:space="preserve"> </w:t>
      </w:r>
      <w:r w:rsidR="0027645A">
        <w:rPr>
          <w:rFonts w:cs="Arial"/>
          <w:sz w:val="20"/>
          <w:szCs w:val="20"/>
        </w:rPr>
        <w:t>p</w:t>
      </w:r>
      <w:r w:rsidR="0027645A" w:rsidRPr="009862FC">
        <w:rPr>
          <w:rFonts w:cs="Arial"/>
          <w:sz w:val="20"/>
          <w:szCs w:val="20"/>
        </w:rPr>
        <w:t xml:space="preserve">růměrný počet živě narozených </w:t>
      </w:r>
      <w:r w:rsidR="0027645A">
        <w:rPr>
          <w:rFonts w:cs="Arial"/>
          <w:sz w:val="20"/>
          <w:szCs w:val="20"/>
        </w:rPr>
        <w:t>dcer</w:t>
      </w:r>
      <w:r w:rsidR="0027645A" w:rsidRPr="009862FC">
        <w:rPr>
          <w:rFonts w:cs="Arial"/>
          <w:sz w:val="20"/>
          <w:szCs w:val="20"/>
        </w:rPr>
        <w:t xml:space="preserve">, které by se </w:t>
      </w:r>
      <w:r w:rsidR="00757592">
        <w:rPr>
          <w:rFonts w:cs="Arial"/>
          <w:sz w:val="20"/>
          <w:szCs w:val="20"/>
        </w:rPr>
        <w:t>narodily jedné ženě a dožily se </w:t>
      </w:r>
      <w:r w:rsidR="0027645A" w:rsidRPr="009862FC">
        <w:rPr>
          <w:rFonts w:cs="Arial"/>
          <w:sz w:val="20"/>
          <w:szCs w:val="20"/>
        </w:rPr>
        <w:t>věku své matky v době porodu za předpokladu, že by míry p</w:t>
      </w:r>
      <w:r w:rsidR="00757592">
        <w:rPr>
          <w:rFonts w:cs="Arial"/>
          <w:sz w:val="20"/>
          <w:szCs w:val="20"/>
        </w:rPr>
        <w:t xml:space="preserve">lodnosti a úmrtnosti podle věku </w:t>
      </w:r>
      <w:r w:rsidR="0027645A" w:rsidRPr="009862FC">
        <w:rPr>
          <w:rFonts w:cs="Arial"/>
          <w:sz w:val="20"/>
          <w:szCs w:val="20"/>
        </w:rPr>
        <w:t>zaznamenané ve sledovaném kalendářním roce zůstaly během jejího reprodukčního věku (15–49 let) neměnné.</w:t>
      </w:r>
      <w:r w:rsidR="0027645A">
        <w:rPr>
          <w:rFonts w:cs="Arial"/>
          <w:sz w:val="20"/>
          <w:szCs w:val="20"/>
        </w:rPr>
        <w:t xml:space="preserve"> </w:t>
      </w:r>
    </w:p>
    <w:p w14:paraId="32E6261E" w14:textId="3DFD174D" w:rsidR="00617E4C" w:rsidRDefault="00617E4C" w:rsidP="00DC1909">
      <w:pPr>
        <w:spacing w:after="240" w:line="288" w:lineRule="auto"/>
        <w:rPr>
          <w:rFonts w:cs="Arial"/>
          <w:bCs w:val="0"/>
          <w:sz w:val="20"/>
        </w:rPr>
      </w:pPr>
      <w:r w:rsidRPr="00617E4C">
        <w:rPr>
          <w:rFonts w:cs="Arial"/>
          <w:b/>
          <w:bCs w:val="0"/>
          <w:sz w:val="20"/>
        </w:rPr>
        <w:t>Úhrnná míra ukončených těhotenství</w:t>
      </w:r>
      <w:r w:rsidRPr="00617E4C">
        <w:rPr>
          <w:rFonts w:cs="Arial"/>
          <w:bCs w:val="0"/>
          <w:sz w:val="20"/>
        </w:rPr>
        <w:t xml:space="preserve"> – </w:t>
      </w:r>
      <w:r w:rsidR="00CC241D">
        <w:rPr>
          <w:rFonts w:cs="Arial"/>
          <w:bCs w:val="0"/>
          <w:sz w:val="20"/>
        </w:rPr>
        <w:t xml:space="preserve">průměrný </w:t>
      </w:r>
      <w:r w:rsidRPr="00617E4C">
        <w:rPr>
          <w:rFonts w:cs="Arial"/>
          <w:bCs w:val="0"/>
          <w:sz w:val="20"/>
        </w:rPr>
        <w:t xml:space="preserve">počet ukončených těhotenství, který by připadl na jednu ženu </w:t>
      </w:r>
      <w:r w:rsidR="00CC241D">
        <w:rPr>
          <w:rFonts w:cs="Arial"/>
          <w:bCs w:val="0"/>
          <w:sz w:val="20"/>
        </w:rPr>
        <w:t>za předpokladu</w:t>
      </w:r>
      <w:r w:rsidRPr="00617E4C">
        <w:rPr>
          <w:rFonts w:cs="Arial"/>
          <w:bCs w:val="0"/>
          <w:sz w:val="20"/>
        </w:rPr>
        <w:t>,</w:t>
      </w:r>
      <w:r w:rsidR="00CC241D">
        <w:rPr>
          <w:rFonts w:cs="Arial"/>
          <w:bCs w:val="0"/>
          <w:sz w:val="20"/>
        </w:rPr>
        <w:t xml:space="preserve"> že</w:t>
      </w:r>
      <w:r w:rsidRPr="00617E4C">
        <w:rPr>
          <w:rFonts w:cs="Arial"/>
          <w:bCs w:val="0"/>
          <w:sz w:val="20"/>
        </w:rPr>
        <w:t xml:space="preserve"> by </w:t>
      </w:r>
      <w:r w:rsidRPr="005F1D20">
        <w:rPr>
          <w:rFonts w:cs="Arial"/>
          <w:bCs w:val="0"/>
          <w:sz w:val="20"/>
        </w:rPr>
        <w:t>míry p</w:t>
      </w:r>
      <w:r w:rsidR="008A5032" w:rsidRPr="005F1D20">
        <w:rPr>
          <w:rFonts w:cs="Arial"/>
          <w:bCs w:val="0"/>
          <w:sz w:val="20"/>
        </w:rPr>
        <w:t>l</w:t>
      </w:r>
      <w:r w:rsidRPr="005F1D20">
        <w:rPr>
          <w:rFonts w:cs="Arial"/>
          <w:bCs w:val="0"/>
          <w:sz w:val="20"/>
        </w:rPr>
        <w:t>odnosti, mrtvorozenosti</w:t>
      </w:r>
      <w:r w:rsidRPr="00617E4C">
        <w:rPr>
          <w:rFonts w:cs="Arial"/>
          <w:bCs w:val="0"/>
          <w:sz w:val="20"/>
        </w:rPr>
        <w:t xml:space="preserve"> a potratovosti </w:t>
      </w:r>
      <w:r w:rsidR="00CC241D">
        <w:rPr>
          <w:rFonts w:cs="Arial"/>
          <w:bCs w:val="0"/>
          <w:sz w:val="20"/>
        </w:rPr>
        <w:t>zaznamenané ve sledovaném kalendářním roce zůstaly</w:t>
      </w:r>
      <w:r w:rsidRPr="00617E4C">
        <w:rPr>
          <w:rFonts w:cs="Arial"/>
          <w:bCs w:val="0"/>
          <w:sz w:val="20"/>
        </w:rPr>
        <w:t xml:space="preserve"> </w:t>
      </w:r>
      <w:r w:rsidR="00CC241D">
        <w:rPr>
          <w:rFonts w:cs="Arial"/>
          <w:bCs w:val="0"/>
          <w:sz w:val="20"/>
        </w:rPr>
        <w:t xml:space="preserve">během jejího reprodukčního věku (15–49 let) </w:t>
      </w:r>
      <w:r w:rsidRPr="00617E4C">
        <w:rPr>
          <w:rFonts w:cs="Arial"/>
          <w:bCs w:val="0"/>
          <w:sz w:val="20"/>
        </w:rPr>
        <w:t>neměnné.</w:t>
      </w:r>
    </w:p>
    <w:p w14:paraId="00AA7803" w14:textId="6624180F"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potratech</w:t>
      </w:r>
    </w:p>
    <w:p w14:paraId="2B8E6FCB" w14:textId="4ECD4AD8" w:rsidR="006228E9" w:rsidRDefault="00617E4C" w:rsidP="00E84315">
      <w:pPr>
        <w:spacing w:after="120" w:line="288" w:lineRule="auto"/>
        <w:rPr>
          <w:rFonts w:eastAsia="Arial Unicode MS" w:cs="Arial"/>
          <w:bCs w:val="0"/>
          <w:sz w:val="20"/>
        </w:rPr>
      </w:pPr>
      <w:r w:rsidRPr="00617E4C">
        <w:rPr>
          <w:rFonts w:cs="Arial"/>
          <w:bCs w:val="0"/>
          <w:sz w:val="20"/>
        </w:rPr>
        <w:t>Statistika potratů byla v Československu vedena od roku 1953</w:t>
      </w:r>
      <w:r w:rsidR="006228E9" w:rsidRPr="00617E4C">
        <w:rPr>
          <w:rFonts w:cs="Arial"/>
          <w:bCs w:val="0"/>
          <w:sz w:val="20"/>
          <w:vertAlign w:val="superscript"/>
        </w:rPr>
        <w:footnoteReference w:id="2"/>
      </w:r>
      <w:r w:rsidRPr="00617E4C">
        <w:rPr>
          <w:rFonts w:cs="Arial"/>
          <w:bCs w:val="0"/>
          <w:sz w:val="20"/>
        </w:rPr>
        <w:t>, podrobná statistika (v členění podle všech druhů: umělé, samovolné a ostatní potraty) je vedena od roku 1958 v souvislosti s účinností zákona č.</w:t>
      </w:r>
      <w:r w:rsidR="006228E9">
        <w:rPr>
          <w:rFonts w:cs="Arial"/>
          <w:bCs w:val="0"/>
          <w:sz w:val="20"/>
        </w:rPr>
        <w:t> </w:t>
      </w:r>
      <w:r w:rsidRPr="00617E4C">
        <w:rPr>
          <w:rFonts w:cs="Arial"/>
          <w:bCs w:val="0"/>
          <w:sz w:val="20"/>
        </w:rPr>
        <w:t xml:space="preserve">68/1957 Sb., o umělém přerušení těhotenství. </w:t>
      </w:r>
      <w:r w:rsidR="006228E9">
        <w:rPr>
          <w:rFonts w:eastAsia="Arial Unicode MS" w:cs="Arial"/>
          <w:bCs w:val="0"/>
          <w:sz w:val="20"/>
        </w:rPr>
        <w:t>V průběhu let se definice potratu měnila:</w:t>
      </w:r>
    </w:p>
    <w:p w14:paraId="57E0A125" w14:textId="583C7216" w:rsidR="006228E9" w:rsidRDefault="00617E4C" w:rsidP="00E84315">
      <w:pPr>
        <w:pStyle w:val="Odstavecseseznamem"/>
        <w:numPr>
          <w:ilvl w:val="0"/>
          <w:numId w:val="6"/>
        </w:numPr>
        <w:spacing w:after="240" w:line="288" w:lineRule="auto"/>
        <w:rPr>
          <w:rFonts w:cs="Arial"/>
          <w:bCs w:val="0"/>
          <w:sz w:val="20"/>
        </w:rPr>
      </w:pPr>
      <w:r w:rsidRPr="006228E9">
        <w:rPr>
          <w:rFonts w:cs="Arial"/>
          <w:bCs w:val="0"/>
          <w:sz w:val="20"/>
        </w:rPr>
        <w:t xml:space="preserve">Do roku 1964 byly za potraty považovány všechny plody, které nemohly být považovány za děti podle tehdy </w:t>
      </w:r>
      <w:r w:rsidRPr="005F1D20">
        <w:rPr>
          <w:rFonts w:cs="Arial"/>
          <w:bCs w:val="0"/>
          <w:sz w:val="20"/>
        </w:rPr>
        <w:t xml:space="preserve">platné </w:t>
      </w:r>
      <w:r w:rsidR="008A5032" w:rsidRPr="005F1D20">
        <w:rPr>
          <w:rFonts w:cs="Arial"/>
          <w:bCs w:val="0"/>
          <w:sz w:val="20"/>
        </w:rPr>
        <w:t>národní</w:t>
      </w:r>
      <w:r w:rsidRPr="005F1D20">
        <w:rPr>
          <w:rFonts w:cs="Arial"/>
          <w:bCs w:val="0"/>
          <w:sz w:val="20"/>
        </w:rPr>
        <w:t xml:space="preserve"> definice</w:t>
      </w:r>
      <w:r w:rsidRPr="006228E9">
        <w:rPr>
          <w:rFonts w:cs="Arial"/>
          <w:bCs w:val="0"/>
          <w:sz w:val="20"/>
        </w:rPr>
        <w:t xml:space="preserve">. </w:t>
      </w:r>
    </w:p>
    <w:p w14:paraId="4E8C1EE4" w14:textId="3214A403" w:rsidR="006228E9" w:rsidRDefault="00617E4C" w:rsidP="00E84315">
      <w:pPr>
        <w:pStyle w:val="Odstavecseseznamem"/>
        <w:numPr>
          <w:ilvl w:val="0"/>
          <w:numId w:val="6"/>
        </w:numPr>
        <w:spacing w:after="240" w:line="288" w:lineRule="auto"/>
        <w:rPr>
          <w:rFonts w:cs="Arial"/>
          <w:bCs w:val="0"/>
          <w:sz w:val="20"/>
        </w:rPr>
      </w:pPr>
      <w:r w:rsidRPr="006228E9">
        <w:rPr>
          <w:rFonts w:cs="Arial"/>
          <w:bCs w:val="0"/>
          <w:sz w:val="20"/>
        </w:rPr>
        <w:t>V období od 1. 1. 1965 do 29. 2. 1988 se dle mezinárodně doporučené definice dítěte za potrat považoval každý mrtv</w:t>
      </w:r>
      <w:r w:rsidR="001009FD" w:rsidRPr="006228E9">
        <w:rPr>
          <w:rFonts w:cs="Arial"/>
          <w:bCs w:val="0"/>
          <w:sz w:val="20"/>
        </w:rPr>
        <w:t>ě narozený plod narozený do </w:t>
      </w:r>
      <w:r w:rsidR="002015EF" w:rsidRPr="006228E9">
        <w:rPr>
          <w:rFonts w:cs="Arial"/>
          <w:bCs w:val="0"/>
          <w:sz w:val="20"/>
        </w:rPr>
        <w:t>28. </w:t>
      </w:r>
      <w:r w:rsidRPr="006228E9">
        <w:rPr>
          <w:rFonts w:cs="Arial"/>
          <w:bCs w:val="0"/>
          <w:sz w:val="20"/>
        </w:rPr>
        <w:t>týdne těhotenství nebo</w:t>
      </w:r>
      <w:r w:rsidR="00BF5782">
        <w:rPr>
          <w:rFonts w:cs="Arial"/>
          <w:bCs w:val="0"/>
          <w:sz w:val="20"/>
        </w:rPr>
        <w:t>,</w:t>
      </w:r>
      <w:r w:rsidRPr="006228E9">
        <w:rPr>
          <w:rFonts w:cs="Arial"/>
          <w:bCs w:val="0"/>
          <w:sz w:val="20"/>
        </w:rPr>
        <w:t xml:space="preserve"> nelze-li délku těhotenství určit</w:t>
      </w:r>
      <w:r w:rsidR="00BF5782">
        <w:rPr>
          <w:rFonts w:cs="Arial"/>
          <w:bCs w:val="0"/>
          <w:sz w:val="20"/>
        </w:rPr>
        <w:t>,</w:t>
      </w:r>
      <w:r w:rsidRPr="006228E9">
        <w:rPr>
          <w:rFonts w:cs="Arial"/>
          <w:bCs w:val="0"/>
          <w:sz w:val="20"/>
        </w:rPr>
        <w:t xml:space="preserve"> který vážil méně než 1 000 g.</w:t>
      </w:r>
    </w:p>
    <w:p w14:paraId="7A4ADAAF" w14:textId="36C99CC5" w:rsidR="006228E9" w:rsidRDefault="00617E4C" w:rsidP="00E84315">
      <w:pPr>
        <w:pStyle w:val="Odstavecseseznamem"/>
        <w:numPr>
          <w:ilvl w:val="0"/>
          <w:numId w:val="6"/>
        </w:numPr>
        <w:spacing w:after="240" w:line="288" w:lineRule="auto"/>
        <w:rPr>
          <w:rFonts w:cs="Arial"/>
          <w:bCs w:val="0"/>
          <w:sz w:val="20"/>
        </w:rPr>
      </w:pPr>
      <w:r w:rsidRPr="006228E9">
        <w:rPr>
          <w:rFonts w:eastAsia="Arial Unicode MS" w:cs="Arial"/>
          <w:bCs w:val="0"/>
          <w:sz w:val="20"/>
        </w:rPr>
        <w:t xml:space="preserve">Od 1. 3. 1988 </w:t>
      </w:r>
      <w:r w:rsidR="005F1D20" w:rsidRPr="005F1D20">
        <w:rPr>
          <w:rFonts w:eastAsia="Arial Unicode MS" w:cs="Arial"/>
          <w:bCs w:val="0"/>
          <w:sz w:val="20"/>
        </w:rPr>
        <w:t xml:space="preserve">do 31. 3. 2012 </w:t>
      </w:r>
      <w:r w:rsidRPr="006228E9">
        <w:rPr>
          <w:rFonts w:eastAsia="Arial Unicode MS" w:cs="Arial"/>
          <w:bCs w:val="0"/>
          <w:sz w:val="20"/>
        </w:rPr>
        <w:t xml:space="preserve">byly definice potratů dány vyhláškou Ministerstva zdravotnictví ČSR č. 11/1988 Sb., o povinném hlášení ukončení těhotenství, úmrtí dítěte a úmrtí matky. Potratem se rozumělo ukončení těhotenství ženy, při němž </w:t>
      </w:r>
      <w:r w:rsidR="00B0093E" w:rsidRPr="006228E9">
        <w:rPr>
          <w:rFonts w:eastAsia="Arial Unicode MS" w:cs="Arial"/>
          <w:bCs w:val="0"/>
          <w:sz w:val="20"/>
        </w:rPr>
        <w:t xml:space="preserve">a) </w:t>
      </w:r>
      <w:r w:rsidRPr="006228E9">
        <w:rPr>
          <w:rFonts w:cs="Arial"/>
          <w:bCs w:val="0"/>
          <w:sz w:val="20"/>
        </w:rPr>
        <w:t>plod neprojevuje ani jednu ze známek života a jeho porodní hmotnost je nižší než 1 000 g a pokud ji nelze zjistit, jestliže je těhotenství kratší 28 týdnů,</w:t>
      </w:r>
      <w:r w:rsidR="00B0093E" w:rsidRPr="006228E9">
        <w:rPr>
          <w:rFonts w:cs="Arial"/>
          <w:bCs w:val="0"/>
          <w:sz w:val="20"/>
        </w:rPr>
        <w:t xml:space="preserve"> b) </w:t>
      </w:r>
      <w:r w:rsidRPr="006228E9">
        <w:rPr>
          <w:rFonts w:cs="Arial"/>
          <w:bCs w:val="0"/>
          <w:sz w:val="20"/>
        </w:rPr>
        <w:t>plod projevuje aspoň jednu ze známek života a má porodní hmotnost nižší než 500 g, ale nepřežije 24</w:t>
      </w:r>
      <w:r w:rsidR="00BF5782">
        <w:rPr>
          <w:rFonts w:cs="Arial"/>
          <w:bCs w:val="0"/>
          <w:sz w:val="20"/>
        </w:rPr>
        <w:t> </w:t>
      </w:r>
      <w:r w:rsidRPr="006228E9">
        <w:rPr>
          <w:rFonts w:cs="Arial"/>
          <w:bCs w:val="0"/>
          <w:sz w:val="20"/>
        </w:rPr>
        <w:t xml:space="preserve">hodin po porodu, </w:t>
      </w:r>
      <w:r w:rsidR="00B0093E" w:rsidRPr="006228E9">
        <w:rPr>
          <w:rFonts w:cs="Arial"/>
          <w:bCs w:val="0"/>
          <w:sz w:val="20"/>
        </w:rPr>
        <w:t>c) z</w:t>
      </w:r>
      <w:r w:rsidRPr="006228E9">
        <w:rPr>
          <w:rFonts w:cs="Arial"/>
          <w:bCs w:val="0"/>
          <w:sz w:val="20"/>
        </w:rPr>
        <w:t xml:space="preserve"> dělohy ženy bylo vyňato plodové vejce bez plodu nebo těhotenská sliznice.</w:t>
      </w:r>
    </w:p>
    <w:p w14:paraId="059866B3" w14:textId="2134EE57" w:rsidR="00617E4C" w:rsidRPr="006228E9" w:rsidRDefault="00617E4C" w:rsidP="00DC1909">
      <w:pPr>
        <w:pStyle w:val="Odstavecseseznamem"/>
        <w:numPr>
          <w:ilvl w:val="0"/>
          <w:numId w:val="6"/>
        </w:numPr>
        <w:spacing w:after="120" w:line="288" w:lineRule="auto"/>
        <w:ind w:left="714" w:hanging="357"/>
        <w:rPr>
          <w:rFonts w:cs="Arial"/>
          <w:bCs w:val="0"/>
          <w:sz w:val="20"/>
        </w:rPr>
      </w:pPr>
      <w:r w:rsidRPr="006228E9">
        <w:rPr>
          <w:rFonts w:cs="Arial"/>
          <w:bCs w:val="0"/>
          <w:sz w:val="20"/>
        </w:rPr>
        <w:t>Vyhláška MZ ČSR č. 11/1988 Sb. byla k 1. 4. 2012 zrušena zákonem č. </w:t>
      </w:r>
      <w:r w:rsidRPr="006228E9">
        <w:rPr>
          <w:rFonts w:cs="Arial"/>
          <w:sz w:val="20"/>
        </w:rPr>
        <w:t>372/2011</w:t>
      </w:r>
      <w:r w:rsidRPr="006228E9">
        <w:rPr>
          <w:rFonts w:cs="Arial"/>
          <w:bCs w:val="0"/>
          <w:sz w:val="20"/>
          <w:szCs w:val="20"/>
        </w:rPr>
        <w:t xml:space="preserve"> Sb.</w:t>
      </w:r>
      <w:r w:rsidRPr="006228E9">
        <w:rPr>
          <w:rFonts w:cs="Arial"/>
          <w:bCs w:val="0"/>
          <w:sz w:val="20"/>
        </w:rPr>
        <w:t>, o zdravotních službách. Tato s</w:t>
      </w:r>
      <w:r w:rsidRPr="006228E9">
        <w:rPr>
          <w:rFonts w:cs="Arial"/>
          <w:bCs w:val="0"/>
          <w:sz w:val="20"/>
          <w:szCs w:val="20"/>
        </w:rPr>
        <w:t xml:space="preserve">oučasná právní úprava definuje </w:t>
      </w:r>
      <w:r w:rsidRPr="006228E9">
        <w:rPr>
          <w:rFonts w:cs="Arial"/>
          <w:b/>
          <w:bCs w:val="0"/>
          <w:sz w:val="20"/>
          <w:szCs w:val="20"/>
        </w:rPr>
        <w:t>plod po potratu</w:t>
      </w:r>
      <w:r w:rsidRPr="006228E9">
        <w:rPr>
          <w:rFonts w:cs="Arial"/>
          <w:bCs w:val="0"/>
          <w:sz w:val="20"/>
          <w:szCs w:val="20"/>
        </w:rPr>
        <w:t xml:space="preserve"> jako plod, který po úplném vypuzení nebo vynětí z těla matčina neprojevuje ani jednu ze známek života</w:t>
      </w:r>
      <w:r w:rsidRPr="006228E9">
        <w:rPr>
          <w:rFonts w:cs="Arial"/>
          <w:bCs w:val="0"/>
          <w:i/>
          <w:iCs/>
          <w:sz w:val="20"/>
          <w:szCs w:val="20"/>
        </w:rPr>
        <w:t xml:space="preserve"> </w:t>
      </w:r>
      <w:r w:rsidRPr="006228E9">
        <w:rPr>
          <w:rFonts w:cs="Arial"/>
          <w:bCs w:val="0"/>
          <w:iCs/>
          <w:sz w:val="20"/>
          <w:szCs w:val="20"/>
        </w:rPr>
        <w:t xml:space="preserve">a současně jeho </w:t>
      </w:r>
      <w:r w:rsidRPr="006228E9">
        <w:rPr>
          <w:rFonts w:cs="Arial"/>
          <w:bCs w:val="0"/>
          <w:iCs/>
          <w:sz w:val="20"/>
          <w:szCs w:val="20"/>
        </w:rPr>
        <w:lastRenderedPageBreak/>
        <w:t>porodní hmotnost je nižší než 500 g, a pokud ji nelze zjistit, jes</w:t>
      </w:r>
      <w:r w:rsidR="00757592">
        <w:rPr>
          <w:rFonts w:cs="Arial"/>
          <w:bCs w:val="0"/>
          <w:iCs/>
          <w:sz w:val="20"/>
          <w:szCs w:val="20"/>
        </w:rPr>
        <w:t>tliže je těhotenství kratší než </w:t>
      </w:r>
      <w:r w:rsidRPr="006228E9">
        <w:rPr>
          <w:rFonts w:cs="Arial"/>
          <w:bCs w:val="0"/>
          <w:iCs/>
          <w:sz w:val="20"/>
          <w:szCs w:val="20"/>
        </w:rPr>
        <w:t>22</w:t>
      </w:r>
      <w:r w:rsidR="00BF5782">
        <w:rPr>
          <w:rFonts w:cs="Arial"/>
          <w:bCs w:val="0"/>
          <w:iCs/>
          <w:sz w:val="20"/>
          <w:szCs w:val="20"/>
        </w:rPr>
        <w:t> </w:t>
      </w:r>
      <w:r w:rsidRPr="006228E9">
        <w:rPr>
          <w:rFonts w:cs="Arial"/>
          <w:bCs w:val="0"/>
          <w:iCs/>
          <w:sz w:val="20"/>
          <w:szCs w:val="20"/>
        </w:rPr>
        <w:t>týdny.</w:t>
      </w:r>
    </w:p>
    <w:p w14:paraId="55C1D2F8" w14:textId="2930C9E0" w:rsidR="00617E4C" w:rsidRPr="00617E4C" w:rsidRDefault="00617E4C" w:rsidP="004800AB">
      <w:pPr>
        <w:spacing w:after="160" w:line="288" w:lineRule="auto"/>
        <w:rPr>
          <w:rFonts w:cs="Arial"/>
          <w:bCs w:val="0"/>
          <w:sz w:val="20"/>
        </w:rPr>
      </w:pPr>
      <w:r w:rsidRPr="00617E4C">
        <w:rPr>
          <w:rFonts w:cs="Arial"/>
          <w:bCs w:val="0"/>
          <w:sz w:val="20"/>
        </w:rPr>
        <w:t xml:space="preserve">Potratem se rozumí též ukončení mimoděložního těhotenství nebo umělé přerušení těhotenství (UPT) provedené podle zvláštních předpisů. </w:t>
      </w:r>
      <w:r w:rsidR="00CC241D" w:rsidRPr="00617E4C">
        <w:rPr>
          <w:rFonts w:cs="Arial"/>
          <w:bCs w:val="0"/>
          <w:sz w:val="20"/>
        </w:rPr>
        <w:t xml:space="preserve">V období 1958–1986 nebyla mimoděložní těhotenství v potratech evidována. Od roku 1987 jsou případy mimoděložního těhotenství do potratů započítávány, v letech </w:t>
      </w:r>
      <w:r w:rsidR="00757592">
        <w:rPr>
          <w:rFonts w:cs="Arial"/>
          <w:bCs w:val="0"/>
          <w:sz w:val="20"/>
        </w:rPr>
        <w:t xml:space="preserve">    </w:t>
      </w:r>
      <w:r w:rsidR="00CC241D" w:rsidRPr="00617E4C">
        <w:rPr>
          <w:rFonts w:cs="Arial"/>
          <w:bCs w:val="0"/>
          <w:sz w:val="20"/>
        </w:rPr>
        <w:t>1988–1991 jsou zahrnuty mezi UPT, od roku 1992 v kategorii ostatních potratů.</w:t>
      </w:r>
    </w:p>
    <w:p w14:paraId="739D46CE" w14:textId="77777777" w:rsidR="00DC1909" w:rsidRDefault="00617E4C" w:rsidP="004800AB">
      <w:pPr>
        <w:spacing w:before="240" w:after="160" w:line="288" w:lineRule="auto"/>
        <w:rPr>
          <w:rFonts w:cs="Arial"/>
          <w:bCs w:val="0"/>
          <w:sz w:val="20"/>
        </w:rPr>
      </w:pPr>
      <w:r w:rsidRPr="00617E4C">
        <w:rPr>
          <w:rFonts w:cs="Arial"/>
          <w:b/>
          <w:sz w:val="20"/>
        </w:rPr>
        <w:t>Úhrnná potratovost</w:t>
      </w:r>
      <w:r w:rsidRPr="00617E4C">
        <w:rPr>
          <w:rFonts w:cs="Arial"/>
          <w:bCs w:val="0"/>
          <w:sz w:val="20"/>
        </w:rPr>
        <w:t xml:space="preserve"> – </w:t>
      </w:r>
      <w:r w:rsidR="00CC241D">
        <w:rPr>
          <w:rFonts w:cs="Arial"/>
          <w:bCs w:val="0"/>
          <w:sz w:val="20"/>
        </w:rPr>
        <w:t>průměrný</w:t>
      </w:r>
      <w:r w:rsidRPr="00617E4C">
        <w:rPr>
          <w:rFonts w:cs="Arial"/>
          <w:bCs w:val="0"/>
          <w:sz w:val="20"/>
        </w:rPr>
        <w:t xml:space="preserve"> počet potratů, kter</w:t>
      </w:r>
      <w:r w:rsidR="00CC241D">
        <w:rPr>
          <w:rFonts w:cs="Arial"/>
          <w:bCs w:val="0"/>
          <w:sz w:val="20"/>
        </w:rPr>
        <w:t>é</w:t>
      </w:r>
      <w:r w:rsidRPr="00617E4C">
        <w:rPr>
          <w:rFonts w:cs="Arial"/>
          <w:bCs w:val="0"/>
          <w:sz w:val="20"/>
        </w:rPr>
        <w:t xml:space="preserve"> by </w:t>
      </w:r>
      <w:r w:rsidR="00CC241D">
        <w:rPr>
          <w:rFonts w:cs="Arial"/>
          <w:bCs w:val="0"/>
          <w:sz w:val="20"/>
        </w:rPr>
        <w:t>připadly na jednu</w:t>
      </w:r>
      <w:r w:rsidRPr="00617E4C">
        <w:rPr>
          <w:rFonts w:cs="Arial"/>
          <w:bCs w:val="0"/>
          <w:sz w:val="20"/>
        </w:rPr>
        <w:t xml:space="preserve"> žen</w:t>
      </w:r>
      <w:r w:rsidR="00CC241D">
        <w:rPr>
          <w:rFonts w:cs="Arial"/>
          <w:bCs w:val="0"/>
          <w:sz w:val="20"/>
        </w:rPr>
        <w:t xml:space="preserve">u za předpokladu, že by </w:t>
      </w:r>
      <w:r w:rsidRPr="00617E4C">
        <w:rPr>
          <w:rFonts w:cs="Arial"/>
          <w:bCs w:val="0"/>
          <w:sz w:val="20"/>
        </w:rPr>
        <w:t>mír</w:t>
      </w:r>
      <w:r w:rsidR="00CC241D">
        <w:rPr>
          <w:rFonts w:cs="Arial"/>
          <w:bCs w:val="0"/>
          <w:sz w:val="20"/>
        </w:rPr>
        <w:t>y</w:t>
      </w:r>
      <w:r w:rsidRPr="00617E4C">
        <w:rPr>
          <w:rFonts w:cs="Arial"/>
          <w:bCs w:val="0"/>
          <w:sz w:val="20"/>
        </w:rPr>
        <w:t xml:space="preserve"> potratovosti podle věku </w:t>
      </w:r>
      <w:r w:rsidR="00CC241D">
        <w:rPr>
          <w:rFonts w:cs="Arial"/>
          <w:bCs w:val="0"/>
          <w:sz w:val="20"/>
        </w:rPr>
        <w:t xml:space="preserve">zaznamenané ve sledovaném kalendářním roce </w:t>
      </w:r>
      <w:r w:rsidRPr="00617E4C">
        <w:rPr>
          <w:rFonts w:cs="Arial"/>
          <w:bCs w:val="0"/>
          <w:sz w:val="20"/>
        </w:rPr>
        <w:t>zůstal</w:t>
      </w:r>
      <w:r w:rsidR="00CC241D">
        <w:rPr>
          <w:rFonts w:cs="Arial"/>
          <w:bCs w:val="0"/>
          <w:sz w:val="20"/>
        </w:rPr>
        <w:t>y</w:t>
      </w:r>
      <w:r w:rsidRPr="00617E4C">
        <w:rPr>
          <w:rFonts w:cs="Arial"/>
          <w:bCs w:val="0"/>
          <w:sz w:val="20"/>
        </w:rPr>
        <w:t xml:space="preserve"> během </w:t>
      </w:r>
      <w:r w:rsidR="00CC241D">
        <w:rPr>
          <w:rFonts w:cs="Arial"/>
          <w:bCs w:val="0"/>
          <w:sz w:val="20"/>
        </w:rPr>
        <w:t xml:space="preserve">jejího </w:t>
      </w:r>
      <w:r w:rsidRPr="00617E4C">
        <w:rPr>
          <w:rFonts w:cs="Arial"/>
          <w:bCs w:val="0"/>
          <w:sz w:val="20"/>
        </w:rPr>
        <w:t>reprodukčního věku</w:t>
      </w:r>
      <w:r w:rsidR="00CC241D">
        <w:rPr>
          <w:rFonts w:cs="Arial"/>
          <w:bCs w:val="0"/>
          <w:sz w:val="20"/>
        </w:rPr>
        <w:t xml:space="preserve"> (15–49 let) neměnné</w:t>
      </w:r>
      <w:r w:rsidRPr="00617E4C">
        <w:rPr>
          <w:rFonts w:cs="Arial"/>
          <w:bCs w:val="0"/>
          <w:sz w:val="20"/>
        </w:rPr>
        <w:t xml:space="preserve">. </w:t>
      </w:r>
    </w:p>
    <w:p w14:paraId="6CD604B2" w14:textId="3380E9FC" w:rsidR="00617E4C" w:rsidRDefault="00CC241D" w:rsidP="00DC1909">
      <w:pPr>
        <w:spacing w:before="240" w:after="240" w:line="288" w:lineRule="auto"/>
        <w:rPr>
          <w:rFonts w:cs="Arial"/>
          <w:bCs w:val="0"/>
          <w:sz w:val="20"/>
        </w:rPr>
      </w:pPr>
      <w:r>
        <w:rPr>
          <w:rFonts w:cs="Arial"/>
          <w:bCs w:val="0"/>
          <w:sz w:val="20"/>
        </w:rPr>
        <w:t>Obdobně</w:t>
      </w:r>
      <w:r w:rsidR="00617E4C" w:rsidRPr="00617E4C">
        <w:rPr>
          <w:rFonts w:cs="Arial"/>
          <w:bCs w:val="0"/>
          <w:sz w:val="20"/>
        </w:rPr>
        <w:t xml:space="preserve"> je </w:t>
      </w:r>
      <w:r>
        <w:rPr>
          <w:rFonts w:cs="Arial"/>
          <w:bCs w:val="0"/>
          <w:sz w:val="20"/>
        </w:rPr>
        <w:t>definována</w:t>
      </w:r>
      <w:r w:rsidR="00617E4C" w:rsidRPr="00617E4C">
        <w:rPr>
          <w:rFonts w:cs="Arial"/>
          <w:bCs w:val="0"/>
          <w:sz w:val="20"/>
        </w:rPr>
        <w:t xml:space="preserve"> </w:t>
      </w:r>
      <w:r w:rsidR="00617E4C" w:rsidRPr="00617E4C">
        <w:rPr>
          <w:rFonts w:cs="Arial"/>
          <w:b/>
          <w:bCs w:val="0"/>
          <w:sz w:val="20"/>
        </w:rPr>
        <w:t>úhrnná indukovaná potratovost</w:t>
      </w:r>
      <w:r w:rsidR="00617E4C" w:rsidRPr="00617E4C">
        <w:rPr>
          <w:rFonts w:cs="Arial"/>
          <w:bCs w:val="0"/>
          <w:sz w:val="20"/>
        </w:rPr>
        <w:t xml:space="preserve"> a </w:t>
      </w:r>
      <w:r w:rsidR="00617E4C" w:rsidRPr="00617E4C">
        <w:rPr>
          <w:rFonts w:cs="Arial"/>
          <w:b/>
          <w:bCs w:val="0"/>
          <w:sz w:val="20"/>
        </w:rPr>
        <w:t>úhrnná samovolná potratovost</w:t>
      </w:r>
      <w:r w:rsidR="00E85428">
        <w:rPr>
          <w:rFonts w:cs="Arial"/>
          <w:bCs w:val="0"/>
          <w:sz w:val="20"/>
        </w:rPr>
        <w:t xml:space="preserve"> vypovídající o</w:t>
      </w:r>
      <w:r w:rsidR="00BF5782">
        <w:rPr>
          <w:rFonts w:cs="Arial"/>
          <w:bCs w:val="0"/>
          <w:sz w:val="20"/>
        </w:rPr>
        <w:t> </w:t>
      </w:r>
      <w:r w:rsidR="00E85428">
        <w:rPr>
          <w:rFonts w:cs="Arial"/>
          <w:bCs w:val="0"/>
          <w:sz w:val="20"/>
        </w:rPr>
        <w:t>průměrném počtu potratů pouze daného druhu na jednu ženu</w:t>
      </w:r>
      <w:r w:rsidR="00617E4C" w:rsidRPr="00617E4C">
        <w:rPr>
          <w:rFonts w:cs="Arial"/>
          <w:bCs w:val="0"/>
          <w:sz w:val="20"/>
        </w:rPr>
        <w:t>.</w:t>
      </w:r>
    </w:p>
    <w:p w14:paraId="151E506C" w14:textId="22350D12" w:rsidR="00DF1435" w:rsidRPr="00417751" w:rsidRDefault="00DF1435" w:rsidP="004800AB">
      <w:pPr>
        <w:spacing w:after="16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zemřelých a úmrtnosti</w:t>
      </w:r>
    </w:p>
    <w:p w14:paraId="3DE4044C" w14:textId="7CAE45EA" w:rsidR="00617E4C" w:rsidRPr="00617E4C" w:rsidRDefault="00617E4C" w:rsidP="004800AB">
      <w:pPr>
        <w:spacing w:after="160" w:line="288" w:lineRule="auto"/>
        <w:rPr>
          <w:rFonts w:cs="Arial"/>
          <w:bCs w:val="0"/>
          <w:sz w:val="20"/>
        </w:rPr>
      </w:pPr>
      <w:r w:rsidRPr="00617E4C">
        <w:rPr>
          <w:rFonts w:cs="Arial"/>
          <w:b/>
          <w:sz w:val="20"/>
        </w:rPr>
        <w:t>Kojenecká úmrtnost</w:t>
      </w:r>
      <w:r w:rsidRPr="00617E4C">
        <w:rPr>
          <w:rFonts w:cs="Arial"/>
          <w:bCs w:val="0"/>
          <w:sz w:val="20"/>
        </w:rPr>
        <w:t xml:space="preserve"> </w:t>
      </w:r>
      <w:r w:rsidRPr="00617E4C">
        <w:rPr>
          <w:rFonts w:cs="Arial"/>
          <w:bCs w:val="0"/>
          <w:iCs/>
          <w:sz w:val="20"/>
        </w:rPr>
        <w:t xml:space="preserve">– </w:t>
      </w:r>
      <w:r w:rsidR="00E85428">
        <w:rPr>
          <w:rFonts w:cs="Arial"/>
          <w:bCs w:val="0"/>
          <w:iCs/>
          <w:sz w:val="20"/>
        </w:rPr>
        <w:t xml:space="preserve">poměr </w:t>
      </w:r>
      <w:r w:rsidRPr="00617E4C">
        <w:rPr>
          <w:rFonts w:cs="Arial"/>
          <w:bCs w:val="0"/>
          <w:sz w:val="20"/>
        </w:rPr>
        <w:t>počt</w:t>
      </w:r>
      <w:r w:rsidR="00E85428">
        <w:rPr>
          <w:rFonts w:cs="Arial"/>
          <w:bCs w:val="0"/>
          <w:sz w:val="20"/>
        </w:rPr>
        <w:t>u dětí</w:t>
      </w:r>
      <w:r w:rsidRPr="00617E4C">
        <w:rPr>
          <w:rFonts w:cs="Arial"/>
          <w:bCs w:val="0"/>
          <w:sz w:val="20"/>
        </w:rPr>
        <w:t xml:space="preserve"> zemřelých před dosažením 1 roku </w:t>
      </w:r>
      <w:r w:rsidR="00E85428">
        <w:rPr>
          <w:rFonts w:cs="Arial"/>
          <w:bCs w:val="0"/>
          <w:sz w:val="20"/>
        </w:rPr>
        <w:t xml:space="preserve">k počtu </w:t>
      </w:r>
      <w:r w:rsidR="00757592">
        <w:rPr>
          <w:rFonts w:cs="Arial"/>
          <w:bCs w:val="0"/>
          <w:sz w:val="20"/>
        </w:rPr>
        <w:t>živě narozených dětí ve </w:t>
      </w:r>
      <w:r w:rsidRPr="00617E4C">
        <w:rPr>
          <w:rFonts w:cs="Arial"/>
          <w:bCs w:val="0"/>
          <w:sz w:val="20"/>
        </w:rPr>
        <w:t xml:space="preserve">stejném </w:t>
      </w:r>
      <w:r w:rsidR="00E85428">
        <w:rPr>
          <w:rFonts w:cs="Arial"/>
          <w:bCs w:val="0"/>
          <w:sz w:val="20"/>
        </w:rPr>
        <w:t>období (zde na 1 000 živě narozených)</w:t>
      </w:r>
      <w:r w:rsidRPr="00617E4C">
        <w:rPr>
          <w:rFonts w:cs="Arial"/>
          <w:bCs w:val="0"/>
          <w:sz w:val="20"/>
        </w:rPr>
        <w:t>.</w:t>
      </w:r>
    </w:p>
    <w:p w14:paraId="6F85ACBA" w14:textId="0132F27A" w:rsidR="00617E4C" w:rsidRPr="00617E4C" w:rsidRDefault="00617E4C" w:rsidP="004800AB">
      <w:pPr>
        <w:spacing w:after="160" w:line="288" w:lineRule="auto"/>
        <w:rPr>
          <w:rFonts w:cs="Arial"/>
          <w:bCs w:val="0"/>
          <w:sz w:val="20"/>
        </w:rPr>
      </w:pPr>
      <w:r w:rsidRPr="00617E4C">
        <w:rPr>
          <w:rFonts w:cs="Arial"/>
          <w:b/>
          <w:sz w:val="20"/>
        </w:rPr>
        <w:t>Novorozenecká úmrtnost</w:t>
      </w:r>
      <w:r w:rsidRPr="00617E4C">
        <w:rPr>
          <w:rFonts w:cs="Arial"/>
          <w:bCs w:val="0"/>
          <w:sz w:val="20"/>
        </w:rPr>
        <w:t xml:space="preserve"> </w:t>
      </w:r>
      <w:r w:rsidRPr="00617E4C">
        <w:rPr>
          <w:rFonts w:cs="Arial"/>
          <w:bCs w:val="0"/>
          <w:iCs/>
          <w:sz w:val="20"/>
        </w:rPr>
        <w:t xml:space="preserve">– </w:t>
      </w:r>
      <w:r w:rsidR="00E85428">
        <w:rPr>
          <w:rFonts w:cs="Arial"/>
          <w:bCs w:val="0"/>
          <w:sz w:val="20"/>
        </w:rPr>
        <w:t>p</w:t>
      </w:r>
      <w:r w:rsidR="00E85428" w:rsidRPr="00E85428">
        <w:rPr>
          <w:rFonts w:cs="Arial"/>
          <w:bCs w:val="0"/>
          <w:sz w:val="20"/>
        </w:rPr>
        <w:t>oměr počtu zemřelých před dosažením věku 28 dnů k počtu živě narozených dětí ve stejném období (</w:t>
      </w:r>
      <w:r w:rsidR="00E85428">
        <w:rPr>
          <w:rFonts w:cs="Arial"/>
          <w:bCs w:val="0"/>
          <w:sz w:val="20"/>
        </w:rPr>
        <w:t>zde</w:t>
      </w:r>
      <w:r w:rsidR="00E85428" w:rsidRPr="00E85428">
        <w:rPr>
          <w:rFonts w:cs="Arial"/>
          <w:bCs w:val="0"/>
          <w:sz w:val="20"/>
        </w:rPr>
        <w:t xml:space="preserve"> na 1 000 živě narozených)</w:t>
      </w:r>
      <w:r w:rsidRPr="00617E4C">
        <w:rPr>
          <w:rFonts w:cs="Arial"/>
          <w:bCs w:val="0"/>
          <w:sz w:val="20"/>
        </w:rPr>
        <w:t>.</w:t>
      </w:r>
    </w:p>
    <w:p w14:paraId="76404298" w14:textId="21B44DD3" w:rsidR="00617E4C" w:rsidRPr="00617E4C" w:rsidRDefault="00E85428" w:rsidP="004800AB">
      <w:pPr>
        <w:spacing w:after="160" w:line="288" w:lineRule="auto"/>
        <w:rPr>
          <w:rFonts w:cs="Arial"/>
          <w:bCs w:val="0"/>
          <w:sz w:val="20"/>
        </w:rPr>
      </w:pPr>
      <w:r>
        <w:rPr>
          <w:rFonts w:cs="Arial"/>
          <w:b/>
          <w:sz w:val="20"/>
        </w:rPr>
        <w:t>M</w:t>
      </w:r>
      <w:r w:rsidRPr="00617E4C">
        <w:rPr>
          <w:rFonts w:cs="Arial"/>
          <w:b/>
          <w:sz w:val="20"/>
        </w:rPr>
        <w:t>rtvorozenost</w:t>
      </w:r>
      <w:r w:rsidRPr="00617E4C">
        <w:rPr>
          <w:rFonts w:cs="Arial"/>
          <w:bCs w:val="0"/>
          <w:sz w:val="20"/>
        </w:rPr>
        <w:t xml:space="preserve"> </w:t>
      </w:r>
      <w:r w:rsidR="00617E4C" w:rsidRPr="00617E4C">
        <w:rPr>
          <w:rFonts w:cs="Arial"/>
          <w:bCs w:val="0"/>
          <w:sz w:val="20"/>
        </w:rPr>
        <w:t xml:space="preserve">– </w:t>
      </w:r>
      <w:r>
        <w:rPr>
          <w:rFonts w:cs="Arial"/>
          <w:bCs w:val="0"/>
          <w:sz w:val="20"/>
        </w:rPr>
        <w:t>po</w:t>
      </w:r>
      <w:r w:rsidR="00DF1435">
        <w:rPr>
          <w:rFonts w:cs="Arial"/>
          <w:bCs w:val="0"/>
          <w:sz w:val="20"/>
        </w:rPr>
        <w:t>díl</w:t>
      </w:r>
      <w:r>
        <w:rPr>
          <w:rFonts w:cs="Arial"/>
          <w:bCs w:val="0"/>
          <w:sz w:val="20"/>
        </w:rPr>
        <w:t xml:space="preserve"> </w:t>
      </w:r>
      <w:r w:rsidR="00617E4C" w:rsidRPr="00617E4C">
        <w:rPr>
          <w:rFonts w:cs="Arial"/>
          <w:bCs w:val="0"/>
          <w:sz w:val="20"/>
        </w:rPr>
        <w:t xml:space="preserve">mrtvě narozených dětí </w:t>
      </w:r>
      <w:r w:rsidR="00DF1435">
        <w:rPr>
          <w:rFonts w:cs="Arial"/>
          <w:bCs w:val="0"/>
          <w:sz w:val="20"/>
        </w:rPr>
        <w:t>ze</w:t>
      </w:r>
      <w:r>
        <w:rPr>
          <w:rFonts w:cs="Arial"/>
          <w:bCs w:val="0"/>
          <w:sz w:val="20"/>
        </w:rPr>
        <w:t xml:space="preserve"> všech</w:t>
      </w:r>
      <w:r w:rsidR="00617E4C" w:rsidRPr="00617E4C">
        <w:rPr>
          <w:rFonts w:cs="Arial"/>
          <w:bCs w:val="0"/>
          <w:sz w:val="20"/>
        </w:rPr>
        <w:t xml:space="preserve"> narozených dětí </w:t>
      </w:r>
      <w:r>
        <w:rPr>
          <w:rFonts w:cs="Arial"/>
          <w:bCs w:val="0"/>
          <w:sz w:val="20"/>
        </w:rPr>
        <w:t xml:space="preserve">ve stejném období (zde </w:t>
      </w:r>
      <w:r w:rsidR="00DF1435">
        <w:rPr>
          <w:rFonts w:cs="Arial"/>
          <w:bCs w:val="0"/>
          <w:sz w:val="20"/>
        </w:rPr>
        <w:t>z</w:t>
      </w:r>
      <w:r>
        <w:rPr>
          <w:rFonts w:cs="Arial"/>
          <w:bCs w:val="0"/>
          <w:sz w:val="20"/>
        </w:rPr>
        <w:t xml:space="preserve"> 1 000 narozených)</w:t>
      </w:r>
      <w:r w:rsidR="00617E4C" w:rsidRPr="00617E4C">
        <w:rPr>
          <w:rFonts w:cs="Arial"/>
          <w:bCs w:val="0"/>
          <w:sz w:val="20"/>
        </w:rPr>
        <w:t>.</w:t>
      </w:r>
    </w:p>
    <w:p w14:paraId="1A47B822" w14:textId="4A3099D3" w:rsidR="00617E4C" w:rsidRPr="00617E4C" w:rsidRDefault="00E85428" w:rsidP="004800AB">
      <w:pPr>
        <w:spacing w:after="160" w:line="288" w:lineRule="auto"/>
        <w:rPr>
          <w:rFonts w:cs="Arial"/>
          <w:bCs w:val="0"/>
          <w:sz w:val="20"/>
        </w:rPr>
      </w:pPr>
      <w:r>
        <w:rPr>
          <w:rFonts w:cs="Arial"/>
          <w:b/>
          <w:sz w:val="20"/>
        </w:rPr>
        <w:t>P</w:t>
      </w:r>
      <w:r w:rsidRPr="00617E4C">
        <w:rPr>
          <w:rFonts w:cs="Arial"/>
          <w:b/>
          <w:sz w:val="20"/>
        </w:rPr>
        <w:t>erinatální úmrtnosti</w:t>
      </w:r>
      <w:r w:rsidRPr="00617E4C">
        <w:rPr>
          <w:rFonts w:cs="Arial"/>
          <w:bCs w:val="0"/>
          <w:sz w:val="20"/>
        </w:rPr>
        <w:t xml:space="preserve"> </w:t>
      </w:r>
      <w:r>
        <w:rPr>
          <w:rFonts w:cs="Arial"/>
          <w:bCs w:val="0"/>
          <w:sz w:val="20"/>
        </w:rPr>
        <w:t>– poměr p</w:t>
      </w:r>
      <w:r w:rsidR="00617E4C" w:rsidRPr="00617E4C">
        <w:rPr>
          <w:rFonts w:cs="Arial"/>
          <w:bCs w:val="0"/>
          <w:sz w:val="20"/>
        </w:rPr>
        <w:t>očt</w:t>
      </w:r>
      <w:r>
        <w:rPr>
          <w:rFonts w:cs="Arial"/>
          <w:bCs w:val="0"/>
          <w:sz w:val="20"/>
        </w:rPr>
        <w:t>u</w:t>
      </w:r>
      <w:r w:rsidR="00617E4C" w:rsidRPr="00617E4C">
        <w:rPr>
          <w:rFonts w:cs="Arial"/>
          <w:bCs w:val="0"/>
          <w:sz w:val="20"/>
        </w:rPr>
        <w:t xml:space="preserve"> mrtvě narozených </w:t>
      </w:r>
      <w:r>
        <w:rPr>
          <w:rFonts w:cs="Arial"/>
          <w:bCs w:val="0"/>
          <w:sz w:val="20"/>
        </w:rPr>
        <w:t xml:space="preserve">dětí a dětí </w:t>
      </w:r>
      <w:r w:rsidR="00617E4C" w:rsidRPr="00617E4C">
        <w:rPr>
          <w:rFonts w:cs="Arial"/>
          <w:bCs w:val="0"/>
          <w:sz w:val="20"/>
        </w:rPr>
        <w:t xml:space="preserve">zemřelých </w:t>
      </w:r>
      <w:r>
        <w:rPr>
          <w:rFonts w:cs="Arial"/>
          <w:bCs w:val="0"/>
          <w:sz w:val="20"/>
        </w:rPr>
        <w:t>před dosažením</w:t>
      </w:r>
      <w:r w:rsidR="00617E4C" w:rsidRPr="00617E4C">
        <w:rPr>
          <w:rFonts w:cs="Arial"/>
          <w:bCs w:val="0"/>
          <w:sz w:val="20"/>
        </w:rPr>
        <w:t xml:space="preserve"> věku </w:t>
      </w:r>
      <w:r>
        <w:rPr>
          <w:rFonts w:cs="Arial"/>
          <w:bCs w:val="0"/>
          <w:sz w:val="20"/>
        </w:rPr>
        <w:t>7</w:t>
      </w:r>
      <w:r w:rsidR="00DF1435">
        <w:rPr>
          <w:rFonts w:cs="Arial"/>
          <w:bCs w:val="0"/>
          <w:sz w:val="20"/>
        </w:rPr>
        <w:t> </w:t>
      </w:r>
      <w:r w:rsidR="00617E4C" w:rsidRPr="00617E4C">
        <w:rPr>
          <w:rFonts w:cs="Arial"/>
          <w:bCs w:val="0"/>
          <w:sz w:val="20"/>
        </w:rPr>
        <w:t>dnů</w:t>
      </w:r>
      <w:r>
        <w:rPr>
          <w:rFonts w:cs="Arial"/>
          <w:bCs w:val="0"/>
          <w:sz w:val="20"/>
        </w:rPr>
        <w:t> k počtu všech</w:t>
      </w:r>
      <w:r w:rsidR="00617E4C" w:rsidRPr="00617E4C">
        <w:rPr>
          <w:rFonts w:cs="Arial"/>
          <w:bCs w:val="0"/>
          <w:sz w:val="20"/>
        </w:rPr>
        <w:t xml:space="preserve"> narozených dětí </w:t>
      </w:r>
      <w:r>
        <w:rPr>
          <w:rFonts w:cs="Arial"/>
          <w:sz w:val="20"/>
        </w:rPr>
        <w:t>ve stejném období (zde na 1 000 narozených)</w:t>
      </w:r>
      <w:r w:rsidR="00617E4C" w:rsidRPr="00617E4C">
        <w:rPr>
          <w:rFonts w:cs="Arial"/>
          <w:bCs w:val="0"/>
          <w:sz w:val="20"/>
        </w:rPr>
        <w:t>.</w:t>
      </w:r>
    </w:p>
    <w:p w14:paraId="7373BC19" w14:textId="2E6B53E6" w:rsidR="00617E4C" w:rsidRPr="00617E4C" w:rsidRDefault="00617E4C" w:rsidP="004800AB">
      <w:pPr>
        <w:spacing w:after="160" w:line="288" w:lineRule="auto"/>
        <w:rPr>
          <w:rFonts w:cs="Arial"/>
          <w:bCs w:val="0"/>
          <w:sz w:val="20"/>
        </w:rPr>
      </w:pPr>
      <w:r w:rsidRPr="00617E4C">
        <w:rPr>
          <w:rFonts w:cs="Arial"/>
          <w:bCs w:val="0"/>
          <w:sz w:val="20"/>
        </w:rPr>
        <w:t>K charakteristice řádu vymírání určité populace se používá úmrtnostních tabulek, které pomocí tabulkových funkcí vzájemně spolu propojených poskytují nejpřesnější vyjádření intenzity úmrtnosti zkoumané populace. Výsledkem výpočtu úmrtnostních tabulek je mj. ukazatel naděje dožití (střední délka života).</w:t>
      </w:r>
      <w:r w:rsidR="00222565">
        <w:rPr>
          <w:rFonts w:cs="Arial"/>
          <w:bCs w:val="0"/>
          <w:sz w:val="20"/>
        </w:rPr>
        <w:t xml:space="preserve"> </w:t>
      </w:r>
      <w:r w:rsidRPr="00617E4C">
        <w:rPr>
          <w:rFonts w:cs="Arial"/>
          <w:bCs w:val="0"/>
          <w:sz w:val="20"/>
        </w:rPr>
        <w:t xml:space="preserve">V roce 2018 přistoupil Český statistický úřad k úpravě metodiky konstrukce úmrtnostních tabulek, kdy hlavní změnou bylo používání funkce </w:t>
      </w:r>
      <w:proofErr w:type="spellStart"/>
      <w:r w:rsidRPr="00617E4C">
        <w:rPr>
          <w:rFonts w:cs="Arial"/>
          <w:bCs w:val="0"/>
          <w:sz w:val="20"/>
        </w:rPr>
        <w:t>Kannisto</w:t>
      </w:r>
      <w:proofErr w:type="spellEnd"/>
      <w:r w:rsidRPr="00617E4C">
        <w:rPr>
          <w:rFonts w:cs="Arial"/>
          <w:bCs w:val="0"/>
          <w:sz w:val="20"/>
        </w:rPr>
        <w:t xml:space="preserve"> (místo </w:t>
      </w:r>
      <w:proofErr w:type="spellStart"/>
      <w:r w:rsidRPr="00617E4C">
        <w:rPr>
          <w:rFonts w:cs="Arial"/>
          <w:bCs w:val="0"/>
          <w:sz w:val="20"/>
        </w:rPr>
        <w:t>Gompertz-Makeham</w:t>
      </w:r>
      <w:proofErr w:type="spellEnd"/>
      <w:r w:rsidRPr="00617E4C">
        <w:rPr>
          <w:rFonts w:cs="Arial"/>
          <w:bCs w:val="0"/>
          <w:sz w:val="20"/>
        </w:rPr>
        <w:t>) pro modelování úmrtnosti v nejvyšších věcích</w:t>
      </w:r>
      <w:r w:rsidRPr="00617E4C">
        <w:rPr>
          <w:rFonts w:cs="Arial"/>
          <w:bCs w:val="0"/>
          <w:sz w:val="20"/>
          <w:vertAlign w:val="superscript"/>
        </w:rPr>
        <w:footnoteReference w:id="3"/>
      </w:r>
      <w:r w:rsidRPr="00617E4C">
        <w:rPr>
          <w:rFonts w:cs="Arial"/>
          <w:bCs w:val="0"/>
          <w:sz w:val="20"/>
        </w:rPr>
        <w:t xml:space="preserve">. Veškeré údaje v této publikaci </w:t>
      </w:r>
      <w:r w:rsidR="006228E9">
        <w:rPr>
          <w:rFonts w:cs="Arial"/>
          <w:bCs w:val="0"/>
          <w:sz w:val="20"/>
        </w:rPr>
        <w:t xml:space="preserve">(v celé časové řadě od roku 1920) </w:t>
      </w:r>
      <w:r w:rsidRPr="00617E4C">
        <w:rPr>
          <w:rFonts w:cs="Arial"/>
          <w:bCs w:val="0"/>
          <w:sz w:val="20"/>
        </w:rPr>
        <w:t>vycházejí z úmrtnostních tabulek, které byly zpracovány touto novou metodikou.</w:t>
      </w:r>
    </w:p>
    <w:p w14:paraId="3A03F375" w14:textId="0CDF3C20" w:rsidR="00617E4C" w:rsidRPr="00617E4C" w:rsidRDefault="00617E4C" w:rsidP="00E84315">
      <w:pPr>
        <w:spacing w:after="240" w:line="288" w:lineRule="auto"/>
        <w:rPr>
          <w:rFonts w:eastAsia="Arial Unicode MS" w:cs="Arial"/>
          <w:bCs w:val="0"/>
          <w:sz w:val="20"/>
        </w:rPr>
      </w:pPr>
      <w:r w:rsidRPr="00617E4C">
        <w:rPr>
          <w:rFonts w:eastAsia="Arial Unicode MS" w:cs="Arial"/>
          <w:b/>
          <w:sz w:val="20"/>
        </w:rPr>
        <w:t>Naděje dožití</w:t>
      </w:r>
      <w:r w:rsidRPr="00617E4C">
        <w:rPr>
          <w:rFonts w:eastAsia="Arial Unicode MS" w:cs="Arial"/>
          <w:bCs w:val="0"/>
          <w:sz w:val="20"/>
        </w:rPr>
        <w:t xml:space="preserve"> (střední délka života) </w:t>
      </w:r>
      <w:r w:rsidRPr="00617E4C">
        <w:rPr>
          <w:rFonts w:eastAsia="Arial Unicode MS" w:cs="Arial"/>
          <w:bCs w:val="0"/>
          <w:iCs/>
          <w:sz w:val="20"/>
        </w:rPr>
        <w:t>–</w:t>
      </w:r>
      <w:r w:rsidRPr="00617E4C">
        <w:rPr>
          <w:rFonts w:eastAsia="Arial Unicode MS" w:cs="Arial"/>
          <w:bCs w:val="0"/>
          <w:sz w:val="20"/>
        </w:rPr>
        <w:t xml:space="preserve"> </w:t>
      </w:r>
      <w:r w:rsidR="00E85428">
        <w:rPr>
          <w:rFonts w:eastAsia="Arial Unicode MS" w:cs="Arial"/>
          <w:bCs w:val="0"/>
          <w:sz w:val="20"/>
        </w:rPr>
        <w:t>p</w:t>
      </w:r>
      <w:r w:rsidR="00E85428" w:rsidRPr="00E85428">
        <w:rPr>
          <w:rFonts w:eastAsia="Arial Unicode MS" w:cs="Arial"/>
          <w:bCs w:val="0"/>
          <w:sz w:val="20"/>
        </w:rPr>
        <w:t>růměrný počet let, který prožije právě x-letá osoba při zachování úmrtnostních poměrů v jednotlivých věcích daného roku (období). Vzhledem k diferenciaci úmrtnosti obou pohlaví je naděje dožití počítána zvlášť za muže a ženy.</w:t>
      </w:r>
      <w:r w:rsidRPr="00617E4C">
        <w:rPr>
          <w:rFonts w:eastAsia="Arial Unicode MS" w:cs="Arial"/>
          <w:bCs w:val="0"/>
          <w:sz w:val="20"/>
        </w:rPr>
        <w:t xml:space="preserve"> </w:t>
      </w:r>
    </w:p>
    <w:p w14:paraId="54B288A5" w14:textId="0724E0C3" w:rsidR="00DF1435" w:rsidRPr="00417751" w:rsidRDefault="00DF1435" w:rsidP="00E84315">
      <w:pPr>
        <w:spacing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příčině smrti</w:t>
      </w:r>
    </w:p>
    <w:p w14:paraId="72F42CD7" w14:textId="40548422" w:rsidR="0087004F" w:rsidRPr="0087004F" w:rsidRDefault="0087004F" w:rsidP="00E84315">
      <w:pPr>
        <w:spacing w:after="120" w:line="288" w:lineRule="auto"/>
        <w:rPr>
          <w:rFonts w:eastAsia="Arial Unicode MS" w:cs="Arial"/>
          <w:bCs w:val="0"/>
          <w:sz w:val="20"/>
        </w:rPr>
      </w:pPr>
      <w:r w:rsidRPr="0087004F">
        <w:rPr>
          <w:rFonts w:eastAsia="Arial Unicode MS" w:cs="Arial"/>
          <w:bCs w:val="0"/>
          <w:sz w:val="20"/>
        </w:rPr>
        <w:t xml:space="preserve">Příčiny smrti jsou </w:t>
      </w:r>
      <w:r>
        <w:rPr>
          <w:rFonts w:eastAsia="Arial Unicode MS" w:cs="Arial"/>
          <w:bCs w:val="0"/>
          <w:sz w:val="20"/>
        </w:rPr>
        <w:t xml:space="preserve">od roku 1919 </w:t>
      </w:r>
      <w:r w:rsidRPr="0087004F">
        <w:rPr>
          <w:rFonts w:eastAsia="Arial Unicode MS" w:cs="Arial"/>
          <w:bCs w:val="0"/>
          <w:sz w:val="20"/>
        </w:rPr>
        <w:t xml:space="preserve">kódovány </w:t>
      </w:r>
      <w:r w:rsidR="00CE0007">
        <w:rPr>
          <w:rFonts w:eastAsia="Arial Unicode MS" w:cs="Arial"/>
          <w:bCs w:val="0"/>
          <w:sz w:val="20"/>
        </w:rPr>
        <w:t>po</w:t>
      </w:r>
      <w:r w:rsidRPr="0087004F">
        <w:rPr>
          <w:rFonts w:eastAsia="Arial Unicode MS" w:cs="Arial"/>
          <w:bCs w:val="0"/>
          <w:sz w:val="20"/>
        </w:rPr>
        <w:t>dle Mezinárodní statistické klasifikace nemocí a přidružených zdravotních problémů (MKN) ve znění decenálních revizí platných v ČR v jednotlivých letech</w:t>
      </w:r>
      <w:r w:rsidR="006228E9">
        <w:rPr>
          <w:rFonts w:eastAsia="Arial Unicode MS" w:cs="Arial"/>
          <w:bCs w:val="0"/>
          <w:sz w:val="20"/>
        </w:rPr>
        <w:t>.</w:t>
      </w:r>
      <w:r>
        <w:rPr>
          <w:rFonts w:eastAsia="Arial Unicode MS" w:cs="Arial"/>
          <w:bCs w:val="0"/>
          <w:sz w:val="20"/>
        </w:rPr>
        <w:t xml:space="preserve"> </w:t>
      </w:r>
      <w:r w:rsidRPr="0087004F">
        <w:rPr>
          <w:rFonts w:eastAsia="Arial Unicode MS" w:cs="Arial"/>
          <w:bCs w:val="0"/>
          <w:sz w:val="20"/>
        </w:rPr>
        <w:t>Od roku 2009 jsou v ČR implementovány rovněž aktualizace 10. revize vydávané Světovou zdravotnickou organizací (WHO). Překlad klasifikace a jejích aktualizací do češtiny a následná implementace je v ČR v kompetenci Ú</w:t>
      </w:r>
      <w:r w:rsidR="00DB2ED1">
        <w:rPr>
          <w:rFonts w:eastAsia="Arial Unicode MS" w:cs="Arial"/>
          <w:bCs w:val="0"/>
          <w:sz w:val="20"/>
        </w:rPr>
        <w:t>stavu zdravotnických informací a statistiky ČR (ÚZIS</w:t>
      </w:r>
      <w:r w:rsidRPr="0087004F">
        <w:rPr>
          <w:rFonts w:eastAsia="Arial Unicode MS" w:cs="Arial"/>
          <w:bCs w:val="0"/>
          <w:sz w:val="20"/>
        </w:rPr>
        <w:t xml:space="preserve"> ČR</w:t>
      </w:r>
      <w:r w:rsidR="00DB2ED1">
        <w:rPr>
          <w:rFonts w:eastAsia="Arial Unicode MS" w:cs="Arial"/>
          <w:bCs w:val="0"/>
          <w:sz w:val="20"/>
        </w:rPr>
        <w:t>)</w:t>
      </w:r>
      <w:r w:rsidRPr="0087004F">
        <w:rPr>
          <w:rFonts w:eastAsia="Arial Unicode MS" w:cs="Arial"/>
          <w:bCs w:val="0"/>
          <w:sz w:val="20"/>
        </w:rPr>
        <w:t>.</w:t>
      </w:r>
    </w:p>
    <w:p w14:paraId="19FD2DBE" w14:textId="454C2A88" w:rsidR="0087004F" w:rsidRPr="00617E4C" w:rsidRDefault="0087004F" w:rsidP="00E84315">
      <w:pPr>
        <w:spacing w:after="120" w:line="288" w:lineRule="auto"/>
        <w:rPr>
          <w:rFonts w:eastAsia="Arial Unicode MS" w:cs="Arial"/>
          <w:bCs w:val="0"/>
          <w:sz w:val="20"/>
        </w:rPr>
      </w:pPr>
      <w:r w:rsidRPr="0087004F">
        <w:rPr>
          <w:rFonts w:eastAsia="Arial Unicode MS" w:cs="Arial"/>
          <w:bCs w:val="0"/>
          <w:sz w:val="20"/>
        </w:rPr>
        <w:t>Ve statistických výstupech jsou data tabelována podle základní příčiny smrti, která je WHO definována jako (a) onemocnění nebo zranění, které iniciovalo řetězec chorobných stavů přímo vedoucích ke smrti, nebo (b)</w:t>
      </w:r>
      <w:r w:rsidR="00757592">
        <w:rPr>
          <w:rFonts w:eastAsia="Arial Unicode MS" w:cs="Arial"/>
          <w:bCs w:val="0"/>
          <w:sz w:val="20"/>
        </w:rPr>
        <w:t> </w:t>
      </w:r>
      <w:r w:rsidRPr="0087004F">
        <w:rPr>
          <w:rFonts w:eastAsia="Arial Unicode MS" w:cs="Arial"/>
          <w:bCs w:val="0"/>
          <w:sz w:val="20"/>
        </w:rPr>
        <w:t>okolnosti nehody či násilí, jež způsobily smrtelné poranění. Od roku 2011 provádí ČSÚ výběr základní příčiny smrti automatizovaně, pomocí programu (software IRIS).</w:t>
      </w:r>
    </w:p>
    <w:p w14:paraId="3C58A4D5" w14:textId="17EE8DAE" w:rsidR="00617E4C" w:rsidRPr="00617E4C" w:rsidRDefault="00DF1435" w:rsidP="00E84315">
      <w:pPr>
        <w:spacing w:after="120" w:line="288" w:lineRule="auto"/>
        <w:rPr>
          <w:rFonts w:eastAsia="Arial Unicode MS" w:cs="Arial"/>
          <w:bCs w:val="0"/>
          <w:sz w:val="20"/>
        </w:rPr>
      </w:pPr>
      <w:r w:rsidRPr="00617E4C">
        <w:rPr>
          <w:rFonts w:cs="Arial"/>
          <w:bCs w:val="0"/>
          <w:sz w:val="20"/>
        </w:rPr>
        <w:lastRenderedPageBreak/>
        <w:t>Srovnatelnost</w:t>
      </w:r>
      <w:r>
        <w:rPr>
          <w:rFonts w:cs="Arial"/>
          <w:bCs w:val="0"/>
          <w:sz w:val="20"/>
        </w:rPr>
        <w:t xml:space="preserve"> jednotlivých</w:t>
      </w:r>
      <w:r w:rsidRPr="00617E4C">
        <w:rPr>
          <w:rFonts w:cs="Arial"/>
          <w:bCs w:val="0"/>
          <w:sz w:val="20"/>
        </w:rPr>
        <w:t xml:space="preserve"> revizí je omezena.</w:t>
      </w:r>
      <w:r>
        <w:rPr>
          <w:rFonts w:cs="Arial"/>
          <w:bCs w:val="0"/>
          <w:sz w:val="20"/>
        </w:rPr>
        <w:t xml:space="preserve"> </w:t>
      </w:r>
      <w:r w:rsidR="00617E4C" w:rsidRPr="00617E4C">
        <w:rPr>
          <w:rFonts w:eastAsia="Arial Unicode MS" w:cs="Arial"/>
          <w:bCs w:val="0"/>
          <w:sz w:val="20"/>
        </w:rPr>
        <w:t>Období platnosti jednotlivých revizí Mezinárodní klasifikace nemocí v ČR: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701"/>
        <w:gridCol w:w="2268"/>
      </w:tblGrid>
      <w:tr w:rsidR="00617E4C" w:rsidRPr="00617E4C" w14:paraId="0CF0042B" w14:textId="77777777" w:rsidTr="00636C6F">
        <w:trPr>
          <w:trHeight w:hRule="exact" w:val="255"/>
        </w:trPr>
        <w:tc>
          <w:tcPr>
            <w:tcW w:w="1752" w:type="dxa"/>
            <w:vAlign w:val="center"/>
          </w:tcPr>
          <w:p w14:paraId="2FB84570" w14:textId="77777777" w:rsidR="00617E4C" w:rsidRPr="00617E4C" w:rsidRDefault="00617E4C" w:rsidP="00636C6F">
            <w:pPr>
              <w:spacing w:line="288" w:lineRule="auto"/>
              <w:rPr>
                <w:rFonts w:eastAsia="Arial Unicode MS" w:cs="Arial"/>
                <w:b/>
                <w:bCs w:val="0"/>
                <w:szCs w:val="16"/>
              </w:rPr>
            </w:pPr>
            <w:r w:rsidRPr="00617E4C">
              <w:rPr>
                <w:rFonts w:eastAsia="Arial Unicode MS" w:cs="Arial"/>
                <w:b/>
                <w:bCs w:val="0"/>
                <w:szCs w:val="16"/>
              </w:rPr>
              <w:t>Označení revize</w:t>
            </w:r>
          </w:p>
        </w:tc>
        <w:tc>
          <w:tcPr>
            <w:tcW w:w="1701" w:type="dxa"/>
            <w:vAlign w:val="center"/>
          </w:tcPr>
          <w:p w14:paraId="4B4CAD28" w14:textId="77777777" w:rsidR="00617E4C" w:rsidRPr="00617E4C" w:rsidRDefault="00617E4C" w:rsidP="00636C6F">
            <w:pPr>
              <w:spacing w:line="288" w:lineRule="auto"/>
              <w:rPr>
                <w:rFonts w:eastAsia="Arial Unicode MS" w:cs="Arial"/>
                <w:b/>
                <w:bCs w:val="0"/>
                <w:szCs w:val="16"/>
              </w:rPr>
            </w:pPr>
            <w:r w:rsidRPr="00617E4C">
              <w:rPr>
                <w:rFonts w:eastAsia="Arial Unicode MS" w:cs="Arial"/>
                <w:b/>
                <w:bCs w:val="0"/>
                <w:szCs w:val="16"/>
              </w:rPr>
              <w:t>Rok přijetí WHO</w:t>
            </w:r>
          </w:p>
        </w:tc>
        <w:tc>
          <w:tcPr>
            <w:tcW w:w="2268" w:type="dxa"/>
            <w:vAlign w:val="center"/>
          </w:tcPr>
          <w:p w14:paraId="579BBEB5" w14:textId="77777777" w:rsidR="00617E4C" w:rsidRPr="00617E4C" w:rsidRDefault="00617E4C" w:rsidP="00636C6F">
            <w:pPr>
              <w:spacing w:line="288" w:lineRule="auto"/>
              <w:rPr>
                <w:rFonts w:eastAsia="Arial Unicode MS" w:cs="Arial"/>
                <w:b/>
                <w:bCs w:val="0"/>
                <w:szCs w:val="16"/>
              </w:rPr>
            </w:pPr>
            <w:r w:rsidRPr="00617E4C">
              <w:rPr>
                <w:rFonts w:eastAsia="Arial Unicode MS" w:cs="Arial"/>
                <w:b/>
                <w:bCs w:val="0"/>
                <w:szCs w:val="16"/>
              </w:rPr>
              <w:t>Období platnosti v ČR</w:t>
            </w:r>
          </w:p>
        </w:tc>
      </w:tr>
      <w:tr w:rsidR="00617E4C" w:rsidRPr="00617E4C" w14:paraId="5373330A" w14:textId="77777777" w:rsidTr="00636C6F">
        <w:trPr>
          <w:trHeight w:hRule="exact" w:val="255"/>
        </w:trPr>
        <w:tc>
          <w:tcPr>
            <w:tcW w:w="1752" w:type="dxa"/>
            <w:vAlign w:val="center"/>
          </w:tcPr>
          <w:p w14:paraId="6EDC9400"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MKN-3*</w:t>
            </w:r>
          </w:p>
        </w:tc>
        <w:tc>
          <w:tcPr>
            <w:tcW w:w="1701" w:type="dxa"/>
            <w:vAlign w:val="center"/>
          </w:tcPr>
          <w:p w14:paraId="1F26AE8D"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1920**</w:t>
            </w:r>
          </w:p>
        </w:tc>
        <w:tc>
          <w:tcPr>
            <w:tcW w:w="2268" w:type="dxa"/>
            <w:vAlign w:val="center"/>
          </w:tcPr>
          <w:p w14:paraId="2A031617"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1919–1930</w:t>
            </w:r>
          </w:p>
        </w:tc>
      </w:tr>
      <w:tr w:rsidR="00617E4C" w:rsidRPr="00617E4C" w14:paraId="336A0A80" w14:textId="77777777" w:rsidTr="00636C6F">
        <w:trPr>
          <w:trHeight w:hRule="exact" w:val="255"/>
        </w:trPr>
        <w:tc>
          <w:tcPr>
            <w:tcW w:w="1752" w:type="dxa"/>
            <w:vAlign w:val="center"/>
          </w:tcPr>
          <w:p w14:paraId="0579F9CD"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MKN-4</w:t>
            </w:r>
          </w:p>
        </w:tc>
        <w:tc>
          <w:tcPr>
            <w:tcW w:w="1701" w:type="dxa"/>
            <w:vAlign w:val="center"/>
          </w:tcPr>
          <w:p w14:paraId="3370E7EB"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1929**</w:t>
            </w:r>
          </w:p>
        </w:tc>
        <w:tc>
          <w:tcPr>
            <w:tcW w:w="2268" w:type="dxa"/>
            <w:vAlign w:val="center"/>
          </w:tcPr>
          <w:p w14:paraId="0D7DEFED"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1931–1940</w:t>
            </w:r>
          </w:p>
        </w:tc>
      </w:tr>
      <w:tr w:rsidR="00617E4C" w:rsidRPr="00617E4C" w14:paraId="21673E58" w14:textId="77777777" w:rsidTr="00636C6F">
        <w:trPr>
          <w:trHeight w:hRule="exact" w:val="255"/>
        </w:trPr>
        <w:tc>
          <w:tcPr>
            <w:tcW w:w="1752" w:type="dxa"/>
            <w:vAlign w:val="center"/>
          </w:tcPr>
          <w:p w14:paraId="06219B35"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MKN-5</w:t>
            </w:r>
          </w:p>
        </w:tc>
        <w:tc>
          <w:tcPr>
            <w:tcW w:w="1701" w:type="dxa"/>
            <w:vAlign w:val="center"/>
          </w:tcPr>
          <w:p w14:paraId="524BF766"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1938**</w:t>
            </w:r>
          </w:p>
        </w:tc>
        <w:tc>
          <w:tcPr>
            <w:tcW w:w="2268" w:type="dxa"/>
            <w:vAlign w:val="center"/>
          </w:tcPr>
          <w:p w14:paraId="475EF845"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1941–1948</w:t>
            </w:r>
          </w:p>
        </w:tc>
      </w:tr>
      <w:tr w:rsidR="00617E4C" w:rsidRPr="00617E4C" w14:paraId="1E658D14" w14:textId="77777777" w:rsidTr="00636C6F">
        <w:trPr>
          <w:trHeight w:hRule="exact" w:val="255"/>
        </w:trPr>
        <w:tc>
          <w:tcPr>
            <w:tcW w:w="1752" w:type="dxa"/>
            <w:vAlign w:val="center"/>
          </w:tcPr>
          <w:p w14:paraId="10CF7031"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MKN-6</w:t>
            </w:r>
          </w:p>
        </w:tc>
        <w:tc>
          <w:tcPr>
            <w:tcW w:w="1701" w:type="dxa"/>
            <w:vAlign w:val="center"/>
          </w:tcPr>
          <w:p w14:paraId="010FC073"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1948</w:t>
            </w:r>
          </w:p>
        </w:tc>
        <w:tc>
          <w:tcPr>
            <w:tcW w:w="2268" w:type="dxa"/>
            <w:vAlign w:val="center"/>
          </w:tcPr>
          <w:p w14:paraId="5456BB8A"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1949–1957</w:t>
            </w:r>
          </w:p>
        </w:tc>
      </w:tr>
      <w:tr w:rsidR="00617E4C" w:rsidRPr="00617E4C" w14:paraId="139CBBDD" w14:textId="77777777" w:rsidTr="00636C6F">
        <w:trPr>
          <w:trHeight w:hRule="exact" w:val="255"/>
        </w:trPr>
        <w:tc>
          <w:tcPr>
            <w:tcW w:w="1752" w:type="dxa"/>
            <w:vAlign w:val="center"/>
          </w:tcPr>
          <w:p w14:paraId="38E20571"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MKN-7</w:t>
            </w:r>
          </w:p>
        </w:tc>
        <w:tc>
          <w:tcPr>
            <w:tcW w:w="1701" w:type="dxa"/>
            <w:vAlign w:val="center"/>
          </w:tcPr>
          <w:p w14:paraId="51F79D56"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1955</w:t>
            </w:r>
          </w:p>
        </w:tc>
        <w:tc>
          <w:tcPr>
            <w:tcW w:w="2268" w:type="dxa"/>
            <w:vAlign w:val="center"/>
          </w:tcPr>
          <w:p w14:paraId="235BCB8E"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1958–1967</w:t>
            </w:r>
          </w:p>
        </w:tc>
      </w:tr>
      <w:tr w:rsidR="00617E4C" w:rsidRPr="00617E4C" w14:paraId="1B3BB67D" w14:textId="77777777" w:rsidTr="00636C6F">
        <w:trPr>
          <w:trHeight w:hRule="exact" w:val="255"/>
        </w:trPr>
        <w:tc>
          <w:tcPr>
            <w:tcW w:w="1752" w:type="dxa"/>
            <w:vAlign w:val="center"/>
          </w:tcPr>
          <w:p w14:paraId="7EDFC661"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MKN-8</w:t>
            </w:r>
          </w:p>
        </w:tc>
        <w:tc>
          <w:tcPr>
            <w:tcW w:w="1701" w:type="dxa"/>
            <w:vAlign w:val="center"/>
          </w:tcPr>
          <w:p w14:paraId="69CA60CF"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1965</w:t>
            </w:r>
          </w:p>
        </w:tc>
        <w:tc>
          <w:tcPr>
            <w:tcW w:w="2268" w:type="dxa"/>
            <w:vAlign w:val="center"/>
          </w:tcPr>
          <w:p w14:paraId="13F0E2DB"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1968–1978</w:t>
            </w:r>
          </w:p>
        </w:tc>
      </w:tr>
      <w:tr w:rsidR="00617E4C" w:rsidRPr="00617E4C" w14:paraId="3145168B" w14:textId="77777777" w:rsidTr="00636C6F">
        <w:trPr>
          <w:trHeight w:hRule="exact" w:val="255"/>
        </w:trPr>
        <w:tc>
          <w:tcPr>
            <w:tcW w:w="1752" w:type="dxa"/>
            <w:vAlign w:val="center"/>
          </w:tcPr>
          <w:p w14:paraId="5CD4A576"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MKN-9</w:t>
            </w:r>
          </w:p>
        </w:tc>
        <w:tc>
          <w:tcPr>
            <w:tcW w:w="1701" w:type="dxa"/>
            <w:vAlign w:val="center"/>
          </w:tcPr>
          <w:p w14:paraId="64DC87B7"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1975</w:t>
            </w:r>
          </w:p>
        </w:tc>
        <w:tc>
          <w:tcPr>
            <w:tcW w:w="2268" w:type="dxa"/>
            <w:vAlign w:val="center"/>
          </w:tcPr>
          <w:p w14:paraId="7B4F6E3D"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1979–1993</w:t>
            </w:r>
          </w:p>
        </w:tc>
      </w:tr>
      <w:tr w:rsidR="00617E4C" w:rsidRPr="00617E4C" w14:paraId="076F57CF" w14:textId="77777777" w:rsidTr="00636C6F">
        <w:trPr>
          <w:trHeight w:hRule="exact" w:val="255"/>
        </w:trPr>
        <w:tc>
          <w:tcPr>
            <w:tcW w:w="1752" w:type="dxa"/>
            <w:vAlign w:val="center"/>
          </w:tcPr>
          <w:p w14:paraId="427E9A0E"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MKN-10</w:t>
            </w:r>
          </w:p>
        </w:tc>
        <w:tc>
          <w:tcPr>
            <w:tcW w:w="1701" w:type="dxa"/>
            <w:vAlign w:val="center"/>
          </w:tcPr>
          <w:p w14:paraId="0DE8D079"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1990</w:t>
            </w:r>
          </w:p>
        </w:tc>
        <w:tc>
          <w:tcPr>
            <w:tcW w:w="2268" w:type="dxa"/>
            <w:vAlign w:val="center"/>
          </w:tcPr>
          <w:p w14:paraId="37926D14" w14:textId="77777777" w:rsidR="00617E4C" w:rsidRPr="00617E4C" w:rsidRDefault="00617E4C" w:rsidP="00636C6F">
            <w:pPr>
              <w:spacing w:line="288" w:lineRule="auto"/>
              <w:rPr>
                <w:rFonts w:eastAsia="Arial Unicode MS" w:cs="Arial"/>
                <w:bCs w:val="0"/>
                <w:szCs w:val="16"/>
              </w:rPr>
            </w:pPr>
            <w:r w:rsidRPr="00617E4C">
              <w:rPr>
                <w:rFonts w:eastAsia="Arial Unicode MS" w:cs="Arial"/>
                <w:bCs w:val="0"/>
                <w:szCs w:val="16"/>
              </w:rPr>
              <w:t>1994–</w:t>
            </w:r>
          </w:p>
        </w:tc>
      </w:tr>
    </w:tbl>
    <w:p w14:paraId="558854DF" w14:textId="77777777" w:rsidR="00617E4C" w:rsidRPr="00617E4C" w:rsidRDefault="00617E4C" w:rsidP="00E84315">
      <w:pPr>
        <w:spacing w:line="288" w:lineRule="auto"/>
        <w:ind w:firstLine="142"/>
        <w:rPr>
          <w:rFonts w:cs="Arial"/>
          <w:bCs w:val="0"/>
          <w:i/>
          <w:szCs w:val="16"/>
        </w:rPr>
      </w:pPr>
      <w:r w:rsidRPr="00617E4C">
        <w:rPr>
          <w:rFonts w:cs="Arial"/>
          <w:bCs w:val="0"/>
          <w:i/>
          <w:szCs w:val="16"/>
        </w:rPr>
        <w:t>*) Mezinárodní klasifikace příčin smrti</w:t>
      </w:r>
    </w:p>
    <w:p w14:paraId="6A2CE373" w14:textId="77777777" w:rsidR="00617E4C" w:rsidRPr="00617E4C" w:rsidRDefault="00617E4C" w:rsidP="00E84315">
      <w:pPr>
        <w:spacing w:after="120" w:line="288" w:lineRule="auto"/>
        <w:ind w:firstLine="142"/>
        <w:rPr>
          <w:rFonts w:cs="Arial"/>
          <w:bCs w:val="0"/>
          <w:i/>
          <w:szCs w:val="16"/>
        </w:rPr>
      </w:pPr>
      <w:r w:rsidRPr="00617E4C">
        <w:rPr>
          <w:rFonts w:cs="Arial"/>
          <w:bCs w:val="0"/>
          <w:i/>
          <w:szCs w:val="16"/>
        </w:rPr>
        <w:t>**) Přijato Mezinárodním statistickým institutem, resp. Zdravotnickou organizací Společnosti národů.</w:t>
      </w:r>
    </w:p>
    <w:p w14:paraId="4B920939" w14:textId="746FC20A" w:rsidR="00617E4C" w:rsidRPr="00617E4C" w:rsidRDefault="00617E4C" w:rsidP="00E84315">
      <w:pPr>
        <w:spacing w:after="120" w:line="288" w:lineRule="auto"/>
        <w:ind w:firstLine="142"/>
        <w:rPr>
          <w:rFonts w:eastAsia="Arial Unicode MS" w:cs="Arial"/>
          <w:bCs w:val="0"/>
          <w:sz w:val="20"/>
        </w:rPr>
      </w:pPr>
      <w:r w:rsidRPr="00617E4C">
        <w:rPr>
          <w:rFonts w:eastAsia="Arial Unicode MS" w:cs="Arial"/>
          <w:bCs w:val="0"/>
          <w:sz w:val="20"/>
        </w:rPr>
        <w:t>Názv</w:t>
      </w:r>
      <w:r w:rsidR="006228E9">
        <w:rPr>
          <w:rFonts w:eastAsia="Arial Unicode MS" w:cs="Arial"/>
          <w:bCs w:val="0"/>
          <w:sz w:val="20"/>
        </w:rPr>
        <w:t>y</w:t>
      </w:r>
      <w:r w:rsidRPr="00617E4C">
        <w:rPr>
          <w:rFonts w:eastAsia="Arial Unicode MS" w:cs="Arial"/>
          <w:bCs w:val="0"/>
          <w:sz w:val="20"/>
        </w:rPr>
        <w:t xml:space="preserve"> jednotlivých tříd/kapitol příčin smrti uvedených v Demografické příručce:</w:t>
      </w:r>
    </w:p>
    <w:tbl>
      <w:tblPr>
        <w:tblW w:w="928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1"/>
        <w:gridCol w:w="732"/>
        <w:gridCol w:w="3319"/>
        <w:gridCol w:w="4052"/>
      </w:tblGrid>
      <w:tr w:rsidR="00617E4C" w:rsidRPr="00617E4C" w14:paraId="2C6C3C71" w14:textId="77777777" w:rsidTr="00636C6F">
        <w:trPr>
          <w:trHeight w:hRule="exact" w:val="255"/>
        </w:trPr>
        <w:tc>
          <w:tcPr>
            <w:tcW w:w="1181" w:type="dxa"/>
            <w:shd w:val="clear" w:color="auto" w:fill="auto"/>
            <w:noWrap/>
            <w:vAlign w:val="center"/>
            <w:hideMark/>
          </w:tcPr>
          <w:p w14:paraId="3C78AFD7"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7CFEA6AA"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MKN-6</w:t>
            </w:r>
          </w:p>
        </w:tc>
        <w:tc>
          <w:tcPr>
            <w:tcW w:w="4052" w:type="dxa"/>
            <w:shd w:val="clear" w:color="auto" w:fill="auto"/>
            <w:noWrap/>
            <w:vAlign w:val="center"/>
            <w:hideMark/>
          </w:tcPr>
          <w:p w14:paraId="504CC69C"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MKN-7</w:t>
            </w:r>
          </w:p>
        </w:tc>
      </w:tr>
      <w:tr w:rsidR="00617E4C" w:rsidRPr="00617E4C" w14:paraId="65EDDEF3" w14:textId="77777777" w:rsidTr="00636C6F">
        <w:trPr>
          <w:trHeight w:hRule="exact" w:val="255"/>
        </w:trPr>
        <w:tc>
          <w:tcPr>
            <w:tcW w:w="1181" w:type="dxa"/>
            <w:shd w:val="clear" w:color="auto" w:fill="auto"/>
            <w:noWrap/>
            <w:vAlign w:val="center"/>
            <w:hideMark/>
          </w:tcPr>
          <w:p w14:paraId="4F5798D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6E9019A5"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přenosné a cizopasné</w:t>
            </w:r>
          </w:p>
        </w:tc>
        <w:tc>
          <w:tcPr>
            <w:tcW w:w="4052" w:type="dxa"/>
            <w:shd w:val="clear" w:color="auto" w:fill="auto"/>
            <w:noWrap/>
            <w:vAlign w:val="center"/>
            <w:hideMark/>
          </w:tcPr>
          <w:p w14:paraId="2934B41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infekční a parasitární</w:t>
            </w:r>
          </w:p>
        </w:tc>
      </w:tr>
      <w:tr w:rsidR="00617E4C" w:rsidRPr="00617E4C" w14:paraId="70951BA4" w14:textId="77777777" w:rsidTr="00636C6F">
        <w:trPr>
          <w:trHeight w:hRule="exact" w:val="255"/>
        </w:trPr>
        <w:tc>
          <w:tcPr>
            <w:tcW w:w="1181" w:type="dxa"/>
            <w:shd w:val="clear" w:color="auto" w:fill="auto"/>
            <w:noWrap/>
            <w:vAlign w:val="center"/>
            <w:hideMark/>
          </w:tcPr>
          <w:p w14:paraId="718EEF22"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378E9E9" w14:textId="77777777" w:rsidR="00617E4C" w:rsidRPr="00617E4C" w:rsidRDefault="00617E4C" w:rsidP="00636C6F">
            <w:pPr>
              <w:spacing w:line="288" w:lineRule="auto"/>
              <w:contextualSpacing/>
              <w:rPr>
                <w:rFonts w:cs="Arial"/>
                <w:bCs w:val="0"/>
                <w:szCs w:val="16"/>
              </w:rPr>
            </w:pPr>
            <w:r w:rsidRPr="00617E4C">
              <w:rPr>
                <w:rFonts w:cs="Arial"/>
                <w:bCs w:val="0"/>
                <w:szCs w:val="16"/>
              </w:rPr>
              <w:t>Novotvary</w:t>
            </w:r>
          </w:p>
        </w:tc>
        <w:tc>
          <w:tcPr>
            <w:tcW w:w="4052" w:type="dxa"/>
            <w:shd w:val="clear" w:color="auto" w:fill="auto"/>
            <w:noWrap/>
            <w:vAlign w:val="center"/>
            <w:hideMark/>
          </w:tcPr>
          <w:p w14:paraId="20B23B2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Novotvary</w:t>
            </w:r>
          </w:p>
        </w:tc>
      </w:tr>
      <w:tr w:rsidR="00617E4C" w:rsidRPr="00617E4C" w14:paraId="7DAF9282" w14:textId="77777777" w:rsidTr="00636C6F">
        <w:trPr>
          <w:trHeight w:hRule="exact" w:val="510"/>
        </w:trPr>
        <w:tc>
          <w:tcPr>
            <w:tcW w:w="1181" w:type="dxa"/>
            <w:shd w:val="clear" w:color="auto" w:fill="auto"/>
            <w:noWrap/>
            <w:vAlign w:val="center"/>
            <w:hideMark/>
          </w:tcPr>
          <w:p w14:paraId="23524AC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70C8DCA"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alergické, žláz s vnitřní sekrecí, výměny látkové a výživy</w:t>
            </w:r>
          </w:p>
        </w:tc>
        <w:tc>
          <w:tcPr>
            <w:tcW w:w="4052" w:type="dxa"/>
            <w:shd w:val="clear" w:color="auto" w:fill="auto"/>
            <w:noWrap/>
            <w:vAlign w:val="center"/>
            <w:hideMark/>
          </w:tcPr>
          <w:p w14:paraId="27A846C4"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alergické, žláz s vnitřní sekrecí, výměny látkové a výživy</w:t>
            </w:r>
          </w:p>
        </w:tc>
      </w:tr>
      <w:tr w:rsidR="00617E4C" w:rsidRPr="00617E4C" w14:paraId="3FAA9893" w14:textId="77777777" w:rsidTr="00636C6F">
        <w:trPr>
          <w:trHeight w:hRule="exact" w:val="255"/>
        </w:trPr>
        <w:tc>
          <w:tcPr>
            <w:tcW w:w="1181" w:type="dxa"/>
            <w:shd w:val="clear" w:color="auto" w:fill="auto"/>
            <w:noWrap/>
            <w:vAlign w:val="center"/>
            <w:hideMark/>
          </w:tcPr>
          <w:p w14:paraId="5394861A"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IV.</w:t>
            </w:r>
          </w:p>
        </w:tc>
        <w:tc>
          <w:tcPr>
            <w:tcW w:w="4051" w:type="dxa"/>
            <w:gridSpan w:val="2"/>
            <w:shd w:val="clear" w:color="auto" w:fill="auto"/>
            <w:vAlign w:val="center"/>
            <w:hideMark/>
          </w:tcPr>
          <w:p w14:paraId="03E97D79"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krve a krvotvorné tkáně</w:t>
            </w:r>
          </w:p>
        </w:tc>
        <w:tc>
          <w:tcPr>
            <w:tcW w:w="4052" w:type="dxa"/>
            <w:shd w:val="clear" w:color="auto" w:fill="auto"/>
            <w:noWrap/>
            <w:vAlign w:val="center"/>
            <w:hideMark/>
          </w:tcPr>
          <w:p w14:paraId="2F7F3F42"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krve a krvetvorné tkáně</w:t>
            </w:r>
          </w:p>
        </w:tc>
      </w:tr>
      <w:tr w:rsidR="00617E4C" w:rsidRPr="00617E4C" w14:paraId="02D925E4" w14:textId="77777777" w:rsidTr="00636C6F">
        <w:trPr>
          <w:trHeight w:hRule="exact" w:val="255"/>
        </w:trPr>
        <w:tc>
          <w:tcPr>
            <w:tcW w:w="1181" w:type="dxa"/>
            <w:shd w:val="clear" w:color="auto" w:fill="auto"/>
            <w:noWrap/>
            <w:vAlign w:val="center"/>
            <w:hideMark/>
          </w:tcPr>
          <w:p w14:paraId="0EAC11D4"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7A349DFF" w14:textId="77777777" w:rsidR="00617E4C" w:rsidRPr="00617E4C" w:rsidRDefault="00617E4C" w:rsidP="00636C6F">
            <w:pPr>
              <w:spacing w:line="288" w:lineRule="auto"/>
              <w:contextualSpacing/>
              <w:rPr>
                <w:rFonts w:cs="Arial"/>
                <w:bCs w:val="0"/>
                <w:szCs w:val="16"/>
              </w:rPr>
            </w:pPr>
            <w:r w:rsidRPr="00617E4C">
              <w:rPr>
                <w:rFonts w:cs="Arial"/>
                <w:bCs w:val="0"/>
                <w:szCs w:val="16"/>
              </w:rPr>
              <w:t xml:space="preserve">Poruchy duševní, </w:t>
            </w:r>
            <w:proofErr w:type="spellStart"/>
            <w:r w:rsidRPr="00617E4C">
              <w:rPr>
                <w:rFonts w:cs="Arial"/>
                <w:bCs w:val="0"/>
                <w:szCs w:val="16"/>
              </w:rPr>
              <w:t>psychoneurosy</w:t>
            </w:r>
            <w:proofErr w:type="spellEnd"/>
            <w:r w:rsidRPr="00617E4C">
              <w:rPr>
                <w:rFonts w:cs="Arial"/>
                <w:bCs w:val="0"/>
                <w:szCs w:val="16"/>
              </w:rPr>
              <w:t xml:space="preserve"> a poruchy osobnosti</w:t>
            </w:r>
          </w:p>
        </w:tc>
        <w:tc>
          <w:tcPr>
            <w:tcW w:w="4052" w:type="dxa"/>
            <w:shd w:val="clear" w:color="auto" w:fill="auto"/>
            <w:noWrap/>
            <w:vAlign w:val="center"/>
            <w:hideMark/>
          </w:tcPr>
          <w:p w14:paraId="4F9E316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 xml:space="preserve">Poruchy duševní, </w:t>
            </w:r>
            <w:proofErr w:type="spellStart"/>
            <w:r w:rsidRPr="00617E4C">
              <w:rPr>
                <w:rFonts w:cs="Arial"/>
                <w:bCs w:val="0"/>
                <w:color w:val="000000"/>
                <w:szCs w:val="16"/>
              </w:rPr>
              <w:t>psychoneurosy</w:t>
            </w:r>
            <w:proofErr w:type="spellEnd"/>
            <w:r w:rsidRPr="00617E4C">
              <w:rPr>
                <w:rFonts w:cs="Arial"/>
                <w:bCs w:val="0"/>
                <w:color w:val="000000"/>
                <w:szCs w:val="16"/>
              </w:rPr>
              <w:t xml:space="preserve"> a poruchy osobnosti</w:t>
            </w:r>
          </w:p>
        </w:tc>
      </w:tr>
      <w:tr w:rsidR="00617E4C" w:rsidRPr="00617E4C" w14:paraId="407CA924" w14:textId="77777777" w:rsidTr="00636C6F">
        <w:trPr>
          <w:trHeight w:hRule="exact" w:val="255"/>
        </w:trPr>
        <w:tc>
          <w:tcPr>
            <w:tcW w:w="1181" w:type="dxa"/>
            <w:shd w:val="clear" w:color="auto" w:fill="auto"/>
            <w:noWrap/>
            <w:vAlign w:val="center"/>
            <w:hideMark/>
          </w:tcPr>
          <w:p w14:paraId="5F8F5286"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w:t>
            </w:r>
          </w:p>
        </w:tc>
        <w:tc>
          <w:tcPr>
            <w:tcW w:w="4051" w:type="dxa"/>
            <w:gridSpan w:val="2"/>
            <w:shd w:val="clear" w:color="auto" w:fill="auto"/>
            <w:vAlign w:val="center"/>
            <w:hideMark/>
          </w:tcPr>
          <w:p w14:paraId="185DCF74"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ústrojí nervového a čidel</w:t>
            </w:r>
          </w:p>
        </w:tc>
        <w:tc>
          <w:tcPr>
            <w:tcW w:w="4052" w:type="dxa"/>
            <w:shd w:val="clear" w:color="auto" w:fill="auto"/>
            <w:noWrap/>
            <w:vAlign w:val="center"/>
            <w:hideMark/>
          </w:tcPr>
          <w:p w14:paraId="61EC476A"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nervového a čidel</w:t>
            </w:r>
          </w:p>
        </w:tc>
      </w:tr>
      <w:tr w:rsidR="00617E4C" w:rsidRPr="00617E4C" w14:paraId="7D6F08C6" w14:textId="77777777" w:rsidTr="00636C6F">
        <w:trPr>
          <w:trHeight w:hRule="exact" w:val="255"/>
        </w:trPr>
        <w:tc>
          <w:tcPr>
            <w:tcW w:w="1181" w:type="dxa"/>
            <w:shd w:val="clear" w:color="auto" w:fill="auto"/>
            <w:noWrap/>
            <w:vAlign w:val="center"/>
            <w:hideMark/>
          </w:tcPr>
          <w:p w14:paraId="097198A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65FB1371"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ústrojí cévního</w:t>
            </w:r>
          </w:p>
        </w:tc>
        <w:tc>
          <w:tcPr>
            <w:tcW w:w="4052" w:type="dxa"/>
            <w:shd w:val="clear" w:color="auto" w:fill="auto"/>
            <w:noWrap/>
            <w:vAlign w:val="center"/>
            <w:hideMark/>
          </w:tcPr>
          <w:p w14:paraId="6C25B3C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cévního</w:t>
            </w:r>
          </w:p>
        </w:tc>
      </w:tr>
      <w:tr w:rsidR="00617E4C" w:rsidRPr="00617E4C" w14:paraId="4407DC84" w14:textId="77777777" w:rsidTr="00636C6F">
        <w:trPr>
          <w:trHeight w:hRule="exact" w:val="255"/>
        </w:trPr>
        <w:tc>
          <w:tcPr>
            <w:tcW w:w="1181" w:type="dxa"/>
            <w:shd w:val="clear" w:color="auto" w:fill="auto"/>
            <w:noWrap/>
            <w:vAlign w:val="center"/>
            <w:hideMark/>
          </w:tcPr>
          <w:p w14:paraId="27B07D5B"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38C5D56A"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ústrojí dýchacího</w:t>
            </w:r>
          </w:p>
        </w:tc>
        <w:tc>
          <w:tcPr>
            <w:tcW w:w="4052" w:type="dxa"/>
            <w:shd w:val="clear" w:color="auto" w:fill="auto"/>
            <w:noWrap/>
            <w:vAlign w:val="center"/>
            <w:hideMark/>
          </w:tcPr>
          <w:p w14:paraId="189916A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dýchacího ústrojí</w:t>
            </w:r>
          </w:p>
        </w:tc>
      </w:tr>
      <w:tr w:rsidR="00617E4C" w:rsidRPr="00617E4C" w14:paraId="749D1998" w14:textId="77777777" w:rsidTr="00636C6F">
        <w:trPr>
          <w:trHeight w:hRule="exact" w:val="255"/>
        </w:trPr>
        <w:tc>
          <w:tcPr>
            <w:tcW w:w="1181" w:type="dxa"/>
            <w:shd w:val="clear" w:color="auto" w:fill="auto"/>
            <w:noWrap/>
            <w:vAlign w:val="center"/>
            <w:hideMark/>
          </w:tcPr>
          <w:p w14:paraId="7CA37C7B"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6EB744B"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ústrojí trávicího</w:t>
            </w:r>
          </w:p>
        </w:tc>
        <w:tc>
          <w:tcPr>
            <w:tcW w:w="4052" w:type="dxa"/>
            <w:shd w:val="clear" w:color="auto" w:fill="auto"/>
            <w:noWrap/>
            <w:vAlign w:val="center"/>
            <w:hideMark/>
          </w:tcPr>
          <w:p w14:paraId="31D93398"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trávicího</w:t>
            </w:r>
          </w:p>
        </w:tc>
      </w:tr>
      <w:tr w:rsidR="00617E4C" w:rsidRPr="00617E4C" w14:paraId="7024179E" w14:textId="77777777" w:rsidTr="00636C6F">
        <w:trPr>
          <w:trHeight w:hRule="exact" w:val="255"/>
        </w:trPr>
        <w:tc>
          <w:tcPr>
            <w:tcW w:w="1181" w:type="dxa"/>
            <w:shd w:val="clear" w:color="auto" w:fill="auto"/>
            <w:noWrap/>
            <w:vAlign w:val="center"/>
            <w:hideMark/>
          </w:tcPr>
          <w:p w14:paraId="49EBD215"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76E73ED3"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ústrojí močového a pohlavního</w:t>
            </w:r>
          </w:p>
        </w:tc>
        <w:tc>
          <w:tcPr>
            <w:tcW w:w="4052" w:type="dxa"/>
            <w:shd w:val="clear" w:color="auto" w:fill="auto"/>
            <w:noWrap/>
            <w:vAlign w:val="center"/>
            <w:hideMark/>
          </w:tcPr>
          <w:p w14:paraId="206224A2"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močového a pohlavního</w:t>
            </w:r>
          </w:p>
        </w:tc>
      </w:tr>
      <w:tr w:rsidR="00617E4C" w:rsidRPr="00617E4C" w14:paraId="167CF2D1" w14:textId="77777777" w:rsidTr="00636C6F">
        <w:trPr>
          <w:trHeight w:hRule="exact" w:val="510"/>
        </w:trPr>
        <w:tc>
          <w:tcPr>
            <w:tcW w:w="1181" w:type="dxa"/>
            <w:shd w:val="clear" w:color="auto" w:fill="auto"/>
            <w:noWrap/>
            <w:vAlign w:val="center"/>
            <w:hideMark/>
          </w:tcPr>
          <w:p w14:paraId="33AAEE27"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3F7F1B6B" w14:textId="77777777" w:rsidR="00617E4C" w:rsidRPr="00617E4C" w:rsidRDefault="00617E4C" w:rsidP="00636C6F">
            <w:pPr>
              <w:spacing w:line="288" w:lineRule="auto"/>
              <w:contextualSpacing/>
              <w:rPr>
                <w:rFonts w:cs="Arial"/>
                <w:bCs w:val="0"/>
                <w:szCs w:val="16"/>
              </w:rPr>
            </w:pPr>
            <w:r w:rsidRPr="00617E4C">
              <w:rPr>
                <w:rFonts w:cs="Arial"/>
                <w:bCs w:val="0"/>
                <w:szCs w:val="16"/>
              </w:rPr>
              <w:t>Porody, komplikace v těhotenství, při porodu a v šestinedělí</w:t>
            </w:r>
          </w:p>
        </w:tc>
        <w:tc>
          <w:tcPr>
            <w:tcW w:w="4052" w:type="dxa"/>
            <w:shd w:val="clear" w:color="auto" w:fill="auto"/>
            <w:noWrap/>
            <w:vAlign w:val="center"/>
            <w:hideMark/>
          </w:tcPr>
          <w:p w14:paraId="0A4BBC2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Porody, komplikace v těhotenství, při porodu a v šestinedělí</w:t>
            </w:r>
          </w:p>
        </w:tc>
      </w:tr>
      <w:tr w:rsidR="00617E4C" w:rsidRPr="00617E4C" w14:paraId="4B2B76A4" w14:textId="77777777" w:rsidTr="00636C6F">
        <w:trPr>
          <w:trHeight w:hRule="exact" w:val="255"/>
        </w:trPr>
        <w:tc>
          <w:tcPr>
            <w:tcW w:w="1181" w:type="dxa"/>
            <w:shd w:val="clear" w:color="auto" w:fill="auto"/>
            <w:noWrap/>
            <w:vAlign w:val="center"/>
            <w:hideMark/>
          </w:tcPr>
          <w:p w14:paraId="527BF19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XII.</w:t>
            </w:r>
          </w:p>
        </w:tc>
        <w:tc>
          <w:tcPr>
            <w:tcW w:w="4051" w:type="dxa"/>
            <w:gridSpan w:val="2"/>
            <w:shd w:val="clear" w:color="auto" w:fill="auto"/>
            <w:noWrap/>
            <w:vAlign w:val="center"/>
            <w:hideMark/>
          </w:tcPr>
          <w:p w14:paraId="77EF7056"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kožní</w:t>
            </w:r>
          </w:p>
        </w:tc>
        <w:tc>
          <w:tcPr>
            <w:tcW w:w="4052" w:type="dxa"/>
            <w:shd w:val="clear" w:color="auto" w:fill="auto"/>
            <w:noWrap/>
            <w:vAlign w:val="center"/>
            <w:hideMark/>
          </w:tcPr>
          <w:p w14:paraId="37B58E9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kožní</w:t>
            </w:r>
          </w:p>
        </w:tc>
      </w:tr>
      <w:tr w:rsidR="00617E4C" w:rsidRPr="00617E4C" w14:paraId="1D83DF5E" w14:textId="77777777" w:rsidTr="00636C6F">
        <w:trPr>
          <w:trHeight w:hRule="exact" w:val="255"/>
        </w:trPr>
        <w:tc>
          <w:tcPr>
            <w:tcW w:w="1181" w:type="dxa"/>
            <w:shd w:val="clear" w:color="auto" w:fill="auto"/>
            <w:noWrap/>
            <w:vAlign w:val="center"/>
            <w:hideMark/>
          </w:tcPr>
          <w:p w14:paraId="5D73583A"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2D0CA36E" w14:textId="77777777" w:rsidR="00617E4C" w:rsidRPr="00617E4C" w:rsidRDefault="00617E4C" w:rsidP="00636C6F">
            <w:pPr>
              <w:spacing w:line="288" w:lineRule="auto"/>
              <w:contextualSpacing/>
              <w:rPr>
                <w:rFonts w:cs="Arial"/>
                <w:bCs w:val="0"/>
                <w:szCs w:val="16"/>
              </w:rPr>
            </w:pPr>
            <w:r w:rsidRPr="00617E4C">
              <w:rPr>
                <w:rFonts w:cs="Arial"/>
                <w:bCs w:val="0"/>
                <w:szCs w:val="16"/>
              </w:rPr>
              <w:t>Nemoci kostí a pohybového ústrojí</w:t>
            </w:r>
          </w:p>
        </w:tc>
        <w:tc>
          <w:tcPr>
            <w:tcW w:w="4052" w:type="dxa"/>
            <w:shd w:val="clear" w:color="auto" w:fill="auto"/>
            <w:noWrap/>
            <w:vAlign w:val="center"/>
            <w:hideMark/>
          </w:tcPr>
          <w:p w14:paraId="58E67E30"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kostí a pohybového ústrojí</w:t>
            </w:r>
          </w:p>
        </w:tc>
      </w:tr>
      <w:tr w:rsidR="00617E4C" w:rsidRPr="00617E4C" w14:paraId="14A3E409" w14:textId="77777777" w:rsidTr="00636C6F">
        <w:trPr>
          <w:trHeight w:hRule="exact" w:val="255"/>
        </w:trPr>
        <w:tc>
          <w:tcPr>
            <w:tcW w:w="1181" w:type="dxa"/>
            <w:shd w:val="clear" w:color="auto" w:fill="auto"/>
            <w:noWrap/>
            <w:vAlign w:val="center"/>
            <w:hideMark/>
          </w:tcPr>
          <w:p w14:paraId="671CCA26"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56840C10" w14:textId="77777777" w:rsidR="00617E4C" w:rsidRPr="00617E4C" w:rsidRDefault="00617E4C" w:rsidP="00636C6F">
            <w:pPr>
              <w:spacing w:line="288" w:lineRule="auto"/>
              <w:contextualSpacing/>
              <w:rPr>
                <w:rFonts w:cs="Arial"/>
                <w:bCs w:val="0"/>
                <w:szCs w:val="16"/>
              </w:rPr>
            </w:pPr>
            <w:r w:rsidRPr="00617E4C">
              <w:rPr>
                <w:rFonts w:cs="Arial"/>
                <w:bCs w:val="0"/>
                <w:szCs w:val="16"/>
              </w:rPr>
              <w:t>Vrozené vady vývojové</w:t>
            </w:r>
          </w:p>
        </w:tc>
        <w:tc>
          <w:tcPr>
            <w:tcW w:w="4052" w:type="dxa"/>
            <w:shd w:val="clear" w:color="auto" w:fill="auto"/>
            <w:noWrap/>
            <w:vAlign w:val="center"/>
            <w:hideMark/>
          </w:tcPr>
          <w:p w14:paraId="22CFB01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Vrozené vady vývojové</w:t>
            </w:r>
          </w:p>
        </w:tc>
      </w:tr>
      <w:tr w:rsidR="00617E4C" w:rsidRPr="00617E4C" w14:paraId="756FEBF0" w14:textId="77777777" w:rsidTr="00636C6F">
        <w:trPr>
          <w:trHeight w:hRule="exact" w:val="255"/>
        </w:trPr>
        <w:tc>
          <w:tcPr>
            <w:tcW w:w="1181" w:type="dxa"/>
            <w:shd w:val="clear" w:color="auto" w:fill="auto"/>
            <w:noWrap/>
            <w:vAlign w:val="center"/>
            <w:hideMark/>
          </w:tcPr>
          <w:p w14:paraId="6E6FFA25"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58DC4537" w14:textId="77777777" w:rsidR="00617E4C" w:rsidRPr="00617E4C" w:rsidRDefault="00617E4C" w:rsidP="00636C6F">
            <w:pPr>
              <w:spacing w:line="288" w:lineRule="auto"/>
              <w:contextualSpacing/>
              <w:rPr>
                <w:rFonts w:cs="Arial"/>
                <w:bCs w:val="0"/>
                <w:szCs w:val="16"/>
              </w:rPr>
            </w:pPr>
            <w:r w:rsidRPr="00617E4C">
              <w:rPr>
                <w:rFonts w:cs="Arial"/>
                <w:bCs w:val="0"/>
                <w:szCs w:val="16"/>
              </w:rPr>
              <w:t>Zvláštní nemoci raného věku</w:t>
            </w:r>
          </w:p>
        </w:tc>
        <w:tc>
          <w:tcPr>
            <w:tcW w:w="4052" w:type="dxa"/>
            <w:shd w:val="clear" w:color="auto" w:fill="auto"/>
            <w:noWrap/>
            <w:vAlign w:val="center"/>
            <w:hideMark/>
          </w:tcPr>
          <w:p w14:paraId="15583EDA"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Zvláštní nemoci raného věku</w:t>
            </w:r>
          </w:p>
        </w:tc>
      </w:tr>
      <w:tr w:rsidR="00617E4C" w:rsidRPr="00617E4C" w14:paraId="026737CF" w14:textId="77777777" w:rsidTr="00636C6F">
        <w:trPr>
          <w:trHeight w:hRule="exact" w:val="510"/>
        </w:trPr>
        <w:tc>
          <w:tcPr>
            <w:tcW w:w="1181" w:type="dxa"/>
            <w:shd w:val="clear" w:color="auto" w:fill="auto"/>
            <w:noWrap/>
            <w:vAlign w:val="center"/>
            <w:hideMark/>
          </w:tcPr>
          <w:p w14:paraId="61BB3F9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67843363" w14:textId="77777777" w:rsidR="00617E4C" w:rsidRPr="00617E4C" w:rsidRDefault="00617E4C" w:rsidP="00636C6F">
            <w:pPr>
              <w:spacing w:line="288" w:lineRule="auto"/>
              <w:contextualSpacing/>
              <w:rPr>
                <w:rFonts w:cs="Arial"/>
                <w:bCs w:val="0"/>
                <w:szCs w:val="16"/>
              </w:rPr>
            </w:pPr>
            <w:r w:rsidRPr="00617E4C">
              <w:rPr>
                <w:rFonts w:cs="Arial"/>
                <w:bCs w:val="0"/>
                <w:szCs w:val="16"/>
              </w:rPr>
              <w:t>Chorobné příznaky, stařecká sešlost a nedefinovatelné stavy</w:t>
            </w:r>
          </w:p>
        </w:tc>
        <w:tc>
          <w:tcPr>
            <w:tcW w:w="4052" w:type="dxa"/>
            <w:shd w:val="clear" w:color="auto" w:fill="auto"/>
            <w:noWrap/>
            <w:vAlign w:val="center"/>
            <w:hideMark/>
          </w:tcPr>
          <w:p w14:paraId="55B4567F"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Chorobné příznaky, stařecká sešlost a nedefinovatelné stavy</w:t>
            </w:r>
          </w:p>
        </w:tc>
      </w:tr>
      <w:tr w:rsidR="00617E4C" w:rsidRPr="00617E4C" w14:paraId="3FE0FF70" w14:textId="77777777" w:rsidTr="00636C6F">
        <w:trPr>
          <w:trHeight w:hRule="exact" w:val="255"/>
        </w:trPr>
        <w:tc>
          <w:tcPr>
            <w:tcW w:w="1181" w:type="dxa"/>
            <w:shd w:val="clear" w:color="auto" w:fill="auto"/>
            <w:noWrap/>
            <w:vAlign w:val="center"/>
            <w:hideMark/>
          </w:tcPr>
          <w:p w14:paraId="4CD4A25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1465C366" w14:textId="77777777" w:rsidR="00617E4C" w:rsidRPr="00617E4C" w:rsidRDefault="00617E4C" w:rsidP="00636C6F">
            <w:pPr>
              <w:spacing w:line="288" w:lineRule="auto"/>
              <w:contextualSpacing/>
              <w:rPr>
                <w:rFonts w:cs="Arial"/>
                <w:bCs w:val="0"/>
                <w:szCs w:val="16"/>
              </w:rPr>
            </w:pPr>
            <w:r w:rsidRPr="00617E4C">
              <w:rPr>
                <w:rFonts w:cs="Arial"/>
                <w:bCs w:val="0"/>
                <w:szCs w:val="16"/>
              </w:rPr>
              <w:t>Úrazy a otravy</w:t>
            </w:r>
          </w:p>
        </w:tc>
        <w:tc>
          <w:tcPr>
            <w:tcW w:w="4052" w:type="dxa"/>
            <w:shd w:val="clear" w:color="auto" w:fill="auto"/>
            <w:noWrap/>
            <w:vAlign w:val="center"/>
            <w:hideMark/>
          </w:tcPr>
          <w:p w14:paraId="1F05E2F8"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Úrazy a otravy</w:t>
            </w:r>
          </w:p>
        </w:tc>
      </w:tr>
      <w:tr w:rsidR="00617E4C" w:rsidRPr="00617E4C" w14:paraId="6DD280A3" w14:textId="77777777" w:rsidTr="00636C6F">
        <w:trPr>
          <w:trHeight w:hRule="exact" w:val="255"/>
        </w:trPr>
        <w:tc>
          <w:tcPr>
            <w:tcW w:w="1181" w:type="dxa"/>
            <w:shd w:val="clear" w:color="auto" w:fill="auto"/>
            <w:noWrap/>
            <w:vAlign w:val="center"/>
            <w:hideMark/>
          </w:tcPr>
          <w:p w14:paraId="35B44022"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Třída/kapitola</w:t>
            </w:r>
          </w:p>
        </w:tc>
        <w:tc>
          <w:tcPr>
            <w:tcW w:w="4051" w:type="dxa"/>
            <w:gridSpan w:val="2"/>
            <w:shd w:val="clear" w:color="auto" w:fill="auto"/>
            <w:noWrap/>
            <w:vAlign w:val="center"/>
            <w:hideMark/>
          </w:tcPr>
          <w:p w14:paraId="5F0D2706"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MKN-8</w:t>
            </w:r>
          </w:p>
        </w:tc>
        <w:tc>
          <w:tcPr>
            <w:tcW w:w="4052" w:type="dxa"/>
            <w:shd w:val="clear" w:color="auto" w:fill="auto"/>
            <w:noWrap/>
            <w:vAlign w:val="center"/>
            <w:hideMark/>
          </w:tcPr>
          <w:p w14:paraId="169F06BF"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t>MKN-9</w:t>
            </w:r>
          </w:p>
        </w:tc>
      </w:tr>
      <w:tr w:rsidR="00617E4C" w:rsidRPr="00617E4C" w14:paraId="178C51E9" w14:textId="77777777" w:rsidTr="00636C6F">
        <w:trPr>
          <w:trHeight w:hRule="exact" w:val="255"/>
        </w:trPr>
        <w:tc>
          <w:tcPr>
            <w:tcW w:w="1181" w:type="dxa"/>
            <w:shd w:val="clear" w:color="auto" w:fill="auto"/>
            <w:noWrap/>
            <w:vAlign w:val="center"/>
            <w:hideMark/>
          </w:tcPr>
          <w:p w14:paraId="3F9DD058"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w:t>
            </w:r>
          </w:p>
        </w:tc>
        <w:tc>
          <w:tcPr>
            <w:tcW w:w="4051" w:type="dxa"/>
            <w:gridSpan w:val="2"/>
            <w:shd w:val="clear" w:color="auto" w:fill="auto"/>
            <w:noWrap/>
            <w:vAlign w:val="center"/>
            <w:hideMark/>
          </w:tcPr>
          <w:p w14:paraId="244EA5C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infekční a parazitární</w:t>
            </w:r>
          </w:p>
        </w:tc>
        <w:tc>
          <w:tcPr>
            <w:tcW w:w="4052" w:type="dxa"/>
            <w:shd w:val="clear" w:color="auto" w:fill="auto"/>
            <w:noWrap/>
            <w:vAlign w:val="center"/>
            <w:hideMark/>
          </w:tcPr>
          <w:p w14:paraId="783B572D"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Infekční a parazitární nemoci</w:t>
            </w:r>
          </w:p>
        </w:tc>
      </w:tr>
      <w:tr w:rsidR="00617E4C" w:rsidRPr="00617E4C" w14:paraId="6147A660" w14:textId="77777777" w:rsidTr="00636C6F">
        <w:trPr>
          <w:trHeight w:hRule="exact" w:val="255"/>
        </w:trPr>
        <w:tc>
          <w:tcPr>
            <w:tcW w:w="1181" w:type="dxa"/>
            <w:shd w:val="clear" w:color="auto" w:fill="auto"/>
            <w:noWrap/>
            <w:vAlign w:val="center"/>
            <w:hideMark/>
          </w:tcPr>
          <w:p w14:paraId="7D2F1528"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II.</w:t>
            </w:r>
          </w:p>
        </w:tc>
        <w:tc>
          <w:tcPr>
            <w:tcW w:w="4051" w:type="dxa"/>
            <w:gridSpan w:val="2"/>
            <w:shd w:val="clear" w:color="auto" w:fill="auto"/>
            <w:noWrap/>
            <w:vAlign w:val="center"/>
            <w:hideMark/>
          </w:tcPr>
          <w:p w14:paraId="124BA49B"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Novotvary</w:t>
            </w:r>
          </w:p>
        </w:tc>
        <w:tc>
          <w:tcPr>
            <w:tcW w:w="4052" w:type="dxa"/>
            <w:shd w:val="clear" w:color="auto" w:fill="auto"/>
            <w:noWrap/>
            <w:vAlign w:val="center"/>
            <w:hideMark/>
          </w:tcPr>
          <w:p w14:paraId="7AF6988F"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Novotvary</w:t>
            </w:r>
          </w:p>
        </w:tc>
      </w:tr>
      <w:tr w:rsidR="00617E4C" w:rsidRPr="00617E4C" w14:paraId="7A87CC0C" w14:textId="77777777" w:rsidTr="00636C6F">
        <w:trPr>
          <w:trHeight w:hRule="exact" w:val="510"/>
        </w:trPr>
        <w:tc>
          <w:tcPr>
            <w:tcW w:w="1181" w:type="dxa"/>
            <w:shd w:val="clear" w:color="auto" w:fill="auto"/>
            <w:noWrap/>
            <w:vAlign w:val="center"/>
            <w:hideMark/>
          </w:tcPr>
          <w:p w14:paraId="14C6979B"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III.</w:t>
            </w:r>
          </w:p>
        </w:tc>
        <w:tc>
          <w:tcPr>
            <w:tcW w:w="4051" w:type="dxa"/>
            <w:gridSpan w:val="2"/>
            <w:shd w:val="clear" w:color="auto" w:fill="auto"/>
            <w:noWrap/>
            <w:vAlign w:val="center"/>
            <w:hideMark/>
          </w:tcPr>
          <w:p w14:paraId="21B2C9E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žláz s vnitřní sekrecí, přeměny látkové a výživy</w:t>
            </w:r>
          </w:p>
        </w:tc>
        <w:tc>
          <w:tcPr>
            <w:tcW w:w="4052" w:type="dxa"/>
            <w:shd w:val="clear" w:color="auto" w:fill="auto"/>
            <w:noWrap/>
            <w:vAlign w:val="center"/>
            <w:hideMark/>
          </w:tcPr>
          <w:p w14:paraId="62F8B6C0"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žláz s vnitřní sekrecí, výživy a přeměny látek a poruchy imunity</w:t>
            </w:r>
          </w:p>
        </w:tc>
      </w:tr>
      <w:tr w:rsidR="00617E4C" w:rsidRPr="00617E4C" w14:paraId="5A56A015" w14:textId="77777777" w:rsidTr="00636C6F">
        <w:trPr>
          <w:trHeight w:hRule="exact" w:val="255"/>
        </w:trPr>
        <w:tc>
          <w:tcPr>
            <w:tcW w:w="1181" w:type="dxa"/>
            <w:shd w:val="clear" w:color="auto" w:fill="auto"/>
            <w:noWrap/>
            <w:vAlign w:val="center"/>
            <w:hideMark/>
          </w:tcPr>
          <w:p w14:paraId="46ABE29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IV.</w:t>
            </w:r>
          </w:p>
        </w:tc>
        <w:tc>
          <w:tcPr>
            <w:tcW w:w="4051" w:type="dxa"/>
            <w:gridSpan w:val="2"/>
            <w:shd w:val="clear" w:color="auto" w:fill="auto"/>
            <w:noWrap/>
            <w:vAlign w:val="center"/>
            <w:hideMark/>
          </w:tcPr>
          <w:p w14:paraId="4B1FB868"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krve a krvetvorných orgánů</w:t>
            </w:r>
          </w:p>
        </w:tc>
        <w:tc>
          <w:tcPr>
            <w:tcW w:w="4052" w:type="dxa"/>
            <w:shd w:val="clear" w:color="auto" w:fill="auto"/>
            <w:noWrap/>
            <w:vAlign w:val="center"/>
            <w:hideMark/>
          </w:tcPr>
          <w:p w14:paraId="1AF23E8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krve a krvetvorných orgánů</w:t>
            </w:r>
          </w:p>
        </w:tc>
      </w:tr>
      <w:tr w:rsidR="00617E4C" w:rsidRPr="00617E4C" w14:paraId="10FD6787" w14:textId="77777777" w:rsidTr="00636C6F">
        <w:trPr>
          <w:trHeight w:hRule="exact" w:val="255"/>
        </w:trPr>
        <w:tc>
          <w:tcPr>
            <w:tcW w:w="1181" w:type="dxa"/>
            <w:shd w:val="clear" w:color="auto" w:fill="auto"/>
            <w:noWrap/>
            <w:vAlign w:val="center"/>
            <w:hideMark/>
          </w:tcPr>
          <w:p w14:paraId="48481EF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w:t>
            </w:r>
          </w:p>
        </w:tc>
        <w:tc>
          <w:tcPr>
            <w:tcW w:w="4051" w:type="dxa"/>
            <w:gridSpan w:val="2"/>
            <w:shd w:val="clear" w:color="auto" w:fill="auto"/>
            <w:noWrap/>
            <w:vAlign w:val="center"/>
            <w:hideMark/>
          </w:tcPr>
          <w:p w14:paraId="11D7F12D"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Duševní poruchy</w:t>
            </w:r>
          </w:p>
        </w:tc>
        <w:tc>
          <w:tcPr>
            <w:tcW w:w="4052" w:type="dxa"/>
            <w:shd w:val="clear" w:color="auto" w:fill="auto"/>
            <w:noWrap/>
            <w:vAlign w:val="center"/>
            <w:hideMark/>
          </w:tcPr>
          <w:p w14:paraId="244BF4D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Duševní poruchy</w:t>
            </w:r>
          </w:p>
        </w:tc>
      </w:tr>
      <w:tr w:rsidR="00617E4C" w:rsidRPr="00617E4C" w14:paraId="70230FC9" w14:textId="77777777" w:rsidTr="00636C6F">
        <w:trPr>
          <w:trHeight w:hRule="exact" w:val="255"/>
        </w:trPr>
        <w:tc>
          <w:tcPr>
            <w:tcW w:w="1181" w:type="dxa"/>
            <w:shd w:val="clear" w:color="auto" w:fill="auto"/>
            <w:noWrap/>
            <w:vAlign w:val="center"/>
            <w:hideMark/>
          </w:tcPr>
          <w:p w14:paraId="64796415"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w:t>
            </w:r>
          </w:p>
        </w:tc>
        <w:tc>
          <w:tcPr>
            <w:tcW w:w="4051" w:type="dxa"/>
            <w:gridSpan w:val="2"/>
            <w:shd w:val="clear" w:color="auto" w:fill="auto"/>
            <w:noWrap/>
            <w:vAlign w:val="center"/>
            <w:hideMark/>
          </w:tcPr>
          <w:p w14:paraId="200162C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nervové soustavy a smyslových orgánů</w:t>
            </w:r>
          </w:p>
        </w:tc>
        <w:tc>
          <w:tcPr>
            <w:tcW w:w="4052" w:type="dxa"/>
            <w:shd w:val="clear" w:color="auto" w:fill="auto"/>
            <w:noWrap/>
            <w:vAlign w:val="center"/>
            <w:hideMark/>
          </w:tcPr>
          <w:p w14:paraId="703659E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nervové soustavy a smyslových orgánů</w:t>
            </w:r>
          </w:p>
        </w:tc>
      </w:tr>
      <w:tr w:rsidR="00617E4C" w:rsidRPr="00617E4C" w14:paraId="63398891" w14:textId="77777777" w:rsidTr="00636C6F">
        <w:trPr>
          <w:trHeight w:hRule="exact" w:val="255"/>
        </w:trPr>
        <w:tc>
          <w:tcPr>
            <w:tcW w:w="1181" w:type="dxa"/>
            <w:shd w:val="clear" w:color="auto" w:fill="auto"/>
            <w:noWrap/>
            <w:vAlign w:val="center"/>
            <w:hideMark/>
          </w:tcPr>
          <w:p w14:paraId="0C21866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VII.</w:t>
            </w:r>
          </w:p>
        </w:tc>
        <w:tc>
          <w:tcPr>
            <w:tcW w:w="4051" w:type="dxa"/>
            <w:gridSpan w:val="2"/>
            <w:shd w:val="clear" w:color="auto" w:fill="auto"/>
            <w:noWrap/>
            <w:vAlign w:val="center"/>
            <w:hideMark/>
          </w:tcPr>
          <w:p w14:paraId="7D2D3AE2"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 xml:space="preserve">Nemoci ústrojí oběhového </w:t>
            </w:r>
          </w:p>
        </w:tc>
        <w:tc>
          <w:tcPr>
            <w:tcW w:w="4052" w:type="dxa"/>
            <w:shd w:val="clear" w:color="auto" w:fill="auto"/>
            <w:noWrap/>
            <w:vAlign w:val="center"/>
            <w:hideMark/>
          </w:tcPr>
          <w:p w14:paraId="4B38F5C6"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oběhové soustavy</w:t>
            </w:r>
          </w:p>
        </w:tc>
      </w:tr>
      <w:tr w:rsidR="00617E4C" w:rsidRPr="00617E4C" w14:paraId="19B8C963" w14:textId="77777777" w:rsidTr="00636C6F">
        <w:trPr>
          <w:trHeight w:hRule="exact" w:val="255"/>
        </w:trPr>
        <w:tc>
          <w:tcPr>
            <w:tcW w:w="1181" w:type="dxa"/>
            <w:shd w:val="clear" w:color="auto" w:fill="auto"/>
            <w:noWrap/>
            <w:vAlign w:val="center"/>
            <w:hideMark/>
          </w:tcPr>
          <w:p w14:paraId="3139022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VIII.</w:t>
            </w:r>
          </w:p>
        </w:tc>
        <w:tc>
          <w:tcPr>
            <w:tcW w:w="4051" w:type="dxa"/>
            <w:gridSpan w:val="2"/>
            <w:shd w:val="clear" w:color="auto" w:fill="auto"/>
            <w:noWrap/>
            <w:vAlign w:val="center"/>
            <w:hideMark/>
          </w:tcPr>
          <w:p w14:paraId="7313BBE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dýchacího</w:t>
            </w:r>
          </w:p>
        </w:tc>
        <w:tc>
          <w:tcPr>
            <w:tcW w:w="4052" w:type="dxa"/>
            <w:shd w:val="clear" w:color="auto" w:fill="auto"/>
            <w:noWrap/>
            <w:vAlign w:val="center"/>
            <w:hideMark/>
          </w:tcPr>
          <w:p w14:paraId="571D4A50"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dýchací soustavy</w:t>
            </w:r>
          </w:p>
        </w:tc>
      </w:tr>
      <w:tr w:rsidR="00617E4C" w:rsidRPr="00617E4C" w14:paraId="5D214977" w14:textId="77777777" w:rsidTr="00636C6F">
        <w:trPr>
          <w:trHeight w:hRule="exact" w:val="255"/>
        </w:trPr>
        <w:tc>
          <w:tcPr>
            <w:tcW w:w="1181" w:type="dxa"/>
            <w:shd w:val="clear" w:color="auto" w:fill="auto"/>
            <w:noWrap/>
            <w:vAlign w:val="center"/>
            <w:hideMark/>
          </w:tcPr>
          <w:p w14:paraId="6112AB2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IX.</w:t>
            </w:r>
          </w:p>
        </w:tc>
        <w:tc>
          <w:tcPr>
            <w:tcW w:w="4051" w:type="dxa"/>
            <w:gridSpan w:val="2"/>
            <w:shd w:val="clear" w:color="auto" w:fill="auto"/>
            <w:noWrap/>
            <w:vAlign w:val="center"/>
            <w:hideMark/>
          </w:tcPr>
          <w:p w14:paraId="243C453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trávicího</w:t>
            </w:r>
          </w:p>
        </w:tc>
        <w:tc>
          <w:tcPr>
            <w:tcW w:w="4052" w:type="dxa"/>
            <w:shd w:val="clear" w:color="auto" w:fill="auto"/>
            <w:noWrap/>
            <w:vAlign w:val="center"/>
            <w:hideMark/>
          </w:tcPr>
          <w:p w14:paraId="37373CB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trávicí soustavy</w:t>
            </w:r>
          </w:p>
        </w:tc>
      </w:tr>
      <w:tr w:rsidR="00617E4C" w:rsidRPr="00617E4C" w14:paraId="285E713A" w14:textId="77777777" w:rsidTr="00636C6F">
        <w:trPr>
          <w:trHeight w:hRule="exact" w:val="255"/>
        </w:trPr>
        <w:tc>
          <w:tcPr>
            <w:tcW w:w="1181" w:type="dxa"/>
            <w:shd w:val="clear" w:color="auto" w:fill="auto"/>
            <w:noWrap/>
            <w:vAlign w:val="center"/>
            <w:hideMark/>
          </w:tcPr>
          <w:p w14:paraId="610C4646"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w:t>
            </w:r>
          </w:p>
        </w:tc>
        <w:tc>
          <w:tcPr>
            <w:tcW w:w="4051" w:type="dxa"/>
            <w:gridSpan w:val="2"/>
            <w:shd w:val="clear" w:color="auto" w:fill="auto"/>
            <w:noWrap/>
            <w:vAlign w:val="center"/>
            <w:hideMark/>
          </w:tcPr>
          <w:p w14:paraId="2EF0E8C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ústrojí močového a pohlavního</w:t>
            </w:r>
          </w:p>
        </w:tc>
        <w:tc>
          <w:tcPr>
            <w:tcW w:w="4052" w:type="dxa"/>
            <w:shd w:val="clear" w:color="auto" w:fill="auto"/>
            <w:noWrap/>
            <w:vAlign w:val="center"/>
            <w:hideMark/>
          </w:tcPr>
          <w:p w14:paraId="6B1F3C6F"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močové a pohlavní soustavy</w:t>
            </w:r>
          </w:p>
        </w:tc>
      </w:tr>
      <w:tr w:rsidR="00617E4C" w:rsidRPr="00617E4C" w14:paraId="422F7566" w14:textId="77777777" w:rsidTr="00636C6F">
        <w:trPr>
          <w:trHeight w:hRule="exact" w:val="255"/>
        </w:trPr>
        <w:tc>
          <w:tcPr>
            <w:tcW w:w="1181" w:type="dxa"/>
            <w:shd w:val="clear" w:color="auto" w:fill="auto"/>
            <w:noWrap/>
            <w:vAlign w:val="center"/>
            <w:hideMark/>
          </w:tcPr>
          <w:p w14:paraId="4A2A7E22"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w:t>
            </w:r>
          </w:p>
        </w:tc>
        <w:tc>
          <w:tcPr>
            <w:tcW w:w="4051" w:type="dxa"/>
            <w:gridSpan w:val="2"/>
            <w:shd w:val="clear" w:color="auto" w:fill="auto"/>
            <w:noWrap/>
            <w:vAlign w:val="center"/>
            <w:hideMark/>
          </w:tcPr>
          <w:p w14:paraId="5B35C3C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Porody, komplikace těhotenství, porodu a šestinedělí</w:t>
            </w:r>
          </w:p>
        </w:tc>
        <w:tc>
          <w:tcPr>
            <w:tcW w:w="4052" w:type="dxa"/>
            <w:shd w:val="clear" w:color="auto" w:fill="auto"/>
            <w:noWrap/>
            <w:vAlign w:val="center"/>
            <w:hideMark/>
          </w:tcPr>
          <w:p w14:paraId="38A58D6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Komplikace těhotenství, porodu a šestinedělí</w:t>
            </w:r>
          </w:p>
        </w:tc>
      </w:tr>
      <w:tr w:rsidR="00617E4C" w:rsidRPr="00617E4C" w14:paraId="7CBF2D0B" w14:textId="77777777" w:rsidTr="00636C6F">
        <w:trPr>
          <w:trHeight w:hRule="exact" w:val="255"/>
        </w:trPr>
        <w:tc>
          <w:tcPr>
            <w:tcW w:w="1181" w:type="dxa"/>
            <w:shd w:val="clear" w:color="auto" w:fill="auto"/>
            <w:noWrap/>
            <w:vAlign w:val="center"/>
            <w:hideMark/>
          </w:tcPr>
          <w:p w14:paraId="31B7ABFD"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XII.</w:t>
            </w:r>
          </w:p>
        </w:tc>
        <w:tc>
          <w:tcPr>
            <w:tcW w:w="4051" w:type="dxa"/>
            <w:gridSpan w:val="2"/>
            <w:shd w:val="clear" w:color="auto" w:fill="auto"/>
            <w:noWrap/>
            <w:vAlign w:val="center"/>
            <w:hideMark/>
          </w:tcPr>
          <w:p w14:paraId="6E4DCBE5"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kůže a podkožního vaziva</w:t>
            </w:r>
          </w:p>
        </w:tc>
        <w:tc>
          <w:tcPr>
            <w:tcW w:w="4052" w:type="dxa"/>
            <w:shd w:val="clear" w:color="auto" w:fill="auto"/>
            <w:noWrap/>
            <w:vAlign w:val="center"/>
            <w:hideMark/>
          </w:tcPr>
          <w:p w14:paraId="3993F8D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kůže a podkožního vaziva</w:t>
            </w:r>
          </w:p>
        </w:tc>
      </w:tr>
      <w:tr w:rsidR="00617E4C" w:rsidRPr="00617E4C" w14:paraId="6A521541" w14:textId="77777777" w:rsidTr="00636C6F">
        <w:trPr>
          <w:trHeight w:hRule="exact" w:val="255"/>
        </w:trPr>
        <w:tc>
          <w:tcPr>
            <w:tcW w:w="1181" w:type="dxa"/>
            <w:shd w:val="clear" w:color="auto" w:fill="auto"/>
            <w:noWrap/>
            <w:vAlign w:val="center"/>
            <w:hideMark/>
          </w:tcPr>
          <w:p w14:paraId="4D2FFB60"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XIII.</w:t>
            </w:r>
          </w:p>
        </w:tc>
        <w:tc>
          <w:tcPr>
            <w:tcW w:w="4051" w:type="dxa"/>
            <w:gridSpan w:val="2"/>
            <w:shd w:val="clear" w:color="auto" w:fill="auto"/>
            <w:noWrap/>
            <w:vAlign w:val="center"/>
            <w:hideMark/>
          </w:tcPr>
          <w:p w14:paraId="44CB7FCB"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kostí a pohybového ústrojí</w:t>
            </w:r>
          </w:p>
        </w:tc>
        <w:tc>
          <w:tcPr>
            <w:tcW w:w="4052" w:type="dxa"/>
            <w:shd w:val="clear" w:color="auto" w:fill="auto"/>
            <w:noWrap/>
            <w:vAlign w:val="center"/>
            <w:hideMark/>
          </w:tcPr>
          <w:p w14:paraId="4DF27A7E"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4F016683" w14:textId="77777777" w:rsidTr="00636C6F">
        <w:trPr>
          <w:trHeight w:hRule="exact" w:val="255"/>
        </w:trPr>
        <w:tc>
          <w:tcPr>
            <w:tcW w:w="1181" w:type="dxa"/>
            <w:shd w:val="clear" w:color="auto" w:fill="auto"/>
            <w:noWrap/>
            <w:vAlign w:val="center"/>
            <w:hideMark/>
          </w:tcPr>
          <w:p w14:paraId="6A064483"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XIV.</w:t>
            </w:r>
          </w:p>
        </w:tc>
        <w:tc>
          <w:tcPr>
            <w:tcW w:w="4051" w:type="dxa"/>
            <w:gridSpan w:val="2"/>
            <w:shd w:val="clear" w:color="auto" w:fill="auto"/>
            <w:noWrap/>
            <w:vAlign w:val="center"/>
            <w:hideMark/>
          </w:tcPr>
          <w:p w14:paraId="0D7F56FF"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Vrozené vady</w:t>
            </w:r>
          </w:p>
        </w:tc>
        <w:tc>
          <w:tcPr>
            <w:tcW w:w="4052" w:type="dxa"/>
            <w:shd w:val="clear" w:color="auto" w:fill="auto"/>
            <w:noWrap/>
            <w:vAlign w:val="center"/>
            <w:hideMark/>
          </w:tcPr>
          <w:p w14:paraId="69391C59"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Vrozené vady</w:t>
            </w:r>
          </w:p>
        </w:tc>
      </w:tr>
      <w:tr w:rsidR="00617E4C" w:rsidRPr="00617E4C" w14:paraId="7ABA5BB0" w14:textId="77777777" w:rsidTr="00636C6F">
        <w:trPr>
          <w:trHeight w:hRule="exact" w:val="255"/>
        </w:trPr>
        <w:tc>
          <w:tcPr>
            <w:tcW w:w="1181" w:type="dxa"/>
            <w:shd w:val="clear" w:color="auto" w:fill="auto"/>
            <w:noWrap/>
            <w:vAlign w:val="center"/>
            <w:hideMark/>
          </w:tcPr>
          <w:p w14:paraId="03C683D0"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w:t>
            </w:r>
          </w:p>
        </w:tc>
        <w:tc>
          <w:tcPr>
            <w:tcW w:w="4051" w:type="dxa"/>
            <w:gridSpan w:val="2"/>
            <w:shd w:val="clear" w:color="auto" w:fill="auto"/>
            <w:noWrap/>
            <w:vAlign w:val="center"/>
            <w:hideMark/>
          </w:tcPr>
          <w:p w14:paraId="71BB7C54"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Některé příčiny perinatální nemocnosti a úmrtnosti</w:t>
            </w:r>
          </w:p>
        </w:tc>
        <w:tc>
          <w:tcPr>
            <w:tcW w:w="4052" w:type="dxa"/>
            <w:shd w:val="clear" w:color="auto" w:fill="auto"/>
            <w:noWrap/>
            <w:vAlign w:val="center"/>
            <w:hideMark/>
          </w:tcPr>
          <w:p w14:paraId="409DA47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Některá onemocnění vzniklá v perinatálním období</w:t>
            </w:r>
          </w:p>
        </w:tc>
      </w:tr>
      <w:tr w:rsidR="00617E4C" w:rsidRPr="00617E4C" w14:paraId="2ED93EB8" w14:textId="77777777" w:rsidTr="00636C6F">
        <w:trPr>
          <w:trHeight w:hRule="exact" w:val="510"/>
        </w:trPr>
        <w:tc>
          <w:tcPr>
            <w:tcW w:w="1181" w:type="dxa"/>
            <w:shd w:val="clear" w:color="auto" w:fill="auto"/>
            <w:noWrap/>
            <w:vAlign w:val="center"/>
            <w:hideMark/>
          </w:tcPr>
          <w:p w14:paraId="5A5C6A91"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XVI.</w:t>
            </w:r>
          </w:p>
        </w:tc>
        <w:tc>
          <w:tcPr>
            <w:tcW w:w="4051" w:type="dxa"/>
            <w:gridSpan w:val="2"/>
            <w:shd w:val="clear" w:color="auto" w:fill="auto"/>
            <w:noWrap/>
            <w:vAlign w:val="center"/>
            <w:hideMark/>
          </w:tcPr>
          <w:p w14:paraId="267131CA"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Chorobné příznaky a etiologicky neobjasněné stavy</w:t>
            </w:r>
          </w:p>
        </w:tc>
        <w:tc>
          <w:tcPr>
            <w:tcW w:w="4052" w:type="dxa"/>
            <w:shd w:val="clear" w:color="auto" w:fill="auto"/>
            <w:noWrap/>
            <w:vAlign w:val="center"/>
            <w:hideMark/>
          </w:tcPr>
          <w:p w14:paraId="5F8FE88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Příznaky, nespecifické abnormální nálezy a nepřesně určená onemocnění</w:t>
            </w:r>
          </w:p>
        </w:tc>
      </w:tr>
      <w:tr w:rsidR="00617E4C" w:rsidRPr="00617E4C" w14:paraId="333EB35C" w14:textId="77777777" w:rsidTr="00636C6F">
        <w:trPr>
          <w:trHeight w:hRule="exact" w:val="255"/>
        </w:trPr>
        <w:tc>
          <w:tcPr>
            <w:tcW w:w="1181" w:type="dxa"/>
            <w:shd w:val="clear" w:color="auto" w:fill="auto"/>
            <w:noWrap/>
            <w:vAlign w:val="center"/>
            <w:hideMark/>
          </w:tcPr>
          <w:p w14:paraId="5F47D5FC"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XVII.</w:t>
            </w:r>
          </w:p>
        </w:tc>
        <w:tc>
          <w:tcPr>
            <w:tcW w:w="4051" w:type="dxa"/>
            <w:gridSpan w:val="2"/>
            <w:shd w:val="clear" w:color="auto" w:fill="auto"/>
            <w:noWrap/>
            <w:vAlign w:val="center"/>
            <w:hideMark/>
          </w:tcPr>
          <w:p w14:paraId="61E906C7"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Úrazy, otravy a násilí</w:t>
            </w:r>
          </w:p>
        </w:tc>
        <w:tc>
          <w:tcPr>
            <w:tcW w:w="4052" w:type="dxa"/>
            <w:shd w:val="clear" w:color="auto" w:fill="auto"/>
            <w:noWrap/>
            <w:vAlign w:val="center"/>
            <w:hideMark/>
          </w:tcPr>
          <w:p w14:paraId="43B5DF27" w14:textId="77777777" w:rsidR="00617E4C" w:rsidRPr="00617E4C" w:rsidRDefault="00617E4C" w:rsidP="00636C6F">
            <w:pPr>
              <w:spacing w:line="288" w:lineRule="auto"/>
              <w:contextualSpacing/>
              <w:rPr>
                <w:rFonts w:cs="Arial"/>
                <w:bCs w:val="0"/>
                <w:color w:val="000000"/>
                <w:szCs w:val="16"/>
              </w:rPr>
            </w:pPr>
            <w:r w:rsidRPr="00617E4C">
              <w:rPr>
                <w:rFonts w:cs="Arial"/>
                <w:bCs w:val="0"/>
                <w:color w:val="000000"/>
                <w:szCs w:val="16"/>
              </w:rPr>
              <w:t>Úrazy a otravy</w:t>
            </w:r>
          </w:p>
        </w:tc>
      </w:tr>
      <w:tr w:rsidR="00617E4C" w:rsidRPr="00617E4C" w14:paraId="53E7702D" w14:textId="77777777" w:rsidTr="00636C6F">
        <w:trPr>
          <w:trHeight w:hRule="exact" w:val="255"/>
        </w:trPr>
        <w:tc>
          <w:tcPr>
            <w:tcW w:w="1913" w:type="dxa"/>
            <w:gridSpan w:val="2"/>
            <w:shd w:val="clear" w:color="auto" w:fill="auto"/>
            <w:noWrap/>
            <w:vAlign w:val="center"/>
            <w:hideMark/>
          </w:tcPr>
          <w:p w14:paraId="0773A23F" w14:textId="77777777" w:rsidR="00617E4C" w:rsidRPr="00617E4C" w:rsidRDefault="00617E4C" w:rsidP="00636C6F">
            <w:pPr>
              <w:spacing w:line="288" w:lineRule="auto"/>
              <w:contextualSpacing/>
              <w:rPr>
                <w:rFonts w:cs="Arial"/>
                <w:b/>
                <w:color w:val="000000"/>
                <w:szCs w:val="16"/>
              </w:rPr>
            </w:pPr>
            <w:r w:rsidRPr="00617E4C">
              <w:rPr>
                <w:rFonts w:cs="Arial"/>
                <w:b/>
                <w:color w:val="000000"/>
                <w:szCs w:val="16"/>
              </w:rPr>
              <w:lastRenderedPageBreak/>
              <w:t>Kapitola příčin smrti</w:t>
            </w:r>
          </w:p>
        </w:tc>
        <w:tc>
          <w:tcPr>
            <w:tcW w:w="7371" w:type="dxa"/>
            <w:gridSpan w:val="2"/>
            <w:shd w:val="clear" w:color="auto" w:fill="auto"/>
            <w:noWrap/>
            <w:vAlign w:val="center"/>
            <w:hideMark/>
          </w:tcPr>
          <w:p w14:paraId="7A240BD9" w14:textId="2D6A9335" w:rsidR="001A7206" w:rsidRDefault="00617E4C" w:rsidP="00636C6F">
            <w:pPr>
              <w:spacing w:line="288" w:lineRule="auto"/>
              <w:contextualSpacing/>
              <w:rPr>
                <w:rFonts w:cs="Arial"/>
                <w:b/>
                <w:color w:val="000000"/>
                <w:szCs w:val="16"/>
              </w:rPr>
            </w:pPr>
            <w:r w:rsidRPr="00617E4C">
              <w:rPr>
                <w:rFonts w:cs="Arial"/>
                <w:b/>
                <w:color w:val="000000"/>
                <w:szCs w:val="16"/>
              </w:rPr>
              <w:t>MKN-10</w:t>
            </w:r>
          </w:p>
          <w:p w14:paraId="4ED967C6" w14:textId="77777777" w:rsidR="001A7206" w:rsidRPr="004C4CD4" w:rsidRDefault="001A7206" w:rsidP="00636C6F">
            <w:pPr>
              <w:spacing w:line="288" w:lineRule="auto"/>
              <w:contextualSpacing/>
              <w:rPr>
                <w:rFonts w:cs="Arial"/>
                <w:b/>
                <w:color w:val="000000"/>
                <w:szCs w:val="16"/>
              </w:rPr>
            </w:pPr>
          </w:p>
          <w:p w14:paraId="6C9E2C9F" w14:textId="0B22BDD6" w:rsidR="00617E4C" w:rsidRPr="004C4CD4" w:rsidRDefault="00617E4C" w:rsidP="00636C6F">
            <w:pPr>
              <w:spacing w:line="288" w:lineRule="auto"/>
              <w:contextualSpacing/>
              <w:rPr>
                <w:rFonts w:cs="Arial"/>
                <w:b/>
                <w:color w:val="000000"/>
                <w:szCs w:val="16"/>
              </w:rPr>
            </w:pPr>
          </w:p>
        </w:tc>
      </w:tr>
      <w:tr w:rsidR="00617E4C" w:rsidRPr="00617E4C" w14:paraId="0AD2A5FA" w14:textId="77777777" w:rsidTr="00636C6F">
        <w:trPr>
          <w:trHeight w:hRule="exact" w:val="255"/>
        </w:trPr>
        <w:tc>
          <w:tcPr>
            <w:tcW w:w="1913" w:type="dxa"/>
            <w:gridSpan w:val="2"/>
            <w:shd w:val="clear" w:color="auto" w:fill="auto"/>
            <w:noWrap/>
            <w:vAlign w:val="center"/>
            <w:hideMark/>
          </w:tcPr>
          <w:p w14:paraId="70C7615C"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I.</w:t>
            </w:r>
          </w:p>
        </w:tc>
        <w:tc>
          <w:tcPr>
            <w:tcW w:w="7371" w:type="dxa"/>
            <w:gridSpan w:val="2"/>
            <w:shd w:val="clear" w:color="auto" w:fill="auto"/>
            <w:noWrap/>
            <w:vAlign w:val="center"/>
            <w:hideMark/>
          </w:tcPr>
          <w:p w14:paraId="2BEEFFA8"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Některé infekční a parazitární nemoci</w:t>
            </w:r>
          </w:p>
        </w:tc>
      </w:tr>
      <w:tr w:rsidR="00617E4C" w:rsidRPr="00617E4C" w14:paraId="6C4D7A69" w14:textId="77777777" w:rsidTr="00636C6F">
        <w:trPr>
          <w:trHeight w:hRule="exact" w:val="255"/>
        </w:trPr>
        <w:tc>
          <w:tcPr>
            <w:tcW w:w="1913" w:type="dxa"/>
            <w:gridSpan w:val="2"/>
            <w:shd w:val="clear" w:color="auto" w:fill="auto"/>
            <w:noWrap/>
            <w:vAlign w:val="center"/>
            <w:hideMark/>
          </w:tcPr>
          <w:p w14:paraId="4E362868"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II.</w:t>
            </w:r>
          </w:p>
        </w:tc>
        <w:tc>
          <w:tcPr>
            <w:tcW w:w="7371" w:type="dxa"/>
            <w:gridSpan w:val="2"/>
            <w:shd w:val="clear" w:color="auto" w:fill="auto"/>
            <w:noWrap/>
            <w:vAlign w:val="center"/>
            <w:hideMark/>
          </w:tcPr>
          <w:p w14:paraId="0EB90DA7"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Novotvary</w:t>
            </w:r>
          </w:p>
        </w:tc>
      </w:tr>
      <w:tr w:rsidR="00617E4C" w:rsidRPr="00617E4C" w14:paraId="5911A6EF" w14:textId="77777777" w:rsidTr="00636C6F">
        <w:trPr>
          <w:trHeight w:hRule="exact" w:val="255"/>
        </w:trPr>
        <w:tc>
          <w:tcPr>
            <w:tcW w:w="1913" w:type="dxa"/>
            <w:gridSpan w:val="2"/>
            <w:shd w:val="clear" w:color="auto" w:fill="auto"/>
            <w:noWrap/>
            <w:vAlign w:val="center"/>
            <w:hideMark/>
          </w:tcPr>
          <w:p w14:paraId="735DF791"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III.</w:t>
            </w:r>
          </w:p>
        </w:tc>
        <w:tc>
          <w:tcPr>
            <w:tcW w:w="7371" w:type="dxa"/>
            <w:gridSpan w:val="2"/>
            <w:shd w:val="clear" w:color="auto" w:fill="auto"/>
            <w:noWrap/>
            <w:vAlign w:val="center"/>
            <w:hideMark/>
          </w:tcPr>
          <w:p w14:paraId="76EF6564" w14:textId="33D4EF49" w:rsidR="00617E4C" w:rsidRPr="00617E4C" w:rsidRDefault="00617E4C" w:rsidP="00636C6F">
            <w:pPr>
              <w:spacing w:line="288" w:lineRule="auto"/>
              <w:rPr>
                <w:rFonts w:cs="Arial"/>
                <w:bCs w:val="0"/>
                <w:color w:val="000000"/>
                <w:szCs w:val="16"/>
              </w:rPr>
            </w:pPr>
            <w:r w:rsidRPr="00617E4C">
              <w:rPr>
                <w:rFonts w:cs="Arial"/>
                <w:bCs w:val="0"/>
                <w:color w:val="000000"/>
                <w:szCs w:val="16"/>
              </w:rPr>
              <w:t xml:space="preserve">Nemoci krve, krvetvorných orgánů a některé poruchy </w:t>
            </w:r>
            <w:r w:rsidR="00B250DC">
              <w:rPr>
                <w:rFonts w:cs="Arial"/>
                <w:bCs w:val="0"/>
                <w:color w:val="000000"/>
                <w:szCs w:val="16"/>
              </w:rPr>
              <w:t>i</w:t>
            </w:r>
            <w:r w:rsidRPr="00617E4C">
              <w:rPr>
                <w:rFonts w:cs="Arial"/>
                <w:bCs w:val="0"/>
                <w:color w:val="000000"/>
                <w:szCs w:val="16"/>
              </w:rPr>
              <w:t>munity</w:t>
            </w:r>
          </w:p>
        </w:tc>
      </w:tr>
      <w:tr w:rsidR="00617E4C" w:rsidRPr="00617E4C" w14:paraId="163AB74E" w14:textId="77777777" w:rsidTr="00636C6F">
        <w:trPr>
          <w:trHeight w:hRule="exact" w:val="255"/>
        </w:trPr>
        <w:tc>
          <w:tcPr>
            <w:tcW w:w="1913" w:type="dxa"/>
            <w:gridSpan w:val="2"/>
            <w:shd w:val="clear" w:color="auto" w:fill="auto"/>
            <w:noWrap/>
            <w:vAlign w:val="center"/>
            <w:hideMark/>
          </w:tcPr>
          <w:p w14:paraId="153E1789"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IV.</w:t>
            </w:r>
          </w:p>
        </w:tc>
        <w:tc>
          <w:tcPr>
            <w:tcW w:w="7371" w:type="dxa"/>
            <w:gridSpan w:val="2"/>
            <w:shd w:val="clear" w:color="auto" w:fill="auto"/>
            <w:vAlign w:val="center"/>
            <w:hideMark/>
          </w:tcPr>
          <w:p w14:paraId="0A19AE27"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endokrinní, výživy a přeměny látek</w:t>
            </w:r>
          </w:p>
        </w:tc>
      </w:tr>
      <w:tr w:rsidR="00617E4C" w:rsidRPr="00617E4C" w14:paraId="3C77AFD7" w14:textId="77777777" w:rsidTr="00636C6F">
        <w:trPr>
          <w:trHeight w:hRule="exact" w:val="255"/>
        </w:trPr>
        <w:tc>
          <w:tcPr>
            <w:tcW w:w="1913" w:type="dxa"/>
            <w:gridSpan w:val="2"/>
            <w:shd w:val="clear" w:color="auto" w:fill="auto"/>
            <w:noWrap/>
            <w:vAlign w:val="center"/>
            <w:hideMark/>
          </w:tcPr>
          <w:p w14:paraId="6596FA75"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w:t>
            </w:r>
          </w:p>
        </w:tc>
        <w:tc>
          <w:tcPr>
            <w:tcW w:w="7371" w:type="dxa"/>
            <w:gridSpan w:val="2"/>
            <w:shd w:val="clear" w:color="auto" w:fill="auto"/>
            <w:noWrap/>
            <w:vAlign w:val="center"/>
            <w:hideMark/>
          </w:tcPr>
          <w:p w14:paraId="6C135383" w14:textId="5E211143" w:rsidR="00617E4C" w:rsidRPr="00617E4C" w:rsidRDefault="00B250DC" w:rsidP="00636C6F">
            <w:pPr>
              <w:spacing w:line="288" w:lineRule="auto"/>
              <w:rPr>
                <w:rFonts w:cs="Arial"/>
                <w:bCs w:val="0"/>
                <w:color w:val="000000"/>
                <w:szCs w:val="16"/>
              </w:rPr>
            </w:pPr>
            <w:r>
              <w:rPr>
                <w:rFonts w:cs="Arial"/>
                <w:bCs w:val="0"/>
                <w:color w:val="000000"/>
                <w:szCs w:val="16"/>
              </w:rPr>
              <w:t>Poruchy</w:t>
            </w:r>
            <w:r w:rsidR="00617E4C" w:rsidRPr="00617E4C">
              <w:rPr>
                <w:rFonts w:cs="Arial"/>
                <w:bCs w:val="0"/>
                <w:color w:val="000000"/>
                <w:szCs w:val="16"/>
              </w:rPr>
              <w:t xml:space="preserve"> duševní a poruchy chování</w:t>
            </w:r>
          </w:p>
        </w:tc>
      </w:tr>
      <w:tr w:rsidR="00617E4C" w:rsidRPr="00617E4C" w14:paraId="2EFC3FD4" w14:textId="77777777" w:rsidTr="00636C6F">
        <w:trPr>
          <w:trHeight w:hRule="exact" w:val="255"/>
        </w:trPr>
        <w:tc>
          <w:tcPr>
            <w:tcW w:w="1913" w:type="dxa"/>
            <w:gridSpan w:val="2"/>
            <w:shd w:val="clear" w:color="auto" w:fill="auto"/>
            <w:noWrap/>
            <w:vAlign w:val="center"/>
            <w:hideMark/>
          </w:tcPr>
          <w:p w14:paraId="56A1B0A2"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VI.</w:t>
            </w:r>
          </w:p>
        </w:tc>
        <w:tc>
          <w:tcPr>
            <w:tcW w:w="7371" w:type="dxa"/>
            <w:gridSpan w:val="2"/>
            <w:shd w:val="clear" w:color="auto" w:fill="auto"/>
            <w:vAlign w:val="center"/>
            <w:hideMark/>
          </w:tcPr>
          <w:p w14:paraId="1402156A"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nervové soustavy</w:t>
            </w:r>
          </w:p>
        </w:tc>
      </w:tr>
      <w:tr w:rsidR="00617E4C" w:rsidRPr="00617E4C" w14:paraId="72F02672" w14:textId="77777777" w:rsidTr="00636C6F">
        <w:trPr>
          <w:trHeight w:hRule="exact" w:val="255"/>
        </w:trPr>
        <w:tc>
          <w:tcPr>
            <w:tcW w:w="1913" w:type="dxa"/>
            <w:gridSpan w:val="2"/>
            <w:shd w:val="clear" w:color="auto" w:fill="auto"/>
            <w:noWrap/>
            <w:vAlign w:val="center"/>
            <w:hideMark/>
          </w:tcPr>
          <w:p w14:paraId="1E2963F6"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VII.</w:t>
            </w:r>
          </w:p>
        </w:tc>
        <w:tc>
          <w:tcPr>
            <w:tcW w:w="7371" w:type="dxa"/>
            <w:gridSpan w:val="2"/>
            <w:shd w:val="clear" w:color="auto" w:fill="auto"/>
            <w:noWrap/>
            <w:vAlign w:val="center"/>
            <w:hideMark/>
          </w:tcPr>
          <w:p w14:paraId="34EC93D5"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oka a očních adnex</w:t>
            </w:r>
          </w:p>
        </w:tc>
      </w:tr>
      <w:tr w:rsidR="00617E4C" w:rsidRPr="00617E4C" w14:paraId="4BA098F4" w14:textId="77777777" w:rsidTr="00636C6F">
        <w:trPr>
          <w:trHeight w:hRule="exact" w:val="255"/>
        </w:trPr>
        <w:tc>
          <w:tcPr>
            <w:tcW w:w="1913" w:type="dxa"/>
            <w:gridSpan w:val="2"/>
            <w:shd w:val="clear" w:color="auto" w:fill="auto"/>
            <w:noWrap/>
            <w:vAlign w:val="center"/>
            <w:hideMark/>
          </w:tcPr>
          <w:p w14:paraId="01FFDBFA"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VIII.</w:t>
            </w:r>
          </w:p>
        </w:tc>
        <w:tc>
          <w:tcPr>
            <w:tcW w:w="7371" w:type="dxa"/>
            <w:gridSpan w:val="2"/>
            <w:shd w:val="clear" w:color="auto" w:fill="auto"/>
            <w:noWrap/>
            <w:vAlign w:val="center"/>
            <w:hideMark/>
          </w:tcPr>
          <w:p w14:paraId="4FA6C356"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ucha a bradavkového výběžku</w:t>
            </w:r>
          </w:p>
        </w:tc>
      </w:tr>
      <w:tr w:rsidR="00617E4C" w:rsidRPr="00617E4C" w14:paraId="6220E1B2" w14:textId="77777777" w:rsidTr="00636C6F">
        <w:trPr>
          <w:trHeight w:hRule="exact" w:val="255"/>
        </w:trPr>
        <w:tc>
          <w:tcPr>
            <w:tcW w:w="1913" w:type="dxa"/>
            <w:gridSpan w:val="2"/>
            <w:shd w:val="clear" w:color="auto" w:fill="auto"/>
            <w:noWrap/>
            <w:vAlign w:val="center"/>
            <w:hideMark/>
          </w:tcPr>
          <w:p w14:paraId="6B18A9E5"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IX.</w:t>
            </w:r>
          </w:p>
        </w:tc>
        <w:tc>
          <w:tcPr>
            <w:tcW w:w="7371" w:type="dxa"/>
            <w:gridSpan w:val="2"/>
            <w:shd w:val="clear" w:color="auto" w:fill="auto"/>
            <w:noWrap/>
            <w:vAlign w:val="center"/>
            <w:hideMark/>
          </w:tcPr>
          <w:p w14:paraId="2C3AAD8E"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oběhové soustavy</w:t>
            </w:r>
          </w:p>
        </w:tc>
      </w:tr>
      <w:tr w:rsidR="00617E4C" w:rsidRPr="00617E4C" w14:paraId="47EEE4D1" w14:textId="77777777" w:rsidTr="00636C6F">
        <w:trPr>
          <w:trHeight w:hRule="exact" w:val="255"/>
        </w:trPr>
        <w:tc>
          <w:tcPr>
            <w:tcW w:w="1913" w:type="dxa"/>
            <w:gridSpan w:val="2"/>
            <w:shd w:val="clear" w:color="auto" w:fill="auto"/>
            <w:noWrap/>
            <w:vAlign w:val="center"/>
            <w:hideMark/>
          </w:tcPr>
          <w:p w14:paraId="227F63F3"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w:t>
            </w:r>
          </w:p>
        </w:tc>
        <w:tc>
          <w:tcPr>
            <w:tcW w:w="7371" w:type="dxa"/>
            <w:gridSpan w:val="2"/>
            <w:shd w:val="clear" w:color="auto" w:fill="auto"/>
            <w:noWrap/>
            <w:vAlign w:val="center"/>
            <w:hideMark/>
          </w:tcPr>
          <w:p w14:paraId="0C2A258A"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dýchací soustavy</w:t>
            </w:r>
          </w:p>
        </w:tc>
      </w:tr>
      <w:tr w:rsidR="00617E4C" w:rsidRPr="00617E4C" w14:paraId="5A6559EB" w14:textId="77777777" w:rsidTr="00636C6F">
        <w:trPr>
          <w:trHeight w:hRule="exact" w:val="255"/>
        </w:trPr>
        <w:tc>
          <w:tcPr>
            <w:tcW w:w="1913" w:type="dxa"/>
            <w:gridSpan w:val="2"/>
            <w:shd w:val="clear" w:color="auto" w:fill="auto"/>
            <w:noWrap/>
            <w:vAlign w:val="center"/>
            <w:hideMark/>
          </w:tcPr>
          <w:p w14:paraId="32CCFCEB"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XI.</w:t>
            </w:r>
          </w:p>
        </w:tc>
        <w:tc>
          <w:tcPr>
            <w:tcW w:w="7371" w:type="dxa"/>
            <w:gridSpan w:val="2"/>
            <w:shd w:val="clear" w:color="auto" w:fill="auto"/>
            <w:noWrap/>
            <w:vAlign w:val="center"/>
            <w:hideMark/>
          </w:tcPr>
          <w:p w14:paraId="7D0F98C9"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trávicí soustavy</w:t>
            </w:r>
          </w:p>
        </w:tc>
      </w:tr>
      <w:tr w:rsidR="00617E4C" w:rsidRPr="00617E4C" w14:paraId="3B49290E" w14:textId="77777777" w:rsidTr="00636C6F">
        <w:trPr>
          <w:trHeight w:hRule="exact" w:val="255"/>
        </w:trPr>
        <w:tc>
          <w:tcPr>
            <w:tcW w:w="1913" w:type="dxa"/>
            <w:gridSpan w:val="2"/>
            <w:shd w:val="clear" w:color="auto" w:fill="auto"/>
            <w:noWrap/>
            <w:vAlign w:val="center"/>
            <w:hideMark/>
          </w:tcPr>
          <w:p w14:paraId="7D3772CB"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XII.</w:t>
            </w:r>
          </w:p>
        </w:tc>
        <w:tc>
          <w:tcPr>
            <w:tcW w:w="7371" w:type="dxa"/>
            <w:gridSpan w:val="2"/>
            <w:shd w:val="clear" w:color="auto" w:fill="auto"/>
            <w:noWrap/>
            <w:vAlign w:val="center"/>
            <w:hideMark/>
          </w:tcPr>
          <w:p w14:paraId="533BE190"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kůže a podkožního vaziva</w:t>
            </w:r>
          </w:p>
        </w:tc>
      </w:tr>
      <w:tr w:rsidR="00617E4C" w:rsidRPr="00617E4C" w14:paraId="311DC5B0" w14:textId="77777777" w:rsidTr="00636C6F">
        <w:trPr>
          <w:trHeight w:hRule="exact" w:val="255"/>
        </w:trPr>
        <w:tc>
          <w:tcPr>
            <w:tcW w:w="1913" w:type="dxa"/>
            <w:gridSpan w:val="2"/>
            <w:shd w:val="clear" w:color="auto" w:fill="auto"/>
            <w:noWrap/>
            <w:vAlign w:val="center"/>
            <w:hideMark/>
          </w:tcPr>
          <w:p w14:paraId="00B8CC77"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XIII.</w:t>
            </w:r>
          </w:p>
        </w:tc>
        <w:tc>
          <w:tcPr>
            <w:tcW w:w="7371" w:type="dxa"/>
            <w:gridSpan w:val="2"/>
            <w:shd w:val="clear" w:color="auto" w:fill="auto"/>
            <w:noWrap/>
            <w:vAlign w:val="center"/>
            <w:hideMark/>
          </w:tcPr>
          <w:p w14:paraId="4C88A48E"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svalové a kosterní soustavy a pojivové tkáně</w:t>
            </w:r>
          </w:p>
        </w:tc>
      </w:tr>
      <w:tr w:rsidR="00617E4C" w:rsidRPr="00617E4C" w14:paraId="5A1B3400" w14:textId="77777777" w:rsidTr="00636C6F">
        <w:trPr>
          <w:trHeight w:hRule="exact" w:val="255"/>
        </w:trPr>
        <w:tc>
          <w:tcPr>
            <w:tcW w:w="1913" w:type="dxa"/>
            <w:gridSpan w:val="2"/>
            <w:shd w:val="clear" w:color="auto" w:fill="auto"/>
            <w:noWrap/>
            <w:vAlign w:val="center"/>
            <w:hideMark/>
          </w:tcPr>
          <w:p w14:paraId="5E35B7AB"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XIV.</w:t>
            </w:r>
          </w:p>
        </w:tc>
        <w:tc>
          <w:tcPr>
            <w:tcW w:w="7371" w:type="dxa"/>
            <w:gridSpan w:val="2"/>
            <w:shd w:val="clear" w:color="auto" w:fill="auto"/>
            <w:noWrap/>
            <w:vAlign w:val="center"/>
            <w:hideMark/>
          </w:tcPr>
          <w:p w14:paraId="4DD406F1"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Nemoci močové a pohlavní soustavy</w:t>
            </w:r>
          </w:p>
        </w:tc>
      </w:tr>
      <w:tr w:rsidR="00617E4C" w:rsidRPr="00617E4C" w14:paraId="52782E18" w14:textId="77777777" w:rsidTr="00636C6F">
        <w:trPr>
          <w:trHeight w:hRule="exact" w:val="255"/>
        </w:trPr>
        <w:tc>
          <w:tcPr>
            <w:tcW w:w="1913" w:type="dxa"/>
            <w:gridSpan w:val="2"/>
            <w:shd w:val="clear" w:color="auto" w:fill="auto"/>
            <w:noWrap/>
            <w:vAlign w:val="center"/>
            <w:hideMark/>
          </w:tcPr>
          <w:p w14:paraId="60A6C5C8"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XV.</w:t>
            </w:r>
          </w:p>
        </w:tc>
        <w:tc>
          <w:tcPr>
            <w:tcW w:w="7371" w:type="dxa"/>
            <w:gridSpan w:val="2"/>
            <w:shd w:val="clear" w:color="auto" w:fill="auto"/>
            <w:noWrap/>
            <w:vAlign w:val="center"/>
            <w:hideMark/>
          </w:tcPr>
          <w:p w14:paraId="78FE6511"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Těhotenství, porod a šestinedělí</w:t>
            </w:r>
          </w:p>
        </w:tc>
      </w:tr>
      <w:tr w:rsidR="00617E4C" w:rsidRPr="00617E4C" w14:paraId="52E3B705" w14:textId="77777777" w:rsidTr="00636C6F">
        <w:trPr>
          <w:trHeight w:hRule="exact" w:val="255"/>
        </w:trPr>
        <w:tc>
          <w:tcPr>
            <w:tcW w:w="1913" w:type="dxa"/>
            <w:gridSpan w:val="2"/>
            <w:shd w:val="clear" w:color="auto" w:fill="auto"/>
            <w:noWrap/>
            <w:vAlign w:val="center"/>
            <w:hideMark/>
          </w:tcPr>
          <w:p w14:paraId="678D1E5E"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XVI.</w:t>
            </w:r>
          </w:p>
        </w:tc>
        <w:tc>
          <w:tcPr>
            <w:tcW w:w="7371" w:type="dxa"/>
            <w:gridSpan w:val="2"/>
            <w:shd w:val="clear" w:color="auto" w:fill="auto"/>
            <w:noWrap/>
            <w:vAlign w:val="center"/>
            <w:hideMark/>
          </w:tcPr>
          <w:p w14:paraId="2BD2D936"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Některé stavy vzniklé v perinatálním období</w:t>
            </w:r>
          </w:p>
        </w:tc>
      </w:tr>
      <w:tr w:rsidR="00617E4C" w:rsidRPr="00617E4C" w14:paraId="4EB1FA1D" w14:textId="77777777" w:rsidTr="00636C6F">
        <w:trPr>
          <w:trHeight w:hRule="exact" w:val="255"/>
        </w:trPr>
        <w:tc>
          <w:tcPr>
            <w:tcW w:w="1913" w:type="dxa"/>
            <w:gridSpan w:val="2"/>
            <w:shd w:val="clear" w:color="auto" w:fill="auto"/>
            <w:noWrap/>
            <w:vAlign w:val="center"/>
            <w:hideMark/>
          </w:tcPr>
          <w:p w14:paraId="04F122D2"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XVII.</w:t>
            </w:r>
          </w:p>
        </w:tc>
        <w:tc>
          <w:tcPr>
            <w:tcW w:w="7371" w:type="dxa"/>
            <w:gridSpan w:val="2"/>
            <w:shd w:val="clear" w:color="auto" w:fill="auto"/>
            <w:noWrap/>
            <w:vAlign w:val="center"/>
            <w:hideMark/>
          </w:tcPr>
          <w:p w14:paraId="31D18A43"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Vrozené vady, deformace a chromozomální abnormality</w:t>
            </w:r>
          </w:p>
        </w:tc>
      </w:tr>
      <w:tr w:rsidR="00617E4C" w:rsidRPr="00617E4C" w14:paraId="2166D9DB" w14:textId="77777777" w:rsidTr="00636C6F">
        <w:trPr>
          <w:trHeight w:hRule="exact" w:val="255"/>
        </w:trPr>
        <w:tc>
          <w:tcPr>
            <w:tcW w:w="1913" w:type="dxa"/>
            <w:gridSpan w:val="2"/>
            <w:shd w:val="clear" w:color="auto" w:fill="auto"/>
            <w:noWrap/>
            <w:vAlign w:val="center"/>
            <w:hideMark/>
          </w:tcPr>
          <w:p w14:paraId="1CD51935"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XVIII.</w:t>
            </w:r>
          </w:p>
        </w:tc>
        <w:tc>
          <w:tcPr>
            <w:tcW w:w="7371" w:type="dxa"/>
            <w:gridSpan w:val="2"/>
            <w:shd w:val="clear" w:color="auto" w:fill="auto"/>
            <w:noWrap/>
            <w:vAlign w:val="center"/>
            <w:hideMark/>
          </w:tcPr>
          <w:p w14:paraId="3634C498"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Příznaky, znaky a abnormální klinické a laboratorní nálezy nezařazené jinde</w:t>
            </w:r>
          </w:p>
        </w:tc>
      </w:tr>
      <w:tr w:rsidR="00617E4C" w:rsidRPr="00617E4C" w14:paraId="761429DF" w14:textId="77777777" w:rsidTr="00636C6F">
        <w:trPr>
          <w:trHeight w:hRule="exact" w:val="255"/>
        </w:trPr>
        <w:tc>
          <w:tcPr>
            <w:tcW w:w="1913" w:type="dxa"/>
            <w:gridSpan w:val="2"/>
            <w:shd w:val="clear" w:color="auto" w:fill="auto"/>
            <w:noWrap/>
            <w:vAlign w:val="center"/>
            <w:hideMark/>
          </w:tcPr>
          <w:p w14:paraId="01C069D9"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XIX.</w:t>
            </w:r>
          </w:p>
        </w:tc>
        <w:tc>
          <w:tcPr>
            <w:tcW w:w="7371" w:type="dxa"/>
            <w:gridSpan w:val="2"/>
            <w:shd w:val="clear" w:color="auto" w:fill="auto"/>
            <w:noWrap/>
            <w:vAlign w:val="center"/>
            <w:hideMark/>
          </w:tcPr>
          <w:p w14:paraId="4DA961A7"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Poranění, otravy a některé jiné následky vnějších příčin</w:t>
            </w:r>
          </w:p>
        </w:tc>
      </w:tr>
      <w:tr w:rsidR="00617E4C" w:rsidRPr="00617E4C" w14:paraId="246BCCD9" w14:textId="77777777" w:rsidTr="00636C6F">
        <w:trPr>
          <w:trHeight w:hRule="exact" w:val="255"/>
        </w:trPr>
        <w:tc>
          <w:tcPr>
            <w:tcW w:w="1913" w:type="dxa"/>
            <w:gridSpan w:val="2"/>
            <w:shd w:val="clear" w:color="auto" w:fill="auto"/>
            <w:noWrap/>
            <w:vAlign w:val="center"/>
            <w:hideMark/>
          </w:tcPr>
          <w:p w14:paraId="7E97378F"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XX.</w:t>
            </w:r>
          </w:p>
        </w:tc>
        <w:tc>
          <w:tcPr>
            <w:tcW w:w="7371" w:type="dxa"/>
            <w:gridSpan w:val="2"/>
            <w:shd w:val="clear" w:color="auto" w:fill="auto"/>
            <w:noWrap/>
            <w:vAlign w:val="center"/>
            <w:hideMark/>
          </w:tcPr>
          <w:p w14:paraId="0A3B6A5B"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Vnější příčiny nemocnosti a úmrtnosti</w:t>
            </w:r>
          </w:p>
        </w:tc>
      </w:tr>
      <w:tr w:rsidR="00617E4C" w:rsidRPr="00617E4C" w14:paraId="2FDD9EA5" w14:textId="77777777" w:rsidTr="00636C6F">
        <w:trPr>
          <w:trHeight w:hRule="exact" w:val="255"/>
        </w:trPr>
        <w:tc>
          <w:tcPr>
            <w:tcW w:w="1913" w:type="dxa"/>
            <w:gridSpan w:val="2"/>
            <w:shd w:val="clear" w:color="auto" w:fill="auto"/>
            <w:noWrap/>
            <w:vAlign w:val="center"/>
          </w:tcPr>
          <w:p w14:paraId="569E659D"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XXII.</w:t>
            </w:r>
          </w:p>
        </w:tc>
        <w:tc>
          <w:tcPr>
            <w:tcW w:w="7371" w:type="dxa"/>
            <w:gridSpan w:val="2"/>
            <w:shd w:val="clear" w:color="auto" w:fill="auto"/>
            <w:noWrap/>
            <w:vAlign w:val="center"/>
          </w:tcPr>
          <w:p w14:paraId="15AD2E80" w14:textId="77777777" w:rsidR="00617E4C" w:rsidRPr="00617E4C" w:rsidRDefault="00617E4C" w:rsidP="00636C6F">
            <w:pPr>
              <w:spacing w:line="288" w:lineRule="auto"/>
              <w:rPr>
                <w:rFonts w:cs="Arial"/>
                <w:bCs w:val="0"/>
                <w:color w:val="000000"/>
                <w:szCs w:val="16"/>
              </w:rPr>
            </w:pPr>
            <w:r w:rsidRPr="00617E4C">
              <w:rPr>
                <w:rFonts w:cs="Arial"/>
                <w:bCs w:val="0"/>
                <w:color w:val="000000"/>
                <w:szCs w:val="16"/>
              </w:rPr>
              <w:t xml:space="preserve">Kódy pro speciální účely </w:t>
            </w:r>
          </w:p>
        </w:tc>
      </w:tr>
    </w:tbl>
    <w:p w14:paraId="0B8DFB4B" w14:textId="5466F5D2" w:rsidR="00DF1435" w:rsidRPr="00417751" w:rsidRDefault="00DF1435" w:rsidP="00E84315">
      <w:pPr>
        <w:spacing w:before="240" w:after="120" w:line="288" w:lineRule="auto"/>
        <w:rPr>
          <w:rFonts w:eastAsia="Arial Unicode MS" w:cs="Arial"/>
          <w:b/>
          <w:bCs w:val="0"/>
          <w:sz w:val="24"/>
        </w:rPr>
      </w:pPr>
      <w:r w:rsidRPr="00417751">
        <w:rPr>
          <w:rFonts w:eastAsia="Arial Unicode MS" w:cs="Arial"/>
          <w:b/>
          <w:bCs w:val="0"/>
          <w:sz w:val="24"/>
        </w:rPr>
        <w:t>Metodické poznámky k </w:t>
      </w:r>
      <w:r w:rsidRPr="00DF1435">
        <w:rPr>
          <w:rFonts w:eastAsia="Arial Unicode MS" w:cs="Arial"/>
          <w:b/>
          <w:bCs w:val="0"/>
          <w:sz w:val="24"/>
        </w:rPr>
        <w:t xml:space="preserve">údajům o </w:t>
      </w:r>
      <w:r>
        <w:rPr>
          <w:rFonts w:eastAsia="Arial Unicode MS" w:cs="Arial"/>
          <w:b/>
          <w:bCs w:val="0"/>
          <w:sz w:val="24"/>
        </w:rPr>
        <w:t>stěhování (migraci)</w:t>
      </w:r>
    </w:p>
    <w:p w14:paraId="04D26588" w14:textId="7E73E959" w:rsidR="00617E4C" w:rsidRPr="00617E4C" w:rsidRDefault="00617E4C" w:rsidP="00E84315">
      <w:pPr>
        <w:spacing w:after="120" w:line="288" w:lineRule="auto"/>
        <w:rPr>
          <w:rFonts w:cs="Arial"/>
          <w:bCs w:val="0"/>
          <w:sz w:val="20"/>
        </w:rPr>
      </w:pPr>
      <w:r w:rsidRPr="00617E4C">
        <w:rPr>
          <w:rFonts w:cs="Arial"/>
          <w:bCs w:val="0"/>
          <w:sz w:val="20"/>
        </w:rPr>
        <w:t xml:space="preserve">V demografické statistice se stěhováním rozumí změna obce </w:t>
      </w:r>
      <w:r w:rsidR="006156C2">
        <w:rPr>
          <w:rFonts w:cs="Arial"/>
          <w:bCs w:val="0"/>
          <w:sz w:val="20"/>
        </w:rPr>
        <w:t>registrovaného</w:t>
      </w:r>
      <w:r w:rsidR="006156C2" w:rsidRPr="00617E4C">
        <w:rPr>
          <w:rFonts w:cs="Arial"/>
          <w:bCs w:val="0"/>
          <w:sz w:val="20"/>
        </w:rPr>
        <w:t xml:space="preserve"> </w:t>
      </w:r>
      <w:r w:rsidRPr="00617E4C">
        <w:rPr>
          <w:rFonts w:cs="Arial"/>
          <w:bCs w:val="0"/>
          <w:sz w:val="20"/>
        </w:rPr>
        <w:t xml:space="preserve">bydliště osoby na území ČR nebo přes hranice ČR. </w:t>
      </w:r>
      <w:r w:rsidR="00570DE0" w:rsidRPr="00570DE0">
        <w:rPr>
          <w:rFonts w:cs="Arial"/>
          <w:bCs w:val="0"/>
          <w:sz w:val="20"/>
        </w:rPr>
        <w:t>Rozlišuje se stěhování vnitřní, tj. v rámci území ČR, a zahraniční.</w:t>
      </w:r>
    </w:p>
    <w:p w14:paraId="0C22CCB6" w14:textId="4AEEDB73" w:rsidR="006228E9" w:rsidRDefault="00617E4C" w:rsidP="00E84315">
      <w:pPr>
        <w:spacing w:after="120" w:line="288" w:lineRule="auto"/>
        <w:rPr>
          <w:rFonts w:cs="Arial"/>
          <w:bCs w:val="0"/>
          <w:sz w:val="20"/>
        </w:rPr>
      </w:pPr>
      <w:r w:rsidRPr="00617E4C">
        <w:rPr>
          <w:rFonts w:cs="Arial"/>
          <w:bCs w:val="0"/>
          <w:sz w:val="20"/>
        </w:rPr>
        <w:t xml:space="preserve">Časová srovnatelnost dat o </w:t>
      </w:r>
      <w:r w:rsidRPr="00695694">
        <w:rPr>
          <w:rFonts w:cs="Arial"/>
          <w:bCs w:val="0"/>
          <w:sz w:val="20"/>
        </w:rPr>
        <w:t>vnitřním stěhování</w:t>
      </w:r>
      <w:r w:rsidRPr="00617E4C">
        <w:rPr>
          <w:rFonts w:cs="Arial"/>
          <w:bCs w:val="0"/>
          <w:sz w:val="20"/>
        </w:rPr>
        <w:t xml:space="preserve"> je </w:t>
      </w:r>
      <w:r w:rsidR="00570DE0">
        <w:rPr>
          <w:rFonts w:cs="Arial"/>
          <w:bCs w:val="0"/>
          <w:sz w:val="20"/>
        </w:rPr>
        <w:t>částečně</w:t>
      </w:r>
      <w:r w:rsidR="00570DE0" w:rsidRPr="00617E4C">
        <w:rPr>
          <w:rFonts w:cs="Arial"/>
          <w:bCs w:val="0"/>
          <w:sz w:val="20"/>
        </w:rPr>
        <w:t xml:space="preserve"> </w:t>
      </w:r>
      <w:r w:rsidRPr="00617E4C">
        <w:rPr>
          <w:rFonts w:cs="Arial"/>
          <w:bCs w:val="0"/>
          <w:sz w:val="20"/>
        </w:rPr>
        <w:t>omezena změnami rozsahu stěhování uvnitř Prahy (podrobněji viz vysvětlivky u tab. 9-1) a reorganizacemi</w:t>
      </w:r>
      <w:r w:rsidR="00EA068E">
        <w:rPr>
          <w:rFonts w:cs="Arial"/>
          <w:bCs w:val="0"/>
          <w:sz w:val="20"/>
        </w:rPr>
        <w:t xml:space="preserve"> územního členění ČR</w:t>
      </w:r>
      <w:r w:rsidRPr="00617E4C">
        <w:rPr>
          <w:rFonts w:cs="Arial"/>
          <w:bCs w:val="0"/>
          <w:sz w:val="20"/>
        </w:rPr>
        <w:t xml:space="preserve">. </w:t>
      </w:r>
      <w:r w:rsidR="00570DE0">
        <w:rPr>
          <w:rFonts w:cs="Arial"/>
          <w:bCs w:val="0"/>
          <w:sz w:val="20"/>
        </w:rPr>
        <w:t>V případě z</w:t>
      </w:r>
      <w:r w:rsidRPr="00695694">
        <w:rPr>
          <w:rFonts w:cs="Arial"/>
          <w:sz w:val="20"/>
        </w:rPr>
        <w:t>ahraniční</w:t>
      </w:r>
      <w:r w:rsidR="00570DE0">
        <w:rPr>
          <w:rFonts w:cs="Arial"/>
          <w:sz w:val="20"/>
        </w:rPr>
        <w:t>ho</w:t>
      </w:r>
      <w:r w:rsidRPr="00695694">
        <w:rPr>
          <w:rFonts w:cs="Arial"/>
          <w:sz w:val="20"/>
        </w:rPr>
        <w:t xml:space="preserve"> stěhování</w:t>
      </w:r>
      <w:r w:rsidRPr="00617E4C">
        <w:rPr>
          <w:rFonts w:cs="Arial"/>
          <w:bCs w:val="0"/>
          <w:sz w:val="20"/>
        </w:rPr>
        <w:t xml:space="preserve"> </w:t>
      </w:r>
      <w:r w:rsidR="00570DE0">
        <w:rPr>
          <w:rFonts w:cs="Arial"/>
          <w:bCs w:val="0"/>
          <w:sz w:val="20"/>
        </w:rPr>
        <w:t xml:space="preserve">je srovnatelnost dat v časové řadě </w:t>
      </w:r>
      <w:r w:rsidR="006156C2">
        <w:rPr>
          <w:rFonts w:cs="Arial"/>
          <w:bCs w:val="0"/>
          <w:sz w:val="20"/>
        </w:rPr>
        <w:t>ovlivněna zahrnováním ciz</w:t>
      </w:r>
      <w:r w:rsidR="00757592">
        <w:rPr>
          <w:rFonts w:cs="Arial"/>
          <w:bCs w:val="0"/>
          <w:sz w:val="20"/>
        </w:rPr>
        <w:t>incům s přechodným pobytem (nad </w:t>
      </w:r>
      <w:r w:rsidR="006156C2">
        <w:rPr>
          <w:rFonts w:cs="Arial"/>
          <w:bCs w:val="0"/>
          <w:sz w:val="20"/>
        </w:rPr>
        <w:t xml:space="preserve">90 dnů) od roku 2001 a částečně </w:t>
      </w:r>
      <w:r w:rsidR="00570DE0">
        <w:rPr>
          <w:rFonts w:cs="Arial"/>
          <w:bCs w:val="0"/>
          <w:sz w:val="20"/>
        </w:rPr>
        <w:t>i změnami datových zdrojů</w:t>
      </w:r>
      <w:r w:rsidR="006228E9">
        <w:rPr>
          <w:rFonts w:cs="Arial"/>
          <w:bCs w:val="0"/>
          <w:sz w:val="20"/>
        </w:rPr>
        <w:t xml:space="preserve">: </w:t>
      </w:r>
    </w:p>
    <w:p w14:paraId="3C19470F" w14:textId="77777777" w:rsidR="006228E9" w:rsidRDefault="006228E9" w:rsidP="00E84315">
      <w:pPr>
        <w:pStyle w:val="Odstavecseseznamem"/>
        <w:numPr>
          <w:ilvl w:val="0"/>
          <w:numId w:val="7"/>
        </w:numPr>
        <w:spacing w:line="288" w:lineRule="auto"/>
        <w:ind w:left="714" w:hanging="357"/>
        <w:rPr>
          <w:rFonts w:cs="Arial"/>
          <w:bCs w:val="0"/>
          <w:sz w:val="20"/>
        </w:rPr>
      </w:pPr>
      <w:r w:rsidRPr="006228E9">
        <w:rPr>
          <w:rFonts w:cs="Arial"/>
          <w:bCs w:val="0"/>
          <w:sz w:val="20"/>
        </w:rPr>
        <w:t>Do roku 2001 byla statistika kompletně založena na sběru dat prostřednictvím statistických hlášení (</w:t>
      </w:r>
      <w:proofErr w:type="spellStart"/>
      <w:r w:rsidRPr="006228E9">
        <w:rPr>
          <w:rFonts w:cs="Arial"/>
          <w:bCs w:val="0"/>
          <w:sz w:val="20"/>
        </w:rPr>
        <w:t>Obyv</w:t>
      </w:r>
      <w:proofErr w:type="spellEnd"/>
      <w:r w:rsidRPr="006228E9">
        <w:rPr>
          <w:rFonts w:cs="Arial"/>
          <w:bCs w:val="0"/>
          <w:sz w:val="20"/>
        </w:rPr>
        <w:t xml:space="preserve"> 5-12 Hlášení o stěhování). </w:t>
      </w:r>
    </w:p>
    <w:p w14:paraId="1B77C9A9" w14:textId="04F31257" w:rsidR="0092521A" w:rsidRDefault="006228E9" w:rsidP="00E84315">
      <w:pPr>
        <w:pStyle w:val="Odstavecseseznamem"/>
        <w:numPr>
          <w:ilvl w:val="0"/>
          <w:numId w:val="7"/>
        </w:numPr>
        <w:spacing w:after="120" w:line="288" w:lineRule="auto"/>
        <w:ind w:left="714" w:hanging="357"/>
        <w:rPr>
          <w:rFonts w:cs="Arial"/>
          <w:bCs w:val="0"/>
          <w:sz w:val="20"/>
        </w:rPr>
      </w:pPr>
      <w:r w:rsidRPr="006228E9">
        <w:rPr>
          <w:rFonts w:cs="Arial"/>
          <w:bCs w:val="0"/>
          <w:sz w:val="20"/>
        </w:rPr>
        <w:t xml:space="preserve">V letech 2001–2004 zůstalo hlášení zdrojem dat o stěhování českých občanů (zpravodajskou </w:t>
      </w:r>
      <w:r w:rsidR="00CF7E5F">
        <w:rPr>
          <w:rFonts w:cs="Arial"/>
          <w:bCs w:val="0"/>
          <w:sz w:val="20"/>
        </w:rPr>
        <w:t>jednotkou byly ohlašovny pobytu</w:t>
      </w:r>
      <w:r w:rsidRPr="006228E9">
        <w:rPr>
          <w:rFonts w:cs="Arial"/>
          <w:bCs w:val="0"/>
          <w:sz w:val="20"/>
        </w:rPr>
        <w:t>), údaje o</w:t>
      </w:r>
      <w:r w:rsidR="00DB2ED1">
        <w:rPr>
          <w:rFonts w:cs="Arial"/>
          <w:bCs w:val="0"/>
          <w:sz w:val="20"/>
        </w:rPr>
        <w:t> </w:t>
      </w:r>
      <w:r w:rsidRPr="006228E9">
        <w:rPr>
          <w:rFonts w:cs="Arial"/>
          <w:bCs w:val="0"/>
          <w:sz w:val="20"/>
        </w:rPr>
        <w:t>stěhování cizinců byly již přebírány od Ředitelství služby cizinecké policie z</w:t>
      </w:r>
      <w:r w:rsidR="00DB2ED1">
        <w:rPr>
          <w:rFonts w:cs="Arial"/>
          <w:bCs w:val="0"/>
          <w:sz w:val="20"/>
        </w:rPr>
        <w:t> </w:t>
      </w:r>
      <w:r w:rsidRPr="006228E9">
        <w:rPr>
          <w:rFonts w:cs="Arial"/>
          <w:bCs w:val="0"/>
          <w:sz w:val="20"/>
        </w:rPr>
        <w:t xml:space="preserve">jejich informačního systému. </w:t>
      </w:r>
    </w:p>
    <w:p w14:paraId="138BD73F" w14:textId="621C8D82" w:rsidR="006228E9" w:rsidRPr="006228E9" w:rsidRDefault="006228E9" w:rsidP="004800AB">
      <w:pPr>
        <w:pStyle w:val="Odstavecseseznamem"/>
        <w:numPr>
          <w:ilvl w:val="0"/>
          <w:numId w:val="7"/>
        </w:numPr>
        <w:spacing w:after="160" w:line="288" w:lineRule="auto"/>
        <w:ind w:left="714" w:hanging="357"/>
        <w:rPr>
          <w:rFonts w:cs="Arial"/>
          <w:bCs w:val="0"/>
          <w:sz w:val="20"/>
        </w:rPr>
      </w:pPr>
      <w:r w:rsidRPr="006228E9">
        <w:rPr>
          <w:rFonts w:cs="Arial"/>
          <w:bCs w:val="0"/>
          <w:sz w:val="20"/>
        </w:rPr>
        <w:t>Od roku 2005 byla veškerá hlášení o stěhování nahrazena administrativními daty ze zdrojů Ministerstva vnitra ČR. Informační systém evidence obyvatel je zdrojem dat pro stěhování občanů ČR a v období 2008 až červen 2012 byl zdrojem dat pro veškerou migrační statistiku včetně stěhování cizinců. Cizinecký informační systém je zdrojem dat pro stěhování cizinců (přes hranice i</w:t>
      </w:r>
      <w:r w:rsidR="00DB2ED1">
        <w:rPr>
          <w:rFonts w:cs="Arial"/>
          <w:bCs w:val="0"/>
          <w:sz w:val="20"/>
        </w:rPr>
        <w:t> </w:t>
      </w:r>
      <w:r w:rsidRPr="006228E9">
        <w:rPr>
          <w:rFonts w:cs="Arial"/>
          <w:bCs w:val="0"/>
          <w:sz w:val="20"/>
        </w:rPr>
        <w:t>uvnitř republiky), s výjimkou zmíněného období od počátku roku 2008 do poloviny roku 2012.</w:t>
      </w:r>
    </w:p>
    <w:p w14:paraId="5A96821F" w14:textId="231CF77E" w:rsidR="00617E4C" w:rsidRDefault="00570DE0" w:rsidP="004800AB">
      <w:pPr>
        <w:spacing w:after="160" w:line="288" w:lineRule="auto"/>
        <w:rPr>
          <w:rFonts w:cs="Arial"/>
          <w:bCs w:val="0"/>
          <w:sz w:val="20"/>
        </w:rPr>
      </w:pPr>
      <w:r>
        <w:rPr>
          <w:rFonts w:cs="Arial"/>
          <w:b/>
          <w:sz w:val="20"/>
        </w:rPr>
        <w:t>Přírůstek stěhováním (m</w:t>
      </w:r>
      <w:r w:rsidR="00617E4C" w:rsidRPr="00617E4C">
        <w:rPr>
          <w:rFonts w:cs="Arial"/>
          <w:b/>
          <w:sz w:val="20"/>
        </w:rPr>
        <w:t>igrační saldo</w:t>
      </w:r>
      <w:r>
        <w:rPr>
          <w:rFonts w:cs="Arial"/>
          <w:b/>
          <w:sz w:val="20"/>
        </w:rPr>
        <w:t>)</w:t>
      </w:r>
      <w:r w:rsidR="00617E4C" w:rsidRPr="00617E4C">
        <w:rPr>
          <w:rFonts w:cs="Arial"/>
          <w:bCs w:val="0"/>
          <w:sz w:val="20"/>
        </w:rPr>
        <w:t xml:space="preserve"> – rozdíl mezi počtem přistěhovalých a vystěhovalých</w:t>
      </w:r>
      <w:r>
        <w:rPr>
          <w:rFonts w:cs="Arial"/>
          <w:bCs w:val="0"/>
          <w:sz w:val="20"/>
        </w:rPr>
        <w:t xml:space="preserve"> ve stejném období do/z dané územní jednotky</w:t>
      </w:r>
      <w:r w:rsidR="00617E4C" w:rsidRPr="00617E4C">
        <w:rPr>
          <w:rFonts w:cs="Arial"/>
          <w:bCs w:val="0"/>
          <w:sz w:val="20"/>
        </w:rPr>
        <w:t xml:space="preserve">. </w:t>
      </w:r>
    </w:p>
    <w:p w14:paraId="5A2A88D3" w14:textId="2FCD76F2" w:rsidR="00570DE0" w:rsidRDefault="00570DE0" w:rsidP="004800AB">
      <w:pPr>
        <w:spacing w:after="160" w:line="288" w:lineRule="auto"/>
        <w:rPr>
          <w:rFonts w:cs="Arial"/>
          <w:bCs w:val="0"/>
          <w:sz w:val="20"/>
        </w:rPr>
      </w:pPr>
      <w:r w:rsidRPr="00695694">
        <w:rPr>
          <w:rFonts w:cs="Arial"/>
          <w:b/>
          <w:bCs w:val="0"/>
          <w:sz w:val="20"/>
        </w:rPr>
        <w:t xml:space="preserve">Objem </w:t>
      </w:r>
      <w:r>
        <w:rPr>
          <w:rFonts w:cs="Arial"/>
          <w:b/>
          <w:bCs w:val="0"/>
          <w:sz w:val="20"/>
        </w:rPr>
        <w:t xml:space="preserve">vnitřního </w:t>
      </w:r>
      <w:r w:rsidRPr="00695694">
        <w:rPr>
          <w:rFonts w:cs="Arial"/>
          <w:b/>
          <w:bCs w:val="0"/>
          <w:sz w:val="20"/>
        </w:rPr>
        <w:t>stěhování</w:t>
      </w:r>
      <w:r>
        <w:rPr>
          <w:rFonts w:cs="Arial"/>
          <w:bCs w:val="0"/>
          <w:sz w:val="20"/>
        </w:rPr>
        <w:t xml:space="preserve"> – p</w:t>
      </w:r>
      <w:r w:rsidRPr="00570DE0">
        <w:rPr>
          <w:rFonts w:cs="Arial"/>
          <w:bCs w:val="0"/>
          <w:sz w:val="20"/>
        </w:rPr>
        <w:t>očet všech zaznamenaných případů vnitřního stěhování v dané územní jednotce za dané období. Objem stěhování za vyšší územní jednotku je definován jako součet objemu stěhování za nižší územní celky plus stěhování mezi nižšími územními celky.</w:t>
      </w:r>
    </w:p>
    <w:p w14:paraId="5F92434B" w14:textId="41D51833" w:rsidR="00206735" w:rsidRPr="00BA6589" w:rsidRDefault="00570DE0" w:rsidP="004800AB">
      <w:pPr>
        <w:spacing w:after="160" w:line="288" w:lineRule="auto"/>
        <w:rPr>
          <w:rFonts w:cs="Arial"/>
          <w:sz w:val="20"/>
          <w:szCs w:val="20"/>
        </w:rPr>
      </w:pPr>
      <w:r w:rsidRPr="00695694">
        <w:rPr>
          <w:rFonts w:cs="Arial"/>
          <w:b/>
          <w:bCs w:val="0"/>
          <w:sz w:val="20"/>
        </w:rPr>
        <w:t>Ob</w:t>
      </w:r>
      <w:r w:rsidR="006114BE">
        <w:rPr>
          <w:rFonts w:cs="Arial"/>
          <w:b/>
          <w:bCs w:val="0"/>
          <w:sz w:val="20"/>
        </w:rPr>
        <w:t>jem</w:t>
      </w:r>
      <w:r w:rsidRPr="00695694">
        <w:rPr>
          <w:rFonts w:cs="Arial"/>
          <w:b/>
          <w:bCs w:val="0"/>
          <w:sz w:val="20"/>
        </w:rPr>
        <w:t xml:space="preserve"> zahraničního stěhování</w:t>
      </w:r>
      <w:r>
        <w:rPr>
          <w:rFonts w:cs="Arial"/>
          <w:b/>
          <w:bCs w:val="0"/>
          <w:sz w:val="20"/>
        </w:rPr>
        <w:t xml:space="preserve"> </w:t>
      </w:r>
      <w:r>
        <w:rPr>
          <w:rFonts w:cs="Arial"/>
          <w:bCs w:val="0"/>
          <w:sz w:val="20"/>
        </w:rPr>
        <w:t>– s</w:t>
      </w:r>
      <w:r w:rsidRPr="00570DE0">
        <w:rPr>
          <w:rFonts w:cs="Arial"/>
          <w:bCs w:val="0"/>
          <w:sz w:val="20"/>
        </w:rPr>
        <w:t>oučet přistěhovalých ze zahraničí a vystěhovalých do zahraničí za dané období.</w:t>
      </w:r>
    </w:p>
    <w:sectPr w:rsidR="00206735" w:rsidRPr="00BA6589" w:rsidSect="00AF2140">
      <w:type w:val="continuous"/>
      <w:pgSz w:w="11907" w:h="16840" w:code="9"/>
      <w:pgMar w:top="1134" w:right="1134" w:bottom="1134" w:left="1134" w:header="510" w:footer="68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C2525" w14:textId="77777777" w:rsidR="00E02A26" w:rsidRDefault="00E02A26" w:rsidP="00152720">
      <w:r>
        <w:separator/>
      </w:r>
    </w:p>
  </w:endnote>
  <w:endnote w:type="continuationSeparator" w:id="0">
    <w:p w14:paraId="593DBC57" w14:textId="77777777" w:rsidR="00E02A26" w:rsidRDefault="00E02A26" w:rsidP="0015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0C927" w14:textId="77777777" w:rsidR="00E02A26" w:rsidRDefault="00E02A26" w:rsidP="00152720">
      <w:r>
        <w:separator/>
      </w:r>
    </w:p>
  </w:footnote>
  <w:footnote w:type="continuationSeparator" w:id="0">
    <w:p w14:paraId="2545AB0C" w14:textId="77777777" w:rsidR="00E02A26" w:rsidRDefault="00E02A26" w:rsidP="00152720">
      <w:r>
        <w:continuationSeparator/>
      </w:r>
    </w:p>
  </w:footnote>
  <w:footnote w:id="1">
    <w:p w14:paraId="0B1B5C34" w14:textId="14D749DA" w:rsidR="006E17EA" w:rsidRPr="00EB5896" w:rsidRDefault="006E17EA" w:rsidP="006E17EA">
      <w:pPr>
        <w:pStyle w:val="Textpoznpodarou"/>
        <w:rPr>
          <w:i/>
          <w:sz w:val="18"/>
          <w:szCs w:val="18"/>
        </w:rPr>
      </w:pPr>
      <w:r w:rsidRPr="00EB5896">
        <w:rPr>
          <w:rStyle w:val="Znakapoznpodarou"/>
          <w:i/>
          <w:sz w:val="18"/>
          <w:szCs w:val="18"/>
        </w:rPr>
        <w:footnoteRef/>
      </w:r>
      <w:r w:rsidRPr="00EB5896">
        <w:rPr>
          <w:i/>
          <w:sz w:val="18"/>
          <w:szCs w:val="18"/>
        </w:rPr>
        <w:t xml:space="preserve"> Nasazení nových stavů </w:t>
      </w:r>
      <w:r>
        <w:rPr>
          <w:i/>
          <w:sz w:val="18"/>
          <w:szCs w:val="18"/>
        </w:rPr>
        <w:t xml:space="preserve">k 1. 1. </w:t>
      </w:r>
      <w:r w:rsidRPr="00EB5896">
        <w:rPr>
          <w:i/>
          <w:sz w:val="18"/>
          <w:szCs w:val="18"/>
        </w:rPr>
        <w:t>ro</w:t>
      </w:r>
      <w:r>
        <w:rPr>
          <w:i/>
          <w:sz w:val="18"/>
          <w:szCs w:val="18"/>
        </w:rPr>
        <w:t>ku</w:t>
      </w:r>
      <w:r w:rsidRPr="00EB5896">
        <w:rPr>
          <w:i/>
          <w:sz w:val="18"/>
          <w:szCs w:val="18"/>
        </w:rPr>
        <w:t xml:space="preserve"> sčítání návazn</w:t>
      </w:r>
      <w:r>
        <w:rPr>
          <w:i/>
          <w:sz w:val="18"/>
          <w:szCs w:val="18"/>
        </w:rPr>
        <w:t>ě</w:t>
      </w:r>
      <w:r w:rsidRPr="00EB5896">
        <w:rPr>
          <w:i/>
          <w:sz w:val="18"/>
          <w:szCs w:val="18"/>
        </w:rPr>
        <w:t xml:space="preserve"> na </w:t>
      </w:r>
      <w:r>
        <w:rPr>
          <w:i/>
          <w:sz w:val="18"/>
          <w:szCs w:val="18"/>
        </w:rPr>
        <w:t xml:space="preserve">jeho </w:t>
      </w:r>
      <w:r w:rsidRPr="00EB5896">
        <w:rPr>
          <w:i/>
          <w:sz w:val="18"/>
          <w:szCs w:val="18"/>
        </w:rPr>
        <w:t>výsledky vždy znamen</w:t>
      </w:r>
      <w:r w:rsidR="003C4B05">
        <w:rPr>
          <w:i/>
          <w:sz w:val="18"/>
          <w:szCs w:val="18"/>
        </w:rPr>
        <w:t>á</w:t>
      </w:r>
      <w:r w:rsidRPr="00EB5896">
        <w:rPr>
          <w:i/>
          <w:sz w:val="18"/>
          <w:szCs w:val="18"/>
        </w:rPr>
        <w:t xml:space="preserve"> určitý „zlom“ v časové řadě.</w:t>
      </w:r>
      <w:r w:rsidRPr="006E17EA">
        <w:rPr>
          <w:i/>
          <w:sz w:val="18"/>
          <w:szCs w:val="18"/>
        </w:rPr>
        <w:t xml:space="preserve"> </w:t>
      </w:r>
      <w:r w:rsidRPr="00EB5896">
        <w:rPr>
          <w:i/>
          <w:sz w:val="18"/>
          <w:szCs w:val="18"/>
        </w:rPr>
        <w:t xml:space="preserve">V roce sčítání </w:t>
      </w:r>
      <w:r>
        <w:rPr>
          <w:i/>
          <w:sz w:val="18"/>
          <w:szCs w:val="18"/>
        </w:rPr>
        <w:t xml:space="preserve">tak </w:t>
      </w:r>
      <w:r w:rsidRPr="00EB5896">
        <w:rPr>
          <w:i/>
          <w:sz w:val="18"/>
          <w:szCs w:val="18"/>
        </w:rPr>
        <w:t>celkový přírůstek obyvatel neodpovídá rozdílu koncového stavu v roce sčítání a koncového stavu v roce před sčítáním, neboť každý z těchto stavů se odvíjí od jiného sčítání.</w:t>
      </w:r>
    </w:p>
  </w:footnote>
  <w:footnote w:id="2">
    <w:p w14:paraId="42AA95CB" w14:textId="77777777" w:rsidR="006228E9" w:rsidRPr="002015EF" w:rsidRDefault="006228E9" w:rsidP="006228E9">
      <w:pPr>
        <w:pStyle w:val="Textpoznpodarou"/>
        <w:rPr>
          <w:rFonts w:cs="Arial"/>
          <w:i/>
          <w:sz w:val="16"/>
          <w:szCs w:val="16"/>
        </w:rPr>
      </w:pPr>
      <w:r w:rsidRPr="002015EF">
        <w:rPr>
          <w:rStyle w:val="Znakapoznpodarou"/>
          <w:rFonts w:cs="Arial"/>
          <w:i/>
          <w:sz w:val="16"/>
          <w:szCs w:val="16"/>
        </w:rPr>
        <w:footnoteRef/>
      </w:r>
      <w:r w:rsidRPr="002015EF">
        <w:rPr>
          <w:rFonts w:cs="Arial"/>
          <w:i/>
          <w:sz w:val="16"/>
          <w:szCs w:val="16"/>
        </w:rPr>
        <w:t xml:space="preserve"> Trestní zákon č. 86/1950 Sb. (§218, odst. 4) umožnil provést „usmrcení lidského plodu lékařem ve zdravotním ústavu se souhlasem těhotné ženy“ za určitých předpokladů (ohrožení zdravotního stavu těhotné ženy nebo jejího plodu). V letech 1953–1957 statistika zachycovala pouze potraty provedené ve smyslu tohoto zákona.</w:t>
      </w:r>
    </w:p>
  </w:footnote>
  <w:footnote w:id="3">
    <w:p w14:paraId="5D7A974D" w14:textId="77777777" w:rsidR="00DE057E" w:rsidRDefault="00F84E68">
      <w:r w:rsidRPr="002015EF">
        <w:rPr>
          <w:rStyle w:val="Znakapoznpodarou"/>
          <w:i/>
          <w:szCs w:val="16"/>
        </w:rPr>
        <w:footnoteRef/>
      </w:r>
      <w:r w:rsidRPr="002015EF">
        <w:rPr>
          <w:i/>
          <w:szCs w:val="16"/>
        </w:rPr>
        <w:t xml:space="preserve"> Blíže viz https://www.czso.cz/csu/czso/umrtnostni-tabulky-metodika.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58C"/>
    <w:multiLevelType w:val="hybridMultilevel"/>
    <w:tmpl w:val="EB7CAF24"/>
    <w:lvl w:ilvl="0" w:tplc="E2A2F63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F4C57E6"/>
    <w:multiLevelType w:val="hybridMultilevel"/>
    <w:tmpl w:val="A2BEEBDE"/>
    <w:lvl w:ilvl="0" w:tplc="38E6427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135439"/>
    <w:multiLevelType w:val="hybridMultilevel"/>
    <w:tmpl w:val="88E63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BC54C6"/>
    <w:multiLevelType w:val="hybridMultilevel"/>
    <w:tmpl w:val="DA6CF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0F6474"/>
    <w:multiLevelType w:val="hybridMultilevel"/>
    <w:tmpl w:val="49C46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74031DF"/>
    <w:multiLevelType w:val="hybridMultilevel"/>
    <w:tmpl w:val="D0EC85EC"/>
    <w:lvl w:ilvl="0" w:tplc="17020344">
      <w:start w:val="1"/>
      <w:numFmt w:val="lowerLetter"/>
      <w:lvlText w:val="%1."/>
      <w:lvlJc w:val="left"/>
      <w:pPr>
        <w:tabs>
          <w:tab w:val="num" w:pos="720"/>
        </w:tabs>
        <w:ind w:left="720" w:hanging="360"/>
      </w:pPr>
    </w:lvl>
    <w:lvl w:ilvl="1" w:tplc="9EB0714C" w:tentative="1">
      <w:start w:val="1"/>
      <w:numFmt w:val="lowerLetter"/>
      <w:lvlText w:val="%2."/>
      <w:lvlJc w:val="left"/>
      <w:pPr>
        <w:tabs>
          <w:tab w:val="num" w:pos="1440"/>
        </w:tabs>
        <w:ind w:left="1440" w:hanging="360"/>
      </w:pPr>
    </w:lvl>
    <w:lvl w:ilvl="2" w:tplc="F43EB09C" w:tentative="1">
      <w:start w:val="1"/>
      <w:numFmt w:val="lowerLetter"/>
      <w:lvlText w:val="%3."/>
      <w:lvlJc w:val="left"/>
      <w:pPr>
        <w:tabs>
          <w:tab w:val="num" w:pos="2160"/>
        </w:tabs>
        <w:ind w:left="2160" w:hanging="360"/>
      </w:pPr>
    </w:lvl>
    <w:lvl w:ilvl="3" w:tplc="D8302466" w:tentative="1">
      <w:start w:val="1"/>
      <w:numFmt w:val="lowerLetter"/>
      <w:lvlText w:val="%4."/>
      <w:lvlJc w:val="left"/>
      <w:pPr>
        <w:tabs>
          <w:tab w:val="num" w:pos="2880"/>
        </w:tabs>
        <w:ind w:left="2880" w:hanging="360"/>
      </w:pPr>
    </w:lvl>
    <w:lvl w:ilvl="4" w:tplc="B6F20BE6" w:tentative="1">
      <w:start w:val="1"/>
      <w:numFmt w:val="lowerLetter"/>
      <w:lvlText w:val="%5."/>
      <w:lvlJc w:val="left"/>
      <w:pPr>
        <w:tabs>
          <w:tab w:val="num" w:pos="3600"/>
        </w:tabs>
        <w:ind w:left="3600" w:hanging="360"/>
      </w:pPr>
    </w:lvl>
    <w:lvl w:ilvl="5" w:tplc="E3FE47CE" w:tentative="1">
      <w:start w:val="1"/>
      <w:numFmt w:val="lowerLetter"/>
      <w:lvlText w:val="%6."/>
      <w:lvlJc w:val="left"/>
      <w:pPr>
        <w:tabs>
          <w:tab w:val="num" w:pos="4320"/>
        </w:tabs>
        <w:ind w:left="4320" w:hanging="360"/>
      </w:pPr>
    </w:lvl>
    <w:lvl w:ilvl="6" w:tplc="08226A0C" w:tentative="1">
      <w:start w:val="1"/>
      <w:numFmt w:val="lowerLetter"/>
      <w:lvlText w:val="%7."/>
      <w:lvlJc w:val="left"/>
      <w:pPr>
        <w:tabs>
          <w:tab w:val="num" w:pos="5040"/>
        </w:tabs>
        <w:ind w:left="5040" w:hanging="360"/>
      </w:pPr>
    </w:lvl>
    <w:lvl w:ilvl="7" w:tplc="E0FE2780" w:tentative="1">
      <w:start w:val="1"/>
      <w:numFmt w:val="lowerLetter"/>
      <w:lvlText w:val="%8."/>
      <w:lvlJc w:val="left"/>
      <w:pPr>
        <w:tabs>
          <w:tab w:val="num" w:pos="5760"/>
        </w:tabs>
        <w:ind w:left="5760" w:hanging="360"/>
      </w:pPr>
    </w:lvl>
    <w:lvl w:ilvl="8" w:tplc="CAA24B10" w:tentative="1">
      <w:start w:val="1"/>
      <w:numFmt w:val="lowerLetter"/>
      <w:lvlText w:val="%9."/>
      <w:lvlJc w:val="left"/>
      <w:pPr>
        <w:tabs>
          <w:tab w:val="num" w:pos="6480"/>
        </w:tabs>
        <w:ind w:left="6480" w:hanging="360"/>
      </w:pPr>
    </w:lvl>
  </w:abstractNum>
  <w:abstractNum w:abstractNumId="6" w15:restartNumberingAfterBreak="0">
    <w:nsid w:val="77FD7D34"/>
    <w:multiLevelType w:val="hybridMultilevel"/>
    <w:tmpl w:val="2BDC07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75"/>
    <w:rsid w:val="0000233A"/>
    <w:rsid w:val="000141E4"/>
    <w:rsid w:val="00023455"/>
    <w:rsid w:val="00045DE7"/>
    <w:rsid w:val="00046676"/>
    <w:rsid w:val="00056D9B"/>
    <w:rsid w:val="00063818"/>
    <w:rsid w:val="00070148"/>
    <w:rsid w:val="00072339"/>
    <w:rsid w:val="000746FC"/>
    <w:rsid w:val="00087006"/>
    <w:rsid w:val="00090F23"/>
    <w:rsid w:val="000A5542"/>
    <w:rsid w:val="000A6604"/>
    <w:rsid w:val="000C5743"/>
    <w:rsid w:val="000F4355"/>
    <w:rsid w:val="001009FD"/>
    <w:rsid w:val="00102254"/>
    <w:rsid w:val="00104A48"/>
    <w:rsid w:val="001057EE"/>
    <w:rsid w:val="001132DD"/>
    <w:rsid w:val="001279AF"/>
    <w:rsid w:val="00132D28"/>
    <w:rsid w:val="0014058E"/>
    <w:rsid w:val="00140FEA"/>
    <w:rsid w:val="00152720"/>
    <w:rsid w:val="00155509"/>
    <w:rsid w:val="0015745B"/>
    <w:rsid w:val="00163D39"/>
    <w:rsid w:val="00175CB4"/>
    <w:rsid w:val="00185C4C"/>
    <w:rsid w:val="0019371A"/>
    <w:rsid w:val="001A7206"/>
    <w:rsid w:val="001C09C5"/>
    <w:rsid w:val="001C5912"/>
    <w:rsid w:val="001C6FB8"/>
    <w:rsid w:val="001D09C2"/>
    <w:rsid w:val="001D15E1"/>
    <w:rsid w:val="001D211C"/>
    <w:rsid w:val="001E4454"/>
    <w:rsid w:val="001E732F"/>
    <w:rsid w:val="002015EF"/>
    <w:rsid w:val="00206735"/>
    <w:rsid w:val="00222565"/>
    <w:rsid w:val="00222B6A"/>
    <w:rsid w:val="0023097E"/>
    <w:rsid w:val="002323CF"/>
    <w:rsid w:val="002337FE"/>
    <w:rsid w:val="00234749"/>
    <w:rsid w:val="00236FEC"/>
    <w:rsid w:val="00241985"/>
    <w:rsid w:val="00241F29"/>
    <w:rsid w:val="00243B6E"/>
    <w:rsid w:val="002455A1"/>
    <w:rsid w:val="00247E09"/>
    <w:rsid w:val="00252098"/>
    <w:rsid w:val="002526D1"/>
    <w:rsid w:val="00254D2D"/>
    <w:rsid w:val="0027645A"/>
    <w:rsid w:val="002852B7"/>
    <w:rsid w:val="00296AB1"/>
    <w:rsid w:val="002A15AC"/>
    <w:rsid w:val="002A18C0"/>
    <w:rsid w:val="002B5595"/>
    <w:rsid w:val="002C1B9C"/>
    <w:rsid w:val="002F6C73"/>
    <w:rsid w:val="002F78AE"/>
    <w:rsid w:val="003013C4"/>
    <w:rsid w:val="003113C4"/>
    <w:rsid w:val="0031346C"/>
    <w:rsid w:val="0031563F"/>
    <w:rsid w:val="00317321"/>
    <w:rsid w:val="00324DF2"/>
    <w:rsid w:val="00330E79"/>
    <w:rsid w:val="00336315"/>
    <w:rsid w:val="00341540"/>
    <w:rsid w:val="00342C82"/>
    <w:rsid w:val="00350953"/>
    <w:rsid w:val="003537F4"/>
    <w:rsid w:val="00362011"/>
    <w:rsid w:val="003632CB"/>
    <w:rsid w:val="003813B3"/>
    <w:rsid w:val="00390FBB"/>
    <w:rsid w:val="003931A3"/>
    <w:rsid w:val="003955AD"/>
    <w:rsid w:val="00395752"/>
    <w:rsid w:val="003C4B05"/>
    <w:rsid w:val="003D7850"/>
    <w:rsid w:val="003E12C3"/>
    <w:rsid w:val="003E19A7"/>
    <w:rsid w:val="003F43DC"/>
    <w:rsid w:val="003F6FC3"/>
    <w:rsid w:val="00400107"/>
    <w:rsid w:val="004054E1"/>
    <w:rsid w:val="0040697E"/>
    <w:rsid w:val="00412F87"/>
    <w:rsid w:val="00414A32"/>
    <w:rsid w:val="00415088"/>
    <w:rsid w:val="00422C96"/>
    <w:rsid w:val="00432F86"/>
    <w:rsid w:val="00435C8C"/>
    <w:rsid w:val="00451B79"/>
    <w:rsid w:val="0047105C"/>
    <w:rsid w:val="00475B9D"/>
    <w:rsid w:val="004800AB"/>
    <w:rsid w:val="004831C9"/>
    <w:rsid w:val="00485381"/>
    <w:rsid w:val="00485D4D"/>
    <w:rsid w:val="00486D33"/>
    <w:rsid w:val="00487F50"/>
    <w:rsid w:val="00495566"/>
    <w:rsid w:val="0049754C"/>
    <w:rsid w:val="004B1137"/>
    <w:rsid w:val="004B647B"/>
    <w:rsid w:val="004C4CD4"/>
    <w:rsid w:val="004C4E07"/>
    <w:rsid w:val="004C657F"/>
    <w:rsid w:val="004D7D54"/>
    <w:rsid w:val="004E0B9D"/>
    <w:rsid w:val="004F31E3"/>
    <w:rsid w:val="005107C8"/>
    <w:rsid w:val="005148D3"/>
    <w:rsid w:val="00516C18"/>
    <w:rsid w:val="00524AFD"/>
    <w:rsid w:val="0052521E"/>
    <w:rsid w:val="00540178"/>
    <w:rsid w:val="00544127"/>
    <w:rsid w:val="00546A4C"/>
    <w:rsid w:val="0055314D"/>
    <w:rsid w:val="00557F83"/>
    <w:rsid w:val="00560082"/>
    <w:rsid w:val="005655DF"/>
    <w:rsid w:val="00570DE0"/>
    <w:rsid w:val="00572038"/>
    <w:rsid w:val="00582119"/>
    <w:rsid w:val="00583213"/>
    <w:rsid w:val="00592579"/>
    <w:rsid w:val="005A4B57"/>
    <w:rsid w:val="005A7BDC"/>
    <w:rsid w:val="005C3AE0"/>
    <w:rsid w:val="005C4C45"/>
    <w:rsid w:val="005D6AC1"/>
    <w:rsid w:val="005D7A7E"/>
    <w:rsid w:val="005E2B7A"/>
    <w:rsid w:val="005E55BD"/>
    <w:rsid w:val="005F1D20"/>
    <w:rsid w:val="005F5DCB"/>
    <w:rsid w:val="005F63F9"/>
    <w:rsid w:val="00610D40"/>
    <w:rsid w:val="006114BE"/>
    <w:rsid w:val="00612A9B"/>
    <w:rsid w:val="00613858"/>
    <w:rsid w:val="00614610"/>
    <w:rsid w:val="006156C2"/>
    <w:rsid w:val="00617E4C"/>
    <w:rsid w:val="006228E9"/>
    <w:rsid w:val="00625035"/>
    <w:rsid w:val="00627157"/>
    <w:rsid w:val="006325F7"/>
    <w:rsid w:val="00636C6F"/>
    <w:rsid w:val="0064207F"/>
    <w:rsid w:val="00642F14"/>
    <w:rsid w:val="00650F5C"/>
    <w:rsid w:val="0065294A"/>
    <w:rsid w:val="006738B6"/>
    <w:rsid w:val="00695694"/>
    <w:rsid w:val="006A0DDE"/>
    <w:rsid w:val="006C396D"/>
    <w:rsid w:val="006C5C91"/>
    <w:rsid w:val="006D2E83"/>
    <w:rsid w:val="006D4F22"/>
    <w:rsid w:val="006D7769"/>
    <w:rsid w:val="006E1273"/>
    <w:rsid w:val="006E17EA"/>
    <w:rsid w:val="00702EB7"/>
    <w:rsid w:val="007039FA"/>
    <w:rsid w:val="00703A9E"/>
    <w:rsid w:val="007360D0"/>
    <w:rsid w:val="00750E81"/>
    <w:rsid w:val="007510D3"/>
    <w:rsid w:val="00757592"/>
    <w:rsid w:val="007749CC"/>
    <w:rsid w:val="00787312"/>
    <w:rsid w:val="00791FF2"/>
    <w:rsid w:val="00792326"/>
    <w:rsid w:val="007A7622"/>
    <w:rsid w:val="007B01B4"/>
    <w:rsid w:val="007B1794"/>
    <w:rsid w:val="007C30BF"/>
    <w:rsid w:val="007C47A0"/>
    <w:rsid w:val="007C7E92"/>
    <w:rsid w:val="007D374C"/>
    <w:rsid w:val="007E5666"/>
    <w:rsid w:val="007F08BC"/>
    <w:rsid w:val="007F4914"/>
    <w:rsid w:val="008049F0"/>
    <w:rsid w:val="0080633A"/>
    <w:rsid w:val="00806FC3"/>
    <w:rsid w:val="00810BC8"/>
    <w:rsid w:val="00825461"/>
    <w:rsid w:val="0084530A"/>
    <w:rsid w:val="00845C4D"/>
    <w:rsid w:val="008472FC"/>
    <w:rsid w:val="008540EF"/>
    <w:rsid w:val="00860F8C"/>
    <w:rsid w:val="008632DE"/>
    <w:rsid w:val="0087004F"/>
    <w:rsid w:val="00870DC7"/>
    <w:rsid w:val="00880991"/>
    <w:rsid w:val="00880C34"/>
    <w:rsid w:val="008846E8"/>
    <w:rsid w:val="00884A9D"/>
    <w:rsid w:val="00884B15"/>
    <w:rsid w:val="00893E98"/>
    <w:rsid w:val="008A289F"/>
    <w:rsid w:val="008A35DB"/>
    <w:rsid w:val="008A5032"/>
    <w:rsid w:val="008C5F18"/>
    <w:rsid w:val="008D2195"/>
    <w:rsid w:val="008D54E4"/>
    <w:rsid w:val="008E5339"/>
    <w:rsid w:val="008F3BE5"/>
    <w:rsid w:val="008F578F"/>
    <w:rsid w:val="0090194E"/>
    <w:rsid w:val="00905DBC"/>
    <w:rsid w:val="0092521A"/>
    <w:rsid w:val="00927B0A"/>
    <w:rsid w:val="009341C2"/>
    <w:rsid w:val="00934B3C"/>
    <w:rsid w:val="00943B8C"/>
    <w:rsid w:val="0094460D"/>
    <w:rsid w:val="009532E5"/>
    <w:rsid w:val="00953D15"/>
    <w:rsid w:val="0096260F"/>
    <w:rsid w:val="0096421F"/>
    <w:rsid w:val="00966497"/>
    <w:rsid w:val="00971335"/>
    <w:rsid w:val="00974F4D"/>
    <w:rsid w:val="00976FC4"/>
    <w:rsid w:val="00983EA5"/>
    <w:rsid w:val="009A48C4"/>
    <w:rsid w:val="009A5D2D"/>
    <w:rsid w:val="009C22C2"/>
    <w:rsid w:val="009C2D9D"/>
    <w:rsid w:val="009D1C08"/>
    <w:rsid w:val="009D25A7"/>
    <w:rsid w:val="009D29FF"/>
    <w:rsid w:val="009D2ACA"/>
    <w:rsid w:val="009D470E"/>
    <w:rsid w:val="009E6556"/>
    <w:rsid w:val="009F0157"/>
    <w:rsid w:val="009F143B"/>
    <w:rsid w:val="00A0630E"/>
    <w:rsid w:val="00A23E64"/>
    <w:rsid w:val="00A30079"/>
    <w:rsid w:val="00A406D4"/>
    <w:rsid w:val="00A41A93"/>
    <w:rsid w:val="00A561C2"/>
    <w:rsid w:val="00A82B67"/>
    <w:rsid w:val="00A934C8"/>
    <w:rsid w:val="00AB3C75"/>
    <w:rsid w:val="00AB6B7F"/>
    <w:rsid w:val="00AF2140"/>
    <w:rsid w:val="00B0093E"/>
    <w:rsid w:val="00B01D2E"/>
    <w:rsid w:val="00B23664"/>
    <w:rsid w:val="00B250DC"/>
    <w:rsid w:val="00B33C18"/>
    <w:rsid w:val="00B355C2"/>
    <w:rsid w:val="00B358AF"/>
    <w:rsid w:val="00B42DAD"/>
    <w:rsid w:val="00B45607"/>
    <w:rsid w:val="00B50A77"/>
    <w:rsid w:val="00B56010"/>
    <w:rsid w:val="00B839CC"/>
    <w:rsid w:val="00B84473"/>
    <w:rsid w:val="00BA4873"/>
    <w:rsid w:val="00BA5DC2"/>
    <w:rsid w:val="00BA6589"/>
    <w:rsid w:val="00BB7924"/>
    <w:rsid w:val="00BC21F1"/>
    <w:rsid w:val="00BD6B63"/>
    <w:rsid w:val="00BD6D22"/>
    <w:rsid w:val="00BF5782"/>
    <w:rsid w:val="00C045FE"/>
    <w:rsid w:val="00C04DFA"/>
    <w:rsid w:val="00C0518B"/>
    <w:rsid w:val="00C0701D"/>
    <w:rsid w:val="00C12C67"/>
    <w:rsid w:val="00C13A88"/>
    <w:rsid w:val="00C16A64"/>
    <w:rsid w:val="00C2200D"/>
    <w:rsid w:val="00C42B69"/>
    <w:rsid w:val="00C47785"/>
    <w:rsid w:val="00C51EC4"/>
    <w:rsid w:val="00C5645C"/>
    <w:rsid w:val="00C73AEE"/>
    <w:rsid w:val="00C92999"/>
    <w:rsid w:val="00C947BB"/>
    <w:rsid w:val="00C952B0"/>
    <w:rsid w:val="00CB037A"/>
    <w:rsid w:val="00CB4700"/>
    <w:rsid w:val="00CB5162"/>
    <w:rsid w:val="00CC241D"/>
    <w:rsid w:val="00CC740A"/>
    <w:rsid w:val="00CC7B4E"/>
    <w:rsid w:val="00CE0007"/>
    <w:rsid w:val="00CE0FC8"/>
    <w:rsid w:val="00CE65BD"/>
    <w:rsid w:val="00CF5FB2"/>
    <w:rsid w:val="00CF7E5F"/>
    <w:rsid w:val="00D04E4E"/>
    <w:rsid w:val="00D06BE1"/>
    <w:rsid w:val="00D238A4"/>
    <w:rsid w:val="00D327E0"/>
    <w:rsid w:val="00D354FF"/>
    <w:rsid w:val="00D44A38"/>
    <w:rsid w:val="00D45AA5"/>
    <w:rsid w:val="00D45CDF"/>
    <w:rsid w:val="00D62190"/>
    <w:rsid w:val="00D733DB"/>
    <w:rsid w:val="00D7655D"/>
    <w:rsid w:val="00D918FD"/>
    <w:rsid w:val="00DA1267"/>
    <w:rsid w:val="00DA12D2"/>
    <w:rsid w:val="00DA7E0D"/>
    <w:rsid w:val="00DB2ED1"/>
    <w:rsid w:val="00DB6992"/>
    <w:rsid w:val="00DC1909"/>
    <w:rsid w:val="00DC4C5C"/>
    <w:rsid w:val="00DE057E"/>
    <w:rsid w:val="00DE05E2"/>
    <w:rsid w:val="00DF1435"/>
    <w:rsid w:val="00DF278C"/>
    <w:rsid w:val="00DF2799"/>
    <w:rsid w:val="00E02A26"/>
    <w:rsid w:val="00E0740C"/>
    <w:rsid w:val="00E109C6"/>
    <w:rsid w:val="00E1599C"/>
    <w:rsid w:val="00E20BEA"/>
    <w:rsid w:val="00E27CBB"/>
    <w:rsid w:val="00E304D3"/>
    <w:rsid w:val="00E559FE"/>
    <w:rsid w:val="00E60C04"/>
    <w:rsid w:val="00E6373C"/>
    <w:rsid w:val="00E72BB2"/>
    <w:rsid w:val="00E74286"/>
    <w:rsid w:val="00E7768A"/>
    <w:rsid w:val="00E84315"/>
    <w:rsid w:val="00E85428"/>
    <w:rsid w:val="00E92E0A"/>
    <w:rsid w:val="00E93362"/>
    <w:rsid w:val="00E96B27"/>
    <w:rsid w:val="00EA068E"/>
    <w:rsid w:val="00EA560C"/>
    <w:rsid w:val="00EB084D"/>
    <w:rsid w:val="00EB5896"/>
    <w:rsid w:val="00EC46A0"/>
    <w:rsid w:val="00ED2054"/>
    <w:rsid w:val="00EE7D66"/>
    <w:rsid w:val="00F02235"/>
    <w:rsid w:val="00F066A2"/>
    <w:rsid w:val="00F21228"/>
    <w:rsid w:val="00F27E4D"/>
    <w:rsid w:val="00F37084"/>
    <w:rsid w:val="00F55741"/>
    <w:rsid w:val="00F71083"/>
    <w:rsid w:val="00F75BFF"/>
    <w:rsid w:val="00F84E68"/>
    <w:rsid w:val="00F87C60"/>
    <w:rsid w:val="00F94E75"/>
    <w:rsid w:val="00F97C24"/>
    <w:rsid w:val="00FA6D0B"/>
    <w:rsid w:val="00FB11D9"/>
    <w:rsid w:val="00FB2382"/>
    <w:rsid w:val="00FC3786"/>
    <w:rsid w:val="00FC4355"/>
    <w:rsid w:val="00FC49B4"/>
    <w:rsid w:val="00FE10E6"/>
    <w:rsid w:val="00FF3DA7"/>
    <w:rsid w:val="00FF7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2C2AF"/>
  <w15:docId w15:val="{3E80D10F-9BE3-4953-A954-9F396FB3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148"/>
    <w:rPr>
      <w:rFonts w:ascii="Arial" w:hAnsi="Arial"/>
      <w:bCs/>
      <w:sz w:val="16"/>
      <w:szCs w:val="24"/>
    </w:rPr>
  </w:style>
  <w:style w:type="paragraph" w:styleId="Nadpis1">
    <w:name w:val="heading 1"/>
    <w:basedOn w:val="Normln"/>
    <w:next w:val="Normln"/>
    <w:qFormat/>
    <w:rsid w:val="00070148"/>
    <w:pPr>
      <w:keepNext/>
      <w:outlineLvl w:val="0"/>
    </w:pPr>
    <w:rPr>
      <w:rFonts w:cs="Arial"/>
      <w:b/>
      <w:sz w:val="28"/>
    </w:rPr>
  </w:style>
  <w:style w:type="paragraph" w:styleId="Nadpis2">
    <w:name w:val="heading 2"/>
    <w:basedOn w:val="Normln"/>
    <w:next w:val="Normln"/>
    <w:qFormat/>
    <w:rsid w:val="00070148"/>
    <w:pPr>
      <w:keepNext/>
      <w:outlineLvl w:val="1"/>
    </w:pPr>
    <w:rPr>
      <w:rFonts w:cs="Arial"/>
      <w:b/>
      <w:sz w:val="20"/>
    </w:rPr>
  </w:style>
  <w:style w:type="paragraph" w:styleId="Nadpis3">
    <w:name w:val="heading 3"/>
    <w:basedOn w:val="Normln"/>
    <w:next w:val="Normln"/>
    <w:qFormat/>
    <w:rsid w:val="00070148"/>
    <w:pPr>
      <w:keepNext/>
      <w:pageBreakBefore/>
      <w:jc w:val="both"/>
      <w:outlineLvl w:val="2"/>
    </w:pPr>
    <w:rPr>
      <w:b/>
      <w:bCs w:val="0"/>
      <w:sz w:val="20"/>
      <w:szCs w:val="22"/>
    </w:rPr>
  </w:style>
  <w:style w:type="paragraph" w:styleId="Nadpis4">
    <w:name w:val="heading 4"/>
    <w:basedOn w:val="Normln"/>
    <w:next w:val="Normln"/>
    <w:qFormat/>
    <w:rsid w:val="00070148"/>
    <w:pPr>
      <w:keepNext/>
      <w:jc w:val="both"/>
      <w:outlineLvl w:val="3"/>
    </w:pPr>
    <w:rPr>
      <w:b/>
      <w:bCs w:val="0"/>
      <w:sz w:val="22"/>
      <w:szCs w:val="22"/>
    </w:rPr>
  </w:style>
  <w:style w:type="paragraph" w:styleId="Nadpis5">
    <w:name w:val="heading 5"/>
    <w:basedOn w:val="Normln"/>
    <w:next w:val="Normln"/>
    <w:qFormat/>
    <w:rsid w:val="00070148"/>
    <w:pPr>
      <w:keepNext/>
      <w:ind w:firstLine="708"/>
      <w:jc w:val="both"/>
      <w:outlineLvl w:val="4"/>
    </w:pPr>
    <w:rPr>
      <w:b/>
      <w:bCs w:val="0"/>
      <w:sz w:val="20"/>
      <w:szCs w:val="22"/>
      <w:lang w:val="en-US"/>
    </w:rPr>
  </w:style>
  <w:style w:type="paragraph" w:styleId="Nadpis6">
    <w:name w:val="heading 6"/>
    <w:basedOn w:val="Normln"/>
    <w:next w:val="Normln"/>
    <w:qFormat/>
    <w:rsid w:val="00070148"/>
    <w:pPr>
      <w:keepNext/>
      <w:jc w:val="both"/>
      <w:outlineLvl w:val="5"/>
    </w:pPr>
    <w:rPr>
      <w:color w:val="FF0000"/>
      <w:sz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070148"/>
    <w:rPr>
      <w:sz w:val="22"/>
      <w:szCs w:val="22"/>
      <w:lang w:val="en-US"/>
    </w:rPr>
  </w:style>
  <w:style w:type="paragraph" w:styleId="Zkladntext2">
    <w:name w:val="Body Text 2"/>
    <w:basedOn w:val="Normln"/>
    <w:semiHidden/>
    <w:rsid w:val="00070148"/>
    <w:pPr>
      <w:jc w:val="both"/>
    </w:pPr>
    <w:rPr>
      <w:sz w:val="22"/>
    </w:rPr>
  </w:style>
  <w:style w:type="paragraph" w:styleId="Normlnweb">
    <w:name w:val="Normal (Web)"/>
    <w:basedOn w:val="Normln"/>
    <w:semiHidden/>
    <w:rsid w:val="00070148"/>
    <w:pPr>
      <w:spacing w:before="100" w:beforeAutospacing="1" w:after="100" w:afterAutospacing="1"/>
    </w:pPr>
    <w:rPr>
      <w:rFonts w:ascii="Times New Roman" w:hAnsi="Times New Roman"/>
      <w:bCs w:val="0"/>
      <w:sz w:val="24"/>
    </w:rPr>
  </w:style>
  <w:style w:type="paragraph" w:styleId="Zkladntextodsazen">
    <w:name w:val="Body Text Indent"/>
    <w:basedOn w:val="Normln"/>
    <w:semiHidden/>
    <w:rsid w:val="00070148"/>
    <w:pPr>
      <w:ind w:firstLine="708"/>
      <w:jc w:val="both"/>
    </w:pPr>
    <w:rPr>
      <w:sz w:val="22"/>
    </w:rPr>
  </w:style>
  <w:style w:type="paragraph" w:styleId="Zkladntext3">
    <w:name w:val="Body Text 3"/>
    <w:basedOn w:val="Normln"/>
    <w:semiHidden/>
    <w:rsid w:val="00070148"/>
    <w:pPr>
      <w:jc w:val="both"/>
    </w:pPr>
    <w:rPr>
      <w:sz w:val="20"/>
      <w:szCs w:val="22"/>
    </w:rPr>
  </w:style>
  <w:style w:type="paragraph" w:styleId="Zkladntextodsazen2">
    <w:name w:val="Body Text Indent 2"/>
    <w:basedOn w:val="Normln"/>
    <w:semiHidden/>
    <w:rsid w:val="00070148"/>
    <w:pPr>
      <w:ind w:firstLine="540"/>
      <w:jc w:val="both"/>
    </w:pPr>
    <w:rPr>
      <w:bCs w:val="0"/>
      <w:sz w:val="24"/>
    </w:rPr>
  </w:style>
  <w:style w:type="paragraph" w:styleId="Zkladntextodsazen3">
    <w:name w:val="Body Text Indent 3"/>
    <w:basedOn w:val="Normln"/>
    <w:semiHidden/>
    <w:rsid w:val="00070148"/>
    <w:pPr>
      <w:ind w:firstLine="708"/>
      <w:jc w:val="both"/>
    </w:pPr>
    <w:rPr>
      <w:color w:val="3366FF"/>
      <w:sz w:val="20"/>
    </w:rPr>
  </w:style>
  <w:style w:type="character" w:styleId="Odkaznakoment">
    <w:name w:val="annotation reference"/>
    <w:uiPriority w:val="99"/>
    <w:semiHidden/>
    <w:rsid w:val="00070148"/>
    <w:rPr>
      <w:sz w:val="16"/>
      <w:szCs w:val="16"/>
    </w:rPr>
  </w:style>
  <w:style w:type="paragraph" w:styleId="Textkomente">
    <w:name w:val="annotation text"/>
    <w:basedOn w:val="Normln"/>
    <w:link w:val="TextkomenteChar"/>
    <w:uiPriority w:val="99"/>
    <w:semiHidden/>
    <w:rsid w:val="00070148"/>
    <w:rPr>
      <w:sz w:val="20"/>
      <w:szCs w:val="20"/>
    </w:rPr>
  </w:style>
  <w:style w:type="paragraph" w:styleId="Textbubliny">
    <w:name w:val="Balloon Text"/>
    <w:basedOn w:val="Normln"/>
    <w:semiHidden/>
    <w:unhideWhenUsed/>
    <w:rsid w:val="00070148"/>
    <w:rPr>
      <w:rFonts w:ascii="Tahoma" w:hAnsi="Tahoma" w:cs="Tahoma"/>
      <w:szCs w:val="16"/>
    </w:rPr>
  </w:style>
  <w:style w:type="character" w:customStyle="1" w:styleId="TextbublinyChar">
    <w:name w:val="Text bubliny Char"/>
    <w:semiHidden/>
    <w:rsid w:val="00070148"/>
    <w:rPr>
      <w:rFonts w:ascii="Tahoma" w:hAnsi="Tahoma" w:cs="Tahoma"/>
      <w:bCs/>
      <w:sz w:val="16"/>
      <w:szCs w:val="16"/>
    </w:rPr>
  </w:style>
  <w:style w:type="character" w:styleId="Zdraznn">
    <w:name w:val="Emphasis"/>
    <w:qFormat/>
    <w:rsid w:val="00070148"/>
    <w:rPr>
      <w:i/>
      <w:iCs/>
    </w:rPr>
  </w:style>
  <w:style w:type="character" w:styleId="Siln">
    <w:name w:val="Strong"/>
    <w:qFormat/>
    <w:rsid w:val="00070148"/>
    <w:rPr>
      <w:b/>
      <w:bCs/>
    </w:rPr>
  </w:style>
  <w:style w:type="paragraph" w:styleId="Pedmtkomente">
    <w:name w:val="annotation subject"/>
    <w:basedOn w:val="Textkomente"/>
    <w:next w:val="Textkomente"/>
    <w:link w:val="PedmtkomenteChar"/>
    <w:uiPriority w:val="99"/>
    <w:semiHidden/>
    <w:unhideWhenUsed/>
    <w:rsid w:val="008D2195"/>
    <w:rPr>
      <w:b/>
    </w:rPr>
  </w:style>
  <w:style w:type="character" w:customStyle="1" w:styleId="TextkomenteChar">
    <w:name w:val="Text komentáře Char"/>
    <w:link w:val="Textkomente"/>
    <w:uiPriority w:val="99"/>
    <w:semiHidden/>
    <w:rsid w:val="008D2195"/>
    <w:rPr>
      <w:rFonts w:ascii="Arial" w:hAnsi="Arial"/>
      <w:bCs/>
    </w:rPr>
  </w:style>
  <w:style w:type="character" w:customStyle="1" w:styleId="PedmtkomenteChar">
    <w:name w:val="Předmět komentáře Char"/>
    <w:link w:val="Pedmtkomente"/>
    <w:rsid w:val="008D2195"/>
    <w:rPr>
      <w:rFonts w:ascii="Arial" w:hAnsi="Arial"/>
      <w:bCs/>
    </w:rPr>
  </w:style>
  <w:style w:type="character" w:styleId="Hypertextovodkaz">
    <w:name w:val="Hyperlink"/>
    <w:unhideWhenUsed/>
    <w:rsid w:val="00495566"/>
    <w:rPr>
      <w:color w:val="0000FF"/>
      <w:u w:val="single"/>
    </w:rPr>
  </w:style>
  <w:style w:type="character" w:styleId="Zstupntext">
    <w:name w:val="Placeholder Text"/>
    <w:basedOn w:val="Standardnpsmoodstavce"/>
    <w:uiPriority w:val="99"/>
    <w:semiHidden/>
    <w:rsid w:val="00CB5162"/>
    <w:rPr>
      <w:color w:val="808080"/>
    </w:rPr>
  </w:style>
  <w:style w:type="paragraph" w:styleId="Zhlav">
    <w:name w:val="header"/>
    <w:basedOn w:val="Normln"/>
    <w:link w:val="ZhlavChar"/>
    <w:uiPriority w:val="99"/>
    <w:unhideWhenUsed/>
    <w:rsid w:val="00152720"/>
    <w:pPr>
      <w:tabs>
        <w:tab w:val="center" w:pos="4536"/>
        <w:tab w:val="right" w:pos="9072"/>
      </w:tabs>
    </w:pPr>
  </w:style>
  <w:style w:type="character" w:customStyle="1" w:styleId="ZhlavChar">
    <w:name w:val="Záhlaví Char"/>
    <w:basedOn w:val="Standardnpsmoodstavce"/>
    <w:link w:val="Zhlav"/>
    <w:uiPriority w:val="99"/>
    <w:rsid w:val="00152720"/>
    <w:rPr>
      <w:rFonts w:ascii="Arial" w:hAnsi="Arial"/>
      <w:bCs/>
      <w:sz w:val="16"/>
      <w:szCs w:val="24"/>
    </w:rPr>
  </w:style>
  <w:style w:type="paragraph" w:styleId="Zpat">
    <w:name w:val="footer"/>
    <w:basedOn w:val="Normln"/>
    <w:link w:val="ZpatChar"/>
    <w:uiPriority w:val="99"/>
    <w:unhideWhenUsed/>
    <w:rsid w:val="00152720"/>
    <w:pPr>
      <w:tabs>
        <w:tab w:val="center" w:pos="4536"/>
        <w:tab w:val="right" w:pos="9072"/>
      </w:tabs>
    </w:pPr>
  </w:style>
  <w:style w:type="character" w:customStyle="1" w:styleId="ZpatChar">
    <w:name w:val="Zápatí Char"/>
    <w:basedOn w:val="Standardnpsmoodstavce"/>
    <w:link w:val="Zpat"/>
    <w:uiPriority w:val="99"/>
    <w:rsid w:val="00152720"/>
    <w:rPr>
      <w:rFonts w:ascii="Arial" w:hAnsi="Arial"/>
      <w:bCs/>
      <w:sz w:val="16"/>
      <w:szCs w:val="24"/>
    </w:rPr>
  </w:style>
  <w:style w:type="paragraph" w:styleId="Revize">
    <w:name w:val="Revision"/>
    <w:hidden/>
    <w:uiPriority w:val="99"/>
    <w:semiHidden/>
    <w:rsid w:val="00A23E64"/>
    <w:rPr>
      <w:rFonts w:ascii="Arial" w:hAnsi="Arial"/>
      <w:bCs/>
      <w:sz w:val="16"/>
      <w:szCs w:val="24"/>
    </w:rPr>
  </w:style>
  <w:style w:type="paragraph" w:styleId="Textpoznpodarou">
    <w:name w:val="footnote text"/>
    <w:basedOn w:val="Normln"/>
    <w:link w:val="TextpoznpodarouChar"/>
    <w:semiHidden/>
    <w:rsid w:val="00617E4C"/>
    <w:pPr>
      <w:jc w:val="both"/>
    </w:pPr>
    <w:rPr>
      <w:bCs w:val="0"/>
      <w:sz w:val="20"/>
      <w:szCs w:val="20"/>
    </w:rPr>
  </w:style>
  <w:style w:type="character" w:customStyle="1" w:styleId="TextpoznpodarouChar">
    <w:name w:val="Text pozn. pod čarou Char"/>
    <w:basedOn w:val="Standardnpsmoodstavce"/>
    <w:link w:val="Textpoznpodarou"/>
    <w:semiHidden/>
    <w:rsid w:val="00617E4C"/>
    <w:rPr>
      <w:rFonts w:ascii="Arial" w:hAnsi="Arial"/>
    </w:rPr>
  </w:style>
  <w:style w:type="character" w:styleId="Znakapoznpodarou">
    <w:name w:val="footnote reference"/>
    <w:semiHidden/>
    <w:rsid w:val="00617E4C"/>
    <w:rPr>
      <w:vertAlign w:val="superscript"/>
    </w:rPr>
  </w:style>
  <w:style w:type="paragraph" w:styleId="Odstavecseseznamem">
    <w:name w:val="List Paragraph"/>
    <w:basedOn w:val="Normln"/>
    <w:uiPriority w:val="34"/>
    <w:qFormat/>
    <w:rsid w:val="0062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E036-29CD-4187-8589-2CDC2F57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3546</Words>
  <Characters>20924</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METODICKÉ POZNÁMKY</vt:lpstr>
    </vt:vector>
  </TitlesOfParts>
  <Company>CSU</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POZNÁMKY</dc:title>
  <dc:creator>ČSÚ</dc:creator>
  <cp:lastModifiedBy>Zvonková Štěpánka</cp:lastModifiedBy>
  <cp:revision>33</cp:revision>
  <cp:lastPrinted>2023-03-21T10:02:00Z</cp:lastPrinted>
  <dcterms:created xsi:type="dcterms:W3CDTF">2023-01-30T11:37:00Z</dcterms:created>
  <dcterms:modified xsi:type="dcterms:W3CDTF">2023-11-16T08:24:00Z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102b55dde5a14b759f5e3acff3f5eebc0082b96ed64cf3631e1ca2212b56b8ec</vt:lpwstr>
  </property>
</Properties>
</file>