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40" w:rsidRPr="00A17559" w:rsidRDefault="00BF4329" w:rsidP="00E67696">
      <w:pPr>
        <w:rPr>
          <w:lang w:val="en-GB" w:eastAsia="ar-SA"/>
        </w:rPr>
        <w:sectPr w:rsidR="00A75E40" w:rsidRPr="00A17559" w:rsidSect="0085114D">
          <w:pgSz w:w="11906" w:h="16838" w:code="9"/>
          <w:pgMar w:top="1134" w:right="1134" w:bottom="1418" w:left="1134" w:header="709" w:footer="709" w:gutter="0"/>
          <w:pgNumType w:start="1"/>
          <w:cols w:space="708"/>
          <w:docGrid w:linePitch="360"/>
        </w:sectPr>
      </w:pPr>
      <w:r w:rsidRPr="00A17559">
        <w:rPr>
          <w:noProof/>
        </w:rPr>
        <mc:AlternateContent>
          <mc:Choice Requires="wpg">
            <w:drawing>
              <wp:anchor distT="0" distB="0" distL="114300" distR="114300" simplePos="0" relativeHeight="251657728" behindDoc="0" locked="1" layoutInCell="1" allowOverlap="1" wp14:anchorId="153790F7" wp14:editId="0FC115F8">
                <wp:simplePos x="0" y="0"/>
                <wp:positionH relativeFrom="page">
                  <wp:posOffset>571500</wp:posOffset>
                </wp:positionH>
                <wp:positionV relativeFrom="page">
                  <wp:posOffset>466725</wp:posOffset>
                </wp:positionV>
                <wp:extent cx="2249805" cy="554355"/>
                <wp:effectExtent l="0" t="0" r="0" b="0"/>
                <wp:wrapSquare wrapText="bothSides"/>
                <wp:docPr id="31"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49805" cy="554355"/>
                          <a:chOff x="567" y="851"/>
                          <a:chExt cx="2714" cy="667"/>
                        </a:xfrm>
                      </wpg:grpSpPr>
                      <wps:wsp>
                        <wps:cNvPr id="32" name="Rectangle 9"/>
                        <wps:cNvSpPr>
                          <a:spLocks noChangeAspect="1" noChangeArrowheads="1"/>
                        </wps:cNvSpPr>
                        <wps:spPr bwMode="auto">
                          <a:xfrm>
                            <a:off x="1215" y="901"/>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0"/>
                        <wps:cNvSpPr>
                          <a:spLocks noChangeAspect="1" noChangeArrowheads="1"/>
                        </wps:cNvSpPr>
                        <wps:spPr bwMode="auto">
                          <a:xfrm>
                            <a:off x="567" y="1131"/>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1"/>
                        <wps:cNvSpPr>
                          <a:spLocks noChangeAspect="1" noChangeArrowheads="1"/>
                        </wps:cNvSpPr>
                        <wps:spPr bwMode="auto">
                          <a:xfrm>
                            <a:off x="1288" y="1361"/>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12"/>
                        <wps:cNvSpPr>
                          <a:spLocks noChangeAspect="1" noEditPoints="1"/>
                        </wps:cNvSpPr>
                        <wps:spPr bwMode="auto">
                          <a:xfrm>
                            <a:off x="1969" y="1311"/>
                            <a:ext cx="600" cy="207"/>
                          </a:xfrm>
                          <a:custGeom>
                            <a:avLst/>
                            <a:gdLst>
                              <a:gd name="T0" fmla="*/ 520 w 1200"/>
                              <a:gd name="T1" fmla="*/ 84 h 415"/>
                              <a:gd name="T2" fmla="*/ 537 w 1200"/>
                              <a:gd name="T3" fmla="*/ 88 h 415"/>
                              <a:gd name="T4" fmla="*/ 550 w 1200"/>
                              <a:gd name="T5" fmla="*/ 100 h 415"/>
                              <a:gd name="T6" fmla="*/ 557 w 1200"/>
                              <a:gd name="T7" fmla="*/ 114 h 415"/>
                              <a:gd name="T8" fmla="*/ 559 w 1200"/>
                              <a:gd name="T9" fmla="*/ 131 h 415"/>
                              <a:gd name="T10" fmla="*/ 554 w 1200"/>
                              <a:gd name="T11" fmla="*/ 147 h 415"/>
                              <a:gd name="T12" fmla="*/ 544 w 1200"/>
                              <a:gd name="T13" fmla="*/ 160 h 415"/>
                              <a:gd name="T14" fmla="*/ 530 w 1200"/>
                              <a:gd name="T15" fmla="*/ 168 h 415"/>
                              <a:gd name="T16" fmla="*/ 506 w 1200"/>
                              <a:gd name="T17" fmla="*/ 170 h 415"/>
                              <a:gd name="T18" fmla="*/ 540 w 1200"/>
                              <a:gd name="T19" fmla="*/ 202 h 415"/>
                              <a:gd name="T20" fmla="*/ 567 w 1200"/>
                              <a:gd name="T21" fmla="*/ 190 h 415"/>
                              <a:gd name="T22" fmla="*/ 587 w 1200"/>
                              <a:gd name="T23" fmla="*/ 169 h 415"/>
                              <a:gd name="T24" fmla="*/ 599 w 1200"/>
                              <a:gd name="T25" fmla="*/ 142 h 415"/>
                              <a:gd name="T26" fmla="*/ 599 w 1200"/>
                              <a:gd name="T27" fmla="*/ 111 h 415"/>
                              <a:gd name="T28" fmla="*/ 587 w 1200"/>
                              <a:gd name="T29" fmla="*/ 84 h 415"/>
                              <a:gd name="T30" fmla="*/ 567 w 1200"/>
                              <a:gd name="T31" fmla="*/ 63 h 415"/>
                              <a:gd name="T32" fmla="*/ 540 w 1200"/>
                              <a:gd name="T33" fmla="*/ 51 h 415"/>
                              <a:gd name="T34" fmla="*/ 466 w 1200"/>
                              <a:gd name="T35" fmla="*/ 204 h 415"/>
                              <a:gd name="T36" fmla="*/ 388 w 1200"/>
                              <a:gd name="T37" fmla="*/ 146 h 415"/>
                              <a:gd name="T38" fmla="*/ 393 w 1200"/>
                              <a:gd name="T39" fmla="*/ 50 h 415"/>
                              <a:gd name="T40" fmla="*/ 343 w 1200"/>
                              <a:gd name="T41" fmla="*/ 177 h 415"/>
                              <a:gd name="T42" fmla="*/ 257 w 1200"/>
                              <a:gd name="T43" fmla="*/ 18 h 415"/>
                              <a:gd name="T44" fmla="*/ 174 w 1200"/>
                              <a:gd name="T45" fmla="*/ 18 h 415"/>
                              <a:gd name="T46" fmla="*/ 216 w 1200"/>
                              <a:gd name="T47" fmla="*/ 81 h 415"/>
                              <a:gd name="T48" fmla="*/ 231 w 1200"/>
                              <a:gd name="T49" fmla="*/ 88 h 415"/>
                              <a:gd name="T50" fmla="*/ 235 w 1200"/>
                              <a:gd name="T51" fmla="*/ 104 h 415"/>
                              <a:gd name="T52" fmla="*/ 225 w 1200"/>
                              <a:gd name="T53" fmla="*/ 116 h 415"/>
                              <a:gd name="T54" fmla="*/ 204 w 1200"/>
                              <a:gd name="T55" fmla="*/ 119 h 415"/>
                              <a:gd name="T56" fmla="*/ 258 w 1200"/>
                              <a:gd name="T57" fmla="*/ 135 h 415"/>
                              <a:gd name="T58" fmla="*/ 271 w 1200"/>
                              <a:gd name="T59" fmla="*/ 121 h 415"/>
                              <a:gd name="T60" fmla="*/ 276 w 1200"/>
                              <a:gd name="T61" fmla="*/ 102 h 415"/>
                              <a:gd name="T62" fmla="*/ 275 w 1200"/>
                              <a:gd name="T63" fmla="*/ 83 h 415"/>
                              <a:gd name="T64" fmla="*/ 266 w 1200"/>
                              <a:gd name="T65" fmla="*/ 67 h 415"/>
                              <a:gd name="T66" fmla="*/ 252 w 1200"/>
                              <a:gd name="T67" fmla="*/ 55 h 415"/>
                              <a:gd name="T68" fmla="*/ 232 w 1200"/>
                              <a:gd name="T69" fmla="*/ 50 h 415"/>
                              <a:gd name="T70" fmla="*/ 204 w 1200"/>
                              <a:gd name="T71" fmla="*/ 204 h 415"/>
                              <a:gd name="T72" fmla="*/ 243 w 1200"/>
                              <a:gd name="T73" fmla="*/ 141 h 415"/>
                              <a:gd name="T74" fmla="*/ 67 w 1200"/>
                              <a:gd name="T75" fmla="*/ 42 h 415"/>
                              <a:gd name="T76" fmla="*/ 0 w 1200"/>
                              <a:gd name="T77" fmla="*/ 139 h 415"/>
                              <a:gd name="T78" fmla="*/ 3 w 1200"/>
                              <a:gd name="T79" fmla="*/ 166 h 415"/>
                              <a:gd name="T80" fmla="*/ 12 w 1200"/>
                              <a:gd name="T81" fmla="*/ 184 h 415"/>
                              <a:gd name="T82" fmla="*/ 34 w 1200"/>
                              <a:gd name="T83" fmla="*/ 201 h 415"/>
                              <a:gd name="T84" fmla="*/ 67 w 1200"/>
                              <a:gd name="T85" fmla="*/ 207 h 415"/>
                              <a:gd name="T86" fmla="*/ 96 w 1200"/>
                              <a:gd name="T87" fmla="*/ 202 h 415"/>
                              <a:gd name="T88" fmla="*/ 119 w 1200"/>
                              <a:gd name="T89" fmla="*/ 186 h 415"/>
                              <a:gd name="T90" fmla="*/ 131 w 1200"/>
                              <a:gd name="T91" fmla="*/ 166 h 415"/>
                              <a:gd name="T92" fmla="*/ 134 w 1200"/>
                              <a:gd name="T93" fmla="*/ 139 h 415"/>
                              <a:gd name="T94" fmla="*/ 95 w 1200"/>
                              <a:gd name="T95" fmla="*/ 143 h 415"/>
                              <a:gd name="T96" fmla="*/ 89 w 1200"/>
                              <a:gd name="T97" fmla="*/ 163 h 415"/>
                              <a:gd name="T98" fmla="*/ 78 w 1200"/>
                              <a:gd name="T99" fmla="*/ 170 h 415"/>
                              <a:gd name="T100" fmla="*/ 63 w 1200"/>
                              <a:gd name="T101" fmla="*/ 172 h 415"/>
                              <a:gd name="T102" fmla="*/ 52 w 1200"/>
                              <a:gd name="T103" fmla="*/ 168 h 415"/>
                              <a:gd name="T104" fmla="*/ 42 w 1200"/>
                              <a:gd name="T105" fmla="*/ 156 h 415"/>
                              <a:gd name="T106" fmla="*/ 40 w 1200"/>
                              <a:gd name="T107" fmla="*/ 50 h 41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noChangeAspect="1" noEditPoints="1"/>
                        </wps:cNvSpPr>
                        <wps:spPr bwMode="auto">
                          <a:xfrm>
                            <a:off x="1962" y="1081"/>
                            <a:ext cx="1319" cy="208"/>
                          </a:xfrm>
                          <a:custGeom>
                            <a:avLst/>
                            <a:gdLst>
                              <a:gd name="T0" fmla="*/ 1221 w 2637"/>
                              <a:gd name="T1" fmla="*/ 204 h 416"/>
                              <a:gd name="T2" fmla="*/ 1166 w 2637"/>
                              <a:gd name="T3" fmla="*/ 50 h 416"/>
                              <a:gd name="T4" fmla="*/ 1072 w 2637"/>
                              <a:gd name="T5" fmla="*/ 137 h 416"/>
                              <a:gd name="T6" fmla="*/ 1004 w 2637"/>
                              <a:gd name="T7" fmla="*/ 54 h 416"/>
                              <a:gd name="T8" fmla="*/ 943 w 2637"/>
                              <a:gd name="T9" fmla="*/ 51 h 416"/>
                              <a:gd name="T10" fmla="*/ 900 w 2637"/>
                              <a:gd name="T11" fmla="*/ 82 h 416"/>
                              <a:gd name="T12" fmla="*/ 887 w 2637"/>
                              <a:gd name="T13" fmla="*/ 136 h 416"/>
                              <a:gd name="T14" fmla="*/ 907 w 2637"/>
                              <a:gd name="T15" fmla="*/ 181 h 416"/>
                              <a:gd name="T16" fmla="*/ 959 w 2637"/>
                              <a:gd name="T17" fmla="*/ 208 h 416"/>
                              <a:gd name="T18" fmla="*/ 1000 w 2637"/>
                              <a:gd name="T19" fmla="*/ 157 h 416"/>
                              <a:gd name="T20" fmla="*/ 969 w 2637"/>
                              <a:gd name="T21" fmla="*/ 169 h 416"/>
                              <a:gd name="T22" fmla="*/ 945 w 2637"/>
                              <a:gd name="T23" fmla="*/ 161 h 416"/>
                              <a:gd name="T24" fmla="*/ 929 w 2637"/>
                              <a:gd name="T25" fmla="*/ 137 h 416"/>
                              <a:gd name="T26" fmla="*/ 933 w 2637"/>
                              <a:gd name="T27" fmla="*/ 107 h 416"/>
                              <a:gd name="T28" fmla="*/ 953 w 2637"/>
                              <a:gd name="T29" fmla="*/ 89 h 416"/>
                              <a:gd name="T30" fmla="*/ 984 w 2637"/>
                              <a:gd name="T31" fmla="*/ 88 h 416"/>
                              <a:gd name="T32" fmla="*/ 864 w 2637"/>
                              <a:gd name="T33" fmla="*/ 50 h 416"/>
                              <a:gd name="T34" fmla="*/ 802 w 2637"/>
                              <a:gd name="T35" fmla="*/ 50 h 416"/>
                              <a:gd name="T36" fmla="*/ 680 w 2637"/>
                              <a:gd name="T37" fmla="*/ 59 h 416"/>
                              <a:gd name="T38" fmla="*/ 638 w 2637"/>
                              <a:gd name="T39" fmla="*/ 46 h 416"/>
                              <a:gd name="T40" fmla="*/ 602 w 2637"/>
                              <a:gd name="T41" fmla="*/ 54 h 416"/>
                              <a:gd name="T42" fmla="*/ 581 w 2637"/>
                              <a:gd name="T43" fmla="*/ 82 h 416"/>
                              <a:gd name="T44" fmla="*/ 583 w 2637"/>
                              <a:gd name="T45" fmla="*/ 116 h 416"/>
                              <a:gd name="T46" fmla="*/ 610 w 2637"/>
                              <a:gd name="T47" fmla="*/ 138 h 416"/>
                              <a:gd name="T48" fmla="*/ 644 w 2637"/>
                              <a:gd name="T49" fmla="*/ 153 h 416"/>
                              <a:gd name="T50" fmla="*/ 637 w 2637"/>
                              <a:gd name="T51" fmla="*/ 171 h 416"/>
                              <a:gd name="T52" fmla="*/ 608 w 2637"/>
                              <a:gd name="T53" fmla="*/ 170 h 416"/>
                              <a:gd name="T54" fmla="*/ 586 w 2637"/>
                              <a:gd name="T55" fmla="*/ 198 h 416"/>
                              <a:gd name="T56" fmla="*/ 633 w 2637"/>
                              <a:gd name="T57" fmla="*/ 208 h 416"/>
                              <a:gd name="T58" fmla="*/ 671 w 2637"/>
                              <a:gd name="T59" fmla="*/ 193 h 416"/>
                              <a:gd name="T60" fmla="*/ 687 w 2637"/>
                              <a:gd name="T61" fmla="*/ 160 h 416"/>
                              <a:gd name="T62" fmla="*/ 678 w 2637"/>
                              <a:gd name="T63" fmla="*/ 126 h 416"/>
                              <a:gd name="T64" fmla="*/ 638 w 2637"/>
                              <a:gd name="T65" fmla="*/ 107 h 416"/>
                              <a:gd name="T66" fmla="*/ 621 w 2637"/>
                              <a:gd name="T67" fmla="*/ 93 h 416"/>
                              <a:gd name="T68" fmla="*/ 635 w 2637"/>
                              <a:gd name="T69" fmla="*/ 80 h 416"/>
                              <a:gd name="T70" fmla="*/ 665 w 2637"/>
                              <a:gd name="T71" fmla="*/ 90 h 416"/>
                              <a:gd name="T72" fmla="*/ 452 w 2637"/>
                              <a:gd name="T73" fmla="*/ 84 h 416"/>
                              <a:gd name="T74" fmla="*/ 452 w 2637"/>
                              <a:gd name="T75" fmla="*/ 204 h 416"/>
                              <a:gd name="T76" fmla="*/ 343 w 2637"/>
                              <a:gd name="T77" fmla="*/ 204 h 416"/>
                              <a:gd name="T78" fmla="*/ 333 w 2637"/>
                              <a:gd name="T79" fmla="*/ 177 h 416"/>
                              <a:gd name="T80" fmla="*/ 158 w 2637"/>
                              <a:gd name="T81" fmla="*/ 204 h 416"/>
                              <a:gd name="T82" fmla="*/ 84 w 2637"/>
                              <a:gd name="T83" fmla="*/ 49 h 416"/>
                              <a:gd name="T84" fmla="*/ 42 w 2637"/>
                              <a:gd name="T85" fmla="*/ 48 h 416"/>
                              <a:gd name="T86" fmla="*/ 14 w 2637"/>
                              <a:gd name="T87" fmla="*/ 68 h 416"/>
                              <a:gd name="T88" fmla="*/ 6 w 2637"/>
                              <a:gd name="T89" fmla="*/ 103 h 416"/>
                              <a:gd name="T90" fmla="*/ 19 w 2637"/>
                              <a:gd name="T91" fmla="*/ 128 h 416"/>
                              <a:gd name="T92" fmla="*/ 64 w 2637"/>
                              <a:gd name="T93" fmla="*/ 147 h 416"/>
                              <a:gd name="T94" fmla="*/ 71 w 2637"/>
                              <a:gd name="T95" fmla="*/ 165 h 416"/>
                              <a:gd name="T96" fmla="*/ 48 w 2637"/>
                              <a:gd name="T97" fmla="*/ 174 h 416"/>
                              <a:gd name="T98" fmla="*/ 17 w 2637"/>
                              <a:gd name="T99" fmla="*/ 158 h 416"/>
                              <a:gd name="T100" fmla="*/ 40 w 2637"/>
                              <a:gd name="T101" fmla="*/ 207 h 416"/>
                              <a:gd name="T102" fmla="*/ 84 w 2637"/>
                              <a:gd name="T103" fmla="*/ 202 h 416"/>
                              <a:gd name="T104" fmla="*/ 110 w 2637"/>
                              <a:gd name="T105" fmla="*/ 176 h 416"/>
                              <a:gd name="T106" fmla="*/ 110 w 2637"/>
                              <a:gd name="T107" fmla="*/ 135 h 416"/>
                              <a:gd name="T108" fmla="*/ 93 w 2637"/>
                              <a:gd name="T109" fmla="*/ 117 h 416"/>
                              <a:gd name="T110" fmla="*/ 50 w 2637"/>
                              <a:gd name="T111" fmla="*/ 99 h 416"/>
                              <a:gd name="T112" fmla="*/ 53 w 2637"/>
                              <a:gd name="T113" fmla="*/ 84 h 416"/>
                              <a:gd name="T114" fmla="*/ 76 w 2637"/>
                              <a:gd name="T115" fmla="*/ 81 h 41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noChangeAspect="1" noEditPoints="1"/>
                        </wps:cNvSpPr>
                        <wps:spPr bwMode="auto">
                          <a:xfrm>
                            <a:off x="1962" y="851"/>
                            <a:ext cx="679" cy="208"/>
                          </a:xfrm>
                          <a:custGeom>
                            <a:avLst/>
                            <a:gdLst>
                              <a:gd name="T0" fmla="*/ 641 w 1358"/>
                              <a:gd name="T1" fmla="*/ 18 h 416"/>
                              <a:gd name="T2" fmla="*/ 679 w 1358"/>
                              <a:gd name="T3" fmla="*/ 50 h 416"/>
                              <a:gd name="T4" fmla="*/ 581 w 1358"/>
                              <a:gd name="T5" fmla="*/ 130 h 416"/>
                              <a:gd name="T6" fmla="*/ 432 w 1358"/>
                              <a:gd name="T7" fmla="*/ 204 h 416"/>
                              <a:gd name="T8" fmla="*/ 530 w 1358"/>
                              <a:gd name="T9" fmla="*/ 50 h 416"/>
                              <a:gd name="T10" fmla="*/ 349 w 1358"/>
                              <a:gd name="T11" fmla="*/ 54 h 416"/>
                              <a:gd name="T12" fmla="*/ 318 w 1358"/>
                              <a:gd name="T13" fmla="*/ 46 h 416"/>
                              <a:gd name="T14" fmla="*/ 290 w 1358"/>
                              <a:gd name="T15" fmla="*/ 50 h 416"/>
                              <a:gd name="T16" fmla="*/ 271 w 1358"/>
                              <a:gd name="T17" fmla="*/ 64 h 416"/>
                              <a:gd name="T18" fmla="*/ 261 w 1358"/>
                              <a:gd name="T19" fmla="*/ 87 h 416"/>
                              <a:gd name="T20" fmla="*/ 261 w 1358"/>
                              <a:gd name="T21" fmla="*/ 112 h 416"/>
                              <a:gd name="T22" fmla="*/ 272 w 1358"/>
                              <a:gd name="T23" fmla="*/ 129 h 416"/>
                              <a:gd name="T24" fmla="*/ 307 w 1358"/>
                              <a:gd name="T25" fmla="*/ 144 h 416"/>
                              <a:gd name="T26" fmla="*/ 324 w 1358"/>
                              <a:gd name="T27" fmla="*/ 153 h 416"/>
                              <a:gd name="T28" fmla="*/ 322 w 1358"/>
                              <a:gd name="T29" fmla="*/ 168 h 416"/>
                              <a:gd name="T30" fmla="*/ 306 w 1358"/>
                              <a:gd name="T31" fmla="*/ 174 h 416"/>
                              <a:gd name="T32" fmla="*/ 284 w 1358"/>
                              <a:gd name="T33" fmla="*/ 168 h 416"/>
                              <a:gd name="T34" fmla="*/ 260 w 1358"/>
                              <a:gd name="T35" fmla="*/ 195 h 416"/>
                              <a:gd name="T36" fmla="*/ 293 w 1358"/>
                              <a:gd name="T37" fmla="*/ 207 h 416"/>
                              <a:gd name="T38" fmla="*/ 326 w 1358"/>
                              <a:gd name="T39" fmla="*/ 206 h 416"/>
                              <a:gd name="T40" fmla="*/ 351 w 1358"/>
                              <a:gd name="T41" fmla="*/ 193 h 416"/>
                              <a:gd name="T42" fmla="*/ 365 w 1358"/>
                              <a:gd name="T43" fmla="*/ 172 h 416"/>
                              <a:gd name="T44" fmla="*/ 365 w 1358"/>
                              <a:gd name="T45" fmla="*/ 138 h 416"/>
                              <a:gd name="T46" fmla="*/ 356 w 1358"/>
                              <a:gd name="T47" fmla="*/ 124 h 416"/>
                              <a:gd name="T48" fmla="*/ 329 w 1358"/>
                              <a:gd name="T49" fmla="*/ 111 h 416"/>
                              <a:gd name="T50" fmla="*/ 304 w 1358"/>
                              <a:gd name="T51" fmla="*/ 99 h 416"/>
                              <a:gd name="T52" fmla="*/ 303 w 1358"/>
                              <a:gd name="T53" fmla="*/ 87 h 416"/>
                              <a:gd name="T54" fmla="*/ 315 w 1358"/>
                              <a:gd name="T55" fmla="*/ 80 h 416"/>
                              <a:gd name="T56" fmla="*/ 332 w 1358"/>
                              <a:gd name="T57" fmla="*/ 82 h 416"/>
                              <a:gd name="T58" fmla="*/ 232 w 1358"/>
                              <a:gd name="T59" fmla="*/ 50 h 416"/>
                              <a:gd name="T60" fmla="*/ 185 w 1358"/>
                              <a:gd name="T61" fmla="*/ 170 h 416"/>
                              <a:gd name="T62" fmla="*/ 185 w 1358"/>
                              <a:gd name="T63" fmla="*/ 84 h 416"/>
                              <a:gd name="T64" fmla="*/ 105 w 1358"/>
                              <a:gd name="T65" fmla="*/ 1 h 416"/>
                              <a:gd name="T66" fmla="*/ 108 w 1358"/>
                              <a:gd name="T67" fmla="*/ 51 h 416"/>
                              <a:gd name="T68" fmla="*/ 65 w 1358"/>
                              <a:gd name="T69" fmla="*/ 48 h 416"/>
                              <a:gd name="T70" fmla="*/ 29 w 1358"/>
                              <a:gd name="T71" fmla="*/ 65 h 416"/>
                              <a:gd name="T72" fmla="*/ 6 w 1358"/>
                              <a:gd name="T73" fmla="*/ 96 h 416"/>
                              <a:gd name="T74" fmla="*/ 0 w 1358"/>
                              <a:gd name="T75" fmla="*/ 136 h 416"/>
                              <a:gd name="T76" fmla="*/ 11 w 1358"/>
                              <a:gd name="T77" fmla="*/ 170 h 416"/>
                              <a:gd name="T78" fmla="*/ 41 w 1358"/>
                              <a:gd name="T79" fmla="*/ 197 h 416"/>
                              <a:gd name="T80" fmla="*/ 82 w 1358"/>
                              <a:gd name="T81" fmla="*/ 208 h 416"/>
                              <a:gd name="T82" fmla="*/ 118 w 1358"/>
                              <a:gd name="T83" fmla="*/ 153 h 416"/>
                              <a:gd name="T84" fmla="*/ 97 w 1358"/>
                              <a:gd name="T85" fmla="*/ 167 h 416"/>
                              <a:gd name="T86" fmla="*/ 76 w 1358"/>
                              <a:gd name="T87" fmla="*/ 168 h 416"/>
                              <a:gd name="T88" fmla="*/ 59 w 1358"/>
                              <a:gd name="T89" fmla="*/ 162 h 416"/>
                              <a:gd name="T90" fmla="*/ 45 w 1358"/>
                              <a:gd name="T91" fmla="*/ 146 h 416"/>
                              <a:gd name="T92" fmla="*/ 42 w 1358"/>
                              <a:gd name="T93" fmla="*/ 124 h 416"/>
                              <a:gd name="T94" fmla="*/ 49 w 1358"/>
                              <a:gd name="T95" fmla="*/ 104 h 416"/>
                              <a:gd name="T96" fmla="*/ 63 w 1358"/>
                              <a:gd name="T97" fmla="*/ 91 h 416"/>
                              <a:gd name="T98" fmla="*/ 83 w 1358"/>
                              <a:gd name="T99" fmla="*/ 86 h 416"/>
                              <a:gd name="T100" fmla="*/ 107 w 1358"/>
                              <a:gd name="T101" fmla="*/ 92 h 4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96E57" id="Group 24" o:spid="_x0000_s1026" style="position:absolute;margin-left:45pt;margin-top:36.7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">
                <o:lock v:ext="edit" aspectratio="t"/>
                <v:rect id="Rectangle 9" o:spid="_x0000_s1027" style="position:absolute;left:1215;top:901;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" fillcolor="#0071bc" stroked="f">
                  <o:lock v:ext="edit" aspectratio="t"/>
                </v:rect>
                <v:rect id="Rectangle 10" o:spid="_x0000_s1028" style="position:absolute;left:567;top:1131;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" fillcolor="#0071bc" stroked="f">
                  <o:lock v:ext="edit" aspectratio="t"/>
                </v:rect>
                <v:rect id="Rectangle 11" o:spid="_x0000_s1029" style="position:absolute;left:1288;top:1361;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" fillcolor="#0071bc" stroked="f">
                  <o:lock v:ext="edit" aspectratio="t"/>
                </v:rect>
                <v:shape id="Freeform 12" o:spid="_x0000_s1030" style="position:absolute;left:1969;top:1311;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aspectratio="t" verticies="t"/>
                </v:shape>
                <v:shape id="Freeform 14" o:spid="_x0000_s1032" style="position:absolute;left:1962;top:851;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aspectratio="t" verticies="t"/>
                </v:shape>
                <w10:wrap type="square" anchorx="page" anchory="page"/>
                <w10:anchorlock/>
              </v:group>
            </w:pict>
          </mc:Fallback>
        </mc:AlternateContent>
      </w:r>
      <w:r w:rsidRPr="00A17559">
        <w:rPr>
          <w:noProof/>
        </w:rPr>
        <mc:AlternateContent>
          <mc:Choice Requires="wps">
            <w:drawing>
              <wp:anchor distT="0" distB="0" distL="114300" distR="114300" simplePos="0" relativeHeight="251656704" behindDoc="0" locked="1" layoutInCell="1" allowOverlap="1" wp14:anchorId="7D749472" wp14:editId="7C6FD2F2">
                <wp:simplePos x="0" y="0"/>
                <wp:positionH relativeFrom="page">
                  <wp:posOffset>1705610</wp:posOffset>
                </wp:positionH>
                <wp:positionV relativeFrom="page">
                  <wp:posOffset>8173085</wp:posOffset>
                </wp:positionV>
                <wp:extent cx="5130165" cy="925195"/>
                <wp:effectExtent l="0" t="0" r="0" b="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624" w:rsidRPr="006B1B9B" w:rsidRDefault="00665624" w:rsidP="004924DC">
                            <w:pPr>
                              <w:rPr>
                                <w:lang w:val="en-GB"/>
                              </w:rPr>
                            </w:pPr>
                            <w:r w:rsidRPr="006B1B9B">
                              <w:rPr>
                                <w:lang w:val="en-GB"/>
                              </w:rPr>
                              <w:t>Prepared by: Office of the President of the CZSO, Compendious Analyses Unit</w:t>
                            </w:r>
                          </w:p>
                          <w:p w:rsidR="00665624" w:rsidRPr="006B1B9B" w:rsidRDefault="00665624" w:rsidP="004924DC">
                            <w:pPr>
                              <w:rPr>
                                <w:lang w:val="en-GB"/>
                              </w:rPr>
                            </w:pPr>
                            <w:r>
                              <w:rPr>
                                <w:lang w:val="en-GB"/>
                              </w:rPr>
                              <w:t>Director</w:t>
                            </w:r>
                            <w:r w:rsidRPr="006B1B9B">
                              <w:rPr>
                                <w:lang w:val="en-GB"/>
                              </w:rPr>
                              <w:t>: Egor Sidorov, Ph.D.</w:t>
                            </w:r>
                          </w:p>
                          <w:p w:rsidR="00665624" w:rsidRPr="006B1B9B" w:rsidRDefault="00665624" w:rsidP="004924DC">
                            <w:pPr>
                              <w:rPr>
                                <w:lang w:val="en-GB"/>
                              </w:rPr>
                            </w:pPr>
                            <w:r>
                              <w:rPr>
                                <w:lang w:val="en-GB"/>
                              </w:rPr>
                              <w:t>Contact person</w:t>
                            </w:r>
                            <w:r w:rsidRPr="006B1B9B">
                              <w:rPr>
                                <w:lang w:val="en-GB"/>
                              </w:rPr>
                              <w:t>: Karolína Zábojníková, e-mail: karolina.zabojnikova@czso.cz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749472" id="_x0000_t202" coordsize="21600,21600" o:spt="202" path="m,l,21600r21600,l21600,xe">
                <v:stroke joinstyle="miter"/>
                <v:path gradientshapeok="t" o:connecttype="rect"/>
              </v:shapetype>
              <v:shape id="Textové pole 2" o:spid="_x0000_s1026" type="#_x0000_t202" style="position:absolute;left:0;text-align:left;margin-left:134.3pt;margin-top:643.55pt;width:403.95pt;height:7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" filled="f" stroked="f">
                <v:textbox inset="0,0,0,0">
                  <w:txbxContent>
                    <w:p w:rsidR="00665624" w:rsidRPr="006B1B9B" w:rsidRDefault="00665624" w:rsidP="004924DC">
                      <w:pPr>
                        <w:rPr>
                          <w:lang w:val="en-GB"/>
                        </w:rPr>
                      </w:pPr>
                      <w:r w:rsidRPr="006B1B9B">
                        <w:rPr>
                          <w:lang w:val="en-GB"/>
                        </w:rPr>
                        <w:t>Prepared by: Office of the President of the CZSO, Compendious Analyses Unit</w:t>
                      </w:r>
                    </w:p>
                    <w:p w:rsidR="00665624" w:rsidRPr="006B1B9B" w:rsidRDefault="00665624" w:rsidP="004924DC">
                      <w:pPr>
                        <w:rPr>
                          <w:lang w:val="en-GB"/>
                        </w:rPr>
                      </w:pPr>
                      <w:r>
                        <w:rPr>
                          <w:lang w:val="en-GB"/>
                        </w:rPr>
                        <w:t>Director</w:t>
                      </w:r>
                      <w:r w:rsidRPr="006B1B9B">
                        <w:rPr>
                          <w:lang w:val="en-GB"/>
                        </w:rPr>
                        <w:t>: Egor Sidorov, Ph.D.</w:t>
                      </w:r>
                    </w:p>
                    <w:p w:rsidR="00665624" w:rsidRPr="006B1B9B" w:rsidRDefault="00665624" w:rsidP="004924DC">
                      <w:pPr>
                        <w:rPr>
                          <w:lang w:val="en-GB"/>
                        </w:rPr>
                      </w:pPr>
                      <w:r>
                        <w:rPr>
                          <w:lang w:val="en-GB"/>
                        </w:rPr>
                        <w:t>Contact person</w:t>
                      </w:r>
                      <w:r w:rsidRPr="006B1B9B">
                        <w:rPr>
                          <w:lang w:val="en-GB"/>
                        </w:rPr>
                        <w:t>: Karolína Zábojníková, e-mail: karolina.zabojnikova@czso.cz</w:t>
                      </w:r>
                    </w:p>
                  </w:txbxContent>
                </v:textbox>
                <w10:wrap anchorx="page" anchory="page"/>
                <w10:anchorlock/>
              </v:shape>
            </w:pict>
          </mc:Fallback>
        </mc:AlternateContent>
      </w:r>
      <w:r w:rsidRPr="00A17559">
        <w:rPr>
          <w:noProof/>
        </w:rPr>
        <mc:AlternateContent>
          <mc:Choice Requires="wps">
            <w:drawing>
              <wp:anchor distT="0" distB="0" distL="114300" distR="114300" simplePos="0" relativeHeight="251655680" behindDoc="0" locked="1" layoutInCell="1" allowOverlap="1" wp14:anchorId="68FC7FBA" wp14:editId="39BCFF7A">
                <wp:simplePos x="0" y="0"/>
                <wp:positionH relativeFrom="page">
                  <wp:posOffset>1710055</wp:posOffset>
                </wp:positionH>
                <wp:positionV relativeFrom="page">
                  <wp:posOffset>4680585</wp:posOffset>
                </wp:positionV>
                <wp:extent cx="5129530" cy="1686560"/>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68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624" w:rsidRPr="008A4A76" w:rsidRDefault="00665624" w:rsidP="008A4A76">
                            <w:pPr>
                              <w:pStyle w:val="TLIdentifikace-sted"/>
                              <w:rPr>
                                <w:lang w:val="en-GB"/>
                              </w:rPr>
                            </w:pPr>
                            <w:r w:rsidRPr="008A4A76">
                              <w:rPr>
                                <w:lang w:val="en-GB"/>
                              </w:rPr>
                              <w:t>Summary Data on the Czech Republic</w:t>
                            </w:r>
                          </w:p>
                          <w:p w:rsidR="00665624" w:rsidRPr="008A4A76" w:rsidRDefault="00665624" w:rsidP="004924DC">
                            <w:pPr>
                              <w:pStyle w:val="TLIdentifikace-sted"/>
                              <w:rPr>
                                <w:lang w:val="en-GB"/>
                              </w:rPr>
                            </w:pPr>
                            <w:r>
                              <w:rPr>
                                <w:lang w:val="en-GB"/>
                              </w:rPr>
                              <w:t>Prague, 15th Octo</w:t>
                            </w:r>
                            <w:r w:rsidRPr="008A4A76">
                              <w:rPr>
                                <w:lang w:val="en-GB"/>
                              </w:rPr>
                              <w:t>ber 2019</w:t>
                            </w:r>
                          </w:p>
                          <w:p w:rsidR="00665624" w:rsidRPr="008A4A76" w:rsidRDefault="00665624" w:rsidP="004924DC">
                            <w:pPr>
                              <w:pStyle w:val="TLIdentifikace-sted"/>
                              <w:rPr>
                                <w:lang w:val="en-GB"/>
                              </w:rPr>
                            </w:pPr>
                            <w:r w:rsidRPr="008A4A76">
                              <w:rPr>
                                <w:lang w:val="en-GB"/>
                              </w:rPr>
                              <w:t>Publication C</w:t>
                            </w:r>
                            <w:r>
                              <w:rPr>
                                <w:lang w:val="en-GB"/>
                              </w:rPr>
                              <w:t>ode: 320194</w:t>
                            </w:r>
                            <w:r w:rsidRPr="008A4A76">
                              <w:rPr>
                                <w:lang w:val="en-GB"/>
                              </w:rPr>
                              <w:t>-19</w:t>
                            </w:r>
                          </w:p>
                          <w:p w:rsidR="00665624" w:rsidRDefault="00665624" w:rsidP="004924DC">
                            <w:pPr>
                              <w:pStyle w:val="TLIdentifikace-sted"/>
                              <w:rPr>
                                <w:lang w:val="en-GB"/>
                              </w:rPr>
                            </w:pPr>
                            <w:r w:rsidRPr="008A4A76">
                              <w:rPr>
                                <w:lang w:val="en-GB"/>
                              </w:rPr>
                              <w:t>Reference No</w:t>
                            </w:r>
                            <w:r w:rsidRPr="00843541">
                              <w:rPr>
                                <w:lang w:val="en-GB"/>
                              </w:rPr>
                              <w:t>.: CSU –</w:t>
                            </w:r>
                            <w:r w:rsidR="00843541" w:rsidRPr="00843541">
                              <w:rPr>
                                <w:rFonts w:ascii="Segoe UI" w:eastAsia="Calibri" w:hAnsi="Segoe UI" w:cs="Segoe UI"/>
                                <w:sz w:val="18"/>
                                <w:szCs w:val="18"/>
                                <w:lang w:eastAsia="en-US"/>
                              </w:rPr>
                              <w:t xml:space="preserve"> </w:t>
                            </w:r>
                            <w:r w:rsidR="00843541" w:rsidRPr="00843541">
                              <w:rPr>
                                <w:lang w:val="en-GB"/>
                              </w:rPr>
                              <w:t>03684/2019-01</w:t>
                            </w:r>
                          </w:p>
                          <w:p w:rsidR="00665624" w:rsidRPr="008A4A76" w:rsidRDefault="00665624" w:rsidP="004924DC">
                            <w:pPr>
                              <w:pStyle w:val="TLIdentifikace-sted"/>
                              <w:rPr>
                                <w:lang w:val="en-GB"/>
                              </w:rPr>
                            </w:pPr>
                            <w:r>
                              <w:rPr>
                                <w:lang w:val="en-GB"/>
                              </w:rPr>
                              <w:t>Yearly Publication Code: 1</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8FC7FBA" id="_x0000_s1027" type="#_x0000_t202" style="position:absolute;left:0;text-align:left;margin-left:134.65pt;margin-top:368.55pt;width:403.9pt;height:13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" filled="f" stroked="f">
                <v:textbox style="mso-fit-shape-to-text:t" inset="0,0,0,0">
                  <w:txbxContent>
                    <w:p w:rsidR="00665624" w:rsidRPr="008A4A76" w:rsidRDefault="00665624" w:rsidP="008A4A76">
                      <w:pPr>
                        <w:pStyle w:val="TLIdentifikace-sted"/>
                        <w:rPr>
                          <w:lang w:val="en-GB"/>
                        </w:rPr>
                      </w:pPr>
                      <w:r w:rsidRPr="008A4A76">
                        <w:rPr>
                          <w:lang w:val="en-GB"/>
                        </w:rPr>
                        <w:t>Summary Data on the Czech Republic</w:t>
                      </w:r>
                    </w:p>
                    <w:p w:rsidR="00665624" w:rsidRPr="008A4A76" w:rsidRDefault="00665624" w:rsidP="004924DC">
                      <w:pPr>
                        <w:pStyle w:val="TLIdentifikace-sted"/>
                        <w:rPr>
                          <w:lang w:val="en-GB"/>
                        </w:rPr>
                      </w:pPr>
                      <w:r>
                        <w:rPr>
                          <w:lang w:val="en-GB"/>
                        </w:rPr>
                        <w:t>Prague, 15th Octo</w:t>
                      </w:r>
                      <w:r w:rsidRPr="008A4A76">
                        <w:rPr>
                          <w:lang w:val="en-GB"/>
                        </w:rPr>
                        <w:t>ber 2019</w:t>
                      </w:r>
                    </w:p>
                    <w:p w:rsidR="00665624" w:rsidRPr="008A4A76" w:rsidRDefault="00665624" w:rsidP="004924DC">
                      <w:pPr>
                        <w:pStyle w:val="TLIdentifikace-sted"/>
                        <w:rPr>
                          <w:lang w:val="en-GB"/>
                        </w:rPr>
                      </w:pPr>
                      <w:r w:rsidRPr="008A4A76">
                        <w:rPr>
                          <w:lang w:val="en-GB"/>
                        </w:rPr>
                        <w:t>Publication C</w:t>
                      </w:r>
                      <w:r>
                        <w:rPr>
                          <w:lang w:val="en-GB"/>
                        </w:rPr>
                        <w:t>ode: 320194</w:t>
                      </w:r>
                      <w:r w:rsidRPr="008A4A76">
                        <w:rPr>
                          <w:lang w:val="en-GB"/>
                        </w:rPr>
                        <w:t>-19</w:t>
                      </w:r>
                    </w:p>
                    <w:p w:rsidR="00665624" w:rsidRDefault="00665624" w:rsidP="004924DC">
                      <w:pPr>
                        <w:pStyle w:val="TLIdentifikace-sted"/>
                        <w:rPr>
                          <w:lang w:val="en-GB"/>
                        </w:rPr>
                      </w:pPr>
                      <w:r w:rsidRPr="008A4A76">
                        <w:rPr>
                          <w:lang w:val="en-GB"/>
                        </w:rPr>
                        <w:t>Reference No</w:t>
                      </w:r>
                      <w:r w:rsidRPr="00843541">
                        <w:rPr>
                          <w:lang w:val="en-GB"/>
                        </w:rPr>
                        <w:t>.: CSU –</w:t>
                      </w:r>
                      <w:r w:rsidR="00843541" w:rsidRPr="00843541">
                        <w:rPr>
                          <w:rFonts w:ascii="Segoe UI" w:eastAsia="Calibri" w:hAnsi="Segoe UI" w:cs="Segoe UI"/>
                          <w:sz w:val="18"/>
                          <w:szCs w:val="18"/>
                          <w:lang w:eastAsia="en-US"/>
                        </w:rPr>
                        <w:t xml:space="preserve"> </w:t>
                      </w:r>
                      <w:r w:rsidR="00843541" w:rsidRPr="00843541">
                        <w:rPr>
                          <w:lang w:val="en-GB"/>
                        </w:rPr>
                        <w:t>03684/2019-01</w:t>
                      </w:r>
                    </w:p>
                    <w:p w:rsidR="00665624" w:rsidRPr="008A4A76" w:rsidRDefault="00665624" w:rsidP="004924DC">
                      <w:pPr>
                        <w:pStyle w:val="TLIdentifikace-sted"/>
                        <w:rPr>
                          <w:lang w:val="en-GB"/>
                        </w:rPr>
                      </w:pPr>
                      <w:r>
                        <w:rPr>
                          <w:lang w:val="en-GB"/>
                        </w:rPr>
                        <w:t>Yearly Publication Code: 1</w:t>
                      </w:r>
                    </w:p>
                  </w:txbxContent>
                </v:textbox>
                <w10:wrap anchorx="page" anchory="page"/>
                <w10:anchorlock/>
              </v:shape>
            </w:pict>
          </mc:Fallback>
        </mc:AlternateContent>
      </w:r>
      <w:r w:rsidRPr="00A17559">
        <w:rPr>
          <w:noProof/>
        </w:rPr>
        <mc:AlternateContent>
          <mc:Choice Requires="wps">
            <w:drawing>
              <wp:anchor distT="0" distB="0" distL="114300" distR="114300" simplePos="0" relativeHeight="251654656" behindDoc="0" locked="1" layoutInCell="1" allowOverlap="1" wp14:anchorId="22A1BD4B" wp14:editId="31E7B526">
                <wp:simplePos x="0" y="0"/>
                <wp:positionH relativeFrom="page">
                  <wp:posOffset>1710055</wp:posOffset>
                </wp:positionH>
                <wp:positionV relativeFrom="page">
                  <wp:posOffset>1476375</wp:posOffset>
                </wp:positionV>
                <wp:extent cx="5129530" cy="1471930"/>
                <wp:effectExtent l="0" t="0" r="0" b="0"/>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47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624" w:rsidRPr="000E6FBD" w:rsidRDefault="00665624" w:rsidP="000E6FBD">
                            <w:pPr>
                              <w:pStyle w:val="Nzev"/>
                            </w:pPr>
                            <w:r>
                              <w:t>the czech economy development</w:t>
                            </w:r>
                          </w:p>
                          <w:p w:rsidR="00665624" w:rsidRPr="0012192F" w:rsidRDefault="00665624" w:rsidP="0012192F">
                            <w:pPr>
                              <w:pStyle w:val="Podnadpis"/>
                            </w:pPr>
                          </w:p>
                          <w:p w:rsidR="00665624" w:rsidRPr="003E016B" w:rsidRDefault="00665624" w:rsidP="000F090B">
                            <w:pPr>
                              <w:pStyle w:val="Podnadpis"/>
                              <w:rPr>
                                <w:lang w:val="en-GB"/>
                              </w:rPr>
                            </w:pPr>
                            <w:r w:rsidRPr="003E016B">
                              <w:rPr>
                                <w:lang w:val="en-GB"/>
                              </w:rPr>
                              <w:t>First half of 2019</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A1BD4B" id="_x0000_s1028" type="#_x0000_t202" style="position:absolute;left:0;text-align:left;margin-left:134.65pt;margin-top:116.25pt;width:403.9pt;height:115.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" filled="f" stroked="f">
                <v:textbox style="mso-fit-shape-to-text:t" inset="0,0,0,0">
                  <w:txbxContent>
                    <w:p w:rsidR="00665624" w:rsidRPr="000E6FBD" w:rsidRDefault="00665624" w:rsidP="000E6FBD">
                      <w:pPr>
                        <w:pStyle w:val="Nzev"/>
                      </w:pPr>
                      <w:r>
                        <w:t>the czech economy development</w:t>
                      </w:r>
                    </w:p>
                    <w:p w:rsidR="00665624" w:rsidRPr="0012192F" w:rsidRDefault="00665624" w:rsidP="0012192F">
                      <w:pPr>
                        <w:pStyle w:val="Podnadpis"/>
                      </w:pPr>
                    </w:p>
                    <w:p w:rsidR="00665624" w:rsidRPr="003E016B" w:rsidRDefault="00665624" w:rsidP="000F090B">
                      <w:pPr>
                        <w:pStyle w:val="Podnadpis"/>
                        <w:rPr>
                          <w:lang w:val="en-GB"/>
                        </w:rPr>
                      </w:pPr>
                      <w:r w:rsidRPr="003E016B">
                        <w:rPr>
                          <w:lang w:val="en-GB"/>
                        </w:rPr>
                        <w:t>First half of 2019</w:t>
                      </w:r>
                    </w:p>
                  </w:txbxContent>
                </v:textbox>
                <w10:wrap anchorx="page" anchory="page"/>
                <w10:anchorlock/>
              </v:shape>
            </w:pict>
          </mc:Fallback>
        </mc:AlternateContent>
      </w:r>
      <w:r w:rsidRPr="00A17559">
        <w:rPr>
          <w:noProof/>
        </w:rPr>
        <mc:AlternateContent>
          <mc:Choice Requires="wps">
            <w:drawing>
              <wp:anchor distT="0" distB="0" distL="114300" distR="114300" simplePos="0" relativeHeight="251658752" behindDoc="0" locked="1" layoutInCell="1" allowOverlap="1" wp14:anchorId="211D308C" wp14:editId="77DC381B">
                <wp:simplePos x="0" y="0"/>
                <wp:positionH relativeFrom="page">
                  <wp:posOffset>1710055</wp:posOffset>
                </wp:positionH>
                <wp:positionV relativeFrom="page">
                  <wp:posOffset>9649460</wp:posOffset>
                </wp:positionV>
                <wp:extent cx="5130165" cy="179705"/>
                <wp:effectExtent l="0" t="0" r="0" b="0"/>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624" w:rsidRPr="004924DC" w:rsidRDefault="00665624" w:rsidP="004924DC">
                            <w:r>
                              <w:t xml:space="preserve">© </w:t>
                            </w:r>
                            <w:r w:rsidRPr="00BC1DF4">
                              <w:rPr>
                                <w:lang w:val="en-GB"/>
                              </w:rPr>
                              <w:t>Czech Statistical Office, Prague, 2019</w:t>
                            </w:r>
                          </w:p>
                          <w:p w:rsidR="00665624" w:rsidRPr="005251DD" w:rsidRDefault="00665624" w:rsidP="00665BA4"/>
                          <w:p w:rsidR="00665624" w:rsidRPr="005251DD" w:rsidRDefault="00665624" w:rsidP="00FC684B"/>
                          <w:p w:rsidR="00665624" w:rsidRDefault="00665624"/>
                          <w:p w:rsidR="00665624" w:rsidRPr="00097407" w:rsidRDefault="00665624" w:rsidP="00665BA4">
                            <w:r w:rsidRPr="00097407">
                              <w:t xml:space="preserve">© </w:t>
                            </w:r>
                            <w:r w:rsidRPr="005251DD">
                              <w:t>Český statistický úřad</w:t>
                            </w:r>
                            <w:r>
                              <w:t xml:space="preserve"> / </w:t>
                            </w:r>
                            <w:r w:rsidRPr="009A1902">
                              <w:rPr>
                                <w:i/>
                              </w:rPr>
                              <w:t xml:space="preserve">Czech </w:t>
                            </w:r>
                            <w:r w:rsidRPr="009A1902">
                              <w:rPr>
                                <w:rFonts w:cs="Arial"/>
                                <w:i/>
                                <w:szCs w:val="20"/>
                              </w:rPr>
                              <w:t>Statistical Office</w:t>
                            </w:r>
                            <w:r w:rsidRPr="00097407">
                              <w:t>, místo, rok vydání</w:t>
                            </w:r>
                          </w:p>
                          <w:p w:rsidR="00665624" w:rsidRPr="005251DD" w:rsidRDefault="00665624" w:rsidP="00665BA4"/>
                          <w:p w:rsidR="00665624" w:rsidRPr="005251DD" w:rsidRDefault="00665624"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D308C" id="_x0000_s1029" type="#_x0000_t202" style="position:absolute;left:0;text-align:left;margin-left:134.65pt;margin-top:759.8pt;width:403.9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MkugIAALY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" filled="f" stroked="f">
                <v:textbox inset="0,0,0,0">
                  <w:txbxContent>
                    <w:p w:rsidR="00665624" w:rsidRPr="004924DC" w:rsidRDefault="00665624" w:rsidP="004924DC">
                      <w:r>
                        <w:t xml:space="preserve">© </w:t>
                      </w:r>
                      <w:r w:rsidRPr="00BC1DF4">
                        <w:rPr>
                          <w:lang w:val="en-GB"/>
                        </w:rPr>
                        <w:t>Czech Statistical Office, Prague, 2019</w:t>
                      </w:r>
                    </w:p>
                    <w:p w:rsidR="00665624" w:rsidRPr="005251DD" w:rsidRDefault="00665624" w:rsidP="00665BA4"/>
                    <w:p w:rsidR="00665624" w:rsidRPr="005251DD" w:rsidRDefault="00665624" w:rsidP="00FC684B"/>
                    <w:p w:rsidR="00665624" w:rsidRDefault="00665624"/>
                    <w:p w:rsidR="00665624" w:rsidRPr="00097407" w:rsidRDefault="00665624" w:rsidP="00665BA4">
                      <w:r w:rsidRPr="00097407">
                        <w:t xml:space="preserve">© </w:t>
                      </w:r>
                      <w:r w:rsidRPr="005251DD">
                        <w:t>Český statistický úřad</w:t>
                      </w:r>
                      <w:r>
                        <w:t xml:space="preserve"> / </w:t>
                      </w:r>
                      <w:r w:rsidRPr="009A1902">
                        <w:rPr>
                          <w:i/>
                        </w:rPr>
                        <w:t xml:space="preserve">Czech </w:t>
                      </w:r>
                      <w:r w:rsidRPr="009A1902">
                        <w:rPr>
                          <w:rFonts w:cs="Arial"/>
                          <w:i/>
                          <w:szCs w:val="20"/>
                        </w:rPr>
                        <w:t>Statistical Office</w:t>
                      </w:r>
                      <w:r w:rsidRPr="00097407">
                        <w:t>, místo, rok vydání</w:t>
                      </w:r>
                    </w:p>
                    <w:p w:rsidR="00665624" w:rsidRPr="005251DD" w:rsidRDefault="00665624" w:rsidP="00665BA4"/>
                    <w:p w:rsidR="00665624" w:rsidRPr="005251DD" w:rsidRDefault="00665624" w:rsidP="00FC684B"/>
                  </w:txbxContent>
                </v:textbox>
                <w10:wrap anchorx="page" anchory="page"/>
                <w10:anchorlock/>
              </v:shape>
            </w:pict>
          </mc:Fallback>
        </mc:AlternateContent>
      </w:r>
      <w:r w:rsidRPr="00A17559">
        <w:rPr>
          <w:noProof/>
        </w:rPr>
        <mc:AlternateContent>
          <mc:Choice Requires="wps">
            <w:drawing>
              <wp:anchor distT="4294967293" distB="4294967293" distL="114300" distR="114300" simplePos="0" relativeHeight="251653632" behindDoc="0" locked="1" layoutInCell="0" allowOverlap="1" wp14:anchorId="56616E6D" wp14:editId="72D626EF">
                <wp:simplePos x="0" y="0"/>
                <wp:positionH relativeFrom="page">
                  <wp:posOffset>1710055</wp:posOffset>
                </wp:positionH>
                <wp:positionV relativeFrom="page">
                  <wp:posOffset>9361169</wp:posOffset>
                </wp:positionV>
                <wp:extent cx="5130165" cy="0"/>
                <wp:effectExtent l="0" t="0" r="13335" b="0"/>
                <wp:wrapNone/>
                <wp:docPr id="17"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403375" id="Přímá spojnice 33" o:spid="_x0000_s1026" style="position:absolute;z-index:2516536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BwZiEp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mc:Fallback>
        </mc:AlternateContent>
      </w:r>
      <w:r w:rsidR="00F63FB7" w:rsidRPr="00A17559">
        <w:rPr>
          <w:lang w:val="en-GB"/>
        </w:rPr>
        <w:br w:type="page"/>
      </w:r>
      <w:r w:rsidR="00D57677" w:rsidRPr="00A17559">
        <w:rPr>
          <w:lang w:val="en-GB"/>
        </w:rPr>
        <w:lastRenderedPageBreak/>
        <w:br w:type="page"/>
      </w:r>
      <w:r w:rsidRPr="00A17559">
        <w:rPr>
          <w:noProof/>
        </w:rPr>
        <mc:AlternateContent>
          <mc:Choice Requires="wps">
            <w:drawing>
              <wp:anchor distT="0" distB="0" distL="114300" distR="114300" simplePos="0" relativeHeight="251659776" behindDoc="0" locked="1" layoutInCell="1" allowOverlap="1" wp14:anchorId="1CA088C6" wp14:editId="55ABE7C6">
                <wp:simplePos x="0" y="0"/>
                <wp:positionH relativeFrom="page">
                  <wp:posOffset>723900</wp:posOffset>
                </wp:positionH>
                <wp:positionV relativeFrom="page">
                  <wp:posOffset>1440180</wp:posOffset>
                </wp:positionV>
                <wp:extent cx="6119495" cy="7673340"/>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67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624" w:rsidRPr="00C90107" w:rsidRDefault="00665624" w:rsidP="006F5416">
                            <w:pPr>
                              <w:pStyle w:val="TLKontaktyerven"/>
                              <w:rPr>
                                <w:lang w:val="en-GB"/>
                              </w:rPr>
                            </w:pPr>
                            <w:r w:rsidRPr="00C90107">
                              <w:rPr>
                                <w:lang w:val="en-GB"/>
                              </w:rPr>
                              <w:t>contacts in the headquarters</w:t>
                            </w:r>
                          </w:p>
                          <w:p w:rsidR="00665624" w:rsidRPr="00C90107" w:rsidRDefault="00665624" w:rsidP="00825C4D">
                            <w:pPr>
                              <w:pStyle w:val="TLKontakty"/>
                              <w:spacing w:after="80" w:line="240" w:lineRule="auto"/>
                              <w:contextualSpacing w:val="0"/>
                              <w:rPr>
                                <w:b w:val="0"/>
                                <w:color w:val="auto"/>
                                <w:lang w:val="en-GB"/>
                              </w:rPr>
                            </w:pPr>
                            <w:r w:rsidRPr="00C90107">
                              <w:rPr>
                                <w:lang w:val="en-GB"/>
                              </w:rPr>
                              <w:t>Czech Statistical Office</w:t>
                            </w:r>
                            <w:r w:rsidRPr="00C90107">
                              <w:rPr>
                                <w:b w:val="0"/>
                                <w:color w:val="auto"/>
                                <w:lang w:val="en-GB"/>
                              </w:rPr>
                              <w:t xml:space="preserve"> | Na padesátém 81, 100 82 Prague 10, ph.: 274 051 111 | </w:t>
                            </w:r>
                            <w:r w:rsidRPr="00C90107">
                              <w:rPr>
                                <w:color w:val="auto"/>
                                <w:lang w:val="en-GB"/>
                              </w:rPr>
                              <w:t>www.czso.cz</w:t>
                            </w:r>
                          </w:p>
                          <w:p w:rsidR="00665624" w:rsidRPr="00A65711" w:rsidRDefault="00665624" w:rsidP="00825C4D">
                            <w:pPr>
                              <w:pStyle w:val="TLKontakty"/>
                              <w:spacing w:after="80" w:line="240" w:lineRule="auto"/>
                              <w:contextualSpacing w:val="0"/>
                              <w:rPr>
                                <w:b w:val="0"/>
                                <w:color w:val="auto"/>
                                <w:lang w:val="fr-FR"/>
                              </w:rPr>
                            </w:pPr>
                            <w:r w:rsidRPr="00A65711">
                              <w:rPr>
                                <w:color w:val="auto"/>
                                <w:lang w:val="fr-FR"/>
                              </w:rPr>
                              <w:t>Information Services</w:t>
                            </w:r>
                            <w:r w:rsidRPr="00A65711">
                              <w:rPr>
                                <w:b w:val="0"/>
                                <w:color w:val="auto"/>
                                <w:lang w:val="fr-FR"/>
                              </w:rPr>
                              <w:t xml:space="preserve"> | ph.: 274 052 304, 274 052 451 | e-mail: infoservis@czso.cz</w:t>
                            </w:r>
                          </w:p>
                          <w:p w:rsidR="00665624" w:rsidRPr="00C90107" w:rsidRDefault="00665624" w:rsidP="00825C4D">
                            <w:pPr>
                              <w:pStyle w:val="TLKontakty"/>
                              <w:spacing w:after="80" w:line="240" w:lineRule="auto"/>
                              <w:contextualSpacing w:val="0"/>
                              <w:rPr>
                                <w:b w:val="0"/>
                                <w:color w:val="auto"/>
                                <w:lang w:val="en-GB"/>
                              </w:rPr>
                            </w:pPr>
                            <w:r w:rsidRPr="00C90107">
                              <w:rPr>
                                <w:color w:val="auto"/>
                                <w:lang w:val="en-GB"/>
                              </w:rPr>
                              <w:t>CZSO Publication Shop</w:t>
                            </w:r>
                            <w:r w:rsidRPr="00C90107">
                              <w:rPr>
                                <w:b w:val="0"/>
                                <w:color w:val="auto"/>
                                <w:lang w:val="en-GB"/>
                              </w:rPr>
                              <w:t xml:space="preserve"> | ph.: 274 052 361 | e-mail: prodejna@czso.cz</w:t>
                            </w:r>
                          </w:p>
                          <w:p w:rsidR="00665624" w:rsidRPr="00C90107" w:rsidRDefault="00665624" w:rsidP="00825C4D">
                            <w:pPr>
                              <w:pStyle w:val="TLKontakty"/>
                              <w:spacing w:after="80" w:line="240" w:lineRule="auto"/>
                              <w:contextualSpacing w:val="0"/>
                              <w:rPr>
                                <w:b w:val="0"/>
                                <w:color w:val="auto"/>
                                <w:lang w:val="en-GB"/>
                              </w:rPr>
                            </w:pPr>
                            <w:r w:rsidRPr="00C90107">
                              <w:rPr>
                                <w:color w:val="auto"/>
                                <w:lang w:val="en-GB"/>
                              </w:rPr>
                              <w:t>European Data (ESDS), intern</w:t>
                            </w:r>
                            <w:r>
                              <w:rPr>
                                <w:color w:val="auto"/>
                                <w:lang w:val="en-GB"/>
                              </w:rPr>
                              <w:t>a</w:t>
                            </w:r>
                            <w:r w:rsidRPr="00C90107">
                              <w:rPr>
                                <w:color w:val="auto"/>
                                <w:lang w:val="en-GB"/>
                              </w:rPr>
                              <w:t>tional comparison</w:t>
                            </w:r>
                            <w:r w:rsidRPr="00C90107">
                              <w:rPr>
                                <w:b w:val="0"/>
                                <w:color w:val="auto"/>
                                <w:lang w:val="en-GB"/>
                              </w:rPr>
                              <w:t xml:space="preserve"> | ph.: 274 052 347 | e-mail: esds@czso.cz</w:t>
                            </w:r>
                          </w:p>
                          <w:p w:rsidR="00665624" w:rsidRPr="00C90107" w:rsidRDefault="00665624" w:rsidP="00825C4D">
                            <w:pPr>
                              <w:pStyle w:val="TLKontakty"/>
                              <w:spacing w:after="80" w:line="240" w:lineRule="auto"/>
                              <w:contextualSpacing w:val="0"/>
                              <w:rPr>
                                <w:b w:val="0"/>
                                <w:color w:val="auto"/>
                                <w:lang w:val="en-GB"/>
                              </w:rPr>
                            </w:pPr>
                            <w:r>
                              <w:rPr>
                                <w:color w:val="auto"/>
                                <w:lang w:val="en-GB"/>
                              </w:rPr>
                              <w:t>Central Statistical Library</w:t>
                            </w:r>
                            <w:r w:rsidRPr="00C90107">
                              <w:rPr>
                                <w:b w:val="0"/>
                                <w:color w:val="auto"/>
                                <w:lang w:val="en-GB"/>
                              </w:rPr>
                              <w:t xml:space="preserve"> | </w:t>
                            </w:r>
                            <w:r>
                              <w:rPr>
                                <w:b w:val="0"/>
                                <w:color w:val="auto"/>
                                <w:lang w:val="en-GB"/>
                              </w:rPr>
                              <w:t>ph</w:t>
                            </w:r>
                            <w:r w:rsidRPr="00C90107">
                              <w:rPr>
                                <w:b w:val="0"/>
                                <w:color w:val="auto"/>
                                <w:lang w:val="en-GB"/>
                              </w:rPr>
                              <w:t>.: 274 052 361 | e-mail: knihovna@czso.cz</w:t>
                            </w:r>
                          </w:p>
                          <w:p w:rsidR="00665624" w:rsidRPr="004A61C5" w:rsidRDefault="00665624" w:rsidP="00825C4D">
                            <w:pPr>
                              <w:pStyle w:val="TLKontakty"/>
                              <w:spacing w:after="80" w:line="240" w:lineRule="auto"/>
                              <w:contextualSpacing w:val="0"/>
                              <w:rPr>
                                <w:color w:val="auto"/>
                              </w:rPr>
                            </w:pPr>
                          </w:p>
                          <w:p w:rsidR="00665624" w:rsidRPr="00D66223" w:rsidRDefault="00665624" w:rsidP="00D66223">
                            <w:pPr>
                              <w:pStyle w:val="TLKontaktyerven"/>
                            </w:pPr>
                            <w:r w:rsidRPr="00D66223">
                              <w:t>INFORMA</w:t>
                            </w:r>
                            <w:r>
                              <w:t>tion services in the regions</w:t>
                            </w:r>
                          </w:p>
                          <w:p w:rsidR="00665624" w:rsidRPr="00992CF3" w:rsidRDefault="00665624" w:rsidP="00825C4D">
                            <w:pPr>
                              <w:pStyle w:val="TLKontakty"/>
                              <w:spacing w:after="80" w:line="240" w:lineRule="auto"/>
                              <w:rPr>
                                <w:b w:val="0"/>
                                <w:color w:val="auto"/>
                              </w:rPr>
                            </w:pPr>
                            <w:r>
                              <w:t>Capital City Prague</w:t>
                            </w:r>
                            <w:r w:rsidRPr="00992CF3">
                              <w:rPr>
                                <w:b w:val="0"/>
                                <w:color w:val="auto"/>
                              </w:rPr>
                              <w:t xml:space="preserve"> | Na</w:t>
                            </w:r>
                            <w:r>
                              <w:rPr>
                                <w:b w:val="0"/>
                                <w:color w:val="auto"/>
                              </w:rPr>
                              <w:t xml:space="preserve"> padesátém 81, 100 82 Praha 10, ph</w:t>
                            </w:r>
                            <w:r w:rsidRPr="00992CF3">
                              <w:rPr>
                                <w:b w:val="0"/>
                                <w:color w:val="auto"/>
                              </w:rPr>
                              <w:t>.</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rsidR="00665624" w:rsidRPr="00992CF3" w:rsidRDefault="00665624"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rsidR="00665624" w:rsidRPr="004A61C5" w:rsidRDefault="00665624" w:rsidP="00825C4D">
                            <w:pPr>
                              <w:pStyle w:val="TLKontakty"/>
                              <w:spacing w:after="80" w:line="240" w:lineRule="auto"/>
                              <w:rPr>
                                <w:color w:val="auto"/>
                              </w:rPr>
                            </w:pPr>
                          </w:p>
                          <w:p w:rsidR="00665624" w:rsidRPr="00992CF3" w:rsidRDefault="00665624" w:rsidP="00825C4D">
                            <w:pPr>
                              <w:pStyle w:val="TLKontakty"/>
                              <w:spacing w:after="80" w:line="240" w:lineRule="auto"/>
                              <w:rPr>
                                <w:b w:val="0"/>
                                <w:color w:val="auto"/>
                              </w:rPr>
                            </w:pPr>
                            <w:r>
                              <w:t>Central Bohemia</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10, ph</w:t>
                            </w:r>
                            <w:r w:rsidRPr="00992CF3">
                              <w:rPr>
                                <w:b w:val="0"/>
                                <w:color w:val="auto"/>
                              </w:rPr>
                              <w:t>.</w:t>
                            </w:r>
                            <w:r>
                              <w:rPr>
                                <w:b w:val="0"/>
                                <w:color w:val="auto"/>
                              </w:rPr>
                              <w:t xml:space="preserve">: </w:t>
                            </w:r>
                            <w:r w:rsidRPr="00992CF3">
                              <w:rPr>
                                <w:b w:val="0"/>
                                <w:color w:val="auto"/>
                              </w:rPr>
                              <w:t>274</w:t>
                            </w:r>
                            <w:r>
                              <w:rPr>
                                <w:b w:val="0"/>
                                <w:color w:val="auto"/>
                              </w:rPr>
                              <w:t> </w:t>
                            </w:r>
                            <w:r w:rsidRPr="00992CF3">
                              <w:rPr>
                                <w:b w:val="0"/>
                                <w:color w:val="auto"/>
                              </w:rPr>
                              <w:t>054 175</w:t>
                            </w:r>
                          </w:p>
                          <w:p w:rsidR="00665624" w:rsidRPr="00992CF3" w:rsidRDefault="00665624"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rsidR="00665624" w:rsidRPr="004A61C5" w:rsidRDefault="00665624" w:rsidP="00825C4D">
                            <w:pPr>
                              <w:pStyle w:val="TLKontakty"/>
                              <w:spacing w:after="80" w:line="240" w:lineRule="auto"/>
                              <w:rPr>
                                <w:color w:val="auto"/>
                              </w:rPr>
                            </w:pPr>
                          </w:p>
                          <w:p w:rsidR="00665624" w:rsidRPr="00992CF3" w:rsidRDefault="00665624"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ph</w:t>
                            </w:r>
                            <w:r w:rsidRPr="00992CF3">
                              <w:rPr>
                                <w:b w:val="0"/>
                                <w:color w:val="auto"/>
                              </w:rPr>
                              <w:t>.</w:t>
                            </w:r>
                            <w:r>
                              <w:rPr>
                                <w:b w:val="0"/>
                                <w:color w:val="auto"/>
                              </w:rPr>
                              <w:t xml:space="preserve">: </w:t>
                            </w:r>
                            <w:r w:rsidRPr="00992CF3">
                              <w:rPr>
                                <w:b w:val="0"/>
                                <w:color w:val="auto"/>
                              </w:rPr>
                              <w:t>386</w:t>
                            </w:r>
                            <w:r>
                              <w:rPr>
                                <w:b w:val="0"/>
                                <w:color w:val="auto"/>
                              </w:rPr>
                              <w:t> </w:t>
                            </w:r>
                            <w:r w:rsidRPr="00992CF3">
                              <w:rPr>
                                <w:b w:val="0"/>
                                <w:color w:val="auto"/>
                              </w:rPr>
                              <w:t>718 440</w:t>
                            </w:r>
                          </w:p>
                          <w:p w:rsidR="00665624" w:rsidRPr="00992CF3" w:rsidRDefault="00665624"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rsidR="00665624" w:rsidRPr="004A61C5" w:rsidRDefault="00665624" w:rsidP="00825C4D">
                            <w:pPr>
                              <w:pStyle w:val="TLKontakty"/>
                              <w:spacing w:after="80" w:line="240" w:lineRule="auto"/>
                              <w:rPr>
                                <w:color w:val="auto"/>
                              </w:rPr>
                            </w:pPr>
                          </w:p>
                          <w:p w:rsidR="00665624" w:rsidRPr="00BC731E" w:rsidRDefault="00665624"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ph</w:t>
                            </w:r>
                            <w:r w:rsidRPr="004A61C5">
                              <w:rPr>
                                <w:b w:val="0"/>
                                <w:color w:val="auto"/>
                              </w:rPr>
                              <w:t>.</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rsidR="00665624" w:rsidRPr="004A61C5" w:rsidRDefault="00665624"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rsidR="00665624" w:rsidRPr="004A61C5" w:rsidRDefault="00665624" w:rsidP="00825C4D">
                            <w:pPr>
                              <w:pStyle w:val="TLKontakty"/>
                              <w:spacing w:after="80" w:line="240" w:lineRule="auto"/>
                              <w:rPr>
                                <w:color w:val="auto"/>
                              </w:rPr>
                            </w:pPr>
                          </w:p>
                          <w:p w:rsidR="00665624" w:rsidRPr="004A61C5" w:rsidRDefault="00665624"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Pr>
                                <w:b w:val="0"/>
                                <w:color w:val="auto"/>
                              </w:rPr>
                              <w:t>, ph</w:t>
                            </w:r>
                            <w:r w:rsidRPr="004A61C5">
                              <w:rPr>
                                <w:b w:val="0"/>
                                <w:color w:val="auto"/>
                              </w:rPr>
                              <w:t>.</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rsidR="00665624" w:rsidRPr="004A61C5" w:rsidRDefault="00665624"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rsidR="00665624" w:rsidRPr="004A61C5" w:rsidRDefault="00665624" w:rsidP="00825C4D">
                            <w:pPr>
                              <w:pStyle w:val="TLKontakty"/>
                              <w:spacing w:after="80" w:line="240" w:lineRule="auto"/>
                              <w:rPr>
                                <w:color w:val="auto"/>
                              </w:rPr>
                            </w:pPr>
                          </w:p>
                          <w:p w:rsidR="00665624" w:rsidRPr="004A61C5" w:rsidRDefault="00665624"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ph</w:t>
                            </w:r>
                            <w:r w:rsidRPr="004A61C5">
                              <w:rPr>
                                <w:b w:val="0"/>
                                <w:color w:val="auto"/>
                              </w:rPr>
                              <w:t>.</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rsidR="00665624" w:rsidRPr="004A61C5" w:rsidRDefault="00665624"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rsidR="00665624" w:rsidRPr="004A61C5" w:rsidRDefault="00665624" w:rsidP="00825C4D">
                            <w:pPr>
                              <w:pStyle w:val="TLKontakty"/>
                              <w:spacing w:after="80" w:line="240" w:lineRule="auto"/>
                              <w:rPr>
                                <w:color w:val="auto"/>
                              </w:rPr>
                            </w:pPr>
                          </w:p>
                          <w:p w:rsidR="00665624" w:rsidRPr="004A61C5" w:rsidRDefault="00665624"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1, ph</w:t>
                            </w:r>
                            <w:r w:rsidRPr="004A61C5">
                              <w:rPr>
                                <w:b w:val="0"/>
                                <w:color w:val="auto"/>
                              </w:rPr>
                              <w:t>.</w:t>
                            </w:r>
                            <w:r>
                              <w:rPr>
                                <w:b w:val="0"/>
                                <w:color w:val="auto"/>
                              </w:rPr>
                              <w:t xml:space="preserve">: </w:t>
                            </w:r>
                            <w:r w:rsidRPr="004A61C5">
                              <w:rPr>
                                <w:b w:val="0"/>
                                <w:color w:val="auto"/>
                              </w:rPr>
                              <w:t>485</w:t>
                            </w:r>
                            <w:r>
                              <w:rPr>
                                <w:b w:val="0"/>
                                <w:color w:val="auto"/>
                              </w:rPr>
                              <w:t> </w:t>
                            </w:r>
                            <w:r w:rsidRPr="004A61C5">
                              <w:rPr>
                                <w:b w:val="0"/>
                                <w:color w:val="auto"/>
                              </w:rPr>
                              <w:t>238 811</w:t>
                            </w:r>
                          </w:p>
                          <w:p w:rsidR="00665624" w:rsidRPr="004A61C5" w:rsidRDefault="00665624"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rsidR="00665624" w:rsidRPr="004A61C5" w:rsidRDefault="00665624" w:rsidP="00825C4D">
                            <w:pPr>
                              <w:pStyle w:val="TLKontakty"/>
                              <w:spacing w:after="80" w:line="240" w:lineRule="auto"/>
                              <w:rPr>
                                <w:b w:val="0"/>
                                <w:color w:val="auto"/>
                              </w:rPr>
                            </w:pPr>
                          </w:p>
                          <w:p w:rsidR="00665624" w:rsidRPr="004A61C5" w:rsidRDefault="00665624"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ph.</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rsidR="00665624" w:rsidRPr="004A61C5" w:rsidRDefault="00665624"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rsidR="00665624" w:rsidRPr="004A61C5" w:rsidRDefault="00665624" w:rsidP="00825C4D">
                            <w:pPr>
                              <w:pStyle w:val="TLKontakty"/>
                              <w:spacing w:after="80" w:line="240" w:lineRule="auto"/>
                              <w:rPr>
                                <w:color w:val="auto"/>
                              </w:rPr>
                            </w:pPr>
                          </w:p>
                          <w:p w:rsidR="00665624" w:rsidRPr="004A61C5" w:rsidRDefault="00665624"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ph</w:t>
                            </w:r>
                            <w:r w:rsidRPr="004A61C5">
                              <w:rPr>
                                <w:b w:val="0"/>
                                <w:color w:val="auto"/>
                              </w:rPr>
                              <w:t>.</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rsidR="00665624" w:rsidRPr="004A61C5" w:rsidRDefault="00665624"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rsidR="00665624" w:rsidRPr="004A61C5" w:rsidRDefault="00665624" w:rsidP="00825C4D">
                            <w:pPr>
                              <w:pStyle w:val="TLKontakty"/>
                              <w:spacing w:after="80" w:line="240" w:lineRule="auto"/>
                              <w:rPr>
                                <w:b w:val="0"/>
                                <w:color w:val="auto"/>
                              </w:rPr>
                            </w:pPr>
                          </w:p>
                          <w:p w:rsidR="00665624" w:rsidRPr="004A61C5" w:rsidRDefault="00665624"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ph.: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rsidR="00665624" w:rsidRPr="004A61C5" w:rsidRDefault="00665624"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rsidR="00665624" w:rsidRDefault="00665624" w:rsidP="00825C4D">
                            <w:pPr>
                              <w:pStyle w:val="TLKontakty"/>
                              <w:spacing w:after="80" w:line="240" w:lineRule="auto"/>
                            </w:pPr>
                          </w:p>
                          <w:p w:rsidR="00665624" w:rsidRPr="00BC731E" w:rsidRDefault="00665624"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ph.: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rsidR="00665624" w:rsidRPr="004A61C5" w:rsidRDefault="00665624"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rsidR="00665624" w:rsidRPr="004A61C5" w:rsidRDefault="00665624" w:rsidP="00825C4D">
                            <w:pPr>
                              <w:pStyle w:val="TLKontakty"/>
                              <w:spacing w:after="80" w:line="240" w:lineRule="auto"/>
                              <w:rPr>
                                <w:b w:val="0"/>
                                <w:color w:val="auto"/>
                              </w:rPr>
                            </w:pPr>
                          </w:p>
                          <w:p w:rsidR="00665624" w:rsidRPr="005E7C78" w:rsidRDefault="00665624"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ph.: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rsidR="00665624" w:rsidRPr="005E7C78" w:rsidRDefault="00665624"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rsidR="00665624" w:rsidRPr="005E7C78" w:rsidRDefault="00665624" w:rsidP="00825C4D">
                            <w:pPr>
                              <w:pStyle w:val="TLKontakty"/>
                              <w:spacing w:after="80" w:line="240" w:lineRule="auto"/>
                              <w:rPr>
                                <w:b w:val="0"/>
                                <w:color w:val="auto"/>
                              </w:rPr>
                            </w:pPr>
                          </w:p>
                          <w:p w:rsidR="00665624" w:rsidRPr="005E7C78" w:rsidRDefault="00665624"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Pr>
                                <w:b w:val="0"/>
                                <w:color w:val="auto"/>
                              </w:rPr>
                              <w:t>ph</w:t>
                            </w:r>
                            <w:r w:rsidRPr="00BC731E">
                              <w:rPr>
                                <w:b w:val="0"/>
                                <w:color w:val="auto"/>
                              </w:rPr>
                              <w:t>.: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rsidR="00665624" w:rsidRDefault="00665624"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rsidR="00665624" w:rsidRPr="005E7C78" w:rsidRDefault="00665624" w:rsidP="00095135">
                            <w:pPr>
                              <w:pStyle w:val="TLKontakty"/>
                              <w:spacing w:after="80" w:line="240" w:lineRule="auto"/>
                              <w:rPr>
                                <w:b w:val="0"/>
                                <w:color w:val="auto"/>
                              </w:rPr>
                            </w:pPr>
                          </w:p>
                          <w:p w:rsidR="00665624" w:rsidRPr="005E7C78" w:rsidRDefault="00665624"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ph.: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rsidR="00665624" w:rsidRPr="00095135" w:rsidRDefault="00665624"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CA088C6" id="_x0000_s1030" type="#_x0000_t202" style="position:absolute;left:0;text-align:left;margin-left:57pt;margin-top:113.4pt;width:481.85pt;height:60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" filled="f" stroked="f">
                <v:textbox style="mso-fit-shape-to-text:t" inset="0,0,0,0">
                  <w:txbxContent>
                    <w:p w:rsidR="00665624" w:rsidRPr="00C90107" w:rsidRDefault="00665624" w:rsidP="006F5416">
                      <w:pPr>
                        <w:pStyle w:val="TLKontaktyerven"/>
                        <w:rPr>
                          <w:lang w:val="en-GB"/>
                        </w:rPr>
                      </w:pPr>
                      <w:r w:rsidRPr="00C90107">
                        <w:rPr>
                          <w:lang w:val="en-GB"/>
                        </w:rPr>
                        <w:t>contacts in the headquarters</w:t>
                      </w:r>
                    </w:p>
                    <w:p w:rsidR="00665624" w:rsidRPr="00C90107" w:rsidRDefault="00665624" w:rsidP="00825C4D">
                      <w:pPr>
                        <w:pStyle w:val="TLKontakty"/>
                        <w:spacing w:after="80" w:line="240" w:lineRule="auto"/>
                        <w:contextualSpacing w:val="0"/>
                        <w:rPr>
                          <w:b w:val="0"/>
                          <w:color w:val="auto"/>
                          <w:lang w:val="en-GB"/>
                        </w:rPr>
                      </w:pPr>
                      <w:r w:rsidRPr="00C90107">
                        <w:rPr>
                          <w:lang w:val="en-GB"/>
                        </w:rPr>
                        <w:t>Czech Statistical Office</w:t>
                      </w:r>
                      <w:r w:rsidRPr="00C90107">
                        <w:rPr>
                          <w:b w:val="0"/>
                          <w:color w:val="auto"/>
                          <w:lang w:val="en-GB"/>
                        </w:rPr>
                        <w:t xml:space="preserve"> | Na padesátém 81, 100 82 Prague 10, ph.: 274 051 111 | </w:t>
                      </w:r>
                      <w:r w:rsidRPr="00C90107">
                        <w:rPr>
                          <w:color w:val="auto"/>
                          <w:lang w:val="en-GB"/>
                        </w:rPr>
                        <w:t>www.czso.cz</w:t>
                      </w:r>
                    </w:p>
                    <w:p w:rsidR="00665624" w:rsidRPr="00A65711" w:rsidRDefault="00665624" w:rsidP="00825C4D">
                      <w:pPr>
                        <w:pStyle w:val="TLKontakty"/>
                        <w:spacing w:after="80" w:line="240" w:lineRule="auto"/>
                        <w:contextualSpacing w:val="0"/>
                        <w:rPr>
                          <w:b w:val="0"/>
                          <w:color w:val="auto"/>
                          <w:lang w:val="fr-FR"/>
                        </w:rPr>
                      </w:pPr>
                      <w:r w:rsidRPr="00A65711">
                        <w:rPr>
                          <w:color w:val="auto"/>
                          <w:lang w:val="fr-FR"/>
                        </w:rPr>
                        <w:t>Information Services</w:t>
                      </w:r>
                      <w:r w:rsidRPr="00A65711">
                        <w:rPr>
                          <w:b w:val="0"/>
                          <w:color w:val="auto"/>
                          <w:lang w:val="fr-FR"/>
                        </w:rPr>
                        <w:t xml:space="preserve"> | ph.: 274 052 304, 274 052 451 | e-mail: infoservis@czso.cz</w:t>
                      </w:r>
                    </w:p>
                    <w:p w:rsidR="00665624" w:rsidRPr="00C90107" w:rsidRDefault="00665624" w:rsidP="00825C4D">
                      <w:pPr>
                        <w:pStyle w:val="TLKontakty"/>
                        <w:spacing w:after="80" w:line="240" w:lineRule="auto"/>
                        <w:contextualSpacing w:val="0"/>
                        <w:rPr>
                          <w:b w:val="0"/>
                          <w:color w:val="auto"/>
                          <w:lang w:val="en-GB"/>
                        </w:rPr>
                      </w:pPr>
                      <w:r w:rsidRPr="00C90107">
                        <w:rPr>
                          <w:color w:val="auto"/>
                          <w:lang w:val="en-GB"/>
                        </w:rPr>
                        <w:t>CZSO Publication Shop</w:t>
                      </w:r>
                      <w:r w:rsidRPr="00C90107">
                        <w:rPr>
                          <w:b w:val="0"/>
                          <w:color w:val="auto"/>
                          <w:lang w:val="en-GB"/>
                        </w:rPr>
                        <w:t xml:space="preserve"> | ph.: 274 052 361 | e-mail: prodejna@czso.cz</w:t>
                      </w:r>
                    </w:p>
                    <w:p w:rsidR="00665624" w:rsidRPr="00C90107" w:rsidRDefault="00665624" w:rsidP="00825C4D">
                      <w:pPr>
                        <w:pStyle w:val="TLKontakty"/>
                        <w:spacing w:after="80" w:line="240" w:lineRule="auto"/>
                        <w:contextualSpacing w:val="0"/>
                        <w:rPr>
                          <w:b w:val="0"/>
                          <w:color w:val="auto"/>
                          <w:lang w:val="en-GB"/>
                        </w:rPr>
                      </w:pPr>
                      <w:r w:rsidRPr="00C90107">
                        <w:rPr>
                          <w:color w:val="auto"/>
                          <w:lang w:val="en-GB"/>
                        </w:rPr>
                        <w:t>European Data (ESDS), intern</w:t>
                      </w:r>
                      <w:r>
                        <w:rPr>
                          <w:color w:val="auto"/>
                          <w:lang w:val="en-GB"/>
                        </w:rPr>
                        <w:t>a</w:t>
                      </w:r>
                      <w:r w:rsidRPr="00C90107">
                        <w:rPr>
                          <w:color w:val="auto"/>
                          <w:lang w:val="en-GB"/>
                        </w:rPr>
                        <w:t>tional comparison</w:t>
                      </w:r>
                      <w:r w:rsidRPr="00C90107">
                        <w:rPr>
                          <w:b w:val="0"/>
                          <w:color w:val="auto"/>
                          <w:lang w:val="en-GB"/>
                        </w:rPr>
                        <w:t xml:space="preserve"> | ph.: 274 052 347 | e-mail: esds@czso.cz</w:t>
                      </w:r>
                    </w:p>
                    <w:p w:rsidR="00665624" w:rsidRPr="00C90107" w:rsidRDefault="00665624" w:rsidP="00825C4D">
                      <w:pPr>
                        <w:pStyle w:val="TLKontakty"/>
                        <w:spacing w:after="80" w:line="240" w:lineRule="auto"/>
                        <w:contextualSpacing w:val="0"/>
                        <w:rPr>
                          <w:b w:val="0"/>
                          <w:color w:val="auto"/>
                          <w:lang w:val="en-GB"/>
                        </w:rPr>
                      </w:pPr>
                      <w:r>
                        <w:rPr>
                          <w:color w:val="auto"/>
                          <w:lang w:val="en-GB"/>
                        </w:rPr>
                        <w:t>Central Statistical Library</w:t>
                      </w:r>
                      <w:r w:rsidRPr="00C90107">
                        <w:rPr>
                          <w:b w:val="0"/>
                          <w:color w:val="auto"/>
                          <w:lang w:val="en-GB"/>
                        </w:rPr>
                        <w:t xml:space="preserve"> | </w:t>
                      </w:r>
                      <w:r>
                        <w:rPr>
                          <w:b w:val="0"/>
                          <w:color w:val="auto"/>
                          <w:lang w:val="en-GB"/>
                        </w:rPr>
                        <w:t>ph</w:t>
                      </w:r>
                      <w:r w:rsidRPr="00C90107">
                        <w:rPr>
                          <w:b w:val="0"/>
                          <w:color w:val="auto"/>
                          <w:lang w:val="en-GB"/>
                        </w:rPr>
                        <w:t>.: 274 052 361 | e-mail: knihovna@czso.cz</w:t>
                      </w:r>
                    </w:p>
                    <w:p w:rsidR="00665624" w:rsidRPr="004A61C5" w:rsidRDefault="00665624" w:rsidP="00825C4D">
                      <w:pPr>
                        <w:pStyle w:val="TLKontakty"/>
                        <w:spacing w:after="80" w:line="240" w:lineRule="auto"/>
                        <w:contextualSpacing w:val="0"/>
                        <w:rPr>
                          <w:color w:val="auto"/>
                        </w:rPr>
                      </w:pPr>
                    </w:p>
                    <w:p w:rsidR="00665624" w:rsidRPr="00D66223" w:rsidRDefault="00665624" w:rsidP="00D66223">
                      <w:pPr>
                        <w:pStyle w:val="TLKontaktyerven"/>
                      </w:pPr>
                      <w:r w:rsidRPr="00D66223">
                        <w:t>INFORMA</w:t>
                      </w:r>
                      <w:r>
                        <w:t>tion services in the regions</w:t>
                      </w:r>
                    </w:p>
                    <w:p w:rsidR="00665624" w:rsidRPr="00992CF3" w:rsidRDefault="00665624" w:rsidP="00825C4D">
                      <w:pPr>
                        <w:pStyle w:val="TLKontakty"/>
                        <w:spacing w:after="80" w:line="240" w:lineRule="auto"/>
                        <w:rPr>
                          <w:b w:val="0"/>
                          <w:color w:val="auto"/>
                        </w:rPr>
                      </w:pPr>
                      <w:r>
                        <w:t>Capital City Prague</w:t>
                      </w:r>
                      <w:r w:rsidRPr="00992CF3">
                        <w:rPr>
                          <w:b w:val="0"/>
                          <w:color w:val="auto"/>
                        </w:rPr>
                        <w:t xml:space="preserve"> | Na</w:t>
                      </w:r>
                      <w:r>
                        <w:rPr>
                          <w:b w:val="0"/>
                          <w:color w:val="auto"/>
                        </w:rPr>
                        <w:t xml:space="preserve"> padesátém 81, 100 82 Praha 10, ph</w:t>
                      </w:r>
                      <w:r w:rsidRPr="00992CF3">
                        <w:rPr>
                          <w:b w:val="0"/>
                          <w:color w:val="auto"/>
                        </w:rPr>
                        <w:t>.</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rsidR="00665624" w:rsidRPr="00992CF3" w:rsidRDefault="00665624"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rsidR="00665624" w:rsidRPr="004A61C5" w:rsidRDefault="00665624" w:rsidP="00825C4D">
                      <w:pPr>
                        <w:pStyle w:val="TLKontakty"/>
                        <w:spacing w:after="80" w:line="240" w:lineRule="auto"/>
                        <w:rPr>
                          <w:color w:val="auto"/>
                        </w:rPr>
                      </w:pPr>
                    </w:p>
                    <w:p w:rsidR="00665624" w:rsidRPr="00992CF3" w:rsidRDefault="00665624" w:rsidP="00825C4D">
                      <w:pPr>
                        <w:pStyle w:val="TLKontakty"/>
                        <w:spacing w:after="80" w:line="240" w:lineRule="auto"/>
                        <w:rPr>
                          <w:b w:val="0"/>
                          <w:color w:val="auto"/>
                        </w:rPr>
                      </w:pPr>
                      <w:r>
                        <w:t>Central Bohemia</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10, ph</w:t>
                      </w:r>
                      <w:r w:rsidRPr="00992CF3">
                        <w:rPr>
                          <w:b w:val="0"/>
                          <w:color w:val="auto"/>
                        </w:rPr>
                        <w:t>.</w:t>
                      </w:r>
                      <w:r>
                        <w:rPr>
                          <w:b w:val="0"/>
                          <w:color w:val="auto"/>
                        </w:rPr>
                        <w:t xml:space="preserve">: </w:t>
                      </w:r>
                      <w:r w:rsidRPr="00992CF3">
                        <w:rPr>
                          <w:b w:val="0"/>
                          <w:color w:val="auto"/>
                        </w:rPr>
                        <w:t>274</w:t>
                      </w:r>
                      <w:r>
                        <w:rPr>
                          <w:b w:val="0"/>
                          <w:color w:val="auto"/>
                        </w:rPr>
                        <w:t> </w:t>
                      </w:r>
                      <w:r w:rsidRPr="00992CF3">
                        <w:rPr>
                          <w:b w:val="0"/>
                          <w:color w:val="auto"/>
                        </w:rPr>
                        <w:t>054 175</w:t>
                      </w:r>
                    </w:p>
                    <w:p w:rsidR="00665624" w:rsidRPr="00992CF3" w:rsidRDefault="00665624"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rsidR="00665624" w:rsidRPr="004A61C5" w:rsidRDefault="00665624" w:rsidP="00825C4D">
                      <w:pPr>
                        <w:pStyle w:val="TLKontakty"/>
                        <w:spacing w:after="80" w:line="240" w:lineRule="auto"/>
                        <w:rPr>
                          <w:color w:val="auto"/>
                        </w:rPr>
                      </w:pPr>
                    </w:p>
                    <w:p w:rsidR="00665624" w:rsidRPr="00992CF3" w:rsidRDefault="00665624"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ph</w:t>
                      </w:r>
                      <w:r w:rsidRPr="00992CF3">
                        <w:rPr>
                          <w:b w:val="0"/>
                          <w:color w:val="auto"/>
                        </w:rPr>
                        <w:t>.</w:t>
                      </w:r>
                      <w:r>
                        <w:rPr>
                          <w:b w:val="0"/>
                          <w:color w:val="auto"/>
                        </w:rPr>
                        <w:t xml:space="preserve">: </w:t>
                      </w:r>
                      <w:r w:rsidRPr="00992CF3">
                        <w:rPr>
                          <w:b w:val="0"/>
                          <w:color w:val="auto"/>
                        </w:rPr>
                        <w:t>386</w:t>
                      </w:r>
                      <w:r>
                        <w:rPr>
                          <w:b w:val="0"/>
                          <w:color w:val="auto"/>
                        </w:rPr>
                        <w:t> </w:t>
                      </w:r>
                      <w:r w:rsidRPr="00992CF3">
                        <w:rPr>
                          <w:b w:val="0"/>
                          <w:color w:val="auto"/>
                        </w:rPr>
                        <w:t>718 440</w:t>
                      </w:r>
                    </w:p>
                    <w:p w:rsidR="00665624" w:rsidRPr="00992CF3" w:rsidRDefault="00665624"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rsidR="00665624" w:rsidRPr="004A61C5" w:rsidRDefault="00665624" w:rsidP="00825C4D">
                      <w:pPr>
                        <w:pStyle w:val="TLKontakty"/>
                        <w:spacing w:after="80" w:line="240" w:lineRule="auto"/>
                        <w:rPr>
                          <w:color w:val="auto"/>
                        </w:rPr>
                      </w:pPr>
                    </w:p>
                    <w:p w:rsidR="00665624" w:rsidRPr="00BC731E" w:rsidRDefault="00665624"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ph</w:t>
                      </w:r>
                      <w:r w:rsidRPr="004A61C5">
                        <w:rPr>
                          <w:b w:val="0"/>
                          <w:color w:val="auto"/>
                        </w:rPr>
                        <w:t>.</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rsidR="00665624" w:rsidRPr="004A61C5" w:rsidRDefault="00665624"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rsidR="00665624" w:rsidRPr="004A61C5" w:rsidRDefault="00665624" w:rsidP="00825C4D">
                      <w:pPr>
                        <w:pStyle w:val="TLKontakty"/>
                        <w:spacing w:after="80" w:line="240" w:lineRule="auto"/>
                        <w:rPr>
                          <w:color w:val="auto"/>
                        </w:rPr>
                      </w:pPr>
                    </w:p>
                    <w:p w:rsidR="00665624" w:rsidRPr="004A61C5" w:rsidRDefault="00665624"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Pr>
                          <w:b w:val="0"/>
                          <w:color w:val="auto"/>
                        </w:rPr>
                        <w:t>, ph</w:t>
                      </w:r>
                      <w:r w:rsidRPr="004A61C5">
                        <w:rPr>
                          <w:b w:val="0"/>
                          <w:color w:val="auto"/>
                        </w:rPr>
                        <w:t>.</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rsidR="00665624" w:rsidRPr="004A61C5" w:rsidRDefault="00665624"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rsidR="00665624" w:rsidRPr="004A61C5" w:rsidRDefault="00665624" w:rsidP="00825C4D">
                      <w:pPr>
                        <w:pStyle w:val="TLKontakty"/>
                        <w:spacing w:after="80" w:line="240" w:lineRule="auto"/>
                        <w:rPr>
                          <w:color w:val="auto"/>
                        </w:rPr>
                      </w:pPr>
                    </w:p>
                    <w:p w:rsidR="00665624" w:rsidRPr="004A61C5" w:rsidRDefault="00665624"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ph</w:t>
                      </w:r>
                      <w:r w:rsidRPr="004A61C5">
                        <w:rPr>
                          <w:b w:val="0"/>
                          <w:color w:val="auto"/>
                        </w:rPr>
                        <w:t>.</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rsidR="00665624" w:rsidRPr="004A61C5" w:rsidRDefault="00665624"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rsidR="00665624" w:rsidRPr="004A61C5" w:rsidRDefault="00665624" w:rsidP="00825C4D">
                      <w:pPr>
                        <w:pStyle w:val="TLKontakty"/>
                        <w:spacing w:after="80" w:line="240" w:lineRule="auto"/>
                        <w:rPr>
                          <w:color w:val="auto"/>
                        </w:rPr>
                      </w:pPr>
                    </w:p>
                    <w:p w:rsidR="00665624" w:rsidRPr="004A61C5" w:rsidRDefault="00665624"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1, ph</w:t>
                      </w:r>
                      <w:r w:rsidRPr="004A61C5">
                        <w:rPr>
                          <w:b w:val="0"/>
                          <w:color w:val="auto"/>
                        </w:rPr>
                        <w:t>.</w:t>
                      </w:r>
                      <w:r>
                        <w:rPr>
                          <w:b w:val="0"/>
                          <w:color w:val="auto"/>
                        </w:rPr>
                        <w:t xml:space="preserve">: </w:t>
                      </w:r>
                      <w:r w:rsidRPr="004A61C5">
                        <w:rPr>
                          <w:b w:val="0"/>
                          <w:color w:val="auto"/>
                        </w:rPr>
                        <w:t>485</w:t>
                      </w:r>
                      <w:r>
                        <w:rPr>
                          <w:b w:val="0"/>
                          <w:color w:val="auto"/>
                        </w:rPr>
                        <w:t> </w:t>
                      </w:r>
                      <w:r w:rsidRPr="004A61C5">
                        <w:rPr>
                          <w:b w:val="0"/>
                          <w:color w:val="auto"/>
                        </w:rPr>
                        <w:t>238 811</w:t>
                      </w:r>
                    </w:p>
                    <w:p w:rsidR="00665624" w:rsidRPr="004A61C5" w:rsidRDefault="00665624"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rsidR="00665624" w:rsidRPr="004A61C5" w:rsidRDefault="00665624" w:rsidP="00825C4D">
                      <w:pPr>
                        <w:pStyle w:val="TLKontakty"/>
                        <w:spacing w:after="80" w:line="240" w:lineRule="auto"/>
                        <w:rPr>
                          <w:b w:val="0"/>
                          <w:color w:val="auto"/>
                        </w:rPr>
                      </w:pPr>
                    </w:p>
                    <w:p w:rsidR="00665624" w:rsidRPr="004A61C5" w:rsidRDefault="00665624"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ph.</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rsidR="00665624" w:rsidRPr="004A61C5" w:rsidRDefault="00665624"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rsidR="00665624" w:rsidRPr="004A61C5" w:rsidRDefault="00665624" w:rsidP="00825C4D">
                      <w:pPr>
                        <w:pStyle w:val="TLKontakty"/>
                        <w:spacing w:after="80" w:line="240" w:lineRule="auto"/>
                        <w:rPr>
                          <w:color w:val="auto"/>
                        </w:rPr>
                      </w:pPr>
                    </w:p>
                    <w:p w:rsidR="00665624" w:rsidRPr="004A61C5" w:rsidRDefault="00665624"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ph</w:t>
                      </w:r>
                      <w:r w:rsidRPr="004A61C5">
                        <w:rPr>
                          <w:b w:val="0"/>
                          <w:color w:val="auto"/>
                        </w:rPr>
                        <w:t>.</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rsidR="00665624" w:rsidRPr="004A61C5" w:rsidRDefault="00665624"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rsidR="00665624" w:rsidRPr="004A61C5" w:rsidRDefault="00665624" w:rsidP="00825C4D">
                      <w:pPr>
                        <w:pStyle w:val="TLKontakty"/>
                        <w:spacing w:after="80" w:line="240" w:lineRule="auto"/>
                        <w:rPr>
                          <w:b w:val="0"/>
                          <w:color w:val="auto"/>
                        </w:rPr>
                      </w:pPr>
                    </w:p>
                    <w:p w:rsidR="00665624" w:rsidRPr="004A61C5" w:rsidRDefault="00665624"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ph.: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rsidR="00665624" w:rsidRPr="004A61C5" w:rsidRDefault="00665624"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rsidR="00665624" w:rsidRDefault="00665624" w:rsidP="00825C4D">
                      <w:pPr>
                        <w:pStyle w:val="TLKontakty"/>
                        <w:spacing w:after="80" w:line="240" w:lineRule="auto"/>
                      </w:pPr>
                    </w:p>
                    <w:p w:rsidR="00665624" w:rsidRPr="00BC731E" w:rsidRDefault="00665624"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ph.: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rsidR="00665624" w:rsidRPr="004A61C5" w:rsidRDefault="00665624"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rsidR="00665624" w:rsidRPr="004A61C5" w:rsidRDefault="00665624" w:rsidP="00825C4D">
                      <w:pPr>
                        <w:pStyle w:val="TLKontakty"/>
                        <w:spacing w:after="80" w:line="240" w:lineRule="auto"/>
                        <w:rPr>
                          <w:b w:val="0"/>
                          <w:color w:val="auto"/>
                        </w:rPr>
                      </w:pPr>
                    </w:p>
                    <w:p w:rsidR="00665624" w:rsidRPr="005E7C78" w:rsidRDefault="00665624"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ph.: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rsidR="00665624" w:rsidRPr="005E7C78" w:rsidRDefault="00665624"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rsidR="00665624" w:rsidRPr="005E7C78" w:rsidRDefault="00665624" w:rsidP="00825C4D">
                      <w:pPr>
                        <w:pStyle w:val="TLKontakty"/>
                        <w:spacing w:after="80" w:line="240" w:lineRule="auto"/>
                        <w:rPr>
                          <w:b w:val="0"/>
                          <w:color w:val="auto"/>
                        </w:rPr>
                      </w:pPr>
                    </w:p>
                    <w:p w:rsidR="00665624" w:rsidRPr="005E7C78" w:rsidRDefault="00665624"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Pr>
                          <w:b w:val="0"/>
                          <w:color w:val="auto"/>
                        </w:rPr>
                        <w:t>ph</w:t>
                      </w:r>
                      <w:r w:rsidRPr="00BC731E">
                        <w:rPr>
                          <w:b w:val="0"/>
                          <w:color w:val="auto"/>
                        </w:rPr>
                        <w:t>.: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rsidR="00665624" w:rsidRDefault="00665624"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rsidR="00665624" w:rsidRPr="005E7C78" w:rsidRDefault="00665624" w:rsidP="00095135">
                      <w:pPr>
                        <w:pStyle w:val="TLKontakty"/>
                        <w:spacing w:after="80" w:line="240" w:lineRule="auto"/>
                        <w:rPr>
                          <w:b w:val="0"/>
                          <w:color w:val="auto"/>
                        </w:rPr>
                      </w:pPr>
                    </w:p>
                    <w:p w:rsidR="00665624" w:rsidRPr="005E7C78" w:rsidRDefault="00665624"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ph.: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rsidR="00665624" w:rsidRPr="00095135" w:rsidRDefault="00665624"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mc:Fallback>
        </mc:AlternateContent>
      </w:r>
      <w:r w:rsidRPr="00A17559">
        <w:rPr>
          <w:noProof/>
        </w:rPr>
        <mc:AlternateContent>
          <mc:Choice Requires="wps">
            <w:drawing>
              <wp:anchor distT="0" distB="0" distL="114300" distR="114300" simplePos="0" relativeHeight="251661824" behindDoc="0" locked="1" layoutInCell="1" allowOverlap="1" wp14:anchorId="3EE77A96" wp14:editId="5156964C">
                <wp:simplePos x="0" y="0"/>
                <wp:positionH relativeFrom="page">
                  <wp:posOffset>720090</wp:posOffset>
                </wp:positionH>
                <wp:positionV relativeFrom="page">
                  <wp:posOffset>9486900</wp:posOffset>
                </wp:positionV>
                <wp:extent cx="6120130" cy="360045"/>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624" w:rsidRPr="00321924" w:rsidRDefault="00665624" w:rsidP="00A16E1D">
                            <w:pPr>
                              <w:jc w:val="left"/>
                            </w:pPr>
                            <w:r>
                              <w:br/>
                              <w:t xml:space="preserve">© </w:t>
                            </w:r>
                            <w:r w:rsidRPr="004E1095">
                              <w:rPr>
                                <w:lang w:val="en-GB"/>
                              </w:rPr>
                              <w:t>Czech Statistical Office, Prague</w:t>
                            </w:r>
                            <w:r>
                              <w:t>, 2019</w:t>
                            </w:r>
                          </w:p>
                          <w:p w:rsidR="00665624" w:rsidRDefault="00665624"/>
                          <w:p w:rsidR="00665624" w:rsidRPr="00841D9F" w:rsidRDefault="00665624"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rsidR="00665624" w:rsidRPr="00AF2852" w:rsidRDefault="00665624" w:rsidP="000A3A2C">
                            <w:r w:rsidRPr="00841D9F">
                              <w:t>© Český sta</w:t>
                            </w:r>
                            <w:r>
                              <w:t xml:space="preserve">tistický úřad / </w:t>
                            </w:r>
                            <w:r w:rsidRPr="009A1902">
                              <w:rPr>
                                <w:i/>
                              </w:rPr>
                              <w:t xml:space="preserve">Czech </w:t>
                            </w:r>
                            <w:r w:rsidRPr="009A1902">
                              <w:rPr>
                                <w:rFonts w:cs="Arial"/>
                                <w:i/>
                                <w:szCs w:val="20"/>
                              </w:rPr>
                              <w:t>Statistical Office</w:t>
                            </w:r>
                            <w:r>
                              <w:t>, místo, rok vydání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77A96" id="_x0000_s1031" type="#_x0000_t202" style="position:absolute;left:0;text-align:left;margin-left:56.7pt;margin-top:747pt;width:481.9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NbuQ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" filled="f" stroked="f">
                <v:textbox inset="0,0,0,0">
                  <w:txbxContent>
                    <w:p w:rsidR="00665624" w:rsidRPr="00321924" w:rsidRDefault="00665624" w:rsidP="00A16E1D">
                      <w:pPr>
                        <w:jc w:val="left"/>
                      </w:pPr>
                      <w:r>
                        <w:br/>
                        <w:t xml:space="preserve">© </w:t>
                      </w:r>
                      <w:r w:rsidRPr="004E1095">
                        <w:rPr>
                          <w:lang w:val="en-GB"/>
                        </w:rPr>
                        <w:t>Czech Statistical Office, Prague</w:t>
                      </w:r>
                      <w:r>
                        <w:t>, 2019</w:t>
                      </w:r>
                    </w:p>
                    <w:p w:rsidR="00665624" w:rsidRDefault="00665624"/>
                    <w:p w:rsidR="00665624" w:rsidRPr="00841D9F" w:rsidRDefault="00665624"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rsidR="00665624" w:rsidRPr="00AF2852" w:rsidRDefault="00665624" w:rsidP="000A3A2C">
                      <w:r w:rsidRPr="00841D9F">
                        <w:t>© Český sta</w:t>
                      </w:r>
                      <w:r>
                        <w:t xml:space="preserve">tistický úřad / </w:t>
                      </w:r>
                      <w:r w:rsidRPr="009A1902">
                        <w:rPr>
                          <w:i/>
                        </w:rPr>
                        <w:t xml:space="preserve">Czech </w:t>
                      </w:r>
                      <w:r w:rsidRPr="009A1902">
                        <w:rPr>
                          <w:rFonts w:cs="Arial"/>
                          <w:i/>
                          <w:szCs w:val="20"/>
                        </w:rPr>
                        <w:t>Statistical Office</w:t>
                      </w:r>
                      <w:r>
                        <w:t>, místo, rok vydání</w:t>
                      </w:r>
                    </w:p>
                  </w:txbxContent>
                </v:textbox>
                <w10:wrap anchorx="page" anchory="page"/>
                <w10:anchorlock/>
              </v:shape>
            </w:pict>
          </mc:Fallback>
        </mc:AlternateContent>
      </w:r>
      <w:r w:rsidRPr="00A17559">
        <w:rPr>
          <w:noProof/>
        </w:rPr>
        <mc:AlternateContent>
          <mc:Choice Requires="wps">
            <w:drawing>
              <wp:anchor distT="0" distB="0" distL="114300" distR="114300" simplePos="0" relativeHeight="251660800" behindDoc="0" locked="1" layoutInCell="1" allowOverlap="1" wp14:anchorId="01D0B83B" wp14:editId="3F386203">
                <wp:simplePos x="0" y="0"/>
                <wp:positionH relativeFrom="page">
                  <wp:posOffset>723265</wp:posOffset>
                </wp:positionH>
                <wp:positionV relativeFrom="page">
                  <wp:posOffset>723265</wp:posOffset>
                </wp:positionV>
                <wp:extent cx="6119495" cy="555625"/>
                <wp:effectExtent l="0" t="0" r="0" b="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624" w:rsidRDefault="00665624" w:rsidP="00C90107">
                            <w:pPr>
                              <w:rPr>
                                <w:b/>
                                <w:bCs/>
                                <w:i/>
                                <w:sz w:val="24"/>
                              </w:rPr>
                            </w:pPr>
                            <w:r>
                              <w:rPr>
                                <w:b/>
                                <w:color w:val="0071BC"/>
                                <w:sz w:val="24"/>
                                <w:lang w:val="en-GB"/>
                              </w:rPr>
                              <w:t xml:space="preserve">Are you interested in the latest data connected with inflation, GDP, population, average wages and much more? You can find them on the CZSO web page: </w:t>
                            </w:r>
                            <w:r>
                              <w:rPr>
                                <w:b/>
                                <w:bCs/>
                                <w:sz w:val="24"/>
                              </w:rPr>
                              <w:t>www.czso.cz</w:t>
                            </w:r>
                          </w:p>
                          <w:p w:rsidR="00665624" w:rsidRPr="009A1902" w:rsidRDefault="00665624" w:rsidP="000A3A2C">
                            <w:pPr>
                              <w:rPr>
                                <w:b/>
                                <w:bCs/>
                                <w:i/>
                                <w:sz w:val="24"/>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D0B83B" id="_x0000_s1032" type="#_x0000_t202" style="position:absolute;left:0;text-align:left;margin-left:56.95pt;margin-top:56.95pt;width:481.85pt;height:43.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" filled="f" stroked="f">
                <v:textbox style="mso-fit-shape-to-text:t" inset="0,0,0,0">
                  <w:txbxContent>
                    <w:p w:rsidR="00665624" w:rsidRDefault="00665624" w:rsidP="00C90107">
                      <w:pPr>
                        <w:rPr>
                          <w:b/>
                          <w:bCs/>
                          <w:i/>
                          <w:sz w:val="24"/>
                        </w:rPr>
                      </w:pPr>
                      <w:r>
                        <w:rPr>
                          <w:b/>
                          <w:color w:val="0071BC"/>
                          <w:sz w:val="24"/>
                          <w:lang w:val="en-GB"/>
                        </w:rPr>
                        <w:t xml:space="preserve">Are you interested in the latest data connected with inflation, GDP, population, average wages and much more? You can find them on the CZSO web page: </w:t>
                      </w:r>
                      <w:r>
                        <w:rPr>
                          <w:b/>
                          <w:bCs/>
                          <w:sz w:val="24"/>
                        </w:rPr>
                        <w:t>www.czso.cz</w:t>
                      </w:r>
                    </w:p>
                    <w:p w:rsidR="00665624" w:rsidRPr="009A1902" w:rsidRDefault="00665624" w:rsidP="000A3A2C">
                      <w:pPr>
                        <w:rPr>
                          <w:b/>
                          <w:bCs/>
                          <w:i/>
                          <w:sz w:val="24"/>
                        </w:rPr>
                      </w:pPr>
                    </w:p>
                  </w:txbxContent>
                </v:textbox>
                <w10:wrap anchorx="page" anchory="page"/>
                <w10:anchorlock/>
              </v:shape>
            </w:pict>
          </mc:Fallback>
        </mc:AlternateContent>
      </w:r>
    </w:p>
    <w:sdt>
      <w:sdtPr>
        <w:rPr>
          <w:b w:val="0"/>
          <w:color w:val="auto"/>
          <w:sz w:val="20"/>
          <w:lang w:val="en-GB"/>
        </w:rPr>
        <w:id w:val="5357999"/>
        <w:docPartObj>
          <w:docPartGallery w:val="Table of Contents"/>
          <w:docPartUnique/>
        </w:docPartObj>
      </w:sdtPr>
      <w:sdtEndPr/>
      <w:sdtContent>
        <w:p w:rsidR="00867DAB" w:rsidRPr="00A17559" w:rsidRDefault="00E2207E" w:rsidP="00867DAB">
          <w:pPr>
            <w:pStyle w:val="Obsah"/>
            <w:rPr>
              <w:lang w:val="en-GB"/>
            </w:rPr>
          </w:pPr>
          <w:r w:rsidRPr="00A17559">
            <w:rPr>
              <w:lang w:val="en-GB"/>
            </w:rPr>
            <w:t>Contents</w:t>
          </w:r>
        </w:p>
        <w:p w:rsidR="001D452E" w:rsidRPr="00A17559" w:rsidRDefault="007D42E5">
          <w:pPr>
            <w:pStyle w:val="Obsah1"/>
            <w:rPr>
              <w:rFonts w:asciiTheme="minorHAnsi" w:eastAsiaTheme="minorEastAsia" w:hAnsiTheme="minorHAnsi" w:cstheme="minorBidi"/>
              <w:noProof/>
              <w:sz w:val="22"/>
              <w:szCs w:val="22"/>
              <w:lang w:val="en-GB"/>
            </w:rPr>
          </w:pPr>
          <w:r w:rsidRPr="00A17559">
            <w:rPr>
              <w:lang w:val="en-GB"/>
            </w:rPr>
            <w:fldChar w:fldCharType="begin"/>
          </w:r>
          <w:r w:rsidR="00867DAB" w:rsidRPr="00A17559">
            <w:rPr>
              <w:lang w:val="en-GB"/>
            </w:rPr>
            <w:instrText xml:space="preserve"> TOC \o "1-3" \h \z \u </w:instrText>
          </w:r>
          <w:r w:rsidRPr="00A17559">
            <w:rPr>
              <w:lang w:val="en-GB"/>
            </w:rPr>
            <w:fldChar w:fldCharType="separate"/>
          </w:r>
          <w:hyperlink w:anchor="_Toc19179080" w:history="1">
            <w:r w:rsidR="00E2207E" w:rsidRPr="00A17559">
              <w:rPr>
                <w:rStyle w:val="Hypertextovodkaz"/>
                <w:noProof/>
                <w:lang w:val="en-GB"/>
              </w:rPr>
              <w:t>1. Summary</w:t>
            </w:r>
            <w:r w:rsidR="001D452E" w:rsidRPr="00A17559">
              <w:rPr>
                <w:noProof/>
                <w:webHidden/>
                <w:lang w:val="en-GB"/>
              </w:rPr>
              <w:tab/>
            </w:r>
            <w:r w:rsidR="001D452E" w:rsidRPr="00A17559">
              <w:rPr>
                <w:noProof/>
                <w:webHidden/>
                <w:lang w:val="en-GB"/>
              </w:rPr>
              <w:fldChar w:fldCharType="begin"/>
            </w:r>
            <w:r w:rsidR="001D452E" w:rsidRPr="00A17559">
              <w:rPr>
                <w:noProof/>
                <w:webHidden/>
                <w:lang w:val="en-GB"/>
              </w:rPr>
              <w:instrText xml:space="preserve"> PAGEREF _Toc19179080 \h </w:instrText>
            </w:r>
            <w:r w:rsidR="001D452E" w:rsidRPr="00A17559">
              <w:rPr>
                <w:noProof/>
                <w:webHidden/>
                <w:lang w:val="en-GB"/>
              </w:rPr>
            </w:r>
            <w:r w:rsidR="001D452E" w:rsidRPr="00A17559">
              <w:rPr>
                <w:noProof/>
                <w:webHidden/>
                <w:lang w:val="en-GB"/>
              </w:rPr>
              <w:fldChar w:fldCharType="separate"/>
            </w:r>
            <w:r w:rsidR="007E576D">
              <w:rPr>
                <w:noProof/>
                <w:webHidden/>
                <w:lang w:val="en-GB"/>
              </w:rPr>
              <w:t>4</w:t>
            </w:r>
            <w:r w:rsidR="001D452E" w:rsidRPr="00A17559">
              <w:rPr>
                <w:noProof/>
                <w:webHidden/>
                <w:lang w:val="en-GB"/>
              </w:rPr>
              <w:fldChar w:fldCharType="end"/>
            </w:r>
          </w:hyperlink>
        </w:p>
        <w:p w:rsidR="001D452E" w:rsidRPr="00A17559" w:rsidRDefault="00CE29EE">
          <w:pPr>
            <w:pStyle w:val="Obsah1"/>
            <w:rPr>
              <w:rFonts w:asciiTheme="minorHAnsi" w:eastAsiaTheme="minorEastAsia" w:hAnsiTheme="minorHAnsi" w:cstheme="minorBidi"/>
              <w:noProof/>
              <w:sz w:val="22"/>
              <w:szCs w:val="22"/>
              <w:lang w:val="en-GB"/>
            </w:rPr>
          </w:pPr>
          <w:hyperlink w:anchor="_Toc19179081" w:history="1">
            <w:r w:rsidR="00E2207E" w:rsidRPr="00A17559">
              <w:rPr>
                <w:rStyle w:val="Hypertextovodkaz"/>
                <w:noProof/>
                <w:lang w:val="en-GB"/>
              </w:rPr>
              <w:t>2. Overall Economic Performance</w:t>
            </w:r>
            <w:r w:rsidR="001D452E" w:rsidRPr="00A17559">
              <w:rPr>
                <w:noProof/>
                <w:webHidden/>
                <w:lang w:val="en-GB"/>
              </w:rPr>
              <w:tab/>
            </w:r>
            <w:r w:rsidR="001D452E" w:rsidRPr="00A17559">
              <w:rPr>
                <w:noProof/>
                <w:webHidden/>
                <w:lang w:val="en-GB"/>
              </w:rPr>
              <w:fldChar w:fldCharType="begin"/>
            </w:r>
            <w:r w:rsidR="001D452E" w:rsidRPr="00A17559">
              <w:rPr>
                <w:noProof/>
                <w:webHidden/>
                <w:lang w:val="en-GB"/>
              </w:rPr>
              <w:instrText xml:space="preserve"> PAGEREF _Toc19179081 \h </w:instrText>
            </w:r>
            <w:r w:rsidR="001D452E" w:rsidRPr="00A17559">
              <w:rPr>
                <w:noProof/>
                <w:webHidden/>
                <w:lang w:val="en-GB"/>
              </w:rPr>
            </w:r>
            <w:r w:rsidR="001D452E" w:rsidRPr="00A17559">
              <w:rPr>
                <w:noProof/>
                <w:webHidden/>
                <w:lang w:val="en-GB"/>
              </w:rPr>
              <w:fldChar w:fldCharType="separate"/>
            </w:r>
            <w:r w:rsidR="007E576D">
              <w:rPr>
                <w:noProof/>
                <w:webHidden/>
                <w:lang w:val="en-GB"/>
              </w:rPr>
              <w:t>5</w:t>
            </w:r>
            <w:r w:rsidR="001D452E" w:rsidRPr="00A17559">
              <w:rPr>
                <w:noProof/>
                <w:webHidden/>
                <w:lang w:val="en-GB"/>
              </w:rPr>
              <w:fldChar w:fldCharType="end"/>
            </w:r>
          </w:hyperlink>
        </w:p>
        <w:p w:rsidR="001D452E" w:rsidRPr="00A17559" w:rsidRDefault="00CE29EE">
          <w:pPr>
            <w:pStyle w:val="Obsah1"/>
            <w:rPr>
              <w:rFonts w:asciiTheme="minorHAnsi" w:eastAsiaTheme="minorEastAsia" w:hAnsiTheme="minorHAnsi" w:cstheme="minorBidi"/>
              <w:noProof/>
              <w:sz w:val="22"/>
              <w:szCs w:val="22"/>
              <w:lang w:val="en-GB"/>
            </w:rPr>
          </w:pPr>
          <w:hyperlink w:anchor="_Toc19179082" w:history="1">
            <w:r w:rsidR="00BA1CF8" w:rsidRPr="00A17559">
              <w:rPr>
                <w:rStyle w:val="Hypertextovodkaz"/>
                <w:noProof/>
                <w:lang w:val="en-GB"/>
              </w:rPr>
              <w:t>3. Branches Performance</w:t>
            </w:r>
            <w:r w:rsidR="001D452E" w:rsidRPr="00A17559">
              <w:rPr>
                <w:noProof/>
                <w:webHidden/>
                <w:lang w:val="en-GB"/>
              </w:rPr>
              <w:tab/>
            </w:r>
            <w:r w:rsidR="001D452E" w:rsidRPr="00A17559">
              <w:rPr>
                <w:noProof/>
                <w:webHidden/>
                <w:lang w:val="en-GB"/>
              </w:rPr>
              <w:fldChar w:fldCharType="begin"/>
            </w:r>
            <w:r w:rsidR="001D452E" w:rsidRPr="00A17559">
              <w:rPr>
                <w:noProof/>
                <w:webHidden/>
                <w:lang w:val="en-GB"/>
              </w:rPr>
              <w:instrText xml:space="preserve"> PAGEREF _Toc19179082 \h </w:instrText>
            </w:r>
            <w:r w:rsidR="001D452E" w:rsidRPr="00A17559">
              <w:rPr>
                <w:noProof/>
                <w:webHidden/>
                <w:lang w:val="en-GB"/>
              </w:rPr>
            </w:r>
            <w:r w:rsidR="001D452E" w:rsidRPr="00A17559">
              <w:rPr>
                <w:noProof/>
                <w:webHidden/>
                <w:lang w:val="en-GB"/>
              </w:rPr>
              <w:fldChar w:fldCharType="separate"/>
            </w:r>
            <w:r w:rsidR="007E576D">
              <w:rPr>
                <w:noProof/>
                <w:webHidden/>
                <w:lang w:val="en-GB"/>
              </w:rPr>
              <w:t>9</w:t>
            </w:r>
            <w:r w:rsidR="001D452E" w:rsidRPr="00A17559">
              <w:rPr>
                <w:noProof/>
                <w:webHidden/>
                <w:lang w:val="en-GB"/>
              </w:rPr>
              <w:fldChar w:fldCharType="end"/>
            </w:r>
          </w:hyperlink>
        </w:p>
        <w:p w:rsidR="001D452E" w:rsidRPr="00A17559" w:rsidRDefault="00CE29EE">
          <w:pPr>
            <w:pStyle w:val="Obsah1"/>
            <w:rPr>
              <w:rFonts w:asciiTheme="minorHAnsi" w:eastAsiaTheme="minorEastAsia" w:hAnsiTheme="minorHAnsi" w:cstheme="minorBidi"/>
              <w:noProof/>
              <w:sz w:val="22"/>
              <w:szCs w:val="22"/>
              <w:lang w:val="en-GB"/>
            </w:rPr>
          </w:pPr>
          <w:hyperlink w:anchor="_Toc19179083" w:history="1">
            <w:r w:rsidR="00BA1CF8" w:rsidRPr="00A17559">
              <w:rPr>
                <w:rStyle w:val="Hypertextovodkaz"/>
                <w:noProof/>
                <w:lang w:val="en-GB"/>
              </w:rPr>
              <w:t>4. External Relations</w:t>
            </w:r>
            <w:r w:rsidR="001D452E" w:rsidRPr="00A17559">
              <w:rPr>
                <w:noProof/>
                <w:webHidden/>
                <w:lang w:val="en-GB"/>
              </w:rPr>
              <w:tab/>
            </w:r>
            <w:r w:rsidR="001D452E" w:rsidRPr="00A17559">
              <w:rPr>
                <w:noProof/>
                <w:webHidden/>
                <w:lang w:val="en-GB"/>
              </w:rPr>
              <w:fldChar w:fldCharType="begin"/>
            </w:r>
            <w:r w:rsidR="001D452E" w:rsidRPr="00A17559">
              <w:rPr>
                <w:noProof/>
                <w:webHidden/>
                <w:lang w:val="en-GB"/>
              </w:rPr>
              <w:instrText xml:space="preserve"> PAGEREF _Toc19179083 \h </w:instrText>
            </w:r>
            <w:r w:rsidR="001D452E" w:rsidRPr="00A17559">
              <w:rPr>
                <w:noProof/>
                <w:webHidden/>
                <w:lang w:val="en-GB"/>
              </w:rPr>
            </w:r>
            <w:r w:rsidR="001D452E" w:rsidRPr="00A17559">
              <w:rPr>
                <w:noProof/>
                <w:webHidden/>
                <w:lang w:val="en-GB"/>
              </w:rPr>
              <w:fldChar w:fldCharType="separate"/>
            </w:r>
            <w:r w:rsidR="007E576D">
              <w:rPr>
                <w:noProof/>
                <w:webHidden/>
                <w:lang w:val="en-GB"/>
              </w:rPr>
              <w:t>15</w:t>
            </w:r>
            <w:r w:rsidR="001D452E" w:rsidRPr="00A17559">
              <w:rPr>
                <w:noProof/>
                <w:webHidden/>
                <w:lang w:val="en-GB"/>
              </w:rPr>
              <w:fldChar w:fldCharType="end"/>
            </w:r>
          </w:hyperlink>
        </w:p>
        <w:p w:rsidR="001D452E" w:rsidRPr="00A17559" w:rsidRDefault="00CE29EE">
          <w:pPr>
            <w:pStyle w:val="Obsah1"/>
            <w:rPr>
              <w:rFonts w:asciiTheme="minorHAnsi" w:eastAsiaTheme="minorEastAsia" w:hAnsiTheme="minorHAnsi" w:cstheme="minorBidi"/>
              <w:noProof/>
              <w:sz w:val="22"/>
              <w:szCs w:val="22"/>
              <w:lang w:val="en-GB"/>
            </w:rPr>
          </w:pPr>
          <w:hyperlink w:anchor="_Toc19179084" w:history="1">
            <w:r w:rsidR="00BA1CF8" w:rsidRPr="00A17559">
              <w:rPr>
                <w:rStyle w:val="Hypertextovodkaz"/>
                <w:noProof/>
                <w:lang w:val="en-GB"/>
              </w:rPr>
              <w:t>5. Prices</w:t>
            </w:r>
            <w:r w:rsidR="001D452E" w:rsidRPr="00A17559">
              <w:rPr>
                <w:noProof/>
                <w:webHidden/>
                <w:lang w:val="en-GB"/>
              </w:rPr>
              <w:tab/>
            </w:r>
            <w:r w:rsidR="001D452E" w:rsidRPr="00A17559">
              <w:rPr>
                <w:noProof/>
                <w:webHidden/>
                <w:lang w:val="en-GB"/>
              </w:rPr>
              <w:fldChar w:fldCharType="begin"/>
            </w:r>
            <w:r w:rsidR="001D452E" w:rsidRPr="00A17559">
              <w:rPr>
                <w:noProof/>
                <w:webHidden/>
                <w:lang w:val="en-GB"/>
              </w:rPr>
              <w:instrText xml:space="preserve"> PAGEREF _Toc19179084 \h </w:instrText>
            </w:r>
            <w:r w:rsidR="001D452E" w:rsidRPr="00A17559">
              <w:rPr>
                <w:noProof/>
                <w:webHidden/>
                <w:lang w:val="en-GB"/>
              </w:rPr>
            </w:r>
            <w:r w:rsidR="001D452E" w:rsidRPr="00A17559">
              <w:rPr>
                <w:noProof/>
                <w:webHidden/>
                <w:lang w:val="en-GB"/>
              </w:rPr>
              <w:fldChar w:fldCharType="separate"/>
            </w:r>
            <w:r w:rsidR="007E576D">
              <w:rPr>
                <w:noProof/>
                <w:webHidden/>
                <w:lang w:val="en-GB"/>
              </w:rPr>
              <w:t>17</w:t>
            </w:r>
            <w:r w:rsidR="001D452E" w:rsidRPr="00A17559">
              <w:rPr>
                <w:noProof/>
                <w:webHidden/>
                <w:lang w:val="en-GB"/>
              </w:rPr>
              <w:fldChar w:fldCharType="end"/>
            </w:r>
          </w:hyperlink>
        </w:p>
        <w:p w:rsidR="001D452E" w:rsidRPr="00A17559" w:rsidRDefault="00CE29EE">
          <w:pPr>
            <w:pStyle w:val="Obsah1"/>
            <w:rPr>
              <w:rFonts w:asciiTheme="minorHAnsi" w:eastAsiaTheme="minorEastAsia" w:hAnsiTheme="minorHAnsi" w:cstheme="minorBidi"/>
              <w:noProof/>
              <w:sz w:val="22"/>
              <w:szCs w:val="22"/>
              <w:lang w:val="en-GB"/>
            </w:rPr>
          </w:pPr>
          <w:hyperlink w:anchor="_Toc19179085" w:history="1">
            <w:r w:rsidR="00BA1CF8" w:rsidRPr="00A17559">
              <w:rPr>
                <w:rStyle w:val="Hypertextovodkaz"/>
                <w:noProof/>
                <w:lang w:val="en-GB"/>
              </w:rPr>
              <w:t>6. Labour Market</w:t>
            </w:r>
            <w:r w:rsidR="001D452E" w:rsidRPr="00A17559">
              <w:rPr>
                <w:noProof/>
                <w:webHidden/>
                <w:lang w:val="en-GB"/>
              </w:rPr>
              <w:tab/>
            </w:r>
            <w:r w:rsidR="001D452E" w:rsidRPr="00A17559">
              <w:rPr>
                <w:noProof/>
                <w:webHidden/>
                <w:lang w:val="en-GB"/>
              </w:rPr>
              <w:fldChar w:fldCharType="begin"/>
            </w:r>
            <w:r w:rsidR="001D452E" w:rsidRPr="00A17559">
              <w:rPr>
                <w:noProof/>
                <w:webHidden/>
                <w:lang w:val="en-GB"/>
              </w:rPr>
              <w:instrText xml:space="preserve"> PAGEREF _Toc19179085 \h </w:instrText>
            </w:r>
            <w:r w:rsidR="001D452E" w:rsidRPr="00A17559">
              <w:rPr>
                <w:noProof/>
                <w:webHidden/>
                <w:lang w:val="en-GB"/>
              </w:rPr>
            </w:r>
            <w:r w:rsidR="001D452E" w:rsidRPr="00A17559">
              <w:rPr>
                <w:noProof/>
                <w:webHidden/>
                <w:lang w:val="en-GB"/>
              </w:rPr>
              <w:fldChar w:fldCharType="separate"/>
            </w:r>
            <w:r w:rsidR="007E576D">
              <w:rPr>
                <w:noProof/>
                <w:webHidden/>
                <w:lang w:val="en-GB"/>
              </w:rPr>
              <w:t>21</w:t>
            </w:r>
            <w:r w:rsidR="001D452E" w:rsidRPr="00A17559">
              <w:rPr>
                <w:noProof/>
                <w:webHidden/>
                <w:lang w:val="en-GB"/>
              </w:rPr>
              <w:fldChar w:fldCharType="end"/>
            </w:r>
          </w:hyperlink>
        </w:p>
        <w:p w:rsidR="001D452E" w:rsidRPr="00A17559" w:rsidRDefault="00CE29EE">
          <w:pPr>
            <w:pStyle w:val="Obsah1"/>
            <w:rPr>
              <w:rFonts w:asciiTheme="minorHAnsi" w:eastAsiaTheme="minorEastAsia" w:hAnsiTheme="minorHAnsi" w:cstheme="minorBidi"/>
              <w:noProof/>
              <w:sz w:val="22"/>
              <w:szCs w:val="22"/>
              <w:lang w:val="en-GB"/>
            </w:rPr>
          </w:pPr>
          <w:hyperlink w:anchor="_Toc19179086" w:history="1">
            <w:r w:rsidR="001D452E" w:rsidRPr="00A17559">
              <w:rPr>
                <w:rStyle w:val="Hypertextovodkaz"/>
                <w:noProof/>
                <w:lang w:val="en-GB"/>
              </w:rPr>
              <w:t>7. M</w:t>
            </w:r>
            <w:r w:rsidR="00BA1CF8" w:rsidRPr="00A17559">
              <w:rPr>
                <w:rStyle w:val="Hypertextovodkaz"/>
                <w:noProof/>
                <w:lang w:val="en-GB"/>
              </w:rPr>
              <w:t>onetary Conditions</w:t>
            </w:r>
            <w:r w:rsidR="001D452E" w:rsidRPr="00A17559">
              <w:rPr>
                <w:noProof/>
                <w:webHidden/>
                <w:lang w:val="en-GB"/>
              </w:rPr>
              <w:tab/>
            </w:r>
            <w:r w:rsidR="001D452E" w:rsidRPr="00A17559">
              <w:rPr>
                <w:noProof/>
                <w:webHidden/>
                <w:lang w:val="en-GB"/>
              </w:rPr>
              <w:fldChar w:fldCharType="begin"/>
            </w:r>
            <w:r w:rsidR="001D452E" w:rsidRPr="00A17559">
              <w:rPr>
                <w:noProof/>
                <w:webHidden/>
                <w:lang w:val="en-GB"/>
              </w:rPr>
              <w:instrText xml:space="preserve"> PAGEREF _Toc19179086 \h </w:instrText>
            </w:r>
            <w:r w:rsidR="001D452E" w:rsidRPr="00A17559">
              <w:rPr>
                <w:noProof/>
                <w:webHidden/>
                <w:lang w:val="en-GB"/>
              </w:rPr>
            </w:r>
            <w:r w:rsidR="001D452E" w:rsidRPr="00A17559">
              <w:rPr>
                <w:noProof/>
                <w:webHidden/>
                <w:lang w:val="en-GB"/>
              </w:rPr>
              <w:fldChar w:fldCharType="separate"/>
            </w:r>
            <w:r w:rsidR="007E576D">
              <w:rPr>
                <w:noProof/>
                <w:webHidden/>
                <w:lang w:val="en-GB"/>
              </w:rPr>
              <w:t>26</w:t>
            </w:r>
            <w:r w:rsidR="001D452E" w:rsidRPr="00A17559">
              <w:rPr>
                <w:noProof/>
                <w:webHidden/>
                <w:lang w:val="en-GB"/>
              </w:rPr>
              <w:fldChar w:fldCharType="end"/>
            </w:r>
          </w:hyperlink>
        </w:p>
        <w:p w:rsidR="001D452E" w:rsidRPr="00A17559" w:rsidRDefault="00CE29EE">
          <w:pPr>
            <w:pStyle w:val="Obsah1"/>
            <w:rPr>
              <w:rFonts w:asciiTheme="minorHAnsi" w:eastAsiaTheme="minorEastAsia" w:hAnsiTheme="minorHAnsi" w:cstheme="minorBidi"/>
              <w:noProof/>
              <w:sz w:val="22"/>
              <w:szCs w:val="22"/>
              <w:lang w:val="en-GB"/>
            </w:rPr>
          </w:pPr>
          <w:hyperlink w:anchor="_Toc19179087" w:history="1">
            <w:r w:rsidR="001D452E" w:rsidRPr="00A17559">
              <w:rPr>
                <w:rStyle w:val="Hypertextovodkaz"/>
                <w:noProof/>
                <w:lang w:val="en-GB"/>
              </w:rPr>
              <w:t>8. St</w:t>
            </w:r>
            <w:r w:rsidR="00BA1CF8" w:rsidRPr="00A17559">
              <w:rPr>
                <w:rStyle w:val="Hypertextovodkaz"/>
                <w:noProof/>
                <w:lang w:val="en-GB"/>
              </w:rPr>
              <w:t>ate Budget</w:t>
            </w:r>
            <w:r w:rsidR="001D452E" w:rsidRPr="00A17559">
              <w:rPr>
                <w:noProof/>
                <w:webHidden/>
                <w:lang w:val="en-GB"/>
              </w:rPr>
              <w:tab/>
            </w:r>
            <w:r w:rsidR="001D452E" w:rsidRPr="00A17559">
              <w:rPr>
                <w:noProof/>
                <w:webHidden/>
                <w:lang w:val="en-GB"/>
              </w:rPr>
              <w:fldChar w:fldCharType="begin"/>
            </w:r>
            <w:r w:rsidR="001D452E" w:rsidRPr="00A17559">
              <w:rPr>
                <w:noProof/>
                <w:webHidden/>
                <w:lang w:val="en-GB"/>
              </w:rPr>
              <w:instrText xml:space="preserve"> PAGEREF _Toc19179087 \h </w:instrText>
            </w:r>
            <w:r w:rsidR="001D452E" w:rsidRPr="00A17559">
              <w:rPr>
                <w:noProof/>
                <w:webHidden/>
                <w:lang w:val="en-GB"/>
              </w:rPr>
            </w:r>
            <w:r w:rsidR="001D452E" w:rsidRPr="00A17559">
              <w:rPr>
                <w:noProof/>
                <w:webHidden/>
                <w:lang w:val="en-GB"/>
              </w:rPr>
              <w:fldChar w:fldCharType="separate"/>
            </w:r>
            <w:r w:rsidR="007E576D">
              <w:rPr>
                <w:noProof/>
                <w:webHidden/>
                <w:lang w:val="en-GB"/>
              </w:rPr>
              <w:t>28</w:t>
            </w:r>
            <w:r w:rsidR="001D452E" w:rsidRPr="00A17559">
              <w:rPr>
                <w:noProof/>
                <w:webHidden/>
                <w:lang w:val="en-GB"/>
              </w:rPr>
              <w:fldChar w:fldCharType="end"/>
            </w:r>
          </w:hyperlink>
        </w:p>
        <w:p w:rsidR="00867DAB" w:rsidRPr="00A17559" w:rsidRDefault="007D42E5">
          <w:pPr>
            <w:rPr>
              <w:lang w:val="en-GB"/>
            </w:rPr>
          </w:pPr>
          <w:r w:rsidRPr="00A17559">
            <w:rPr>
              <w:lang w:val="en-GB"/>
            </w:rPr>
            <w:fldChar w:fldCharType="end"/>
          </w:r>
        </w:p>
      </w:sdtContent>
    </w:sdt>
    <w:p w:rsidR="00003F5C" w:rsidRPr="00A17559" w:rsidRDefault="00003F5C" w:rsidP="00003F5C">
      <w:pPr>
        <w:pStyle w:val="Textpoznpodarou"/>
        <w:jc w:val="both"/>
        <w:rPr>
          <w:rFonts w:cs="Arial"/>
          <w:color w:val="000000"/>
          <w:lang w:val="en-GB"/>
        </w:rPr>
      </w:pPr>
    </w:p>
    <w:p w:rsidR="00003F5C" w:rsidRPr="00A17559" w:rsidRDefault="00003F5C" w:rsidP="00003F5C">
      <w:pPr>
        <w:pStyle w:val="Textpoznpodarou"/>
        <w:jc w:val="both"/>
        <w:rPr>
          <w:rFonts w:cs="Arial"/>
          <w:color w:val="000000"/>
          <w:lang w:val="en-GB"/>
        </w:rPr>
      </w:pPr>
    </w:p>
    <w:p w:rsidR="00003F5C" w:rsidRPr="00A17559" w:rsidRDefault="00003F5C" w:rsidP="00003F5C">
      <w:pPr>
        <w:pStyle w:val="Textpoznpodarou"/>
        <w:jc w:val="both"/>
        <w:rPr>
          <w:rFonts w:cs="Arial"/>
          <w:color w:val="000000"/>
          <w:lang w:val="en-GB"/>
        </w:rPr>
      </w:pPr>
    </w:p>
    <w:p w:rsidR="00003F5C" w:rsidRPr="00A17559" w:rsidRDefault="00003F5C" w:rsidP="00003F5C">
      <w:pPr>
        <w:pStyle w:val="Textpoznpodarou"/>
        <w:jc w:val="both"/>
        <w:rPr>
          <w:rFonts w:cs="Arial"/>
          <w:color w:val="000000"/>
          <w:lang w:val="en-GB"/>
        </w:rPr>
      </w:pPr>
    </w:p>
    <w:p w:rsidR="00003F5C" w:rsidRPr="00A17559" w:rsidRDefault="00003F5C" w:rsidP="00003F5C">
      <w:pPr>
        <w:pStyle w:val="Textpoznpodarou"/>
        <w:jc w:val="both"/>
        <w:rPr>
          <w:rFonts w:cs="Arial"/>
          <w:color w:val="000000"/>
          <w:lang w:val="en-GB"/>
        </w:rPr>
      </w:pPr>
    </w:p>
    <w:p w:rsidR="00003F5C" w:rsidRPr="00A17559" w:rsidRDefault="00003F5C" w:rsidP="00003F5C">
      <w:pPr>
        <w:pStyle w:val="Textpoznpodarou"/>
        <w:jc w:val="both"/>
        <w:rPr>
          <w:rFonts w:cs="Arial"/>
          <w:color w:val="000000"/>
          <w:lang w:val="en-GB"/>
        </w:rPr>
      </w:pPr>
    </w:p>
    <w:p w:rsidR="00003F5C" w:rsidRPr="00A17559" w:rsidRDefault="00BA1CF8" w:rsidP="00003F5C">
      <w:pPr>
        <w:pStyle w:val="Textpoznpodarou"/>
        <w:jc w:val="both"/>
        <w:rPr>
          <w:rFonts w:cs="Arial"/>
          <w:color w:val="000000"/>
          <w:lang w:val="en-GB"/>
        </w:rPr>
      </w:pPr>
      <w:r w:rsidRPr="00A17559">
        <w:rPr>
          <w:rFonts w:cs="Arial"/>
          <w:color w:val="000000"/>
          <w:lang w:val="en-GB"/>
        </w:rPr>
        <w:t>Source of data in the whole analysis</w:t>
      </w:r>
      <w:r w:rsidR="00003F5C" w:rsidRPr="00A17559">
        <w:rPr>
          <w:rFonts w:cs="Arial"/>
          <w:color w:val="000000"/>
          <w:lang w:val="en-GB"/>
        </w:rPr>
        <w:t xml:space="preserve">: </w:t>
      </w:r>
      <w:r w:rsidR="00172622">
        <w:rPr>
          <w:rFonts w:cs="Arial"/>
          <w:color w:val="000000"/>
          <w:lang w:val="en-GB"/>
        </w:rPr>
        <w:t>Czech Statistical Office (</w:t>
      </w:r>
      <w:r w:rsidRPr="00A17559">
        <w:rPr>
          <w:rFonts w:cs="Arial"/>
          <w:color w:val="000000"/>
          <w:lang w:val="en-GB"/>
        </w:rPr>
        <w:t>CZSO</w:t>
      </w:r>
      <w:r w:rsidR="00172622">
        <w:rPr>
          <w:rFonts w:cs="Arial"/>
          <w:color w:val="000000"/>
          <w:lang w:val="en-GB"/>
        </w:rPr>
        <w:t>)</w:t>
      </w:r>
      <w:r w:rsidR="00003F5C" w:rsidRPr="00A17559">
        <w:rPr>
          <w:rFonts w:cs="Arial"/>
          <w:color w:val="000000"/>
          <w:lang w:val="en-GB"/>
        </w:rPr>
        <w:t xml:space="preserve">, </w:t>
      </w:r>
      <w:r w:rsidR="00172622">
        <w:rPr>
          <w:rFonts w:cs="Arial"/>
          <w:color w:val="000000"/>
          <w:lang w:val="en-GB"/>
        </w:rPr>
        <w:t>Ministry of Finan</w:t>
      </w:r>
      <w:r w:rsidR="00095AFE">
        <w:rPr>
          <w:rFonts w:cs="Arial"/>
          <w:color w:val="000000"/>
          <w:lang w:val="en-GB"/>
        </w:rPr>
        <w:t>ce</w:t>
      </w:r>
      <w:r w:rsidR="00172622">
        <w:rPr>
          <w:rFonts w:cs="Arial"/>
          <w:color w:val="000000"/>
          <w:lang w:val="en-GB"/>
        </w:rPr>
        <w:t xml:space="preserve"> (</w:t>
      </w:r>
      <w:r w:rsidR="00003F5C" w:rsidRPr="00A17559">
        <w:rPr>
          <w:rFonts w:cs="Arial"/>
          <w:color w:val="000000"/>
          <w:lang w:val="en-GB"/>
        </w:rPr>
        <w:t>MF</w:t>
      </w:r>
      <w:r w:rsidR="00A45489" w:rsidRPr="00A17559">
        <w:rPr>
          <w:rFonts w:cs="Arial"/>
          <w:color w:val="000000"/>
          <w:lang w:val="en-GB"/>
        </w:rPr>
        <w:t> </w:t>
      </w:r>
      <w:r w:rsidRPr="00A17559">
        <w:rPr>
          <w:rFonts w:cs="Arial"/>
          <w:color w:val="000000"/>
          <w:lang w:val="en-GB"/>
        </w:rPr>
        <w:t>C</w:t>
      </w:r>
      <w:r w:rsidR="00003F5C" w:rsidRPr="00A17559">
        <w:rPr>
          <w:rFonts w:cs="Arial"/>
          <w:color w:val="000000"/>
          <w:lang w:val="en-GB"/>
        </w:rPr>
        <w:t>R</w:t>
      </w:r>
      <w:r w:rsidR="00172622">
        <w:rPr>
          <w:rFonts w:cs="Arial"/>
          <w:color w:val="000000"/>
          <w:lang w:val="en-GB"/>
        </w:rPr>
        <w:t>)</w:t>
      </w:r>
      <w:r w:rsidR="00003F5C" w:rsidRPr="00A17559">
        <w:rPr>
          <w:rFonts w:cs="Arial"/>
          <w:color w:val="000000"/>
          <w:lang w:val="en-GB"/>
        </w:rPr>
        <w:t xml:space="preserve">, </w:t>
      </w:r>
      <w:r w:rsidR="00095AFE">
        <w:rPr>
          <w:rFonts w:cs="Arial"/>
          <w:color w:val="000000"/>
          <w:lang w:val="en-GB"/>
        </w:rPr>
        <w:t>Czech National Bank (</w:t>
      </w:r>
      <w:r w:rsidRPr="00A17559">
        <w:rPr>
          <w:rFonts w:cs="Arial"/>
          <w:color w:val="000000"/>
          <w:lang w:val="en-GB"/>
        </w:rPr>
        <w:t>C</w:t>
      </w:r>
      <w:r w:rsidR="00003F5C" w:rsidRPr="00A17559">
        <w:rPr>
          <w:rFonts w:cs="Arial"/>
          <w:color w:val="000000"/>
          <w:lang w:val="en-GB"/>
        </w:rPr>
        <w:t>NB</w:t>
      </w:r>
      <w:r w:rsidR="00095AFE">
        <w:rPr>
          <w:rFonts w:cs="Arial"/>
          <w:color w:val="000000"/>
          <w:lang w:val="en-GB"/>
        </w:rPr>
        <w:t>)</w:t>
      </w:r>
      <w:r w:rsidR="00003F5C" w:rsidRPr="00A17559">
        <w:rPr>
          <w:rFonts w:cs="Arial"/>
          <w:color w:val="000000"/>
          <w:lang w:val="en-GB"/>
        </w:rPr>
        <w:t xml:space="preserve">, </w:t>
      </w:r>
      <w:r w:rsidR="00095AFE">
        <w:rPr>
          <w:rFonts w:cs="Arial"/>
          <w:color w:val="000000"/>
          <w:lang w:val="en-GB"/>
        </w:rPr>
        <w:t>Ministry of Labour and Social Affairs (</w:t>
      </w:r>
      <w:r w:rsidR="00003F5C" w:rsidRPr="00A17559">
        <w:rPr>
          <w:rFonts w:cs="Arial"/>
          <w:color w:val="000000"/>
          <w:lang w:val="en-GB"/>
        </w:rPr>
        <w:t>M</w:t>
      </w:r>
      <w:r w:rsidRPr="00A17559">
        <w:rPr>
          <w:rFonts w:cs="Arial"/>
          <w:color w:val="000000"/>
          <w:lang w:val="en-GB"/>
        </w:rPr>
        <w:t>LSA</w:t>
      </w:r>
      <w:r w:rsidR="00095AFE">
        <w:rPr>
          <w:rFonts w:cs="Arial"/>
          <w:color w:val="000000"/>
          <w:lang w:val="en-GB"/>
        </w:rPr>
        <w:t>),</w:t>
      </w:r>
      <w:r w:rsidR="00003F5C" w:rsidRPr="00A17559">
        <w:rPr>
          <w:rFonts w:cs="Arial"/>
          <w:color w:val="000000"/>
          <w:lang w:val="en-GB"/>
        </w:rPr>
        <w:t xml:space="preserve"> Eurostat, </w:t>
      </w:r>
      <w:r w:rsidRPr="00A17559">
        <w:rPr>
          <w:rFonts w:cs="Arial"/>
          <w:color w:val="000000"/>
          <w:lang w:val="en-GB"/>
        </w:rPr>
        <w:t>CZSO calculations</w:t>
      </w:r>
      <w:r w:rsidR="00003F5C" w:rsidRPr="00A17559">
        <w:rPr>
          <w:rFonts w:cs="Arial"/>
          <w:color w:val="000000"/>
          <w:lang w:val="en-GB"/>
        </w:rPr>
        <w:t>.</w:t>
      </w:r>
    </w:p>
    <w:p w:rsidR="00003F5C" w:rsidRPr="00A17559" w:rsidRDefault="00BA1CF8" w:rsidP="00003F5C">
      <w:pPr>
        <w:pStyle w:val="Textpoznpodarou"/>
        <w:jc w:val="both"/>
        <w:rPr>
          <w:rFonts w:cs="Arial"/>
          <w:color w:val="000000"/>
          <w:lang w:val="en-GB"/>
        </w:rPr>
      </w:pPr>
      <w:r w:rsidRPr="00A17559">
        <w:rPr>
          <w:rFonts w:cs="Arial"/>
          <w:color w:val="000000"/>
          <w:lang w:val="en-GB"/>
        </w:rPr>
        <w:t xml:space="preserve">Latest information provided in this report has been dated the 6th September </w:t>
      </w:r>
      <w:r w:rsidR="00F37EDC" w:rsidRPr="00A17559">
        <w:rPr>
          <w:rFonts w:cs="Arial"/>
          <w:color w:val="000000"/>
          <w:lang w:val="en-GB"/>
        </w:rPr>
        <w:t>2019</w:t>
      </w:r>
      <w:r w:rsidR="00003F5C" w:rsidRPr="00A17559">
        <w:rPr>
          <w:rFonts w:cs="Arial"/>
          <w:color w:val="000000"/>
          <w:lang w:val="en-GB"/>
        </w:rPr>
        <w:t>.</w:t>
      </w:r>
    </w:p>
    <w:p w:rsidR="00EE4B1B" w:rsidRPr="00A17559" w:rsidRDefault="00087F2B" w:rsidP="00CC612B">
      <w:pPr>
        <w:pStyle w:val="Nadpis1"/>
        <w:rPr>
          <w:lang w:val="en-GB"/>
        </w:rPr>
      </w:pPr>
      <w:r w:rsidRPr="00A17559">
        <w:rPr>
          <w:lang w:val="en-GB"/>
        </w:rPr>
        <w:br w:type="page"/>
      </w:r>
      <w:bookmarkStart w:id="0" w:name="_Toc444112494"/>
      <w:bookmarkStart w:id="1" w:name="_Toc511215208"/>
      <w:r w:rsidR="001554C2" w:rsidRPr="00A17559">
        <w:rPr>
          <w:lang w:val="en-GB"/>
        </w:rPr>
        <w:lastRenderedPageBreak/>
        <w:t xml:space="preserve"> </w:t>
      </w:r>
      <w:bookmarkStart w:id="2" w:name="_Toc19179080"/>
      <w:r w:rsidR="004A5D4E" w:rsidRPr="00A17559">
        <w:rPr>
          <w:lang w:val="en-GB"/>
        </w:rPr>
        <w:t>1. </w:t>
      </w:r>
      <w:r w:rsidR="001554C2" w:rsidRPr="00A17559">
        <w:rPr>
          <w:lang w:val="en-GB"/>
        </w:rPr>
        <w:t>S</w:t>
      </w:r>
      <w:r w:rsidR="00BA1CF8" w:rsidRPr="00A17559">
        <w:rPr>
          <w:lang w:val="en-GB"/>
        </w:rPr>
        <w:t>ummary</w:t>
      </w:r>
      <w:bookmarkEnd w:id="0"/>
      <w:bookmarkEnd w:id="1"/>
      <w:bookmarkEnd w:id="2"/>
    </w:p>
    <w:p w:rsidR="00513E9D" w:rsidRPr="00A17559" w:rsidRDefault="00ED7D0E" w:rsidP="00513E9D">
      <w:pPr>
        <w:pStyle w:val="Normalodrka"/>
        <w:spacing w:after="100"/>
        <w:rPr>
          <w:lang w:val="en-GB"/>
        </w:rPr>
      </w:pPr>
      <w:r w:rsidRPr="00A17559">
        <w:rPr>
          <w:lang w:val="en-GB"/>
        </w:rPr>
        <w:t xml:space="preserve">The Gross domestic product (GDP) rose by 2.7% year-on-year in both quarters of year </w:t>
      </w:r>
      <w:r w:rsidR="00513E9D" w:rsidRPr="00A17559">
        <w:rPr>
          <w:lang w:val="en-GB"/>
        </w:rPr>
        <w:t>2019</w:t>
      </w:r>
      <w:r w:rsidR="00513E9D" w:rsidRPr="00A17559">
        <w:rPr>
          <w:rStyle w:val="Znakapoznpodarou"/>
          <w:spacing w:val="-4"/>
          <w:szCs w:val="20"/>
          <w:lang w:val="en-GB"/>
        </w:rPr>
        <w:footnoteReference w:id="1"/>
      </w:r>
      <w:r w:rsidR="00513E9D" w:rsidRPr="00A17559">
        <w:rPr>
          <w:lang w:val="en-GB"/>
        </w:rPr>
        <w:t xml:space="preserve">. </w:t>
      </w:r>
      <w:r w:rsidR="00491B06" w:rsidRPr="00A17559">
        <w:rPr>
          <w:lang w:val="en-GB"/>
        </w:rPr>
        <w:t>The consumption of households and government institutions</w:t>
      </w:r>
      <w:r w:rsidR="006C5838" w:rsidRPr="00A17559">
        <w:rPr>
          <w:lang w:val="en-GB"/>
        </w:rPr>
        <w:t xml:space="preserve"> still contributed the most to the growth. </w:t>
      </w:r>
      <w:r w:rsidR="00B47DD4" w:rsidRPr="00A17559">
        <w:rPr>
          <w:lang w:val="en-GB"/>
        </w:rPr>
        <w:t xml:space="preserve">In contrast, the effect of the capital </w:t>
      </w:r>
      <w:r w:rsidR="00AE467A" w:rsidRPr="00A17559">
        <w:rPr>
          <w:lang w:val="en-GB"/>
        </w:rPr>
        <w:t>expenditure weakened. The foreign trade balance was positively reflected in the GDP growth especially in Q</w:t>
      </w:r>
      <w:r w:rsidR="00A940E3" w:rsidRPr="00A17559">
        <w:rPr>
          <w:lang w:val="en-GB"/>
        </w:rPr>
        <w:t xml:space="preserve">2. </w:t>
      </w:r>
      <w:r w:rsidR="00AE467A" w:rsidRPr="00A17559">
        <w:rPr>
          <w:lang w:val="en-GB"/>
        </w:rPr>
        <w:t>Improvement of surplus was rather c</w:t>
      </w:r>
      <w:r w:rsidR="006C5838" w:rsidRPr="00A17559">
        <w:rPr>
          <w:lang w:val="en-GB"/>
        </w:rPr>
        <w:t>au</w:t>
      </w:r>
      <w:r w:rsidR="00AE467A" w:rsidRPr="00A17559">
        <w:rPr>
          <w:lang w:val="en-GB"/>
        </w:rPr>
        <w:t xml:space="preserve">sed by the </w:t>
      </w:r>
      <w:r w:rsidR="006C5838" w:rsidRPr="00A17559">
        <w:rPr>
          <w:lang w:val="en-GB"/>
        </w:rPr>
        <w:t>slowdown</w:t>
      </w:r>
      <w:r w:rsidR="00AE467A" w:rsidRPr="00A17559">
        <w:rPr>
          <w:lang w:val="en-GB"/>
        </w:rPr>
        <w:t xml:space="preserve"> of import</w:t>
      </w:r>
      <w:r w:rsidR="002F19BF" w:rsidRPr="00A17559">
        <w:rPr>
          <w:lang w:val="en-GB"/>
        </w:rPr>
        <w:t xml:space="preserve">, since the situation was worsening in foreign economies. The GDP growth was slackening in most EU countries, Germany even experienced a quarter-on-quarter </w:t>
      </w:r>
      <w:r w:rsidR="006C5838" w:rsidRPr="00A17559">
        <w:rPr>
          <w:lang w:val="en-GB"/>
        </w:rPr>
        <w:t xml:space="preserve">fall. </w:t>
      </w:r>
      <w:r w:rsidR="00FD025C">
        <w:rPr>
          <w:lang w:val="en-GB"/>
        </w:rPr>
        <w:t>Domestic q</w:t>
      </w:r>
      <w:r w:rsidR="006C5838" w:rsidRPr="00A17559">
        <w:rPr>
          <w:lang w:val="en-GB"/>
        </w:rPr>
        <w:t xml:space="preserve">uarter-on-quarter GDP growth attained </w:t>
      </w:r>
      <w:r w:rsidR="00513E9D" w:rsidRPr="00A17559">
        <w:rPr>
          <w:lang w:val="en-GB"/>
        </w:rPr>
        <w:t>0</w:t>
      </w:r>
      <w:r w:rsidR="006C5838" w:rsidRPr="00A17559">
        <w:rPr>
          <w:lang w:val="en-GB"/>
        </w:rPr>
        <w:t>.</w:t>
      </w:r>
      <w:r w:rsidR="00513E9D" w:rsidRPr="00A17559">
        <w:rPr>
          <w:lang w:val="en-GB"/>
        </w:rPr>
        <w:t>7%</w:t>
      </w:r>
      <w:r w:rsidR="006C5838" w:rsidRPr="00A17559">
        <w:rPr>
          <w:lang w:val="en-GB"/>
        </w:rPr>
        <w:t xml:space="preserve"> in Q2</w:t>
      </w:r>
      <w:r w:rsidR="00513E9D" w:rsidRPr="00A17559">
        <w:rPr>
          <w:lang w:val="en-GB"/>
        </w:rPr>
        <w:t>.</w:t>
      </w:r>
    </w:p>
    <w:p w:rsidR="00513E9D" w:rsidRPr="00A17559" w:rsidRDefault="00B83D4C" w:rsidP="00513E9D">
      <w:pPr>
        <w:pStyle w:val="Normalodrka"/>
        <w:spacing w:after="100"/>
        <w:rPr>
          <w:spacing w:val="2"/>
          <w:lang w:val="en-GB"/>
        </w:rPr>
      </w:pPr>
      <w:r w:rsidRPr="00A17559">
        <w:rPr>
          <w:spacing w:val="2"/>
          <w:lang w:val="en-GB"/>
        </w:rPr>
        <w:t xml:space="preserve">The Gross </w:t>
      </w:r>
      <w:r w:rsidR="0092508F" w:rsidRPr="00A17559">
        <w:rPr>
          <w:spacing w:val="2"/>
          <w:lang w:val="en-GB"/>
        </w:rPr>
        <w:t>v</w:t>
      </w:r>
      <w:r w:rsidRPr="00A17559">
        <w:rPr>
          <w:spacing w:val="2"/>
          <w:lang w:val="en-GB"/>
        </w:rPr>
        <w:t xml:space="preserve">alue </w:t>
      </w:r>
      <w:r w:rsidR="0092508F" w:rsidRPr="00A17559">
        <w:rPr>
          <w:spacing w:val="2"/>
          <w:lang w:val="en-GB"/>
        </w:rPr>
        <w:t>a</w:t>
      </w:r>
      <w:r w:rsidRPr="00A17559">
        <w:rPr>
          <w:spacing w:val="2"/>
          <w:lang w:val="en-GB"/>
        </w:rPr>
        <w:t>dded (GVA)</w:t>
      </w:r>
      <w:r w:rsidR="0092508F" w:rsidRPr="00A17559">
        <w:rPr>
          <w:spacing w:val="2"/>
          <w:lang w:val="en-GB"/>
        </w:rPr>
        <w:t xml:space="preserve"> increased by 2.8% year-on-year in Q</w:t>
      </w:r>
      <w:r w:rsidR="00513E9D" w:rsidRPr="00A17559">
        <w:rPr>
          <w:spacing w:val="2"/>
          <w:lang w:val="en-GB"/>
        </w:rPr>
        <w:t>2.</w:t>
      </w:r>
      <w:r w:rsidR="0092508F" w:rsidRPr="00A17559">
        <w:rPr>
          <w:spacing w:val="2"/>
          <w:lang w:val="en-GB"/>
        </w:rPr>
        <w:t xml:space="preserve"> </w:t>
      </w:r>
      <w:r w:rsidR="005C02A8" w:rsidRPr="00A17559">
        <w:rPr>
          <w:spacing w:val="2"/>
          <w:lang w:val="en-GB"/>
        </w:rPr>
        <w:t>The services branch contributed to the growth by a vast majority (2.3</w:t>
      </w:r>
      <w:r w:rsidR="00513E9D" w:rsidRPr="00A17559">
        <w:rPr>
          <w:spacing w:val="2"/>
          <w:lang w:val="en-GB"/>
        </w:rPr>
        <w:t> p.</w:t>
      </w:r>
      <w:r w:rsidR="006C5838" w:rsidRPr="00A17559">
        <w:rPr>
          <w:spacing w:val="2"/>
          <w:lang w:val="en-GB"/>
        </w:rPr>
        <w:t>p</w:t>
      </w:r>
      <w:r w:rsidR="00513E9D" w:rsidRPr="00A17559">
        <w:rPr>
          <w:spacing w:val="2"/>
          <w:lang w:val="en-GB"/>
        </w:rPr>
        <w:t>.)</w:t>
      </w:r>
      <w:r w:rsidR="005C02A8" w:rsidRPr="00A17559">
        <w:rPr>
          <w:spacing w:val="2"/>
          <w:lang w:val="en-GB"/>
        </w:rPr>
        <w:t xml:space="preserve">, benefiting from the strong domestic demand. </w:t>
      </w:r>
      <w:r w:rsidR="005C02A8" w:rsidRPr="00A17559">
        <w:rPr>
          <w:lang w:val="en-GB"/>
        </w:rPr>
        <w:t>The GVA grew relatively strongly in the t</w:t>
      </w:r>
      <w:r w:rsidR="005C02A8" w:rsidRPr="00A17559">
        <w:rPr>
          <w:rFonts w:cs="Arial"/>
          <w:szCs w:val="20"/>
          <w:lang w:val="en-GB"/>
        </w:rPr>
        <w:t xml:space="preserve">rade, transportation, accommodation and food service </w:t>
      </w:r>
      <w:r w:rsidR="00513E9D" w:rsidRPr="00A17559">
        <w:rPr>
          <w:lang w:val="en-GB"/>
        </w:rPr>
        <w:t>(3</w:t>
      </w:r>
      <w:r w:rsidR="005C02A8" w:rsidRPr="00A17559">
        <w:rPr>
          <w:lang w:val="en-GB"/>
        </w:rPr>
        <w:t>.</w:t>
      </w:r>
      <w:r w:rsidR="00513E9D" w:rsidRPr="00A17559">
        <w:rPr>
          <w:lang w:val="en-GB"/>
        </w:rPr>
        <w:t xml:space="preserve">8%). </w:t>
      </w:r>
      <w:r w:rsidR="001548E1" w:rsidRPr="00A17559">
        <w:rPr>
          <w:lang w:val="en-GB"/>
        </w:rPr>
        <w:t xml:space="preserve">Information and communication also maintained a fast growth </w:t>
      </w:r>
      <w:r w:rsidR="00513E9D" w:rsidRPr="00A17559">
        <w:rPr>
          <w:lang w:val="en-GB"/>
        </w:rPr>
        <w:t>(8</w:t>
      </w:r>
      <w:r w:rsidR="001548E1" w:rsidRPr="00A17559">
        <w:rPr>
          <w:lang w:val="en-GB"/>
        </w:rPr>
        <w:t>.</w:t>
      </w:r>
      <w:r w:rsidR="00513E9D" w:rsidRPr="00A17559">
        <w:rPr>
          <w:lang w:val="en-GB"/>
        </w:rPr>
        <w:t xml:space="preserve">9%). </w:t>
      </w:r>
      <w:r w:rsidR="001548E1" w:rsidRPr="00A17559">
        <w:rPr>
          <w:lang w:val="en-GB"/>
        </w:rPr>
        <w:t xml:space="preserve">Manufacturing, the traditional driver of the Czech economic growth, on the contrary lagged behind. Its GVA increased by 1.2% year-on-year and its contribution to the growth comprised </w:t>
      </w:r>
      <w:r w:rsidR="00513E9D" w:rsidRPr="00A17559">
        <w:rPr>
          <w:lang w:val="en-GB"/>
        </w:rPr>
        <w:t>0</w:t>
      </w:r>
      <w:r w:rsidR="001548E1" w:rsidRPr="00A17559">
        <w:rPr>
          <w:lang w:val="en-GB"/>
        </w:rPr>
        <w:t>.</w:t>
      </w:r>
      <w:r w:rsidR="00513E9D" w:rsidRPr="00A17559">
        <w:rPr>
          <w:lang w:val="en-GB"/>
        </w:rPr>
        <w:t>3 p.</w:t>
      </w:r>
      <w:r w:rsidR="001548E1" w:rsidRPr="00A17559">
        <w:rPr>
          <w:lang w:val="en-GB"/>
        </w:rPr>
        <w:t>p</w:t>
      </w:r>
      <w:r w:rsidR="00513E9D" w:rsidRPr="00A17559">
        <w:rPr>
          <w:lang w:val="en-GB"/>
        </w:rPr>
        <w:t xml:space="preserve">. </w:t>
      </w:r>
      <w:r w:rsidR="00CB5599" w:rsidRPr="00A17559">
        <w:rPr>
          <w:lang w:val="en-GB"/>
        </w:rPr>
        <w:t xml:space="preserve">Construction built on the last year with the GVA growth of </w:t>
      </w:r>
      <w:r w:rsidR="00513E9D" w:rsidRPr="00A17559">
        <w:rPr>
          <w:lang w:val="en-GB"/>
        </w:rPr>
        <w:t>3</w:t>
      </w:r>
      <w:r w:rsidR="00CB5599" w:rsidRPr="00A17559">
        <w:rPr>
          <w:lang w:val="en-GB"/>
        </w:rPr>
        <w:t>.</w:t>
      </w:r>
      <w:r w:rsidR="00513E9D" w:rsidRPr="00A17559">
        <w:rPr>
          <w:lang w:val="en-GB"/>
        </w:rPr>
        <w:t>6%.</w:t>
      </w:r>
    </w:p>
    <w:p w:rsidR="00513E9D" w:rsidRPr="00A17559" w:rsidRDefault="00664449" w:rsidP="00513E9D">
      <w:pPr>
        <w:pStyle w:val="Normalodrka"/>
        <w:spacing w:after="100"/>
        <w:rPr>
          <w:spacing w:val="2"/>
          <w:lang w:val="en-GB"/>
        </w:rPr>
      </w:pPr>
      <w:r w:rsidRPr="00A17559">
        <w:rPr>
          <w:spacing w:val="2"/>
          <w:lang w:val="en-GB"/>
        </w:rPr>
        <w:t xml:space="preserve">Value of exported goods </w:t>
      </w:r>
      <w:r w:rsidR="00A615E5" w:rsidRPr="00A17559">
        <w:rPr>
          <w:spacing w:val="2"/>
          <w:lang w:val="en-GB"/>
        </w:rPr>
        <w:t>increased</w:t>
      </w:r>
      <w:r w:rsidRPr="00A17559">
        <w:rPr>
          <w:spacing w:val="2"/>
          <w:lang w:val="en-GB"/>
        </w:rPr>
        <w:t xml:space="preserve"> by 63.0 CZK bn (3.5%) year-on-year in H1 2019. </w:t>
      </w:r>
      <w:r w:rsidR="00A615E5" w:rsidRPr="00A17559">
        <w:rPr>
          <w:spacing w:val="2"/>
          <w:lang w:val="en-GB"/>
        </w:rPr>
        <w:t xml:space="preserve">The growth was caused mostly by the export of motor vehicles </w:t>
      </w:r>
      <w:r w:rsidR="00661EC9" w:rsidRPr="00A17559">
        <w:rPr>
          <w:spacing w:val="2"/>
          <w:lang w:val="en-GB"/>
        </w:rPr>
        <w:t>(+17</w:t>
      </w:r>
      <w:r w:rsidR="00A615E5" w:rsidRPr="00A17559">
        <w:rPr>
          <w:spacing w:val="2"/>
          <w:lang w:val="en-GB"/>
        </w:rPr>
        <w:t>.</w:t>
      </w:r>
      <w:r w:rsidR="00661EC9" w:rsidRPr="00A17559">
        <w:rPr>
          <w:spacing w:val="2"/>
          <w:lang w:val="en-GB"/>
        </w:rPr>
        <w:t>5</w:t>
      </w:r>
      <w:r w:rsidR="00513E9D" w:rsidRPr="00A17559">
        <w:rPr>
          <w:spacing w:val="2"/>
          <w:lang w:val="en-GB"/>
        </w:rPr>
        <w:t> </w:t>
      </w:r>
      <w:r w:rsidR="00A615E5" w:rsidRPr="00A17559">
        <w:rPr>
          <w:spacing w:val="2"/>
          <w:lang w:val="en-GB"/>
        </w:rPr>
        <w:t>CZK bn</w:t>
      </w:r>
      <w:r w:rsidR="00513E9D" w:rsidRPr="00A17559">
        <w:rPr>
          <w:spacing w:val="2"/>
          <w:lang w:val="en-GB"/>
        </w:rPr>
        <w:t xml:space="preserve">) </w:t>
      </w:r>
      <w:r w:rsidR="00A615E5" w:rsidRPr="00A17559">
        <w:rPr>
          <w:spacing w:val="2"/>
          <w:lang w:val="en-GB"/>
        </w:rPr>
        <w:t xml:space="preserve">and computers, electronic and optical products </w:t>
      </w:r>
      <w:r w:rsidR="00513E9D" w:rsidRPr="00A17559">
        <w:rPr>
          <w:spacing w:val="2"/>
          <w:lang w:val="en-GB"/>
        </w:rPr>
        <w:t>(+1</w:t>
      </w:r>
      <w:r w:rsidR="00661EC9" w:rsidRPr="00A17559">
        <w:rPr>
          <w:spacing w:val="2"/>
          <w:lang w:val="en-GB"/>
        </w:rPr>
        <w:t>0</w:t>
      </w:r>
      <w:r w:rsidR="00A615E5" w:rsidRPr="00A17559">
        <w:rPr>
          <w:spacing w:val="2"/>
          <w:lang w:val="en-GB"/>
        </w:rPr>
        <w:t>.</w:t>
      </w:r>
      <w:r w:rsidR="00661EC9" w:rsidRPr="00A17559">
        <w:rPr>
          <w:spacing w:val="2"/>
          <w:lang w:val="en-GB"/>
        </w:rPr>
        <w:t>2</w:t>
      </w:r>
      <w:r w:rsidR="00513E9D" w:rsidRPr="00A17559">
        <w:rPr>
          <w:spacing w:val="2"/>
          <w:lang w:val="en-GB"/>
        </w:rPr>
        <w:t> </w:t>
      </w:r>
      <w:r w:rsidR="00A615E5" w:rsidRPr="00A17559">
        <w:rPr>
          <w:spacing w:val="2"/>
          <w:lang w:val="en-GB"/>
        </w:rPr>
        <w:t>bn</w:t>
      </w:r>
      <w:r w:rsidR="00513E9D" w:rsidRPr="00A17559">
        <w:rPr>
          <w:spacing w:val="2"/>
          <w:lang w:val="en-GB"/>
        </w:rPr>
        <w:t xml:space="preserve">). </w:t>
      </w:r>
      <w:r w:rsidR="00A615E5" w:rsidRPr="00A17559">
        <w:rPr>
          <w:spacing w:val="2"/>
          <w:lang w:val="en-GB"/>
        </w:rPr>
        <w:t xml:space="preserve">Value of imported goods enlarged </w:t>
      </w:r>
      <w:r w:rsidR="00E702BD" w:rsidRPr="00A17559">
        <w:rPr>
          <w:spacing w:val="2"/>
          <w:lang w:val="en-GB"/>
        </w:rPr>
        <w:t xml:space="preserve">by 45.4 CZK bn </w:t>
      </w:r>
      <w:r w:rsidR="00513E9D" w:rsidRPr="00A17559">
        <w:rPr>
          <w:spacing w:val="2"/>
          <w:lang w:val="en-GB"/>
        </w:rPr>
        <w:t>(2</w:t>
      </w:r>
      <w:r w:rsidR="00E702BD" w:rsidRPr="00A17559">
        <w:rPr>
          <w:spacing w:val="2"/>
          <w:lang w:val="en-GB"/>
        </w:rPr>
        <w:t>.</w:t>
      </w:r>
      <w:r w:rsidR="00661EC9" w:rsidRPr="00A17559">
        <w:rPr>
          <w:spacing w:val="2"/>
          <w:lang w:val="en-GB"/>
        </w:rPr>
        <w:t>6</w:t>
      </w:r>
      <w:r w:rsidR="00513E9D" w:rsidRPr="00A17559">
        <w:rPr>
          <w:spacing w:val="2"/>
          <w:lang w:val="en-GB"/>
        </w:rPr>
        <w:t>%)</w:t>
      </w:r>
      <w:r w:rsidR="00E702BD" w:rsidRPr="00A17559">
        <w:rPr>
          <w:spacing w:val="2"/>
          <w:lang w:val="en-GB"/>
        </w:rPr>
        <w:t xml:space="preserve"> in H1</w:t>
      </w:r>
      <w:r w:rsidR="00513E9D" w:rsidRPr="00A17559">
        <w:rPr>
          <w:spacing w:val="2"/>
          <w:lang w:val="en-GB"/>
        </w:rPr>
        <w:t xml:space="preserve">. </w:t>
      </w:r>
      <w:r w:rsidR="00F910B3" w:rsidRPr="00A17559">
        <w:rPr>
          <w:spacing w:val="2"/>
          <w:lang w:val="en-GB"/>
        </w:rPr>
        <w:t xml:space="preserve">The resulting balance of trade with goods thus ended in surplus of </w:t>
      </w:r>
      <w:r w:rsidR="00513E9D" w:rsidRPr="00A17559">
        <w:rPr>
          <w:spacing w:val="2"/>
          <w:lang w:val="en-GB"/>
        </w:rPr>
        <w:t>1</w:t>
      </w:r>
      <w:r w:rsidR="00661EC9" w:rsidRPr="00A17559">
        <w:rPr>
          <w:spacing w:val="2"/>
          <w:lang w:val="en-GB"/>
        </w:rPr>
        <w:t>08</w:t>
      </w:r>
      <w:r w:rsidR="00F910B3" w:rsidRPr="00A17559">
        <w:rPr>
          <w:spacing w:val="2"/>
          <w:lang w:val="en-GB"/>
        </w:rPr>
        <w:t>.</w:t>
      </w:r>
      <w:r w:rsidR="00661EC9" w:rsidRPr="00A17559">
        <w:rPr>
          <w:spacing w:val="2"/>
          <w:lang w:val="en-GB"/>
        </w:rPr>
        <w:t>6</w:t>
      </w:r>
      <w:r w:rsidR="00513E9D" w:rsidRPr="00A17559">
        <w:rPr>
          <w:spacing w:val="2"/>
          <w:lang w:val="en-GB"/>
        </w:rPr>
        <w:t> </w:t>
      </w:r>
      <w:r w:rsidR="00F910B3" w:rsidRPr="00A17559">
        <w:rPr>
          <w:spacing w:val="2"/>
          <w:lang w:val="en-GB"/>
        </w:rPr>
        <w:t>CZK bn</w:t>
      </w:r>
      <w:r w:rsidR="00513E9D" w:rsidRPr="00A17559">
        <w:rPr>
          <w:spacing w:val="2"/>
          <w:lang w:val="en-GB"/>
        </w:rPr>
        <w:t xml:space="preserve">, </w:t>
      </w:r>
      <w:r w:rsidR="00F910B3" w:rsidRPr="00A17559">
        <w:rPr>
          <w:spacing w:val="2"/>
          <w:lang w:val="en-GB"/>
        </w:rPr>
        <w:t xml:space="preserve">by </w:t>
      </w:r>
      <w:r w:rsidR="00661EC9" w:rsidRPr="00A17559">
        <w:rPr>
          <w:spacing w:val="2"/>
          <w:lang w:val="en-GB"/>
        </w:rPr>
        <w:t>17</w:t>
      </w:r>
      <w:r w:rsidR="00F910B3" w:rsidRPr="00A17559">
        <w:rPr>
          <w:spacing w:val="2"/>
          <w:lang w:val="en-GB"/>
        </w:rPr>
        <w:t>.</w:t>
      </w:r>
      <w:r w:rsidR="00661EC9" w:rsidRPr="00A17559">
        <w:rPr>
          <w:spacing w:val="2"/>
          <w:lang w:val="en-GB"/>
        </w:rPr>
        <w:t>7</w:t>
      </w:r>
      <w:r w:rsidR="00513E9D" w:rsidRPr="00A17559">
        <w:rPr>
          <w:spacing w:val="2"/>
          <w:lang w:val="en-GB"/>
        </w:rPr>
        <w:t> </w:t>
      </w:r>
      <w:r w:rsidR="00F910B3" w:rsidRPr="00A17559">
        <w:rPr>
          <w:spacing w:val="2"/>
          <w:lang w:val="en-GB"/>
        </w:rPr>
        <w:t xml:space="preserve">bn more compared to the same period of the last year. </w:t>
      </w:r>
    </w:p>
    <w:p w:rsidR="00513E9D" w:rsidRPr="00A17559" w:rsidRDefault="008A48EB" w:rsidP="00513E9D">
      <w:pPr>
        <w:pStyle w:val="Normalodrka"/>
        <w:spacing w:after="100"/>
        <w:rPr>
          <w:spacing w:val="2"/>
          <w:lang w:val="en-GB"/>
        </w:rPr>
      </w:pPr>
      <w:r w:rsidRPr="00A17559">
        <w:rPr>
          <w:spacing w:val="2"/>
          <w:lang w:val="en-GB"/>
        </w:rPr>
        <w:t>The total price level gauged by the GDP deflator increased by 3.5% year-on-year in Q</w:t>
      </w:r>
      <w:r w:rsidR="00513E9D" w:rsidRPr="00A17559">
        <w:rPr>
          <w:spacing w:val="2"/>
          <w:lang w:val="en-GB"/>
        </w:rPr>
        <w:t>2</w:t>
      </w:r>
      <w:r w:rsidRPr="00A17559">
        <w:rPr>
          <w:spacing w:val="2"/>
          <w:lang w:val="en-GB"/>
        </w:rPr>
        <w:t>, representing the highest value since Q</w:t>
      </w:r>
      <w:r w:rsidR="00513E9D" w:rsidRPr="00A17559">
        <w:rPr>
          <w:spacing w:val="2"/>
          <w:lang w:val="en-GB"/>
        </w:rPr>
        <w:t>1</w:t>
      </w:r>
      <w:r w:rsidRPr="00A17559">
        <w:rPr>
          <w:spacing w:val="2"/>
          <w:lang w:val="en-GB"/>
        </w:rPr>
        <w:t xml:space="preserve"> </w:t>
      </w:r>
      <w:r w:rsidR="00513E9D" w:rsidRPr="00A17559">
        <w:rPr>
          <w:spacing w:val="2"/>
          <w:lang w:val="en-GB"/>
        </w:rPr>
        <w:t xml:space="preserve">2009. </w:t>
      </w:r>
      <w:r w:rsidR="006420CF" w:rsidRPr="00A17559">
        <w:rPr>
          <w:spacing w:val="2"/>
          <w:lang w:val="en-GB"/>
        </w:rPr>
        <w:t xml:space="preserve">Prices of consumption goods grew especially fast </w:t>
      </w:r>
      <w:r w:rsidR="00513E9D" w:rsidRPr="00A17559">
        <w:rPr>
          <w:spacing w:val="2"/>
          <w:lang w:val="en-GB"/>
        </w:rPr>
        <w:t>(3</w:t>
      </w:r>
      <w:r w:rsidR="006420CF" w:rsidRPr="00A17559">
        <w:rPr>
          <w:spacing w:val="2"/>
          <w:lang w:val="en-GB"/>
        </w:rPr>
        <w:t>.</w:t>
      </w:r>
      <w:r w:rsidR="00513E9D" w:rsidRPr="00A17559">
        <w:rPr>
          <w:spacing w:val="2"/>
          <w:lang w:val="en-GB"/>
        </w:rPr>
        <w:t xml:space="preserve">8%), </w:t>
      </w:r>
      <w:r w:rsidR="006420CF" w:rsidRPr="00A17559">
        <w:rPr>
          <w:spacing w:val="2"/>
          <w:lang w:val="en-GB"/>
        </w:rPr>
        <w:t xml:space="preserve">prices of capital goods then to a lesser extent </w:t>
      </w:r>
      <w:r w:rsidR="00513E9D" w:rsidRPr="00A17559">
        <w:rPr>
          <w:spacing w:val="2"/>
          <w:lang w:val="en-GB"/>
        </w:rPr>
        <w:t>(2</w:t>
      </w:r>
      <w:r w:rsidR="006420CF" w:rsidRPr="00A17559">
        <w:rPr>
          <w:spacing w:val="2"/>
          <w:lang w:val="en-GB"/>
        </w:rPr>
        <w:t>.</w:t>
      </w:r>
      <w:r w:rsidR="00513E9D" w:rsidRPr="00A17559">
        <w:rPr>
          <w:spacing w:val="2"/>
          <w:lang w:val="en-GB"/>
        </w:rPr>
        <w:t xml:space="preserve">6%). </w:t>
      </w:r>
      <w:r w:rsidR="006420CF" w:rsidRPr="00A17559">
        <w:rPr>
          <w:spacing w:val="2"/>
          <w:lang w:val="en-GB"/>
        </w:rPr>
        <w:t xml:space="preserve">Consumer price index </w:t>
      </w:r>
      <w:r w:rsidR="003C176C" w:rsidRPr="00A17559">
        <w:rPr>
          <w:spacing w:val="2"/>
          <w:lang w:val="en-GB"/>
        </w:rPr>
        <w:t>increased by 2.8% year-on-year in Q</w:t>
      </w:r>
      <w:r w:rsidR="00513E9D" w:rsidRPr="00A17559">
        <w:rPr>
          <w:spacing w:val="2"/>
          <w:lang w:val="en-GB"/>
        </w:rPr>
        <w:t>2.</w:t>
      </w:r>
      <w:r w:rsidR="003C176C" w:rsidRPr="00A17559">
        <w:rPr>
          <w:spacing w:val="2"/>
          <w:lang w:val="en-GB"/>
        </w:rPr>
        <w:t xml:space="preserve"> </w:t>
      </w:r>
      <w:r w:rsidR="006B3A36" w:rsidRPr="00A17559">
        <w:rPr>
          <w:spacing w:val="2"/>
          <w:lang w:val="en-GB"/>
        </w:rPr>
        <w:t xml:space="preserve">Acceleration of the year-on-year growth of prices in the section of housing, water, energies and fuels continued. </w:t>
      </w:r>
      <w:r w:rsidR="006B65DA" w:rsidRPr="00A17559">
        <w:rPr>
          <w:spacing w:val="2"/>
          <w:lang w:val="en-GB"/>
        </w:rPr>
        <w:t xml:space="preserve">Food and non-alcoholic beverages also substantially contributed to the rise in the price level. </w:t>
      </w:r>
      <w:r w:rsidR="00153C26" w:rsidRPr="00A17559">
        <w:rPr>
          <w:spacing w:val="2"/>
          <w:lang w:val="en-GB"/>
        </w:rPr>
        <w:t xml:space="preserve">Dynamics of the growth of prices of agricultural producers also strongly accelerated year-on-year to </w:t>
      </w:r>
      <w:r w:rsidR="00513E9D" w:rsidRPr="00A17559">
        <w:rPr>
          <w:spacing w:val="2"/>
          <w:lang w:val="en-GB"/>
        </w:rPr>
        <w:t>11</w:t>
      </w:r>
      <w:r w:rsidR="00153C26" w:rsidRPr="00A17559">
        <w:rPr>
          <w:spacing w:val="2"/>
          <w:lang w:val="en-GB"/>
        </w:rPr>
        <w:t>.</w:t>
      </w:r>
      <w:r w:rsidR="00513E9D" w:rsidRPr="00A17559">
        <w:rPr>
          <w:spacing w:val="2"/>
          <w:lang w:val="en-GB"/>
        </w:rPr>
        <w:t>0%.</w:t>
      </w:r>
    </w:p>
    <w:p w:rsidR="00513E9D" w:rsidRPr="00A17559" w:rsidRDefault="000221E5" w:rsidP="00513E9D">
      <w:pPr>
        <w:pStyle w:val="Normalodrka"/>
        <w:spacing w:after="100"/>
        <w:rPr>
          <w:spacing w:val="2"/>
          <w:lang w:val="en-GB"/>
        </w:rPr>
      </w:pPr>
      <w:r w:rsidRPr="00A17559">
        <w:rPr>
          <w:spacing w:val="-2"/>
          <w:lang w:val="en-GB"/>
        </w:rPr>
        <w:t>Year-on-year growth of the total employment</w:t>
      </w:r>
      <w:r w:rsidR="00513E9D" w:rsidRPr="00A17559">
        <w:rPr>
          <w:rStyle w:val="Znakapoznpodarou"/>
          <w:color w:val="0D0D0D" w:themeColor="text1" w:themeTint="F2"/>
          <w:spacing w:val="-2"/>
          <w:lang w:val="en-GB"/>
        </w:rPr>
        <w:footnoteReference w:id="2"/>
      </w:r>
      <w:r w:rsidR="00513E9D" w:rsidRPr="00A17559">
        <w:rPr>
          <w:spacing w:val="-2"/>
          <w:lang w:val="en-GB"/>
        </w:rPr>
        <w:t xml:space="preserve"> </w:t>
      </w:r>
      <w:r w:rsidRPr="00A17559">
        <w:rPr>
          <w:spacing w:val="-2"/>
          <w:lang w:val="en-GB"/>
        </w:rPr>
        <w:t>slowed to 0.8% in Q</w:t>
      </w:r>
      <w:r w:rsidR="00513E9D" w:rsidRPr="00A17559">
        <w:rPr>
          <w:spacing w:val="-2"/>
          <w:lang w:val="en-GB"/>
        </w:rPr>
        <w:t>2.</w:t>
      </w:r>
      <w:r w:rsidRPr="00A17559">
        <w:rPr>
          <w:spacing w:val="-2"/>
          <w:lang w:val="en-GB"/>
        </w:rPr>
        <w:t xml:space="preserve"> Employment remained unchanged compared to the preceding quarter. </w:t>
      </w:r>
      <w:r w:rsidR="0079747A" w:rsidRPr="00A17559">
        <w:rPr>
          <w:spacing w:val="-2"/>
          <w:lang w:val="en-GB"/>
        </w:rPr>
        <w:t xml:space="preserve">Services represented the cornerstone of the year-on-year growth of employment. </w:t>
      </w:r>
      <w:r w:rsidR="00E04EE2" w:rsidRPr="00A17559">
        <w:rPr>
          <w:spacing w:val="-2"/>
          <w:lang w:val="en-GB"/>
        </w:rPr>
        <w:t>Mainly the information and communication activities continued in dynamical development. Branches with th</w:t>
      </w:r>
      <w:r w:rsidR="00C4072D">
        <w:rPr>
          <w:spacing w:val="-2"/>
          <w:lang w:val="en-GB"/>
        </w:rPr>
        <w:t>e predominance of the</w:t>
      </w:r>
      <w:r w:rsidR="00E04EE2" w:rsidRPr="00A17559">
        <w:rPr>
          <w:spacing w:val="-2"/>
          <w:lang w:val="en-GB"/>
        </w:rPr>
        <w:t xml:space="preserve"> sector</w:t>
      </w:r>
      <w:r w:rsidR="00C4072D">
        <w:rPr>
          <w:spacing w:val="-2"/>
          <w:lang w:val="en-GB"/>
        </w:rPr>
        <w:t xml:space="preserve"> of </w:t>
      </w:r>
      <w:r w:rsidR="00C4072D" w:rsidRPr="00A17559">
        <w:rPr>
          <w:spacing w:val="-2"/>
          <w:lang w:val="en-GB"/>
        </w:rPr>
        <w:t>government</w:t>
      </w:r>
      <w:r w:rsidR="00C4072D">
        <w:rPr>
          <w:spacing w:val="-2"/>
          <w:lang w:val="en-GB"/>
        </w:rPr>
        <w:t xml:space="preserve"> institution</w:t>
      </w:r>
      <w:r w:rsidR="00E04EE2" w:rsidRPr="00A17559">
        <w:rPr>
          <w:spacing w:val="-2"/>
          <w:lang w:val="en-GB"/>
        </w:rPr>
        <w:t xml:space="preserve">, especially health and social care, also recorded an increase. </w:t>
      </w:r>
      <w:r w:rsidR="007D78E6" w:rsidRPr="00A17559">
        <w:rPr>
          <w:spacing w:val="-2"/>
          <w:lang w:val="en-GB"/>
        </w:rPr>
        <w:t>The general unemployment rate was not falling significantly in Q</w:t>
      </w:r>
      <w:r w:rsidR="00513E9D" w:rsidRPr="00A17559">
        <w:rPr>
          <w:spacing w:val="-2"/>
          <w:lang w:val="en-GB"/>
        </w:rPr>
        <w:t>2</w:t>
      </w:r>
      <w:r w:rsidR="007D78E6" w:rsidRPr="00A17559">
        <w:rPr>
          <w:spacing w:val="-2"/>
          <w:lang w:val="en-GB"/>
        </w:rPr>
        <w:t xml:space="preserve"> and remained around the level of </w:t>
      </w:r>
      <w:r w:rsidR="00513E9D" w:rsidRPr="00A17559">
        <w:rPr>
          <w:spacing w:val="-2"/>
          <w:lang w:val="en-GB"/>
        </w:rPr>
        <w:t xml:space="preserve">2%. </w:t>
      </w:r>
      <w:r w:rsidR="00195C85" w:rsidRPr="00A17559">
        <w:rPr>
          <w:spacing w:val="-2"/>
          <w:lang w:val="en-GB"/>
        </w:rPr>
        <w:t xml:space="preserve">Year-on-year growth of the average gross nominal monthly wage of employees went down to </w:t>
      </w:r>
      <w:r w:rsidR="00513E9D" w:rsidRPr="00A17559">
        <w:rPr>
          <w:spacing w:val="-2"/>
          <w:lang w:val="en-GB"/>
        </w:rPr>
        <w:t>7</w:t>
      </w:r>
      <w:r w:rsidR="00195C85" w:rsidRPr="00A17559">
        <w:rPr>
          <w:spacing w:val="-2"/>
          <w:lang w:val="en-GB"/>
        </w:rPr>
        <w:t>.</w:t>
      </w:r>
      <w:r w:rsidR="00513E9D" w:rsidRPr="00A17559">
        <w:rPr>
          <w:spacing w:val="-2"/>
          <w:lang w:val="en-GB"/>
        </w:rPr>
        <w:t>2%</w:t>
      </w:r>
      <w:r w:rsidR="00195C85" w:rsidRPr="00A17559">
        <w:rPr>
          <w:spacing w:val="-2"/>
          <w:lang w:val="en-GB"/>
        </w:rPr>
        <w:t xml:space="preserve"> in Q2</w:t>
      </w:r>
      <w:r w:rsidR="00513E9D" w:rsidRPr="00A17559">
        <w:rPr>
          <w:spacing w:val="-2"/>
          <w:lang w:val="en-GB"/>
        </w:rPr>
        <w:t xml:space="preserve">. </w:t>
      </w:r>
      <w:r w:rsidR="00F36596" w:rsidRPr="00A17559">
        <w:rPr>
          <w:spacing w:val="-2"/>
          <w:lang w:val="en-GB"/>
        </w:rPr>
        <w:t xml:space="preserve">The average wage thus climbed closely above </w:t>
      </w:r>
      <w:r w:rsidR="00513E9D" w:rsidRPr="00A17559">
        <w:rPr>
          <w:spacing w:val="-2"/>
          <w:lang w:val="en-GB"/>
        </w:rPr>
        <w:t>34 t</w:t>
      </w:r>
      <w:r w:rsidR="00F36596" w:rsidRPr="00A17559">
        <w:rPr>
          <w:spacing w:val="-2"/>
          <w:lang w:val="en-GB"/>
        </w:rPr>
        <w:t>housand CZK</w:t>
      </w:r>
      <w:r w:rsidR="00513E9D" w:rsidRPr="00A17559">
        <w:rPr>
          <w:spacing w:val="-2"/>
          <w:lang w:val="en-GB"/>
        </w:rPr>
        <w:t>.</w:t>
      </w:r>
      <w:r w:rsidR="00C40D33" w:rsidRPr="00A17559">
        <w:rPr>
          <w:spacing w:val="-2"/>
          <w:lang w:val="en-GB"/>
        </w:rPr>
        <w:t xml:space="preserve"> In real terms, the average wage rose by </w:t>
      </w:r>
      <w:r w:rsidR="00513E9D" w:rsidRPr="00A17559">
        <w:rPr>
          <w:spacing w:val="-2"/>
          <w:lang w:val="en-GB"/>
        </w:rPr>
        <w:t>4</w:t>
      </w:r>
      <w:r w:rsidR="00C40D33" w:rsidRPr="00A17559">
        <w:rPr>
          <w:spacing w:val="-2"/>
          <w:lang w:val="en-GB"/>
        </w:rPr>
        <w:t>.</w:t>
      </w:r>
      <w:r w:rsidR="00513E9D" w:rsidRPr="00A17559">
        <w:rPr>
          <w:spacing w:val="-2"/>
          <w:lang w:val="en-GB"/>
        </w:rPr>
        <w:t xml:space="preserve">3%. </w:t>
      </w:r>
      <w:r w:rsidR="00C40D33" w:rsidRPr="00A17559">
        <w:rPr>
          <w:spacing w:val="-2"/>
          <w:lang w:val="en-GB"/>
        </w:rPr>
        <w:t>The year-on-year dynamics was impacted by the swift growth of earnings in education, but also the s</w:t>
      </w:r>
      <w:r w:rsidR="002B3178" w:rsidRPr="00A17559">
        <w:rPr>
          <w:spacing w:val="-2"/>
          <w:lang w:val="en-GB"/>
        </w:rPr>
        <w:t xml:space="preserve">lowing </w:t>
      </w:r>
      <w:r w:rsidR="00C40D33" w:rsidRPr="00A17559">
        <w:rPr>
          <w:spacing w:val="-2"/>
          <w:lang w:val="en-GB"/>
        </w:rPr>
        <w:t xml:space="preserve">pace in manufacturing. </w:t>
      </w:r>
    </w:p>
    <w:p w:rsidR="00513E9D" w:rsidRPr="00A17559" w:rsidRDefault="00F9354B" w:rsidP="00513E9D">
      <w:pPr>
        <w:pStyle w:val="Normalodrka"/>
        <w:spacing w:after="100"/>
        <w:rPr>
          <w:lang w:val="en-GB"/>
        </w:rPr>
      </w:pPr>
      <w:r w:rsidRPr="00A17559">
        <w:rPr>
          <w:lang w:val="en-GB"/>
        </w:rPr>
        <w:t xml:space="preserve">The basic monetary policy-relevant interest rates were again raised in Q2. </w:t>
      </w:r>
      <w:r w:rsidR="00A83F43" w:rsidRPr="00A17559">
        <w:rPr>
          <w:lang w:val="en-GB"/>
        </w:rPr>
        <w:t>Client accounts had thei</w:t>
      </w:r>
      <w:r w:rsidR="004F7BC6" w:rsidRPr="00A17559">
        <w:rPr>
          <w:lang w:val="en-GB"/>
        </w:rPr>
        <w:t>r</w:t>
      </w:r>
      <w:r w:rsidR="00A83F43" w:rsidRPr="00A17559">
        <w:rPr>
          <w:lang w:val="en-GB"/>
        </w:rPr>
        <w:t xml:space="preserve"> conditions changed </w:t>
      </w:r>
      <w:r w:rsidR="00513E9D" w:rsidRPr="00A17559">
        <w:rPr>
          <w:lang w:val="en-GB"/>
        </w:rPr>
        <w:t xml:space="preserve">– </w:t>
      </w:r>
      <w:r w:rsidR="00A83F43" w:rsidRPr="00A17559">
        <w:rPr>
          <w:lang w:val="en-GB"/>
        </w:rPr>
        <w:t>interest rates mildly grew</w:t>
      </w:r>
      <w:r w:rsidR="00513E9D" w:rsidRPr="00A17559">
        <w:rPr>
          <w:lang w:val="en-GB"/>
        </w:rPr>
        <w:t xml:space="preserve">. </w:t>
      </w:r>
      <w:r w:rsidR="00A83F43" w:rsidRPr="00A17559">
        <w:rPr>
          <w:lang w:val="en-GB"/>
        </w:rPr>
        <w:t xml:space="preserve">Growth of the volume of the credit provided to households slowed down </w:t>
      </w:r>
      <w:r w:rsidR="004F7BC6" w:rsidRPr="00A17559">
        <w:rPr>
          <w:lang w:val="en-GB"/>
        </w:rPr>
        <w:t>–</w:t>
      </w:r>
      <w:r w:rsidR="00A83F43" w:rsidRPr="00A17559">
        <w:rPr>
          <w:lang w:val="en-GB"/>
        </w:rPr>
        <w:t xml:space="preserve"> </w:t>
      </w:r>
      <w:r w:rsidR="00EB4ABD" w:rsidRPr="00A17559">
        <w:rPr>
          <w:lang w:val="en-GB"/>
        </w:rPr>
        <w:t xml:space="preserve">for </w:t>
      </w:r>
      <w:r w:rsidR="004F7BC6" w:rsidRPr="00A17559">
        <w:rPr>
          <w:lang w:val="en-GB"/>
        </w:rPr>
        <w:t xml:space="preserve">the consumer credit as well as mortgages. </w:t>
      </w:r>
      <w:r w:rsidR="00EB4ABD" w:rsidRPr="00A17559">
        <w:rPr>
          <w:lang w:val="en-GB"/>
        </w:rPr>
        <w:t xml:space="preserve">Even though the interest rates on credit were decreasing. </w:t>
      </w:r>
      <w:r w:rsidR="004F7BC6" w:rsidRPr="00A17559">
        <w:rPr>
          <w:lang w:val="en-GB"/>
        </w:rPr>
        <w:t xml:space="preserve">Development of volume of credit provided to businesses copied the whole economy </w:t>
      </w:r>
      <w:r w:rsidR="00513E9D" w:rsidRPr="00A17559">
        <w:rPr>
          <w:lang w:val="en-GB"/>
        </w:rPr>
        <w:t xml:space="preserve">– </w:t>
      </w:r>
      <w:r w:rsidR="004F7BC6" w:rsidRPr="00A17559">
        <w:rPr>
          <w:lang w:val="en-GB"/>
        </w:rPr>
        <w:t xml:space="preserve">growth markedly </w:t>
      </w:r>
      <w:r w:rsidR="00EB4ABD" w:rsidRPr="00A17559">
        <w:rPr>
          <w:lang w:val="en-GB"/>
        </w:rPr>
        <w:t>slackened</w:t>
      </w:r>
      <w:r w:rsidR="004F7BC6" w:rsidRPr="00A17559">
        <w:rPr>
          <w:lang w:val="en-GB"/>
        </w:rPr>
        <w:t xml:space="preserve"> in manufacturing, strong pace was maintained in case of information and communication. </w:t>
      </w:r>
    </w:p>
    <w:p w:rsidR="0061176D" w:rsidRPr="00A17559" w:rsidRDefault="00C73AE4" w:rsidP="00513E9D">
      <w:pPr>
        <w:pStyle w:val="Normalodrka"/>
        <w:spacing w:after="0"/>
        <w:rPr>
          <w:lang w:val="en-GB"/>
        </w:rPr>
      </w:pPr>
      <w:r w:rsidRPr="00A17559">
        <w:rPr>
          <w:lang w:val="en-GB"/>
        </w:rPr>
        <w:t xml:space="preserve">The state budget attained (based on the cash fulfilment) a deficit in the amount of 20.7 CZK bn within H1. The balance reflected a fast growth of some current outlays as well as investment activity. The growth of current outlays was markedly affected by the higher expenditure on social benefits year-on-year </w:t>
      </w:r>
      <w:r w:rsidR="00513E9D" w:rsidRPr="00A17559">
        <w:rPr>
          <w:spacing w:val="-4"/>
          <w:lang w:val="en-GB"/>
        </w:rPr>
        <w:t>(+22 </w:t>
      </w:r>
      <w:r w:rsidRPr="00A17559">
        <w:rPr>
          <w:spacing w:val="-4"/>
          <w:lang w:val="en-GB"/>
        </w:rPr>
        <w:t>CZK bn, mostly the pensions</w:t>
      </w:r>
      <w:r w:rsidR="00F37F05" w:rsidRPr="00A17559">
        <w:rPr>
          <w:spacing w:val="-4"/>
          <w:lang w:val="en-GB"/>
        </w:rPr>
        <w:t>) and</w:t>
      </w:r>
      <w:r w:rsidRPr="00A17559">
        <w:rPr>
          <w:spacing w:val="-4"/>
          <w:lang w:val="en-GB"/>
        </w:rPr>
        <w:t xml:space="preserve"> by the wages in the regional education syst</w:t>
      </w:r>
      <w:r w:rsidR="00C815EF" w:rsidRPr="00A17559">
        <w:rPr>
          <w:spacing w:val="-4"/>
          <w:lang w:val="en-GB"/>
        </w:rPr>
        <w:t>e</w:t>
      </w:r>
      <w:r w:rsidRPr="00A17559">
        <w:rPr>
          <w:spacing w:val="-4"/>
          <w:lang w:val="en-GB"/>
        </w:rPr>
        <w:t xml:space="preserve">m </w:t>
      </w:r>
      <w:r w:rsidR="00513E9D" w:rsidRPr="00A17559">
        <w:rPr>
          <w:spacing w:val="-4"/>
          <w:lang w:val="en-GB"/>
        </w:rPr>
        <w:t>(+13</w:t>
      </w:r>
      <w:r w:rsidRPr="00A17559">
        <w:rPr>
          <w:spacing w:val="-4"/>
          <w:lang w:val="en-GB"/>
        </w:rPr>
        <w:t>.</w:t>
      </w:r>
      <w:r w:rsidR="00513E9D" w:rsidRPr="00A17559">
        <w:rPr>
          <w:spacing w:val="-4"/>
          <w:lang w:val="en-GB"/>
        </w:rPr>
        <w:t>7 </w:t>
      </w:r>
      <w:r w:rsidRPr="00A17559">
        <w:rPr>
          <w:spacing w:val="-4"/>
          <w:lang w:val="en-GB"/>
        </w:rPr>
        <w:t>bn</w:t>
      </w:r>
      <w:r w:rsidR="00513E9D" w:rsidRPr="00A17559">
        <w:rPr>
          <w:spacing w:val="-4"/>
          <w:lang w:val="en-GB"/>
        </w:rPr>
        <w:t xml:space="preserve">). </w:t>
      </w:r>
      <w:r w:rsidRPr="00A17559">
        <w:rPr>
          <w:spacing w:val="-4"/>
          <w:lang w:val="en-GB"/>
        </w:rPr>
        <w:t xml:space="preserve">The investment activity also remained strong </w:t>
      </w:r>
      <w:r w:rsidR="00513E9D" w:rsidRPr="00A17559">
        <w:rPr>
          <w:spacing w:val="-4"/>
          <w:lang w:val="en-GB"/>
        </w:rPr>
        <w:t>(+12</w:t>
      </w:r>
      <w:r w:rsidRPr="00A17559">
        <w:rPr>
          <w:spacing w:val="-4"/>
          <w:lang w:val="en-GB"/>
        </w:rPr>
        <w:t>.</w:t>
      </w:r>
      <w:r w:rsidR="00513E9D" w:rsidRPr="00A17559">
        <w:rPr>
          <w:spacing w:val="-4"/>
          <w:lang w:val="en-GB"/>
        </w:rPr>
        <w:t>5 </w:t>
      </w:r>
      <w:r w:rsidRPr="00A17559">
        <w:rPr>
          <w:spacing w:val="-4"/>
          <w:lang w:val="en-GB"/>
        </w:rPr>
        <w:t>CZK bn</w:t>
      </w:r>
      <w:r w:rsidR="00513E9D" w:rsidRPr="00A17559">
        <w:rPr>
          <w:spacing w:val="-4"/>
          <w:lang w:val="en-GB"/>
        </w:rPr>
        <w:t xml:space="preserve">). </w:t>
      </w:r>
      <w:r w:rsidR="00386127" w:rsidRPr="00A17559">
        <w:rPr>
          <w:spacing w:val="-4"/>
          <w:lang w:val="en-GB"/>
        </w:rPr>
        <w:t xml:space="preserve">On the contrary, the state budget </w:t>
      </w:r>
      <w:r w:rsidR="00672F35" w:rsidRPr="00A17559">
        <w:rPr>
          <w:spacing w:val="-4"/>
          <w:lang w:val="en-GB"/>
        </w:rPr>
        <w:t xml:space="preserve">revenues </w:t>
      </w:r>
      <w:r w:rsidR="00386127" w:rsidRPr="00A17559">
        <w:rPr>
          <w:spacing w:val="-4"/>
          <w:lang w:val="en-GB"/>
        </w:rPr>
        <w:t xml:space="preserve">grew </w:t>
      </w:r>
      <w:r w:rsidR="00386127" w:rsidRPr="00A17559">
        <w:rPr>
          <w:spacing w:val="-4"/>
          <w:lang w:val="en-GB"/>
        </w:rPr>
        <w:lastRenderedPageBreak/>
        <w:t xml:space="preserve">year-on-year less than in the previous years. </w:t>
      </w:r>
      <w:r w:rsidR="007B0CCA" w:rsidRPr="00A17559">
        <w:rPr>
          <w:spacing w:val="-4"/>
          <w:lang w:val="en-GB"/>
        </w:rPr>
        <w:t xml:space="preserve">Revenue growth was for the most part driven by higher incomes from taxes </w:t>
      </w:r>
      <w:r w:rsidR="008402AD" w:rsidRPr="00A17559">
        <w:rPr>
          <w:spacing w:val="-4"/>
          <w:lang w:val="en-GB"/>
        </w:rPr>
        <w:t>(</w:t>
      </w:r>
      <w:r w:rsidR="00672F35" w:rsidRPr="00A17559">
        <w:rPr>
          <w:spacing w:val="-4"/>
          <w:lang w:val="en-GB"/>
        </w:rPr>
        <w:t>incl. insurance</w:t>
      </w:r>
      <w:r w:rsidR="008402AD" w:rsidRPr="00A17559">
        <w:rPr>
          <w:spacing w:val="-4"/>
          <w:lang w:val="en-GB"/>
        </w:rPr>
        <w:t>)</w:t>
      </w:r>
      <w:r w:rsidR="00513E9D" w:rsidRPr="00A17559">
        <w:rPr>
          <w:spacing w:val="-4"/>
          <w:lang w:val="en-GB"/>
        </w:rPr>
        <w:t xml:space="preserve"> – </w:t>
      </w:r>
      <w:r w:rsidR="00672F35" w:rsidRPr="00A17559">
        <w:rPr>
          <w:spacing w:val="-4"/>
          <w:lang w:val="en-GB"/>
        </w:rPr>
        <w:t xml:space="preserve">the collection of VAT increased by </w:t>
      </w:r>
      <w:r w:rsidR="00513E9D" w:rsidRPr="00A17559">
        <w:rPr>
          <w:spacing w:val="-4"/>
          <w:lang w:val="en-GB"/>
        </w:rPr>
        <w:t>3</w:t>
      </w:r>
      <w:r w:rsidR="00672F35" w:rsidRPr="00A17559">
        <w:rPr>
          <w:spacing w:val="-4"/>
          <w:lang w:val="en-GB"/>
        </w:rPr>
        <w:t>.</w:t>
      </w:r>
      <w:r w:rsidR="00513E9D" w:rsidRPr="00A17559">
        <w:rPr>
          <w:spacing w:val="-4"/>
          <w:lang w:val="en-GB"/>
        </w:rPr>
        <w:t xml:space="preserve">0%, </w:t>
      </w:r>
      <w:r w:rsidR="00B05AE3" w:rsidRPr="00A17559">
        <w:rPr>
          <w:spacing w:val="-4"/>
          <w:lang w:val="en-GB"/>
        </w:rPr>
        <w:t xml:space="preserve">income tax of natural persons from dependent activities by </w:t>
      </w:r>
      <w:r w:rsidR="00513E9D" w:rsidRPr="00A17559">
        <w:rPr>
          <w:spacing w:val="-4"/>
          <w:lang w:val="en-GB"/>
        </w:rPr>
        <w:t>13</w:t>
      </w:r>
      <w:r w:rsidR="00B05AE3" w:rsidRPr="00A17559">
        <w:rPr>
          <w:spacing w:val="-4"/>
          <w:lang w:val="en-GB"/>
        </w:rPr>
        <w:t>.</w:t>
      </w:r>
      <w:r w:rsidR="00513E9D" w:rsidRPr="00A17559">
        <w:rPr>
          <w:spacing w:val="-4"/>
          <w:lang w:val="en-GB"/>
        </w:rPr>
        <w:t xml:space="preserve">3%. </w:t>
      </w:r>
      <w:r w:rsidR="00875305" w:rsidRPr="00A17559">
        <w:rPr>
          <w:spacing w:val="-4"/>
          <w:lang w:val="en-GB"/>
        </w:rPr>
        <w:t xml:space="preserve">Non-tax and capital revenues also exerted a positive effect. </w:t>
      </w:r>
      <w:r w:rsidR="00513E9D" w:rsidRPr="00A17559">
        <w:rPr>
          <w:spacing w:val="-4"/>
          <w:lang w:val="en-GB"/>
        </w:rPr>
        <w:t>St</w:t>
      </w:r>
      <w:r w:rsidR="009B7257" w:rsidRPr="00A17559">
        <w:rPr>
          <w:spacing w:val="-4"/>
          <w:lang w:val="en-GB"/>
        </w:rPr>
        <w:t xml:space="preserve">ate debt reached 1 712.6 CZK bn at the end of June and remained stable year-on-year. </w:t>
      </w:r>
    </w:p>
    <w:p w:rsidR="00374B68" w:rsidRPr="00A17559" w:rsidRDefault="00374B68" w:rsidP="00374B68">
      <w:pPr>
        <w:pStyle w:val="Normalodrka"/>
        <w:numPr>
          <w:ilvl w:val="0"/>
          <w:numId w:val="0"/>
        </w:numPr>
        <w:spacing w:after="0"/>
        <w:ind w:left="357"/>
        <w:rPr>
          <w:lang w:val="en-GB"/>
        </w:rPr>
      </w:pPr>
    </w:p>
    <w:p w:rsidR="00C62828" w:rsidRPr="00A17559" w:rsidRDefault="004A5D4E" w:rsidP="00CC612B">
      <w:pPr>
        <w:pStyle w:val="Nadpis1"/>
        <w:rPr>
          <w:lang w:val="en-GB"/>
        </w:rPr>
      </w:pPr>
      <w:bookmarkStart w:id="3" w:name="_Toc19179081"/>
      <w:r w:rsidRPr="00A17559">
        <w:rPr>
          <w:lang w:val="en-GB"/>
        </w:rPr>
        <w:t>2. </w:t>
      </w:r>
      <w:r w:rsidR="00374B68" w:rsidRPr="00A17559">
        <w:rPr>
          <w:lang w:val="en-GB"/>
        </w:rPr>
        <w:t>Overall Economic Performance</w:t>
      </w:r>
      <w:bookmarkEnd w:id="3"/>
    </w:p>
    <w:tbl>
      <w:tblPr>
        <w:tblW w:w="9639" w:type="dxa"/>
        <w:tblInd w:w="-15" w:type="dxa"/>
        <w:tblCellMar>
          <w:left w:w="0" w:type="dxa"/>
          <w:right w:w="0" w:type="dxa"/>
        </w:tblCellMar>
        <w:tblLook w:val="00A0" w:firstRow="1" w:lastRow="0" w:firstColumn="1" w:lastColumn="0" w:noHBand="0" w:noVBand="0"/>
      </w:tblPr>
      <w:tblGrid>
        <w:gridCol w:w="1798"/>
        <w:gridCol w:w="231"/>
        <w:gridCol w:w="7610"/>
      </w:tblGrid>
      <w:tr w:rsidR="00F717E4" w:rsidRPr="00A17559" w:rsidTr="00347BDC">
        <w:trPr>
          <w:trHeight w:val="145"/>
        </w:trPr>
        <w:tc>
          <w:tcPr>
            <w:tcW w:w="1798" w:type="dxa"/>
            <w:shd w:val="clear" w:color="auto" w:fill="auto"/>
            <w:tcMar>
              <w:left w:w="0" w:type="dxa"/>
            </w:tcMar>
          </w:tcPr>
          <w:p w:rsidR="00F717E4" w:rsidRPr="00A17559" w:rsidRDefault="00875305" w:rsidP="00875305">
            <w:pPr>
              <w:pStyle w:val="Marginlie"/>
              <w:rPr>
                <w:lang w:val="en-GB"/>
              </w:rPr>
            </w:pPr>
            <w:r w:rsidRPr="00A17559">
              <w:rPr>
                <w:lang w:val="en-GB"/>
              </w:rPr>
              <w:t xml:space="preserve">Year-on-year GDP growth did not decline in Q2. </w:t>
            </w:r>
          </w:p>
        </w:tc>
        <w:tc>
          <w:tcPr>
            <w:tcW w:w="231" w:type="dxa"/>
            <w:shd w:val="clear" w:color="auto" w:fill="auto"/>
            <w:tcMar>
              <w:left w:w="0" w:type="dxa"/>
            </w:tcMar>
          </w:tcPr>
          <w:p w:rsidR="00F717E4" w:rsidRPr="00A17559" w:rsidRDefault="00F717E4" w:rsidP="00F717E4">
            <w:pPr>
              <w:pStyle w:val="Textpoznpodarou"/>
              <w:jc w:val="both"/>
              <w:rPr>
                <w:spacing w:val="-4"/>
                <w:lang w:val="en-GB"/>
              </w:rPr>
            </w:pPr>
          </w:p>
        </w:tc>
        <w:tc>
          <w:tcPr>
            <w:tcW w:w="7610" w:type="dxa"/>
            <w:shd w:val="clear" w:color="auto" w:fill="auto"/>
            <w:tcMar>
              <w:left w:w="0" w:type="dxa"/>
            </w:tcMar>
          </w:tcPr>
          <w:p w:rsidR="00F717E4" w:rsidRPr="00A17559" w:rsidRDefault="00875305" w:rsidP="003E68E3">
            <w:pPr>
              <w:spacing w:after="220"/>
              <w:rPr>
                <w:spacing w:val="-2"/>
                <w:lang w:val="en-GB"/>
              </w:rPr>
            </w:pPr>
            <w:r w:rsidRPr="00A17559">
              <w:rPr>
                <w:spacing w:val="-2"/>
                <w:lang w:val="en-GB"/>
              </w:rPr>
              <w:t xml:space="preserve">The year-on-year dynamics of the gross domestic product (GDP) was the same in Q2 as in the preceding quarter and </w:t>
            </w:r>
            <w:r w:rsidR="00CD5434" w:rsidRPr="00A17559">
              <w:rPr>
                <w:spacing w:val="-2"/>
                <w:lang w:val="en-GB"/>
              </w:rPr>
              <w:t xml:space="preserve">reached </w:t>
            </w:r>
            <w:r w:rsidR="00F717E4" w:rsidRPr="00A17559">
              <w:rPr>
                <w:spacing w:val="-2"/>
                <w:lang w:val="en-GB"/>
              </w:rPr>
              <w:t>2</w:t>
            </w:r>
            <w:r w:rsidR="00CD5434" w:rsidRPr="00A17559">
              <w:rPr>
                <w:spacing w:val="-2"/>
                <w:lang w:val="en-GB"/>
              </w:rPr>
              <w:t>.</w:t>
            </w:r>
            <w:r w:rsidR="00403F57" w:rsidRPr="00A17559">
              <w:rPr>
                <w:spacing w:val="-2"/>
                <w:lang w:val="en-GB"/>
              </w:rPr>
              <w:t>7</w:t>
            </w:r>
            <w:r w:rsidR="00F717E4" w:rsidRPr="00A17559">
              <w:rPr>
                <w:spacing w:val="-2"/>
                <w:lang w:val="en-GB"/>
              </w:rPr>
              <w:t>%</w:t>
            </w:r>
            <w:r w:rsidR="00F717E4" w:rsidRPr="00A17559">
              <w:rPr>
                <w:rStyle w:val="Znakapoznpodarou"/>
                <w:rFonts w:cs="Arial"/>
                <w:spacing w:val="-2"/>
                <w:lang w:val="en-GB"/>
              </w:rPr>
              <w:footnoteReference w:id="3"/>
            </w:r>
            <w:r w:rsidR="00F717E4" w:rsidRPr="00A17559">
              <w:rPr>
                <w:spacing w:val="-2"/>
                <w:lang w:val="en-GB"/>
              </w:rPr>
              <w:t xml:space="preserve">. </w:t>
            </w:r>
            <w:r w:rsidR="00CD5434" w:rsidRPr="00A17559">
              <w:rPr>
                <w:spacing w:val="-2"/>
                <w:lang w:val="en-GB"/>
              </w:rPr>
              <w:t xml:space="preserve">GDP growth in the CR thus does not follow the declining trend in many EU economies for now and remains at a stable level. Even though the expectations captured </w:t>
            </w:r>
            <w:r w:rsidR="001370B7" w:rsidRPr="00A17559">
              <w:rPr>
                <w:spacing w:val="-2"/>
                <w:lang w:val="en-GB"/>
              </w:rPr>
              <w:t>in the business cycle surveys</w:t>
            </w:r>
            <w:r w:rsidR="00CD5434" w:rsidRPr="00A17559">
              <w:rPr>
                <w:spacing w:val="-2"/>
                <w:lang w:val="en-GB"/>
              </w:rPr>
              <w:t xml:space="preserve"> signal</w:t>
            </w:r>
            <w:r w:rsidR="00C416B3" w:rsidRPr="00A17559">
              <w:rPr>
                <w:spacing w:val="-2"/>
                <w:lang w:val="en-GB"/>
              </w:rPr>
              <w:t xml:space="preserve"> </w:t>
            </w:r>
            <w:r w:rsidR="007251D4" w:rsidRPr="00A17559">
              <w:rPr>
                <w:spacing w:val="-2"/>
                <w:lang w:val="en-GB"/>
              </w:rPr>
              <w:t xml:space="preserve">cooling </w:t>
            </w:r>
            <w:r w:rsidR="00C416B3" w:rsidRPr="00A17559">
              <w:rPr>
                <w:spacing w:val="-2"/>
                <w:lang w:val="en-GB"/>
              </w:rPr>
              <w:t>of both entrepreneur and consumer confidence</w:t>
            </w:r>
            <w:r w:rsidR="00CD5434" w:rsidRPr="00A17559">
              <w:rPr>
                <w:spacing w:val="-2"/>
                <w:lang w:val="en-GB"/>
              </w:rPr>
              <w:t xml:space="preserve"> </w:t>
            </w:r>
            <w:r w:rsidR="007251D4" w:rsidRPr="00A17559">
              <w:rPr>
                <w:spacing w:val="-2"/>
                <w:lang w:val="en-GB"/>
              </w:rPr>
              <w:t xml:space="preserve">for </w:t>
            </w:r>
            <w:r w:rsidR="00CD5434" w:rsidRPr="00A17559">
              <w:rPr>
                <w:spacing w:val="-2"/>
                <w:lang w:val="en-GB"/>
              </w:rPr>
              <w:t xml:space="preserve">already </w:t>
            </w:r>
            <w:r w:rsidR="00F37F05" w:rsidRPr="00A17559">
              <w:rPr>
                <w:spacing w:val="-2"/>
                <w:lang w:val="en-GB"/>
              </w:rPr>
              <w:t>several quarters</w:t>
            </w:r>
            <w:r w:rsidR="007251D4" w:rsidRPr="00A17559">
              <w:rPr>
                <w:spacing w:val="-2"/>
                <w:lang w:val="en-GB"/>
              </w:rPr>
              <w:t xml:space="preserve">. </w:t>
            </w:r>
            <w:r w:rsidR="00084C4C" w:rsidRPr="00A17559">
              <w:rPr>
                <w:spacing w:val="-2"/>
                <w:lang w:val="en-GB"/>
              </w:rPr>
              <w:t xml:space="preserve">Breaking down the growth on contributions of individual components </w:t>
            </w:r>
            <w:r w:rsidR="007251D4" w:rsidRPr="00A17559">
              <w:rPr>
                <w:spacing w:val="-2"/>
                <w:lang w:val="en-GB"/>
              </w:rPr>
              <w:t>shows, that final consumption expenditure</w:t>
            </w:r>
            <w:r w:rsidR="00A80911" w:rsidRPr="00A17559">
              <w:rPr>
                <w:spacing w:val="-2"/>
                <w:lang w:val="en-GB"/>
              </w:rPr>
              <w:t>s</w:t>
            </w:r>
            <w:r w:rsidR="007251D4" w:rsidRPr="00A17559">
              <w:rPr>
                <w:spacing w:val="-2"/>
                <w:lang w:val="en-GB"/>
              </w:rPr>
              <w:t xml:space="preserve"> </w:t>
            </w:r>
            <w:r w:rsidR="00A80911" w:rsidRPr="00A17559">
              <w:rPr>
                <w:spacing w:val="-2"/>
                <w:lang w:val="en-GB"/>
              </w:rPr>
              <w:t xml:space="preserve">maintained their dominant role </w:t>
            </w:r>
            <w:r w:rsidR="00F717E4" w:rsidRPr="00A17559">
              <w:rPr>
                <w:spacing w:val="-2"/>
                <w:lang w:val="en-GB"/>
              </w:rPr>
              <w:t>(1</w:t>
            </w:r>
            <w:r w:rsidR="00084C4C" w:rsidRPr="00A17559">
              <w:rPr>
                <w:spacing w:val="-2"/>
                <w:lang w:val="en-GB"/>
              </w:rPr>
              <w:t>.</w:t>
            </w:r>
            <w:r w:rsidR="00F717E4" w:rsidRPr="00A17559">
              <w:rPr>
                <w:spacing w:val="-2"/>
                <w:lang w:val="en-GB"/>
              </w:rPr>
              <w:t>8 p.</w:t>
            </w:r>
            <w:r w:rsidR="00084C4C" w:rsidRPr="00A17559">
              <w:rPr>
                <w:spacing w:val="-2"/>
                <w:lang w:val="en-GB"/>
              </w:rPr>
              <w:t>p</w:t>
            </w:r>
            <w:r w:rsidR="00F717E4" w:rsidRPr="00A17559">
              <w:rPr>
                <w:spacing w:val="-2"/>
                <w:lang w:val="en-GB"/>
              </w:rPr>
              <w:t>.</w:t>
            </w:r>
            <w:r w:rsidR="00F717E4" w:rsidRPr="00A17559">
              <w:rPr>
                <w:rStyle w:val="Znakapoznpodarou"/>
                <w:lang w:val="en-GB"/>
              </w:rPr>
              <w:footnoteReference w:id="4"/>
            </w:r>
            <w:r w:rsidR="00F717E4" w:rsidRPr="00A17559">
              <w:rPr>
                <w:spacing w:val="-2"/>
                <w:lang w:val="en-GB"/>
              </w:rPr>
              <w:t>)</w:t>
            </w:r>
            <w:r w:rsidR="00A80911" w:rsidRPr="00A17559">
              <w:rPr>
                <w:spacing w:val="-2"/>
                <w:lang w:val="en-GB"/>
              </w:rPr>
              <w:t xml:space="preserve"> in Q2</w:t>
            </w:r>
            <w:r w:rsidR="00F717E4" w:rsidRPr="00A17559">
              <w:rPr>
                <w:spacing w:val="-2"/>
                <w:lang w:val="en-GB"/>
              </w:rPr>
              <w:t xml:space="preserve">, </w:t>
            </w:r>
            <w:r w:rsidR="00A80911" w:rsidRPr="00A17559">
              <w:rPr>
                <w:spacing w:val="-2"/>
                <w:lang w:val="en-GB"/>
              </w:rPr>
              <w:t xml:space="preserve">joined by the foreign trade balance </w:t>
            </w:r>
            <w:r w:rsidR="00F717E4" w:rsidRPr="00A17559">
              <w:rPr>
                <w:spacing w:val="-2"/>
                <w:lang w:val="en-GB"/>
              </w:rPr>
              <w:t>(1</w:t>
            </w:r>
            <w:r w:rsidR="00A80911" w:rsidRPr="00A17559">
              <w:rPr>
                <w:spacing w:val="-2"/>
                <w:lang w:val="en-GB"/>
              </w:rPr>
              <w:t>.</w:t>
            </w:r>
            <w:r w:rsidR="00F717E4" w:rsidRPr="00A17559">
              <w:rPr>
                <w:spacing w:val="-2"/>
                <w:lang w:val="en-GB"/>
              </w:rPr>
              <w:t>1</w:t>
            </w:r>
            <w:r w:rsidR="00403F57" w:rsidRPr="00A17559">
              <w:rPr>
                <w:spacing w:val="-2"/>
                <w:lang w:val="en-GB"/>
              </w:rPr>
              <w:t> p.</w:t>
            </w:r>
            <w:r w:rsidR="00A80911" w:rsidRPr="00A17559">
              <w:rPr>
                <w:spacing w:val="-2"/>
                <w:lang w:val="en-GB"/>
              </w:rPr>
              <w:t>p</w:t>
            </w:r>
            <w:r w:rsidR="00403F57" w:rsidRPr="00A17559">
              <w:rPr>
                <w:spacing w:val="-2"/>
                <w:lang w:val="en-GB"/>
              </w:rPr>
              <w:t>.</w:t>
            </w:r>
            <w:r w:rsidR="00F717E4" w:rsidRPr="00A17559">
              <w:rPr>
                <w:spacing w:val="-2"/>
                <w:lang w:val="en-GB"/>
              </w:rPr>
              <w:t xml:space="preserve">). </w:t>
            </w:r>
            <w:r w:rsidR="007251D4" w:rsidRPr="00A17559">
              <w:rPr>
                <w:spacing w:val="-2"/>
                <w:lang w:val="en-GB"/>
              </w:rPr>
              <w:t>In contrast, the capital expenditures</w:t>
            </w:r>
            <w:r w:rsidR="00A80911" w:rsidRPr="00A17559">
              <w:rPr>
                <w:spacing w:val="-2"/>
                <w:lang w:val="en-GB"/>
              </w:rPr>
              <w:t xml:space="preserve"> dampened</w:t>
            </w:r>
            <w:r w:rsidR="007251D4" w:rsidRPr="00A17559">
              <w:rPr>
                <w:spacing w:val="-2"/>
                <w:lang w:val="en-GB"/>
              </w:rPr>
              <w:t xml:space="preserve"> </w:t>
            </w:r>
            <w:r w:rsidR="00A80911" w:rsidRPr="00A17559">
              <w:rPr>
                <w:spacing w:val="-2"/>
                <w:lang w:val="en-GB"/>
              </w:rPr>
              <w:t xml:space="preserve">the year-on-year GDP dynamics (-0.2 p.p.) for the first time since Q1 </w:t>
            </w:r>
            <w:r w:rsidR="00F717E4" w:rsidRPr="00A17559">
              <w:rPr>
                <w:spacing w:val="-2"/>
                <w:lang w:val="en-GB"/>
              </w:rPr>
              <w:t xml:space="preserve">2017. </w:t>
            </w:r>
            <w:r w:rsidR="00F63D70" w:rsidRPr="00A17559">
              <w:rPr>
                <w:spacing w:val="-2"/>
                <w:lang w:val="en-GB"/>
              </w:rPr>
              <w:t xml:space="preserve">Compared to the previous quarter, the GDP increased by 0.7% in Q2, which confirmed the continuation of trend of moderate, but stable dynamics </w:t>
            </w:r>
            <w:r w:rsidR="00F717E4" w:rsidRPr="00A17559">
              <w:rPr>
                <w:spacing w:val="-2"/>
                <w:lang w:val="en-GB"/>
              </w:rPr>
              <w:t>(</w:t>
            </w:r>
            <w:r w:rsidR="00F63D70" w:rsidRPr="00A17559">
              <w:rPr>
                <w:spacing w:val="-2"/>
                <w:lang w:val="en-GB"/>
              </w:rPr>
              <w:t>GDP grew by 0.6% quarter-on-quarter in Q</w:t>
            </w:r>
            <w:r w:rsidR="00F717E4" w:rsidRPr="00A17559">
              <w:rPr>
                <w:spacing w:val="-2"/>
                <w:lang w:val="en-GB"/>
              </w:rPr>
              <w:t xml:space="preserve">1). </w:t>
            </w:r>
            <w:r w:rsidR="00F63D70" w:rsidRPr="00A17559">
              <w:rPr>
                <w:spacing w:val="-2"/>
                <w:lang w:val="en-GB"/>
              </w:rPr>
              <w:t xml:space="preserve">The gross value added </w:t>
            </w:r>
            <w:r w:rsidR="00F717E4" w:rsidRPr="00A17559">
              <w:rPr>
                <w:spacing w:val="-2"/>
                <w:lang w:val="en-GB"/>
              </w:rPr>
              <w:t>(</w:t>
            </w:r>
            <w:r w:rsidR="00F63D70" w:rsidRPr="00A17559">
              <w:rPr>
                <w:spacing w:val="-2"/>
                <w:lang w:val="en-GB"/>
              </w:rPr>
              <w:t>GVA</w:t>
            </w:r>
            <w:r w:rsidR="00F717E4" w:rsidRPr="00A17559">
              <w:rPr>
                <w:spacing w:val="-2"/>
                <w:lang w:val="en-GB"/>
              </w:rPr>
              <w:t>)</w:t>
            </w:r>
            <w:r w:rsidR="00F63D70" w:rsidRPr="00A17559">
              <w:rPr>
                <w:spacing w:val="-2"/>
                <w:lang w:val="en-GB"/>
              </w:rPr>
              <w:t xml:space="preserve"> increased by 2.8% year-on-year in Q</w:t>
            </w:r>
            <w:r w:rsidR="00F717E4" w:rsidRPr="00A17559">
              <w:rPr>
                <w:spacing w:val="-2"/>
                <w:lang w:val="en-GB"/>
              </w:rPr>
              <w:t>2.</w:t>
            </w:r>
            <w:r w:rsidR="00F63D70" w:rsidRPr="00A17559">
              <w:rPr>
                <w:spacing w:val="-2"/>
                <w:lang w:val="en-GB"/>
              </w:rPr>
              <w:t xml:space="preserve"> </w:t>
            </w:r>
            <w:r w:rsidR="001A1716" w:rsidRPr="00A17559">
              <w:rPr>
                <w:spacing w:val="-2"/>
                <w:lang w:val="en-GB"/>
              </w:rPr>
              <w:t xml:space="preserve">The services branches contributed the most similarly to the previous six quarters, prospering from the strong domestic demand. </w:t>
            </w:r>
            <w:r w:rsidR="00F63D70" w:rsidRPr="00A17559">
              <w:rPr>
                <w:spacing w:val="-2"/>
                <w:lang w:val="en-GB"/>
              </w:rPr>
              <w:t xml:space="preserve">In the opposite direction, the contribution of manufacturing, </w:t>
            </w:r>
            <w:r w:rsidR="003E68E3" w:rsidRPr="00A17559">
              <w:rPr>
                <w:spacing w:val="-2"/>
                <w:lang w:val="en-GB"/>
              </w:rPr>
              <w:t xml:space="preserve">which felt more the impact of slowing European economies, </w:t>
            </w:r>
            <w:r w:rsidR="00F63D70" w:rsidRPr="00A17559">
              <w:rPr>
                <w:spacing w:val="-2"/>
                <w:lang w:val="en-GB"/>
              </w:rPr>
              <w:t xml:space="preserve">remained weak. Quarter-on-quarter addition of GVA reached 0.7% in Q2. </w:t>
            </w:r>
            <w:r w:rsidR="00F717E4" w:rsidRPr="00A17559">
              <w:rPr>
                <w:spacing w:val="-2"/>
                <w:lang w:val="en-GB"/>
              </w:rPr>
              <w:t xml:space="preserve"> </w:t>
            </w:r>
          </w:p>
        </w:tc>
      </w:tr>
      <w:tr w:rsidR="00F717E4" w:rsidRPr="00A17559" w:rsidTr="00347BDC">
        <w:trPr>
          <w:trHeight w:val="170"/>
        </w:trPr>
        <w:tc>
          <w:tcPr>
            <w:tcW w:w="1798" w:type="dxa"/>
            <w:vMerge w:val="restart"/>
            <w:shd w:val="clear" w:color="auto" w:fill="auto"/>
            <w:tcMar>
              <w:left w:w="0" w:type="dxa"/>
            </w:tcMar>
          </w:tcPr>
          <w:p w:rsidR="00F717E4" w:rsidRPr="00A17559" w:rsidRDefault="00F717E4" w:rsidP="00F717E4">
            <w:pPr>
              <w:pStyle w:val="Marginlie"/>
              <w:rPr>
                <w:lang w:val="en-GB"/>
              </w:rPr>
            </w:pPr>
          </w:p>
        </w:tc>
        <w:tc>
          <w:tcPr>
            <w:tcW w:w="231" w:type="dxa"/>
            <w:vMerge w:val="restart"/>
            <w:shd w:val="clear" w:color="auto" w:fill="auto"/>
            <w:tcMar>
              <w:left w:w="0" w:type="dxa"/>
            </w:tcMar>
          </w:tcPr>
          <w:p w:rsidR="00F717E4" w:rsidRPr="00A17559" w:rsidRDefault="00F717E4" w:rsidP="00F717E4">
            <w:pPr>
              <w:pStyle w:val="Textpoznpodarou"/>
              <w:jc w:val="both"/>
              <w:rPr>
                <w:spacing w:val="-4"/>
                <w:lang w:val="en-GB"/>
              </w:rPr>
            </w:pPr>
          </w:p>
        </w:tc>
        <w:tc>
          <w:tcPr>
            <w:tcW w:w="7610" w:type="dxa"/>
            <w:shd w:val="clear" w:color="auto" w:fill="auto"/>
            <w:tcMar>
              <w:left w:w="0" w:type="dxa"/>
            </w:tcMar>
          </w:tcPr>
          <w:p w:rsidR="00F717E4" w:rsidRPr="00422629" w:rsidRDefault="001370B7" w:rsidP="001370B7">
            <w:pPr>
              <w:spacing w:after="0"/>
              <w:rPr>
                <w:b/>
                <w:szCs w:val="20"/>
                <w:lang w:val="en-GB"/>
              </w:rPr>
            </w:pPr>
            <w:r w:rsidRPr="00422629">
              <w:rPr>
                <w:rFonts w:cs="Arial"/>
                <w:b/>
                <w:bCs/>
                <w:color w:val="000000"/>
                <w:szCs w:val="20"/>
                <w:lang w:val="en-GB"/>
              </w:rPr>
              <w:t xml:space="preserve">Chart </w:t>
            </w:r>
            <w:r w:rsidR="002F1B09" w:rsidRPr="00422629">
              <w:rPr>
                <w:rFonts w:cs="Arial"/>
                <w:b/>
                <w:bCs/>
                <w:color w:val="000000"/>
                <w:szCs w:val="20"/>
                <w:lang w:val="en-GB"/>
              </w:rPr>
              <w:t>1</w:t>
            </w:r>
            <w:r w:rsidR="0061200F" w:rsidRPr="00422629">
              <w:rPr>
                <w:rFonts w:cs="Arial"/>
                <w:b/>
                <w:bCs/>
                <w:color w:val="000000"/>
                <w:szCs w:val="20"/>
                <w:lang w:val="en-GB"/>
              </w:rPr>
              <w:t xml:space="preserve"> </w:t>
            </w:r>
            <w:r w:rsidRPr="00422629">
              <w:rPr>
                <w:rFonts w:cs="Arial"/>
                <w:b/>
                <w:bCs/>
                <w:color w:val="000000"/>
                <w:szCs w:val="20"/>
                <w:lang w:val="en-GB"/>
              </w:rPr>
              <w:t xml:space="preserve">GDP </w:t>
            </w:r>
            <w:r w:rsidR="00F717E4" w:rsidRPr="00422629">
              <w:rPr>
                <w:rFonts w:cs="Arial"/>
                <w:szCs w:val="20"/>
                <w:lang w:val="en-GB" w:eastAsia="en-US"/>
              </w:rPr>
              <w:t>(</w:t>
            </w:r>
            <w:r w:rsidRPr="00422629">
              <w:rPr>
                <w:rFonts w:cs="Arial"/>
                <w:szCs w:val="20"/>
                <w:lang w:val="en-GB" w:eastAsia="en-US"/>
              </w:rPr>
              <w:t>volume indices, adjusted for seasonal and calendar effects</w:t>
            </w:r>
            <w:r w:rsidR="00F717E4" w:rsidRPr="00422629">
              <w:rPr>
                <w:rFonts w:cs="Arial"/>
                <w:szCs w:val="20"/>
                <w:lang w:val="en-GB" w:eastAsia="en-US"/>
              </w:rPr>
              <w:t xml:space="preserve">, </w:t>
            </w:r>
            <w:r w:rsidRPr="00422629">
              <w:rPr>
                <w:rFonts w:cs="Arial"/>
                <w:szCs w:val="20"/>
                <w:lang w:val="en-GB" w:eastAsia="en-US"/>
              </w:rPr>
              <w:t>in</w:t>
            </w:r>
            <w:r w:rsidR="00F717E4" w:rsidRPr="00422629">
              <w:rPr>
                <w:rFonts w:cs="Arial"/>
                <w:szCs w:val="20"/>
                <w:lang w:val="en-GB" w:eastAsia="en-US"/>
              </w:rPr>
              <w:t> %)</w:t>
            </w:r>
          </w:p>
        </w:tc>
      </w:tr>
      <w:tr w:rsidR="00F717E4" w:rsidRPr="00A17559" w:rsidTr="00347BDC">
        <w:tblPrEx>
          <w:tblCellMar>
            <w:left w:w="70" w:type="dxa"/>
            <w:right w:w="70" w:type="dxa"/>
          </w:tblCellMar>
        </w:tblPrEx>
        <w:trPr>
          <w:trHeight w:val="170"/>
        </w:trPr>
        <w:tc>
          <w:tcPr>
            <w:tcW w:w="1798" w:type="dxa"/>
            <w:vMerge/>
            <w:shd w:val="clear" w:color="auto" w:fill="auto"/>
          </w:tcPr>
          <w:p w:rsidR="00F717E4" w:rsidRPr="00A17559" w:rsidRDefault="00F717E4" w:rsidP="00F717E4">
            <w:pPr>
              <w:pStyle w:val="Marginlie"/>
              <w:rPr>
                <w:lang w:val="en-GB"/>
              </w:rPr>
            </w:pPr>
          </w:p>
        </w:tc>
        <w:tc>
          <w:tcPr>
            <w:tcW w:w="231" w:type="dxa"/>
            <w:vMerge/>
            <w:shd w:val="clear" w:color="auto" w:fill="auto"/>
          </w:tcPr>
          <w:p w:rsidR="00F717E4" w:rsidRPr="00A17559" w:rsidRDefault="00F717E4" w:rsidP="00F717E4">
            <w:pPr>
              <w:pStyle w:val="Textpoznpodarou"/>
              <w:jc w:val="both"/>
              <w:rPr>
                <w:spacing w:val="-4"/>
                <w:lang w:val="en-GB"/>
              </w:rPr>
            </w:pPr>
          </w:p>
        </w:tc>
        <w:tc>
          <w:tcPr>
            <w:tcW w:w="7610" w:type="dxa"/>
            <w:shd w:val="clear" w:color="auto" w:fill="auto"/>
          </w:tcPr>
          <w:p w:rsidR="00F717E4" w:rsidRPr="00A17559" w:rsidRDefault="00347BDC" w:rsidP="00F717E4">
            <w:pPr>
              <w:spacing w:after="0"/>
              <w:rPr>
                <w:lang w:val="en-GB"/>
              </w:rPr>
            </w:pPr>
            <w:r>
              <w:rPr>
                <w:noProof/>
              </w:rPr>
              <w:drawing>
                <wp:inline distT="0" distB="0" distL="0" distR="0" wp14:anchorId="09EB83AD" wp14:editId="2D5AFD1D">
                  <wp:extent cx="4737100" cy="3527946"/>
                  <wp:effectExtent l="0" t="0" r="635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F717E4" w:rsidRPr="00A17559" w:rsidTr="00347BDC">
        <w:trPr>
          <w:trHeight w:val="170"/>
        </w:trPr>
        <w:tc>
          <w:tcPr>
            <w:tcW w:w="1798" w:type="dxa"/>
            <w:vMerge/>
            <w:shd w:val="clear" w:color="auto" w:fill="auto"/>
            <w:tcMar>
              <w:left w:w="0" w:type="dxa"/>
            </w:tcMar>
          </w:tcPr>
          <w:p w:rsidR="00F717E4" w:rsidRPr="00A17559" w:rsidRDefault="00F717E4" w:rsidP="00F717E4">
            <w:pPr>
              <w:pStyle w:val="Marginlie"/>
              <w:rPr>
                <w:lang w:val="en-GB"/>
              </w:rPr>
            </w:pPr>
          </w:p>
        </w:tc>
        <w:tc>
          <w:tcPr>
            <w:tcW w:w="231" w:type="dxa"/>
            <w:vMerge/>
            <w:shd w:val="clear" w:color="auto" w:fill="auto"/>
            <w:tcMar>
              <w:left w:w="0" w:type="dxa"/>
            </w:tcMar>
          </w:tcPr>
          <w:p w:rsidR="00F717E4" w:rsidRPr="00A17559" w:rsidRDefault="00F717E4" w:rsidP="00F717E4">
            <w:pPr>
              <w:pStyle w:val="Textpoznpodarou"/>
              <w:jc w:val="both"/>
              <w:rPr>
                <w:spacing w:val="-4"/>
                <w:lang w:val="en-GB"/>
              </w:rPr>
            </w:pPr>
          </w:p>
        </w:tc>
        <w:tc>
          <w:tcPr>
            <w:tcW w:w="7610" w:type="dxa"/>
            <w:shd w:val="clear" w:color="auto" w:fill="auto"/>
            <w:tcMar>
              <w:left w:w="0" w:type="dxa"/>
            </w:tcMar>
          </w:tcPr>
          <w:p w:rsidR="003E68E3" w:rsidRPr="00347BDC" w:rsidRDefault="001370B7" w:rsidP="001370B7">
            <w:pPr>
              <w:spacing w:after="220"/>
              <w:rPr>
                <w:sz w:val="14"/>
                <w:szCs w:val="14"/>
                <w:lang w:val="en-GB"/>
              </w:rPr>
            </w:pPr>
            <w:r w:rsidRPr="00A17559">
              <w:rPr>
                <w:sz w:val="14"/>
                <w:szCs w:val="14"/>
                <w:lang w:val="en-GB"/>
              </w:rPr>
              <w:t>Source</w:t>
            </w:r>
            <w:r w:rsidR="00F717E4" w:rsidRPr="00A17559">
              <w:rPr>
                <w:sz w:val="14"/>
                <w:szCs w:val="14"/>
                <w:lang w:val="en-GB"/>
              </w:rPr>
              <w:t xml:space="preserve">: </w:t>
            </w:r>
            <w:r w:rsidRPr="00A17559">
              <w:rPr>
                <w:sz w:val="14"/>
                <w:szCs w:val="14"/>
                <w:lang w:val="en-GB"/>
              </w:rPr>
              <w:t>CZSO</w:t>
            </w:r>
            <w:r w:rsidR="00F717E4" w:rsidRPr="00A17559">
              <w:rPr>
                <w:sz w:val="14"/>
                <w:szCs w:val="14"/>
                <w:lang w:val="en-GB"/>
              </w:rPr>
              <w:t>, Eurostat</w:t>
            </w:r>
          </w:p>
        </w:tc>
      </w:tr>
      <w:tr w:rsidR="00F717E4" w:rsidRPr="00A17559" w:rsidTr="00347BDC">
        <w:trPr>
          <w:trHeight w:val="145"/>
        </w:trPr>
        <w:tc>
          <w:tcPr>
            <w:tcW w:w="1798" w:type="dxa"/>
            <w:shd w:val="clear" w:color="auto" w:fill="auto"/>
            <w:tcMar>
              <w:left w:w="0" w:type="dxa"/>
            </w:tcMar>
          </w:tcPr>
          <w:p w:rsidR="00F717E4" w:rsidRPr="00A17559" w:rsidRDefault="004314AC" w:rsidP="004314AC">
            <w:pPr>
              <w:pStyle w:val="Marginlie"/>
              <w:rPr>
                <w:lang w:val="en-GB"/>
              </w:rPr>
            </w:pPr>
            <w:r w:rsidRPr="00A17559">
              <w:rPr>
                <w:lang w:val="en-GB"/>
              </w:rPr>
              <w:t xml:space="preserve">Growth slowed in many EU countries. </w:t>
            </w:r>
          </w:p>
        </w:tc>
        <w:tc>
          <w:tcPr>
            <w:tcW w:w="231" w:type="dxa"/>
            <w:shd w:val="clear" w:color="auto" w:fill="auto"/>
            <w:tcMar>
              <w:left w:w="0" w:type="dxa"/>
            </w:tcMar>
          </w:tcPr>
          <w:p w:rsidR="00F717E4" w:rsidRPr="00A17559" w:rsidRDefault="00F717E4" w:rsidP="00F717E4">
            <w:pPr>
              <w:pStyle w:val="Textpoznpodarou"/>
              <w:jc w:val="both"/>
              <w:rPr>
                <w:spacing w:val="-4"/>
                <w:lang w:val="en-GB"/>
              </w:rPr>
            </w:pPr>
          </w:p>
        </w:tc>
        <w:tc>
          <w:tcPr>
            <w:tcW w:w="7610" w:type="dxa"/>
            <w:shd w:val="clear" w:color="auto" w:fill="auto"/>
            <w:tcMar>
              <w:left w:w="0" w:type="dxa"/>
            </w:tcMar>
          </w:tcPr>
          <w:p w:rsidR="00F717E4" w:rsidRPr="00A17559" w:rsidRDefault="004314AC" w:rsidP="005C5460">
            <w:pPr>
              <w:rPr>
                <w:lang w:val="en-GB"/>
              </w:rPr>
            </w:pPr>
            <w:r w:rsidRPr="00A17559">
              <w:rPr>
                <w:lang w:val="en-GB"/>
              </w:rPr>
              <w:t xml:space="preserve">Year-on-year GDP dynamics again slowed in the European twenty-eight and arrived at </w:t>
            </w:r>
            <w:r w:rsidR="00F717E4" w:rsidRPr="00A17559">
              <w:rPr>
                <w:lang w:val="en-GB"/>
              </w:rPr>
              <w:t>1</w:t>
            </w:r>
            <w:r w:rsidRPr="00A17559">
              <w:rPr>
                <w:lang w:val="en-GB"/>
              </w:rPr>
              <w:t>.</w:t>
            </w:r>
            <w:r w:rsidR="00F717E4" w:rsidRPr="00A17559">
              <w:rPr>
                <w:lang w:val="en-GB"/>
              </w:rPr>
              <w:t>3</w:t>
            </w:r>
            <w:r w:rsidR="00403F57" w:rsidRPr="00A17559">
              <w:rPr>
                <w:lang w:val="en-GB"/>
              </w:rPr>
              <w:t>%</w:t>
            </w:r>
            <w:r w:rsidR="00F717E4" w:rsidRPr="00A17559">
              <w:rPr>
                <w:rStyle w:val="Znakapoznpodarou"/>
                <w:spacing w:val="-2"/>
                <w:lang w:val="en-GB"/>
              </w:rPr>
              <w:footnoteReference w:id="5"/>
            </w:r>
            <w:r w:rsidRPr="00A17559">
              <w:rPr>
                <w:lang w:val="en-GB"/>
              </w:rPr>
              <w:t xml:space="preserve"> in Q2</w:t>
            </w:r>
            <w:r w:rsidR="00F717E4" w:rsidRPr="00A17559">
              <w:rPr>
                <w:lang w:val="en-GB"/>
              </w:rPr>
              <w:t xml:space="preserve">. </w:t>
            </w:r>
            <w:r w:rsidR="00057F99" w:rsidRPr="00A17559">
              <w:rPr>
                <w:lang w:val="en-GB"/>
              </w:rPr>
              <w:t xml:space="preserve">Quarter-on-quarter addition was also markedly lower (0.2%) </w:t>
            </w:r>
            <w:r w:rsidR="00057F99" w:rsidRPr="00A17559">
              <w:rPr>
                <w:lang w:val="en-GB"/>
              </w:rPr>
              <w:lastRenderedPageBreak/>
              <w:t xml:space="preserve">compared to the previous period. </w:t>
            </w:r>
            <w:r w:rsidR="002D5087" w:rsidRPr="00A17559">
              <w:rPr>
                <w:lang w:val="en-GB"/>
              </w:rPr>
              <w:t>The year-on-year growth of the largest European economy – Germany</w:t>
            </w:r>
            <w:r w:rsidR="002F600E" w:rsidRPr="00A17559">
              <w:rPr>
                <w:lang w:val="en-GB"/>
              </w:rPr>
              <w:t xml:space="preserve"> </w:t>
            </w:r>
            <w:r w:rsidR="005C5460">
              <w:rPr>
                <w:lang w:val="en-GB"/>
              </w:rPr>
              <w:t>–</w:t>
            </w:r>
            <w:r w:rsidR="002D5087" w:rsidRPr="00A17559">
              <w:rPr>
                <w:lang w:val="en-GB"/>
              </w:rPr>
              <w:t xml:space="preserve"> slowed also in Q</w:t>
            </w:r>
            <w:r w:rsidR="004A5D4E" w:rsidRPr="00A17559">
              <w:rPr>
                <w:lang w:val="en-GB"/>
              </w:rPr>
              <w:t>2</w:t>
            </w:r>
            <w:r w:rsidR="002D5087" w:rsidRPr="00A17559">
              <w:rPr>
                <w:lang w:val="en-GB"/>
              </w:rPr>
              <w:t xml:space="preserve"> </w:t>
            </w:r>
            <w:r w:rsidR="008A68BB" w:rsidRPr="00A17559">
              <w:rPr>
                <w:lang w:val="en-GB"/>
              </w:rPr>
              <w:t>(</w:t>
            </w:r>
            <w:r w:rsidR="00514A2C" w:rsidRPr="00A17559">
              <w:rPr>
                <w:lang w:val="en-GB"/>
              </w:rPr>
              <w:t xml:space="preserve">from </w:t>
            </w:r>
            <w:r w:rsidR="008A68BB" w:rsidRPr="00A17559">
              <w:rPr>
                <w:lang w:val="en-GB"/>
              </w:rPr>
              <w:t>0</w:t>
            </w:r>
            <w:r w:rsidR="00514A2C" w:rsidRPr="00A17559">
              <w:rPr>
                <w:lang w:val="en-GB"/>
              </w:rPr>
              <w:t>.</w:t>
            </w:r>
            <w:r w:rsidR="008A68BB" w:rsidRPr="00A17559">
              <w:rPr>
                <w:lang w:val="en-GB"/>
              </w:rPr>
              <w:t>9</w:t>
            </w:r>
            <w:r w:rsidR="00403F57" w:rsidRPr="00A17559">
              <w:rPr>
                <w:lang w:val="en-GB"/>
              </w:rPr>
              <w:t>%</w:t>
            </w:r>
            <w:r w:rsidR="00514A2C" w:rsidRPr="00A17559">
              <w:rPr>
                <w:lang w:val="en-GB"/>
              </w:rPr>
              <w:t xml:space="preserve"> in Q</w:t>
            </w:r>
            <w:r w:rsidR="004A5D4E" w:rsidRPr="00A17559">
              <w:rPr>
                <w:lang w:val="en-GB"/>
              </w:rPr>
              <w:t>1</w:t>
            </w:r>
            <w:r w:rsidR="00514A2C" w:rsidRPr="00A17559">
              <w:rPr>
                <w:lang w:val="en-GB"/>
              </w:rPr>
              <w:t xml:space="preserve"> to </w:t>
            </w:r>
            <w:r w:rsidR="008A68BB" w:rsidRPr="00A17559">
              <w:rPr>
                <w:lang w:val="en-GB"/>
              </w:rPr>
              <w:t>0</w:t>
            </w:r>
            <w:r w:rsidR="00514A2C" w:rsidRPr="00A17559">
              <w:rPr>
                <w:lang w:val="en-GB"/>
              </w:rPr>
              <w:t>.</w:t>
            </w:r>
            <w:r w:rsidR="008A68BB" w:rsidRPr="00A17559">
              <w:rPr>
                <w:lang w:val="en-GB"/>
              </w:rPr>
              <w:t>4</w:t>
            </w:r>
            <w:r w:rsidR="00403F57" w:rsidRPr="00A17559">
              <w:rPr>
                <w:lang w:val="en-GB"/>
              </w:rPr>
              <w:t>%</w:t>
            </w:r>
            <w:r w:rsidR="00514A2C" w:rsidRPr="00A17559">
              <w:rPr>
                <w:lang w:val="en-GB"/>
              </w:rPr>
              <w:t xml:space="preserve"> in Q</w:t>
            </w:r>
            <w:r w:rsidR="004A5D4E" w:rsidRPr="00A17559">
              <w:rPr>
                <w:lang w:val="en-GB"/>
              </w:rPr>
              <w:t>2</w:t>
            </w:r>
            <w:r w:rsidR="008A68BB" w:rsidRPr="00A17559">
              <w:rPr>
                <w:lang w:val="en-GB"/>
              </w:rPr>
              <w:t xml:space="preserve">). </w:t>
            </w:r>
            <w:r w:rsidR="00057F99" w:rsidRPr="00A17559">
              <w:rPr>
                <w:lang w:val="en-GB"/>
              </w:rPr>
              <w:t xml:space="preserve">GDP decreased by 0.1% here in comparison to the preceding quarter. Most EU countries registered a slowdown of the year-on-year dynamics. The most markedly in Croatia </w:t>
            </w:r>
            <w:r w:rsidR="008A68BB" w:rsidRPr="00A17559">
              <w:rPr>
                <w:lang w:val="en-GB"/>
              </w:rPr>
              <w:t>(</w:t>
            </w:r>
            <w:r w:rsidR="00057F99" w:rsidRPr="00A17559">
              <w:rPr>
                <w:lang w:val="en-GB"/>
              </w:rPr>
              <w:t xml:space="preserve">from </w:t>
            </w:r>
            <w:r w:rsidR="008A68BB" w:rsidRPr="00A17559">
              <w:rPr>
                <w:lang w:val="en-GB"/>
              </w:rPr>
              <w:t>3</w:t>
            </w:r>
            <w:r w:rsidR="00057F99" w:rsidRPr="00A17559">
              <w:rPr>
                <w:lang w:val="en-GB"/>
              </w:rPr>
              <w:t>.</w:t>
            </w:r>
            <w:r w:rsidR="008A68BB" w:rsidRPr="00A17559">
              <w:rPr>
                <w:lang w:val="en-GB"/>
              </w:rPr>
              <w:t>8</w:t>
            </w:r>
            <w:r w:rsidR="00403F57" w:rsidRPr="00A17559">
              <w:rPr>
                <w:lang w:val="en-GB"/>
              </w:rPr>
              <w:t>%</w:t>
            </w:r>
            <w:r w:rsidR="00057F99" w:rsidRPr="00A17559">
              <w:rPr>
                <w:lang w:val="en-GB"/>
              </w:rPr>
              <w:t xml:space="preserve"> to </w:t>
            </w:r>
            <w:r w:rsidR="008A68BB" w:rsidRPr="00A17559">
              <w:rPr>
                <w:lang w:val="en-GB"/>
              </w:rPr>
              <w:t>2</w:t>
            </w:r>
            <w:r w:rsidR="00057F99" w:rsidRPr="00A17559">
              <w:rPr>
                <w:lang w:val="en-GB"/>
              </w:rPr>
              <w:t>.</w:t>
            </w:r>
            <w:r w:rsidR="008A68BB" w:rsidRPr="00A17559">
              <w:rPr>
                <w:lang w:val="en-GB"/>
              </w:rPr>
              <w:t>5</w:t>
            </w:r>
            <w:r w:rsidR="00403F57" w:rsidRPr="00A17559">
              <w:rPr>
                <w:lang w:val="en-GB"/>
              </w:rPr>
              <w:t>%</w:t>
            </w:r>
            <w:r w:rsidR="008A68BB" w:rsidRPr="00A17559">
              <w:rPr>
                <w:lang w:val="en-GB"/>
              </w:rPr>
              <w:t xml:space="preserve">), </w:t>
            </w:r>
            <w:r w:rsidR="00057F99" w:rsidRPr="00A17559">
              <w:rPr>
                <w:lang w:val="en-GB"/>
              </w:rPr>
              <w:t xml:space="preserve">in Slovakia </w:t>
            </w:r>
            <w:r w:rsidR="008A68BB" w:rsidRPr="00A17559">
              <w:rPr>
                <w:lang w:val="en-GB"/>
              </w:rPr>
              <w:t>(</w:t>
            </w:r>
            <w:r w:rsidR="00057F99" w:rsidRPr="00A17559">
              <w:rPr>
                <w:lang w:val="en-GB"/>
              </w:rPr>
              <w:t xml:space="preserve">from </w:t>
            </w:r>
            <w:r w:rsidR="008A68BB" w:rsidRPr="00A17559">
              <w:rPr>
                <w:lang w:val="en-GB"/>
              </w:rPr>
              <w:t>3</w:t>
            </w:r>
            <w:r w:rsidR="00057F99" w:rsidRPr="00A17559">
              <w:rPr>
                <w:lang w:val="en-GB"/>
              </w:rPr>
              <w:t>.</w:t>
            </w:r>
            <w:r w:rsidR="008A68BB" w:rsidRPr="00A17559">
              <w:rPr>
                <w:lang w:val="en-GB"/>
              </w:rPr>
              <w:t>4</w:t>
            </w:r>
            <w:r w:rsidR="00403F57" w:rsidRPr="00A17559">
              <w:rPr>
                <w:lang w:val="en-GB"/>
              </w:rPr>
              <w:t>%</w:t>
            </w:r>
            <w:r w:rsidR="008A68BB" w:rsidRPr="00A17559">
              <w:rPr>
                <w:lang w:val="en-GB"/>
              </w:rPr>
              <w:t xml:space="preserve"> </w:t>
            </w:r>
            <w:r w:rsidR="00057F99" w:rsidRPr="00A17559">
              <w:rPr>
                <w:lang w:val="en-GB"/>
              </w:rPr>
              <w:t>to</w:t>
            </w:r>
            <w:r w:rsidR="008A68BB" w:rsidRPr="00A17559">
              <w:rPr>
                <w:lang w:val="en-GB"/>
              </w:rPr>
              <w:t xml:space="preserve"> 2</w:t>
            </w:r>
            <w:r w:rsidR="00057F99" w:rsidRPr="00A17559">
              <w:rPr>
                <w:lang w:val="en-GB"/>
              </w:rPr>
              <w:t>.</w:t>
            </w:r>
            <w:r w:rsidR="008A68BB" w:rsidRPr="00A17559">
              <w:rPr>
                <w:lang w:val="en-GB"/>
              </w:rPr>
              <w:t>5</w:t>
            </w:r>
            <w:r w:rsidR="00403F57" w:rsidRPr="00A17559">
              <w:rPr>
                <w:lang w:val="en-GB"/>
              </w:rPr>
              <w:t>%</w:t>
            </w:r>
            <w:r w:rsidR="008A68BB" w:rsidRPr="00A17559">
              <w:rPr>
                <w:lang w:val="en-GB"/>
              </w:rPr>
              <w:t xml:space="preserve">) </w:t>
            </w:r>
            <w:r w:rsidR="00057F99" w:rsidRPr="00A17559">
              <w:rPr>
                <w:lang w:val="en-GB"/>
              </w:rPr>
              <w:t xml:space="preserve">and in Slovenia </w:t>
            </w:r>
            <w:r w:rsidR="008A68BB" w:rsidRPr="00A17559">
              <w:rPr>
                <w:lang w:val="en-GB"/>
              </w:rPr>
              <w:t>(</w:t>
            </w:r>
            <w:r w:rsidR="00057F99" w:rsidRPr="00A17559">
              <w:rPr>
                <w:lang w:val="en-GB"/>
              </w:rPr>
              <w:t xml:space="preserve">from </w:t>
            </w:r>
            <w:r w:rsidR="003A2EBA" w:rsidRPr="00A17559">
              <w:rPr>
                <w:lang w:val="en-GB"/>
              </w:rPr>
              <w:t>3</w:t>
            </w:r>
            <w:r w:rsidR="00057F99" w:rsidRPr="00A17559">
              <w:rPr>
                <w:lang w:val="en-GB"/>
              </w:rPr>
              <w:t>.</w:t>
            </w:r>
            <w:r w:rsidR="003A2EBA" w:rsidRPr="00A17559">
              <w:rPr>
                <w:lang w:val="en-GB"/>
              </w:rPr>
              <w:t>5</w:t>
            </w:r>
            <w:r w:rsidR="00403F57" w:rsidRPr="00A17559">
              <w:rPr>
                <w:lang w:val="en-GB"/>
              </w:rPr>
              <w:t>%</w:t>
            </w:r>
            <w:r w:rsidR="003A2EBA" w:rsidRPr="00A17559">
              <w:rPr>
                <w:lang w:val="en-GB"/>
              </w:rPr>
              <w:t xml:space="preserve"> </w:t>
            </w:r>
            <w:r w:rsidR="00057F99" w:rsidRPr="00A17559">
              <w:rPr>
                <w:lang w:val="en-GB"/>
              </w:rPr>
              <w:t xml:space="preserve">to </w:t>
            </w:r>
            <w:r w:rsidR="003A2EBA" w:rsidRPr="00A17559">
              <w:rPr>
                <w:lang w:val="en-GB"/>
              </w:rPr>
              <w:t>2</w:t>
            </w:r>
            <w:r w:rsidR="00057F99" w:rsidRPr="00A17559">
              <w:rPr>
                <w:lang w:val="en-GB"/>
              </w:rPr>
              <w:t>.</w:t>
            </w:r>
            <w:r w:rsidR="003A2EBA" w:rsidRPr="00A17559">
              <w:rPr>
                <w:lang w:val="en-GB"/>
              </w:rPr>
              <w:t>6</w:t>
            </w:r>
            <w:r w:rsidR="00403F57" w:rsidRPr="00A17559">
              <w:rPr>
                <w:lang w:val="en-GB"/>
              </w:rPr>
              <w:t>%</w:t>
            </w:r>
            <w:r w:rsidR="008A68BB" w:rsidRPr="00A17559">
              <w:rPr>
                <w:lang w:val="en-GB"/>
              </w:rPr>
              <w:t>)</w:t>
            </w:r>
            <w:r w:rsidR="003A2EBA" w:rsidRPr="00A17559">
              <w:rPr>
                <w:lang w:val="en-GB"/>
              </w:rPr>
              <w:t xml:space="preserve">. </w:t>
            </w:r>
            <w:r w:rsidR="00514A2C" w:rsidRPr="00A17559">
              <w:rPr>
                <w:lang w:val="en-GB"/>
              </w:rPr>
              <w:t xml:space="preserve">Hungary </w:t>
            </w:r>
            <w:r w:rsidR="003A2EBA" w:rsidRPr="00A17559">
              <w:rPr>
                <w:lang w:val="en-GB"/>
              </w:rPr>
              <w:t>(5</w:t>
            </w:r>
            <w:r w:rsidR="00514A2C" w:rsidRPr="00A17559">
              <w:rPr>
                <w:lang w:val="en-GB"/>
              </w:rPr>
              <w:t>.</w:t>
            </w:r>
            <w:r w:rsidR="003A2EBA" w:rsidRPr="00A17559">
              <w:rPr>
                <w:lang w:val="en-GB"/>
              </w:rPr>
              <w:t>2</w:t>
            </w:r>
            <w:r w:rsidR="00403F57" w:rsidRPr="00A17559">
              <w:rPr>
                <w:lang w:val="en-GB"/>
              </w:rPr>
              <w:t>%</w:t>
            </w:r>
            <w:r w:rsidR="003A2EBA" w:rsidRPr="00A17559">
              <w:rPr>
                <w:lang w:val="en-GB"/>
              </w:rPr>
              <w:t>,</w:t>
            </w:r>
            <w:r w:rsidR="00514A2C" w:rsidRPr="00A17559">
              <w:rPr>
                <w:lang w:val="en-GB"/>
              </w:rPr>
              <w:t xml:space="preserve"> the same as in Q</w:t>
            </w:r>
            <w:r w:rsidR="003A2EBA" w:rsidRPr="00A17559">
              <w:rPr>
                <w:lang w:val="en-GB"/>
              </w:rPr>
              <w:t>1), R</w:t>
            </w:r>
            <w:r w:rsidR="00514A2C" w:rsidRPr="00A17559">
              <w:rPr>
                <w:lang w:val="en-GB"/>
              </w:rPr>
              <w:t xml:space="preserve">omania </w:t>
            </w:r>
            <w:r w:rsidR="003A2EBA" w:rsidRPr="00A17559">
              <w:rPr>
                <w:lang w:val="en-GB"/>
              </w:rPr>
              <w:t>(4</w:t>
            </w:r>
            <w:r w:rsidR="00514A2C" w:rsidRPr="00A17559">
              <w:rPr>
                <w:lang w:val="en-GB"/>
              </w:rPr>
              <w:t>.</w:t>
            </w:r>
            <w:r w:rsidR="003A2EBA" w:rsidRPr="00A17559">
              <w:rPr>
                <w:lang w:val="en-GB"/>
              </w:rPr>
              <w:t>6</w:t>
            </w:r>
            <w:r w:rsidR="00403F57" w:rsidRPr="00A17559">
              <w:rPr>
                <w:lang w:val="en-GB"/>
              </w:rPr>
              <w:t>%</w:t>
            </w:r>
            <w:r w:rsidR="003A2EBA" w:rsidRPr="00A17559">
              <w:rPr>
                <w:lang w:val="en-GB"/>
              </w:rPr>
              <w:t xml:space="preserve">) </w:t>
            </w:r>
            <w:r w:rsidR="002F1B09" w:rsidRPr="00A17559">
              <w:rPr>
                <w:lang w:val="en-GB"/>
              </w:rPr>
              <w:t>a</w:t>
            </w:r>
            <w:r w:rsidR="00514A2C" w:rsidRPr="00A17559">
              <w:rPr>
                <w:lang w:val="en-GB"/>
              </w:rPr>
              <w:t>nd</w:t>
            </w:r>
            <w:r w:rsidR="002F1B09" w:rsidRPr="00A17559">
              <w:rPr>
                <w:lang w:val="en-GB"/>
              </w:rPr>
              <w:t> </w:t>
            </w:r>
            <w:r w:rsidR="003A2EBA" w:rsidRPr="00A17559">
              <w:rPr>
                <w:lang w:val="en-GB"/>
              </w:rPr>
              <w:t>Pol</w:t>
            </w:r>
            <w:r w:rsidR="00514A2C" w:rsidRPr="00A17559">
              <w:rPr>
                <w:lang w:val="en-GB"/>
              </w:rPr>
              <w:t xml:space="preserve">and </w:t>
            </w:r>
            <w:r w:rsidR="003A2EBA" w:rsidRPr="00A17559">
              <w:rPr>
                <w:lang w:val="en-GB"/>
              </w:rPr>
              <w:t>(4</w:t>
            </w:r>
            <w:r w:rsidR="00514A2C" w:rsidRPr="00A17559">
              <w:rPr>
                <w:lang w:val="en-GB"/>
              </w:rPr>
              <w:t>.</w:t>
            </w:r>
            <w:r w:rsidR="003A2EBA" w:rsidRPr="00A17559">
              <w:rPr>
                <w:lang w:val="en-GB"/>
              </w:rPr>
              <w:t>2</w:t>
            </w:r>
            <w:r w:rsidR="00403F57" w:rsidRPr="00A17559">
              <w:rPr>
                <w:lang w:val="en-GB"/>
              </w:rPr>
              <w:t>%</w:t>
            </w:r>
            <w:r w:rsidR="003A2EBA" w:rsidRPr="00A17559">
              <w:rPr>
                <w:lang w:val="en-GB"/>
              </w:rPr>
              <w:t>)</w:t>
            </w:r>
            <w:r w:rsidR="00514A2C" w:rsidRPr="00A17559">
              <w:rPr>
                <w:lang w:val="en-GB"/>
              </w:rPr>
              <w:t xml:space="preserve"> </w:t>
            </w:r>
            <w:r w:rsidR="002F600E" w:rsidRPr="00A17559">
              <w:rPr>
                <w:lang w:val="en-GB"/>
              </w:rPr>
              <w:t>enjoyed</w:t>
            </w:r>
            <w:r w:rsidR="00514A2C" w:rsidRPr="00A17559">
              <w:rPr>
                <w:lang w:val="en-GB"/>
              </w:rPr>
              <w:t xml:space="preserve"> the highest year-on-year GDP growth according to the available data.</w:t>
            </w:r>
            <w:r w:rsidR="003A2EBA" w:rsidRPr="00A17559">
              <w:rPr>
                <w:lang w:val="en-GB"/>
              </w:rPr>
              <w:t xml:space="preserve"> </w:t>
            </w:r>
            <w:r w:rsidR="00514A2C" w:rsidRPr="00A17559">
              <w:rPr>
                <w:lang w:val="en-GB"/>
              </w:rPr>
              <w:t>In contrast, Italy recorded year-on-year decline (-0.1%)</w:t>
            </w:r>
            <w:r w:rsidR="003A2EBA" w:rsidRPr="00A17559">
              <w:rPr>
                <w:lang w:val="en-GB"/>
              </w:rPr>
              <w:t xml:space="preserve">, </w:t>
            </w:r>
            <w:r w:rsidR="00514A2C" w:rsidRPr="00A17559">
              <w:rPr>
                <w:lang w:val="en-GB"/>
              </w:rPr>
              <w:t xml:space="preserve">the already mentioned Germany had the smallest addition and the GDP of the Great Britain, Belgium and Finland grew at the same rate of </w:t>
            </w:r>
            <w:r w:rsidR="003A2EBA" w:rsidRPr="00A17559">
              <w:rPr>
                <w:lang w:val="en-GB"/>
              </w:rPr>
              <w:t>1</w:t>
            </w:r>
            <w:r w:rsidR="00514A2C" w:rsidRPr="00A17559">
              <w:rPr>
                <w:lang w:val="en-GB"/>
              </w:rPr>
              <w:t>.</w:t>
            </w:r>
            <w:r w:rsidR="003A2EBA" w:rsidRPr="00A17559">
              <w:rPr>
                <w:lang w:val="en-GB"/>
              </w:rPr>
              <w:t>2%</w:t>
            </w:r>
            <w:r w:rsidR="00514A2C" w:rsidRPr="00A17559">
              <w:rPr>
                <w:lang w:val="en-GB"/>
              </w:rPr>
              <w:t xml:space="preserve">. </w:t>
            </w:r>
          </w:p>
        </w:tc>
      </w:tr>
      <w:tr w:rsidR="00F717E4" w:rsidRPr="00A17559" w:rsidTr="00347BDC">
        <w:trPr>
          <w:trHeight w:val="170"/>
        </w:trPr>
        <w:tc>
          <w:tcPr>
            <w:tcW w:w="1798" w:type="dxa"/>
            <w:vMerge w:val="restart"/>
            <w:shd w:val="clear" w:color="auto" w:fill="auto"/>
            <w:tcMar>
              <w:left w:w="0" w:type="dxa"/>
            </w:tcMar>
          </w:tcPr>
          <w:p w:rsidR="00F717E4" w:rsidRPr="00A17559" w:rsidRDefault="00F717E4" w:rsidP="00F717E4">
            <w:pPr>
              <w:pStyle w:val="Marginlie"/>
              <w:rPr>
                <w:lang w:val="en-GB"/>
              </w:rPr>
            </w:pPr>
          </w:p>
        </w:tc>
        <w:tc>
          <w:tcPr>
            <w:tcW w:w="231" w:type="dxa"/>
            <w:vMerge w:val="restart"/>
            <w:shd w:val="clear" w:color="auto" w:fill="auto"/>
            <w:tcMar>
              <w:left w:w="0" w:type="dxa"/>
            </w:tcMar>
          </w:tcPr>
          <w:p w:rsidR="00F717E4" w:rsidRPr="00A17559" w:rsidRDefault="00F717E4" w:rsidP="00F717E4">
            <w:pPr>
              <w:pStyle w:val="Textpoznpodarou"/>
              <w:jc w:val="both"/>
              <w:rPr>
                <w:spacing w:val="-4"/>
                <w:lang w:val="en-GB"/>
              </w:rPr>
            </w:pPr>
          </w:p>
        </w:tc>
        <w:tc>
          <w:tcPr>
            <w:tcW w:w="7610" w:type="dxa"/>
            <w:shd w:val="clear" w:color="auto" w:fill="auto"/>
            <w:tcMar>
              <w:left w:w="0" w:type="dxa"/>
            </w:tcMar>
          </w:tcPr>
          <w:p w:rsidR="00F717E4" w:rsidRPr="00422629" w:rsidRDefault="004314AC" w:rsidP="004314AC">
            <w:pPr>
              <w:spacing w:after="0"/>
              <w:rPr>
                <w:b/>
                <w:szCs w:val="20"/>
                <w:lang w:val="en-GB"/>
              </w:rPr>
            </w:pPr>
            <w:r w:rsidRPr="00422629">
              <w:rPr>
                <w:b/>
                <w:spacing w:val="-4"/>
                <w:szCs w:val="20"/>
                <w:lang w:val="en-GB" w:eastAsia="en-US"/>
              </w:rPr>
              <w:t xml:space="preserve">Chart </w:t>
            </w:r>
            <w:r w:rsidR="002F1B09" w:rsidRPr="00422629">
              <w:rPr>
                <w:b/>
                <w:spacing w:val="-4"/>
                <w:szCs w:val="20"/>
                <w:lang w:val="en-GB" w:eastAsia="en-US"/>
              </w:rPr>
              <w:t>2</w:t>
            </w:r>
            <w:r w:rsidR="0061200F" w:rsidRPr="00422629">
              <w:rPr>
                <w:b/>
                <w:spacing w:val="-4"/>
                <w:szCs w:val="20"/>
                <w:lang w:val="en-GB" w:eastAsia="en-US"/>
              </w:rPr>
              <w:t xml:space="preserve"> </w:t>
            </w:r>
            <w:r w:rsidRPr="00422629">
              <w:rPr>
                <w:b/>
                <w:spacing w:val="-4"/>
                <w:szCs w:val="20"/>
                <w:lang w:val="en-GB" w:eastAsia="en-US"/>
              </w:rPr>
              <w:t xml:space="preserve">GDP </w:t>
            </w:r>
            <w:r w:rsidR="00F717E4" w:rsidRPr="00422629">
              <w:rPr>
                <w:rFonts w:cs="Arial"/>
                <w:b/>
                <w:szCs w:val="20"/>
                <w:lang w:val="en-GB" w:eastAsia="en-US"/>
              </w:rPr>
              <w:t xml:space="preserve"> </w:t>
            </w:r>
            <w:r w:rsidR="00F717E4" w:rsidRPr="00422629">
              <w:rPr>
                <w:rFonts w:cs="Arial"/>
                <w:szCs w:val="20"/>
                <w:lang w:val="en-GB" w:eastAsia="en-US"/>
              </w:rPr>
              <w:t>(</w:t>
            </w:r>
            <w:r w:rsidR="002D5087" w:rsidRPr="00422629">
              <w:rPr>
                <w:rFonts w:cs="Arial"/>
                <w:szCs w:val="20"/>
                <w:lang w:val="en-GB" w:eastAsia="en-US"/>
              </w:rPr>
              <w:t>volume indices, adjusted for seasonal and calendar effects, year-on-year in %, right axis)</w:t>
            </w:r>
            <w:r w:rsidR="002D5087" w:rsidRPr="00422629">
              <w:rPr>
                <w:rFonts w:cs="Arial"/>
                <w:b/>
                <w:szCs w:val="20"/>
                <w:lang w:val="en-GB" w:eastAsia="en-US"/>
              </w:rPr>
              <w:t xml:space="preserve"> and confidence indicators </w:t>
            </w:r>
            <w:r w:rsidR="002D5087" w:rsidRPr="00422629">
              <w:rPr>
                <w:rFonts w:cs="Arial"/>
                <w:szCs w:val="20"/>
                <w:lang w:val="en-GB" w:eastAsia="en-US"/>
              </w:rPr>
              <w:t>(2005 = 100, left axis)</w:t>
            </w:r>
          </w:p>
        </w:tc>
      </w:tr>
      <w:tr w:rsidR="00F717E4" w:rsidRPr="00A17559" w:rsidTr="00347BDC">
        <w:tblPrEx>
          <w:tblCellMar>
            <w:left w:w="70" w:type="dxa"/>
            <w:right w:w="70" w:type="dxa"/>
          </w:tblCellMar>
        </w:tblPrEx>
        <w:trPr>
          <w:trHeight w:val="170"/>
        </w:trPr>
        <w:tc>
          <w:tcPr>
            <w:tcW w:w="1798" w:type="dxa"/>
            <w:vMerge/>
            <w:shd w:val="clear" w:color="auto" w:fill="auto"/>
          </w:tcPr>
          <w:p w:rsidR="00F717E4" w:rsidRPr="00A17559" w:rsidRDefault="00F717E4" w:rsidP="00F717E4">
            <w:pPr>
              <w:pStyle w:val="Marginlie"/>
              <w:rPr>
                <w:lang w:val="en-GB"/>
              </w:rPr>
            </w:pPr>
          </w:p>
        </w:tc>
        <w:tc>
          <w:tcPr>
            <w:tcW w:w="231" w:type="dxa"/>
            <w:vMerge/>
            <w:shd w:val="clear" w:color="auto" w:fill="auto"/>
          </w:tcPr>
          <w:p w:rsidR="00F717E4" w:rsidRPr="00A17559" w:rsidRDefault="00F717E4" w:rsidP="00F717E4">
            <w:pPr>
              <w:pStyle w:val="Textpoznpodarou"/>
              <w:jc w:val="both"/>
              <w:rPr>
                <w:spacing w:val="-4"/>
                <w:lang w:val="en-GB"/>
              </w:rPr>
            </w:pPr>
          </w:p>
        </w:tc>
        <w:tc>
          <w:tcPr>
            <w:tcW w:w="7610" w:type="dxa"/>
            <w:shd w:val="clear" w:color="auto" w:fill="auto"/>
          </w:tcPr>
          <w:p w:rsidR="00F717E4" w:rsidRPr="00A17559" w:rsidRDefault="00347BDC" w:rsidP="00F717E4">
            <w:pPr>
              <w:spacing w:after="0"/>
              <w:rPr>
                <w:lang w:val="en-GB"/>
              </w:rPr>
            </w:pPr>
            <w:r>
              <w:rPr>
                <w:noProof/>
              </w:rPr>
              <w:drawing>
                <wp:inline distT="0" distB="0" distL="0" distR="0" wp14:anchorId="52499FBF" wp14:editId="4B9D03C4">
                  <wp:extent cx="4737600" cy="3553200"/>
                  <wp:effectExtent l="0" t="0" r="635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F717E4" w:rsidRPr="00A17559" w:rsidTr="00347BDC">
        <w:trPr>
          <w:trHeight w:val="170"/>
        </w:trPr>
        <w:tc>
          <w:tcPr>
            <w:tcW w:w="1798" w:type="dxa"/>
            <w:vMerge/>
            <w:shd w:val="clear" w:color="auto" w:fill="auto"/>
            <w:tcMar>
              <w:left w:w="0" w:type="dxa"/>
            </w:tcMar>
          </w:tcPr>
          <w:p w:rsidR="00F717E4" w:rsidRPr="00A17559" w:rsidRDefault="00F717E4" w:rsidP="00F717E4">
            <w:pPr>
              <w:pStyle w:val="Marginlie"/>
              <w:rPr>
                <w:lang w:val="en-GB"/>
              </w:rPr>
            </w:pPr>
          </w:p>
        </w:tc>
        <w:tc>
          <w:tcPr>
            <w:tcW w:w="231" w:type="dxa"/>
            <w:vMerge/>
            <w:shd w:val="clear" w:color="auto" w:fill="auto"/>
            <w:tcMar>
              <w:left w:w="0" w:type="dxa"/>
            </w:tcMar>
          </w:tcPr>
          <w:p w:rsidR="00F717E4" w:rsidRPr="00A17559" w:rsidRDefault="00F717E4" w:rsidP="00F717E4">
            <w:pPr>
              <w:pStyle w:val="Textpoznpodarou"/>
              <w:jc w:val="both"/>
              <w:rPr>
                <w:spacing w:val="-4"/>
                <w:lang w:val="en-GB"/>
              </w:rPr>
            </w:pPr>
          </w:p>
        </w:tc>
        <w:tc>
          <w:tcPr>
            <w:tcW w:w="7610" w:type="dxa"/>
            <w:shd w:val="clear" w:color="auto" w:fill="auto"/>
            <w:tcMar>
              <w:left w:w="0" w:type="dxa"/>
            </w:tcMar>
          </w:tcPr>
          <w:p w:rsidR="002D5087" w:rsidRPr="00A17559" w:rsidRDefault="001370B7" w:rsidP="00347BDC">
            <w:pPr>
              <w:rPr>
                <w:sz w:val="18"/>
                <w:szCs w:val="18"/>
                <w:lang w:val="en-GB"/>
              </w:rPr>
            </w:pPr>
            <w:r w:rsidRPr="00A17559">
              <w:rPr>
                <w:sz w:val="14"/>
                <w:szCs w:val="14"/>
                <w:lang w:val="en-GB"/>
              </w:rPr>
              <w:t>Source</w:t>
            </w:r>
            <w:r w:rsidR="00F717E4" w:rsidRPr="00A17559">
              <w:rPr>
                <w:sz w:val="14"/>
                <w:szCs w:val="14"/>
                <w:lang w:val="en-GB"/>
              </w:rPr>
              <w:t xml:space="preserve">: </w:t>
            </w:r>
            <w:r w:rsidRPr="00A17559">
              <w:rPr>
                <w:sz w:val="14"/>
                <w:szCs w:val="14"/>
                <w:lang w:val="en-GB"/>
              </w:rPr>
              <w:t>CZSO</w:t>
            </w:r>
          </w:p>
        </w:tc>
      </w:tr>
      <w:tr w:rsidR="00F717E4" w:rsidRPr="00A17559" w:rsidTr="00347BDC">
        <w:trPr>
          <w:trHeight w:val="145"/>
        </w:trPr>
        <w:tc>
          <w:tcPr>
            <w:tcW w:w="1798" w:type="dxa"/>
            <w:shd w:val="clear" w:color="auto" w:fill="auto"/>
            <w:tcMar>
              <w:left w:w="0" w:type="dxa"/>
            </w:tcMar>
          </w:tcPr>
          <w:p w:rsidR="00F717E4" w:rsidRPr="00A17559" w:rsidRDefault="00F717E4" w:rsidP="001370B7">
            <w:pPr>
              <w:pStyle w:val="Marginlie"/>
              <w:rPr>
                <w:lang w:val="en-GB"/>
              </w:rPr>
            </w:pPr>
            <w:r w:rsidRPr="00A17559">
              <w:rPr>
                <w:lang w:val="en-GB"/>
              </w:rPr>
              <w:t>Do</w:t>
            </w:r>
            <w:r w:rsidR="001370B7" w:rsidRPr="00A17559">
              <w:rPr>
                <w:lang w:val="en-GB"/>
              </w:rPr>
              <w:t xml:space="preserve">mestic demand was the main driver of the GDP growth. </w:t>
            </w:r>
          </w:p>
        </w:tc>
        <w:tc>
          <w:tcPr>
            <w:tcW w:w="231" w:type="dxa"/>
            <w:shd w:val="clear" w:color="auto" w:fill="auto"/>
            <w:tcMar>
              <w:left w:w="0" w:type="dxa"/>
            </w:tcMar>
          </w:tcPr>
          <w:p w:rsidR="00F717E4" w:rsidRPr="00A17559" w:rsidRDefault="00F717E4" w:rsidP="00F717E4">
            <w:pPr>
              <w:pStyle w:val="Textpoznpodarou"/>
              <w:jc w:val="both"/>
              <w:rPr>
                <w:spacing w:val="-4"/>
                <w:lang w:val="en-GB"/>
              </w:rPr>
            </w:pPr>
          </w:p>
        </w:tc>
        <w:tc>
          <w:tcPr>
            <w:tcW w:w="7610" w:type="dxa"/>
            <w:shd w:val="clear" w:color="auto" w:fill="auto"/>
            <w:tcMar>
              <w:left w:w="0" w:type="dxa"/>
            </w:tcMar>
          </w:tcPr>
          <w:p w:rsidR="00F717E4" w:rsidRPr="00A17559" w:rsidRDefault="00946F8B" w:rsidP="00037270">
            <w:pPr>
              <w:rPr>
                <w:lang w:val="en-GB"/>
              </w:rPr>
            </w:pPr>
            <w:r w:rsidRPr="00A17559">
              <w:rPr>
                <w:lang w:val="en-GB"/>
              </w:rPr>
              <w:t xml:space="preserve">Year-on-year growth of the final consumption expenditures was </w:t>
            </w:r>
            <w:r w:rsidR="00F717E4" w:rsidRPr="00A17559">
              <w:rPr>
                <w:lang w:val="en-GB"/>
              </w:rPr>
              <w:t>2</w:t>
            </w:r>
            <w:r w:rsidR="00557E7E" w:rsidRPr="00A17559">
              <w:rPr>
                <w:lang w:val="en-GB"/>
              </w:rPr>
              <w:t>.</w:t>
            </w:r>
            <w:r w:rsidR="00F717E4" w:rsidRPr="00A17559">
              <w:rPr>
                <w:lang w:val="en-GB"/>
              </w:rPr>
              <w:t>9</w:t>
            </w:r>
            <w:r w:rsidR="00403F57" w:rsidRPr="00A17559">
              <w:rPr>
                <w:lang w:val="en-GB"/>
              </w:rPr>
              <w:t>%</w:t>
            </w:r>
            <w:r w:rsidR="00F717E4" w:rsidRPr="00A17559">
              <w:rPr>
                <w:lang w:val="en-GB"/>
              </w:rPr>
              <w:t xml:space="preserve">. </w:t>
            </w:r>
            <w:r w:rsidR="00557E7E" w:rsidRPr="00A17559">
              <w:rPr>
                <w:lang w:val="en-GB"/>
              </w:rPr>
              <w:t xml:space="preserve">Households kept the dynamics from the previous quarter </w:t>
            </w:r>
            <w:r w:rsidR="00F717E4" w:rsidRPr="00A17559">
              <w:rPr>
                <w:lang w:val="en-GB"/>
              </w:rPr>
              <w:t>(2</w:t>
            </w:r>
            <w:r w:rsidR="00557E7E" w:rsidRPr="00A17559">
              <w:rPr>
                <w:lang w:val="en-GB"/>
              </w:rPr>
              <w:t>.</w:t>
            </w:r>
            <w:r w:rsidR="00F717E4" w:rsidRPr="00A17559">
              <w:rPr>
                <w:lang w:val="en-GB"/>
              </w:rPr>
              <w:t>7</w:t>
            </w:r>
            <w:r w:rsidR="00403F57" w:rsidRPr="00A17559">
              <w:rPr>
                <w:lang w:val="en-GB"/>
              </w:rPr>
              <w:t>%</w:t>
            </w:r>
            <w:r w:rsidR="00F717E4" w:rsidRPr="00A17559">
              <w:rPr>
                <w:lang w:val="en-GB"/>
              </w:rPr>
              <w:t>).</w:t>
            </w:r>
            <w:r w:rsidR="00557E7E" w:rsidRPr="00A17559">
              <w:rPr>
                <w:lang w:val="en-GB"/>
              </w:rPr>
              <w:t xml:space="preserve"> In case of government institutions, the year-on-year growth </w:t>
            </w:r>
            <w:r w:rsidR="00E404FD" w:rsidRPr="00A17559">
              <w:rPr>
                <w:lang w:val="en-GB"/>
              </w:rPr>
              <w:t>strengthened</w:t>
            </w:r>
            <w:r w:rsidR="00557E7E" w:rsidRPr="00A17559">
              <w:rPr>
                <w:lang w:val="en-GB"/>
              </w:rPr>
              <w:t xml:space="preserve"> to </w:t>
            </w:r>
            <w:r w:rsidR="00F717E4" w:rsidRPr="00A17559">
              <w:rPr>
                <w:lang w:val="en-GB"/>
              </w:rPr>
              <w:t>3</w:t>
            </w:r>
            <w:r w:rsidR="00557E7E" w:rsidRPr="00A17559">
              <w:rPr>
                <w:lang w:val="en-GB"/>
              </w:rPr>
              <w:t>.</w:t>
            </w:r>
            <w:r w:rsidR="00F717E4" w:rsidRPr="00A17559">
              <w:rPr>
                <w:lang w:val="en-GB"/>
              </w:rPr>
              <w:t>4</w:t>
            </w:r>
            <w:r w:rsidR="00403F57" w:rsidRPr="00A17559">
              <w:rPr>
                <w:lang w:val="en-GB"/>
              </w:rPr>
              <w:t>%</w:t>
            </w:r>
            <w:r w:rsidR="00F717E4" w:rsidRPr="00A17559">
              <w:rPr>
                <w:lang w:val="en-GB"/>
              </w:rPr>
              <w:t>.</w:t>
            </w:r>
            <w:r w:rsidR="00557E7E" w:rsidRPr="00A17559">
              <w:rPr>
                <w:lang w:val="en-GB"/>
              </w:rPr>
              <w:t xml:space="preserve"> Consumption of government institutions thus again notably contributed to the GDP growth </w:t>
            </w:r>
            <w:r w:rsidR="00F717E4" w:rsidRPr="00A17559">
              <w:rPr>
                <w:lang w:val="en-GB"/>
              </w:rPr>
              <w:t>(0</w:t>
            </w:r>
            <w:r w:rsidR="00557E7E" w:rsidRPr="00A17559">
              <w:rPr>
                <w:lang w:val="en-GB"/>
              </w:rPr>
              <w:t>.</w:t>
            </w:r>
            <w:r w:rsidR="00F717E4" w:rsidRPr="00A17559">
              <w:rPr>
                <w:lang w:val="en-GB"/>
              </w:rPr>
              <w:t>7</w:t>
            </w:r>
            <w:r w:rsidR="00403F57" w:rsidRPr="00A17559">
              <w:rPr>
                <w:lang w:val="en-GB"/>
              </w:rPr>
              <w:t> p.</w:t>
            </w:r>
            <w:r w:rsidR="00557E7E" w:rsidRPr="00A17559">
              <w:rPr>
                <w:lang w:val="en-GB"/>
              </w:rPr>
              <w:t>p</w:t>
            </w:r>
            <w:r w:rsidR="00403F57" w:rsidRPr="00A17559">
              <w:rPr>
                <w:lang w:val="en-GB"/>
              </w:rPr>
              <w:t>.</w:t>
            </w:r>
            <w:r w:rsidR="00F717E4" w:rsidRPr="00A17559">
              <w:rPr>
                <w:lang w:val="en-GB"/>
              </w:rPr>
              <w:t>)</w:t>
            </w:r>
            <w:r w:rsidR="00557E7E" w:rsidRPr="00A17559">
              <w:rPr>
                <w:lang w:val="en-GB"/>
              </w:rPr>
              <w:t xml:space="preserve"> in Q2</w:t>
            </w:r>
            <w:r w:rsidR="00F717E4" w:rsidRPr="00A17559">
              <w:rPr>
                <w:lang w:val="en-GB"/>
              </w:rPr>
              <w:t xml:space="preserve">. </w:t>
            </w:r>
            <w:r w:rsidR="000B7A9D" w:rsidRPr="00A17559">
              <w:rPr>
                <w:lang w:val="en-GB"/>
              </w:rPr>
              <w:t xml:space="preserve">Quarter-on-quarter growth of household consumption reached </w:t>
            </w:r>
            <w:r w:rsidR="00F717E4" w:rsidRPr="00A17559">
              <w:rPr>
                <w:lang w:val="en-GB"/>
              </w:rPr>
              <w:t>0</w:t>
            </w:r>
            <w:r w:rsidR="000B7A9D" w:rsidRPr="00A17559">
              <w:rPr>
                <w:lang w:val="en-GB"/>
              </w:rPr>
              <w:t>.</w:t>
            </w:r>
            <w:r w:rsidR="00F717E4" w:rsidRPr="00A17559">
              <w:rPr>
                <w:lang w:val="en-GB"/>
              </w:rPr>
              <w:t>7</w:t>
            </w:r>
            <w:r w:rsidR="00403F57" w:rsidRPr="00A17559">
              <w:rPr>
                <w:lang w:val="en-GB"/>
              </w:rPr>
              <w:t>%</w:t>
            </w:r>
            <w:r w:rsidR="00F717E4" w:rsidRPr="00A17559">
              <w:rPr>
                <w:lang w:val="en-GB"/>
              </w:rPr>
              <w:t>,</w:t>
            </w:r>
            <w:r w:rsidR="000B7A9D" w:rsidRPr="00A17559">
              <w:rPr>
                <w:lang w:val="en-GB"/>
              </w:rPr>
              <w:t xml:space="preserve"> it was 1.2% for government institutions. </w:t>
            </w:r>
            <w:r w:rsidR="00A1145C" w:rsidRPr="00A17559">
              <w:rPr>
                <w:lang w:val="en-GB"/>
              </w:rPr>
              <w:t>With the view to the durability of the consumed goods, further slowdown of year-on-year dynamics can be observed for d</w:t>
            </w:r>
            <w:r w:rsidR="000B7A9D" w:rsidRPr="00A17559">
              <w:rPr>
                <w:lang w:val="en-GB"/>
              </w:rPr>
              <w:t>urable goods</w:t>
            </w:r>
            <w:r w:rsidR="00A1145C" w:rsidRPr="00A17559">
              <w:rPr>
                <w:lang w:val="en-GB"/>
              </w:rPr>
              <w:t xml:space="preserve"> in Q2</w:t>
            </w:r>
            <w:r w:rsidR="000B7A9D" w:rsidRPr="00A17559">
              <w:rPr>
                <w:lang w:val="en-GB"/>
              </w:rPr>
              <w:t xml:space="preserve"> </w:t>
            </w:r>
            <w:r w:rsidR="00F717E4" w:rsidRPr="00A17559">
              <w:rPr>
                <w:lang w:val="en-GB"/>
              </w:rPr>
              <w:t>(3</w:t>
            </w:r>
            <w:r w:rsidR="000B7A9D" w:rsidRPr="00A17559">
              <w:rPr>
                <w:lang w:val="en-GB"/>
              </w:rPr>
              <w:t>.</w:t>
            </w:r>
            <w:r w:rsidR="00F717E4" w:rsidRPr="00A17559">
              <w:rPr>
                <w:lang w:val="en-GB"/>
              </w:rPr>
              <w:t>0</w:t>
            </w:r>
            <w:r w:rsidR="00403F57" w:rsidRPr="00A17559">
              <w:rPr>
                <w:lang w:val="en-GB"/>
              </w:rPr>
              <w:t>%</w:t>
            </w:r>
            <w:r w:rsidR="00F717E4" w:rsidRPr="00A17559">
              <w:rPr>
                <w:rStyle w:val="Znakapoznpodarou"/>
                <w:lang w:val="en-GB"/>
              </w:rPr>
              <w:footnoteReference w:id="6"/>
            </w:r>
            <w:r w:rsidR="00F717E4" w:rsidRPr="00A17559">
              <w:rPr>
                <w:lang w:val="en-GB"/>
              </w:rPr>
              <w:t xml:space="preserve">). </w:t>
            </w:r>
            <w:r w:rsidR="00037270" w:rsidRPr="00A17559">
              <w:rPr>
                <w:lang w:val="en-GB"/>
              </w:rPr>
              <w:t xml:space="preserve">And vice versa, the growth remained relatively high (6.6%) for the goods of medium-term consumption. The growth of consumption of non-durable goods stayed at a low level </w:t>
            </w:r>
            <w:r w:rsidR="00F717E4" w:rsidRPr="00A17559">
              <w:rPr>
                <w:lang w:val="en-GB"/>
              </w:rPr>
              <w:t>(1</w:t>
            </w:r>
            <w:r w:rsidR="00037270" w:rsidRPr="00A17559">
              <w:rPr>
                <w:lang w:val="en-GB"/>
              </w:rPr>
              <w:t>.</w:t>
            </w:r>
            <w:r w:rsidR="00F717E4" w:rsidRPr="00A17559">
              <w:rPr>
                <w:lang w:val="en-GB"/>
              </w:rPr>
              <w:t>8</w:t>
            </w:r>
            <w:r w:rsidR="00403F57" w:rsidRPr="00A17559">
              <w:rPr>
                <w:lang w:val="en-GB"/>
              </w:rPr>
              <w:t>%</w:t>
            </w:r>
            <w:r w:rsidR="00F717E4" w:rsidRPr="00A17559">
              <w:rPr>
                <w:lang w:val="en-GB"/>
              </w:rPr>
              <w:t>).</w:t>
            </w:r>
            <w:r w:rsidR="00037270" w:rsidRPr="00A17559">
              <w:rPr>
                <w:lang w:val="en-GB"/>
              </w:rPr>
              <w:t xml:space="preserve"> Year-on-year dynamics of consumption of services sank substantially </w:t>
            </w:r>
            <w:r w:rsidR="00F717E4" w:rsidRPr="00A17559">
              <w:rPr>
                <w:lang w:val="en-GB"/>
              </w:rPr>
              <w:t xml:space="preserve">– </w:t>
            </w:r>
            <w:r w:rsidR="000B7A9D" w:rsidRPr="00A17559">
              <w:rPr>
                <w:lang w:val="en-GB"/>
              </w:rPr>
              <w:t xml:space="preserve">from more than </w:t>
            </w:r>
            <w:r w:rsidR="00F717E4" w:rsidRPr="00A17559">
              <w:rPr>
                <w:lang w:val="en-GB"/>
              </w:rPr>
              <w:t>3</w:t>
            </w:r>
            <w:r w:rsidR="00403F57" w:rsidRPr="00A17559">
              <w:rPr>
                <w:lang w:val="en-GB"/>
              </w:rPr>
              <w:t>%</w:t>
            </w:r>
            <w:r w:rsidR="00F717E4" w:rsidRPr="00A17559">
              <w:rPr>
                <w:lang w:val="en-GB"/>
              </w:rPr>
              <w:t xml:space="preserve"> </w:t>
            </w:r>
            <w:r w:rsidR="000B7A9D" w:rsidRPr="00A17559">
              <w:rPr>
                <w:lang w:val="en-GB"/>
              </w:rPr>
              <w:t xml:space="preserve">to </w:t>
            </w:r>
            <w:r w:rsidR="00F717E4" w:rsidRPr="00A17559">
              <w:rPr>
                <w:lang w:val="en-GB"/>
              </w:rPr>
              <w:t>1</w:t>
            </w:r>
            <w:r w:rsidR="000B7A9D" w:rsidRPr="00A17559">
              <w:rPr>
                <w:lang w:val="en-GB"/>
              </w:rPr>
              <w:t>.</w:t>
            </w:r>
            <w:r w:rsidR="00F717E4" w:rsidRPr="00A17559">
              <w:rPr>
                <w:lang w:val="en-GB"/>
              </w:rPr>
              <w:t>6%</w:t>
            </w:r>
            <w:r w:rsidR="000B7A9D" w:rsidRPr="00A17559">
              <w:rPr>
                <w:lang w:val="en-GB"/>
              </w:rPr>
              <w:t xml:space="preserve"> in Q</w:t>
            </w:r>
            <w:r w:rsidR="004A5D4E" w:rsidRPr="00A17559">
              <w:rPr>
                <w:lang w:val="en-GB"/>
              </w:rPr>
              <w:t>2.</w:t>
            </w:r>
            <w:r w:rsidR="000B7A9D" w:rsidRPr="00A17559">
              <w:rPr>
                <w:lang w:val="en-GB"/>
              </w:rPr>
              <w:t xml:space="preserve"> </w:t>
            </w:r>
          </w:p>
        </w:tc>
      </w:tr>
      <w:tr w:rsidR="00F717E4" w:rsidRPr="00A17559" w:rsidTr="00347BDC">
        <w:trPr>
          <w:trHeight w:val="170"/>
        </w:trPr>
        <w:tc>
          <w:tcPr>
            <w:tcW w:w="1798" w:type="dxa"/>
            <w:vMerge w:val="restart"/>
            <w:shd w:val="clear" w:color="auto" w:fill="auto"/>
            <w:tcMar>
              <w:left w:w="0" w:type="dxa"/>
            </w:tcMar>
          </w:tcPr>
          <w:p w:rsidR="00F717E4" w:rsidRPr="00A17559" w:rsidRDefault="001370B7" w:rsidP="001370B7">
            <w:pPr>
              <w:pStyle w:val="Marginlie"/>
              <w:rPr>
                <w:lang w:val="en-GB"/>
              </w:rPr>
            </w:pPr>
            <w:r w:rsidRPr="00A17559">
              <w:rPr>
                <w:lang w:val="en-GB"/>
              </w:rPr>
              <w:t xml:space="preserve">Volume of paid out wages and salaries increased by 7.5% year-on-year. </w:t>
            </w:r>
          </w:p>
        </w:tc>
        <w:tc>
          <w:tcPr>
            <w:tcW w:w="231" w:type="dxa"/>
            <w:vMerge w:val="restart"/>
            <w:shd w:val="clear" w:color="auto" w:fill="auto"/>
            <w:tcMar>
              <w:left w:w="0" w:type="dxa"/>
            </w:tcMar>
          </w:tcPr>
          <w:p w:rsidR="00F717E4" w:rsidRPr="00A17559" w:rsidRDefault="00F717E4" w:rsidP="00F717E4">
            <w:pPr>
              <w:pStyle w:val="Textpoznpodarou"/>
              <w:jc w:val="both"/>
              <w:rPr>
                <w:spacing w:val="-4"/>
                <w:lang w:val="en-GB"/>
              </w:rPr>
            </w:pPr>
          </w:p>
        </w:tc>
        <w:tc>
          <w:tcPr>
            <w:tcW w:w="7610" w:type="dxa"/>
            <w:shd w:val="clear" w:color="auto" w:fill="auto"/>
            <w:tcMar>
              <w:left w:w="0" w:type="dxa"/>
            </w:tcMar>
          </w:tcPr>
          <w:p w:rsidR="00F717E4" w:rsidRPr="00A17559" w:rsidRDefault="000B7A9D" w:rsidP="0034095D">
            <w:pPr>
              <w:spacing w:after="0"/>
              <w:rPr>
                <w:lang w:val="en-GB"/>
              </w:rPr>
            </w:pPr>
            <w:r w:rsidRPr="00A17559">
              <w:rPr>
                <w:lang w:val="en-GB"/>
              </w:rPr>
              <w:t xml:space="preserve">Volume of paid out salaries and wages grew by 7.5% year-on-year in Q2. It is by </w:t>
            </w:r>
            <w:r w:rsidR="00F717E4" w:rsidRPr="00A17559">
              <w:rPr>
                <w:lang w:val="en-GB"/>
              </w:rPr>
              <w:t>0</w:t>
            </w:r>
            <w:r w:rsidRPr="00A17559">
              <w:rPr>
                <w:lang w:val="en-GB"/>
              </w:rPr>
              <w:t>.</w:t>
            </w:r>
            <w:r w:rsidR="00F717E4" w:rsidRPr="00A17559">
              <w:rPr>
                <w:lang w:val="en-GB"/>
              </w:rPr>
              <w:t>4</w:t>
            </w:r>
            <w:r w:rsidR="00403F57" w:rsidRPr="00A17559">
              <w:rPr>
                <w:lang w:val="en-GB"/>
              </w:rPr>
              <w:t> p.</w:t>
            </w:r>
            <w:r w:rsidRPr="00A17559">
              <w:rPr>
                <w:lang w:val="en-GB"/>
              </w:rPr>
              <w:t>p</w:t>
            </w:r>
            <w:r w:rsidR="00403F57" w:rsidRPr="00A17559">
              <w:rPr>
                <w:lang w:val="en-GB"/>
              </w:rPr>
              <w:t>.</w:t>
            </w:r>
            <w:r w:rsidRPr="00A17559">
              <w:rPr>
                <w:lang w:val="en-GB"/>
              </w:rPr>
              <w:t xml:space="preserve"> less compared to the previous quarter. Volume of wage resources</w:t>
            </w:r>
            <w:r w:rsidR="00037270" w:rsidRPr="00A17559">
              <w:rPr>
                <w:lang w:val="en-GB"/>
              </w:rPr>
              <w:t xml:space="preserve"> </w:t>
            </w:r>
            <w:r w:rsidRPr="00A17559">
              <w:rPr>
                <w:lang w:val="en-GB"/>
              </w:rPr>
              <w:t>also did not expand as fast as in the last two years. Still, it presents a relatively strong grow</w:t>
            </w:r>
            <w:r w:rsidR="00037270" w:rsidRPr="00A17559">
              <w:rPr>
                <w:lang w:val="en-GB"/>
              </w:rPr>
              <w:t>t</w:t>
            </w:r>
            <w:r w:rsidRPr="00A17559">
              <w:rPr>
                <w:lang w:val="en-GB"/>
              </w:rPr>
              <w:t>h,</w:t>
            </w:r>
            <w:r w:rsidR="00037270" w:rsidRPr="00A17559">
              <w:rPr>
                <w:lang w:val="en-GB"/>
              </w:rPr>
              <w:t xml:space="preserve"> which is </w:t>
            </w:r>
            <w:r w:rsidR="00025D65" w:rsidRPr="00A17559">
              <w:rPr>
                <w:lang w:val="en-GB"/>
              </w:rPr>
              <w:t>for the most part transferred into the size of wages themselves</w:t>
            </w:r>
            <w:r w:rsidR="00F717E4" w:rsidRPr="00A17559">
              <w:rPr>
                <w:lang w:val="en-GB"/>
              </w:rPr>
              <w:t xml:space="preserve">, </w:t>
            </w:r>
            <w:r w:rsidR="00037270" w:rsidRPr="00A17559">
              <w:rPr>
                <w:lang w:val="en-GB"/>
              </w:rPr>
              <w:t xml:space="preserve">because the </w:t>
            </w:r>
            <w:r w:rsidR="00037270" w:rsidRPr="00A17559">
              <w:rPr>
                <w:lang w:val="en-GB"/>
              </w:rPr>
              <w:lastRenderedPageBreak/>
              <w:t>year-on-year increase of employment</w:t>
            </w:r>
            <w:r w:rsidR="00F717E4" w:rsidRPr="00A17559">
              <w:rPr>
                <w:rStyle w:val="Znakapoznpodarou"/>
                <w:spacing w:val="-2"/>
                <w:lang w:val="en-GB"/>
              </w:rPr>
              <w:footnoteReference w:id="7"/>
            </w:r>
            <w:r w:rsidR="00F717E4" w:rsidRPr="00A17559">
              <w:rPr>
                <w:lang w:val="en-GB"/>
              </w:rPr>
              <w:t xml:space="preserve"> </w:t>
            </w:r>
            <w:r w:rsidR="00037270" w:rsidRPr="00A17559">
              <w:rPr>
                <w:lang w:val="en-GB"/>
              </w:rPr>
              <w:t>was 0.8% in Q</w:t>
            </w:r>
            <w:r w:rsidR="004A5D4E" w:rsidRPr="00A17559">
              <w:rPr>
                <w:lang w:val="en-GB"/>
              </w:rPr>
              <w:t>2</w:t>
            </w:r>
            <w:r w:rsidR="00F717E4" w:rsidRPr="00A17559">
              <w:rPr>
                <w:lang w:val="en-GB"/>
              </w:rPr>
              <w:t>,</w:t>
            </w:r>
            <w:r w:rsidRPr="00A17559">
              <w:rPr>
                <w:lang w:val="en-GB"/>
              </w:rPr>
              <w:t xml:space="preserve"> the least since Q</w:t>
            </w:r>
            <w:r w:rsidR="004A5D4E" w:rsidRPr="00A17559">
              <w:rPr>
                <w:lang w:val="en-GB"/>
              </w:rPr>
              <w:t>3</w:t>
            </w:r>
            <w:r w:rsidRPr="00A17559">
              <w:rPr>
                <w:lang w:val="en-GB"/>
              </w:rPr>
              <w:t xml:space="preserve"> </w:t>
            </w:r>
            <w:r w:rsidR="00F717E4" w:rsidRPr="00A17559">
              <w:rPr>
                <w:lang w:val="en-GB"/>
              </w:rPr>
              <w:t>201</w:t>
            </w:r>
            <w:r w:rsidR="004A5D4E" w:rsidRPr="00A17559">
              <w:rPr>
                <w:lang w:val="en-GB"/>
              </w:rPr>
              <w:t>4.</w:t>
            </w:r>
            <w:r w:rsidR="007471A1" w:rsidRPr="00A17559">
              <w:rPr>
                <w:lang w:val="en-GB"/>
              </w:rPr>
              <w:t xml:space="preserve"> </w:t>
            </w:r>
            <w:r w:rsidR="00025D65" w:rsidRPr="00A17559">
              <w:rPr>
                <w:lang w:val="en-GB"/>
              </w:rPr>
              <w:t xml:space="preserve">The price growth nevertheless strengthened in contrast to the previous years. The earnings thus grew by </w:t>
            </w:r>
            <w:r w:rsidR="00F717E4" w:rsidRPr="00A17559">
              <w:rPr>
                <w:lang w:val="en-GB"/>
              </w:rPr>
              <w:t>4</w:t>
            </w:r>
            <w:r w:rsidR="00025D65" w:rsidRPr="00A17559">
              <w:rPr>
                <w:lang w:val="en-GB"/>
              </w:rPr>
              <w:t>.</w:t>
            </w:r>
            <w:r w:rsidR="00F717E4" w:rsidRPr="00A17559">
              <w:rPr>
                <w:lang w:val="en-GB"/>
              </w:rPr>
              <w:t>4</w:t>
            </w:r>
            <w:r w:rsidR="00403F57" w:rsidRPr="00A17559">
              <w:rPr>
                <w:lang w:val="en-GB"/>
              </w:rPr>
              <w:t>%</w:t>
            </w:r>
            <w:r w:rsidR="00F717E4" w:rsidRPr="00A17559">
              <w:rPr>
                <w:rStyle w:val="Znakapoznpodarou"/>
                <w:spacing w:val="-2"/>
                <w:lang w:val="en-GB"/>
              </w:rPr>
              <w:footnoteReference w:id="8"/>
            </w:r>
            <w:r w:rsidR="00025D65" w:rsidRPr="00A17559">
              <w:rPr>
                <w:lang w:val="en-GB"/>
              </w:rPr>
              <w:t xml:space="preserve"> in real terms</w:t>
            </w:r>
            <w:r w:rsidR="00F717E4" w:rsidRPr="00A17559">
              <w:rPr>
                <w:lang w:val="en-GB"/>
              </w:rPr>
              <w:t xml:space="preserve">. </w:t>
            </w:r>
            <w:r w:rsidR="00F51B5B" w:rsidRPr="00A17559">
              <w:rPr>
                <w:lang w:val="en-GB"/>
              </w:rPr>
              <w:t xml:space="preserve">The volume of paid out wages grew the most year-on-year in the area of real estate activities </w:t>
            </w:r>
            <w:r w:rsidR="00F717E4" w:rsidRPr="00A17559">
              <w:rPr>
                <w:lang w:val="en-GB"/>
              </w:rPr>
              <w:t>(15</w:t>
            </w:r>
            <w:r w:rsidR="00F51B5B" w:rsidRPr="00A17559">
              <w:rPr>
                <w:lang w:val="en-GB"/>
              </w:rPr>
              <w:t>.</w:t>
            </w:r>
            <w:r w:rsidR="00F717E4" w:rsidRPr="00A17559">
              <w:rPr>
                <w:lang w:val="en-GB"/>
              </w:rPr>
              <w:t>1</w:t>
            </w:r>
            <w:r w:rsidR="00403F57" w:rsidRPr="00A17559">
              <w:rPr>
                <w:lang w:val="en-GB"/>
              </w:rPr>
              <w:t>%</w:t>
            </w:r>
            <w:r w:rsidR="00F717E4" w:rsidRPr="00A17559">
              <w:rPr>
                <w:lang w:val="en-GB"/>
              </w:rPr>
              <w:t>)</w:t>
            </w:r>
            <w:r w:rsidR="00F51B5B" w:rsidRPr="00A17559">
              <w:rPr>
                <w:lang w:val="en-GB"/>
              </w:rPr>
              <w:t xml:space="preserve"> in Q2</w:t>
            </w:r>
            <w:r w:rsidR="00F717E4" w:rsidRPr="00A17559">
              <w:rPr>
                <w:lang w:val="en-GB"/>
              </w:rPr>
              <w:t xml:space="preserve">. </w:t>
            </w:r>
            <w:r w:rsidR="00F51B5B" w:rsidRPr="00A17559">
              <w:rPr>
                <w:lang w:val="en-GB"/>
              </w:rPr>
              <w:t xml:space="preserve">Simultaneously, the employment fell here year-on-year by </w:t>
            </w:r>
            <w:r w:rsidR="00F717E4" w:rsidRPr="00A17559">
              <w:rPr>
                <w:lang w:val="en-GB"/>
              </w:rPr>
              <w:t>0</w:t>
            </w:r>
            <w:r w:rsidR="00F51B5B" w:rsidRPr="00A17559">
              <w:rPr>
                <w:lang w:val="en-GB"/>
              </w:rPr>
              <w:t>.</w:t>
            </w:r>
            <w:r w:rsidR="00F717E4" w:rsidRPr="00A17559">
              <w:rPr>
                <w:lang w:val="en-GB"/>
              </w:rPr>
              <w:t xml:space="preserve">8%. </w:t>
            </w:r>
            <w:r w:rsidR="00F51B5B" w:rsidRPr="00A17559">
              <w:rPr>
                <w:lang w:val="en-GB"/>
              </w:rPr>
              <w:t>More than ten percent increase was in the group of branches p</w:t>
            </w:r>
            <w:r w:rsidR="00F51B5B" w:rsidRPr="00A17559">
              <w:rPr>
                <w:rFonts w:cs="Arial"/>
                <w:szCs w:val="20"/>
                <w:lang w:val="en-GB"/>
              </w:rPr>
              <w:t xml:space="preserve">ublic administration and defence, education, health and social work </w:t>
            </w:r>
            <w:r w:rsidR="00F717E4" w:rsidRPr="00A17559">
              <w:rPr>
                <w:lang w:val="en-GB"/>
              </w:rPr>
              <w:t>(10</w:t>
            </w:r>
            <w:r w:rsidR="00F51B5B" w:rsidRPr="00A17559">
              <w:rPr>
                <w:lang w:val="en-GB"/>
              </w:rPr>
              <w:t>.</w:t>
            </w:r>
            <w:r w:rsidR="00F717E4" w:rsidRPr="00A17559">
              <w:rPr>
                <w:lang w:val="en-GB"/>
              </w:rPr>
              <w:t>6</w:t>
            </w:r>
            <w:r w:rsidR="00F51B5B" w:rsidRPr="00A17559">
              <w:rPr>
                <w:lang w:val="en-GB"/>
              </w:rPr>
              <w:t xml:space="preserve">%). A relatively strong increase of total employment </w:t>
            </w:r>
            <w:r w:rsidR="00F717E4" w:rsidRPr="00A17559">
              <w:rPr>
                <w:lang w:val="en-GB"/>
              </w:rPr>
              <w:t>(2</w:t>
            </w:r>
            <w:r w:rsidR="00F51B5B" w:rsidRPr="00A17559">
              <w:rPr>
                <w:lang w:val="en-GB"/>
              </w:rPr>
              <w:t>.</w:t>
            </w:r>
            <w:r w:rsidR="00F717E4" w:rsidRPr="00A17559">
              <w:rPr>
                <w:lang w:val="en-GB"/>
              </w:rPr>
              <w:t>1%)</w:t>
            </w:r>
            <w:r w:rsidR="00F51B5B" w:rsidRPr="00A17559">
              <w:rPr>
                <w:lang w:val="en-GB"/>
              </w:rPr>
              <w:t xml:space="preserve"> was also apparent in this group</w:t>
            </w:r>
            <w:r w:rsidR="00F717E4" w:rsidRPr="00A17559">
              <w:rPr>
                <w:lang w:val="en-GB"/>
              </w:rPr>
              <w:t>. M</w:t>
            </w:r>
            <w:r w:rsidR="00F51B5B" w:rsidRPr="00A17559">
              <w:rPr>
                <w:lang w:val="en-GB"/>
              </w:rPr>
              <w:t xml:space="preserve">oderate slowdown of the dynamics, occurring since the last year, continued in case of manufacturing. </w:t>
            </w:r>
            <w:r w:rsidR="0034095D" w:rsidRPr="00A17559">
              <w:rPr>
                <w:lang w:val="en-GB"/>
              </w:rPr>
              <w:t>The volume of paid out wages expanded here by 5.7% in Q</w:t>
            </w:r>
            <w:r w:rsidR="004A5D4E" w:rsidRPr="00A17559">
              <w:rPr>
                <w:lang w:val="en-GB"/>
              </w:rPr>
              <w:t>2</w:t>
            </w:r>
            <w:r w:rsidR="0034095D" w:rsidRPr="00A17559">
              <w:rPr>
                <w:lang w:val="en-GB"/>
              </w:rPr>
              <w:t xml:space="preserve">, accompanied by below-average growth of employment of </w:t>
            </w:r>
            <w:r w:rsidR="00F717E4" w:rsidRPr="00A17559">
              <w:rPr>
                <w:lang w:val="en-GB"/>
              </w:rPr>
              <w:t>0</w:t>
            </w:r>
            <w:r w:rsidR="0034095D" w:rsidRPr="00A17559">
              <w:rPr>
                <w:lang w:val="en-GB"/>
              </w:rPr>
              <w:t>.</w:t>
            </w:r>
            <w:r w:rsidR="00F717E4" w:rsidRPr="00A17559">
              <w:rPr>
                <w:lang w:val="en-GB"/>
              </w:rPr>
              <w:t>6</w:t>
            </w:r>
            <w:r w:rsidR="00403F57" w:rsidRPr="00A17559">
              <w:rPr>
                <w:lang w:val="en-GB"/>
              </w:rPr>
              <w:t>%</w:t>
            </w:r>
            <w:r w:rsidR="00F717E4" w:rsidRPr="00A17559">
              <w:rPr>
                <w:lang w:val="en-GB"/>
              </w:rPr>
              <w:t>.</w:t>
            </w:r>
            <w:r w:rsidR="0034095D" w:rsidRPr="00A17559">
              <w:rPr>
                <w:lang w:val="en-GB"/>
              </w:rPr>
              <w:t xml:space="preserve"> Even though the total year-on-year rate of growth of employment was falling in the economy, it did not apply to information and communication, where employment grew the most year-on-year in Q2, specifically by </w:t>
            </w:r>
            <w:r w:rsidR="00F717E4" w:rsidRPr="00A17559">
              <w:rPr>
                <w:lang w:val="en-GB"/>
              </w:rPr>
              <w:t>2</w:t>
            </w:r>
            <w:r w:rsidR="0034095D" w:rsidRPr="00A17559">
              <w:rPr>
                <w:lang w:val="en-GB"/>
              </w:rPr>
              <w:t>.</w:t>
            </w:r>
            <w:r w:rsidR="00F717E4" w:rsidRPr="00A17559">
              <w:rPr>
                <w:lang w:val="en-GB"/>
              </w:rPr>
              <w:t>9</w:t>
            </w:r>
            <w:r w:rsidR="00403F57" w:rsidRPr="00A17559">
              <w:rPr>
                <w:lang w:val="en-GB"/>
              </w:rPr>
              <w:t>%</w:t>
            </w:r>
            <w:r w:rsidR="00F717E4" w:rsidRPr="00A17559">
              <w:rPr>
                <w:lang w:val="en-GB"/>
              </w:rPr>
              <w:t>.</w:t>
            </w:r>
            <w:r w:rsidR="0034095D" w:rsidRPr="00A17559">
              <w:rPr>
                <w:lang w:val="en-GB"/>
              </w:rPr>
              <w:t xml:space="preserve"> Growth of the paid out wages in the given branch thus reached </w:t>
            </w:r>
            <w:r w:rsidR="00F717E4" w:rsidRPr="00A17559">
              <w:rPr>
                <w:lang w:val="en-GB"/>
              </w:rPr>
              <w:t>7</w:t>
            </w:r>
            <w:r w:rsidR="0034095D" w:rsidRPr="00A17559">
              <w:rPr>
                <w:lang w:val="en-GB"/>
              </w:rPr>
              <w:t>.</w:t>
            </w:r>
            <w:r w:rsidR="00F717E4" w:rsidRPr="00A17559">
              <w:rPr>
                <w:lang w:val="en-GB"/>
              </w:rPr>
              <w:t>9</w:t>
            </w:r>
            <w:r w:rsidR="00403F57" w:rsidRPr="00A17559">
              <w:rPr>
                <w:lang w:val="en-GB"/>
              </w:rPr>
              <w:t>%</w:t>
            </w:r>
            <w:r w:rsidR="00F717E4" w:rsidRPr="00A17559">
              <w:rPr>
                <w:lang w:val="en-GB"/>
              </w:rPr>
              <w:t>,</w:t>
            </w:r>
            <w:r w:rsidR="0034095D" w:rsidRPr="00A17559">
              <w:rPr>
                <w:lang w:val="en-GB"/>
              </w:rPr>
              <w:t xml:space="preserve"> despite information and communication belonging to branches with the lowest wage dynamics. </w:t>
            </w:r>
          </w:p>
          <w:p w:rsidR="0034095D" w:rsidRPr="00A17559" w:rsidRDefault="0034095D" w:rsidP="0034095D">
            <w:pPr>
              <w:spacing w:after="0"/>
              <w:rPr>
                <w:lang w:val="en-GB"/>
              </w:rPr>
            </w:pPr>
          </w:p>
        </w:tc>
      </w:tr>
      <w:tr w:rsidR="00F717E4" w:rsidRPr="00A17559" w:rsidTr="00347BDC">
        <w:trPr>
          <w:trHeight w:val="170"/>
        </w:trPr>
        <w:tc>
          <w:tcPr>
            <w:tcW w:w="1798" w:type="dxa"/>
            <w:vMerge/>
            <w:shd w:val="clear" w:color="auto" w:fill="auto"/>
            <w:tcMar>
              <w:left w:w="0" w:type="dxa"/>
            </w:tcMar>
          </w:tcPr>
          <w:p w:rsidR="00F717E4" w:rsidRPr="00A17559" w:rsidRDefault="00F717E4" w:rsidP="00F717E4">
            <w:pPr>
              <w:pStyle w:val="Marginlie"/>
              <w:rPr>
                <w:lang w:val="en-GB"/>
              </w:rPr>
            </w:pPr>
          </w:p>
        </w:tc>
        <w:tc>
          <w:tcPr>
            <w:tcW w:w="231" w:type="dxa"/>
            <w:vMerge/>
            <w:shd w:val="clear" w:color="auto" w:fill="auto"/>
            <w:tcMar>
              <w:left w:w="0" w:type="dxa"/>
            </w:tcMar>
          </w:tcPr>
          <w:p w:rsidR="00F717E4" w:rsidRPr="00A17559" w:rsidRDefault="00F717E4" w:rsidP="00F717E4">
            <w:pPr>
              <w:pStyle w:val="Textpoznpodarou"/>
              <w:jc w:val="both"/>
              <w:rPr>
                <w:spacing w:val="-4"/>
                <w:lang w:val="en-GB"/>
              </w:rPr>
            </w:pPr>
          </w:p>
        </w:tc>
        <w:tc>
          <w:tcPr>
            <w:tcW w:w="7610" w:type="dxa"/>
            <w:shd w:val="clear" w:color="auto" w:fill="auto"/>
            <w:tcMar>
              <w:left w:w="0" w:type="dxa"/>
            </w:tcMar>
          </w:tcPr>
          <w:p w:rsidR="00F717E4" w:rsidRPr="00422629" w:rsidRDefault="00F51B5B" w:rsidP="00F51B5B">
            <w:pPr>
              <w:spacing w:after="0"/>
              <w:rPr>
                <w:szCs w:val="20"/>
                <w:lang w:val="en-GB"/>
              </w:rPr>
            </w:pPr>
            <w:r w:rsidRPr="00422629">
              <w:rPr>
                <w:b/>
                <w:szCs w:val="20"/>
                <w:lang w:val="en-GB"/>
              </w:rPr>
              <w:t xml:space="preserve">Chart </w:t>
            </w:r>
            <w:r w:rsidR="002F1B09" w:rsidRPr="00422629">
              <w:rPr>
                <w:b/>
                <w:szCs w:val="20"/>
                <w:lang w:val="en-GB"/>
              </w:rPr>
              <w:t>3</w:t>
            </w:r>
            <w:r w:rsidR="00A17559" w:rsidRPr="00422629">
              <w:rPr>
                <w:b/>
                <w:szCs w:val="20"/>
                <w:lang w:val="en-GB"/>
              </w:rPr>
              <w:t xml:space="preserve"> </w:t>
            </w:r>
            <w:r w:rsidR="0034095D" w:rsidRPr="00422629">
              <w:rPr>
                <w:b/>
                <w:szCs w:val="20"/>
                <w:lang w:val="en-GB"/>
              </w:rPr>
              <w:t>Contribution of expenditure items to real GDP change</w:t>
            </w:r>
            <w:r w:rsidR="0034095D" w:rsidRPr="00422629">
              <w:rPr>
                <w:rFonts w:cs="Arial"/>
                <w:b/>
                <w:szCs w:val="20"/>
                <w:lang w:val="en-GB" w:eastAsia="en-US"/>
              </w:rPr>
              <w:t xml:space="preserve">* </w:t>
            </w:r>
            <w:r w:rsidR="0034095D" w:rsidRPr="00422629">
              <w:rPr>
                <w:rFonts w:cs="Arial"/>
                <w:szCs w:val="20"/>
                <w:lang w:val="en-GB" w:eastAsia="en-US"/>
              </w:rPr>
              <w:t>(volume indices, year-on-year growth, contributions in p.p., GDP in %)</w:t>
            </w:r>
          </w:p>
        </w:tc>
      </w:tr>
      <w:tr w:rsidR="00F717E4" w:rsidRPr="00A17559" w:rsidTr="00347BDC">
        <w:tblPrEx>
          <w:tblCellMar>
            <w:left w:w="70" w:type="dxa"/>
            <w:right w:w="70" w:type="dxa"/>
          </w:tblCellMar>
        </w:tblPrEx>
        <w:trPr>
          <w:trHeight w:val="170"/>
        </w:trPr>
        <w:tc>
          <w:tcPr>
            <w:tcW w:w="1798" w:type="dxa"/>
            <w:vMerge/>
            <w:shd w:val="clear" w:color="auto" w:fill="auto"/>
          </w:tcPr>
          <w:p w:rsidR="00F717E4" w:rsidRPr="00A17559" w:rsidRDefault="00F717E4" w:rsidP="00F717E4">
            <w:pPr>
              <w:pStyle w:val="Marginlie"/>
              <w:rPr>
                <w:lang w:val="en-GB"/>
              </w:rPr>
            </w:pPr>
          </w:p>
        </w:tc>
        <w:tc>
          <w:tcPr>
            <w:tcW w:w="231" w:type="dxa"/>
            <w:vMerge/>
            <w:shd w:val="clear" w:color="auto" w:fill="auto"/>
          </w:tcPr>
          <w:p w:rsidR="00F717E4" w:rsidRPr="00A17559" w:rsidRDefault="00F717E4" w:rsidP="00F717E4">
            <w:pPr>
              <w:pStyle w:val="Textpoznpodarou"/>
              <w:jc w:val="both"/>
              <w:rPr>
                <w:spacing w:val="-4"/>
                <w:lang w:val="en-GB"/>
              </w:rPr>
            </w:pPr>
          </w:p>
        </w:tc>
        <w:tc>
          <w:tcPr>
            <w:tcW w:w="7610" w:type="dxa"/>
            <w:shd w:val="clear" w:color="auto" w:fill="auto"/>
          </w:tcPr>
          <w:p w:rsidR="00F717E4" w:rsidRPr="00A17559" w:rsidRDefault="00347BDC" w:rsidP="00F717E4">
            <w:pPr>
              <w:spacing w:after="0"/>
              <w:rPr>
                <w:lang w:val="en-GB"/>
              </w:rPr>
            </w:pPr>
            <w:r>
              <w:rPr>
                <w:noProof/>
              </w:rPr>
              <w:drawing>
                <wp:inline distT="0" distB="0" distL="0" distR="0" wp14:anchorId="61DB4607" wp14:editId="0350AD8B">
                  <wp:extent cx="4737600" cy="3553200"/>
                  <wp:effectExtent l="0" t="0" r="635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F717E4" w:rsidRPr="00A17559" w:rsidTr="00347BDC">
        <w:trPr>
          <w:trHeight w:val="170"/>
        </w:trPr>
        <w:tc>
          <w:tcPr>
            <w:tcW w:w="1798" w:type="dxa"/>
            <w:vMerge/>
            <w:shd w:val="clear" w:color="auto" w:fill="auto"/>
            <w:tcMar>
              <w:left w:w="0" w:type="dxa"/>
            </w:tcMar>
          </w:tcPr>
          <w:p w:rsidR="00F717E4" w:rsidRPr="00A17559" w:rsidRDefault="00F717E4" w:rsidP="00F717E4">
            <w:pPr>
              <w:pStyle w:val="Marginlie"/>
              <w:rPr>
                <w:lang w:val="en-GB"/>
              </w:rPr>
            </w:pPr>
          </w:p>
        </w:tc>
        <w:tc>
          <w:tcPr>
            <w:tcW w:w="231" w:type="dxa"/>
            <w:vMerge/>
            <w:shd w:val="clear" w:color="auto" w:fill="auto"/>
            <w:tcMar>
              <w:left w:w="0" w:type="dxa"/>
            </w:tcMar>
          </w:tcPr>
          <w:p w:rsidR="00F717E4" w:rsidRPr="00A17559" w:rsidRDefault="00F717E4" w:rsidP="00F717E4">
            <w:pPr>
              <w:pStyle w:val="Textpoznpodarou"/>
              <w:jc w:val="both"/>
              <w:rPr>
                <w:spacing w:val="-4"/>
                <w:lang w:val="en-GB"/>
              </w:rPr>
            </w:pPr>
          </w:p>
        </w:tc>
        <w:tc>
          <w:tcPr>
            <w:tcW w:w="7610" w:type="dxa"/>
            <w:shd w:val="clear" w:color="auto" w:fill="auto"/>
            <w:tcMar>
              <w:left w:w="0" w:type="dxa"/>
            </w:tcMar>
          </w:tcPr>
          <w:p w:rsidR="000906C3" w:rsidRPr="00A17559" w:rsidRDefault="005B423D" w:rsidP="00347BDC">
            <w:pPr>
              <w:rPr>
                <w:sz w:val="18"/>
                <w:szCs w:val="18"/>
                <w:lang w:val="en-GB"/>
              </w:rPr>
            </w:pPr>
            <w:r w:rsidRPr="00A17559">
              <w:rPr>
                <w:sz w:val="14"/>
                <w:szCs w:val="14"/>
                <w:lang w:val="en-GB"/>
              </w:rPr>
              <w:t>Source</w:t>
            </w:r>
            <w:r w:rsidR="00F717E4" w:rsidRPr="00A17559">
              <w:rPr>
                <w:sz w:val="14"/>
                <w:szCs w:val="14"/>
                <w:lang w:val="en-GB"/>
              </w:rPr>
              <w:t xml:space="preserve">: </w:t>
            </w:r>
            <w:r w:rsidRPr="00A17559">
              <w:rPr>
                <w:sz w:val="14"/>
                <w:szCs w:val="14"/>
                <w:lang w:val="en-GB"/>
              </w:rPr>
              <w:t>CZSO</w:t>
            </w:r>
            <w:r w:rsidR="00347BDC">
              <w:rPr>
                <w:sz w:val="14"/>
                <w:szCs w:val="14"/>
                <w:lang w:val="en-GB"/>
              </w:rPr>
              <w:t xml:space="preserve">                                                                                                              </w:t>
            </w:r>
            <w:r w:rsidR="00F717E4" w:rsidRPr="00A17559">
              <w:rPr>
                <w:sz w:val="14"/>
                <w:szCs w:val="14"/>
                <w:lang w:val="en-GB"/>
              </w:rPr>
              <w:t>*</w:t>
            </w:r>
            <w:r w:rsidR="000906C3" w:rsidRPr="00A17559">
              <w:rPr>
                <w:sz w:val="14"/>
                <w:szCs w:val="14"/>
                <w:lang w:val="en-GB"/>
              </w:rPr>
              <w:t xml:space="preserve"> after exclusion of imports for final use</w:t>
            </w:r>
          </w:p>
        </w:tc>
      </w:tr>
      <w:tr w:rsidR="00F717E4" w:rsidRPr="00A17559" w:rsidTr="00347BDC">
        <w:trPr>
          <w:trHeight w:val="145"/>
        </w:trPr>
        <w:tc>
          <w:tcPr>
            <w:tcW w:w="1798" w:type="dxa"/>
            <w:shd w:val="clear" w:color="auto" w:fill="auto"/>
            <w:tcMar>
              <w:left w:w="0" w:type="dxa"/>
            </w:tcMar>
          </w:tcPr>
          <w:p w:rsidR="00F717E4" w:rsidRPr="00A17559" w:rsidRDefault="00F717E4" w:rsidP="005B423D">
            <w:pPr>
              <w:pStyle w:val="Marginlie"/>
              <w:rPr>
                <w:lang w:val="en-GB"/>
              </w:rPr>
            </w:pPr>
            <w:r w:rsidRPr="00A17559">
              <w:rPr>
                <w:lang w:val="en-GB"/>
              </w:rPr>
              <w:t>Inves</w:t>
            </w:r>
            <w:r w:rsidR="005B423D" w:rsidRPr="00A17559">
              <w:rPr>
                <w:lang w:val="en-GB"/>
              </w:rPr>
              <w:t>tment activity stagnated in Q</w:t>
            </w:r>
            <w:r w:rsidR="00B940A8" w:rsidRPr="00A17559">
              <w:rPr>
                <w:lang w:val="en-GB"/>
              </w:rPr>
              <w:t>2</w:t>
            </w:r>
            <w:r w:rsidR="004A5D4E" w:rsidRPr="00A17559">
              <w:rPr>
                <w:lang w:val="en-GB"/>
              </w:rPr>
              <w:t>.</w:t>
            </w:r>
            <w:r w:rsidR="005B423D" w:rsidRPr="00A17559">
              <w:rPr>
                <w:lang w:val="en-GB"/>
              </w:rPr>
              <w:t xml:space="preserve"> </w:t>
            </w:r>
          </w:p>
        </w:tc>
        <w:tc>
          <w:tcPr>
            <w:tcW w:w="231" w:type="dxa"/>
            <w:shd w:val="clear" w:color="auto" w:fill="auto"/>
            <w:tcMar>
              <w:left w:w="0" w:type="dxa"/>
            </w:tcMar>
          </w:tcPr>
          <w:p w:rsidR="00F717E4" w:rsidRPr="00A17559" w:rsidRDefault="00F717E4" w:rsidP="00F717E4">
            <w:pPr>
              <w:pStyle w:val="Textpoznpodarou"/>
              <w:jc w:val="both"/>
              <w:rPr>
                <w:spacing w:val="-4"/>
                <w:lang w:val="en-GB"/>
              </w:rPr>
            </w:pPr>
          </w:p>
        </w:tc>
        <w:tc>
          <w:tcPr>
            <w:tcW w:w="7610" w:type="dxa"/>
            <w:shd w:val="clear" w:color="auto" w:fill="auto"/>
            <w:tcMar>
              <w:left w:w="0" w:type="dxa"/>
            </w:tcMar>
          </w:tcPr>
          <w:p w:rsidR="00F717E4" w:rsidRPr="00A17559" w:rsidRDefault="00776618" w:rsidP="00E22D9E">
            <w:pPr>
              <w:rPr>
                <w:lang w:val="en-GB"/>
              </w:rPr>
            </w:pPr>
            <w:r w:rsidRPr="00A17559">
              <w:rPr>
                <w:lang w:val="en-GB"/>
              </w:rPr>
              <w:t>Expenditures on gross capital formation increased by 0.2% year-on-year in Q</w:t>
            </w:r>
            <w:r w:rsidR="004A5D4E" w:rsidRPr="00A17559">
              <w:rPr>
                <w:lang w:val="en-GB"/>
              </w:rPr>
              <w:t>2</w:t>
            </w:r>
            <w:r w:rsidRPr="00A17559">
              <w:rPr>
                <w:lang w:val="en-GB"/>
              </w:rPr>
              <w:t>, the least since Q</w:t>
            </w:r>
            <w:r w:rsidR="004A5D4E" w:rsidRPr="00A17559">
              <w:rPr>
                <w:lang w:val="en-GB"/>
              </w:rPr>
              <w:t>1</w:t>
            </w:r>
            <w:r w:rsidRPr="00A17559">
              <w:rPr>
                <w:lang w:val="en-GB"/>
              </w:rPr>
              <w:t xml:space="preserve"> </w:t>
            </w:r>
            <w:r w:rsidR="00F717E4" w:rsidRPr="00A17559">
              <w:rPr>
                <w:lang w:val="en-GB"/>
              </w:rPr>
              <w:t>201</w:t>
            </w:r>
            <w:r w:rsidR="004A5D4E" w:rsidRPr="00A17559">
              <w:rPr>
                <w:lang w:val="en-GB"/>
              </w:rPr>
              <w:t>7.</w:t>
            </w:r>
            <w:r w:rsidRPr="00A17559">
              <w:rPr>
                <w:lang w:val="en-GB"/>
              </w:rPr>
              <w:t xml:space="preserve"> The expenditures on fixed capital formation themselves grew only slightly more </w:t>
            </w:r>
            <w:r w:rsidR="00F717E4" w:rsidRPr="00A17559">
              <w:rPr>
                <w:lang w:val="en-GB"/>
              </w:rPr>
              <w:t>(0</w:t>
            </w:r>
            <w:r w:rsidRPr="00A17559">
              <w:rPr>
                <w:lang w:val="en-GB"/>
              </w:rPr>
              <w:t>.</w:t>
            </w:r>
            <w:r w:rsidR="00F717E4" w:rsidRPr="00A17559">
              <w:rPr>
                <w:lang w:val="en-GB"/>
              </w:rPr>
              <w:t>9</w:t>
            </w:r>
            <w:r w:rsidR="00403F57" w:rsidRPr="00A17559">
              <w:rPr>
                <w:lang w:val="en-GB"/>
              </w:rPr>
              <w:t>%</w:t>
            </w:r>
            <w:r w:rsidR="00F717E4" w:rsidRPr="00A17559">
              <w:rPr>
                <w:lang w:val="en-GB"/>
              </w:rPr>
              <w:t>).</w:t>
            </w:r>
            <w:r w:rsidRPr="00A17559">
              <w:rPr>
                <w:lang w:val="en-GB"/>
              </w:rPr>
              <w:t xml:space="preserve"> Even</w:t>
            </w:r>
            <w:r w:rsidR="00E22D9E" w:rsidRPr="00A17559">
              <w:rPr>
                <w:lang w:val="en-GB"/>
              </w:rPr>
              <w:t xml:space="preserve"> </w:t>
            </w:r>
            <w:r w:rsidRPr="00A17559">
              <w:rPr>
                <w:lang w:val="en-GB"/>
              </w:rPr>
              <w:t xml:space="preserve">this addition was however saturated by import, as shown by the comparison of contributions to the year-on-year growth of GDP. </w:t>
            </w:r>
            <w:r w:rsidR="002904EA" w:rsidRPr="00A17559">
              <w:rPr>
                <w:lang w:val="en-GB"/>
              </w:rPr>
              <w:t>While without the exclusion of import the contribution of capital expenditures is zero, i</w:t>
            </w:r>
            <w:r w:rsidR="00B87AED" w:rsidRPr="00A17559">
              <w:rPr>
                <w:lang w:val="en-GB"/>
              </w:rPr>
              <w:t xml:space="preserve">t already dampens the GDP dynamics by 0.2 p.p. after exclusion. </w:t>
            </w:r>
            <w:r w:rsidR="002904EA" w:rsidRPr="00A17559">
              <w:rPr>
                <w:lang w:val="en-GB"/>
              </w:rPr>
              <w:t>Capital expenditures contracted by 5.6% compared to Q</w:t>
            </w:r>
            <w:r w:rsidR="00F717E4" w:rsidRPr="00A17559">
              <w:rPr>
                <w:lang w:val="en-GB"/>
              </w:rPr>
              <w:t>1.</w:t>
            </w:r>
            <w:r w:rsidR="002904EA" w:rsidRPr="00A17559">
              <w:rPr>
                <w:lang w:val="en-GB"/>
              </w:rPr>
              <w:t xml:space="preserve"> Type classification of gross fixed capital formation indicates, that the investment activity was cooling in all areas</w:t>
            </w:r>
            <w:r w:rsidR="00F717E4" w:rsidRPr="00A17559">
              <w:rPr>
                <w:rStyle w:val="Znakapoznpodarou"/>
                <w:lang w:val="en-GB"/>
              </w:rPr>
              <w:footnoteReference w:id="9"/>
            </w:r>
            <w:r w:rsidR="00F717E4" w:rsidRPr="00A17559">
              <w:rPr>
                <w:lang w:val="en-GB"/>
              </w:rPr>
              <w:t>.</w:t>
            </w:r>
            <w:r w:rsidR="002904EA" w:rsidRPr="00A17559">
              <w:rPr>
                <w:lang w:val="en-GB"/>
              </w:rPr>
              <w:t xml:space="preserve"> </w:t>
            </w:r>
            <w:r w:rsidR="00F717E4" w:rsidRPr="00A17559">
              <w:rPr>
                <w:lang w:val="en-GB"/>
              </w:rPr>
              <w:t xml:space="preserve"> </w:t>
            </w:r>
            <w:r w:rsidR="00471DAE" w:rsidRPr="00A17559">
              <w:rPr>
                <w:lang w:val="en-GB"/>
              </w:rPr>
              <w:t xml:space="preserve">Expenditures on the intellectual property increased the most </w:t>
            </w:r>
            <w:r w:rsidR="00F717E4" w:rsidRPr="00A17559">
              <w:rPr>
                <w:lang w:val="en-GB"/>
              </w:rPr>
              <w:t>(3</w:t>
            </w:r>
            <w:r w:rsidR="00471DAE" w:rsidRPr="00A17559">
              <w:rPr>
                <w:lang w:val="en-GB"/>
              </w:rPr>
              <w:t>.</w:t>
            </w:r>
            <w:r w:rsidR="00F717E4" w:rsidRPr="00A17559">
              <w:rPr>
                <w:lang w:val="en-GB"/>
              </w:rPr>
              <w:t>3</w:t>
            </w:r>
            <w:r w:rsidR="00403F57" w:rsidRPr="00A17559">
              <w:rPr>
                <w:lang w:val="en-GB"/>
              </w:rPr>
              <w:t>%</w:t>
            </w:r>
            <w:r w:rsidR="00F717E4" w:rsidRPr="00A17559">
              <w:rPr>
                <w:lang w:val="en-GB"/>
              </w:rPr>
              <w:t>),</w:t>
            </w:r>
            <w:r w:rsidR="002904EA" w:rsidRPr="00A17559">
              <w:rPr>
                <w:lang w:val="en-GB"/>
              </w:rPr>
              <w:t xml:space="preserve"> nevertheless it represents a substantial slowdown compared to the preceding quarter </w:t>
            </w:r>
            <w:r w:rsidR="00F717E4" w:rsidRPr="00A17559">
              <w:rPr>
                <w:lang w:val="en-GB"/>
              </w:rPr>
              <w:t>(9</w:t>
            </w:r>
            <w:r w:rsidR="002904EA" w:rsidRPr="00A17559">
              <w:rPr>
                <w:lang w:val="en-GB"/>
              </w:rPr>
              <w:t>.</w:t>
            </w:r>
            <w:r w:rsidR="00F717E4" w:rsidRPr="00A17559">
              <w:rPr>
                <w:lang w:val="en-GB"/>
              </w:rPr>
              <w:t>3</w:t>
            </w:r>
            <w:r w:rsidR="00403F57" w:rsidRPr="00A17559">
              <w:rPr>
                <w:lang w:val="en-GB"/>
              </w:rPr>
              <w:t>%</w:t>
            </w:r>
            <w:r w:rsidR="00F717E4" w:rsidRPr="00A17559">
              <w:rPr>
                <w:lang w:val="en-GB"/>
              </w:rPr>
              <w:t>)</w:t>
            </w:r>
            <w:r w:rsidR="002904EA" w:rsidRPr="00A17559">
              <w:rPr>
                <w:lang w:val="en-GB"/>
              </w:rPr>
              <w:t xml:space="preserve"> as well </w:t>
            </w:r>
            <w:r w:rsidR="002904EA" w:rsidRPr="00A17559">
              <w:rPr>
                <w:lang w:val="en-GB"/>
              </w:rPr>
              <w:lastRenderedPageBreak/>
              <w:t>as year 2</w:t>
            </w:r>
            <w:r w:rsidR="00F717E4" w:rsidRPr="00A17559">
              <w:rPr>
                <w:lang w:val="en-GB"/>
              </w:rPr>
              <w:t>018 (5</w:t>
            </w:r>
            <w:r w:rsidR="005B423D" w:rsidRPr="00A17559">
              <w:rPr>
                <w:lang w:val="en-GB"/>
              </w:rPr>
              <w:t>.</w:t>
            </w:r>
            <w:r w:rsidR="00F717E4" w:rsidRPr="00A17559">
              <w:rPr>
                <w:lang w:val="en-GB"/>
              </w:rPr>
              <w:t>2</w:t>
            </w:r>
            <w:r w:rsidR="00403F57" w:rsidRPr="00A17559">
              <w:rPr>
                <w:lang w:val="en-GB"/>
              </w:rPr>
              <w:t>%</w:t>
            </w:r>
            <w:r w:rsidR="00F717E4" w:rsidRPr="00A17559">
              <w:rPr>
                <w:lang w:val="en-GB"/>
              </w:rPr>
              <w:t xml:space="preserve">). </w:t>
            </w:r>
            <w:r w:rsidR="0014675A" w:rsidRPr="00A17559">
              <w:rPr>
                <w:lang w:val="en-GB"/>
              </w:rPr>
              <w:t xml:space="preserve">Year-on-year growth of investment into housing was 1.1% in Q2 </w:t>
            </w:r>
            <w:r w:rsidR="002F1B09" w:rsidRPr="00A17559">
              <w:rPr>
                <w:lang w:val="en-GB"/>
              </w:rPr>
              <w:t>a</w:t>
            </w:r>
            <w:r w:rsidR="00105F9B" w:rsidRPr="00A17559">
              <w:rPr>
                <w:lang w:val="en-GB"/>
              </w:rPr>
              <w:t xml:space="preserve">nd it was the lowest since the end of year </w:t>
            </w:r>
            <w:r w:rsidR="00F717E4" w:rsidRPr="00A17559">
              <w:rPr>
                <w:lang w:val="en-GB"/>
              </w:rPr>
              <w:t>201</w:t>
            </w:r>
            <w:r w:rsidR="004A5D4E" w:rsidRPr="00A17559">
              <w:rPr>
                <w:lang w:val="en-GB"/>
              </w:rPr>
              <w:t>7.</w:t>
            </w:r>
            <w:r w:rsidR="0014675A" w:rsidRPr="00A17559">
              <w:rPr>
                <w:lang w:val="en-GB"/>
              </w:rPr>
              <w:t xml:space="preserve"> Expenditures on other buildings and structures grew only by </w:t>
            </w:r>
            <w:r w:rsidR="00F717E4" w:rsidRPr="00A17559">
              <w:rPr>
                <w:lang w:val="en-GB"/>
              </w:rPr>
              <w:t>0</w:t>
            </w:r>
            <w:r w:rsidR="0014675A" w:rsidRPr="00A17559">
              <w:rPr>
                <w:lang w:val="en-GB"/>
              </w:rPr>
              <w:t>.</w:t>
            </w:r>
            <w:r w:rsidR="00F717E4" w:rsidRPr="00A17559">
              <w:rPr>
                <w:lang w:val="en-GB"/>
              </w:rPr>
              <w:t>2</w:t>
            </w:r>
            <w:r w:rsidR="00403F57" w:rsidRPr="00A17559">
              <w:rPr>
                <w:lang w:val="en-GB"/>
              </w:rPr>
              <w:t>%</w:t>
            </w:r>
            <w:r w:rsidR="0014675A" w:rsidRPr="00A17559">
              <w:rPr>
                <w:lang w:val="en-GB"/>
              </w:rPr>
              <w:t xml:space="preserve">. Other areas recorded a decrease. </w:t>
            </w:r>
            <w:r w:rsidR="00F37F05" w:rsidRPr="00A17559">
              <w:rPr>
                <w:lang w:val="en-GB"/>
              </w:rPr>
              <w:t>Investment into transport equipment was</w:t>
            </w:r>
            <w:r w:rsidR="0014675A" w:rsidRPr="00A17559">
              <w:rPr>
                <w:lang w:val="en-GB"/>
              </w:rPr>
              <w:t xml:space="preserve"> affected mainly by the last year´s high comparative basis (fall by 2.0% in Q</w:t>
            </w:r>
            <w:r w:rsidR="00F717E4" w:rsidRPr="00A17559">
              <w:rPr>
                <w:lang w:val="en-GB"/>
              </w:rPr>
              <w:t>2,</w:t>
            </w:r>
            <w:r w:rsidR="0014675A" w:rsidRPr="00A17559">
              <w:rPr>
                <w:lang w:val="en-GB"/>
              </w:rPr>
              <w:t xml:space="preserve"> growth by </w:t>
            </w:r>
            <w:r w:rsidR="00F717E4" w:rsidRPr="00A17559">
              <w:rPr>
                <w:lang w:val="en-GB"/>
              </w:rPr>
              <w:t>13</w:t>
            </w:r>
            <w:r w:rsidR="0014675A" w:rsidRPr="00A17559">
              <w:rPr>
                <w:lang w:val="en-GB"/>
              </w:rPr>
              <w:t>.</w:t>
            </w:r>
            <w:r w:rsidR="00F717E4" w:rsidRPr="00A17559">
              <w:rPr>
                <w:lang w:val="en-GB"/>
              </w:rPr>
              <w:t>0</w:t>
            </w:r>
            <w:r w:rsidR="00403F57" w:rsidRPr="00A17559">
              <w:rPr>
                <w:lang w:val="en-GB"/>
              </w:rPr>
              <w:t>%</w:t>
            </w:r>
            <w:r w:rsidR="0014675A" w:rsidRPr="00A17559">
              <w:rPr>
                <w:lang w:val="en-GB"/>
              </w:rPr>
              <w:t xml:space="preserve"> in year 2018</w:t>
            </w:r>
            <w:r w:rsidR="00F717E4" w:rsidRPr="00A17559">
              <w:rPr>
                <w:lang w:val="en-GB"/>
              </w:rPr>
              <w:t xml:space="preserve">). </w:t>
            </w:r>
            <w:r w:rsidR="00F20FCA" w:rsidRPr="00A17559">
              <w:rPr>
                <w:lang w:val="en-GB"/>
              </w:rPr>
              <w:t xml:space="preserve">The most weight significant expenditures on </w:t>
            </w:r>
            <w:r w:rsidR="00F717E4" w:rsidRPr="00A17559">
              <w:rPr>
                <w:lang w:val="en-GB"/>
              </w:rPr>
              <w:t xml:space="preserve">ICT </w:t>
            </w:r>
            <w:r w:rsidR="002F1B09" w:rsidRPr="00A17559">
              <w:rPr>
                <w:lang w:val="en-GB"/>
              </w:rPr>
              <w:t>a</w:t>
            </w:r>
            <w:r w:rsidR="00F20FCA" w:rsidRPr="00A17559">
              <w:rPr>
                <w:lang w:val="en-GB"/>
              </w:rPr>
              <w:t xml:space="preserve">nd other machinery and equipment fell by 0.6% after eight quarters of year-on-year growth. </w:t>
            </w:r>
          </w:p>
        </w:tc>
      </w:tr>
      <w:tr w:rsidR="00F717E4" w:rsidRPr="00A17559" w:rsidTr="00347BDC">
        <w:trPr>
          <w:trHeight w:val="145"/>
        </w:trPr>
        <w:tc>
          <w:tcPr>
            <w:tcW w:w="1798" w:type="dxa"/>
            <w:shd w:val="clear" w:color="auto" w:fill="auto"/>
            <w:tcMar>
              <w:left w:w="0" w:type="dxa"/>
            </w:tcMar>
          </w:tcPr>
          <w:p w:rsidR="00F717E4" w:rsidRPr="00A17559" w:rsidRDefault="002904EA" w:rsidP="002904EA">
            <w:pPr>
              <w:pStyle w:val="Marginlie"/>
              <w:rPr>
                <w:lang w:val="en-GB"/>
              </w:rPr>
            </w:pPr>
            <w:r w:rsidRPr="00A17559">
              <w:rPr>
                <w:lang w:val="en-GB"/>
              </w:rPr>
              <w:lastRenderedPageBreak/>
              <w:t xml:space="preserve">Foreign trade balance surplus expanded thanks to services year-on-year. </w:t>
            </w:r>
          </w:p>
        </w:tc>
        <w:tc>
          <w:tcPr>
            <w:tcW w:w="231" w:type="dxa"/>
            <w:shd w:val="clear" w:color="auto" w:fill="auto"/>
            <w:tcMar>
              <w:left w:w="0" w:type="dxa"/>
            </w:tcMar>
          </w:tcPr>
          <w:p w:rsidR="00F717E4" w:rsidRPr="00A17559" w:rsidRDefault="00F717E4" w:rsidP="00F717E4">
            <w:pPr>
              <w:pStyle w:val="Textpoznpodarou"/>
              <w:jc w:val="both"/>
              <w:rPr>
                <w:spacing w:val="-4"/>
                <w:lang w:val="en-GB"/>
              </w:rPr>
            </w:pPr>
          </w:p>
        </w:tc>
        <w:tc>
          <w:tcPr>
            <w:tcW w:w="7610" w:type="dxa"/>
            <w:shd w:val="clear" w:color="auto" w:fill="auto"/>
            <w:tcMar>
              <w:left w:w="0" w:type="dxa"/>
            </w:tcMar>
          </w:tcPr>
          <w:p w:rsidR="00F717E4" w:rsidRPr="00A17559" w:rsidRDefault="0004752C" w:rsidP="00A53918">
            <w:pPr>
              <w:rPr>
                <w:lang w:val="en-GB"/>
              </w:rPr>
            </w:pPr>
            <w:r w:rsidRPr="00A17559">
              <w:rPr>
                <w:lang w:val="en-GB"/>
              </w:rPr>
              <w:t>Surplus of the foreign trade with goods and services</w:t>
            </w:r>
            <w:r w:rsidR="00F717E4" w:rsidRPr="00A17559">
              <w:rPr>
                <w:rStyle w:val="Znakapoznpodarou"/>
                <w:lang w:val="en-GB"/>
              </w:rPr>
              <w:footnoteReference w:id="10"/>
            </w:r>
            <w:r w:rsidR="00F717E4" w:rsidRPr="00A17559">
              <w:rPr>
                <w:lang w:val="en-GB"/>
              </w:rPr>
              <w:t xml:space="preserve"> </w:t>
            </w:r>
            <w:r w:rsidRPr="00A17559">
              <w:rPr>
                <w:lang w:val="en-GB"/>
              </w:rPr>
              <w:t xml:space="preserve">attained </w:t>
            </w:r>
            <w:r w:rsidR="00F717E4" w:rsidRPr="00A17559">
              <w:rPr>
                <w:lang w:val="en-GB"/>
              </w:rPr>
              <w:t>101</w:t>
            </w:r>
            <w:r w:rsidRPr="00A17559">
              <w:rPr>
                <w:lang w:val="en-GB"/>
              </w:rPr>
              <w:t>.</w:t>
            </w:r>
            <w:r w:rsidR="00F717E4" w:rsidRPr="00A17559">
              <w:rPr>
                <w:lang w:val="en-GB"/>
              </w:rPr>
              <w:t>3 </w:t>
            </w:r>
            <w:r w:rsidRPr="00A17559">
              <w:rPr>
                <w:lang w:val="en-GB"/>
              </w:rPr>
              <w:t xml:space="preserve">CZK bn in Q2 and expanded by </w:t>
            </w:r>
            <w:r w:rsidR="00F717E4" w:rsidRPr="00A17559">
              <w:rPr>
                <w:lang w:val="en-GB"/>
              </w:rPr>
              <w:t>13</w:t>
            </w:r>
            <w:r w:rsidRPr="00A17559">
              <w:rPr>
                <w:lang w:val="en-GB"/>
              </w:rPr>
              <w:t>.</w:t>
            </w:r>
            <w:r w:rsidR="00F717E4" w:rsidRPr="00A17559">
              <w:rPr>
                <w:lang w:val="en-GB"/>
              </w:rPr>
              <w:t>9</w:t>
            </w:r>
            <w:r w:rsidR="00403F57" w:rsidRPr="00A17559">
              <w:rPr>
                <w:lang w:val="en-GB"/>
              </w:rPr>
              <w:t> </w:t>
            </w:r>
            <w:r w:rsidRPr="00A17559">
              <w:rPr>
                <w:lang w:val="en-GB"/>
              </w:rPr>
              <w:t xml:space="preserve">bn year-on-year. The given value is the highest in the whole time series available since year </w:t>
            </w:r>
            <w:r w:rsidR="00F717E4" w:rsidRPr="00A17559">
              <w:rPr>
                <w:lang w:val="en-GB"/>
              </w:rPr>
              <w:t xml:space="preserve">1995 </w:t>
            </w:r>
            <w:r w:rsidRPr="00A17559">
              <w:rPr>
                <w:lang w:val="en-GB"/>
              </w:rPr>
              <w:t>and the year-on-year addition is the strongest since Q</w:t>
            </w:r>
            <w:r w:rsidR="00F717E4" w:rsidRPr="00A17559">
              <w:rPr>
                <w:lang w:val="en-GB"/>
              </w:rPr>
              <w:t>3</w:t>
            </w:r>
            <w:r w:rsidRPr="00A17559">
              <w:rPr>
                <w:lang w:val="en-GB"/>
              </w:rPr>
              <w:t xml:space="preserve"> </w:t>
            </w:r>
            <w:r w:rsidR="00F717E4" w:rsidRPr="00A17559">
              <w:rPr>
                <w:lang w:val="en-GB"/>
              </w:rPr>
              <w:t>201</w:t>
            </w:r>
            <w:r w:rsidR="004A5D4E" w:rsidRPr="00A17559">
              <w:rPr>
                <w:lang w:val="en-GB"/>
              </w:rPr>
              <w:t>6.</w:t>
            </w:r>
            <w:r w:rsidR="00FF5B8C" w:rsidRPr="00A17559">
              <w:rPr>
                <w:lang w:val="en-GB"/>
              </w:rPr>
              <w:t xml:space="preserve"> </w:t>
            </w:r>
            <w:r w:rsidRPr="00A17559">
              <w:rPr>
                <w:lang w:val="en-GB"/>
              </w:rPr>
              <w:t xml:space="preserve">The trade with goods played the main role in the year-on-year improvement of the balance with the positive </w:t>
            </w:r>
            <w:r w:rsidR="00A53918" w:rsidRPr="00A17559">
              <w:rPr>
                <w:lang w:val="en-GB"/>
              </w:rPr>
              <w:t>result</w:t>
            </w:r>
            <w:r w:rsidRPr="00A17559">
              <w:rPr>
                <w:lang w:val="en-GB"/>
              </w:rPr>
              <w:t xml:space="preserve"> of </w:t>
            </w:r>
            <w:r w:rsidR="00F717E4" w:rsidRPr="00A17559">
              <w:rPr>
                <w:lang w:val="en-GB"/>
              </w:rPr>
              <w:t>68</w:t>
            </w:r>
            <w:r w:rsidRPr="00A17559">
              <w:rPr>
                <w:lang w:val="en-GB"/>
              </w:rPr>
              <w:t>.</w:t>
            </w:r>
            <w:r w:rsidR="00F717E4" w:rsidRPr="00A17559">
              <w:rPr>
                <w:lang w:val="en-GB"/>
              </w:rPr>
              <w:t>5</w:t>
            </w:r>
            <w:r w:rsidR="00403F57" w:rsidRPr="00A17559">
              <w:rPr>
                <w:lang w:val="en-GB"/>
              </w:rPr>
              <w:t> </w:t>
            </w:r>
            <w:r w:rsidRPr="00A17559">
              <w:rPr>
                <w:lang w:val="en-GB"/>
              </w:rPr>
              <w:t xml:space="preserve">CZK bn </w:t>
            </w:r>
            <w:r w:rsidR="00F717E4" w:rsidRPr="00A17559">
              <w:rPr>
                <w:lang w:val="en-GB"/>
              </w:rPr>
              <w:t>(</w:t>
            </w:r>
            <w:r w:rsidRPr="00A17559">
              <w:rPr>
                <w:lang w:val="en-GB"/>
              </w:rPr>
              <w:t xml:space="preserve">year-on-year increase of </w:t>
            </w:r>
            <w:r w:rsidR="00F717E4" w:rsidRPr="00A17559">
              <w:rPr>
                <w:lang w:val="en-GB"/>
              </w:rPr>
              <w:t>11</w:t>
            </w:r>
            <w:r w:rsidRPr="00A17559">
              <w:rPr>
                <w:lang w:val="en-GB"/>
              </w:rPr>
              <w:t>.</w:t>
            </w:r>
            <w:r w:rsidR="00F717E4" w:rsidRPr="00A17559">
              <w:rPr>
                <w:lang w:val="en-GB"/>
              </w:rPr>
              <w:t>6</w:t>
            </w:r>
            <w:r w:rsidR="00403F57" w:rsidRPr="00A17559">
              <w:rPr>
                <w:lang w:val="en-GB"/>
              </w:rPr>
              <w:t> </w:t>
            </w:r>
            <w:r w:rsidRPr="00A17559">
              <w:rPr>
                <w:lang w:val="en-GB"/>
              </w:rPr>
              <w:t>bn</w:t>
            </w:r>
            <w:r w:rsidR="00F717E4" w:rsidRPr="00A17559">
              <w:rPr>
                <w:lang w:val="en-GB"/>
              </w:rPr>
              <w:t xml:space="preserve">). </w:t>
            </w:r>
            <w:r w:rsidR="00CD3D73" w:rsidRPr="00A17559">
              <w:rPr>
                <w:lang w:val="en-GB"/>
              </w:rPr>
              <w:t xml:space="preserve">Surplus of trade with services also increased </w:t>
            </w:r>
            <w:r w:rsidR="00F717E4" w:rsidRPr="00A17559">
              <w:rPr>
                <w:lang w:val="en-GB"/>
              </w:rPr>
              <w:t>(</w:t>
            </w:r>
            <w:r w:rsidR="00CD3D73" w:rsidRPr="00A17559">
              <w:rPr>
                <w:lang w:val="en-GB"/>
              </w:rPr>
              <w:t>by</w:t>
            </w:r>
            <w:r w:rsidR="002F1B09" w:rsidRPr="00A17559">
              <w:rPr>
                <w:lang w:val="en-GB"/>
              </w:rPr>
              <w:t> </w:t>
            </w:r>
            <w:r w:rsidR="00F717E4" w:rsidRPr="00A17559">
              <w:rPr>
                <w:lang w:val="en-GB"/>
              </w:rPr>
              <w:t>2</w:t>
            </w:r>
            <w:r w:rsidR="00CD3D73" w:rsidRPr="00A17559">
              <w:rPr>
                <w:lang w:val="en-GB"/>
              </w:rPr>
              <w:t>.</w:t>
            </w:r>
            <w:r w:rsidR="00F717E4" w:rsidRPr="00A17559">
              <w:rPr>
                <w:lang w:val="en-GB"/>
              </w:rPr>
              <w:t>3</w:t>
            </w:r>
            <w:r w:rsidR="00403F57" w:rsidRPr="00A17559">
              <w:rPr>
                <w:lang w:val="en-GB"/>
              </w:rPr>
              <w:t> </w:t>
            </w:r>
            <w:r w:rsidR="00CD3D73" w:rsidRPr="00A17559">
              <w:rPr>
                <w:lang w:val="en-GB"/>
              </w:rPr>
              <w:t xml:space="preserve">bn to </w:t>
            </w:r>
            <w:r w:rsidR="00F717E4" w:rsidRPr="00A17559">
              <w:rPr>
                <w:lang w:val="en-GB"/>
              </w:rPr>
              <w:t>32</w:t>
            </w:r>
            <w:r w:rsidR="00CD3D73" w:rsidRPr="00A17559">
              <w:rPr>
                <w:lang w:val="en-GB"/>
              </w:rPr>
              <w:t>.</w:t>
            </w:r>
            <w:r w:rsidR="00F717E4" w:rsidRPr="00A17559">
              <w:rPr>
                <w:lang w:val="en-GB"/>
              </w:rPr>
              <w:t>9</w:t>
            </w:r>
            <w:r w:rsidR="00403F57" w:rsidRPr="00A17559">
              <w:rPr>
                <w:lang w:val="en-GB"/>
              </w:rPr>
              <w:t> </w:t>
            </w:r>
            <w:r w:rsidR="00CD3D73" w:rsidRPr="00A17559">
              <w:rPr>
                <w:lang w:val="en-GB"/>
              </w:rPr>
              <w:t>CZK bn</w:t>
            </w:r>
            <w:r w:rsidR="00F717E4" w:rsidRPr="00A17559">
              <w:rPr>
                <w:lang w:val="en-GB"/>
              </w:rPr>
              <w:t xml:space="preserve">). </w:t>
            </w:r>
            <w:r w:rsidR="00CC72D7" w:rsidRPr="00A17559">
              <w:rPr>
                <w:lang w:val="en-GB"/>
              </w:rPr>
              <w:t>The change in foreign trade dynamics caused the vigorous growth of surplus</w:t>
            </w:r>
            <w:r w:rsidR="00F717E4" w:rsidRPr="00A17559">
              <w:rPr>
                <w:lang w:val="en-GB"/>
              </w:rPr>
              <w:t xml:space="preserve">, </w:t>
            </w:r>
            <w:r w:rsidR="00CD3D73" w:rsidRPr="00A17559">
              <w:rPr>
                <w:lang w:val="en-GB"/>
              </w:rPr>
              <w:t>which became evident in Q</w:t>
            </w:r>
            <w:r w:rsidR="00F717E4" w:rsidRPr="00A17559">
              <w:rPr>
                <w:lang w:val="en-GB"/>
              </w:rPr>
              <w:t>2</w:t>
            </w:r>
            <w:r w:rsidR="004A5D4E" w:rsidRPr="00A17559">
              <w:rPr>
                <w:lang w:val="en-GB"/>
              </w:rPr>
              <w:t>.</w:t>
            </w:r>
            <w:r w:rsidR="00CD3D73" w:rsidRPr="00A17559">
              <w:rPr>
                <w:lang w:val="en-GB"/>
              </w:rPr>
              <w:t xml:space="preserve"> </w:t>
            </w:r>
            <w:r w:rsidR="00CC72D7" w:rsidRPr="00A17559">
              <w:rPr>
                <w:lang w:val="en-GB"/>
              </w:rPr>
              <w:t xml:space="preserve">The year-on-year rate of growth of exports in real terms </w:t>
            </w:r>
            <w:r w:rsidR="00F717E4" w:rsidRPr="00A17559">
              <w:rPr>
                <w:lang w:val="en-GB"/>
              </w:rPr>
              <w:t>(2</w:t>
            </w:r>
            <w:r w:rsidR="00CC72D7" w:rsidRPr="00A17559">
              <w:rPr>
                <w:lang w:val="en-GB"/>
              </w:rPr>
              <w:t>.</w:t>
            </w:r>
            <w:r w:rsidR="00F717E4" w:rsidRPr="00A17559">
              <w:rPr>
                <w:lang w:val="en-GB"/>
              </w:rPr>
              <w:t>2</w:t>
            </w:r>
            <w:r w:rsidR="00403F57" w:rsidRPr="00A17559">
              <w:rPr>
                <w:lang w:val="en-GB"/>
              </w:rPr>
              <w:t>%</w:t>
            </w:r>
            <w:r w:rsidR="00F717E4" w:rsidRPr="00A17559">
              <w:rPr>
                <w:lang w:val="en-GB"/>
              </w:rPr>
              <w:t>)</w:t>
            </w:r>
            <w:r w:rsidR="00CC72D7" w:rsidRPr="00A17559">
              <w:rPr>
                <w:lang w:val="en-GB"/>
              </w:rPr>
              <w:t xml:space="preserve"> overtook imports after six quarters </w:t>
            </w:r>
            <w:r w:rsidR="00F717E4" w:rsidRPr="00A17559">
              <w:rPr>
                <w:lang w:val="en-GB"/>
              </w:rPr>
              <w:t>(1</w:t>
            </w:r>
            <w:r w:rsidR="00CC72D7" w:rsidRPr="00A17559">
              <w:rPr>
                <w:lang w:val="en-GB"/>
              </w:rPr>
              <w:t>.</w:t>
            </w:r>
            <w:r w:rsidR="00F717E4" w:rsidRPr="00A17559">
              <w:rPr>
                <w:lang w:val="en-GB"/>
              </w:rPr>
              <w:t>4</w:t>
            </w:r>
            <w:r w:rsidR="00403F57" w:rsidRPr="00A17559">
              <w:rPr>
                <w:lang w:val="en-GB"/>
              </w:rPr>
              <w:t>%</w:t>
            </w:r>
            <w:r w:rsidR="00F717E4" w:rsidRPr="00A17559">
              <w:rPr>
                <w:lang w:val="en-GB"/>
              </w:rPr>
              <w:t>).</w:t>
            </w:r>
          </w:p>
        </w:tc>
      </w:tr>
      <w:tr w:rsidR="00347BDC" w:rsidRPr="00A17559" w:rsidTr="00347BDC">
        <w:trPr>
          <w:trHeight w:val="170"/>
        </w:trPr>
        <w:tc>
          <w:tcPr>
            <w:tcW w:w="1798" w:type="dxa"/>
            <w:vMerge w:val="restart"/>
            <w:shd w:val="clear" w:color="auto" w:fill="auto"/>
            <w:tcMar>
              <w:left w:w="0" w:type="dxa"/>
            </w:tcMar>
          </w:tcPr>
          <w:p w:rsidR="00347BDC" w:rsidRPr="00A17559" w:rsidRDefault="00347BDC" w:rsidP="00347BDC">
            <w:pPr>
              <w:pStyle w:val="Marginlie"/>
              <w:rPr>
                <w:lang w:val="en-GB"/>
              </w:rPr>
            </w:pPr>
          </w:p>
        </w:tc>
        <w:tc>
          <w:tcPr>
            <w:tcW w:w="231" w:type="dxa"/>
            <w:vMerge w:val="restart"/>
            <w:shd w:val="clear" w:color="auto" w:fill="auto"/>
            <w:tcMar>
              <w:left w:w="0" w:type="dxa"/>
            </w:tcMar>
          </w:tcPr>
          <w:p w:rsidR="00347BDC" w:rsidRPr="00A17559" w:rsidRDefault="00347BDC" w:rsidP="00347BDC">
            <w:pPr>
              <w:pStyle w:val="Textpoznpodarou"/>
              <w:jc w:val="both"/>
              <w:rPr>
                <w:spacing w:val="-4"/>
                <w:lang w:val="en-GB"/>
              </w:rPr>
            </w:pPr>
          </w:p>
        </w:tc>
        <w:tc>
          <w:tcPr>
            <w:tcW w:w="7610" w:type="dxa"/>
            <w:shd w:val="clear" w:color="auto" w:fill="auto"/>
            <w:tcMar>
              <w:left w:w="0" w:type="dxa"/>
            </w:tcMar>
          </w:tcPr>
          <w:p w:rsidR="00347BDC" w:rsidRPr="00422629" w:rsidRDefault="00347BDC" w:rsidP="00347BDC">
            <w:pPr>
              <w:spacing w:after="0"/>
              <w:rPr>
                <w:szCs w:val="20"/>
                <w:lang w:val="en-GB"/>
              </w:rPr>
            </w:pPr>
            <w:r w:rsidRPr="00422629">
              <w:rPr>
                <w:b/>
                <w:szCs w:val="20"/>
                <w:lang w:val="en-GB"/>
              </w:rPr>
              <w:t>Chart 4 Contributions</w:t>
            </w:r>
            <w:r w:rsidRPr="00422629">
              <w:rPr>
                <w:b/>
                <w:szCs w:val="20"/>
                <w:lang w:val="en-GB" w:eastAsia="en-US"/>
              </w:rPr>
              <w:t xml:space="preserve"> of branches to real change in GVA</w:t>
            </w:r>
            <w:r w:rsidRPr="00422629">
              <w:rPr>
                <w:rFonts w:cs="Arial"/>
                <w:b/>
                <w:szCs w:val="20"/>
                <w:lang w:val="en-GB" w:eastAsia="en-US"/>
              </w:rPr>
              <w:t xml:space="preserve"> </w:t>
            </w:r>
            <w:r w:rsidRPr="00422629">
              <w:rPr>
                <w:rFonts w:cs="Arial"/>
                <w:szCs w:val="20"/>
                <w:lang w:val="en-GB" w:eastAsia="en-US"/>
              </w:rPr>
              <w:t>(volume indices, year-on-year contributions in p.p., GVA in %)</w:t>
            </w:r>
          </w:p>
        </w:tc>
      </w:tr>
      <w:tr w:rsidR="00347BDC" w:rsidRPr="00A17559" w:rsidTr="00347BDC">
        <w:trPr>
          <w:trHeight w:val="170"/>
        </w:trPr>
        <w:tc>
          <w:tcPr>
            <w:tcW w:w="1798" w:type="dxa"/>
            <w:vMerge/>
            <w:shd w:val="clear" w:color="auto" w:fill="auto"/>
            <w:tcMar>
              <w:left w:w="0" w:type="dxa"/>
            </w:tcMar>
          </w:tcPr>
          <w:p w:rsidR="00347BDC" w:rsidRPr="00A17559" w:rsidRDefault="00347BDC" w:rsidP="00347BDC">
            <w:pPr>
              <w:pStyle w:val="Marginlie"/>
              <w:rPr>
                <w:lang w:val="en-GB"/>
              </w:rPr>
            </w:pPr>
          </w:p>
        </w:tc>
        <w:tc>
          <w:tcPr>
            <w:tcW w:w="231" w:type="dxa"/>
            <w:vMerge/>
            <w:shd w:val="clear" w:color="auto" w:fill="auto"/>
            <w:tcMar>
              <w:left w:w="0" w:type="dxa"/>
            </w:tcMar>
          </w:tcPr>
          <w:p w:rsidR="00347BDC" w:rsidRPr="00A17559" w:rsidRDefault="00347BDC" w:rsidP="00347BDC">
            <w:pPr>
              <w:pStyle w:val="Textpoznpodarou"/>
              <w:jc w:val="both"/>
              <w:rPr>
                <w:spacing w:val="-4"/>
                <w:lang w:val="en-GB"/>
              </w:rPr>
            </w:pPr>
          </w:p>
        </w:tc>
        <w:tc>
          <w:tcPr>
            <w:tcW w:w="7610" w:type="dxa"/>
            <w:shd w:val="clear" w:color="auto" w:fill="auto"/>
            <w:tcMar>
              <w:left w:w="0" w:type="dxa"/>
            </w:tcMar>
          </w:tcPr>
          <w:p w:rsidR="00347BDC" w:rsidRPr="00A17559" w:rsidRDefault="00347BDC" w:rsidP="00347BDC">
            <w:pPr>
              <w:spacing w:after="0"/>
              <w:rPr>
                <w:lang w:val="en-GB"/>
              </w:rPr>
            </w:pPr>
            <w:r>
              <w:rPr>
                <w:noProof/>
              </w:rPr>
              <w:drawing>
                <wp:inline distT="0" distB="0" distL="0" distR="0" wp14:anchorId="6022EFF3" wp14:editId="375C31F1">
                  <wp:extent cx="4737600" cy="3553200"/>
                  <wp:effectExtent l="0" t="0" r="6350" b="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347BDC" w:rsidRPr="00A17559" w:rsidTr="00347BDC">
        <w:trPr>
          <w:trHeight w:val="170"/>
        </w:trPr>
        <w:tc>
          <w:tcPr>
            <w:tcW w:w="1798" w:type="dxa"/>
            <w:vMerge/>
            <w:shd w:val="clear" w:color="auto" w:fill="auto"/>
            <w:tcMar>
              <w:left w:w="0" w:type="dxa"/>
            </w:tcMar>
          </w:tcPr>
          <w:p w:rsidR="00347BDC" w:rsidRPr="00A17559" w:rsidRDefault="00347BDC" w:rsidP="00347BDC">
            <w:pPr>
              <w:pStyle w:val="Marginlie"/>
              <w:rPr>
                <w:lang w:val="en-GB"/>
              </w:rPr>
            </w:pPr>
          </w:p>
        </w:tc>
        <w:tc>
          <w:tcPr>
            <w:tcW w:w="231" w:type="dxa"/>
            <w:vMerge/>
            <w:shd w:val="clear" w:color="auto" w:fill="auto"/>
            <w:tcMar>
              <w:left w:w="0" w:type="dxa"/>
            </w:tcMar>
          </w:tcPr>
          <w:p w:rsidR="00347BDC" w:rsidRPr="00A17559" w:rsidRDefault="00347BDC" w:rsidP="00347BDC">
            <w:pPr>
              <w:pStyle w:val="Textpoznpodarou"/>
              <w:jc w:val="both"/>
              <w:rPr>
                <w:spacing w:val="-4"/>
                <w:lang w:val="en-GB"/>
              </w:rPr>
            </w:pPr>
          </w:p>
        </w:tc>
        <w:tc>
          <w:tcPr>
            <w:tcW w:w="7610" w:type="dxa"/>
            <w:shd w:val="clear" w:color="auto" w:fill="auto"/>
            <w:tcMar>
              <w:left w:w="0" w:type="dxa"/>
            </w:tcMar>
          </w:tcPr>
          <w:p w:rsidR="00347BDC" w:rsidRPr="00A17559" w:rsidRDefault="00347BDC" w:rsidP="00347BDC">
            <w:pPr>
              <w:rPr>
                <w:sz w:val="14"/>
                <w:szCs w:val="14"/>
                <w:lang w:val="en-GB"/>
              </w:rPr>
            </w:pPr>
            <w:r w:rsidRPr="00A17559">
              <w:rPr>
                <w:sz w:val="14"/>
                <w:szCs w:val="14"/>
                <w:lang w:val="en-GB"/>
              </w:rPr>
              <w:t>Source: CZSO</w:t>
            </w:r>
          </w:p>
        </w:tc>
      </w:tr>
      <w:tr w:rsidR="00347BDC" w:rsidRPr="00A17559" w:rsidTr="00347BDC">
        <w:trPr>
          <w:trHeight w:val="145"/>
        </w:trPr>
        <w:tc>
          <w:tcPr>
            <w:tcW w:w="1798" w:type="dxa"/>
            <w:shd w:val="clear" w:color="auto" w:fill="auto"/>
            <w:tcMar>
              <w:left w:w="0" w:type="dxa"/>
            </w:tcMar>
          </w:tcPr>
          <w:p w:rsidR="00347BDC" w:rsidRPr="00A17559" w:rsidRDefault="00347BDC" w:rsidP="00347BDC">
            <w:pPr>
              <w:pStyle w:val="Marginlie"/>
              <w:rPr>
                <w:lang w:val="en-GB"/>
              </w:rPr>
            </w:pPr>
            <w:r w:rsidRPr="00A17559">
              <w:rPr>
                <w:lang w:val="en-GB"/>
              </w:rPr>
              <w:t xml:space="preserve">Services persisted on the position of the driver of gross value added growth. </w:t>
            </w:r>
          </w:p>
        </w:tc>
        <w:tc>
          <w:tcPr>
            <w:tcW w:w="231" w:type="dxa"/>
            <w:shd w:val="clear" w:color="auto" w:fill="auto"/>
            <w:tcMar>
              <w:left w:w="0" w:type="dxa"/>
            </w:tcMar>
          </w:tcPr>
          <w:p w:rsidR="00347BDC" w:rsidRPr="00A17559" w:rsidRDefault="00347BDC" w:rsidP="00347BDC">
            <w:pPr>
              <w:pStyle w:val="Textpoznpodarou"/>
              <w:jc w:val="both"/>
              <w:rPr>
                <w:spacing w:val="-4"/>
                <w:lang w:val="en-GB"/>
              </w:rPr>
            </w:pPr>
          </w:p>
        </w:tc>
        <w:tc>
          <w:tcPr>
            <w:tcW w:w="7610" w:type="dxa"/>
            <w:shd w:val="clear" w:color="auto" w:fill="auto"/>
            <w:tcMar>
              <w:left w:w="0" w:type="dxa"/>
            </w:tcMar>
          </w:tcPr>
          <w:p w:rsidR="00347BDC" w:rsidRPr="00A17559" w:rsidRDefault="00347BDC" w:rsidP="00347BDC">
            <w:pPr>
              <w:rPr>
                <w:lang w:val="en-GB"/>
              </w:rPr>
            </w:pPr>
            <w:r w:rsidRPr="00A17559">
              <w:rPr>
                <w:lang w:val="en-GB"/>
              </w:rPr>
              <w:t xml:space="preserve">The branches of the services sector play a dominant role in the year-on-year growth of the gross value added already five quarters, benefiting from the strong demand. On the other hand, the traditional driver of the Czech economic growth, manufacturing, experiences a decline. It is the effect of the weaker foreign demand. Trend of this nature continued also in Q2. Year-on-year addition of GVA of manufacturing amounted to 1.2% in Q2 and contribution to total growth reached 0.3 p.p. Branches of the services sector in total contributed to the GVA growth 2.3 p.p. Group trade, transportation, accommodation and food service featured the strongest contribution (0.7 p.p., 3.8%). Information and communication activities kept a brisk growth (8.9%), </w:t>
            </w:r>
            <w:r w:rsidRPr="00A17559">
              <w:rPr>
                <w:lang w:val="en-GB"/>
              </w:rPr>
              <w:lastRenderedPageBreak/>
              <w:t>which also assisted to relatively high contribution of this branch to the GVA growth (0.5 p.p.). Branches professional, scientific, technical and administrative activities (GVA growth of 4.4%) and also branches with the predominant public sector</w:t>
            </w:r>
            <w:r w:rsidRPr="00A17559">
              <w:rPr>
                <w:rStyle w:val="Znakapoznpodarou"/>
                <w:spacing w:val="-2"/>
                <w:lang w:val="en-GB"/>
              </w:rPr>
              <w:footnoteReference w:id="11"/>
            </w:r>
            <w:r w:rsidRPr="00A17559">
              <w:rPr>
                <w:lang w:val="en-GB"/>
              </w:rPr>
              <w:t xml:space="preserve"> (1.7%) supported the growth similarly by 0.3 p.p. Construction continued in the year-on-year growth of the GVA (3.6%), the branch contributed with a view to its relatively small weight to total dynamics 0.2 p.p.</w:t>
            </w:r>
          </w:p>
        </w:tc>
      </w:tr>
    </w:tbl>
    <w:p w:rsidR="00935BD4" w:rsidRPr="00A17559" w:rsidRDefault="004A5D4E" w:rsidP="001554C2">
      <w:pPr>
        <w:pStyle w:val="Nadpis11"/>
        <w:rPr>
          <w:lang w:val="en-GB"/>
        </w:rPr>
      </w:pPr>
      <w:bookmarkStart w:id="4" w:name="_Toc19179082"/>
      <w:r w:rsidRPr="00A17559">
        <w:rPr>
          <w:lang w:val="en-GB"/>
        </w:rPr>
        <w:lastRenderedPageBreak/>
        <w:t>3. </w:t>
      </w:r>
      <w:bookmarkStart w:id="5" w:name="_Toc454185150"/>
      <w:bookmarkStart w:id="6" w:name="_Toc493683635"/>
      <w:r w:rsidR="003C71B9" w:rsidRPr="00A17559">
        <w:rPr>
          <w:lang w:val="en-GB"/>
        </w:rPr>
        <w:t>Branches Performance</w:t>
      </w:r>
      <w:bookmarkEnd w:id="4"/>
      <w:bookmarkEnd w:id="5"/>
      <w:bookmarkEnd w:id="6"/>
    </w:p>
    <w:tbl>
      <w:tblPr>
        <w:tblW w:w="9639" w:type="dxa"/>
        <w:tblInd w:w="-15" w:type="dxa"/>
        <w:tblCellMar>
          <w:left w:w="0" w:type="dxa"/>
          <w:right w:w="0" w:type="dxa"/>
        </w:tblCellMar>
        <w:tblLook w:val="00A0" w:firstRow="1" w:lastRow="0" w:firstColumn="1" w:lastColumn="0" w:noHBand="0" w:noVBand="0"/>
      </w:tblPr>
      <w:tblGrid>
        <w:gridCol w:w="1669"/>
        <w:gridCol w:w="180"/>
        <w:gridCol w:w="7790"/>
      </w:tblGrid>
      <w:tr w:rsidR="00340FD2" w:rsidRPr="00A17559" w:rsidTr="00422629">
        <w:trPr>
          <w:trHeight w:val="145"/>
        </w:trPr>
        <w:tc>
          <w:tcPr>
            <w:tcW w:w="1669" w:type="dxa"/>
            <w:shd w:val="clear" w:color="auto" w:fill="auto"/>
            <w:tcMar>
              <w:left w:w="0" w:type="dxa"/>
            </w:tcMar>
          </w:tcPr>
          <w:p w:rsidR="00513E9D" w:rsidRPr="00A17559" w:rsidRDefault="003C71B9" w:rsidP="003C71B9">
            <w:pPr>
              <w:pStyle w:val="Marginlie"/>
              <w:rPr>
                <w:lang w:val="en-GB"/>
              </w:rPr>
            </w:pPr>
            <w:r w:rsidRPr="00A17559">
              <w:rPr>
                <w:lang w:val="en-GB"/>
              </w:rPr>
              <w:t>Year-on-year growth of the gross value added stayed mildly below the 3% level during H1</w:t>
            </w:r>
            <w:r w:rsidR="00513E9D" w:rsidRPr="00A17559">
              <w:rPr>
                <w:lang w:val="en-GB"/>
              </w:rPr>
              <w:t>.</w:t>
            </w:r>
            <w:r w:rsidRPr="00A17559">
              <w:rPr>
                <w:lang w:val="en-GB"/>
              </w:rPr>
              <w:t xml:space="preserve"> The economy has not slowed down also in the quarter-on-quarter expression so far. </w:t>
            </w:r>
          </w:p>
        </w:tc>
        <w:tc>
          <w:tcPr>
            <w:tcW w:w="180" w:type="dxa"/>
            <w:shd w:val="clear" w:color="auto" w:fill="auto"/>
            <w:tcMar>
              <w:left w:w="0" w:type="dxa"/>
            </w:tcMar>
          </w:tcPr>
          <w:p w:rsidR="00513E9D" w:rsidRPr="00A17559" w:rsidRDefault="00513E9D" w:rsidP="00513E9D">
            <w:pPr>
              <w:pStyle w:val="Textpoznpodarou"/>
              <w:jc w:val="both"/>
              <w:rPr>
                <w:spacing w:val="-4"/>
                <w:lang w:val="en-GB"/>
              </w:rPr>
            </w:pPr>
          </w:p>
        </w:tc>
        <w:tc>
          <w:tcPr>
            <w:tcW w:w="7790" w:type="dxa"/>
            <w:shd w:val="clear" w:color="auto" w:fill="auto"/>
            <w:tcMar>
              <w:left w:w="0" w:type="dxa"/>
            </w:tcMar>
          </w:tcPr>
          <w:p w:rsidR="00513E9D" w:rsidRPr="00A17559" w:rsidRDefault="003C71B9" w:rsidP="003C71B9">
            <w:pPr>
              <w:spacing w:after="220"/>
              <w:rPr>
                <w:spacing w:val="-7"/>
                <w:lang w:val="en-GB"/>
              </w:rPr>
            </w:pPr>
            <w:r w:rsidRPr="00A17559">
              <w:rPr>
                <w:spacing w:val="-7"/>
                <w:lang w:val="en-GB"/>
              </w:rPr>
              <w:t>Performance of all branches of the economy captured via the created gross value added (GVA)</w:t>
            </w:r>
            <w:r w:rsidR="00513E9D" w:rsidRPr="00A17559">
              <w:rPr>
                <w:rStyle w:val="Znakapoznpodarou"/>
                <w:spacing w:val="-7"/>
                <w:lang w:val="en-GB"/>
              </w:rPr>
              <w:footnoteReference w:id="12"/>
            </w:r>
            <w:r w:rsidR="00513E9D" w:rsidRPr="00A17559">
              <w:rPr>
                <w:spacing w:val="-7"/>
                <w:lang w:val="en-GB"/>
              </w:rPr>
              <w:t xml:space="preserve"> </w:t>
            </w:r>
            <w:r w:rsidRPr="00A17559">
              <w:rPr>
                <w:spacing w:val="-7"/>
                <w:lang w:val="en-GB"/>
              </w:rPr>
              <w:t>rose by 2.8% year-on-year in H</w:t>
            </w:r>
            <w:r w:rsidR="00513E9D" w:rsidRPr="00A17559">
              <w:rPr>
                <w:spacing w:val="-7"/>
                <w:lang w:val="en-GB"/>
              </w:rPr>
              <w:t>1</w:t>
            </w:r>
            <w:r w:rsidRPr="00A17559">
              <w:rPr>
                <w:spacing w:val="-7"/>
                <w:lang w:val="en-GB"/>
              </w:rPr>
              <w:t xml:space="preserve"> </w:t>
            </w:r>
            <w:r w:rsidR="00513E9D" w:rsidRPr="00A17559">
              <w:rPr>
                <w:spacing w:val="-7"/>
                <w:lang w:val="en-GB"/>
              </w:rPr>
              <w:t>a</w:t>
            </w:r>
            <w:r w:rsidRPr="00A17559">
              <w:rPr>
                <w:spacing w:val="-7"/>
                <w:lang w:val="en-GB"/>
              </w:rPr>
              <w:t xml:space="preserve">nd thus repeated the result from the second half of the last year. </w:t>
            </w:r>
            <w:r w:rsidR="00513E9D" w:rsidRPr="00A17559">
              <w:rPr>
                <w:spacing w:val="-7"/>
                <w:lang w:val="en-GB"/>
              </w:rPr>
              <w:t>R</w:t>
            </w:r>
            <w:r w:rsidR="00105F9B" w:rsidRPr="00A17559">
              <w:rPr>
                <w:spacing w:val="-7"/>
                <w:lang w:val="en-GB"/>
              </w:rPr>
              <w:t>ate of growth was practically the same in this year´s Q1 and Q2. The quarter-on-quarter dynamics of GVA also remains stable, specifically already since the half of year 20</w:t>
            </w:r>
            <w:r w:rsidR="00513E9D" w:rsidRPr="00A17559">
              <w:rPr>
                <w:spacing w:val="-7"/>
                <w:lang w:val="en-GB"/>
              </w:rPr>
              <w:t>17 (</w:t>
            </w:r>
            <w:r w:rsidR="00105F9B" w:rsidRPr="00A17559">
              <w:rPr>
                <w:spacing w:val="-7"/>
                <w:lang w:val="en-GB"/>
              </w:rPr>
              <w:t xml:space="preserve">on average it was </w:t>
            </w:r>
            <w:r w:rsidR="00513E9D" w:rsidRPr="00A17559">
              <w:rPr>
                <w:spacing w:val="-7"/>
                <w:lang w:val="en-GB"/>
              </w:rPr>
              <w:t>0</w:t>
            </w:r>
            <w:r w:rsidR="00105F9B" w:rsidRPr="00A17559">
              <w:rPr>
                <w:spacing w:val="-7"/>
                <w:lang w:val="en-GB"/>
              </w:rPr>
              <w:t>.</w:t>
            </w:r>
            <w:r w:rsidR="00513E9D" w:rsidRPr="00A17559">
              <w:rPr>
                <w:spacing w:val="-7"/>
                <w:lang w:val="en-GB"/>
              </w:rPr>
              <w:t>7%,</w:t>
            </w:r>
            <w:r w:rsidR="00105F9B" w:rsidRPr="00A17559">
              <w:rPr>
                <w:spacing w:val="-7"/>
                <w:lang w:val="en-GB"/>
              </w:rPr>
              <w:t xml:space="preserve"> similarly to Q</w:t>
            </w:r>
            <w:r w:rsidR="00513E9D" w:rsidRPr="00A17559">
              <w:rPr>
                <w:spacing w:val="-7"/>
                <w:lang w:val="en-GB"/>
              </w:rPr>
              <w:t>2</w:t>
            </w:r>
            <w:r w:rsidR="00105F9B" w:rsidRPr="00A17559">
              <w:rPr>
                <w:spacing w:val="-7"/>
                <w:lang w:val="en-GB"/>
              </w:rPr>
              <w:t xml:space="preserve"> </w:t>
            </w:r>
            <w:r w:rsidR="00513E9D" w:rsidRPr="00A17559">
              <w:rPr>
                <w:spacing w:val="-7"/>
                <w:lang w:val="en-GB"/>
              </w:rPr>
              <w:t xml:space="preserve">2019). </w:t>
            </w:r>
            <w:r w:rsidRPr="00A17559">
              <w:rPr>
                <w:spacing w:val="-7"/>
                <w:lang w:val="en-GB"/>
              </w:rPr>
              <w:t>Mainly this year´s result sounded positive for the domestic economy</w:t>
            </w:r>
            <w:r w:rsidR="003E2840" w:rsidRPr="00A17559">
              <w:rPr>
                <w:spacing w:val="-7"/>
                <w:lang w:val="en-GB"/>
              </w:rPr>
              <w:t>,</w:t>
            </w:r>
            <w:r w:rsidRPr="00A17559">
              <w:rPr>
                <w:spacing w:val="-7"/>
                <w:lang w:val="en-GB"/>
              </w:rPr>
              <w:t xml:space="preserve"> especially in the context of less favourable external factors (notable slowdown of the economic growth in key export territories, further strengthened by the growing regulative measures in the international trade a</w:t>
            </w:r>
            <w:r w:rsidR="00105F9B" w:rsidRPr="00A17559">
              <w:rPr>
                <w:spacing w:val="-7"/>
                <w:lang w:val="en-GB"/>
              </w:rPr>
              <w:t>s well as the</w:t>
            </w:r>
            <w:r w:rsidRPr="00A17559">
              <w:rPr>
                <w:spacing w:val="-7"/>
                <w:lang w:val="en-GB"/>
              </w:rPr>
              <w:t xml:space="preserve"> persisting </w:t>
            </w:r>
            <w:r w:rsidR="00105F9B" w:rsidRPr="00A17559">
              <w:rPr>
                <w:spacing w:val="-7"/>
                <w:lang w:val="en-GB"/>
              </w:rPr>
              <w:t>uncertainty regarding the future</w:t>
            </w:r>
            <w:r w:rsidRPr="00A17559">
              <w:rPr>
                <w:spacing w:val="-7"/>
                <w:lang w:val="en-GB"/>
              </w:rPr>
              <w:t xml:space="preserve"> organisation </w:t>
            </w:r>
            <w:r w:rsidR="00105F9B" w:rsidRPr="00A17559">
              <w:rPr>
                <w:spacing w:val="-7"/>
                <w:lang w:val="en-GB"/>
              </w:rPr>
              <w:t>of relations between the Great Britain and the EU</w:t>
            </w:r>
            <w:r w:rsidR="00513E9D" w:rsidRPr="00A17559">
              <w:rPr>
                <w:spacing w:val="-7"/>
                <w:lang w:val="en-GB"/>
              </w:rPr>
              <w:t>).</w:t>
            </w:r>
          </w:p>
        </w:tc>
      </w:tr>
      <w:tr w:rsidR="00340FD2" w:rsidRPr="00A17559" w:rsidTr="00422629">
        <w:trPr>
          <w:trHeight w:val="145"/>
        </w:trPr>
        <w:tc>
          <w:tcPr>
            <w:tcW w:w="1669" w:type="dxa"/>
            <w:shd w:val="clear" w:color="auto" w:fill="auto"/>
            <w:tcMar>
              <w:left w:w="0" w:type="dxa"/>
            </w:tcMar>
          </w:tcPr>
          <w:p w:rsidR="00513E9D" w:rsidRPr="00A17559" w:rsidRDefault="00386127" w:rsidP="00386127">
            <w:pPr>
              <w:pStyle w:val="Marginlie"/>
              <w:rPr>
                <w:lang w:val="en-GB"/>
              </w:rPr>
            </w:pPr>
            <w:r w:rsidRPr="00A17559">
              <w:rPr>
                <w:lang w:val="en-GB"/>
              </w:rPr>
              <w:t xml:space="preserve">The focal point of the GVA growth was located in services already second year in a row. Here, the dynamical development of information and communication continued. Trade also prospered. </w:t>
            </w:r>
          </w:p>
        </w:tc>
        <w:tc>
          <w:tcPr>
            <w:tcW w:w="180" w:type="dxa"/>
            <w:shd w:val="clear" w:color="auto" w:fill="auto"/>
            <w:tcMar>
              <w:left w:w="0" w:type="dxa"/>
            </w:tcMar>
          </w:tcPr>
          <w:p w:rsidR="00513E9D" w:rsidRPr="00A17559" w:rsidRDefault="00513E9D" w:rsidP="00513E9D">
            <w:pPr>
              <w:pStyle w:val="Textpoznpodarou"/>
              <w:jc w:val="both"/>
              <w:rPr>
                <w:spacing w:val="-4"/>
                <w:lang w:val="en-GB"/>
              </w:rPr>
            </w:pPr>
          </w:p>
        </w:tc>
        <w:tc>
          <w:tcPr>
            <w:tcW w:w="7790" w:type="dxa"/>
            <w:shd w:val="clear" w:color="auto" w:fill="auto"/>
            <w:tcMar>
              <w:left w:w="0" w:type="dxa"/>
            </w:tcMar>
          </w:tcPr>
          <w:p w:rsidR="00513E9D" w:rsidRPr="00A17559" w:rsidRDefault="00386127" w:rsidP="00CE164F">
            <w:pPr>
              <w:spacing w:after="220"/>
              <w:rPr>
                <w:spacing w:val="-7"/>
                <w:lang w:val="en-GB"/>
              </w:rPr>
            </w:pPr>
            <w:r w:rsidRPr="00A17559">
              <w:rPr>
                <w:spacing w:val="-7"/>
                <w:lang w:val="en-GB"/>
              </w:rPr>
              <w:t xml:space="preserve">All eleven main branch groupings contributed to the year-on-year GVA growth this year. The tertiary sector presented the focal point of the growth </w:t>
            </w:r>
            <w:r w:rsidR="003370B1" w:rsidRPr="00A17559">
              <w:rPr>
                <w:spacing w:val="-7"/>
                <w:lang w:val="en-GB"/>
              </w:rPr>
              <w:t xml:space="preserve">similarly to the whole last year. Its performance strengthened by significant </w:t>
            </w:r>
            <w:r w:rsidR="00513E9D" w:rsidRPr="00A17559">
              <w:rPr>
                <w:spacing w:val="-7"/>
                <w:lang w:val="en-GB"/>
              </w:rPr>
              <w:t>3</w:t>
            </w:r>
            <w:r w:rsidR="003370B1" w:rsidRPr="00A17559">
              <w:rPr>
                <w:spacing w:val="-7"/>
                <w:lang w:val="en-GB"/>
              </w:rPr>
              <w:t>.</w:t>
            </w:r>
            <w:r w:rsidR="00513E9D" w:rsidRPr="00A17559">
              <w:rPr>
                <w:spacing w:val="-7"/>
                <w:lang w:val="en-GB"/>
              </w:rPr>
              <w:t>7%</w:t>
            </w:r>
            <w:r w:rsidR="003370B1" w:rsidRPr="00A17559">
              <w:rPr>
                <w:spacing w:val="-7"/>
                <w:lang w:val="en-GB"/>
              </w:rPr>
              <w:t xml:space="preserve"> in H1</w:t>
            </w:r>
            <w:r w:rsidR="00513E9D" w:rsidRPr="00A17559">
              <w:rPr>
                <w:spacing w:val="-7"/>
                <w:lang w:val="en-GB"/>
              </w:rPr>
              <w:t xml:space="preserve"> </w:t>
            </w:r>
            <w:r w:rsidR="003370B1" w:rsidRPr="00A17559">
              <w:rPr>
                <w:spacing w:val="-7"/>
                <w:lang w:val="en-GB"/>
              </w:rPr>
              <w:t xml:space="preserve">2019 </w:t>
            </w:r>
            <w:r w:rsidR="00513E9D" w:rsidRPr="00A17559">
              <w:rPr>
                <w:spacing w:val="-7"/>
                <w:lang w:val="en-GB"/>
              </w:rPr>
              <w:t>a</w:t>
            </w:r>
            <w:r w:rsidR="003370B1" w:rsidRPr="00A17559">
              <w:rPr>
                <w:spacing w:val="-7"/>
                <w:lang w:val="en-GB"/>
              </w:rPr>
              <w:t xml:space="preserve">nd managed to secure four fifth of the GVA growth of the whole economy on its own. </w:t>
            </w:r>
            <w:r w:rsidR="00AA58ED" w:rsidRPr="00A17559">
              <w:rPr>
                <w:spacing w:val="-7"/>
                <w:lang w:val="en-GB"/>
              </w:rPr>
              <w:t xml:space="preserve">Within the services primarily the information and communication grew </w:t>
            </w:r>
            <w:r w:rsidR="00513E9D" w:rsidRPr="00A17559">
              <w:rPr>
                <w:spacing w:val="-7"/>
                <w:lang w:val="en-GB"/>
              </w:rPr>
              <w:t>(+8</w:t>
            </w:r>
            <w:r w:rsidR="00AA58ED" w:rsidRPr="00A17559">
              <w:rPr>
                <w:spacing w:val="-7"/>
                <w:lang w:val="en-GB"/>
              </w:rPr>
              <w:t>.</w:t>
            </w:r>
            <w:r w:rsidR="00513E9D" w:rsidRPr="00A17559">
              <w:rPr>
                <w:spacing w:val="-7"/>
                <w:lang w:val="en-GB"/>
              </w:rPr>
              <w:t xml:space="preserve">7%), </w:t>
            </w:r>
            <w:r w:rsidR="009F5461">
              <w:rPr>
                <w:spacing w:val="-7"/>
                <w:lang w:val="en-GB"/>
              </w:rPr>
              <w:t>it increased its GVA</w:t>
            </w:r>
            <w:r w:rsidR="00670D0A" w:rsidRPr="00A17559">
              <w:rPr>
                <w:spacing w:val="-7"/>
                <w:lang w:val="en-GB"/>
              </w:rPr>
              <w:t xml:space="preserve"> by more than one half since the end of the last recession </w:t>
            </w:r>
            <w:r w:rsidR="00513E9D" w:rsidRPr="00A17559">
              <w:rPr>
                <w:spacing w:val="-7"/>
                <w:lang w:val="en-GB"/>
              </w:rPr>
              <w:t>(</w:t>
            </w:r>
            <w:r w:rsidR="00AA58ED" w:rsidRPr="00A17559">
              <w:rPr>
                <w:spacing w:val="-7"/>
                <w:lang w:val="en-GB"/>
              </w:rPr>
              <w:t xml:space="preserve">year </w:t>
            </w:r>
            <w:r w:rsidR="00513E9D" w:rsidRPr="00A17559">
              <w:rPr>
                <w:spacing w:val="-7"/>
                <w:lang w:val="en-GB"/>
              </w:rPr>
              <w:t>2013)</w:t>
            </w:r>
            <w:r w:rsidR="00AA58ED" w:rsidRPr="00A17559">
              <w:rPr>
                <w:spacing w:val="-7"/>
                <w:lang w:val="en-GB"/>
              </w:rPr>
              <w:t>.</w:t>
            </w:r>
            <w:r w:rsidR="00513E9D" w:rsidRPr="00A17559">
              <w:rPr>
                <w:spacing w:val="-7"/>
                <w:lang w:val="en-GB"/>
              </w:rPr>
              <w:t xml:space="preserve"> </w:t>
            </w:r>
            <w:r w:rsidR="00AB3FFA" w:rsidRPr="00A17559">
              <w:rPr>
                <w:spacing w:val="-7"/>
                <w:lang w:val="en-GB"/>
              </w:rPr>
              <w:t xml:space="preserve">Weight significant group trade, transportation, accommodation and food service </w:t>
            </w:r>
            <w:r w:rsidR="00513E9D" w:rsidRPr="00A17559">
              <w:rPr>
                <w:spacing w:val="-7"/>
                <w:lang w:val="en-GB"/>
              </w:rPr>
              <w:t>(+3</w:t>
            </w:r>
            <w:r w:rsidR="00AB3FFA" w:rsidRPr="00A17559">
              <w:rPr>
                <w:spacing w:val="-7"/>
                <w:lang w:val="en-GB"/>
              </w:rPr>
              <w:t>.</w:t>
            </w:r>
            <w:r w:rsidR="00513E9D" w:rsidRPr="00A17559">
              <w:rPr>
                <w:spacing w:val="-7"/>
                <w:lang w:val="en-GB"/>
              </w:rPr>
              <w:t>9%)</w:t>
            </w:r>
            <w:r w:rsidR="00AB3FFA" w:rsidRPr="00A17559">
              <w:rPr>
                <w:spacing w:val="-7"/>
                <w:lang w:val="en-GB"/>
              </w:rPr>
              <w:t xml:space="preserve"> also built on the strong last year</w:t>
            </w:r>
            <w:r w:rsidR="00513E9D" w:rsidRPr="00A17559">
              <w:rPr>
                <w:spacing w:val="-7"/>
                <w:lang w:val="en-GB"/>
              </w:rPr>
              <w:t xml:space="preserve">, </w:t>
            </w:r>
            <w:r w:rsidR="00AB3FFA" w:rsidRPr="00A17559">
              <w:rPr>
                <w:spacing w:val="-7"/>
                <w:lang w:val="en-GB"/>
              </w:rPr>
              <w:t>profiting from the growing purchasing power of households, expansion of the foreign trade w</w:t>
            </w:r>
            <w:r w:rsidR="001B352E">
              <w:rPr>
                <w:spacing w:val="-7"/>
                <w:lang w:val="en-GB"/>
              </w:rPr>
              <w:t xml:space="preserve">ith goods as well as the </w:t>
            </w:r>
            <w:r w:rsidR="00AB3FFA" w:rsidRPr="00A17559">
              <w:rPr>
                <w:spacing w:val="-7"/>
                <w:lang w:val="en-GB"/>
              </w:rPr>
              <w:t>tourism</w:t>
            </w:r>
            <w:r w:rsidR="00513E9D" w:rsidRPr="00A17559">
              <w:rPr>
                <w:spacing w:val="-7"/>
                <w:lang w:val="en-GB"/>
              </w:rPr>
              <w:t xml:space="preserve">. </w:t>
            </w:r>
            <w:r w:rsidR="00AB3FFA" w:rsidRPr="00A17559">
              <w:rPr>
                <w:spacing w:val="-7"/>
                <w:lang w:val="en-GB"/>
              </w:rPr>
              <w:t xml:space="preserve">All other branches of services also fared well, especially the professional, scientific and technical and administrative activities </w:t>
            </w:r>
            <w:r w:rsidR="00513E9D" w:rsidRPr="00A17559">
              <w:rPr>
                <w:spacing w:val="-7"/>
                <w:lang w:val="en-GB"/>
              </w:rPr>
              <w:t>(+4</w:t>
            </w:r>
            <w:r w:rsidR="00AB3FFA" w:rsidRPr="00A17559">
              <w:rPr>
                <w:spacing w:val="-7"/>
                <w:lang w:val="en-GB"/>
              </w:rPr>
              <w:t>.</w:t>
            </w:r>
            <w:r w:rsidR="00513E9D" w:rsidRPr="00A17559">
              <w:rPr>
                <w:spacing w:val="-7"/>
                <w:lang w:val="en-GB"/>
              </w:rPr>
              <w:t>4%</w:t>
            </w:r>
            <w:r w:rsidR="003E2840" w:rsidRPr="00A17559">
              <w:rPr>
                <w:spacing w:val="-7"/>
                <w:lang w:val="en-GB"/>
              </w:rPr>
              <w:t>,</w:t>
            </w:r>
            <w:r w:rsidR="00AB3FFA" w:rsidRPr="00A17559">
              <w:rPr>
                <w:spacing w:val="-7"/>
                <w:lang w:val="en-GB"/>
              </w:rPr>
              <w:t xml:space="preserve"> the strongest half-yearly pace since the first half of year </w:t>
            </w:r>
            <w:r w:rsidR="00513E9D" w:rsidRPr="00A17559">
              <w:rPr>
                <w:spacing w:val="-7"/>
                <w:lang w:val="en-GB"/>
              </w:rPr>
              <w:t xml:space="preserve">2016). </w:t>
            </w:r>
            <w:r w:rsidR="00CE164F" w:rsidRPr="00A17559">
              <w:rPr>
                <w:spacing w:val="-7"/>
                <w:lang w:val="en-GB"/>
              </w:rPr>
              <w:t xml:space="preserve">Within services the group public administration and defence, education, health and social work featured the slowest growth of GVA </w:t>
            </w:r>
            <w:r w:rsidR="00513E9D" w:rsidRPr="00A17559">
              <w:rPr>
                <w:spacing w:val="-7"/>
                <w:lang w:val="en-GB"/>
              </w:rPr>
              <w:t>(</w:t>
            </w:r>
            <w:r w:rsidR="00CE164F" w:rsidRPr="00A17559">
              <w:rPr>
                <w:spacing w:val="-7"/>
                <w:lang w:val="en-GB"/>
              </w:rPr>
              <w:t xml:space="preserve">by </w:t>
            </w:r>
            <w:r w:rsidR="00513E9D" w:rsidRPr="00A17559">
              <w:rPr>
                <w:spacing w:val="-7"/>
                <w:lang w:val="en-GB"/>
              </w:rPr>
              <w:t>1</w:t>
            </w:r>
            <w:r w:rsidR="00CE164F" w:rsidRPr="00A17559">
              <w:rPr>
                <w:spacing w:val="-7"/>
                <w:lang w:val="en-GB"/>
              </w:rPr>
              <w:t>.</w:t>
            </w:r>
            <w:r w:rsidR="00513E9D" w:rsidRPr="00A17559">
              <w:rPr>
                <w:spacing w:val="-7"/>
                <w:lang w:val="en-GB"/>
              </w:rPr>
              <w:t xml:space="preserve">7%), </w:t>
            </w:r>
            <w:r w:rsidR="00AA58ED" w:rsidRPr="00A17559">
              <w:rPr>
                <w:spacing w:val="-7"/>
                <w:lang w:val="en-GB"/>
              </w:rPr>
              <w:t xml:space="preserve">its dynamics however did not </w:t>
            </w:r>
            <w:r w:rsidR="00CE164F" w:rsidRPr="00A17559">
              <w:rPr>
                <w:spacing w:val="-7"/>
                <w:lang w:val="en-GB"/>
              </w:rPr>
              <w:t xml:space="preserve">defy </w:t>
            </w:r>
            <w:r w:rsidR="00AA58ED" w:rsidRPr="00A17559">
              <w:rPr>
                <w:spacing w:val="-7"/>
                <w:lang w:val="en-GB"/>
              </w:rPr>
              <w:t xml:space="preserve">the trends of the three preceding years. </w:t>
            </w:r>
          </w:p>
        </w:tc>
      </w:tr>
      <w:tr w:rsidR="00340FD2" w:rsidRPr="00A17559" w:rsidTr="00422629">
        <w:trPr>
          <w:trHeight w:val="145"/>
        </w:trPr>
        <w:tc>
          <w:tcPr>
            <w:tcW w:w="1669" w:type="dxa"/>
            <w:shd w:val="clear" w:color="auto" w:fill="auto"/>
            <w:tcMar>
              <w:left w:w="0" w:type="dxa"/>
            </w:tcMar>
          </w:tcPr>
          <w:p w:rsidR="00513E9D" w:rsidRPr="00A17559" w:rsidRDefault="004260C4" w:rsidP="004260C4">
            <w:pPr>
              <w:pStyle w:val="Marginlie"/>
              <w:rPr>
                <w:lang w:val="en-GB"/>
              </w:rPr>
            </w:pPr>
            <w:r w:rsidRPr="00A17559">
              <w:rPr>
                <w:lang w:val="en-GB"/>
              </w:rPr>
              <w:t xml:space="preserve">GVA growth in manufacturing diminished to </w:t>
            </w:r>
            <w:r w:rsidR="00513E9D" w:rsidRPr="00A17559">
              <w:rPr>
                <w:lang w:val="en-GB"/>
              </w:rPr>
              <w:t>1%.</w:t>
            </w:r>
            <w:r w:rsidRPr="00A17559">
              <w:rPr>
                <w:lang w:val="en-GB"/>
              </w:rPr>
              <w:t xml:space="preserve"> Together with H</w:t>
            </w:r>
            <w:r w:rsidR="00513E9D" w:rsidRPr="00A17559">
              <w:rPr>
                <w:lang w:val="en-GB"/>
              </w:rPr>
              <w:t>2</w:t>
            </w:r>
            <w:r w:rsidRPr="00A17559">
              <w:rPr>
                <w:lang w:val="en-GB"/>
              </w:rPr>
              <w:t xml:space="preserve"> 2</w:t>
            </w:r>
            <w:r w:rsidR="00513E9D" w:rsidRPr="00A17559">
              <w:rPr>
                <w:lang w:val="en-GB"/>
              </w:rPr>
              <w:t>018</w:t>
            </w:r>
            <w:r w:rsidRPr="00A17559">
              <w:rPr>
                <w:lang w:val="en-GB"/>
              </w:rPr>
              <w:t xml:space="preserve">, it recorded the weakest rate of growth since the end of the last recession. </w:t>
            </w:r>
          </w:p>
        </w:tc>
        <w:tc>
          <w:tcPr>
            <w:tcW w:w="180" w:type="dxa"/>
            <w:shd w:val="clear" w:color="auto" w:fill="auto"/>
            <w:tcMar>
              <w:left w:w="0" w:type="dxa"/>
            </w:tcMar>
          </w:tcPr>
          <w:p w:rsidR="00513E9D" w:rsidRPr="00A17559" w:rsidRDefault="00513E9D" w:rsidP="00513E9D">
            <w:pPr>
              <w:pStyle w:val="Textpoznpodarou"/>
              <w:jc w:val="both"/>
              <w:rPr>
                <w:spacing w:val="-4"/>
                <w:lang w:val="en-GB"/>
              </w:rPr>
            </w:pPr>
          </w:p>
        </w:tc>
        <w:tc>
          <w:tcPr>
            <w:tcW w:w="7790" w:type="dxa"/>
            <w:shd w:val="clear" w:color="auto" w:fill="auto"/>
            <w:tcMar>
              <w:left w:w="0" w:type="dxa"/>
            </w:tcMar>
          </w:tcPr>
          <w:p w:rsidR="00513E9D" w:rsidRPr="00A17559" w:rsidRDefault="005076CC" w:rsidP="003E2840">
            <w:pPr>
              <w:spacing w:after="200"/>
              <w:rPr>
                <w:spacing w:val="-7"/>
                <w:lang w:val="en-GB"/>
              </w:rPr>
            </w:pPr>
            <w:r w:rsidRPr="00A17559">
              <w:rPr>
                <w:spacing w:val="-7"/>
                <w:lang w:val="en-GB"/>
              </w:rPr>
              <w:t>Connected to the development in Germany as well as the whole euro area</w:t>
            </w:r>
            <w:r w:rsidR="00513E9D" w:rsidRPr="00A17559">
              <w:rPr>
                <w:rStyle w:val="Znakapoznpodarou"/>
                <w:spacing w:val="-7"/>
                <w:lang w:val="en-GB"/>
              </w:rPr>
              <w:footnoteReference w:id="13"/>
            </w:r>
            <w:r w:rsidRPr="00A17559">
              <w:rPr>
                <w:spacing w:val="-7"/>
                <w:lang w:val="en-GB"/>
              </w:rPr>
              <w:t xml:space="preserve">, the slowdown of performance of the domestic manufacturing continued. </w:t>
            </w:r>
            <w:r w:rsidR="004260C4" w:rsidRPr="00A17559">
              <w:rPr>
                <w:spacing w:val="-7"/>
                <w:lang w:val="en-GB"/>
              </w:rPr>
              <w:t xml:space="preserve">GVA fell here by </w:t>
            </w:r>
            <w:r w:rsidR="00513E9D" w:rsidRPr="00A17559">
              <w:rPr>
                <w:spacing w:val="-7"/>
                <w:lang w:val="en-GB"/>
              </w:rPr>
              <w:t>0</w:t>
            </w:r>
            <w:r w:rsidR="004260C4" w:rsidRPr="00A17559">
              <w:rPr>
                <w:spacing w:val="-7"/>
                <w:lang w:val="en-GB"/>
              </w:rPr>
              <w:t>.</w:t>
            </w:r>
            <w:r w:rsidR="00513E9D" w:rsidRPr="00A17559">
              <w:rPr>
                <w:spacing w:val="-7"/>
                <w:lang w:val="en-GB"/>
              </w:rPr>
              <w:t>1%</w:t>
            </w:r>
            <w:r w:rsidR="004260C4" w:rsidRPr="00A17559">
              <w:rPr>
                <w:spacing w:val="-7"/>
                <w:lang w:val="en-GB"/>
              </w:rPr>
              <w:t xml:space="preserve"> in H2 2018 and was thus assigned the weakest year-on-year performance since the end of the last recession. </w:t>
            </w:r>
            <w:r w:rsidR="001A2AD0" w:rsidRPr="00A17559">
              <w:rPr>
                <w:spacing w:val="-7"/>
                <w:lang w:val="en-GB"/>
              </w:rPr>
              <w:t xml:space="preserve">It achieved only 1% growth in the subsequent half-year </w:t>
            </w:r>
            <w:r w:rsidR="00513E9D" w:rsidRPr="00A17559">
              <w:rPr>
                <w:spacing w:val="-7"/>
                <w:lang w:val="en-GB"/>
              </w:rPr>
              <w:t>a</w:t>
            </w:r>
            <w:r w:rsidR="004260C4" w:rsidRPr="00A17559">
              <w:rPr>
                <w:spacing w:val="-7"/>
                <w:lang w:val="en-GB"/>
              </w:rPr>
              <w:t xml:space="preserve">nd quarter-on-quarter it on average only stagnated. </w:t>
            </w:r>
            <w:r w:rsidR="001A2AD0" w:rsidRPr="00A17559">
              <w:rPr>
                <w:spacing w:val="-7"/>
                <w:lang w:val="en-GB"/>
              </w:rPr>
              <w:t xml:space="preserve">Non-manufacturing industrial activities fared slightly better this year, specifically thanks to the development in energetics. </w:t>
            </w:r>
            <w:r w:rsidR="004260C4" w:rsidRPr="00A17559">
              <w:rPr>
                <w:spacing w:val="-7"/>
                <w:lang w:val="en-GB"/>
              </w:rPr>
              <w:t xml:space="preserve">Growth in construction continued in H1 following the last year´s turnaround </w:t>
            </w:r>
            <w:r w:rsidR="00513E9D" w:rsidRPr="00A17559">
              <w:rPr>
                <w:spacing w:val="-7"/>
                <w:lang w:val="en-GB"/>
              </w:rPr>
              <w:t>(+3</w:t>
            </w:r>
            <w:r w:rsidR="004260C4" w:rsidRPr="00A17559">
              <w:rPr>
                <w:spacing w:val="-7"/>
                <w:lang w:val="en-GB"/>
              </w:rPr>
              <w:t>.</w:t>
            </w:r>
            <w:r w:rsidR="00513E9D" w:rsidRPr="00A17559">
              <w:rPr>
                <w:spacing w:val="-7"/>
                <w:lang w:val="en-GB"/>
              </w:rPr>
              <w:t xml:space="preserve">1%), </w:t>
            </w:r>
            <w:r w:rsidR="004260C4" w:rsidRPr="00A17559">
              <w:rPr>
                <w:spacing w:val="-7"/>
                <w:lang w:val="en-GB"/>
              </w:rPr>
              <w:t xml:space="preserve">the branch performance </w:t>
            </w:r>
            <w:r w:rsidR="001A2AD0" w:rsidRPr="00A17559">
              <w:rPr>
                <w:spacing w:val="-7"/>
                <w:lang w:val="en-GB"/>
              </w:rPr>
              <w:t>however</w:t>
            </w:r>
            <w:r w:rsidR="004260C4" w:rsidRPr="00A17559">
              <w:rPr>
                <w:spacing w:val="-7"/>
                <w:lang w:val="en-GB"/>
              </w:rPr>
              <w:t xml:space="preserve"> still mildly lagged behind the level from the business cycle peak in the last decade </w:t>
            </w:r>
            <w:r w:rsidR="00513E9D" w:rsidRPr="00A17559">
              <w:rPr>
                <w:spacing w:val="-7"/>
                <w:lang w:val="en-GB"/>
              </w:rPr>
              <w:t>(</w:t>
            </w:r>
            <w:r w:rsidR="004260C4" w:rsidRPr="00A17559">
              <w:rPr>
                <w:spacing w:val="-7"/>
                <w:lang w:val="en-GB"/>
              </w:rPr>
              <w:t>by</w:t>
            </w:r>
            <w:r w:rsidR="00513E9D" w:rsidRPr="00A17559">
              <w:rPr>
                <w:spacing w:val="-7"/>
                <w:lang w:val="en-GB"/>
              </w:rPr>
              <w:t xml:space="preserve"> 2%). </w:t>
            </w:r>
            <w:r w:rsidR="00DC2390" w:rsidRPr="00A17559">
              <w:rPr>
                <w:spacing w:val="-7"/>
                <w:lang w:val="en-GB"/>
              </w:rPr>
              <w:t>GVA grew by moderate 0.6% in the primary sector in H</w:t>
            </w:r>
            <w:r w:rsidR="00513E9D" w:rsidRPr="00A17559">
              <w:rPr>
                <w:spacing w:val="-7"/>
                <w:lang w:val="en-GB"/>
              </w:rPr>
              <w:t>1.</w:t>
            </w:r>
            <w:r w:rsidR="00DC2390" w:rsidRPr="00A17559">
              <w:rPr>
                <w:spacing w:val="-7"/>
                <w:lang w:val="en-GB"/>
              </w:rPr>
              <w:t xml:space="preserve"> </w:t>
            </w:r>
            <w:r w:rsidR="00453CD8" w:rsidRPr="00A17559">
              <w:rPr>
                <w:spacing w:val="-7"/>
                <w:lang w:val="en-GB"/>
              </w:rPr>
              <w:t>Higher volume of logging of bark beetle wood</w:t>
            </w:r>
            <w:r w:rsidR="00513E9D" w:rsidRPr="00A17559">
              <w:rPr>
                <w:spacing w:val="-7"/>
                <w:lang w:val="en-GB"/>
              </w:rPr>
              <w:t xml:space="preserve">, </w:t>
            </w:r>
            <w:r w:rsidR="00453CD8" w:rsidRPr="00A17559">
              <w:rPr>
                <w:spacing w:val="-7"/>
                <w:lang w:val="en-GB"/>
              </w:rPr>
              <w:t>mild increase of the production of meat as well as milk and further also the year-on-year growth of the sowing area as well as yields of the first harvested winter cereals</w:t>
            </w:r>
            <w:r w:rsidR="00513E9D" w:rsidRPr="00A17559">
              <w:rPr>
                <w:rStyle w:val="Znakapoznpodarou"/>
                <w:spacing w:val="-7"/>
                <w:lang w:val="en-GB"/>
              </w:rPr>
              <w:footnoteReference w:id="14"/>
            </w:r>
            <w:r w:rsidR="00453CD8" w:rsidRPr="00A17559">
              <w:rPr>
                <w:color w:val="0D0D0D" w:themeColor="text1" w:themeTint="F2"/>
                <w:spacing w:val="-7"/>
                <w:lang w:val="en-GB"/>
              </w:rPr>
              <w:t xml:space="preserve"> could </w:t>
            </w:r>
            <w:r w:rsidR="003E2840" w:rsidRPr="00A17559">
              <w:rPr>
                <w:color w:val="0D0D0D" w:themeColor="text1" w:themeTint="F2"/>
                <w:spacing w:val="-7"/>
                <w:lang w:val="en-GB"/>
              </w:rPr>
              <w:t xml:space="preserve">have </w:t>
            </w:r>
            <w:r w:rsidR="00453CD8" w:rsidRPr="00A17559">
              <w:rPr>
                <w:color w:val="0D0D0D" w:themeColor="text1" w:themeTint="F2"/>
                <w:spacing w:val="-7"/>
                <w:lang w:val="en-GB"/>
              </w:rPr>
              <w:t>work</w:t>
            </w:r>
            <w:r w:rsidR="003E2840" w:rsidRPr="00A17559">
              <w:rPr>
                <w:color w:val="0D0D0D" w:themeColor="text1" w:themeTint="F2"/>
                <w:spacing w:val="-7"/>
                <w:lang w:val="en-GB"/>
              </w:rPr>
              <w:t>ed</w:t>
            </w:r>
            <w:r w:rsidR="00453CD8" w:rsidRPr="00A17559">
              <w:rPr>
                <w:color w:val="0D0D0D" w:themeColor="text1" w:themeTint="F2"/>
                <w:spacing w:val="-7"/>
                <w:lang w:val="en-GB"/>
              </w:rPr>
              <w:t xml:space="preserve"> here in the direction of real output growth</w:t>
            </w:r>
            <w:r w:rsidR="00513E9D" w:rsidRPr="00A17559">
              <w:rPr>
                <w:spacing w:val="-7"/>
                <w:lang w:val="en-GB"/>
              </w:rPr>
              <w:t>.</w:t>
            </w:r>
          </w:p>
        </w:tc>
      </w:tr>
      <w:tr w:rsidR="00340FD2" w:rsidRPr="00A17559" w:rsidTr="00422629">
        <w:trPr>
          <w:trHeight w:val="145"/>
        </w:trPr>
        <w:tc>
          <w:tcPr>
            <w:tcW w:w="1669" w:type="dxa"/>
            <w:shd w:val="clear" w:color="auto" w:fill="auto"/>
            <w:tcMar>
              <w:left w:w="0" w:type="dxa"/>
            </w:tcMar>
          </w:tcPr>
          <w:p w:rsidR="00513E9D" w:rsidRPr="00A17559" w:rsidRDefault="006121C7" w:rsidP="006121C7">
            <w:pPr>
              <w:pStyle w:val="Marginlie"/>
              <w:rPr>
                <w:lang w:val="en-GB"/>
              </w:rPr>
            </w:pPr>
            <w:r w:rsidRPr="00A17559">
              <w:rPr>
                <w:lang w:val="en-GB"/>
              </w:rPr>
              <w:lastRenderedPageBreak/>
              <w:t>Domestic industry recorded repeated quarter-on-</w:t>
            </w:r>
            <w:r w:rsidR="00BB4E54" w:rsidRPr="00A17559">
              <w:rPr>
                <w:lang w:val="en-GB"/>
              </w:rPr>
              <w:t>q</w:t>
            </w:r>
            <w:r w:rsidRPr="00A17559">
              <w:rPr>
                <w:lang w:val="en-GB"/>
              </w:rPr>
              <w:t>uarter drop of output on the turn of years 2</w:t>
            </w:r>
            <w:r w:rsidR="00513E9D" w:rsidRPr="00A17559">
              <w:rPr>
                <w:lang w:val="en-GB"/>
              </w:rPr>
              <w:t>018 a</w:t>
            </w:r>
            <w:r w:rsidRPr="00A17559">
              <w:rPr>
                <w:lang w:val="en-GB"/>
              </w:rPr>
              <w:t>nd</w:t>
            </w:r>
            <w:r w:rsidR="00513E9D" w:rsidRPr="00A17559">
              <w:rPr>
                <w:lang w:val="en-GB"/>
              </w:rPr>
              <w:t> 2019</w:t>
            </w:r>
            <w:r w:rsidRPr="00A17559">
              <w:rPr>
                <w:lang w:val="en-GB"/>
              </w:rPr>
              <w:t xml:space="preserve">. It thus with a lag reacted to the development in the euro area. </w:t>
            </w:r>
          </w:p>
        </w:tc>
        <w:tc>
          <w:tcPr>
            <w:tcW w:w="180" w:type="dxa"/>
            <w:shd w:val="clear" w:color="auto" w:fill="auto"/>
            <w:tcMar>
              <w:left w:w="0" w:type="dxa"/>
            </w:tcMar>
          </w:tcPr>
          <w:p w:rsidR="00513E9D" w:rsidRPr="00A17559" w:rsidRDefault="00513E9D" w:rsidP="00513E9D">
            <w:pPr>
              <w:pStyle w:val="Textpoznpodarou"/>
              <w:jc w:val="both"/>
              <w:rPr>
                <w:spacing w:val="-4"/>
                <w:lang w:val="en-GB"/>
              </w:rPr>
            </w:pPr>
          </w:p>
        </w:tc>
        <w:tc>
          <w:tcPr>
            <w:tcW w:w="7790" w:type="dxa"/>
            <w:shd w:val="clear" w:color="auto" w:fill="auto"/>
            <w:tcMar>
              <w:left w:w="0" w:type="dxa"/>
            </w:tcMar>
          </w:tcPr>
          <w:p w:rsidR="00513E9D" w:rsidRPr="00A17559" w:rsidRDefault="00BB4E54" w:rsidP="004C13C0">
            <w:pPr>
              <w:spacing w:after="200"/>
              <w:rPr>
                <w:spacing w:val="-7"/>
                <w:lang w:val="en-GB"/>
              </w:rPr>
            </w:pPr>
            <w:r w:rsidRPr="00A17559">
              <w:rPr>
                <w:spacing w:val="-7"/>
                <w:lang w:val="en-GB"/>
              </w:rPr>
              <w:t xml:space="preserve">Business statistics proved a more detailed view of the constituent branches. It is not surprising with respect to the marked </w:t>
            </w:r>
            <w:r w:rsidR="00281560" w:rsidRPr="00A17559">
              <w:rPr>
                <w:spacing w:val="-7"/>
                <w:lang w:val="en-GB"/>
              </w:rPr>
              <w:t xml:space="preserve">export </w:t>
            </w:r>
            <w:r w:rsidRPr="00A17559">
              <w:rPr>
                <w:spacing w:val="-7"/>
                <w:lang w:val="en-GB"/>
              </w:rPr>
              <w:t>orientation of the domestic industry</w:t>
            </w:r>
            <w:r w:rsidR="00513E9D" w:rsidRPr="00A17559">
              <w:rPr>
                <w:rStyle w:val="Znakapoznpodarou"/>
                <w:spacing w:val="-7"/>
                <w:lang w:val="en-GB"/>
              </w:rPr>
              <w:footnoteReference w:id="15"/>
            </w:r>
            <w:r w:rsidR="00513E9D" w:rsidRPr="00A17559">
              <w:rPr>
                <w:spacing w:val="-7"/>
                <w:lang w:val="en-GB"/>
              </w:rPr>
              <w:t xml:space="preserve"> </w:t>
            </w:r>
            <w:r w:rsidRPr="00A17559">
              <w:rPr>
                <w:spacing w:val="-7"/>
                <w:lang w:val="en-GB"/>
              </w:rPr>
              <w:t>as well as the strong interconnection especially with the development in Germany</w:t>
            </w:r>
            <w:r w:rsidR="00513E9D" w:rsidRPr="00A17559">
              <w:rPr>
                <w:rStyle w:val="Znakapoznpodarou"/>
                <w:spacing w:val="-7"/>
                <w:lang w:val="en-GB"/>
              </w:rPr>
              <w:footnoteReference w:id="16"/>
            </w:r>
            <w:r w:rsidRPr="00A17559">
              <w:rPr>
                <w:spacing w:val="-7"/>
                <w:lang w:val="en-GB"/>
              </w:rPr>
              <w:t>, that its growth halted towards the end of th</w:t>
            </w:r>
            <w:r w:rsidR="000274E3">
              <w:rPr>
                <w:spacing w:val="-7"/>
                <w:lang w:val="en-GB"/>
              </w:rPr>
              <w:t>e last year. Industrial production</w:t>
            </w:r>
            <w:r w:rsidRPr="00A17559">
              <w:rPr>
                <w:spacing w:val="-7"/>
                <w:lang w:val="en-GB"/>
              </w:rPr>
              <w:t xml:space="preserve"> index</w:t>
            </w:r>
            <w:r w:rsidR="00513E9D" w:rsidRPr="00A17559">
              <w:rPr>
                <w:color w:val="000000" w:themeColor="text1"/>
                <w:spacing w:val="-7"/>
                <w:vertAlign w:val="superscript"/>
                <w:lang w:val="en-GB"/>
              </w:rPr>
              <w:footnoteReference w:id="17"/>
            </w:r>
            <w:r w:rsidRPr="00A17559">
              <w:rPr>
                <w:spacing w:val="-7"/>
                <w:lang w:val="en-GB"/>
              </w:rPr>
              <w:t xml:space="preserve"> fell by </w:t>
            </w:r>
            <w:r w:rsidR="00513E9D" w:rsidRPr="00A17559">
              <w:rPr>
                <w:spacing w:val="-7"/>
                <w:lang w:val="en-GB"/>
              </w:rPr>
              <w:t>0</w:t>
            </w:r>
            <w:r w:rsidRPr="00A17559">
              <w:rPr>
                <w:spacing w:val="-7"/>
                <w:lang w:val="en-GB"/>
              </w:rPr>
              <w:t>.</w:t>
            </w:r>
            <w:r w:rsidR="00513E9D" w:rsidRPr="00A17559">
              <w:rPr>
                <w:spacing w:val="-7"/>
                <w:lang w:val="en-GB"/>
              </w:rPr>
              <w:t>1%</w:t>
            </w:r>
            <w:r w:rsidRPr="00A17559">
              <w:rPr>
                <w:spacing w:val="-7"/>
                <w:lang w:val="en-GB"/>
              </w:rPr>
              <w:t xml:space="preserve"> quarter-on-quarter in Q4</w:t>
            </w:r>
            <w:r w:rsidR="00513E9D" w:rsidRPr="00A17559">
              <w:rPr>
                <w:spacing w:val="-7"/>
                <w:lang w:val="en-GB"/>
              </w:rPr>
              <w:t xml:space="preserve"> </w:t>
            </w:r>
            <w:r w:rsidR="00157E3F">
              <w:rPr>
                <w:spacing w:val="-7"/>
                <w:lang w:val="en-GB"/>
              </w:rPr>
              <w:t xml:space="preserve">2018 </w:t>
            </w:r>
            <w:r w:rsidR="00513E9D" w:rsidRPr="00A17559">
              <w:rPr>
                <w:spacing w:val="-7"/>
                <w:lang w:val="en-GB"/>
              </w:rPr>
              <w:t>a</w:t>
            </w:r>
            <w:r w:rsidRPr="00A17559">
              <w:rPr>
                <w:spacing w:val="-7"/>
                <w:lang w:val="en-GB"/>
              </w:rPr>
              <w:t>nd</w:t>
            </w:r>
            <w:r w:rsidR="00513E9D" w:rsidRPr="00A17559">
              <w:rPr>
                <w:spacing w:val="-7"/>
                <w:lang w:val="en-GB"/>
              </w:rPr>
              <w:t> </w:t>
            </w:r>
            <w:r w:rsidR="00B403C5" w:rsidRPr="00A17559">
              <w:rPr>
                <w:spacing w:val="-7"/>
                <w:lang w:val="en-GB"/>
              </w:rPr>
              <w:t xml:space="preserve">its fall further deepened to </w:t>
            </w:r>
            <w:r w:rsidR="00513E9D" w:rsidRPr="00A17559">
              <w:rPr>
                <w:spacing w:val="-7"/>
                <w:lang w:val="en-GB"/>
              </w:rPr>
              <w:t>1</w:t>
            </w:r>
            <w:r w:rsidR="00B403C5" w:rsidRPr="00A17559">
              <w:rPr>
                <w:spacing w:val="-7"/>
                <w:lang w:val="en-GB"/>
              </w:rPr>
              <w:t>.</w:t>
            </w:r>
            <w:r w:rsidR="00513E9D" w:rsidRPr="00A17559">
              <w:rPr>
                <w:spacing w:val="-7"/>
                <w:lang w:val="en-GB"/>
              </w:rPr>
              <w:t>0%</w:t>
            </w:r>
            <w:r w:rsidR="00513E9D" w:rsidRPr="00A17559">
              <w:rPr>
                <w:rStyle w:val="Znakapoznpodarou"/>
                <w:spacing w:val="-7"/>
                <w:lang w:val="en-GB"/>
              </w:rPr>
              <w:footnoteReference w:id="18"/>
            </w:r>
            <w:r w:rsidR="00B403C5" w:rsidRPr="00A17559">
              <w:rPr>
                <w:spacing w:val="-7"/>
                <w:lang w:val="en-GB"/>
              </w:rPr>
              <w:t xml:space="preserve"> </w:t>
            </w:r>
            <w:r w:rsidR="004F47F2" w:rsidRPr="00A17559">
              <w:rPr>
                <w:spacing w:val="-7"/>
                <w:lang w:val="en-GB"/>
              </w:rPr>
              <w:t xml:space="preserve">in the </w:t>
            </w:r>
            <w:r w:rsidR="00B403C5" w:rsidRPr="00A17559">
              <w:rPr>
                <w:spacing w:val="-7"/>
                <w:lang w:val="en-GB"/>
              </w:rPr>
              <w:t>subsequent period</w:t>
            </w:r>
            <w:r w:rsidR="00513E9D" w:rsidRPr="00A17559">
              <w:rPr>
                <w:spacing w:val="-7"/>
                <w:lang w:val="en-GB"/>
              </w:rPr>
              <w:t xml:space="preserve">. </w:t>
            </w:r>
            <w:r w:rsidR="00B403C5" w:rsidRPr="00A17559">
              <w:rPr>
                <w:spacing w:val="-7"/>
                <w:lang w:val="en-GB"/>
              </w:rPr>
              <w:t xml:space="preserve">Industry thus recorded the weakest result since the end of year </w:t>
            </w:r>
            <w:r w:rsidR="00513E9D" w:rsidRPr="00A17559">
              <w:rPr>
                <w:spacing w:val="-7"/>
                <w:lang w:val="en-GB"/>
              </w:rPr>
              <w:t>2012. T</w:t>
            </w:r>
            <w:r w:rsidR="00B403C5" w:rsidRPr="00A17559">
              <w:rPr>
                <w:spacing w:val="-7"/>
                <w:lang w:val="en-GB"/>
              </w:rPr>
              <w:t xml:space="preserve">his development was gradually </w:t>
            </w:r>
            <w:r w:rsidR="009F6257" w:rsidRPr="00A17559">
              <w:rPr>
                <w:spacing w:val="-7"/>
                <w:lang w:val="en-GB"/>
              </w:rPr>
              <w:t xml:space="preserve">imprinted into the year-on-year dynamics </w:t>
            </w:r>
            <w:r w:rsidR="00513E9D" w:rsidRPr="00A17559">
              <w:rPr>
                <w:spacing w:val="-7"/>
                <w:lang w:val="en-GB"/>
              </w:rPr>
              <w:t xml:space="preserve">– </w:t>
            </w:r>
            <w:r w:rsidR="009F6257" w:rsidRPr="00A17559">
              <w:rPr>
                <w:spacing w:val="-7"/>
                <w:lang w:val="en-GB"/>
              </w:rPr>
              <w:t xml:space="preserve">output grew </w:t>
            </w:r>
            <w:r w:rsidR="00B5365B">
              <w:rPr>
                <w:spacing w:val="-7"/>
                <w:lang w:val="en-GB"/>
              </w:rPr>
              <w:t xml:space="preserve">only </w:t>
            </w:r>
            <w:r w:rsidR="009F6257" w:rsidRPr="00A17559">
              <w:rPr>
                <w:spacing w:val="-7"/>
                <w:lang w:val="en-GB"/>
              </w:rPr>
              <w:t>by 0.3% in Q</w:t>
            </w:r>
            <w:r w:rsidR="00513E9D" w:rsidRPr="00A17559">
              <w:rPr>
                <w:spacing w:val="-7"/>
                <w:lang w:val="en-GB"/>
              </w:rPr>
              <w:t>1</w:t>
            </w:r>
            <w:r w:rsidR="009F6257" w:rsidRPr="00A17559">
              <w:rPr>
                <w:spacing w:val="-7"/>
                <w:lang w:val="en-GB"/>
              </w:rPr>
              <w:t xml:space="preserve"> </w:t>
            </w:r>
            <w:r w:rsidR="00513E9D" w:rsidRPr="00A17559">
              <w:rPr>
                <w:spacing w:val="-7"/>
                <w:lang w:val="en-GB"/>
              </w:rPr>
              <w:t>2019</w:t>
            </w:r>
            <w:r w:rsidR="009F6257" w:rsidRPr="00A17559">
              <w:rPr>
                <w:spacing w:val="-7"/>
                <w:lang w:val="en-GB"/>
              </w:rPr>
              <w:t>, by 1.0% in Q</w:t>
            </w:r>
            <w:r w:rsidR="00513E9D" w:rsidRPr="00A17559">
              <w:rPr>
                <w:spacing w:val="-7"/>
                <w:lang w:val="en-GB"/>
              </w:rPr>
              <w:t>2.</w:t>
            </w:r>
            <w:r w:rsidR="009F6257" w:rsidRPr="00A17559">
              <w:rPr>
                <w:spacing w:val="-7"/>
                <w:lang w:val="en-GB"/>
              </w:rPr>
              <w:t xml:space="preserve"> S</w:t>
            </w:r>
            <w:r w:rsidR="004C13C0" w:rsidRPr="00A17559">
              <w:rPr>
                <w:spacing w:val="-7"/>
                <w:lang w:val="en-GB"/>
              </w:rPr>
              <w:t xml:space="preserve">ome domestic factors also did not ease the situation for the industrial businesses in the CR </w:t>
            </w:r>
            <w:r w:rsidR="00513E9D" w:rsidRPr="00A17559">
              <w:rPr>
                <w:color w:val="000000" w:themeColor="text1"/>
                <w:spacing w:val="-7"/>
                <w:lang w:val="en-GB"/>
              </w:rPr>
              <w:t>(</w:t>
            </w:r>
            <w:r w:rsidR="004C13C0" w:rsidRPr="00A17559">
              <w:rPr>
                <w:color w:val="000000" w:themeColor="text1"/>
                <w:spacing w:val="-7"/>
                <w:lang w:val="en-GB"/>
              </w:rPr>
              <w:t>lack of qualified workers and associated higher wage costs, rising prices of energies</w:t>
            </w:r>
            <w:r w:rsidR="00513E9D" w:rsidRPr="00A17559">
              <w:rPr>
                <w:color w:val="0D0D0D" w:themeColor="text1" w:themeTint="F2"/>
                <w:spacing w:val="-7"/>
                <w:lang w:val="en-GB"/>
              </w:rPr>
              <w:t>).</w:t>
            </w:r>
          </w:p>
        </w:tc>
      </w:tr>
      <w:tr w:rsidR="00340FD2" w:rsidRPr="00A17559" w:rsidTr="00422629">
        <w:trPr>
          <w:trHeight w:val="170"/>
        </w:trPr>
        <w:tc>
          <w:tcPr>
            <w:tcW w:w="1669" w:type="dxa"/>
            <w:vMerge w:val="restart"/>
            <w:shd w:val="clear" w:color="auto" w:fill="auto"/>
            <w:tcMar>
              <w:left w:w="0" w:type="dxa"/>
            </w:tcMar>
          </w:tcPr>
          <w:p w:rsidR="00513E9D" w:rsidRPr="00A17559" w:rsidRDefault="00513E9D" w:rsidP="00513E9D">
            <w:pPr>
              <w:pStyle w:val="Marginlie"/>
              <w:rPr>
                <w:lang w:val="en-GB"/>
              </w:rPr>
            </w:pPr>
          </w:p>
        </w:tc>
        <w:tc>
          <w:tcPr>
            <w:tcW w:w="180" w:type="dxa"/>
            <w:vMerge w:val="restart"/>
            <w:shd w:val="clear" w:color="auto" w:fill="auto"/>
            <w:tcMar>
              <w:left w:w="0" w:type="dxa"/>
            </w:tcMar>
          </w:tcPr>
          <w:p w:rsidR="00513E9D" w:rsidRPr="00A17559" w:rsidRDefault="00513E9D" w:rsidP="00513E9D">
            <w:pPr>
              <w:pStyle w:val="Textpoznpodarou"/>
              <w:jc w:val="both"/>
              <w:rPr>
                <w:spacing w:val="-4"/>
                <w:lang w:val="en-GB"/>
              </w:rPr>
            </w:pPr>
          </w:p>
        </w:tc>
        <w:tc>
          <w:tcPr>
            <w:tcW w:w="7790" w:type="dxa"/>
            <w:shd w:val="clear" w:color="auto" w:fill="auto"/>
            <w:tcMar>
              <w:left w:w="0" w:type="dxa"/>
            </w:tcMar>
          </w:tcPr>
          <w:p w:rsidR="00513E9D" w:rsidRPr="00E91301" w:rsidRDefault="00C042D4" w:rsidP="00C042D4">
            <w:pPr>
              <w:spacing w:after="0"/>
              <w:rPr>
                <w:b/>
                <w:spacing w:val="-2"/>
                <w:szCs w:val="20"/>
                <w:lang w:val="en-GB"/>
              </w:rPr>
            </w:pPr>
            <w:r w:rsidRPr="00E91301">
              <w:rPr>
                <w:rFonts w:cs="Arial"/>
                <w:b/>
                <w:bCs/>
                <w:color w:val="000000"/>
                <w:spacing w:val="-2"/>
                <w:szCs w:val="20"/>
                <w:lang w:val="en-GB"/>
              </w:rPr>
              <w:t>Chart</w:t>
            </w:r>
            <w:r w:rsidR="00513E9D" w:rsidRPr="00E91301">
              <w:rPr>
                <w:rFonts w:cs="Arial"/>
                <w:b/>
                <w:bCs/>
                <w:color w:val="000000"/>
                <w:spacing w:val="-2"/>
                <w:szCs w:val="20"/>
                <w:lang w:val="en-GB"/>
              </w:rPr>
              <w:t xml:space="preserve"> 5  </w:t>
            </w:r>
            <w:r w:rsidR="00EF0626" w:rsidRPr="00E91301">
              <w:rPr>
                <w:rFonts w:cs="Arial"/>
                <w:b/>
                <w:bCs/>
                <w:color w:val="000000"/>
                <w:spacing w:val="-2"/>
                <w:szCs w:val="20"/>
                <w:lang w:val="en-GB"/>
              </w:rPr>
              <w:t xml:space="preserve">Contributions of sub-branches to the year-on-year change of the industrial production </w:t>
            </w:r>
            <w:r w:rsidR="00EF0626" w:rsidRPr="00E91301">
              <w:rPr>
                <w:spacing w:val="-2"/>
                <w:szCs w:val="20"/>
                <w:lang w:val="en-GB"/>
              </w:rPr>
              <w:t>(in percentage points, adjusted for calendar effects)</w:t>
            </w:r>
          </w:p>
        </w:tc>
      </w:tr>
      <w:tr w:rsidR="00340FD2" w:rsidRPr="00A17559" w:rsidTr="00095AFE">
        <w:tblPrEx>
          <w:tblCellMar>
            <w:left w:w="70" w:type="dxa"/>
            <w:right w:w="70" w:type="dxa"/>
          </w:tblCellMar>
        </w:tblPrEx>
        <w:trPr>
          <w:trHeight w:val="170"/>
        </w:trPr>
        <w:tc>
          <w:tcPr>
            <w:tcW w:w="1669" w:type="dxa"/>
            <w:vMerge/>
            <w:shd w:val="clear" w:color="auto" w:fill="auto"/>
          </w:tcPr>
          <w:p w:rsidR="00513E9D" w:rsidRPr="00A17559" w:rsidRDefault="00513E9D" w:rsidP="00513E9D">
            <w:pPr>
              <w:pStyle w:val="Marginlie"/>
              <w:rPr>
                <w:lang w:val="en-GB"/>
              </w:rPr>
            </w:pPr>
          </w:p>
        </w:tc>
        <w:tc>
          <w:tcPr>
            <w:tcW w:w="180" w:type="dxa"/>
            <w:vMerge/>
            <w:shd w:val="clear" w:color="auto" w:fill="auto"/>
          </w:tcPr>
          <w:p w:rsidR="00513E9D" w:rsidRPr="00A17559" w:rsidRDefault="00513E9D" w:rsidP="00513E9D">
            <w:pPr>
              <w:pStyle w:val="Textpoznpodarou"/>
              <w:jc w:val="both"/>
              <w:rPr>
                <w:spacing w:val="-4"/>
                <w:lang w:val="en-GB"/>
              </w:rPr>
            </w:pPr>
          </w:p>
        </w:tc>
        <w:tc>
          <w:tcPr>
            <w:tcW w:w="7790" w:type="dxa"/>
            <w:shd w:val="clear" w:color="auto" w:fill="auto"/>
          </w:tcPr>
          <w:p w:rsidR="00513E9D" w:rsidRPr="00A17559" w:rsidRDefault="00095AFE" w:rsidP="00513E9D">
            <w:pPr>
              <w:spacing w:after="0"/>
              <w:rPr>
                <w:color w:val="000000" w:themeColor="text1"/>
                <w:spacing w:val="-7"/>
                <w:lang w:val="en-GB"/>
              </w:rPr>
            </w:pPr>
            <w:r>
              <w:rPr>
                <w:noProof/>
              </w:rPr>
              <w:drawing>
                <wp:inline distT="0" distB="0" distL="0" distR="0" wp14:anchorId="57334181" wp14:editId="0D6B4196">
                  <wp:extent cx="4781550" cy="3473355"/>
                  <wp:effectExtent l="0" t="0" r="0" b="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340FD2" w:rsidRPr="00A17559" w:rsidTr="00422629">
        <w:trPr>
          <w:trHeight w:val="170"/>
        </w:trPr>
        <w:tc>
          <w:tcPr>
            <w:tcW w:w="1669" w:type="dxa"/>
            <w:vMerge/>
            <w:shd w:val="clear" w:color="auto" w:fill="auto"/>
            <w:tcMar>
              <w:left w:w="0" w:type="dxa"/>
            </w:tcMar>
          </w:tcPr>
          <w:p w:rsidR="00513E9D" w:rsidRPr="00A17559" w:rsidRDefault="00513E9D" w:rsidP="00513E9D">
            <w:pPr>
              <w:pStyle w:val="Marginlie"/>
              <w:rPr>
                <w:lang w:val="en-GB"/>
              </w:rPr>
            </w:pPr>
          </w:p>
        </w:tc>
        <w:tc>
          <w:tcPr>
            <w:tcW w:w="180" w:type="dxa"/>
            <w:vMerge/>
            <w:shd w:val="clear" w:color="auto" w:fill="auto"/>
            <w:tcMar>
              <w:left w:w="0" w:type="dxa"/>
            </w:tcMar>
          </w:tcPr>
          <w:p w:rsidR="00513E9D" w:rsidRPr="00A17559" w:rsidRDefault="00513E9D" w:rsidP="00513E9D">
            <w:pPr>
              <w:pStyle w:val="Textpoznpodarou"/>
              <w:jc w:val="both"/>
              <w:rPr>
                <w:spacing w:val="-4"/>
                <w:lang w:val="en-GB"/>
              </w:rPr>
            </w:pPr>
          </w:p>
        </w:tc>
        <w:tc>
          <w:tcPr>
            <w:tcW w:w="7790" w:type="dxa"/>
            <w:shd w:val="clear" w:color="auto" w:fill="auto"/>
            <w:tcMar>
              <w:left w:w="0" w:type="dxa"/>
            </w:tcMar>
          </w:tcPr>
          <w:p w:rsidR="004C13C0" w:rsidRPr="00A0495F" w:rsidRDefault="00C042D4" w:rsidP="00A0495F">
            <w:pPr>
              <w:spacing w:after="200"/>
              <w:rPr>
                <w:rFonts w:cs="Arial"/>
                <w:spacing w:val="-7"/>
                <w:sz w:val="14"/>
                <w:szCs w:val="14"/>
                <w:lang w:val="en-GB"/>
              </w:rPr>
            </w:pPr>
            <w:r w:rsidRPr="00A17559">
              <w:rPr>
                <w:rFonts w:cs="Arial"/>
                <w:spacing w:val="-7"/>
                <w:sz w:val="14"/>
                <w:szCs w:val="14"/>
                <w:lang w:val="en-GB"/>
              </w:rPr>
              <w:t>Source</w:t>
            </w:r>
            <w:r w:rsidR="00513E9D" w:rsidRPr="00A17559">
              <w:rPr>
                <w:rFonts w:cs="Arial"/>
                <w:spacing w:val="-7"/>
                <w:sz w:val="14"/>
                <w:szCs w:val="14"/>
                <w:lang w:val="en-GB"/>
              </w:rPr>
              <w:t xml:space="preserve">: </w:t>
            </w:r>
            <w:r w:rsidRPr="00A17559">
              <w:rPr>
                <w:rFonts w:cs="Arial"/>
                <w:spacing w:val="-7"/>
                <w:sz w:val="14"/>
                <w:szCs w:val="14"/>
                <w:lang w:val="en-GB"/>
              </w:rPr>
              <w:t>CZSO</w:t>
            </w:r>
          </w:p>
        </w:tc>
      </w:tr>
      <w:tr w:rsidR="00340FD2" w:rsidRPr="00A17559" w:rsidTr="00422629">
        <w:trPr>
          <w:trHeight w:val="145"/>
        </w:trPr>
        <w:tc>
          <w:tcPr>
            <w:tcW w:w="1669" w:type="dxa"/>
            <w:shd w:val="clear" w:color="auto" w:fill="auto"/>
            <w:tcMar>
              <w:left w:w="0" w:type="dxa"/>
            </w:tcMar>
          </w:tcPr>
          <w:p w:rsidR="00513E9D" w:rsidRPr="00A17559" w:rsidRDefault="00340FD2" w:rsidP="00513E9D">
            <w:pPr>
              <w:pStyle w:val="Marginlie"/>
              <w:rPr>
                <w:lang w:val="en-GB"/>
              </w:rPr>
            </w:pPr>
            <w:r w:rsidRPr="00A17559">
              <w:rPr>
                <w:lang w:val="en-GB"/>
              </w:rPr>
              <w:t xml:space="preserve">Manufacture of electrical equipment and also energetics contributed the most to the growth of the total industrial production. </w:t>
            </w:r>
          </w:p>
          <w:p w:rsidR="00513E9D" w:rsidRPr="00A17559" w:rsidRDefault="00513E9D" w:rsidP="00513E9D">
            <w:pPr>
              <w:pStyle w:val="Marginlie"/>
              <w:rPr>
                <w:lang w:val="en-GB"/>
              </w:rPr>
            </w:pPr>
          </w:p>
          <w:p w:rsidR="00513E9D" w:rsidRPr="00A17559" w:rsidRDefault="00513E9D" w:rsidP="00513E9D">
            <w:pPr>
              <w:pStyle w:val="Marginlie"/>
              <w:rPr>
                <w:lang w:val="en-GB"/>
              </w:rPr>
            </w:pPr>
          </w:p>
          <w:p w:rsidR="00513E9D" w:rsidRPr="00A17559" w:rsidRDefault="00340FD2" w:rsidP="00513E9D">
            <w:pPr>
              <w:pStyle w:val="Marginlie"/>
              <w:rPr>
                <w:lang w:val="en-GB"/>
              </w:rPr>
            </w:pPr>
            <w:r w:rsidRPr="00A17559">
              <w:rPr>
                <w:lang w:val="en-GB"/>
              </w:rPr>
              <w:t xml:space="preserve">Long-term expansion of manufacture of computers, electronic </w:t>
            </w:r>
            <w:r w:rsidR="00C058F5">
              <w:rPr>
                <w:lang w:val="en-GB"/>
              </w:rPr>
              <w:lastRenderedPageBreak/>
              <w:t>and optical products continued.</w:t>
            </w:r>
          </w:p>
          <w:p w:rsidR="00513E9D" w:rsidRPr="00A17559" w:rsidRDefault="00513E9D" w:rsidP="00513E9D">
            <w:pPr>
              <w:pStyle w:val="Marginlie"/>
              <w:rPr>
                <w:lang w:val="en-GB"/>
              </w:rPr>
            </w:pPr>
          </w:p>
          <w:p w:rsidR="00F37A39" w:rsidRPr="00A17559" w:rsidRDefault="00F37A39" w:rsidP="00513E9D">
            <w:pPr>
              <w:pStyle w:val="Marginlie"/>
              <w:rPr>
                <w:lang w:val="en-GB"/>
              </w:rPr>
            </w:pPr>
          </w:p>
          <w:p w:rsidR="00513E9D" w:rsidRPr="00A17559" w:rsidRDefault="00B05F62" w:rsidP="00513E9D">
            <w:pPr>
              <w:pStyle w:val="Marginlie"/>
              <w:rPr>
                <w:lang w:val="en-GB"/>
              </w:rPr>
            </w:pPr>
            <w:r w:rsidRPr="00A17559">
              <w:rPr>
                <w:lang w:val="en-GB"/>
              </w:rPr>
              <w:t>Motor vehicle manufacturers recorded the weakest growth since H</w:t>
            </w:r>
            <w:r w:rsidR="00513E9D" w:rsidRPr="00A17559">
              <w:rPr>
                <w:lang w:val="en-GB"/>
              </w:rPr>
              <w:t>1</w:t>
            </w:r>
            <w:r w:rsidRPr="00A17559">
              <w:rPr>
                <w:lang w:val="en-GB"/>
              </w:rPr>
              <w:t xml:space="preserve"> </w:t>
            </w:r>
            <w:r w:rsidR="00513E9D" w:rsidRPr="00A17559">
              <w:rPr>
                <w:lang w:val="en-GB"/>
              </w:rPr>
              <w:t>2013.</w:t>
            </w:r>
          </w:p>
          <w:p w:rsidR="00513E9D" w:rsidRDefault="00513E9D" w:rsidP="00513E9D">
            <w:pPr>
              <w:pStyle w:val="Marginlie"/>
              <w:rPr>
                <w:lang w:val="en-GB"/>
              </w:rPr>
            </w:pPr>
          </w:p>
          <w:p w:rsidR="00F37A39" w:rsidRDefault="00F37A39" w:rsidP="00513E9D">
            <w:pPr>
              <w:pStyle w:val="Marginlie"/>
              <w:rPr>
                <w:lang w:val="en-GB"/>
              </w:rPr>
            </w:pPr>
          </w:p>
          <w:p w:rsidR="00C058F5" w:rsidRDefault="00C058F5" w:rsidP="00513E9D">
            <w:pPr>
              <w:pStyle w:val="Marginlie"/>
              <w:rPr>
                <w:lang w:val="en-GB"/>
              </w:rPr>
            </w:pPr>
          </w:p>
          <w:p w:rsidR="00F37A39" w:rsidRPr="00A17559" w:rsidRDefault="00F37A39" w:rsidP="00513E9D">
            <w:pPr>
              <w:pStyle w:val="Marginlie"/>
              <w:rPr>
                <w:lang w:val="en-GB"/>
              </w:rPr>
            </w:pPr>
          </w:p>
          <w:p w:rsidR="00513E9D" w:rsidRPr="00A17559" w:rsidRDefault="00340FD2" w:rsidP="00513E9D">
            <w:pPr>
              <w:pStyle w:val="Marginlie"/>
              <w:rPr>
                <w:lang w:val="en-GB"/>
              </w:rPr>
            </w:pPr>
            <w:r w:rsidRPr="00A17559">
              <w:rPr>
                <w:lang w:val="en-GB"/>
              </w:rPr>
              <w:t xml:space="preserve">Output mildly declined in machinery, deeper </w:t>
            </w:r>
            <w:r w:rsidR="0015136D" w:rsidRPr="00A17559">
              <w:rPr>
                <w:lang w:val="en-GB"/>
              </w:rPr>
              <w:t>than</w:t>
            </w:r>
            <w:r w:rsidRPr="00A17559">
              <w:rPr>
                <w:lang w:val="en-GB"/>
              </w:rPr>
              <w:t xml:space="preserve"> in metallurgy, chemical and</w:t>
            </w:r>
            <w:r w:rsidR="001C1B6C" w:rsidRPr="00A17559">
              <w:rPr>
                <w:lang w:val="en-GB"/>
              </w:rPr>
              <w:t xml:space="preserve"> </w:t>
            </w:r>
            <w:r w:rsidRPr="00A17559">
              <w:rPr>
                <w:lang w:val="en-GB"/>
              </w:rPr>
              <w:t xml:space="preserve">wood industry. </w:t>
            </w:r>
          </w:p>
          <w:p w:rsidR="00513E9D" w:rsidRDefault="00513E9D" w:rsidP="00513E9D">
            <w:pPr>
              <w:pStyle w:val="Marginlie"/>
              <w:rPr>
                <w:lang w:val="en-GB"/>
              </w:rPr>
            </w:pPr>
          </w:p>
          <w:p w:rsidR="00F37A39" w:rsidRPr="00A17559" w:rsidRDefault="00F37A39" w:rsidP="00513E9D">
            <w:pPr>
              <w:pStyle w:val="Marginlie"/>
              <w:rPr>
                <w:lang w:val="en-GB"/>
              </w:rPr>
            </w:pPr>
          </w:p>
          <w:p w:rsidR="00513E9D" w:rsidRPr="00A17559" w:rsidRDefault="00513E9D" w:rsidP="00513E9D">
            <w:pPr>
              <w:pStyle w:val="Marginlie"/>
              <w:rPr>
                <w:lang w:val="en-GB"/>
              </w:rPr>
            </w:pPr>
          </w:p>
          <w:p w:rsidR="00513E9D" w:rsidRPr="00A17559" w:rsidRDefault="00340FD2" w:rsidP="00340FD2">
            <w:pPr>
              <w:pStyle w:val="Marginlie"/>
              <w:rPr>
                <w:lang w:val="en-GB"/>
              </w:rPr>
            </w:pPr>
            <w:r w:rsidRPr="00A17559">
              <w:rPr>
                <w:lang w:val="en-GB"/>
              </w:rPr>
              <w:t>Long-term slump of the mining of coal lasted</w:t>
            </w:r>
            <w:r w:rsidR="00E97506" w:rsidRPr="00A17559">
              <w:rPr>
                <w:lang w:val="en-GB"/>
              </w:rPr>
              <w:t>.</w:t>
            </w:r>
          </w:p>
        </w:tc>
        <w:tc>
          <w:tcPr>
            <w:tcW w:w="180" w:type="dxa"/>
            <w:shd w:val="clear" w:color="auto" w:fill="auto"/>
            <w:tcMar>
              <w:left w:w="0" w:type="dxa"/>
            </w:tcMar>
          </w:tcPr>
          <w:p w:rsidR="00513E9D" w:rsidRPr="00A17559" w:rsidRDefault="00513E9D" w:rsidP="00513E9D">
            <w:pPr>
              <w:pStyle w:val="Textpoznpodarou"/>
              <w:jc w:val="both"/>
              <w:rPr>
                <w:spacing w:val="-4"/>
                <w:lang w:val="en-GB"/>
              </w:rPr>
            </w:pPr>
          </w:p>
        </w:tc>
        <w:tc>
          <w:tcPr>
            <w:tcW w:w="7790" w:type="dxa"/>
            <w:shd w:val="clear" w:color="auto" w:fill="auto"/>
            <w:tcMar>
              <w:left w:w="0" w:type="dxa"/>
            </w:tcMar>
          </w:tcPr>
          <w:p w:rsidR="00513E9D" w:rsidRPr="00A17559" w:rsidRDefault="00AA58ED" w:rsidP="005862D9">
            <w:pPr>
              <w:spacing w:after="200"/>
              <w:rPr>
                <w:spacing w:val="-7"/>
                <w:lang w:val="en-GB"/>
              </w:rPr>
            </w:pPr>
            <w:r w:rsidRPr="00A17559">
              <w:rPr>
                <w:color w:val="000000" w:themeColor="text1"/>
                <w:spacing w:val="-7"/>
                <w:lang w:val="en-GB"/>
              </w:rPr>
              <w:t>Despite less favourable development of th</w:t>
            </w:r>
            <w:r w:rsidR="005220B4">
              <w:rPr>
                <w:color w:val="000000" w:themeColor="text1"/>
                <w:spacing w:val="-7"/>
                <w:lang w:val="en-GB"/>
              </w:rPr>
              <w:t xml:space="preserve">e foreign demand, the </w:t>
            </w:r>
            <w:r w:rsidRPr="00A17559">
              <w:rPr>
                <w:color w:val="000000" w:themeColor="text1"/>
                <w:spacing w:val="-7"/>
                <w:lang w:val="en-GB"/>
              </w:rPr>
              <w:t>majority of</w:t>
            </w:r>
            <w:r w:rsidR="00340FD2" w:rsidRPr="00A17559">
              <w:rPr>
                <w:color w:val="000000" w:themeColor="text1"/>
                <w:spacing w:val="-7"/>
                <w:lang w:val="en-GB"/>
              </w:rPr>
              <w:t xml:space="preserve"> </w:t>
            </w:r>
            <w:r w:rsidRPr="00A17559">
              <w:rPr>
                <w:color w:val="000000" w:themeColor="text1"/>
                <w:spacing w:val="-7"/>
                <w:lang w:val="en-GB"/>
              </w:rPr>
              <w:t xml:space="preserve">industrial </w:t>
            </w:r>
            <w:r w:rsidR="00340FD2" w:rsidRPr="00A17559">
              <w:rPr>
                <w:color w:val="000000" w:themeColor="text1"/>
                <w:spacing w:val="-7"/>
                <w:lang w:val="en-GB"/>
              </w:rPr>
              <w:t>sub-</w:t>
            </w:r>
            <w:r w:rsidRPr="00A17559">
              <w:rPr>
                <w:color w:val="000000" w:themeColor="text1"/>
                <w:spacing w:val="-7"/>
                <w:lang w:val="en-GB"/>
              </w:rPr>
              <w:t xml:space="preserve">branches </w:t>
            </w:r>
            <w:r w:rsidR="004D4E52" w:rsidRPr="00A17559">
              <w:rPr>
                <w:color w:val="000000" w:themeColor="text1"/>
                <w:spacing w:val="-7"/>
                <w:lang w:val="en-GB"/>
              </w:rPr>
              <w:t xml:space="preserve">also </w:t>
            </w:r>
            <w:r w:rsidR="0015136D">
              <w:rPr>
                <w:color w:val="000000" w:themeColor="text1"/>
                <w:spacing w:val="-7"/>
                <w:lang w:val="en-GB"/>
              </w:rPr>
              <w:t xml:space="preserve">experienced at least a mild </w:t>
            </w:r>
            <w:r w:rsidRPr="00A17559">
              <w:rPr>
                <w:color w:val="000000" w:themeColor="text1"/>
                <w:spacing w:val="-7"/>
                <w:lang w:val="en-GB"/>
              </w:rPr>
              <w:t xml:space="preserve">year-on-year growth of output </w:t>
            </w:r>
            <w:r w:rsidR="004D4E52" w:rsidRPr="00A17559">
              <w:rPr>
                <w:color w:val="000000" w:themeColor="text1"/>
                <w:spacing w:val="-7"/>
                <w:lang w:val="en-GB"/>
              </w:rPr>
              <w:t xml:space="preserve">in H1. </w:t>
            </w:r>
            <w:r w:rsidR="004511E6" w:rsidRPr="00A17559">
              <w:rPr>
                <w:color w:val="000000" w:themeColor="text1"/>
                <w:spacing w:val="-7"/>
                <w:lang w:val="en-GB"/>
              </w:rPr>
              <w:t xml:space="preserve">Manufacture of electrical equipment (by 0.3 p.p., growth of the branch by 4.4%) contributed the most to the increase of the total industrial output </w:t>
            </w:r>
            <w:r w:rsidR="00513E9D" w:rsidRPr="00A17559">
              <w:rPr>
                <w:color w:val="000000" w:themeColor="text1"/>
                <w:spacing w:val="-7"/>
                <w:lang w:val="en-GB"/>
              </w:rPr>
              <w:t>(</w:t>
            </w:r>
            <w:r w:rsidR="004511E6" w:rsidRPr="00A17559">
              <w:rPr>
                <w:color w:val="000000" w:themeColor="text1"/>
                <w:spacing w:val="-7"/>
                <w:lang w:val="en-GB"/>
              </w:rPr>
              <w:t>by</w:t>
            </w:r>
            <w:r w:rsidR="00513E9D" w:rsidRPr="00A17559">
              <w:rPr>
                <w:color w:val="000000" w:themeColor="text1"/>
                <w:spacing w:val="-7"/>
                <w:lang w:val="en-GB"/>
              </w:rPr>
              <w:t> 0</w:t>
            </w:r>
            <w:r w:rsidR="004511E6" w:rsidRPr="00A17559">
              <w:rPr>
                <w:color w:val="000000" w:themeColor="text1"/>
                <w:spacing w:val="-7"/>
                <w:lang w:val="en-GB"/>
              </w:rPr>
              <w:t>.</w:t>
            </w:r>
            <w:r w:rsidR="00513E9D" w:rsidRPr="00A17559">
              <w:rPr>
                <w:color w:val="000000" w:themeColor="text1"/>
                <w:spacing w:val="-7"/>
                <w:lang w:val="en-GB"/>
              </w:rPr>
              <w:t>6%)</w:t>
            </w:r>
            <w:r w:rsidR="00423F00">
              <w:rPr>
                <w:color w:val="000000" w:themeColor="text1"/>
                <w:spacing w:val="-7"/>
                <w:lang w:val="en-GB"/>
              </w:rPr>
              <w:t>, mainly due to the</w:t>
            </w:r>
            <w:r w:rsidR="004511E6" w:rsidRPr="00A17559">
              <w:rPr>
                <w:color w:val="000000" w:themeColor="text1"/>
                <w:spacing w:val="-7"/>
                <w:lang w:val="en-GB"/>
              </w:rPr>
              <w:t xml:space="preserve"> acceleration driven by the domestic demand in Q</w:t>
            </w:r>
            <w:r w:rsidR="00513E9D" w:rsidRPr="00A17559">
              <w:rPr>
                <w:color w:val="000000" w:themeColor="text1"/>
                <w:spacing w:val="-7"/>
                <w:lang w:val="en-GB"/>
              </w:rPr>
              <w:t>2.</w:t>
            </w:r>
            <w:r w:rsidR="004511E6" w:rsidRPr="00A17559">
              <w:rPr>
                <w:color w:val="000000" w:themeColor="text1"/>
                <w:spacing w:val="-7"/>
                <w:lang w:val="en-GB"/>
              </w:rPr>
              <w:t xml:space="preserve"> </w:t>
            </w:r>
            <w:r w:rsidR="003813A8" w:rsidRPr="00A17559">
              <w:rPr>
                <w:color w:val="000000" w:themeColor="text1"/>
                <w:spacing w:val="-7"/>
                <w:lang w:val="en-GB"/>
              </w:rPr>
              <w:t xml:space="preserve">Contribution of the long-term growing but by weight peripheral pharmaceutical industry was also significant </w:t>
            </w:r>
            <w:r w:rsidR="00513E9D" w:rsidRPr="00A17559">
              <w:rPr>
                <w:color w:val="000000" w:themeColor="text1"/>
                <w:spacing w:val="-7"/>
                <w:lang w:val="en-GB"/>
              </w:rPr>
              <w:t>(0</w:t>
            </w:r>
            <w:r w:rsidR="003813A8" w:rsidRPr="00A17559">
              <w:rPr>
                <w:color w:val="000000" w:themeColor="text1"/>
                <w:spacing w:val="-7"/>
                <w:lang w:val="en-GB"/>
              </w:rPr>
              <w:t>.</w:t>
            </w:r>
            <w:r w:rsidR="00513E9D" w:rsidRPr="00A17559">
              <w:rPr>
                <w:color w:val="000000" w:themeColor="text1"/>
                <w:spacing w:val="-7"/>
                <w:lang w:val="en-GB"/>
              </w:rPr>
              <w:t>2 p.</w:t>
            </w:r>
            <w:r w:rsidR="003813A8" w:rsidRPr="00A17559">
              <w:rPr>
                <w:color w:val="000000" w:themeColor="text1"/>
                <w:spacing w:val="-7"/>
                <w:lang w:val="en-GB"/>
              </w:rPr>
              <w:t>p</w:t>
            </w:r>
            <w:r w:rsidR="00513E9D" w:rsidRPr="00A17559">
              <w:rPr>
                <w:color w:val="000000" w:themeColor="text1"/>
                <w:spacing w:val="-7"/>
                <w:lang w:val="en-GB"/>
              </w:rPr>
              <w:t xml:space="preserve">.), </w:t>
            </w:r>
            <w:r w:rsidR="00017F00" w:rsidRPr="00A17559">
              <w:rPr>
                <w:color w:val="000000" w:themeColor="text1"/>
                <w:spacing w:val="-7"/>
                <w:lang w:val="en-GB"/>
              </w:rPr>
              <w:t xml:space="preserve">since its </w:t>
            </w:r>
            <w:r w:rsidR="003813A8" w:rsidRPr="00A17559">
              <w:rPr>
                <w:color w:val="000000" w:themeColor="text1"/>
                <w:spacing w:val="-7"/>
                <w:lang w:val="en-GB"/>
              </w:rPr>
              <w:t>output</w:t>
            </w:r>
            <w:r w:rsidR="00017F00" w:rsidRPr="00A17559">
              <w:rPr>
                <w:color w:val="000000" w:themeColor="text1"/>
                <w:spacing w:val="-7"/>
                <w:lang w:val="en-GB"/>
              </w:rPr>
              <w:t xml:space="preserve"> enlarged by more than one sixth this year. Similarly the energetics and also manufacture of computer, electronic and optical products supported the whole industry, with the brisk growth </w:t>
            </w:r>
            <w:r w:rsidR="00513E9D" w:rsidRPr="00A17559">
              <w:rPr>
                <w:spacing w:val="-7"/>
                <w:lang w:val="en-GB"/>
              </w:rPr>
              <w:t>(+6</w:t>
            </w:r>
            <w:r w:rsidR="00017F00" w:rsidRPr="00A17559">
              <w:rPr>
                <w:spacing w:val="-7"/>
                <w:lang w:val="en-GB"/>
              </w:rPr>
              <w:t>.</w:t>
            </w:r>
            <w:r w:rsidR="00513E9D" w:rsidRPr="00A17559">
              <w:rPr>
                <w:spacing w:val="-7"/>
                <w:lang w:val="en-GB"/>
              </w:rPr>
              <w:t xml:space="preserve">2%) </w:t>
            </w:r>
            <w:r w:rsidR="00017F00" w:rsidRPr="00A17559">
              <w:rPr>
                <w:spacing w:val="-7"/>
                <w:lang w:val="en-GB"/>
              </w:rPr>
              <w:t xml:space="preserve">mirroring mostly the growing domestic demand. </w:t>
            </w:r>
            <w:r w:rsidR="00513E9D" w:rsidRPr="00A17559">
              <w:rPr>
                <w:spacing w:val="-7"/>
                <w:lang w:val="en-GB"/>
              </w:rPr>
              <w:t>T</w:t>
            </w:r>
            <w:r w:rsidR="004511E6" w:rsidRPr="00A17559">
              <w:rPr>
                <w:spacing w:val="-7"/>
                <w:lang w:val="en-GB"/>
              </w:rPr>
              <w:t xml:space="preserve">his branch also belongs to the fastest growing industrial fields </w:t>
            </w:r>
            <w:r w:rsidR="004511E6" w:rsidRPr="00A17559">
              <w:rPr>
                <w:spacing w:val="-7"/>
                <w:lang w:val="en-GB"/>
              </w:rPr>
              <w:lastRenderedPageBreak/>
              <w:t>since the end of the last recession</w:t>
            </w:r>
            <w:r w:rsidR="00513E9D" w:rsidRPr="00A17559">
              <w:rPr>
                <w:rStyle w:val="Znakapoznpodarou"/>
                <w:color w:val="000000" w:themeColor="text1"/>
                <w:spacing w:val="-7"/>
                <w:lang w:val="en-GB"/>
              </w:rPr>
              <w:footnoteReference w:id="19"/>
            </w:r>
            <w:r w:rsidR="00513E9D" w:rsidRPr="00A17559">
              <w:rPr>
                <w:spacing w:val="-7"/>
                <w:lang w:val="en-GB"/>
              </w:rPr>
              <w:t xml:space="preserve">. </w:t>
            </w:r>
            <w:r w:rsidR="008A2105" w:rsidRPr="00A17559">
              <w:rPr>
                <w:spacing w:val="-7"/>
                <w:lang w:val="en-GB"/>
              </w:rPr>
              <w:t xml:space="preserve">Output in the weight dominant branch of manufacturing of motor vehicles went up only by </w:t>
            </w:r>
            <w:r w:rsidR="00513E9D" w:rsidRPr="00A17559">
              <w:rPr>
                <w:spacing w:val="-7"/>
                <w:lang w:val="en-GB"/>
              </w:rPr>
              <w:t>0</w:t>
            </w:r>
            <w:r w:rsidR="008A2105" w:rsidRPr="00A17559">
              <w:rPr>
                <w:spacing w:val="-7"/>
                <w:lang w:val="en-GB"/>
              </w:rPr>
              <w:t>.</w:t>
            </w:r>
            <w:r w:rsidR="00513E9D" w:rsidRPr="00A17559">
              <w:rPr>
                <w:spacing w:val="-7"/>
                <w:lang w:val="en-GB"/>
              </w:rPr>
              <w:t xml:space="preserve">7%, </w:t>
            </w:r>
            <w:r w:rsidR="008A2105" w:rsidRPr="00A17559">
              <w:rPr>
                <w:spacing w:val="-7"/>
                <w:lang w:val="en-GB"/>
              </w:rPr>
              <w:t xml:space="preserve">the least since year </w:t>
            </w:r>
            <w:r w:rsidR="00513E9D" w:rsidRPr="00A17559">
              <w:rPr>
                <w:spacing w:val="-7"/>
                <w:lang w:val="en-GB"/>
              </w:rPr>
              <w:t xml:space="preserve">2013. </w:t>
            </w:r>
            <w:r w:rsidR="008A2105" w:rsidRPr="00A17559">
              <w:rPr>
                <w:spacing w:val="-7"/>
                <w:lang w:val="en-GB"/>
              </w:rPr>
              <w:t>It was also evident from the data regarding the physical output</w:t>
            </w:r>
            <w:r w:rsidR="00513E9D" w:rsidRPr="00A17559">
              <w:rPr>
                <w:rStyle w:val="Znakapoznpodarou"/>
                <w:spacing w:val="-7"/>
                <w:lang w:val="en-GB"/>
              </w:rPr>
              <w:footnoteReference w:id="20"/>
            </w:r>
            <w:r w:rsidR="00513E9D" w:rsidRPr="00A17559">
              <w:rPr>
                <w:spacing w:val="-7"/>
                <w:lang w:val="en-GB"/>
              </w:rPr>
              <w:t xml:space="preserve">. </w:t>
            </w:r>
            <w:r w:rsidR="008A2105" w:rsidRPr="00A17559">
              <w:rPr>
                <w:spacing w:val="-7"/>
                <w:lang w:val="en-GB"/>
              </w:rPr>
              <w:t xml:space="preserve">New orders signalled a perceptible weakening of dynamics here already last year </w:t>
            </w:r>
            <w:r w:rsidR="00513E9D" w:rsidRPr="00A17559">
              <w:rPr>
                <w:spacing w:val="-7"/>
                <w:lang w:val="en-GB"/>
              </w:rPr>
              <w:t>(</w:t>
            </w:r>
            <w:r w:rsidR="00B05F62" w:rsidRPr="00A17559">
              <w:rPr>
                <w:spacing w:val="-7"/>
                <w:lang w:val="en-GB"/>
              </w:rPr>
              <w:t xml:space="preserve">the value of foreign orders increased by 2.5% for the whole last year, it fell by 1.2% for the domestic orders). </w:t>
            </w:r>
            <w:r w:rsidR="004511E6" w:rsidRPr="00A17559">
              <w:rPr>
                <w:spacing w:val="-7"/>
                <w:lang w:val="en-GB"/>
              </w:rPr>
              <w:t xml:space="preserve">Situation of manufacturers of other </w:t>
            </w:r>
            <w:r w:rsidR="00513E9D" w:rsidRPr="00A17559">
              <w:rPr>
                <w:spacing w:val="-7"/>
                <w:lang w:val="en-GB"/>
              </w:rPr>
              <w:t>(</w:t>
            </w:r>
            <w:r w:rsidR="00B05F62" w:rsidRPr="00A17559">
              <w:rPr>
                <w:spacing w:val="-7"/>
                <w:lang w:val="en-GB"/>
              </w:rPr>
              <w:t>especially rail</w:t>
            </w:r>
            <w:r w:rsidR="00513E9D" w:rsidRPr="00A17559">
              <w:rPr>
                <w:spacing w:val="-7"/>
                <w:lang w:val="en-GB"/>
              </w:rPr>
              <w:t>)</w:t>
            </w:r>
            <w:r w:rsidR="004511E6" w:rsidRPr="00A17559">
              <w:rPr>
                <w:spacing w:val="-7"/>
                <w:lang w:val="en-GB"/>
              </w:rPr>
              <w:t xml:space="preserve"> transport equipment improved this as well as last year</w:t>
            </w:r>
            <w:r w:rsidR="00513E9D" w:rsidRPr="00A17559">
              <w:rPr>
                <w:spacing w:val="-7"/>
                <w:lang w:val="en-GB"/>
              </w:rPr>
              <w:t xml:space="preserve">. </w:t>
            </w:r>
            <w:r w:rsidR="00B05F62" w:rsidRPr="00A17559">
              <w:rPr>
                <w:spacing w:val="-7"/>
                <w:lang w:val="en-GB"/>
              </w:rPr>
              <w:t>Ou</w:t>
            </w:r>
            <w:r w:rsidR="00750362" w:rsidRPr="00A17559">
              <w:rPr>
                <w:spacing w:val="-7"/>
                <w:lang w:val="en-GB"/>
              </w:rPr>
              <w:t>tp</w:t>
            </w:r>
            <w:r w:rsidR="00B05F62" w:rsidRPr="00A17559">
              <w:rPr>
                <w:spacing w:val="-7"/>
                <w:lang w:val="en-GB"/>
              </w:rPr>
              <w:t xml:space="preserve">ut increased here (6.3%) mainly thanks to the foreign demand in H1 2019. </w:t>
            </w:r>
            <w:r w:rsidR="00750362" w:rsidRPr="00A17559">
              <w:rPr>
                <w:spacing w:val="-7"/>
                <w:lang w:val="en-GB"/>
              </w:rPr>
              <w:t xml:space="preserve">Within the more significant branches by weight, the output moderately increased in repair and installation of machinery and equipment and also in the food industry </w:t>
            </w:r>
            <w:r w:rsidR="00513E9D" w:rsidRPr="00A17559">
              <w:rPr>
                <w:spacing w:val="-7"/>
                <w:lang w:val="en-GB"/>
              </w:rPr>
              <w:t xml:space="preserve">– </w:t>
            </w:r>
            <w:r w:rsidR="00750362" w:rsidRPr="00A17559">
              <w:rPr>
                <w:spacing w:val="-7"/>
                <w:lang w:val="en-GB"/>
              </w:rPr>
              <w:t xml:space="preserve">i.e. in activities primarily focused on the domestic market. </w:t>
            </w:r>
            <w:r w:rsidR="00105FF8" w:rsidRPr="00A17559">
              <w:rPr>
                <w:spacing w:val="-7"/>
                <w:lang w:val="en-GB"/>
              </w:rPr>
              <w:t xml:space="preserve">Output stagnated in manufacture of rubber and plastic products or </w:t>
            </w:r>
            <w:r w:rsidR="00691F0D">
              <w:rPr>
                <w:spacing w:val="-7"/>
                <w:lang w:val="en-GB"/>
              </w:rPr>
              <w:t xml:space="preserve">fabricated </w:t>
            </w:r>
            <w:r w:rsidR="00105FF8" w:rsidRPr="00A17559">
              <w:rPr>
                <w:spacing w:val="-7"/>
                <w:lang w:val="en-GB"/>
              </w:rPr>
              <w:t xml:space="preserve">metals, despite lasting growth of the domestic demand it was slightly falling in machinery </w:t>
            </w:r>
            <w:r w:rsidR="00513E9D" w:rsidRPr="00A17559">
              <w:rPr>
                <w:spacing w:val="-7"/>
                <w:lang w:val="en-GB"/>
              </w:rPr>
              <w:t>(–</w:t>
            </w:r>
            <w:r w:rsidR="00513E9D" w:rsidRPr="00A17559">
              <w:rPr>
                <w:color w:val="000000" w:themeColor="text1"/>
                <w:spacing w:val="-7"/>
                <w:lang w:val="en-GB"/>
              </w:rPr>
              <w:t>0</w:t>
            </w:r>
            <w:r w:rsidR="00105FF8" w:rsidRPr="00A17559">
              <w:rPr>
                <w:color w:val="000000" w:themeColor="text1"/>
                <w:spacing w:val="-7"/>
                <w:lang w:val="en-GB"/>
              </w:rPr>
              <w:t>.</w:t>
            </w:r>
            <w:r w:rsidR="00513E9D" w:rsidRPr="00A17559">
              <w:rPr>
                <w:color w:val="000000" w:themeColor="text1"/>
                <w:spacing w:val="-7"/>
                <w:lang w:val="en-GB"/>
              </w:rPr>
              <w:t>7%).</w:t>
            </w:r>
            <w:r w:rsidR="00105FF8" w:rsidRPr="00A17559">
              <w:rPr>
                <w:color w:val="000000" w:themeColor="text1"/>
                <w:spacing w:val="-7"/>
                <w:lang w:val="en-GB"/>
              </w:rPr>
              <w:t xml:space="preserve"> Performance fell deeper in metallurgy and foundry industry </w:t>
            </w:r>
            <w:r w:rsidR="00513E9D" w:rsidRPr="00A17559">
              <w:rPr>
                <w:spacing w:val="-7"/>
                <w:lang w:val="en-GB"/>
              </w:rPr>
              <w:t>(–</w:t>
            </w:r>
            <w:r w:rsidR="00513E9D" w:rsidRPr="00A17559">
              <w:rPr>
                <w:color w:val="000000" w:themeColor="text1"/>
                <w:spacing w:val="-7"/>
                <w:lang w:val="en-GB"/>
              </w:rPr>
              <w:t>2</w:t>
            </w:r>
            <w:r w:rsidR="00105FF8" w:rsidRPr="00A17559">
              <w:rPr>
                <w:color w:val="000000" w:themeColor="text1"/>
                <w:spacing w:val="-7"/>
                <w:lang w:val="en-GB"/>
              </w:rPr>
              <w:t>.</w:t>
            </w:r>
            <w:r w:rsidR="00513E9D" w:rsidRPr="00A17559">
              <w:rPr>
                <w:color w:val="000000" w:themeColor="text1"/>
                <w:spacing w:val="-7"/>
                <w:lang w:val="en-GB"/>
              </w:rPr>
              <w:t>8%),</w:t>
            </w:r>
            <w:r w:rsidR="00105FF8" w:rsidRPr="00A17559">
              <w:rPr>
                <w:color w:val="000000" w:themeColor="text1"/>
                <w:spacing w:val="-7"/>
                <w:lang w:val="en-GB"/>
              </w:rPr>
              <w:t xml:space="preserve"> </w:t>
            </w:r>
            <w:r w:rsidR="00513E9D" w:rsidRPr="00A17559">
              <w:rPr>
                <w:color w:val="000000" w:themeColor="text1"/>
                <w:spacing w:val="-7"/>
                <w:lang w:val="en-GB"/>
              </w:rPr>
              <w:t xml:space="preserve"> </w:t>
            </w:r>
            <w:r w:rsidR="00AC4920" w:rsidRPr="00A17559">
              <w:rPr>
                <w:color w:val="000000" w:themeColor="text1"/>
                <w:spacing w:val="-7"/>
                <w:lang w:val="en-GB"/>
              </w:rPr>
              <w:t xml:space="preserve">because the strong domestic demand from years </w:t>
            </w:r>
            <w:r w:rsidR="00513E9D" w:rsidRPr="00A17559">
              <w:rPr>
                <w:color w:val="000000" w:themeColor="text1"/>
                <w:spacing w:val="-7"/>
                <w:lang w:val="en-GB"/>
              </w:rPr>
              <w:t>2017 a</w:t>
            </w:r>
            <w:r w:rsidR="00AC4920" w:rsidRPr="00A17559">
              <w:rPr>
                <w:color w:val="000000" w:themeColor="text1"/>
                <w:spacing w:val="-7"/>
                <w:lang w:val="en-GB"/>
              </w:rPr>
              <w:t>nd</w:t>
            </w:r>
            <w:r w:rsidR="00513E9D" w:rsidRPr="00A17559">
              <w:rPr>
                <w:color w:val="000000" w:themeColor="text1"/>
                <w:spacing w:val="-7"/>
                <w:lang w:val="en-GB"/>
              </w:rPr>
              <w:t> 2018</w:t>
            </w:r>
            <w:r w:rsidR="00AC4920" w:rsidRPr="00A17559">
              <w:rPr>
                <w:color w:val="000000" w:themeColor="text1"/>
                <w:spacing w:val="-7"/>
                <w:lang w:val="en-GB"/>
              </w:rPr>
              <w:t xml:space="preserve"> ceased.</w:t>
            </w:r>
            <w:r w:rsidR="007622A9" w:rsidRPr="00A17559">
              <w:rPr>
                <w:color w:val="000000" w:themeColor="text1"/>
                <w:spacing w:val="-7"/>
                <w:lang w:val="en-GB"/>
              </w:rPr>
              <w:t xml:space="preserve"> Manufacturing of other non-metal mineral products, where the strong growth impulse connected to the domestic demand </w:t>
            </w:r>
            <w:r w:rsidR="00AC4920" w:rsidRPr="00A17559">
              <w:rPr>
                <w:color w:val="000000" w:themeColor="text1"/>
                <w:spacing w:val="-7"/>
                <w:lang w:val="en-GB"/>
              </w:rPr>
              <w:t>for construction materials</w:t>
            </w:r>
            <w:r w:rsidR="007622A9" w:rsidRPr="00A17559">
              <w:rPr>
                <w:color w:val="000000" w:themeColor="text1"/>
                <w:spacing w:val="-7"/>
                <w:lang w:val="en-GB"/>
              </w:rPr>
              <w:t xml:space="preserve"> likely already evaporated, was in similar situation</w:t>
            </w:r>
            <w:r w:rsidR="00AC4920" w:rsidRPr="00A17559">
              <w:rPr>
                <w:color w:val="000000" w:themeColor="text1"/>
                <w:spacing w:val="-7"/>
                <w:lang w:val="en-GB"/>
              </w:rPr>
              <w:t>. Output also drop</w:t>
            </w:r>
            <w:r w:rsidR="007622A9" w:rsidRPr="00A17559">
              <w:rPr>
                <w:color w:val="000000" w:themeColor="text1"/>
                <w:spacing w:val="-7"/>
                <w:lang w:val="en-GB"/>
              </w:rPr>
              <w:t>p</w:t>
            </w:r>
            <w:r w:rsidR="00AC4920" w:rsidRPr="00A17559">
              <w:rPr>
                <w:color w:val="000000" w:themeColor="text1"/>
                <w:spacing w:val="-7"/>
                <w:lang w:val="en-GB"/>
              </w:rPr>
              <w:t xml:space="preserve">ed in the chemical industry this year </w:t>
            </w:r>
            <w:r w:rsidR="00513E9D" w:rsidRPr="00A17559">
              <w:rPr>
                <w:spacing w:val="-7"/>
                <w:lang w:val="en-GB"/>
              </w:rPr>
              <w:t>(–</w:t>
            </w:r>
            <w:r w:rsidR="00513E9D" w:rsidRPr="00A17559">
              <w:rPr>
                <w:color w:val="000000" w:themeColor="text1"/>
                <w:spacing w:val="-7"/>
                <w:lang w:val="en-GB"/>
              </w:rPr>
              <w:t>2</w:t>
            </w:r>
            <w:r w:rsidR="00AC4920" w:rsidRPr="00A17559">
              <w:rPr>
                <w:color w:val="000000" w:themeColor="text1"/>
                <w:spacing w:val="-7"/>
                <w:lang w:val="en-GB"/>
              </w:rPr>
              <w:t>.</w:t>
            </w:r>
            <w:r w:rsidR="00513E9D" w:rsidRPr="00A17559">
              <w:rPr>
                <w:color w:val="000000" w:themeColor="text1"/>
                <w:spacing w:val="-7"/>
                <w:lang w:val="en-GB"/>
              </w:rPr>
              <w:t xml:space="preserve">8%), </w:t>
            </w:r>
            <w:r w:rsidR="00AC4920" w:rsidRPr="00A17559">
              <w:rPr>
                <w:color w:val="000000" w:themeColor="text1"/>
                <w:spacing w:val="-7"/>
                <w:lang w:val="en-GB"/>
              </w:rPr>
              <w:t>mainly due to the irregularities in the usage of production capacities, which are typical for this fie</w:t>
            </w:r>
            <w:r w:rsidR="007622A9" w:rsidRPr="00A17559">
              <w:rPr>
                <w:color w:val="000000" w:themeColor="text1"/>
                <w:spacing w:val="-7"/>
                <w:lang w:val="en-GB"/>
              </w:rPr>
              <w:t>l</w:t>
            </w:r>
            <w:r w:rsidR="00AC4920" w:rsidRPr="00A17559">
              <w:rPr>
                <w:color w:val="000000" w:themeColor="text1"/>
                <w:spacing w:val="-7"/>
                <w:lang w:val="en-GB"/>
              </w:rPr>
              <w:t xml:space="preserve">d. </w:t>
            </w:r>
            <w:r w:rsidR="007622A9" w:rsidRPr="00A17559">
              <w:rPr>
                <w:color w:val="000000" w:themeColor="text1"/>
                <w:spacing w:val="-7"/>
                <w:lang w:val="en-GB"/>
              </w:rPr>
              <w:t xml:space="preserve">Long-term </w:t>
            </w:r>
            <w:r w:rsidR="00E12C45" w:rsidRPr="00A17559">
              <w:rPr>
                <w:color w:val="000000" w:themeColor="text1"/>
                <w:spacing w:val="-7"/>
                <w:lang w:val="en-GB"/>
              </w:rPr>
              <w:t xml:space="preserve">downturn in mining and quarrying </w:t>
            </w:r>
            <w:r w:rsidR="00513E9D" w:rsidRPr="00A17559">
              <w:rPr>
                <w:color w:val="000000" w:themeColor="text1"/>
                <w:spacing w:val="-7"/>
                <w:lang w:val="en-GB"/>
              </w:rPr>
              <w:t>(</w:t>
            </w:r>
            <w:r w:rsidR="00E12C45" w:rsidRPr="00A17559">
              <w:rPr>
                <w:color w:val="000000" w:themeColor="text1"/>
                <w:spacing w:val="-7"/>
                <w:lang w:val="en-GB"/>
              </w:rPr>
              <w:t xml:space="preserve">by </w:t>
            </w:r>
            <w:r w:rsidR="00513E9D" w:rsidRPr="00A17559">
              <w:rPr>
                <w:color w:val="000000" w:themeColor="text1"/>
                <w:spacing w:val="-7"/>
                <w:lang w:val="en-GB"/>
              </w:rPr>
              <w:t>4</w:t>
            </w:r>
            <w:r w:rsidR="00E12C45" w:rsidRPr="00A17559">
              <w:rPr>
                <w:color w:val="000000" w:themeColor="text1"/>
                <w:spacing w:val="-7"/>
                <w:lang w:val="en-GB"/>
              </w:rPr>
              <w:t>.</w:t>
            </w:r>
            <w:r w:rsidR="00513E9D" w:rsidRPr="00A17559">
              <w:rPr>
                <w:color w:val="000000" w:themeColor="text1"/>
                <w:spacing w:val="-7"/>
                <w:lang w:val="en-GB"/>
              </w:rPr>
              <w:t>4%</w:t>
            </w:r>
            <w:r w:rsidR="00E12C45" w:rsidRPr="00A17559">
              <w:rPr>
                <w:color w:val="000000" w:themeColor="text1"/>
                <w:spacing w:val="-7"/>
                <w:lang w:val="en-GB"/>
              </w:rPr>
              <w:t xml:space="preserve"> this year</w:t>
            </w:r>
            <w:r w:rsidR="00513E9D" w:rsidRPr="00A17559">
              <w:rPr>
                <w:color w:val="000000" w:themeColor="text1"/>
                <w:spacing w:val="-7"/>
                <w:lang w:val="en-GB"/>
              </w:rPr>
              <w:t>,</w:t>
            </w:r>
            <w:r w:rsidR="00E12C45" w:rsidRPr="00A17559">
              <w:rPr>
                <w:color w:val="000000" w:themeColor="text1"/>
                <w:spacing w:val="-7"/>
                <w:lang w:val="en-GB"/>
              </w:rPr>
              <w:t xml:space="preserve"> by 42% for </w:t>
            </w:r>
            <w:r w:rsidR="0024448D">
              <w:rPr>
                <w:color w:val="000000" w:themeColor="text1"/>
                <w:spacing w:val="-7"/>
                <w:lang w:val="en-GB"/>
              </w:rPr>
              <w:t xml:space="preserve">the last </w:t>
            </w:r>
            <w:r w:rsidR="00E12C45" w:rsidRPr="00A17559">
              <w:rPr>
                <w:color w:val="000000" w:themeColor="text1"/>
                <w:spacing w:val="-7"/>
                <w:lang w:val="en-GB"/>
              </w:rPr>
              <w:t>fifteen years</w:t>
            </w:r>
            <w:r w:rsidR="00513E9D" w:rsidRPr="00A17559">
              <w:rPr>
                <w:color w:val="000000" w:themeColor="text1"/>
                <w:spacing w:val="-7"/>
                <w:lang w:val="en-GB"/>
              </w:rPr>
              <w:t xml:space="preserve">) </w:t>
            </w:r>
            <w:r w:rsidR="00AC4920" w:rsidRPr="00A17559">
              <w:rPr>
                <w:color w:val="000000" w:themeColor="text1"/>
                <w:spacing w:val="-7"/>
                <w:lang w:val="en-GB"/>
              </w:rPr>
              <w:t>concerned primarily coal</w:t>
            </w:r>
            <w:r w:rsidR="00513E9D" w:rsidRPr="00A17559">
              <w:rPr>
                <w:rStyle w:val="Znakapoznpodarou"/>
                <w:color w:val="000000" w:themeColor="text1"/>
                <w:spacing w:val="-7"/>
                <w:lang w:val="en-GB"/>
              </w:rPr>
              <w:footnoteReference w:id="21"/>
            </w:r>
            <w:r w:rsidR="00513E9D" w:rsidRPr="00A17559">
              <w:rPr>
                <w:color w:val="000000" w:themeColor="text1"/>
                <w:spacing w:val="-7"/>
                <w:lang w:val="en-GB"/>
              </w:rPr>
              <w:t>.</w:t>
            </w:r>
            <w:r w:rsidR="00AC4920" w:rsidRPr="00A17559">
              <w:rPr>
                <w:color w:val="000000" w:themeColor="text1"/>
                <w:spacing w:val="-7"/>
                <w:lang w:val="en-GB"/>
              </w:rPr>
              <w:t xml:space="preserve">Output in the wood industry decreased by one tenth this year and thus returned to the level of the first half of year </w:t>
            </w:r>
            <w:r w:rsidR="00513E9D" w:rsidRPr="00A17559">
              <w:rPr>
                <w:color w:val="000000" w:themeColor="text1"/>
                <w:spacing w:val="-7"/>
                <w:lang w:val="en-GB"/>
              </w:rPr>
              <w:t>2016.</w:t>
            </w:r>
            <w:r w:rsidR="00AC4920" w:rsidRPr="00A17559">
              <w:rPr>
                <w:color w:val="000000" w:themeColor="text1"/>
                <w:spacing w:val="-7"/>
                <w:lang w:val="en-GB"/>
              </w:rPr>
              <w:t xml:space="preserve"> In</w:t>
            </w:r>
            <w:r w:rsidR="00E12C45" w:rsidRPr="00A17559">
              <w:rPr>
                <w:color w:val="000000" w:themeColor="text1"/>
                <w:spacing w:val="-7"/>
                <w:lang w:val="en-GB"/>
              </w:rPr>
              <w:t xml:space="preserve"> </w:t>
            </w:r>
            <w:r w:rsidR="00AC4920" w:rsidRPr="00A17559">
              <w:rPr>
                <w:color w:val="000000" w:themeColor="text1"/>
                <w:spacing w:val="-7"/>
                <w:lang w:val="en-GB"/>
              </w:rPr>
              <w:t xml:space="preserve">spite of its low weight, this field </w:t>
            </w:r>
            <w:r w:rsidR="00E12C45" w:rsidRPr="00A17559">
              <w:rPr>
                <w:color w:val="000000" w:themeColor="text1"/>
                <w:spacing w:val="-7"/>
                <w:lang w:val="en-GB"/>
              </w:rPr>
              <w:t xml:space="preserve">worked against the growth </w:t>
            </w:r>
            <w:r w:rsidR="00A120EA" w:rsidRPr="00A17559">
              <w:rPr>
                <w:color w:val="000000" w:themeColor="text1"/>
                <w:spacing w:val="-7"/>
                <w:lang w:val="en-GB"/>
              </w:rPr>
              <w:t xml:space="preserve">of the whole industry the most </w:t>
            </w:r>
            <w:r w:rsidR="0024448D">
              <w:rPr>
                <w:color w:val="000000" w:themeColor="text1"/>
                <w:spacing w:val="-7"/>
                <w:lang w:val="en-GB"/>
              </w:rPr>
              <w:t xml:space="preserve">in H1 2019 </w:t>
            </w:r>
            <w:r w:rsidR="00513E9D" w:rsidRPr="00A17559">
              <w:rPr>
                <w:color w:val="000000" w:themeColor="text1"/>
                <w:spacing w:val="-7"/>
                <w:lang w:val="en-GB"/>
              </w:rPr>
              <w:t>(</w:t>
            </w:r>
            <w:r w:rsidR="00A120EA" w:rsidRPr="00A17559">
              <w:rPr>
                <w:color w:val="000000" w:themeColor="text1"/>
                <w:spacing w:val="-7"/>
                <w:lang w:val="en-GB"/>
              </w:rPr>
              <w:t xml:space="preserve">addition </w:t>
            </w:r>
            <w:r w:rsidR="00513E9D" w:rsidRPr="00A17559">
              <w:rPr>
                <w:spacing w:val="-7"/>
                <w:lang w:val="en-GB"/>
              </w:rPr>
              <w:t>–0</w:t>
            </w:r>
            <w:r w:rsidR="00A120EA" w:rsidRPr="00A17559">
              <w:rPr>
                <w:spacing w:val="-7"/>
                <w:lang w:val="en-GB"/>
              </w:rPr>
              <w:t>.</w:t>
            </w:r>
            <w:r w:rsidR="00513E9D" w:rsidRPr="00A17559">
              <w:rPr>
                <w:spacing w:val="-7"/>
                <w:lang w:val="en-GB"/>
              </w:rPr>
              <w:t>2 p.</w:t>
            </w:r>
            <w:r w:rsidR="00A120EA" w:rsidRPr="00A17559">
              <w:rPr>
                <w:spacing w:val="-7"/>
                <w:lang w:val="en-GB"/>
              </w:rPr>
              <w:t>p</w:t>
            </w:r>
            <w:r w:rsidR="00513E9D" w:rsidRPr="00A17559">
              <w:rPr>
                <w:spacing w:val="-7"/>
                <w:lang w:val="en-GB"/>
              </w:rPr>
              <w:t>.).</w:t>
            </w:r>
          </w:p>
        </w:tc>
      </w:tr>
      <w:tr w:rsidR="00340FD2" w:rsidRPr="00A17559" w:rsidTr="00422629">
        <w:trPr>
          <w:trHeight w:val="170"/>
        </w:trPr>
        <w:tc>
          <w:tcPr>
            <w:tcW w:w="1669" w:type="dxa"/>
            <w:vMerge w:val="restart"/>
            <w:shd w:val="clear" w:color="auto" w:fill="auto"/>
            <w:tcMar>
              <w:left w:w="0" w:type="dxa"/>
            </w:tcMar>
          </w:tcPr>
          <w:p w:rsidR="00513E9D" w:rsidRPr="00A17559" w:rsidRDefault="00513E9D" w:rsidP="00513E9D">
            <w:pPr>
              <w:pStyle w:val="Marginlie"/>
              <w:rPr>
                <w:lang w:val="en-GB"/>
              </w:rPr>
            </w:pPr>
          </w:p>
        </w:tc>
        <w:tc>
          <w:tcPr>
            <w:tcW w:w="180" w:type="dxa"/>
            <w:vMerge w:val="restart"/>
            <w:shd w:val="clear" w:color="auto" w:fill="auto"/>
            <w:tcMar>
              <w:left w:w="0" w:type="dxa"/>
            </w:tcMar>
          </w:tcPr>
          <w:p w:rsidR="00513E9D" w:rsidRPr="00A17559" w:rsidRDefault="00513E9D" w:rsidP="00513E9D">
            <w:pPr>
              <w:pStyle w:val="Textpoznpodarou"/>
              <w:jc w:val="both"/>
              <w:rPr>
                <w:spacing w:val="-4"/>
                <w:lang w:val="en-GB"/>
              </w:rPr>
            </w:pPr>
          </w:p>
        </w:tc>
        <w:tc>
          <w:tcPr>
            <w:tcW w:w="7790" w:type="dxa"/>
            <w:shd w:val="clear" w:color="auto" w:fill="auto"/>
            <w:tcMar>
              <w:left w:w="0" w:type="dxa"/>
            </w:tcMar>
          </w:tcPr>
          <w:p w:rsidR="00513E9D" w:rsidRPr="00A17559" w:rsidRDefault="0096108D" w:rsidP="0096108D">
            <w:pPr>
              <w:spacing w:after="0"/>
              <w:rPr>
                <w:b/>
                <w:spacing w:val="-7"/>
                <w:sz w:val="18"/>
                <w:szCs w:val="18"/>
                <w:lang w:val="en-GB"/>
              </w:rPr>
            </w:pPr>
            <w:r w:rsidRPr="00A17559">
              <w:rPr>
                <w:b/>
                <w:spacing w:val="-7"/>
                <w:lang w:val="en-GB"/>
              </w:rPr>
              <w:t xml:space="preserve">Chart </w:t>
            </w:r>
            <w:r w:rsidR="004E723A">
              <w:rPr>
                <w:b/>
                <w:spacing w:val="-7"/>
                <w:lang w:val="en-GB"/>
              </w:rPr>
              <w:t xml:space="preserve">6 </w:t>
            </w:r>
            <w:r w:rsidR="00393CDD" w:rsidRPr="00A17559">
              <w:rPr>
                <w:b/>
                <w:lang w:val="en-GB"/>
              </w:rPr>
              <w:t>New</w:t>
            </w:r>
            <w:r w:rsidR="00393CDD" w:rsidRPr="00A17559">
              <w:rPr>
                <w:b/>
                <w:spacing w:val="-2"/>
                <w:lang w:val="en-GB"/>
              </w:rPr>
              <w:t xml:space="preserve"> orders in manufacture of motor vehicles, in industry in total </w:t>
            </w:r>
            <w:r w:rsidR="00393CDD" w:rsidRPr="00A17559">
              <w:rPr>
                <w:spacing w:val="-2"/>
                <w:lang w:val="en-GB"/>
              </w:rPr>
              <w:t xml:space="preserve">(in current prices, year-on-year </w:t>
            </w:r>
            <w:r w:rsidR="00F37A39">
              <w:rPr>
                <w:spacing w:val="-2"/>
                <w:lang w:val="en-GB"/>
              </w:rPr>
              <w:t xml:space="preserve">change </w:t>
            </w:r>
            <w:r w:rsidR="00393CDD" w:rsidRPr="00A17559">
              <w:rPr>
                <w:spacing w:val="-2"/>
                <w:lang w:val="en-GB"/>
              </w:rPr>
              <w:t>in %)</w:t>
            </w:r>
            <w:r w:rsidR="00393CDD" w:rsidRPr="00A17559">
              <w:rPr>
                <w:bCs/>
                <w:spacing w:val="-2"/>
                <w:lang w:val="en-GB"/>
              </w:rPr>
              <w:t xml:space="preserve">, </w:t>
            </w:r>
            <w:r w:rsidR="00393CDD" w:rsidRPr="00A17559">
              <w:rPr>
                <w:b/>
                <w:spacing w:val="-2"/>
                <w:lang w:val="en-GB"/>
              </w:rPr>
              <w:t>balance of confidence indicator in industry</w:t>
            </w:r>
            <w:r w:rsidR="00393CDD" w:rsidRPr="00A17559">
              <w:rPr>
                <w:b/>
                <w:spacing w:val="-3"/>
                <w:lang w:val="en-GB"/>
              </w:rPr>
              <w:t xml:space="preserve">* </w:t>
            </w:r>
            <w:r w:rsidR="00393CDD" w:rsidRPr="00A17559">
              <w:rPr>
                <w:spacing w:val="-3"/>
                <w:lang w:val="en-GB"/>
              </w:rPr>
              <w:t xml:space="preserve">(in points) </w:t>
            </w:r>
            <w:r w:rsidR="00393CDD" w:rsidRPr="00A17559">
              <w:rPr>
                <w:b/>
                <w:spacing w:val="-3"/>
                <w:lang w:val="en-GB"/>
              </w:rPr>
              <w:t>and utilisation of pr</w:t>
            </w:r>
            <w:r w:rsidR="00C05DF8">
              <w:rPr>
                <w:b/>
                <w:spacing w:val="-3"/>
                <w:lang w:val="en-GB"/>
              </w:rPr>
              <w:t>oduction capacities in industry</w:t>
            </w:r>
            <w:r w:rsidR="00393CDD" w:rsidRPr="00A17559">
              <w:rPr>
                <w:b/>
                <w:spacing w:val="-3"/>
                <w:lang w:val="en-GB"/>
              </w:rPr>
              <w:t>*</w:t>
            </w:r>
            <w:r w:rsidR="00393CDD" w:rsidRPr="00A17559">
              <w:rPr>
                <w:spacing w:val="-3"/>
                <w:lang w:val="en-GB"/>
              </w:rPr>
              <w:t xml:space="preserve"> (in %)</w:t>
            </w:r>
          </w:p>
        </w:tc>
      </w:tr>
      <w:tr w:rsidR="00340FD2" w:rsidRPr="00A17559" w:rsidTr="000F253E">
        <w:tblPrEx>
          <w:tblCellMar>
            <w:left w:w="70" w:type="dxa"/>
            <w:right w:w="70" w:type="dxa"/>
          </w:tblCellMar>
        </w:tblPrEx>
        <w:trPr>
          <w:trHeight w:val="170"/>
        </w:trPr>
        <w:tc>
          <w:tcPr>
            <w:tcW w:w="1669" w:type="dxa"/>
            <w:vMerge/>
            <w:shd w:val="clear" w:color="auto" w:fill="auto"/>
          </w:tcPr>
          <w:p w:rsidR="00513E9D" w:rsidRPr="00A17559" w:rsidRDefault="00513E9D" w:rsidP="00513E9D">
            <w:pPr>
              <w:pStyle w:val="Marginlie"/>
              <w:rPr>
                <w:lang w:val="en-GB"/>
              </w:rPr>
            </w:pPr>
          </w:p>
        </w:tc>
        <w:tc>
          <w:tcPr>
            <w:tcW w:w="180" w:type="dxa"/>
            <w:vMerge/>
            <w:shd w:val="clear" w:color="auto" w:fill="auto"/>
          </w:tcPr>
          <w:p w:rsidR="00513E9D" w:rsidRPr="00A17559" w:rsidRDefault="00513E9D" w:rsidP="00513E9D">
            <w:pPr>
              <w:pStyle w:val="Textpoznpodarou"/>
              <w:jc w:val="both"/>
              <w:rPr>
                <w:spacing w:val="-4"/>
                <w:lang w:val="en-GB"/>
              </w:rPr>
            </w:pPr>
          </w:p>
        </w:tc>
        <w:tc>
          <w:tcPr>
            <w:tcW w:w="7790" w:type="dxa"/>
            <w:shd w:val="clear" w:color="auto" w:fill="auto"/>
          </w:tcPr>
          <w:p w:rsidR="00513E9D" w:rsidRPr="00A17559" w:rsidRDefault="000F253E" w:rsidP="00513E9D">
            <w:pPr>
              <w:spacing w:after="0" w:line="240" w:lineRule="auto"/>
              <w:rPr>
                <w:spacing w:val="-7"/>
                <w:szCs w:val="20"/>
                <w:lang w:val="en-GB"/>
              </w:rPr>
            </w:pPr>
            <w:r>
              <w:rPr>
                <w:noProof/>
              </w:rPr>
              <w:drawing>
                <wp:inline distT="0" distB="0" distL="0" distR="0" wp14:anchorId="15EF9858" wp14:editId="5262157F">
                  <wp:extent cx="4729332" cy="3553200"/>
                  <wp:effectExtent l="0" t="0" r="0" b="0"/>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340FD2" w:rsidRPr="00A17559" w:rsidTr="00422629">
        <w:trPr>
          <w:trHeight w:val="170"/>
        </w:trPr>
        <w:tc>
          <w:tcPr>
            <w:tcW w:w="1669" w:type="dxa"/>
            <w:vMerge/>
            <w:shd w:val="clear" w:color="auto" w:fill="auto"/>
            <w:tcMar>
              <w:left w:w="0" w:type="dxa"/>
            </w:tcMar>
          </w:tcPr>
          <w:p w:rsidR="00513E9D" w:rsidRPr="00A17559" w:rsidRDefault="00513E9D" w:rsidP="00513E9D">
            <w:pPr>
              <w:pStyle w:val="Marginlie"/>
              <w:rPr>
                <w:lang w:val="en-GB"/>
              </w:rPr>
            </w:pPr>
          </w:p>
        </w:tc>
        <w:tc>
          <w:tcPr>
            <w:tcW w:w="180" w:type="dxa"/>
            <w:vMerge/>
            <w:shd w:val="clear" w:color="auto" w:fill="auto"/>
            <w:tcMar>
              <w:left w:w="0" w:type="dxa"/>
            </w:tcMar>
          </w:tcPr>
          <w:p w:rsidR="00513E9D" w:rsidRPr="00A17559" w:rsidRDefault="00513E9D" w:rsidP="00513E9D">
            <w:pPr>
              <w:pStyle w:val="Textpoznpodarou"/>
              <w:jc w:val="both"/>
              <w:rPr>
                <w:spacing w:val="-4"/>
                <w:lang w:val="en-GB"/>
              </w:rPr>
            </w:pPr>
          </w:p>
        </w:tc>
        <w:tc>
          <w:tcPr>
            <w:tcW w:w="7790" w:type="dxa"/>
            <w:shd w:val="clear" w:color="auto" w:fill="auto"/>
            <w:tcMar>
              <w:left w:w="0" w:type="dxa"/>
            </w:tcMar>
          </w:tcPr>
          <w:p w:rsidR="005845BB" w:rsidRPr="00A17559" w:rsidRDefault="0096108D" w:rsidP="00C05DF8">
            <w:pPr>
              <w:spacing w:after="200"/>
              <w:rPr>
                <w:rFonts w:cs="Arial"/>
                <w:spacing w:val="-7"/>
                <w:sz w:val="14"/>
                <w:szCs w:val="14"/>
                <w:lang w:val="en-GB"/>
              </w:rPr>
            </w:pPr>
            <w:r w:rsidRPr="00A17559">
              <w:rPr>
                <w:rFonts w:cs="Arial"/>
                <w:spacing w:val="-7"/>
                <w:sz w:val="14"/>
                <w:szCs w:val="14"/>
                <w:lang w:val="en-GB"/>
              </w:rPr>
              <w:t>Source</w:t>
            </w:r>
            <w:r w:rsidR="00513E9D" w:rsidRPr="00A17559">
              <w:rPr>
                <w:rFonts w:cs="Arial"/>
                <w:spacing w:val="-7"/>
                <w:sz w:val="14"/>
                <w:szCs w:val="14"/>
                <w:lang w:val="en-GB"/>
              </w:rPr>
              <w:t xml:space="preserve">: </w:t>
            </w:r>
            <w:r w:rsidRPr="00A17559">
              <w:rPr>
                <w:rFonts w:cs="Arial"/>
                <w:spacing w:val="-7"/>
                <w:sz w:val="14"/>
                <w:szCs w:val="14"/>
                <w:lang w:val="en-GB"/>
              </w:rPr>
              <w:t>CZSO</w:t>
            </w:r>
            <w:r w:rsidR="00F37A39">
              <w:rPr>
                <w:rFonts w:cs="Arial"/>
                <w:spacing w:val="-7"/>
                <w:sz w:val="14"/>
                <w:szCs w:val="14"/>
                <w:lang w:val="en-GB"/>
              </w:rPr>
              <w:t xml:space="preserve">                                                                                                                                                                  *Data are seasonally adjusted</w:t>
            </w:r>
          </w:p>
        </w:tc>
      </w:tr>
      <w:tr w:rsidR="00F37A39" w:rsidRPr="00A17559" w:rsidTr="00422629">
        <w:trPr>
          <w:trHeight w:val="145"/>
        </w:trPr>
        <w:tc>
          <w:tcPr>
            <w:tcW w:w="1669" w:type="dxa"/>
            <w:shd w:val="clear" w:color="auto" w:fill="auto"/>
            <w:tcMar>
              <w:left w:w="0" w:type="dxa"/>
            </w:tcMar>
          </w:tcPr>
          <w:p w:rsidR="00F37A39" w:rsidRPr="00A17559" w:rsidRDefault="00F37A39" w:rsidP="00F37A39">
            <w:pPr>
              <w:pStyle w:val="Marginlie"/>
              <w:rPr>
                <w:lang w:val="en-GB"/>
              </w:rPr>
            </w:pPr>
            <w:r w:rsidRPr="00A17559">
              <w:rPr>
                <w:lang w:val="en-GB"/>
              </w:rPr>
              <w:lastRenderedPageBreak/>
              <w:t xml:space="preserve">Rate of growth of domestic sales of industrial businesses exceeded the sales from direct export already third year in a row. </w:t>
            </w:r>
          </w:p>
        </w:tc>
        <w:tc>
          <w:tcPr>
            <w:tcW w:w="180" w:type="dxa"/>
            <w:shd w:val="clear" w:color="auto" w:fill="auto"/>
            <w:tcMar>
              <w:left w:w="0" w:type="dxa"/>
            </w:tcMar>
          </w:tcPr>
          <w:p w:rsidR="00F37A39" w:rsidRPr="00A17559" w:rsidRDefault="00F37A39" w:rsidP="00F37A39">
            <w:pPr>
              <w:pStyle w:val="Textpoznpodarou"/>
              <w:jc w:val="both"/>
              <w:rPr>
                <w:spacing w:val="-4"/>
                <w:lang w:val="en-GB"/>
              </w:rPr>
            </w:pPr>
          </w:p>
        </w:tc>
        <w:tc>
          <w:tcPr>
            <w:tcW w:w="7790" w:type="dxa"/>
            <w:shd w:val="clear" w:color="auto" w:fill="auto"/>
            <w:tcMar>
              <w:left w:w="0" w:type="dxa"/>
            </w:tcMar>
          </w:tcPr>
          <w:p w:rsidR="00F37A39" w:rsidRPr="00A17559" w:rsidRDefault="00F37A39" w:rsidP="00F37A39">
            <w:pPr>
              <w:spacing w:after="200"/>
              <w:rPr>
                <w:color w:val="000000" w:themeColor="text1"/>
                <w:spacing w:val="-7"/>
                <w:lang w:val="en-GB"/>
              </w:rPr>
            </w:pPr>
            <w:r w:rsidRPr="00A17559">
              <w:rPr>
                <w:color w:val="0D0D0D" w:themeColor="text1" w:themeTint="F2"/>
                <w:spacing w:val="-7"/>
                <w:lang w:val="en-GB"/>
              </w:rPr>
              <w:t>Despite weakening dynamics of production, the nominal sales of industrial businesses rose by 3.1% year-on-year in H1 2019 (nearly by 2 p.p. more than in the same period of the last year, when there was even one working day more). They thus clearly pointed to the upward movement of prices in the economy. Similarly to years 2017 and 2018, domestic sales grew faster (+3.8%) than sales from direct export this year. Total sales fell only in four industrial fields, given the more significant, it was the chemical industry (by 1.9%) and metallurgy (by 1.</w:t>
            </w:r>
            <w:r w:rsidR="00F52E3F">
              <w:rPr>
                <w:color w:val="0D0D0D" w:themeColor="text1" w:themeTint="F2"/>
                <w:spacing w:val="-7"/>
                <w:lang w:val="en-GB"/>
              </w:rPr>
              <w:t>4%). On the other hand,</w:t>
            </w:r>
            <w:r w:rsidRPr="00A17559">
              <w:rPr>
                <w:color w:val="0D0D0D" w:themeColor="text1" w:themeTint="F2"/>
                <w:spacing w:val="-7"/>
                <w:lang w:val="en-GB"/>
              </w:rPr>
              <w:t xml:space="preserve"> they increased by more than one tenth e.g. in manufacture of leather or pharmaceutical industry and in energetics. </w:t>
            </w:r>
          </w:p>
        </w:tc>
      </w:tr>
      <w:tr w:rsidR="00F37A39" w:rsidRPr="00A17559" w:rsidTr="00422629">
        <w:trPr>
          <w:trHeight w:val="145"/>
        </w:trPr>
        <w:tc>
          <w:tcPr>
            <w:tcW w:w="1669" w:type="dxa"/>
            <w:shd w:val="clear" w:color="auto" w:fill="auto"/>
            <w:tcMar>
              <w:left w:w="0" w:type="dxa"/>
            </w:tcMar>
          </w:tcPr>
          <w:p w:rsidR="00F37A39" w:rsidRPr="00A17559" w:rsidRDefault="00F37A39" w:rsidP="00F37A39">
            <w:pPr>
              <w:pStyle w:val="Marginlie"/>
              <w:rPr>
                <w:lang w:val="en-GB"/>
              </w:rPr>
            </w:pPr>
            <w:r w:rsidRPr="00A17559">
              <w:rPr>
                <w:lang w:val="en-GB"/>
              </w:rPr>
              <w:t xml:space="preserve">Value of new domestic orders year-on-year rose in </w:t>
            </w:r>
            <w:r w:rsidR="001C6C7D">
              <w:rPr>
                <w:lang w:val="en-GB"/>
              </w:rPr>
              <w:t>Q2. I</w:t>
            </w:r>
            <w:r w:rsidRPr="00A17559">
              <w:rPr>
                <w:lang w:val="en-GB"/>
              </w:rPr>
              <w:t xml:space="preserve">t stagnated for foreign orders. </w:t>
            </w:r>
          </w:p>
          <w:p w:rsidR="00F37A39" w:rsidRPr="00A17559" w:rsidRDefault="00F37A39" w:rsidP="00F37A39">
            <w:pPr>
              <w:pStyle w:val="Marginlie"/>
              <w:rPr>
                <w:lang w:val="en-GB"/>
              </w:rPr>
            </w:pPr>
          </w:p>
          <w:p w:rsidR="00F37A39" w:rsidRPr="00A17559" w:rsidRDefault="00F37A39" w:rsidP="00F37A39">
            <w:pPr>
              <w:pStyle w:val="Marginlie"/>
              <w:rPr>
                <w:lang w:val="en-GB"/>
              </w:rPr>
            </w:pPr>
          </w:p>
          <w:p w:rsidR="00F37A39" w:rsidRPr="00A17559" w:rsidRDefault="00F37A39" w:rsidP="00F37A39">
            <w:pPr>
              <w:pStyle w:val="Marginlie"/>
              <w:rPr>
                <w:lang w:val="en-GB"/>
              </w:rPr>
            </w:pPr>
            <w:r w:rsidRPr="00A17559">
              <w:rPr>
                <w:lang w:val="en-GB"/>
              </w:rPr>
              <w:t xml:space="preserve">Balance of confidence indicator dropped to nearly six-year minimum, inadequate demand presented the </w:t>
            </w:r>
            <w:r w:rsidR="001C6C7D">
              <w:rPr>
                <w:lang w:val="en-GB"/>
              </w:rPr>
              <w:t xml:space="preserve">again </w:t>
            </w:r>
            <w:r w:rsidRPr="00A17559">
              <w:rPr>
                <w:lang w:val="en-GB"/>
              </w:rPr>
              <w:t xml:space="preserve">main barrier to growth after two years. </w:t>
            </w:r>
          </w:p>
        </w:tc>
        <w:tc>
          <w:tcPr>
            <w:tcW w:w="180" w:type="dxa"/>
            <w:shd w:val="clear" w:color="auto" w:fill="auto"/>
            <w:tcMar>
              <w:left w:w="0" w:type="dxa"/>
            </w:tcMar>
          </w:tcPr>
          <w:p w:rsidR="00F37A39" w:rsidRPr="00A17559" w:rsidRDefault="00F37A39" w:rsidP="00F37A39">
            <w:pPr>
              <w:pStyle w:val="Textpoznpodarou"/>
              <w:jc w:val="both"/>
              <w:rPr>
                <w:spacing w:val="-3"/>
                <w:lang w:val="en-GB"/>
              </w:rPr>
            </w:pPr>
          </w:p>
        </w:tc>
        <w:tc>
          <w:tcPr>
            <w:tcW w:w="7790" w:type="dxa"/>
            <w:shd w:val="clear" w:color="auto" w:fill="auto"/>
            <w:tcMar>
              <w:left w:w="0" w:type="dxa"/>
            </w:tcMar>
          </w:tcPr>
          <w:p w:rsidR="00F37A39" w:rsidRPr="00A17559" w:rsidRDefault="00902A83" w:rsidP="00F37A39">
            <w:pPr>
              <w:pStyle w:val="Textpoznpodarou"/>
              <w:spacing w:after="200" w:line="276" w:lineRule="auto"/>
              <w:jc w:val="both"/>
              <w:rPr>
                <w:color w:val="0D0D0D" w:themeColor="text1" w:themeTint="F2"/>
                <w:spacing w:val="-7"/>
                <w:lang w:val="en-GB"/>
              </w:rPr>
            </w:pPr>
            <w:r>
              <w:rPr>
                <w:color w:val="0D0D0D" w:themeColor="text1" w:themeTint="F2"/>
                <w:spacing w:val="-7"/>
                <w:lang w:val="en-GB"/>
              </w:rPr>
              <w:t>Prospects of the</w:t>
            </w:r>
            <w:r w:rsidR="00F37A39" w:rsidRPr="00A17559">
              <w:rPr>
                <w:color w:val="0D0D0D" w:themeColor="text1" w:themeTint="F2"/>
                <w:spacing w:val="-7"/>
                <w:lang w:val="en-GB"/>
              </w:rPr>
              <w:t xml:space="preserve"> industry </w:t>
            </w:r>
            <w:r>
              <w:rPr>
                <w:color w:val="0D0D0D" w:themeColor="text1" w:themeTint="F2"/>
                <w:spacing w:val="-7"/>
                <w:lang w:val="en-GB"/>
              </w:rPr>
              <w:t xml:space="preserve">in the CR </w:t>
            </w:r>
            <w:r w:rsidR="00F37A39" w:rsidRPr="00A17559">
              <w:rPr>
                <w:color w:val="0D0D0D" w:themeColor="text1" w:themeTint="F2"/>
                <w:spacing w:val="-7"/>
                <w:lang w:val="en-GB"/>
              </w:rPr>
              <w:t>towards the second half of year 2019 remain full of contradictions. On one hand, the moderate growth of the value of new orders persists</w:t>
            </w:r>
            <w:r w:rsidR="00F37A39" w:rsidRPr="00A17559">
              <w:rPr>
                <w:rStyle w:val="Znakapoznpodarou"/>
                <w:spacing w:val="-7"/>
                <w:lang w:val="en-GB"/>
              </w:rPr>
              <w:footnoteReference w:id="22"/>
            </w:r>
            <w:r w:rsidR="00F37A39" w:rsidRPr="00A17559">
              <w:rPr>
                <w:color w:val="0D0D0D" w:themeColor="text1" w:themeTint="F2"/>
                <w:spacing w:val="-7"/>
                <w:lang w:val="en-GB"/>
              </w:rPr>
              <w:t>. It reached 1.7%</w:t>
            </w:r>
            <w:r w:rsidR="00F37A39" w:rsidRPr="00A17559">
              <w:rPr>
                <w:rStyle w:val="Znakapoznpodarou"/>
                <w:spacing w:val="-7"/>
                <w:lang w:val="en-GB"/>
              </w:rPr>
              <w:footnoteReference w:id="23"/>
            </w:r>
            <w:r w:rsidR="00F37A39" w:rsidRPr="00A17559">
              <w:rPr>
                <w:color w:val="0D0D0D" w:themeColor="text1" w:themeTint="F2"/>
                <w:spacing w:val="-7"/>
                <w:lang w:val="en-GB"/>
              </w:rPr>
              <w:t xml:space="preserve"> year-on-year in Q2, if only thanks to the domestic orders (+5.0%). Further motor vehicle industry, incl. its closest sub-suppliers signalled a mild growth of demand. Significant branches – machinery, manufacture of metal products or chemical industry - were however in the opposite situation. Utilisation of current production capacities </w:t>
            </w:r>
            <w:r w:rsidR="001C6C7D">
              <w:rPr>
                <w:color w:val="0D0D0D" w:themeColor="text1" w:themeTint="F2"/>
                <w:spacing w:val="-7"/>
                <w:lang w:val="en-GB"/>
              </w:rPr>
              <w:t xml:space="preserve">in whole industry </w:t>
            </w:r>
            <w:r w:rsidR="00F37A39" w:rsidRPr="00A17559">
              <w:rPr>
                <w:color w:val="0D0D0D" w:themeColor="text1" w:themeTint="F2"/>
                <w:spacing w:val="-7"/>
                <w:lang w:val="en-GB"/>
              </w:rPr>
              <w:t xml:space="preserve">remained high (86%). Seasonally adjusted balance of the confidence indicator in industry descended into the negative band after more than five years at the beginning of year </w:t>
            </w:r>
            <w:r w:rsidR="00F37A39" w:rsidRPr="00A17559">
              <w:rPr>
                <w:rFonts w:cs="Arial"/>
                <w:color w:val="0D0D0D" w:themeColor="text1" w:themeTint="F2"/>
                <w:spacing w:val="-7"/>
                <w:lang w:val="en-GB"/>
              </w:rPr>
              <w:t>2019 and</w:t>
            </w:r>
            <w:r w:rsidR="00F37A39" w:rsidRPr="00A17559">
              <w:rPr>
                <w:spacing w:val="-7"/>
                <w:lang w:val="en-GB"/>
              </w:rPr>
              <w:t> the subtle pessimism further deepened in Q</w:t>
            </w:r>
            <w:r w:rsidR="00F37A39" w:rsidRPr="00A17559">
              <w:rPr>
                <w:rFonts w:cs="Arial"/>
                <w:color w:val="0D0D0D" w:themeColor="text1" w:themeTint="F2"/>
                <w:spacing w:val="-7"/>
                <w:lang w:val="en-GB"/>
              </w:rPr>
              <w:t xml:space="preserve">2 (to </w:t>
            </w:r>
            <w:r w:rsidR="00F37A39" w:rsidRPr="00A17559">
              <w:rPr>
                <w:color w:val="0D0D0D" w:themeColor="text1" w:themeTint="F2"/>
                <w:spacing w:val="-7"/>
                <w:lang w:val="en-GB"/>
              </w:rPr>
              <w:t>–3.0 points in June)</w:t>
            </w:r>
            <w:r w:rsidR="00F37A39" w:rsidRPr="00A17559">
              <w:rPr>
                <w:rFonts w:cs="Arial"/>
                <w:color w:val="0D0D0D" w:themeColor="text1" w:themeTint="F2"/>
                <w:spacing w:val="-7"/>
                <w:lang w:val="en-GB"/>
              </w:rPr>
              <w:t>. Given the main barriers to growth, weight increased for inadequate demand (from 33% in Q4 2018 to 40% at the beginning of Q3 2019) and the role of labour force shortage diminished (from 45% to 39%)</w:t>
            </w:r>
            <w:r w:rsidR="00F37A39" w:rsidRPr="00A17559">
              <w:rPr>
                <w:rStyle w:val="Znakapoznpodarou"/>
                <w:spacing w:val="-7"/>
                <w:lang w:val="en-GB"/>
              </w:rPr>
              <w:footnoteReference w:id="24"/>
            </w:r>
            <w:r w:rsidR="00F37A39" w:rsidRPr="00A17559">
              <w:rPr>
                <w:rFonts w:cs="Arial"/>
                <w:color w:val="0D0D0D" w:themeColor="text1" w:themeTint="F2"/>
                <w:spacing w:val="-7"/>
                <w:lang w:val="en-GB"/>
              </w:rPr>
              <w:t>. Businesses also face more the lack of material since half of year 2018. One fifth of businesses on the other hand did not id</w:t>
            </w:r>
            <w:r w:rsidR="001C6C7D">
              <w:rPr>
                <w:rFonts w:cs="Arial"/>
                <w:color w:val="0D0D0D" w:themeColor="text1" w:themeTint="F2"/>
                <w:spacing w:val="-7"/>
                <w:lang w:val="en-GB"/>
              </w:rPr>
              <w:t>entify any significant barriers</w:t>
            </w:r>
            <w:r w:rsidR="00F37A39" w:rsidRPr="00A17559">
              <w:rPr>
                <w:rFonts w:cs="Arial"/>
                <w:color w:val="0D0D0D" w:themeColor="text1" w:themeTint="F2"/>
                <w:spacing w:val="-7"/>
                <w:lang w:val="en-GB"/>
              </w:rPr>
              <w:t>.</w:t>
            </w:r>
          </w:p>
        </w:tc>
      </w:tr>
      <w:tr w:rsidR="00F37A39" w:rsidRPr="00A17559" w:rsidTr="00422629">
        <w:trPr>
          <w:trHeight w:val="145"/>
        </w:trPr>
        <w:tc>
          <w:tcPr>
            <w:tcW w:w="1669" w:type="dxa"/>
            <w:shd w:val="clear" w:color="auto" w:fill="auto"/>
            <w:tcMar>
              <w:left w:w="0" w:type="dxa"/>
            </w:tcMar>
          </w:tcPr>
          <w:p w:rsidR="00F37A39" w:rsidRPr="00A17559" w:rsidRDefault="00F37A39" w:rsidP="00F37A39">
            <w:pPr>
              <w:pStyle w:val="Marginlie"/>
              <w:rPr>
                <w:lang w:val="en-GB"/>
              </w:rPr>
            </w:pPr>
            <w:r w:rsidRPr="00A17559">
              <w:rPr>
                <w:lang w:val="en-GB"/>
              </w:rPr>
              <w:t>Growth of construction output grew already third year in a row. The warm weather had an effect as well as strengthening</w:t>
            </w:r>
            <w:r w:rsidR="00D0332D">
              <w:rPr>
                <w:lang w:val="en-GB"/>
              </w:rPr>
              <w:t xml:space="preserve"> of public investment o</w:t>
            </w:r>
            <w:r w:rsidRPr="00A17559">
              <w:rPr>
                <w:lang w:val="en-GB"/>
              </w:rPr>
              <w:t xml:space="preserve">n infrastructure projects. </w:t>
            </w:r>
          </w:p>
        </w:tc>
        <w:tc>
          <w:tcPr>
            <w:tcW w:w="180" w:type="dxa"/>
            <w:shd w:val="clear" w:color="auto" w:fill="auto"/>
            <w:tcMar>
              <w:left w:w="0" w:type="dxa"/>
            </w:tcMar>
          </w:tcPr>
          <w:p w:rsidR="00F37A39" w:rsidRPr="00A17559" w:rsidRDefault="00F37A39" w:rsidP="00F37A39">
            <w:pPr>
              <w:pStyle w:val="Textpoznpodarou"/>
              <w:jc w:val="both"/>
              <w:rPr>
                <w:spacing w:val="-3"/>
                <w:lang w:val="en-GB"/>
              </w:rPr>
            </w:pPr>
          </w:p>
        </w:tc>
        <w:tc>
          <w:tcPr>
            <w:tcW w:w="7790" w:type="dxa"/>
            <w:shd w:val="clear" w:color="auto" w:fill="auto"/>
            <w:tcMar>
              <w:left w:w="0" w:type="dxa"/>
            </w:tcMar>
          </w:tcPr>
          <w:p w:rsidR="00F37A39" w:rsidRPr="00A17559" w:rsidRDefault="00F37A39" w:rsidP="00F37A39">
            <w:pPr>
              <w:pStyle w:val="Textpoznpodarou"/>
              <w:spacing w:after="200" w:line="276" w:lineRule="auto"/>
              <w:jc w:val="both"/>
              <w:rPr>
                <w:color w:val="0D0D0D" w:themeColor="text1" w:themeTint="F2"/>
                <w:spacing w:val="-7"/>
                <w:lang w:val="en-GB"/>
              </w:rPr>
            </w:pPr>
            <w:r w:rsidRPr="00A17559">
              <w:rPr>
                <w:color w:val="0D0D0D" w:themeColor="text1" w:themeTint="F2"/>
                <w:spacing w:val="-7"/>
                <w:lang w:val="en-GB"/>
              </w:rPr>
              <w:t>Growth of construction output</w:t>
            </w:r>
            <w:r w:rsidRPr="00A17559">
              <w:rPr>
                <w:rStyle w:val="Znakapoznpodarou"/>
                <w:spacing w:val="-7"/>
                <w:lang w:val="en-GB"/>
              </w:rPr>
              <w:footnoteReference w:id="25"/>
            </w:r>
            <w:r w:rsidRPr="00A17559">
              <w:rPr>
                <w:spacing w:val="-7"/>
                <w:lang w:val="en-GB"/>
              </w:rPr>
              <w:t xml:space="preserve"> slackened this year following the strong last year, nevertheless it continued for the third year in a row. It attained 3.4%</w:t>
            </w:r>
            <w:r w:rsidRPr="00A17559">
              <w:rPr>
                <w:rStyle w:val="Znakapoznpodarou"/>
                <w:spacing w:val="-7"/>
                <w:lang w:val="en-GB"/>
              </w:rPr>
              <w:footnoteReference w:id="26"/>
            </w:r>
            <w:r w:rsidRPr="00A17559">
              <w:rPr>
                <w:spacing w:val="-7"/>
                <w:lang w:val="en-GB"/>
              </w:rPr>
              <w:t xml:space="preserve"> year-on-year in H1, also assisted by a swift entrance into this year </w:t>
            </w:r>
            <w:r w:rsidRPr="00A17559">
              <w:rPr>
                <w:color w:val="0D0D0D" w:themeColor="text1" w:themeTint="F2"/>
                <w:spacing w:val="-7"/>
                <w:lang w:val="en-GB"/>
              </w:rPr>
              <w:t xml:space="preserve">– output increased nearly by 4% quarter-on-quarter for the first three months, when the warmer weather also fuelled the faster take-off of construction works. Further positive effect also originated from higher public investments connected to the faster drawing on funds from the EU budget, as well as a gradual expansion of residential construction. Despite weaker dynamics </w:t>
            </w:r>
            <w:r w:rsidRPr="00A17559">
              <w:rPr>
                <w:spacing w:val="-7"/>
                <w:lang w:val="en-GB"/>
              </w:rPr>
              <w:t>(+2.6%), weight dominant building construction added to growth of total construction production approximately by one half more than civil engineering construction (+6.2%) in H1.</w:t>
            </w:r>
          </w:p>
        </w:tc>
      </w:tr>
      <w:tr w:rsidR="00422629" w:rsidRPr="00A17559" w:rsidTr="00422629">
        <w:trPr>
          <w:trHeight w:val="145"/>
        </w:trPr>
        <w:tc>
          <w:tcPr>
            <w:tcW w:w="1669" w:type="dxa"/>
            <w:shd w:val="clear" w:color="auto" w:fill="auto"/>
            <w:tcMar>
              <w:left w:w="0" w:type="dxa"/>
            </w:tcMar>
          </w:tcPr>
          <w:p w:rsidR="00422629" w:rsidRPr="00A17559" w:rsidRDefault="00422629" w:rsidP="00422629">
            <w:pPr>
              <w:pStyle w:val="Marginlie"/>
              <w:rPr>
                <w:color w:val="0D0D0D" w:themeColor="text1" w:themeTint="F2"/>
                <w:spacing w:val="-4"/>
                <w:lang w:val="en-GB"/>
              </w:rPr>
            </w:pPr>
            <w:r w:rsidRPr="00A17559">
              <w:rPr>
                <w:lang w:val="en-GB"/>
              </w:rPr>
              <w:t>Brisk growth of volume of started residential construction continued already third year in a row. Numbe</w:t>
            </w:r>
            <w:r w:rsidR="001D6E96">
              <w:rPr>
                <w:lang w:val="en-GB"/>
              </w:rPr>
              <w:t>r of flats in multi-dwelling buildings</w:t>
            </w:r>
            <w:r w:rsidRPr="00A17559">
              <w:rPr>
                <w:lang w:val="en-GB"/>
              </w:rPr>
              <w:t xml:space="preserve"> hit the highest value since the end of year </w:t>
            </w:r>
            <w:r w:rsidRPr="00A17559">
              <w:rPr>
                <w:color w:val="0D0D0D" w:themeColor="text1" w:themeTint="F2"/>
                <w:spacing w:val="-4"/>
                <w:lang w:val="en-GB"/>
              </w:rPr>
              <w:t>2008.</w:t>
            </w:r>
          </w:p>
        </w:tc>
        <w:tc>
          <w:tcPr>
            <w:tcW w:w="180" w:type="dxa"/>
            <w:shd w:val="clear" w:color="auto" w:fill="auto"/>
            <w:tcMar>
              <w:left w:w="0" w:type="dxa"/>
            </w:tcMar>
          </w:tcPr>
          <w:p w:rsidR="00422629" w:rsidRPr="00A17559" w:rsidRDefault="00422629" w:rsidP="00422629">
            <w:pPr>
              <w:pStyle w:val="Textpoznpodarou"/>
              <w:jc w:val="both"/>
              <w:rPr>
                <w:spacing w:val="-4"/>
                <w:lang w:val="en-GB"/>
              </w:rPr>
            </w:pPr>
          </w:p>
        </w:tc>
        <w:tc>
          <w:tcPr>
            <w:tcW w:w="7790" w:type="dxa"/>
            <w:shd w:val="clear" w:color="auto" w:fill="auto"/>
            <w:tcMar>
              <w:left w:w="0" w:type="dxa"/>
            </w:tcMar>
          </w:tcPr>
          <w:p w:rsidR="00422629" w:rsidRPr="00A17559" w:rsidRDefault="00422629" w:rsidP="00422629">
            <w:pPr>
              <w:spacing w:after="200"/>
              <w:rPr>
                <w:color w:val="0D0D0D" w:themeColor="text1" w:themeTint="F2"/>
                <w:spacing w:val="-7"/>
                <w:szCs w:val="20"/>
                <w:lang w:val="en-GB"/>
              </w:rPr>
            </w:pPr>
            <w:r w:rsidRPr="00A17559">
              <w:rPr>
                <w:color w:val="0D0D0D" w:themeColor="text1" w:themeTint="F2"/>
                <w:spacing w:val="-7"/>
                <w:szCs w:val="20"/>
                <w:lang w:val="en-GB"/>
              </w:rPr>
              <w:t>It is also evident from the building construction performance, that the residential construction is gaining strength, thus gradually reacting to the longstanding strong demand in this area. Number of started dwellings was by 15.4% year-on-year higher in H1. It recorded a notable growth for the same time period already third year in a row. This year´s construction volume  (19.1 thousand</w:t>
            </w:r>
            <w:r w:rsidR="00E375EC">
              <w:rPr>
                <w:color w:val="0D0D0D" w:themeColor="text1" w:themeTint="F2"/>
                <w:spacing w:val="-7"/>
                <w:szCs w:val="20"/>
                <w:lang w:val="en-GB"/>
              </w:rPr>
              <w:t xml:space="preserve"> flats</w:t>
            </w:r>
            <w:r w:rsidRPr="00A17559">
              <w:rPr>
                <w:color w:val="0D0D0D" w:themeColor="text1" w:themeTint="F2"/>
                <w:spacing w:val="-7"/>
                <w:szCs w:val="20"/>
                <w:lang w:val="en-GB"/>
              </w:rPr>
              <w:t>) thus already notably approached the so far record value for the same part of the year 2008 (21.9 thousand). Year-on-year expansion of started dwellings manifested in all main types of construction apart from the peripheral segments of non-residential buildings and reconstructed non-residential premises</w:t>
            </w:r>
            <w:r w:rsidRPr="00A17559">
              <w:rPr>
                <w:rStyle w:val="Znakapoznpodarou"/>
                <w:spacing w:val="-7"/>
                <w:lang w:val="en-GB"/>
              </w:rPr>
              <w:footnoteReference w:id="27"/>
            </w:r>
            <w:r w:rsidRPr="00A17559">
              <w:rPr>
                <w:color w:val="0D0D0D" w:themeColor="text1" w:themeTint="F2"/>
                <w:spacing w:val="-7"/>
                <w:szCs w:val="20"/>
                <w:lang w:val="en-GB"/>
              </w:rPr>
              <w:t xml:space="preserve">. The largest increase </w:t>
            </w:r>
            <w:r w:rsidR="001D6E96">
              <w:rPr>
                <w:color w:val="0D0D0D" w:themeColor="text1" w:themeTint="F2"/>
                <w:spacing w:val="-7"/>
                <w:szCs w:val="20"/>
                <w:lang w:val="en-GB"/>
              </w:rPr>
              <w:t>of flats occurred in multi-dwelling</w:t>
            </w:r>
            <w:r w:rsidRPr="00A17559">
              <w:rPr>
                <w:color w:val="0D0D0D" w:themeColor="text1" w:themeTint="F2"/>
                <w:spacing w:val="-7"/>
                <w:szCs w:val="20"/>
                <w:lang w:val="en-GB"/>
              </w:rPr>
              <w:t xml:space="preserve"> buildings (+59%), </w:t>
            </w:r>
            <w:r w:rsidR="001D6E96">
              <w:rPr>
                <w:color w:val="0D0D0D" w:themeColor="text1" w:themeTint="F2"/>
                <w:spacing w:val="-7"/>
                <w:szCs w:val="20"/>
                <w:lang w:val="en-GB"/>
              </w:rPr>
              <w:t>construction</w:t>
            </w:r>
            <w:r w:rsidRPr="00A17559">
              <w:rPr>
                <w:color w:val="0D0D0D" w:themeColor="text1" w:themeTint="F2"/>
                <w:spacing w:val="-7"/>
                <w:szCs w:val="20"/>
                <w:lang w:val="en-GB"/>
              </w:rPr>
              <w:t xml:space="preserve"> reached the eleven year maximum here (6.0 thousand</w:t>
            </w:r>
            <w:r w:rsidR="0070798D">
              <w:rPr>
                <w:color w:val="0D0D0D" w:themeColor="text1" w:themeTint="F2"/>
                <w:spacing w:val="-7"/>
                <w:szCs w:val="20"/>
                <w:lang w:val="en-GB"/>
              </w:rPr>
              <w:t xml:space="preserve"> flats</w:t>
            </w:r>
            <w:r w:rsidRPr="00A17559">
              <w:rPr>
                <w:color w:val="0D0D0D" w:themeColor="text1" w:themeTint="F2"/>
                <w:spacing w:val="-7"/>
                <w:szCs w:val="20"/>
                <w:lang w:val="en-GB"/>
              </w:rPr>
              <w:t xml:space="preserve">). Even though in the regional view, Prague contributed the most to the year-on-year growth </w:t>
            </w:r>
            <w:r w:rsidRPr="00A17559">
              <w:rPr>
                <w:color w:val="0D0D0D" w:themeColor="text1" w:themeTint="F2"/>
                <w:spacing w:val="-7"/>
                <w:szCs w:val="20"/>
                <w:lang w:val="en-GB"/>
              </w:rPr>
              <w:lastRenderedPageBreak/>
              <w:t>in H1 and volume of commenced construction hit the four-year maximum here (2.5 thousand.), it still lagged behind the increase in populatio</w:t>
            </w:r>
            <w:r w:rsidR="001D6E96">
              <w:rPr>
                <w:color w:val="0D0D0D" w:themeColor="text1" w:themeTint="F2"/>
                <w:spacing w:val="-7"/>
                <w:szCs w:val="20"/>
                <w:lang w:val="en-GB"/>
              </w:rPr>
              <w:t>n as well as job opportunities in Prague.</w:t>
            </w:r>
          </w:p>
        </w:tc>
      </w:tr>
      <w:tr w:rsidR="00422629" w:rsidRPr="00A17559" w:rsidTr="00422629">
        <w:trPr>
          <w:trHeight w:val="170"/>
        </w:trPr>
        <w:tc>
          <w:tcPr>
            <w:tcW w:w="1669" w:type="dxa"/>
            <w:vMerge w:val="restart"/>
            <w:shd w:val="clear" w:color="auto" w:fill="auto"/>
            <w:tcMar>
              <w:left w:w="0" w:type="dxa"/>
            </w:tcMar>
          </w:tcPr>
          <w:p w:rsidR="00422629" w:rsidRPr="00A17559" w:rsidRDefault="00422629" w:rsidP="00422629">
            <w:pPr>
              <w:pStyle w:val="Marginlie"/>
              <w:rPr>
                <w:lang w:val="en-GB"/>
              </w:rPr>
            </w:pPr>
          </w:p>
        </w:tc>
        <w:tc>
          <w:tcPr>
            <w:tcW w:w="180" w:type="dxa"/>
            <w:vMerge w:val="restart"/>
            <w:shd w:val="clear" w:color="auto" w:fill="auto"/>
            <w:tcMar>
              <w:left w:w="0" w:type="dxa"/>
            </w:tcMar>
          </w:tcPr>
          <w:p w:rsidR="00422629" w:rsidRPr="00A17559" w:rsidRDefault="00422629" w:rsidP="00422629">
            <w:pPr>
              <w:pStyle w:val="Textpoznpodarou"/>
              <w:jc w:val="both"/>
              <w:rPr>
                <w:spacing w:val="-4"/>
                <w:lang w:val="en-GB"/>
              </w:rPr>
            </w:pPr>
          </w:p>
        </w:tc>
        <w:tc>
          <w:tcPr>
            <w:tcW w:w="7790" w:type="dxa"/>
            <w:shd w:val="clear" w:color="auto" w:fill="auto"/>
            <w:tcMar>
              <w:left w:w="0" w:type="dxa"/>
            </w:tcMar>
          </w:tcPr>
          <w:p w:rsidR="00422629" w:rsidRPr="00422629" w:rsidRDefault="00422629" w:rsidP="00422629">
            <w:pPr>
              <w:spacing w:after="0"/>
              <w:jc w:val="left"/>
              <w:rPr>
                <w:b/>
                <w:spacing w:val="-2"/>
                <w:lang w:val="en-GB"/>
              </w:rPr>
            </w:pPr>
            <w:r w:rsidRPr="00422629">
              <w:rPr>
                <w:b/>
                <w:spacing w:val="-2"/>
                <w:lang w:val="en-GB"/>
              </w:rPr>
              <w:t xml:space="preserve">Chart 7  Contributions of branches to year-on-year change of construction output </w:t>
            </w:r>
            <w:r w:rsidRPr="00422629">
              <w:rPr>
                <w:spacing w:val="-2"/>
                <w:lang w:val="en-GB"/>
              </w:rPr>
              <w:t xml:space="preserve">(in p.p.), </w:t>
            </w:r>
            <w:r w:rsidRPr="00422629">
              <w:rPr>
                <w:b/>
                <w:spacing w:val="-2"/>
                <w:lang w:val="en-GB"/>
              </w:rPr>
              <w:t xml:space="preserve">total construction output and new orders </w:t>
            </w:r>
            <w:r w:rsidRPr="00422629">
              <w:rPr>
                <w:bCs/>
                <w:spacing w:val="-2"/>
                <w:lang w:val="en-GB"/>
              </w:rPr>
              <w:t>(year-on-year in %),</w:t>
            </w:r>
            <w:r w:rsidRPr="00422629">
              <w:rPr>
                <w:b/>
                <w:spacing w:val="-2"/>
                <w:lang w:val="en-GB"/>
              </w:rPr>
              <w:t xml:space="preserve"> balance of confidence indicator in construction*</w:t>
            </w:r>
            <w:r w:rsidRPr="00422629">
              <w:rPr>
                <w:spacing w:val="-2"/>
                <w:lang w:val="en-GB"/>
              </w:rPr>
              <w:t xml:space="preserve"> (in points, right axis) </w:t>
            </w:r>
            <w:r w:rsidRPr="00422629">
              <w:rPr>
                <w:b/>
                <w:spacing w:val="-2"/>
                <w:lang w:val="en-GB"/>
              </w:rPr>
              <w:t>and selected barriers to growth</w:t>
            </w:r>
            <w:r w:rsidRPr="00422629">
              <w:rPr>
                <w:spacing w:val="-2"/>
                <w:lang w:val="en-GB"/>
              </w:rPr>
              <w:t>* (in %, right axis)</w:t>
            </w:r>
          </w:p>
        </w:tc>
      </w:tr>
      <w:tr w:rsidR="00422629" w:rsidRPr="00A17559" w:rsidTr="005F28E2">
        <w:tblPrEx>
          <w:tblCellMar>
            <w:left w:w="70" w:type="dxa"/>
            <w:right w:w="70" w:type="dxa"/>
          </w:tblCellMar>
        </w:tblPrEx>
        <w:trPr>
          <w:trHeight w:val="170"/>
        </w:trPr>
        <w:tc>
          <w:tcPr>
            <w:tcW w:w="1669" w:type="dxa"/>
            <w:vMerge/>
            <w:shd w:val="clear" w:color="auto" w:fill="auto"/>
          </w:tcPr>
          <w:p w:rsidR="00422629" w:rsidRPr="00A17559" w:rsidRDefault="00422629" w:rsidP="00422629">
            <w:pPr>
              <w:pStyle w:val="Marginlie"/>
              <w:rPr>
                <w:lang w:val="en-GB"/>
              </w:rPr>
            </w:pPr>
          </w:p>
        </w:tc>
        <w:tc>
          <w:tcPr>
            <w:tcW w:w="180" w:type="dxa"/>
            <w:vMerge/>
            <w:shd w:val="clear" w:color="auto" w:fill="auto"/>
          </w:tcPr>
          <w:p w:rsidR="00422629" w:rsidRPr="00A17559" w:rsidRDefault="00422629" w:rsidP="00422629">
            <w:pPr>
              <w:pStyle w:val="Textpoznpodarou"/>
              <w:jc w:val="both"/>
              <w:rPr>
                <w:spacing w:val="-4"/>
                <w:lang w:val="en-GB"/>
              </w:rPr>
            </w:pPr>
          </w:p>
        </w:tc>
        <w:tc>
          <w:tcPr>
            <w:tcW w:w="7790" w:type="dxa"/>
            <w:shd w:val="clear" w:color="auto" w:fill="auto"/>
          </w:tcPr>
          <w:p w:rsidR="00422629" w:rsidRPr="00A17559" w:rsidRDefault="005F28E2" w:rsidP="00422629">
            <w:pPr>
              <w:spacing w:after="0"/>
              <w:rPr>
                <w:spacing w:val="-7"/>
                <w:lang w:val="en-GB"/>
              </w:rPr>
            </w:pPr>
            <w:r>
              <w:rPr>
                <w:noProof/>
              </w:rPr>
              <w:drawing>
                <wp:inline distT="0" distB="0" distL="0" distR="0" wp14:anchorId="21CF1393" wp14:editId="31706B0B">
                  <wp:extent cx="4740519" cy="3619500"/>
                  <wp:effectExtent l="0" t="0" r="3175" b="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422629" w:rsidRPr="00A17559" w:rsidTr="00422629">
        <w:trPr>
          <w:trHeight w:val="170"/>
        </w:trPr>
        <w:tc>
          <w:tcPr>
            <w:tcW w:w="1669" w:type="dxa"/>
            <w:vMerge/>
            <w:shd w:val="clear" w:color="auto" w:fill="auto"/>
            <w:tcMar>
              <w:left w:w="0" w:type="dxa"/>
            </w:tcMar>
          </w:tcPr>
          <w:p w:rsidR="00422629" w:rsidRPr="00A17559" w:rsidRDefault="00422629" w:rsidP="00422629">
            <w:pPr>
              <w:pStyle w:val="Marginlie"/>
              <w:rPr>
                <w:lang w:val="en-GB"/>
              </w:rPr>
            </w:pPr>
          </w:p>
        </w:tc>
        <w:tc>
          <w:tcPr>
            <w:tcW w:w="180" w:type="dxa"/>
            <w:vMerge/>
            <w:shd w:val="clear" w:color="auto" w:fill="auto"/>
            <w:tcMar>
              <w:left w:w="0" w:type="dxa"/>
            </w:tcMar>
          </w:tcPr>
          <w:p w:rsidR="00422629" w:rsidRPr="00A17559" w:rsidRDefault="00422629" w:rsidP="00422629">
            <w:pPr>
              <w:pStyle w:val="Textpoznpodarou"/>
              <w:jc w:val="both"/>
              <w:rPr>
                <w:spacing w:val="-4"/>
                <w:lang w:val="en-GB"/>
              </w:rPr>
            </w:pPr>
          </w:p>
        </w:tc>
        <w:tc>
          <w:tcPr>
            <w:tcW w:w="7790" w:type="dxa"/>
            <w:shd w:val="clear" w:color="auto" w:fill="auto"/>
            <w:tcMar>
              <w:left w:w="0" w:type="dxa"/>
            </w:tcMar>
          </w:tcPr>
          <w:p w:rsidR="00422629" w:rsidRPr="00A17559" w:rsidRDefault="00422629" w:rsidP="00422629">
            <w:pPr>
              <w:spacing w:after="0"/>
              <w:rPr>
                <w:rFonts w:cs="Arial"/>
                <w:spacing w:val="-7"/>
                <w:sz w:val="14"/>
                <w:szCs w:val="14"/>
                <w:lang w:val="en-GB"/>
              </w:rPr>
            </w:pPr>
            <w:r>
              <w:rPr>
                <w:rFonts w:cs="Arial"/>
                <w:spacing w:val="-7"/>
                <w:sz w:val="14"/>
                <w:szCs w:val="14"/>
                <w:lang w:val="en-GB"/>
              </w:rPr>
              <w:t xml:space="preserve">Note. </w:t>
            </w:r>
            <w:r w:rsidRPr="00A17559">
              <w:rPr>
                <w:rFonts w:cs="Arial"/>
                <w:spacing w:val="-7"/>
                <w:sz w:val="14"/>
                <w:szCs w:val="14"/>
                <w:lang w:val="en-GB"/>
              </w:rPr>
              <w:t xml:space="preserve">Data Related to construction output are adjusted for calendar effects. </w:t>
            </w:r>
          </w:p>
          <w:p w:rsidR="00422629" w:rsidRDefault="00422629" w:rsidP="00422629">
            <w:pPr>
              <w:spacing w:after="0"/>
              <w:rPr>
                <w:rFonts w:cs="Arial"/>
                <w:spacing w:val="-7"/>
                <w:sz w:val="14"/>
                <w:szCs w:val="14"/>
                <w:lang w:val="en-GB"/>
              </w:rPr>
            </w:pPr>
            <w:r w:rsidRPr="00A17559">
              <w:rPr>
                <w:rFonts w:cs="Arial"/>
                <w:spacing w:val="-7"/>
                <w:sz w:val="14"/>
                <w:szCs w:val="14"/>
                <w:lang w:val="en-GB"/>
              </w:rPr>
              <w:t>*Data are seasonally adjusted</w:t>
            </w:r>
            <w:r>
              <w:rPr>
                <w:rFonts w:cs="Arial"/>
                <w:spacing w:val="-7"/>
                <w:sz w:val="14"/>
                <w:szCs w:val="14"/>
                <w:lang w:val="en-GB"/>
              </w:rPr>
              <w:t>.</w:t>
            </w:r>
          </w:p>
          <w:p w:rsidR="00422629" w:rsidRPr="0008688B" w:rsidRDefault="00422629" w:rsidP="00422629">
            <w:pPr>
              <w:spacing w:after="200"/>
              <w:rPr>
                <w:rFonts w:cs="Arial"/>
                <w:spacing w:val="-7"/>
                <w:sz w:val="14"/>
                <w:szCs w:val="14"/>
                <w:lang w:val="en-GB"/>
              </w:rPr>
            </w:pPr>
            <w:r w:rsidRPr="00A17559">
              <w:rPr>
                <w:rFonts w:cs="Arial"/>
                <w:spacing w:val="-7"/>
                <w:sz w:val="14"/>
                <w:szCs w:val="14"/>
                <w:lang w:val="en-GB"/>
              </w:rPr>
              <w:t>Source: CZSO</w:t>
            </w:r>
          </w:p>
        </w:tc>
      </w:tr>
      <w:tr w:rsidR="00422629" w:rsidRPr="00A17559" w:rsidTr="00422629">
        <w:trPr>
          <w:trHeight w:val="145"/>
        </w:trPr>
        <w:tc>
          <w:tcPr>
            <w:tcW w:w="1669" w:type="dxa"/>
            <w:shd w:val="clear" w:color="auto" w:fill="auto"/>
            <w:tcMar>
              <w:left w:w="0" w:type="dxa"/>
            </w:tcMar>
          </w:tcPr>
          <w:p w:rsidR="00422629" w:rsidRPr="00A17559" w:rsidRDefault="00422629" w:rsidP="00422629">
            <w:pPr>
              <w:pStyle w:val="Marginlie"/>
              <w:rPr>
                <w:lang w:val="en-GB"/>
              </w:rPr>
            </w:pPr>
            <w:r w:rsidRPr="00A17559">
              <w:rPr>
                <w:lang w:val="en-GB"/>
              </w:rPr>
              <w:t xml:space="preserve">Growth of new construction orders due to the high last year´s basis halted in Q2. Total stock of work however expanded, mostly thanks to public orders. </w:t>
            </w:r>
          </w:p>
          <w:p w:rsidR="00422629" w:rsidRPr="00A17559" w:rsidRDefault="00422629" w:rsidP="00422629">
            <w:pPr>
              <w:pStyle w:val="Marginlie"/>
              <w:rPr>
                <w:lang w:val="en-GB"/>
              </w:rPr>
            </w:pPr>
          </w:p>
          <w:p w:rsidR="00422629" w:rsidRPr="00A17559" w:rsidRDefault="00422629" w:rsidP="00422629">
            <w:pPr>
              <w:pStyle w:val="Marginlie"/>
              <w:rPr>
                <w:lang w:val="en-GB"/>
              </w:rPr>
            </w:pPr>
          </w:p>
          <w:p w:rsidR="00422629" w:rsidRPr="00A17559" w:rsidRDefault="00422629" w:rsidP="00422629">
            <w:pPr>
              <w:pStyle w:val="Marginlie"/>
              <w:rPr>
                <w:lang w:val="en-GB"/>
              </w:rPr>
            </w:pPr>
          </w:p>
          <w:p w:rsidR="00422629" w:rsidRPr="00A17559" w:rsidRDefault="00422629" w:rsidP="00422629">
            <w:pPr>
              <w:pStyle w:val="Marginlie"/>
              <w:rPr>
                <w:lang w:val="en-GB"/>
              </w:rPr>
            </w:pPr>
            <w:r w:rsidRPr="00A17559">
              <w:rPr>
                <w:color w:val="0D0D0D" w:themeColor="text1" w:themeTint="F2"/>
                <w:spacing w:val="-4"/>
                <w:lang w:val="en-GB"/>
              </w:rPr>
              <w:t xml:space="preserve">Entrepreneur sentiment in construction stayed mildly positive. Highly busy construction  firms were however considerably troubled by a shortage of labour force. </w:t>
            </w:r>
          </w:p>
          <w:p w:rsidR="00422629" w:rsidRPr="00A17559" w:rsidRDefault="00422629" w:rsidP="00422629">
            <w:pPr>
              <w:pStyle w:val="Marginlie"/>
              <w:rPr>
                <w:lang w:val="en-GB"/>
              </w:rPr>
            </w:pPr>
          </w:p>
        </w:tc>
        <w:tc>
          <w:tcPr>
            <w:tcW w:w="180" w:type="dxa"/>
            <w:shd w:val="clear" w:color="auto" w:fill="auto"/>
            <w:tcMar>
              <w:left w:w="0" w:type="dxa"/>
            </w:tcMar>
          </w:tcPr>
          <w:p w:rsidR="00422629" w:rsidRPr="00A17559" w:rsidRDefault="00422629" w:rsidP="00422629">
            <w:pPr>
              <w:pStyle w:val="Textpoznpodarou"/>
              <w:jc w:val="both"/>
              <w:rPr>
                <w:spacing w:val="-4"/>
                <w:lang w:val="en-GB"/>
              </w:rPr>
            </w:pPr>
          </w:p>
        </w:tc>
        <w:tc>
          <w:tcPr>
            <w:tcW w:w="7790" w:type="dxa"/>
            <w:shd w:val="clear" w:color="auto" w:fill="auto"/>
            <w:tcMar>
              <w:left w:w="0" w:type="dxa"/>
            </w:tcMar>
          </w:tcPr>
          <w:p w:rsidR="00422629" w:rsidRPr="00A17559" w:rsidRDefault="00422629" w:rsidP="00422629">
            <w:pPr>
              <w:spacing w:after="200"/>
              <w:rPr>
                <w:color w:val="0D0D0D" w:themeColor="text1" w:themeTint="F2"/>
                <w:spacing w:val="-7"/>
                <w:szCs w:val="20"/>
                <w:lang w:val="en-GB"/>
              </w:rPr>
            </w:pPr>
            <w:r w:rsidRPr="00A17559">
              <w:rPr>
                <w:spacing w:val="-7"/>
                <w:lang w:val="en-GB"/>
              </w:rPr>
              <w:t xml:space="preserve">Short-term prospects of construction remain positive, despite the fact, that the value of </w:t>
            </w:r>
            <w:r w:rsidR="008C6F26">
              <w:rPr>
                <w:spacing w:val="-7"/>
                <w:lang w:val="en-GB"/>
              </w:rPr>
              <w:t xml:space="preserve">new </w:t>
            </w:r>
            <w:r w:rsidRPr="00A17559">
              <w:rPr>
                <w:spacing w:val="-7"/>
                <w:lang w:val="en-GB"/>
              </w:rPr>
              <w:t xml:space="preserve">domestic orders (for businesses with </w:t>
            </w:r>
            <w:r w:rsidRPr="00A17559">
              <w:rPr>
                <w:rFonts w:cs="Arial"/>
                <w:spacing w:val="-7"/>
                <w:szCs w:val="20"/>
                <w:lang w:val="en-GB"/>
              </w:rPr>
              <w:t>50 employees and more) fell by one tenth year-on-year in Q2 2019 (by similar pace in both building and civil engineering construction). This development was however primarily affected by high comparative basis</w:t>
            </w:r>
            <w:r w:rsidRPr="00A17559">
              <w:rPr>
                <w:rStyle w:val="Znakapoznpodarou"/>
                <w:spacing w:val="-7"/>
                <w:lang w:val="en-GB"/>
              </w:rPr>
              <w:footnoteReference w:id="28"/>
            </w:r>
            <w:r w:rsidRPr="00A17559">
              <w:rPr>
                <w:rFonts w:cs="Arial"/>
                <w:spacing w:val="-7"/>
                <w:szCs w:val="20"/>
                <w:lang w:val="en-GB"/>
              </w:rPr>
              <w:t xml:space="preserve">. The volume of new construction orders stagnated during the whole half-year (given a mild growth in the civil engineering construction). Development and modernisations </w:t>
            </w:r>
            <w:r w:rsidR="008C6F26">
              <w:rPr>
                <w:rFonts w:cs="Arial"/>
                <w:spacing w:val="-7"/>
                <w:szCs w:val="20"/>
                <w:lang w:val="en-GB"/>
              </w:rPr>
              <w:t xml:space="preserve">of transport infrastructure </w:t>
            </w:r>
            <w:r w:rsidRPr="00A17559">
              <w:rPr>
                <w:rFonts w:cs="Arial"/>
                <w:spacing w:val="-7"/>
                <w:szCs w:val="20"/>
                <w:lang w:val="en-GB"/>
              </w:rPr>
              <w:t>were also the cause for larger projects to eventuate</w:t>
            </w:r>
            <w:r w:rsidRPr="00A17559">
              <w:rPr>
                <w:color w:val="0D0D0D" w:themeColor="text1" w:themeTint="F2"/>
                <w:spacing w:val="-7"/>
                <w:szCs w:val="20"/>
                <w:lang w:val="en-GB"/>
              </w:rPr>
              <w:t>, average size of new order grew third year in a row (to half-year 4.3 CZK mil</w:t>
            </w:r>
            <w:r w:rsidRPr="00A17559">
              <w:rPr>
                <w:rStyle w:val="Znakapoznpodarou"/>
                <w:spacing w:val="-7"/>
                <w:lang w:val="en-GB"/>
              </w:rPr>
              <w:footnoteReference w:id="29"/>
            </w:r>
            <w:r w:rsidRPr="00A17559">
              <w:rPr>
                <w:color w:val="0D0D0D" w:themeColor="text1" w:themeTint="F2"/>
                <w:spacing w:val="-7"/>
                <w:szCs w:val="20"/>
                <w:lang w:val="en-GB"/>
              </w:rPr>
              <w:t xml:space="preserve">). Total stock of </w:t>
            </w:r>
            <w:r w:rsidR="00A21C5E">
              <w:rPr>
                <w:color w:val="0D0D0D" w:themeColor="text1" w:themeTint="F2"/>
                <w:spacing w:val="-7"/>
                <w:szCs w:val="20"/>
                <w:lang w:val="en-GB"/>
              </w:rPr>
              <w:t xml:space="preserve">construction </w:t>
            </w:r>
            <w:r w:rsidRPr="00A17559">
              <w:rPr>
                <w:color w:val="0D0D0D" w:themeColor="text1" w:themeTint="F2"/>
                <w:spacing w:val="-7"/>
                <w:szCs w:val="20"/>
                <w:lang w:val="en-GB"/>
              </w:rPr>
              <w:t>work also strengthened year-on-year (not yet realised orders) – by 7% to 184 CZK bn (according to the figure at the end of June</w:t>
            </w:r>
            <w:r w:rsidR="00A21C5E">
              <w:rPr>
                <w:color w:val="0D0D0D" w:themeColor="text1" w:themeTint="F2"/>
                <w:spacing w:val="-7"/>
                <w:szCs w:val="20"/>
                <w:lang w:val="en-GB"/>
              </w:rPr>
              <w:t>).</w:t>
            </w:r>
            <w:r w:rsidRPr="00A17559">
              <w:rPr>
                <w:color w:val="0D0D0D" w:themeColor="text1" w:themeTint="F2"/>
                <w:spacing w:val="-7"/>
                <w:szCs w:val="20"/>
                <w:lang w:val="en-GB"/>
              </w:rPr>
              <w:t xml:space="preserve"> </w:t>
            </w:r>
            <w:r w:rsidR="00A21C5E">
              <w:rPr>
                <w:color w:val="0D0D0D" w:themeColor="text1" w:themeTint="F2"/>
                <w:spacing w:val="-7"/>
                <w:szCs w:val="20"/>
                <w:lang w:val="en-GB"/>
              </w:rPr>
              <w:t>This was a result of the growth in</w:t>
            </w:r>
            <w:r w:rsidRPr="00A17559">
              <w:rPr>
                <w:color w:val="0D0D0D" w:themeColor="text1" w:themeTint="F2"/>
                <w:spacing w:val="-7"/>
                <w:szCs w:val="20"/>
                <w:lang w:val="en-GB"/>
              </w:rPr>
              <w:t xml:space="preserve"> public orders</w:t>
            </w:r>
            <w:r w:rsidR="00A21C5E">
              <w:rPr>
                <w:color w:val="0D0D0D" w:themeColor="text1" w:themeTint="F2"/>
                <w:spacing w:val="-7"/>
                <w:szCs w:val="20"/>
                <w:lang w:val="en-GB"/>
              </w:rPr>
              <w:t xml:space="preserve"> – they</w:t>
            </w:r>
            <w:r w:rsidRPr="00A17559">
              <w:rPr>
                <w:color w:val="0D0D0D" w:themeColor="text1" w:themeTint="F2"/>
                <w:spacing w:val="-7"/>
                <w:szCs w:val="20"/>
                <w:lang w:val="en-GB"/>
              </w:rPr>
              <w:t xml:space="preserve"> already comprised th</w:t>
            </w:r>
            <w:r w:rsidR="00A21C5E">
              <w:rPr>
                <w:color w:val="0D0D0D" w:themeColor="text1" w:themeTint="F2"/>
                <w:spacing w:val="-7"/>
                <w:szCs w:val="20"/>
                <w:lang w:val="en-GB"/>
              </w:rPr>
              <w:t>ree fifths of the construction work reservoir</w:t>
            </w:r>
            <w:r>
              <w:rPr>
                <w:color w:val="0D0D0D" w:themeColor="text1" w:themeTint="F2"/>
                <w:spacing w:val="-7"/>
                <w:szCs w:val="20"/>
                <w:lang w:val="en-GB"/>
              </w:rPr>
              <w:t xml:space="preserve"> </w:t>
            </w:r>
            <w:r w:rsidRPr="00A17559">
              <w:rPr>
                <w:rFonts w:cs="Arial"/>
                <w:spacing w:val="-7"/>
                <w:szCs w:val="20"/>
                <w:lang w:val="en-GB"/>
              </w:rPr>
              <w:t>(it had higher weight last in the first half of year 2010). Given the intense utilisation of construction firms</w:t>
            </w:r>
            <w:r w:rsidRPr="00A17559">
              <w:rPr>
                <w:rStyle w:val="Znakapoznpodarou"/>
                <w:spacing w:val="-7"/>
                <w:lang w:val="en-GB"/>
              </w:rPr>
              <w:footnoteReference w:id="30"/>
            </w:r>
            <w:r w:rsidRPr="00A17559">
              <w:rPr>
                <w:rFonts w:cs="Arial"/>
                <w:spacing w:val="-7"/>
                <w:szCs w:val="20"/>
                <w:lang w:val="en-GB"/>
              </w:rPr>
              <w:t xml:space="preserve"> the role of foreign orders was on the other side falling, its stock failed to reach even one third of their level in year 2014. </w:t>
            </w:r>
            <w:r w:rsidR="005173F3">
              <w:rPr>
                <w:rFonts w:cs="Arial"/>
                <w:spacing w:val="-7"/>
                <w:szCs w:val="20"/>
                <w:lang w:val="en-GB"/>
              </w:rPr>
              <w:t xml:space="preserve">Value of confidence indicator in construction </w:t>
            </w:r>
            <w:r w:rsidRPr="00A17559">
              <w:rPr>
                <w:rFonts w:cs="Arial"/>
                <w:spacing w:val="-7"/>
                <w:szCs w:val="20"/>
                <w:lang w:val="en-GB"/>
              </w:rPr>
              <w:t xml:space="preserve">left the negative band in November </w:t>
            </w:r>
            <w:r w:rsidRPr="00A17559">
              <w:rPr>
                <w:color w:val="0D0D0D" w:themeColor="text1" w:themeTint="F2"/>
                <w:spacing w:val="-7"/>
                <w:szCs w:val="20"/>
                <w:lang w:val="en-GB"/>
              </w:rPr>
              <w:t xml:space="preserve">2018 (for the first time since September 2008) and it tightly exceeded the so far record optimism from year 2005 at the beginning of year 2019 (+5.5 points). The confidence did not grow in the further part of the year any more, but still </w:t>
            </w:r>
            <w:r w:rsidRPr="00A17559">
              <w:rPr>
                <w:color w:val="0D0D0D" w:themeColor="text1" w:themeTint="F2"/>
                <w:spacing w:val="-7"/>
                <w:szCs w:val="20"/>
                <w:lang w:val="en-GB"/>
              </w:rPr>
              <w:lastRenderedPageBreak/>
              <w:t>remained mildly positive. The steep growth of businesses, whose development was limited by a shortage of labour force</w:t>
            </w:r>
            <w:r w:rsidRPr="00A17559">
              <w:rPr>
                <w:rStyle w:val="Znakapoznpodarou"/>
                <w:spacing w:val="-7"/>
                <w:lang w:val="en-GB"/>
              </w:rPr>
              <w:footnoteReference w:id="31"/>
            </w:r>
            <w:r w:rsidRPr="00A17559">
              <w:rPr>
                <w:color w:val="0D0D0D" w:themeColor="text1" w:themeTint="F2"/>
                <w:spacing w:val="-7"/>
                <w:szCs w:val="20"/>
                <w:lang w:val="en-GB"/>
              </w:rPr>
              <w:t xml:space="preserve"> on the other hand continued.</w:t>
            </w:r>
          </w:p>
        </w:tc>
      </w:tr>
      <w:tr w:rsidR="00422629" w:rsidRPr="00A17559" w:rsidTr="00422629">
        <w:trPr>
          <w:trHeight w:val="145"/>
        </w:trPr>
        <w:tc>
          <w:tcPr>
            <w:tcW w:w="1669" w:type="dxa"/>
            <w:shd w:val="clear" w:color="auto" w:fill="auto"/>
            <w:tcMar>
              <w:left w:w="0" w:type="dxa"/>
            </w:tcMar>
          </w:tcPr>
          <w:p w:rsidR="00422629" w:rsidRPr="00A17559" w:rsidRDefault="00422629" w:rsidP="00422629">
            <w:pPr>
              <w:pStyle w:val="Marginlie"/>
              <w:rPr>
                <w:color w:val="0D0D0D" w:themeColor="text1" w:themeTint="F2"/>
                <w:spacing w:val="-4"/>
                <w:lang w:val="en-GB"/>
              </w:rPr>
            </w:pPr>
            <w:r w:rsidRPr="00A17559">
              <w:rPr>
                <w:color w:val="0D0D0D" w:themeColor="text1" w:themeTint="F2"/>
                <w:spacing w:val="-4"/>
                <w:lang w:val="en-GB"/>
              </w:rPr>
              <w:lastRenderedPageBreak/>
              <w:t xml:space="preserve">Sales growth in selected services moderated compared to last year, especially due to the effect of marked slowdown in transporting and storage. </w:t>
            </w:r>
          </w:p>
          <w:p w:rsidR="00422629" w:rsidRPr="00A17559" w:rsidRDefault="00422629" w:rsidP="00422629">
            <w:pPr>
              <w:pStyle w:val="Marginlie"/>
              <w:rPr>
                <w:color w:val="0D0D0D" w:themeColor="text1" w:themeTint="F2"/>
                <w:spacing w:val="-4"/>
                <w:lang w:val="en-GB"/>
              </w:rPr>
            </w:pPr>
          </w:p>
        </w:tc>
        <w:tc>
          <w:tcPr>
            <w:tcW w:w="180" w:type="dxa"/>
            <w:shd w:val="clear" w:color="auto" w:fill="auto"/>
            <w:tcMar>
              <w:left w:w="0" w:type="dxa"/>
            </w:tcMar>
          </w:tcPr>
          <w:p w:rsidR="00422629" w:rsidRPr="00A17559" w:rsidRDefault="00422629" w:rsidP="00422629">
            <w:pPr>
              <w:pStyle w:val="Textpoznpodarou"/>
              <w:jc w:val="both"/>
              <w:rPr>
                <w:spacing w:val="-4"/>
                <w:lang w:val="en-GB"/>
              </w:rPr>
            </w:pPr>
          </w:p>
        </w:tc>
        <w:tc>
          <w:tcPr>
            <w:tcW w:w="7790" w:type="dxa"/>
            <w:shd w:val="clear" w:color="auto" w:fill="auto"/>
            <w:tcMar>
              <w:left w:w="0" w:type="dxa"/>
            </w:tcMar>
          </w:tcPr>
          <w:p w:rsidR="00422629" w:rsidRPr="00A17559" w:rsidRDefault="00422629" w:rsidP="00422629">
            <w:pPr>
              <w:spacing w:after="200"/>
              <w:rPr>
                <w:spacing w:val="-7"/>
                <w:lang w:val="en-GB"/>
              </w:rPr>
            </w:pPr>
            <w:r w:rsidRPr="00A17559">
              <w:rPr>
                <w:spacing w:val="-7"/>
                <w:lang w:val="en-GB"/>
              </w:rPr>
              <w:t>Sales in selected services</w:t>
            </w:r>
            <w:r w:rsidRPr="00A17559">
              <w:rPr>
                <w:color w:val="0D0D0D" w:themeColor="text1" w:themeTint="F2"/>
                <w:spacing w:val="-7"/>
                <w:vertAlign w:val="superscript"/>
                <w:lang w:val="en-GB"/>
              </w:rPr>
              <w:footnoteReference w:id="32"/>
            </w:r>
            <w:r w:rsidRPr="00A17559">
              <w:rPr>
                <w:color w:val="0D0D0D" w:themeColor="text1" w:themeTint="F2"/>
                <w:spacing w:val="-7"/>
                <w:lang w:val="en-GB"/>
              </w:rPr>
              <w:t xml:space="preserve"> rose by 2.0% year-on-year in H1 2019, the slowest pace after year 2016. Effect of the weaker Q2 was also felt this year, when the sales slightly dropped quarter-on-quarter (by 0.2%, mostly due to the slowed output in transporting and storage). All branch sections contributed at least to some extent to the year-on-year growth apart from the real estate activities</w:t>
            </w:r>
            <w:r>
              <w:rPr>
                <w:color w:val="0D0D0D" w:themeColor="text1" w:themeTint="F2"/>
                <w:spacing w:val="-7"/>
                <w:lang w:val="en-GB"/>
              </w:rPr>
              <w:t>,</w:t>
            </w:r>
            <w:r w:rsidRPr="00A17559">
              <w:rPr>
                <w:color w:val="0D0D0D" w:themeColor="text1" w:themeTint="F2"/>
                <w:spacing w:val="-7"/>
                <w:lang w:val="en-GB"/>
              </w:rPr>
              <w:t xml:space="preserve"> which lower sales in the segment of real estate agencies and real estate management</w:t>
            </w:r>
            <w:r w:rsidRPr="00A17559">
              <w:rPr>
                <w:color w:val="0D0D0D" w:themeColor="text1" w:themeTint="F2"/>
                <w:spacing w:val="-7"/>
                <w:vertAlign w:val="superscript"/>
                <w:lang w:val="en-GB"/>
              </w:rPr>
              <w:footnoteReference w:id="33"/>
            </w:r>
            <w:r>
              <w:rPr>
                <w:color w:val="0D0D0D" w:themeColor="text1" w:themeTint="F2"/>
                <w:spacing w:val="-7"/>
                <w:lang w:val="en-GB"/>
              </w:rPr>
              <w:t xml:space="preserve"> curbed</w:t>
            </w:r>
            <w:r w:rsidRPr="00A17559">
              <w:rPr>
                <w:color w:val="0D0D0D" w:themeColor="text1" w:themeTint="F2"/>
                <w:spacing w:val="-7"/>
                <w:lang w:val="en-GB"/>
              </w:rPr>
              <w:t>.</w:t>
            </w:r>
          </w:p>
        </w:tc>
      </w:tr>
      <w:tr w:rsidR="00422629" w:rsidRPr="00A17559" w:rsidTr="00422629">
        <w:trPr>
          <w:trHeight w:val="145"/>
        </w:trPr>
        <w:tc>
          <w:tcPr>
            <w:tcW w:w="1669" w:type="dxa"/>
            <w:shd w:val="clear" w:color="auto" w:fill="auto"/>
            <w:tcMar>
              <w:left w:w="0" w:type="dxa"/>
            </w:tcMar>
          </w:tcPr>
          <w:p w:rsidR="00422629" w:rsidRPr="00A17559" w:rsidRDefault="00422629" w:rsidP="005A2E7F">
            <w:pPr>
              <w:pStyle w:val="Marginlie"/>
              <w:rPr>
                <w:color w:val="0D0D0D" w:themeColor="text1" w:themeTint="F2"/>
                <w:spacing w:val="-4"/>
                <w:lang w:val="en-GB"/>
              </w:rPr>
            </w:pPr>
            <w:r w:rsidRPr="00A17559">
              <w:rPr>
                <w:color w:val="0D0D0D" w:themeColor="text1" w:themeTint="F2"/>
                <w:spacing w:val="-4"/>
                <w:lang w:val="en-GB"/>
              </w:rPr>
              <w:t xml:space="preserve">Long-term strong demand </w:t>
            </w:r>
            <w:r w:rsidR="005A2E7F">
              <w:rPr>
                <w:color w:val="0D0D0D" w:themeColor="text1" w:themeTint="F2"/>
                <w:spacing w:val="-4"/>
                <w:lang w:val="en-GB"/>
              </w:rPr>
              <w:t>for</w:t>
            </w:r>
            <w:r w:rsidRPr="00A17559">
              <w:rPr>
                <w:color w:val="0D0D0D" w:themeColor="text1" w:themeTint="F2"/>
                <w:spacing w:val="-4"/>
                <w:lang w:val="en-GB"/>
              </w:rPr>
              <w:t xml:space="preserve"> informati</w:t>
            </w:r>
            <w:r w:rsidR="005A2E7F">
              <w:rPr>
                <w:color w:val="0D0D0D" w:themeColor="text1" w:themeTint="F2"/>
                <w:spacing w:val="-4"/>
                <w:lang w:val="en-GB"/>
              </w:rPr>
              <w:t>on and communication persisted.</w:t>
            </w:r>
          </w:p>
        </w:tc>
        <w:tc>
          <w:tcPr>
            <w:tcW w:w="180" w:type="dxa"/>
            <w:shd w:val="clear" w:color="auto" w:fill="auto"/>
            <w:tcMar>
              <w:left w:w="0" w:type="dxa"/>
            </w:tcMar>
          </w:tcPr>
          <w:p w:rsidR="00422629" w:rsidRPr="00A17559" w:rsidRDefault="00422629" w:rsidP="00422629">
            <w:pPr>
              <w:pStyle w:val="Textpoznpodarou"/>
              <w:jc w:val="both"/>
              <w:rPr>
                <w:spacing w:val="-4"/>
                <w:lang w:val="en-GB"/>
              </w:rPr>
            </w:pPr>
          </w:p>
        </w:tc>
        <w:tc>
          <w:tcPr>
            <w:tcW w:w="7790" w:type="dxa"/>
            <w:shd w:val="clear" w:color="auto" w:fill="auto"/>
            <w:tcMar>
              <w:left w:w="0" w:type="dxa"/>
            </w:tcMar>
          </w:tcPr>
          <w:p w:rsidR="00422629" w:rsidRPr="00A17559" w:rsidRDefault="00422629" w:rsidP="00E343C7">
            <w:pPr>
              <w:spacing w:after="200"/>
              <w:rPr>
                <w:color w:val="0D0D0D" w:themeColor="text1" w:themeTint="F2"/>
                <w:spacing w:val="-7"/>
                <w:lang w:val="en-GB"/>
              </w:rPr>
            </w:pPr>
            <w:r w:rsidRPr="00A17559">
              <w:rPr>
                <w:color w:val="0D0D0D" w:themeColor="text1" w:themeTint="F2"/>
                <w:spacing w:val="-7"/>
                <w:lang w:val="en-GB"/>
              </w:rPr>
              <w:t xml:space="preserve">Sales grew the most in the long-term dynamic branch of information and communication (+5.7%) this year. This branch added to the growth of all </w:t>
            </w:r>
            <w:r w:rsidR="001116E7">
              <w:rPr>
                <w:color w:val="0D0D0D" w:themeColor="text1" w:themeTint="F2"/>
                <w:spacing w:val="-7"/>
                <w:lang w:val="en-GB"/>
              </w:rPr>
              <w:t xml:space="preserve">services </w:t>
            </w:r>
            <w:r w:rsidRPr="00A17559">
              <w:rPr>
                <w:color w:val="0D0D0D" w:themeColor="text1" w:themeTint="F2"/>
                <w:spacing w:val="-7"/>
                <w:lang w:val="en-GB"/>
              </w:rPr>
              <w:t>sections from more than one half. Except for telecommunications (+2.6%), all sub-branches recorded a dynamic growth – the most the rather mar</w:t>
            </w:r>
            <w:r w:rsidR="004F681B">
              <w:rPr>
                <w:color w:val="0D0D0D" w:themeColor="text1" w:themeTint="F2"/>
                <w:spacing w:val="-7"/>
                <w:lang w:val="en-GB"/>
              </w:rPr>
              <w:t xml:space="preserve">ginal segment by weight </w:t>
            </w:r>
            <w:r w:rsidRPr="00A17559">
              <w:rPr>
                <w:color w:val="0D0D0D" w:themeColor="text1" w:themeTint="F2"/>
                <w:spacing w:val="-7"/>
                <w:lang w:val="en-GB"/>
              </w:rPr>
              <w:t>motion picture and music industry (+13.0%)</w:t>
            </w:r>
            <w:r w:rsidRPr="00A17559">
              <w:rPr>
                <w:rStyle w:val="Znakapoznpodarou"/>
                <w:spacing w:val="-7"/>
                <w:lang w:val="en-GB"/>
              </w:rPr>
              <w:footnoteReference w:id="34"/>
            </w:r>
            <w:r w:rsidRPr="00A17559">
              <w:rPr>
                <w:color w:val="0D0D0D" w:themeColor="text1" w:themeTint="F2"/>
                <w:spacing w:val="-7"/>
                <w:lang w:val="en-GB"/>
              </w:rPr>
              <w:t>. Branch transporting and storage did not build on the strong output from the beginning of the last year, it showed only 0.5% sales growth in H1 of this year. Mainly weaker output in storage had an effect. Slowdown however occurred also in weight dominant land transport (to +1.7%), despite higher mobility of population supported by recorded employment as well as broader dis</w:t>
            </w:r>
            <w:r w:rsidR="00935FC6">
              <w:rPr>
                <w:color w:val="0D0D0D" w:themeColor="text1" w:themeTint="F2"/>
                <w:spacing w:val="-7"/>
                <w:lang w:val="en-GB"/>
              </w:rPr>
              <w:t>counts in the public transport (for students as well as seniors aged 65 and more).</w:t>
            </w:r>
          </w:p>
        </w:tc>
      </w:tr>
      <w:tr w:rsidR="00422629" w:rsidRPr="00A17559" w:rsidTr="00422629">
        <w:trPr>
          <w:trHeight w:val="170"/>
        </w:trPr>
        <w:tc>
          <w:tcPr>
            <w:tcW w:w="1669" w:type="dxa"/>
            <w:vMerge w:val="restart"/>
            <w:shd w:val="clear" w:color="auto" w:fill="auto"/>
            <w:tcMar>
              <w:left w:w="0" w:type="dxa"/>
            </w:tcMar>
          </w:tcPr>
          <w:p w:rsidR="00422629" w:rsidRPr="00A17559" w:rsidRDefault="00422629" w:rsidP="00422629">
            <w:pPr>
              <w:pStyle w:val="Marginlie"/>
              <w:rPr>
                <w:lang w:val="en-GB"/>
              </w:rPr>
            </w:pPr>
          </w:p>
        </w:tc>
        <w:tc>
          <w:tcPr>
            <w:tcW w:w="180" w:type="dxa"/>
            <w:vMerge w:val="restart"/>
            <w:shd w:val="clear" w:color="auto" w:fill="auto"/>
            <w:tcMar>
              <w:left w:w="0" w:type="dxa"/>
            </w:tcMar>
          </w:tcPr>
          <w:p w:rsidR="00422629" w:rsidRPr="00A17559" w:rsidRDefault="00422629" w:rsidP="00422629">
            <w:pPr>
              <w:pStyle w:val="Textpoznpodarou"/>
              <w:jc w:val="both"/>
              <w:rPr>
                <w:spacing w:val="-4"/>
                <w:lang w:val="en-GB"/>
              </w:rPr>
            </w:pPr>
          </w:p>
        </w:tc>
        <w:tc>
          <w:tcPr>
            <w:tcW w:w="7790" w:type="dxa"/>
            <w:shd w:val="clear" w:color="auto" w:fill="auto"/>
            <w:tcMar>
              <w:left w:w="0" w:type="dxa"/>
            </w:tcMar>
          </w:tcPr>
          <w:p w:rsidR="00422629" w:rsidRPr="00E343C7" w:rsidRDefault="00422629" w:rsidP="00422629">
            <w:pPr>
              <w:pStyle w:val="Textpoznpodarou"/>
              <w:spacing w:line="276" w:lineRule="auto"/>
              <w:rPr>
                <w:b/>
                <w:spacing w:val="-4"/>
                <w:lang w:val="en-GB"/>
              </w:rPr>
            </w:pPr>
            <w:r w:rsidRPr="00E343C7">
              <w:rPr>
                <w:b/>
                <w:spacing w:val="-4"/>
                <w:lang w:val="en-GB"/>
              </w:rPr>
              <w:t xml:space="preserve">Chart 8  Sales in selected services divisions </w:t>
            </w:r>
            <w:r w:rsidRPr="00E343C7">
              <w:rPr>
                <w:bCs/>
                <w:spacing w:val="-4"/>
                <w:lang w:val="en-GB"/>
              </w:rPr>
              <w:t xml:space="preserve">(in real terms, seasonally adjusted, level of year </w:t>
            </w:r>
            <w:r w:rsidRPr="00E343C7">
              <w:rPr>
                <w:spacing w:val="-4"/>
                <w:lang w:val="en-GB"/>
              </w:rPr>
              <w:t>2015 = 100</w:t>
            </w:r>
            <w:r w:rsidRPr="00E343C7">
              <w:rPr>
                <w:bCs/>
                <w:spacing w:val="-4"/>
                <w:lang w:val="en-GB"/>
              </w:rPr>
              <w:t xml:space="preserve">) </w:t>
            </w:r>
            <w:r w:rsidRPr="00E343C7">
              <w:rPr>
                <w:b/>
                <w:spacing w:val="-4"/>
                <w:lang w:val="en-GB"/>
              </w:rPr>
              <w:t xml:space="preserve">and </w:t>
            </w:r>
            <w:r w:rsidR="00E343C7" w:rsidRPr="00E343C7">
              <w:rPr>
                <w:b/>
                <w:spacing w:val="-4"/>
                <w:lang w:val="en-GB"/>
              </w:rPr>
              <w:t>balance  of confidence indicator</w:t>
            </w:r>
            <w:r w:rsidRPr="00E343C7">
              <w:rPr>
                <w:b/>
                <w:spacing w:val="-4"/>
                <w:lang w:val="en-GB"/>
              </w:rPr>
              <w:t xml:space="preserve"> in selected services* </w:t>
            </w:r>
            <w:r w:rsidRPr="00E343C7">
              <w:rPr>
                <w:spacing w:val="-4"/>
                <w:lang w:val="en-GB"/>
              </w:rPr>
              <w:t>(in points)</w:t>
            </w:r>
          </w:p>
        </w:tc>
      </w:tr>
      <w:tr w:rsidR="00422629" w:rsidRPr="00A17559" w:rsidTr="00A6092A">
        <w:tblPrEx>
          <w:tblCellMar>
            <w:left w:w="70" w:type="dxa"/>
            <w:right w:w="70" w:type="dxa"/>
          </w:tblCellMar>
        </w:tblPrEx>
        <w:trPr>
          <w:trHeight w:val="170"/>
        </w:trPr>
        <w:tc>
          <w:tcPr>
            <w:tcW w:w="1669" w:type="dxa"/>
            <w:vMerge/>
            <w:shd w:val="clear" w:color="auto" w:fill="auto"/>
          </w:tcPr>
          <w:p w:rsidR="00422629" w:rsidRPr="00A17559" w:rsidRDefault="00422629" w:rsidP="00422629">
            <w:pPr>
              <w:pStyle w:val="Marginlie"/>
              <w:rPr>
                <w:lang w:val="en-GB"/>
              </w:rPr>
            </w:pPr>
          </w:p>
        </w:tc>
        <w:tc>
          <w:tcPr>
            <w:tcW w:w="180" w:type="dxa"/>
            <w:vMerge/>
            <w:shd w:val="clear" w:color="auto" w:fill="auto"/>
          </w:tcPr>
          <w:p w:rsidR="00422629" w:rsidRPr="00A17559" w:rsidRDefault="00422629" w:rsidP="00422629">
            <w:pPr>
              <w:pStyle w:val="Textpoznpodarou"/>
              <w:jc w:val="both"/>
              <w:rPr>
                <w:spacing w:val="-4"/>
                <w:lang w:val="en-GB"/>
              </w:rPr>
            </w:pPr>
          </w:p>
        </w:tc>
        <w:tc>
          <w:tcPr>
            <w:tcW w:w="7790" w:type="dxa"/>
            <w:shd w:val="clear" w:color="auto" w:fill="auto"/>
          </w:tcPr>
          <w:p w:rsidR="00422629" w:rsidRPr="00A17559" w:rsidRDefault="00A6092A" w:rsidP="00422629">
            <w:pPr>
              <w:spacing w:after="0"/>
              <w:rPr>
                <w:rFonts w:cs="Arial"/>
                <w:spacing w:val="-6"/>
                <w:sz w:val="14"/>
                <w:szCs w:val="14"/>
                <w:lang w:val="en-GB"/>
              </w:rPr>
            </w:pPr>
            <w:r>
              <w:rPr>
                <w:noProof/>
              </w:rPr>
              <w:drawing>
                <wp:inline distT="0" distB="0" distL="0" distR="0" wp14:anchorId="62FB3B1A" wp14:editId="263FF6B3">
                  <wp:extent cx="4782185" cy="36068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422629" w:rsidRPr="00A17559" w:rsidTr="00422629">
        <w:trPr>
          <w:trHeight w:val="170"/>
        </w:trPr>
        <w:tc>
          <w:tcPr>
            <w:tcW w:w="1669" w:type="dxa"/>
            <w:vMerge/>
            <w:shd w:val="clear" w:color="auto" w:fill="auto"/>
            <w:tcMar>
              <w:left w:w="0" w:type="dxa"/>
            </w:tcMar>
          </w:tcPr>
          <w:p w:rsidR="00422629" w:rsidRPr="00A17559" w:rsidRDefault="00422629" w:rsidP="00422629">
            <w:pPr>
              <w:pStyle w:val="Marginlie"/>
              <w:rPr>
                <w:lang w:val="en-GB"/>
              </w:rPr>
            </w:pPr>
          </w:p>
        </w:tc>
        <w:tc>
          <w:tcPr>
            <w:tcW w:w="180" w:type="dxa"/>
            <w:vMerge/>
            <w:shd w:val="clear" w:color="auto" w:fill="auto"/>
            <w:tcMar>
              <w:left w:w="0" w:type="dxa"/>
            </w:tcMar>
          </w:tcPr>
          <w:p w:rsidR="00422629" w:rsidRPr="00A17559" w:rsidRDefault="00422629" w:rsidP="00422629">
            <w:pPr>
              <w:pStyle w:val="Textpoznpodarou"/>
              <w:jc w:val="both"/>
              <w:rPr>
                <w:spacing w:val="-4"/>
                <w:lang w:val="en-GB"/>
              </w:rPr>
            </w:pPr>
          </w:p>
        </w:tc>
        <w:tc>
          <w:tcPr>
            <w:tcW w:w="7790" w:type="dxa"/>
            <w:shd w:val="clear" w:color="auto" w:fill="auto"/>
            <w:tcMar>
              <w:left w:w="0" w:type="dxa"/>
            </w:tcMar>
          </w:tcPr>
          <w:p w:rsidR="00422629" w:rsidRDefault="00E343C7" w:rsidP="00E343C7">
            <w:pPr>
              <w:spacing w:after="0"/>
              <w:rPr>
                <w:rFonts w:cs="Arial"/>
                <w:sz w:val="14"/>
                <w:szCs w:val="14"/>
                <w:lang w:val="en-GB"/>
              </w:rPr>
            </w:pPr>
            <w:r>
              <w:rPr>
                <w:rFonts w:cs="Arial"/>
                <w:spacing w:val="-6"/>
                <w:sz w:val="14"/>
                <w:szCs w:val="14"/>
                <w:lang w:val="en-GB"/>
              </w:rPr>
              <w:t>*</w:t>
            </w:r>
            <w:r w:rsidR="00422629" w:rsidRPr="00A17559">
              <w:rPr>
                <w:rFonts w:cs="Arial"/>
                <w:sz w:val="14"/>
                <w:szCs w:val="14"/>
                <w:lang w:val="en-GB"/>
              </w:rPr>
              <w:t>Data are seasonally adjusted, incl</w:t>
            </w:r>
            <w:r w:rsidR="00665624">
              <w:rPr>
                <w:rFonts w:cs="Arial"/>
                <w:sz w:val="14"/>
                <w:szCs w:val="14"/>
                <w:lang w:val="en-GB"/>
              </w:rPr>
              <w:t>ude</w:t>
            </w:r>
            <w:r w:rsidR="00422629">
              <w:rPr>
                <w:rFonts w:cs="Arial"/>
                <w:sz w:val="14"/>
                <w:szCs w:val="14"/>
                <w:lang w:val="en-GB"/>
              </w:rPr>
              <w:t xml:space="preserve"> also the financial sector.</w:t>
            </w:r>
          </w:p>
          <w:p w:rsidR="00422629" w:rsidRPr="00A17559" w:rsidRDefault="00E343C7" w:rsidP="00E343C7">
            <w:pPr>
              <w:spacing w:after="200"/>
              <w:rPr>
                <w:rFonts w:cs="Arial"/>
                <w:spacing w:val="-6"/>
                <w:sz w:val="14"/>
                <w:szCs w:val="14"/>
                <w:lang w:val="en-GB"/>
              </w:rPr>
            </w:pPr>
            <w:r w:rsidRPr="00A17559">
              <w:rPr>
                <w:rFonts w:cs="Arial"/>
                <w:spacing w:val="-6"/>
                <w:sz w:val="14"/>
                <w:szCs w:val="14"/>
                <w:lang w:val="en-GB"/>
              </w:rPr>
              <w:t>Source: CZSO</w:t>
            </w:r>
          </w:p>
        </w:tc>
      </w:tr>
      <w:tr w:rsidR="00E343C7" w:rsidRPr="00A17559" w:rsidTr="00422629">
        <w:trPr>
          <w:trHeight w:val="80"/>
        </w:trPr>
        <w:tc>
          <w:tcPr>
            <w:tcW w:w="1669" w:type="dxa"/>
            <w:shd w:val="clear" w:color="auto" w:fill="auto"/>
            <w:tcMar>
              <w:left w:w="0" w:type="dxa"/>
            </w:tcMar>
          </w:tcPr>
          <w:p w:rsidR="00E343C7" w:rsidRPr="00A17559" w:rsidRDefault="00E343C7" w:rsidP="00E343C7">
            <w:pPr>
              <w:pStyle w:val="Marginlie"/>
              <w:rPr>
                <w:color w:val="0D0D0D" w:themeColor="text1" w:themeTint="F2"/>
                <w:spacing w:val="-4"/>
                <w:lang w:val="en-GB"/>
              </w:rPr>
            </w:pPr>
            <w:r w:rsidRPr="00A17559">
              <w:rPr>
                <w:color w:val="0D0D0D" w:themeColor="text1" w:themeTint="F2"/>
                <w:spacing w:val="-4"/>
                <w:lang w:val="en-GB"/>
              </w:rPr>
              <w:lastRenderedPageBreak/>
              <w:t>Management consultancy, legal and accounting activities as well as market research prospered.</w:t>
            </w:r>
          </w:p>
          <w:p w:rsidR="00E343C7" w:rsidRPr="00A17559" w:rsidRDefault="00E343C7" w:rsidP="00E343C7">
            <w:pPr>
              <w:pStyle w:val="Marginlie"/>
              <w:rPr>
                <w:color w:val="0D0D0D" w:themeColor="text1" w:themeTint="F2"/>
                <w:spacing w:val="-4"/>
                <w:lang w:val="en-GB"/>
              </w:rPr>
            </w:pPr>
          </w:p>
          <w:p w:rsidR="00E343C7" w:rsidRPr="00A17559" w:rsidRDefault="00E343C7" w:rsidP="00E343C7">
            <w:pPr>
              <w:pStyle w:val="Marginlie"/>
              <w:rPr>
                <w:color w:val="0D0D0D" w:themeColor="text1" w:themeTint="F2"/>
                <w:spacing w:val="-4"/>
                <w:lang w:val="en-GB"/>
              </w:rPr>
            </w:pPr>
          </w:p>
          <w:p w:rsidR="00E343C7" w:rsidRPr="00A17559" w:rsidRDefault="00E343C7" w:rsidP="00E343C7">
            <w:pPr>
              <w:pStyle w:val="Marginlie"/>
              <w:rPr>
                <w:lang w:val="en-GB"/>
              </w:rPr>
            </w:pPr>
            <w:r w:rsidRPr="00A17559">
              <w:rPr>
                <w:color w:val="0D0D0D" w:themeColor="text1" w:themeTint="F2"/>
                <w:spacing w:val="-4"/>
                <w:lang w:val="en-GB"/>
              </w:rPr>
              <w:t>Growth of sales nearly ceased in administrative and support service activities.</w:t>
            </w:r>
          </w:p>
        </w:tc>
        <w:tc>
          <w:tcPr>
            <w:tcW w:w="180" w:type="dxa"/>
            <w:shd w:val="clear" w:color="auto" w:fill="auto"/>
            <w:tcMar>
              <w:left w:w="0" w:type="dxa"/>
            </w:tcMar>
          </w:tcPr>
          <w:p w:rsidR="00E343C7" w:rsidRPr="00A17559" w:rsidRDefault="00E343C7" w:rsidP="00422629">
            <w:pPr>
              <w:pStyle w:val="Textpoznpodarou"/>
              <w:jc w:val="both"/>
              <w:rPr>
                <w:spacing w:val="-4"/>
                <w:lang w:val="en-GB"/>
              </w:rPr>
            </w:pPr>
          </w:p>
        </w:tc>
        <w:tc>
          <w:tcPr>
            <w:tcW w:w="7790" w:type="dxa"/>
            <w:shd w:val="clear" w:color="auto" w:fill="auto"/>
            <w:tcMar>
              <w:left w:w="0" w:type="dxa"/>
            </w:tcMar>
          </w:tcPr>
          <w:p w:rsidR="00E343C7" w:rsidRPr="00A17559" w:rsidRDefault="00E343C7" w:rsidP="00E343C7">
            <w:pPr>
              <w:spacing w:after="200"/>
              <w:rPr>
                <w:rFonts w:cs="Arial"/>
                <w:spacing w:val="-7"/>
                <w:szCs w:val="20"/>
                <w:lang w:val="en-GB"/>
              </w:rPr>
            </w:pPr>
            <w:r w:rsidRPr="00A17559">
              <w:rPr>
                <w:color w:val="0D0D0D" w:themeColor="text1" w:themeTint="F2"/>
                <w:spacing w:val="-7"/>
                <w:lang w:val="en-GB"/>
              </w:rPr>
              <w:t>Branch accommodation, food service and restaurants prospered (+2.3%), sales increased by 29%</w:t>
            </w:r>
            <w:r w:rsidRPr="00A17559">
              <w:rPr>
                <w:color w:val="0D0D0D" w:themeColor="text1" w:themeTint="F2"/>
                <w:spacing w:val="-7"/>
                <w:vertAlign w:val="superscript"/>
                <w:lang w:val="en-GB"/>
              </w:rPr>
              <w:footnoteReference w:id="35"/>
            </w:r>
            <w:r w:rsidRPr="00A17559">
              <w:rPr>
                <w:color w:val="0D0D0D" w:themeColor="text1" w:themeTint="F2"/>
                <w:spacing w:val="-7"/>
                <w:lang w:val="en-GB"/>
              </w:rPr>
              <w:t xml:space="preserve"> here in the last five years. Sales dynamics corresponded to the development of number of overnight stays </w:t>
            </w:r>
            <w:r w:rsidR="00A623DF">
              <w:rPr>
                <w:color w:val="0D0D0D" w:themeColor="text1" w:themeTint="F2"/>
                <w:spacing w:val="-7"/>
                <w:lang w:val="en-GB"/>
              </w:rPr>
              <w:t>of guests in the collective tourist accommodation establishment</w:t>
            </w:r>
            <w:r w:rsidRPr="00A17559">
              <w:rPr>
                <w:color w:val="0D0D0D" w:themeColor="text1" w:themeTint="F2"/>
                <w:spacing w:val="-7"/>
                <w:lang w:val="en-GB"/>
              </w:rPr>
              <w:t>s</w:t>
            </w:r>
            <w:r w:rsidRPr="00A17559">
              <w:rPr>
                <w:color w:val="0D0D0D" w:themeColor="text1" w:themeTint="F2"/>
                <w:spacing w:val="-7"/>
                <w:vertAlign w:val="superscript"/>
                <w:lang w:val="en-GB"/>
              </w:rPr>
              <w:footnoteReference w:id="36"/>
            </w:r>
            <w:r w:rsidRPr="00A17559">
              <w:rPr>
                <w:color w:val="0D0D0D" w:themeColor="text1" w:themeTint="F2"/>
                <w:spacing w:val="-7"/>
                <w:lang w:val="en-GB"/>
              </w:rPr>
              <w:t>. Sales strengthened by 2.4% in bran</w:t>
            </w:r>
            <w:r w:rsidR="00F90CF1">
              <w:rPr>
                <w:color w:val="0D0D0D" w:themeColor="text1" w:themeTint="F2"/>
                <w:spacing w:val="-7"/>
                <w:lang w:val="en-GB"/>
              </w:rPr>
              <w:t>ch professional, scientific and</w:t>
            </w:r>
            <w:r w:rsidRPr="00A17559">
              <w:rPr>
                <w:color w:val="0D0D0D" w:themeColor="text1" w:themeTint="F2"/>
                <w:spacing w:val="-7"/>
                <w:lang w:val="en-GB"/>
              </w:rPr>
              <w:t xml:space="preserve"> technical activities. Similarly to last year, they were pulled mainly by the legal and accounting activities and also rising demand for activities of head offices and management consultancy. Dynamic growth of sales for market research and public opinion polling continued by double-digit pace. On the other hand, sales for architectural and engineering activities grew only mildly (+1.3%) despite the expansion of construction. Branch administrative and support service activities grew by the weakest rate of growth after H1 2010 this year (+0.2%). Drop of sales of security and investigation activities, job agencies as well as travel agency activities was offset by a strong demand for office administrative and support activities and in the area of rental and operative leasing activities.</w:t>
            </w:r>
          </w:p>
        </w:tc>
      </w:tr>
      <w:tr w:rsidR="00422629" w:rsidRPr="00A17559" w:rsidTr="00422629">
        <w:trPr>
          <w:trHeight w:val="80"/>
        </w:trPr>
        <w:tc>
          <w:tcPr>
            <w:tcW w:w="1669" w:type="dxa"/>
            <w:shd w:val="clear" w:color="auto" w:fill="auto"/>
            <w:tcMar>
              <w:left w:w="0" w:type="dxa"/>
            </w:tcMar>
          </w:tcPr>
          <w:p w:rsidR="00422629" w:rsidRPr="00A17559" w:rsidRDefault="00422629" w:rsidP="00422629">
            <w:pPr>
              <w:pStyle w:val="Marginlie"/>
              <w:rPr>
                <w:lang w:val="en-GB"/>
              </w:rPr>
            </w:pPr>
            <w:r w:rsidRPr="00A17559">
              <w:rPr>
                <w:lang w:val="en-GB"/>
              </w:rPr>
              <w:t xml:space="preserve">Brisk and relatively </w:t>
            </w:r>
            <w:r w:rsidR="00473572">
              <w:rPr>
                <w:lang w:val="en-GB"/>
              </w:rPr>
              <w:t xml:space="preserve">stable rate of growth of </w:t>
            </w:r>
            <w:r w:rsidRPr="00A17559">
              <w:rPr>
                <w:lang w:val="en-GB"/>
              </w:rPr>
              <w:t xml:space="preserve">sales </w:t>
            </w:r>
            <w:r w:rsidR="00473572">
              <w:rPr>
                <w:lang w:val="en-GB"/>
              </w:rPr>
              <w:t xml:space="preserve">in retail trade </w:t>
            </w:r>
            <w:r w:rsidRPr="00A17559">
              <w:rPr>
                <w:lang w:val="en-GB"/>
              </w:rPr>
              <w:t>persists already fifth year in a row.  </w:t>
            </w:r>
          </w:p>
          <w:p w:rsidR="00422629" w:rsidRPr="00A17559" w:rsidRDefault="00422629" w:rsidP="00422629">
            <w:pPr>
              <w:pStyle w:val="Marginlie"/>
              <w:rPr>
                <w:lang w:val="en-GB"/>
              </w:rPr>
            </w:pPr>
          </w:p>
          <w:p w:rsidR="00422629" w:rsidRPr="00A17559" w:rsidRDefault="00422629" w:rsidP="00422629">
            <w:pPr>
              <w:pStyle w:val="Marginlie"/>
              <w:rPr>
                <w:lang w:val="en-GB"/>
              </w:rPr>
            </w:pPr>
          </w:p>
          <w:p w:rsidR="00422629" w:rsidRPr="00A17559" w:rsidRDefault="00422629" w:rsidP="00422629">
            <w:pPr>
              <w:pStyle w:val="Marginlie"/>
              <w:rPr>
                <w:lang w:val="en-GB"/>
              </w:rPr>
            </w:pPr>
          </w:p>
          <w:p w:rsidR="00422629" w:rsidRPr="00A17559" w:rsidRDefault="00422629" w:rsidP="00422629">
            <w:pPr>
              <w:pStyle w:val="Marginlie"/>
              <w:rPr>
                <w:lang w:val="en-GB"/>
              </w:rPr>
            </w:pPr>
          </w:p>
          <w:p w:rsidR="00422629" w:rsidRPr="00A17559" w:rsidRDefault="00422629" w:rsidP="00422629">
            <w:pPr>
              <w:pStyle w:val="Marginlie"/>
              <w:rPr>
                <w:lang w:val="en-GB"/>
              </w:rPr>
            </w:pPr>
            <w:r w:rsidRPr="00A17559">
              <w:rPr>
                <w:lang w:val="en-GB"/>
              </w:rPr>
              <w:t xml:space="preserve">Sales for trade of non-food goods in the CR climbed up by the fourth highest rate of growth among the EU states. </w:t>
            </w:r>
          </w:p>
        </w:tc>
        <w:tc>
          <w:tcPr>
            <w:tcW w:w="180" w:type="dxa"/>
            <w:shd w:val="clear" w:color="auto" w:fill="auto"/>
            <w:tcMar>
              <w:left w:w="0" w:type="dxa"/>
            </w:tcMar>
          </w:tcPr>
          <w:p w:rsidR="00422629" w:rsidRPr="00A17559" w:rsidRDefault="00422629" w:rsidP="00422629">
            <w:pPr>
              <w:pStyle w:val="Textpoznpodarou"/>
              <w:jc w:val="both"/>
              <w:rPr>
                <w:spacing w:val="-4"/>
                <w:lang w:val="en-GB"/>
              </w:rPr>
            </w:pPr>
          </w:p>
        </w:tc>
        <w:tc>
          <w:tcPr>
            <w:tcW w:w="7790" w:type="dxa"/>
            <w:shd w:val="clear" w:color="auto" w:fill="auto"/>
            <w:tcMar>
              <w:left w:w="0" w:type="dxa"/>
            </w:tcMar>
          </w:tcPr>
          <w:p w:rsidR="00422629" w:rsidRPr="00A17559" w:rsidRDefault="00422629" w:rsidP="00422629">
            <w:pPr>
              <w:spacing w:after="0"/>
              <w:rPr>
                <w:color w:val="0D0D0D" w:themeColor="text1" w:themeTint="F2"/>
                <w:spacing w:val="-7"/>
                <w:lang w:val="en-GB"/>
              </w:rPr>
            </w:pPr>
            <w:r w:rsidRPr="00A17559">
              <w:rPr>
                <w:rFonts w:cs="Arial"/>
                <w:spacing w:val="-7"/>
                <w:szCs w:val="20"/>
                <w:lang w:val="en-GB"/>
              </w:rPr>
              <w:t>Growth of purchasing power of both wages and pensions together with the positive (even though slightly weaker</w:t>
            </w:r>
            <w:r w:rsidR="00941D6E">
              <w:rPr>
                <w:rFonts w:cs="Arial"/>
                <w:spacing w:val="-7"/>
                <w:szCs w:val="20"/>
                <w:lang w:val="en-GB"/>
              </w:rPr>
              <w:t>)</w:t>
            </w:r>
            <w:r w:rsidRPr="00A17559">
              <w:rPr>
                <w:rFonts w:cs="Arial"/>
                <w:spacing w:val="-7"/>
                <w:szCs w:val="20"/>
                <w:lang w:val="en-GB"/>
              </w:rPr>
              <w:t xml:space="preserve"> consumer confidence balance resulted in 5.2% year-on-year growth of </w:t>
            </w:r>
            <w:r w:rsidR="006C09FA" w:rsidRPr="00A17559">
              <w:rPr>
                <w:rFonts w:cs="Arial"/>
                <w:spacing w:val="-7"/>
                <w:szCs w:val="20"/>
                <w:lang w:val="en-GB"/>
              </w:rPr>
              <w:t xml:space="preserve">sales </w:t>
            </w:r>
            <w:r w:rsidR="006C09FA">
              <w:rPr>
                <w:rFonts w:cs="Arial"/>
                <w:spacing w:val="-7"/>
                <w:szCs w:val="20"/>
                <w:lang w:val="en-GB"/>
              </w:rPr>
              <w:t>in retail trade</w:t>
            </w:r>
            <w:r w:rsidRPr="00A17559">
              <w:rPr>
                <w:rFonts w:cs="Arial"/>
                <w:spacing w:val="-7"/>
                <w:szCs w:val="20"/>
                <w:lang w:val="en-GB"/>
              </w:rPr>
              <w:t xml:space="preserve"> in H1</w:t>
            </w:r>
            <w:r w:rsidRPr="00A17559">
              <w:rPr>
                <w:rStyle w:val="Znakapoznpodarou"/>
                <w:spacing w:val="-7"/>
                <w:lang w:val="en-GB"/>
              </w:rPr>
              <w:footnoteReference w:id="37"/>
            </w:r>
            <w:r w:rsidRPr="00A17559">
              <w:rPr>
                <w:rFonts w:cs="Arial"/>
                <w:spacing w:val="-7"/>
                <w:szCs w:val="20"/>
                <w:lang w:val="en-GB"/>
              </w:rPr>
              <w:t>. The sales have maintained similar pace already for five years.  Sale of non-food goods (with the growth of 8.0%, even 9.2% in Q1</w:t>
            </w:r>
            <w:r w:rsidR="006C09FA">
              <w:rPr>
                <w:rFonts w:cs="Arial"/>
                <w:spacing w:val="-7"/>
                <w:szCs w:val="20"/>
                <w:lang w:val="en-GB"/>
              </w:rPr>
              <w:t xml:space="preserve"> 2019</w:t>
            </w:r>
            <w:r w:rsidRPr="00A17559">
              <w:rPr>
                <w:rFonts w:cs="Arial"/>
                <w:spacing w:val="-7"/>
                <w:szCs w:val="20"/>
                <w:lang w:val="en-GB"/>
              </w:rPr>
              <w:t xml:space="preserve">) traditionally contributed the most to the year-on-year strengthening of retail in the CR. </w:t>
            </w:r>
            <w:r w:rsidRPr="00A17559">
              <w:rPr>
                <w:color w:val="0D0D0D" w:themeColor="text1" w:themeTint="F2"/>
                <w:spacing w:val="-7"/>
                <w:lang w:val="en-GB"/>
              </w:rPr>
              <w:t xml:space="preserve">Its half-year growth more than doubled the rate of growth in the EU and among the Union states, only Lithuania (9.9%), Romania (9.7%) and Hungary (8.4%) recorded higher value. All types of specialised shops prospered, especially those with computer and communication equipment (+10.6%). Retail sale of cultural and recreation goods fared even better (11.5%), especially thanks to strong sales in Q1, which were stimulated by a fast onset of the Spring season. Only specialised shops with food experienced a moderate decline (by 1.2%). Total sales for food were however growing (+2.3%), similarly to the last year. On the contrary, the decreased dynamics concerned sale of automotive fuel, which increased year-on-year only by 2.2% (the least since the half of year 2014) in Q2 itself. Sales </w:t>
            </w:r>
            <w:r w:rsidR="00520E83">
              <w:rPr>
                <w:color w:val="0D0D0D" w:themeColor="text1" w:themeTint="F2"/>
                <w:spacing w:val="-7"/>
                <w:lang w:val="en-GB"/>
              </w:rPr>
              <w:t>for sale and repair</w:t>
            </w:r>
            <w:r w:rsidRPr="00A17559">
              <w:rPr>
                <w:color w:val="0D0D0D" w:themeColor="text1" w:themeTint="F2"/>
                <w:spacing w:val="-7"/>
                <w:lang w:val="en-GB"/>
              </w:rPr>
              <w:t xml:space="preserve"> of motor vehicles continued falling similarly to the last year, however their fall already halted in the quarter-on-quarter expression this year. </w:t>
            </w:r>
          </w:p>
          <w:p w:rsidR="00422629" w:rsidRPr="00A17559" w:rsidRDefault="00422629" w:rsidP="00422629">
            <w:pPr>
              <w:spacing w:after="0"/>
              <w:rPr>
                <w:rFonts w:cs="Arial"/>
                <w:spacing w:val="-7"/>
                <w:sz w:val="14"/>
                <w:szCs w:val="14"/>
                <w:lang w:val="en-GB"/>
              </w:rPr>
            </w:pPr>
          </w:p>
        </w:tc>
      </w:tr>
    </w:tbl>
    <w:p w:rsidR="00935BD4" w:rsidRPr="00A17559" w:rsidRDefault="004A5D4E" w:rsidP="001554C2">
      <w:pPr>
        <w:pStyle w:val="Nadpis11"/>
        <w:rPr>
          <w:lang w:val="en-GB"/>
        </w:rPr>
      </w:pPr>
      <w:bookmarkStart w:id="7" w:name="_Toc19179083"/>
      <w:r w:rsidRPr="00A17559">
        <w:rPr>
          <w:lang w:val="en-GB"/>
        </w:rPr>
        <w:t>4. </w:t>
      </w:r>
      <w:r w:rsidR="006F7559" w:rsidRPr="00A17559">
        <w:rPr>
          <w:lang w:val="en-GB"/>
        </w:rPr>
        <w:t>External Relations</w:t>
      </w:r>
      <w:bookmarkEnd w:id="7"/>
    </w:p>
    <w:tbl>
      <w:tblPr>
        <w:tblW w:w="9639" w:type="dxa"/>
        <w:tblInd w:w="-15" w:type="dxa"/>
        <w:tblCellMar>
          <w:left w:w="0" w:type="dxa"/>
          <w:right w:w="0" w:type="dxa"/>
        </w:tblCellMar>
        <w:tblLook w:val="00A0" w:firstRow="1" w:lastRow="0" w:firstColumn="1" w:lastColumn="0" w:noHBand="0" w:noVBand="0"/>
      </w:tblPr>
      <w:tblGrid>
        <w:gridCol w:w="1801"/>
        <w:gridCol w:w="228"/>
        <w:gridCol w:w="7610"/>
      </w:tblGrid>
      <w:tr w:rsidR="0019196C" w:rsidRPr="00A17559" w:rsidTr="000A212B">
        <w:trPr>
          <w:trHeight w:val="145"/>
        </w:trPr>
        <w:tc>
          <w:tcPr>
            <w:tcW w:w="1801" w:type="dxa"/>
            <w:shd w:val="clear" w:color="auto" w:fill="auto"/>
            <w:tcMar>
              <w:left w:w="0" w:type="dxa"/>
            </w:tcMar>
          </w:tcPr>
          <w:p w:rsidR="0019196C" w:rsidRPr="00A17559" w:rsidRDefault="006F7559" w:rsidP="006F7559">
            <w:pPr>
              <w:pStyle w:val="Marginlie"/>
              <w:rPr>
                <w:lang w:val="en-GB"/>
              </w:rPr>
            </w:pPr>
            <w:r w:rsidRPr="00A17559">
              <w:rPr>
                <w:lang w:val="en-GB"/>
              </w:rPr>
              <w:t xml:space="preserve">Value of export rose year-on-year in both quarters of year </w:t>
            </w:r>
            <w:r w:rsidR="0019196C" w:rsidRPr="00A17559">
              <w:rPr>
                <w:lang w:val="en-GB"/>
              </w:rPr>
              <w:t>2019.</w:t>
            </w:r>
          </w:p>
        </w:tc>
        <w:tc>
          <w:tcPr>
            <w:tcW w:w="228" w:type="dxa"/>
            <w:shd w:val="clear" w:color="auto" w:fill="auto"/>
            <w:tcMar>
              <w:left w:w="0" w:type="dxa"/>
            </w:tcMar>
          </w:tcPr>
          <w:p w:rsidR="0019196C" w:rsidRPr="00A17559" w:rsidRDefault="0019196C" w:rsidP="0019196C">
            <w:pPr>
              <w:pStyle w:val="Textpoznpodarou"/>
              <w:jc w:val="both"/>
              <w:rPr>
                <w:spacing w:val="-4"/>
                <w:lang w:val="en-GB"/>
              </w:rPr>
            </w:pPr>
          </w:p>
        </w:tc>
        <w:tc>
          <w:tcPr>
            <w:tcW w:w="7610" w:type="dxa"/>
            <w:shd w:val="clear" w:color="auto" w:fill="auto"/>
            <w:tcMar>
              <w:left w:w="0" w:type="dxa"/>
            </w:tcMar>
          </w:tcPr>
          <w:p w:rsidR="0019196C" w:rsidRPr="00A17559" w:rsidRDefault="006F7559" w:rsidP="007D5BC6">
            <w:pPr>
              <w:spacing w:after="200"/>
              <w:rPr>
                <w:spacing w:val="-4"/>
                <w:lang w:val="en-GB"/>
              </w:rPr>
            </w:pPr>
            <w:r w:rsidRPr="00A17559">
              <w:rPr>
                <w:spacing w:val="-4"/>
                <w:lang w:val="en-GB"/>
              </w:rPr>
              <w:t xml:space="preserve">Value of export of goods increased by </w:t>
            </w:r>
            <w:r w:rsidR="009A6225" w:rsidRPr="00A17559">
              <w:rPr>
                <w:spacing w:val="-4"/>
                <w:lang w:val="en-GB"/>
              </w:rPr>
              <w:t>63</w:t>
            </w:r>
            <w:r w:rsidRPr="00A17559">
              <w:rPr>
                <w:spacing w:val="-4"/>
                <w:lang w:val="en-GB"/>
              </w:rPr>
              <w:t>.</w:t>
            </w:r>
            <w:r w:rsidR="009A6225" w:rsidRPr="00A17559">
              <w:rPr>
                <w:spacing w:val="-4"/>
                <w:lang w:val="en-GB"/>
              </w:rPr>
              <w:t>0</w:t>
            </w:r>
            <w:r w:rsidRPr="00A17559">
              <w:rPr>
                <w:spacing w:val="-4"/>
                <w:lang w:val="en-GB"/>
              </w:rPr>
              <w:t xml:space="preserve"> CZK bn </w:t>
            </w:r>
            <w:r w:rsidR="0019196C" w:rsidRPr="00A17559">
              <w:rPr>
                <w:spacing w:val="-4"/>
                <w:lang w:val="en-GB"/>
              </w:rPr>
              <w:t>(3</w:t>
            </w:r>
            <w:r w:rsidRPr="00A17559">
              <w:rPr>
                <w:spacing w:val="-4"/>
                <w:lang w:val="en-GB"/>
              </w:rPr>
              <w:t>.</w:t>
            </w:r>
            <w:r w:rsidR="009A6225" w:rsidRPr="00A17559">
              <w:rPr>
                <w:spacing w:val="-4"/>
                <w:lang w:val="en-GB"/>
              </w:rPr>
              <w:t>5</w:t>
            </w:r>
            <w:r w:rsidR="00403F57" w:rsidRPr="00A17559">
              <w:rPr>
                <w:spacing w:val="-4"/>
                <w:lang w:val="en-GB"/>
              </w:rPr>
              <w:t>%</w:t>
            </w:r>
            <w:r w:rsidR="0019196C" w:rsidRPr="00A17559">
              <w:rPr>
                <w:spacing w:val="-4"/>
                <w:lang w:val="en-GB"/>
              </w:rPr>
              <w:t xml:space="preserve">) </w:t>
            </w:r>
            <w:r w:rsidRPr="00A17559">
              <w:rPr>
                <w:spacing w:val="-4"/>
                <w:lang w:val="en-GB"/>
              </w:rPr>
              <w:t>to</w:t>
            </w:r>
            <w:r w:rsidR="0019196C" w:rsidRPr="00A17559">
              <w:rPr>
                <w:spacing w:val="-4"/>
                <w:lang w:val="en-GB"/>
              </w:rPr>
              <w:t xml:space="preserve"> 1</w:t>
            </w:r>
            <w:r w:rsidRPr="00A17559">
              <w:rPr>
                <w:spacing w:val="-4"/>
                <w:lang w:val="en-GB"/>
              </w:rPr>
              <w:t> </w:t>
            </w:r>
            <w:r w:rsidR="0019196C" w:rsidRPr="00A17559">
              <w:rPr>
                <w:spacing w:val="-4"/>
                <w:lang w:val="en-GB"/>
              </w:rPr>
              <w:t>8</w:t>
            </w:r>
            <w:r w:rsidR="009A6225" w:rsidRPr="00A17559">
              <w:rPr>
                <w:spacing w:val="-4"/>
                <w:lang w:val="en-GB"/>
              </w:rPr>
              <w:t>78</w:t>
            </w:r>
            <w:r w:rsidRPr="00A17559">
              <w:rPr>
                <w:spacing w:val="-4"/>
                <w:lang w:val="en-GB"/>
              </w:rPr>
              <w:t>.</w:t>
            </w:r>
            <w:r w:rsidR="009A6225" w:rsidRPr="00A17559">
              <w:rPr>
                <w:spacing w:val="-4"/>
                <w:lang w:val="en-GB"/>
              </w:rPr>
              <w:t xml:space="preserve">4 </w:t>
            </w:r>
            <w:r w:rsidRPr="00A17559">
              <w:rPr>
                <w:spacing w:val="-4"/>
                <w:lang w:val="en-GB"/>
              </w:rPr>
              <w:t>bn</w:t>
            </w:r>
            <w:r w:rsidR="0019196C" w:rsidRPr="00A17559">
              <w:rPr>
                <w:rStyle w:val="Znakapoznpodarou"/>
                <w:spacing w:val="-4"/>
                <w:lang w:val="en-GB"/>
              </w:rPr>
              <w:footnoteReference w:id="38"/>
            </w:r>
            <w:r w:rsidRPr="00A17559">
              <w:rPr>
                <w:spacing w:val="-4"/>
                <w:lang w:val="en-GB"/>
              </w:rPr>
              <w:t xml:space="preserve"> year-on-year in H1 2019.</w:t>
            </w:r>
            <w:r w:rsidR="0019196C" w:rsidRPr="00A17559">
              <w:rPr>
                <w:spacing w:val="-4"/>
                <w:lang w:val="en-GB"/>
              </w:rPr>
              <w:t xml:space="preserve"> </w:t>
            </w:r>
            <w:r w:rsidRPr="00A17559">
              <w:rPr>
                <w:spacing w:val="-4"/>
                <w:lang w:val="en-GB"/>
              </w:rPr>
              <w:t xml:space="preserve">Export dynamics was even in individual quarters. </w:t>
            </w:r>
            <w:r w:rsidR="00F27797" w:rsidRPr="00A17559">
              <w:rPr>
                <w:spacing w:val="-4"/>
                <w:lang w:val="en-GB"/>
              </w:rPr>
              <w:t xml:space="preserve">While the export increased by 3.5% </w:t>
            </w:r>
            <w:r w:rsidR="0019196C" w:rsidRPr="00A17559">
              <w:rPr>
                <w:spacing w:val="-4"/>
                <w:lang w:val="en-GB"/>
              </w:rPr>
              <w:t>(3</w:t>
            </w:r>
            <w:r w:rsidR="009A6225" w:rsidRPr="00A17559">
              <w:rPr>
                <w:spacing w:val="-4"/>
                <w:lang w:val="en-GB"/>
              </w:rPr>
              <w:t>1</w:t>
            </w:r>
            <w:r w:rsidR="00F27797" w:rsidRPr="00A17559">
              <w:rPr>
                <w:spacing w:val="-4"/>
                <w:lang w:val="en-GB"/>
              </w:rPr>
              <w:t>.</w:t>
            </w:r>
            <w:r w:rsidR="009A6225" w:rsidRPr="00A17559">
              <w:rPr>
                <w:spacing w:val="-4"/>
                <w:lang w:val="en-GB"/>
              </w:rPr>
              <w:t>8</w:t>
            </w:r>
            <w:r w:rsidR="00403F57" w:rsidRPr="00A17559">
              <w:rPr>
                <w:spacing w:val="-4"/>
                <w:lang w:val="en-GB"/>
              </w:rPr>
              <w:t> </w:t>
            </w:r>
            <w:r w:rsidR="00F27797" w:rsidRPr="00A17559">
              <w:rPr>
                <w:spacing w:val="-4"/>
                <w:lang w:val="en-GB"/>
              </w:rPr>
              <w:t>CZK bn</w:t>
            </w:r>
            <w:r w:rsidR="0019196C" w:rsidRPr="00A17559">
              <w:rPr>
                <w:spacing w:val="-4"/>
                <w:lang w:val="en-GB"/>
              </w:rPr>
              <w:t>)</w:t>
            </w:r>
            <w:r w:rsidR="00F27797" w:rsidRPr="00A17559">
              <w:rPr>
                <w:spacing w:val="-4"/>
                <w:lang w:val="en-GB"/>
              </w:rPr>
              <w:t xml:space="preserve"> year-on-year in Q1</w:t>
            </w:r>
            <w:r w:rsidR="0019196C" w:rsidRPr="00A17559">
              <w:rPr>
                <w:spacing w:val="-4"/>
                <w:lang w:val="en-GB"/>
              </w:rPr>
              <w:t xml:space="preserve">, </w:t>
            </w:r>
            <w:r w:rsidR="00F27797" w:rsidRPr="00A17559">
              <w:rPr>
                <w:spacing w:val="-4"/>
                <w:lang w:val="en-GB"/>
              </w:rPr>
              <w:t>Q</w:t>
            </w:r>
            <w:r w:rsidR="0019196C" w:rsidRPr="00A17559">
              <w:rPr>
                <w:spacing w:val="-4"/>
                <w:lang w:val="en-GB"/>
              </w:rPr>
              <w:t>2</w:t>
            </w:r>
            <w:r w:rsidR="00F27797" w:rsidRPr="00A17559">
              <w:rPr>
                <w:spacing w:val="-4"/>
                <w:lang w:val="en-GB"/>
              </w:rPr>
              <w:t xml:space="preserve"> did not fall much behind with </w:t>
            </w:r>
            <w:r w:rsidR="0019196C" w:rsidRPr="00A17559">
              <w:rPr>
                <w:spacing w:val="-4"/>
                <w:lang w:val="en-GB"/>
              </w:rPr>
              <w:t>3</w:t>
            </w:r>
            <w:r w:rsidR="00F27797" w:rsidRPr="00A17559">
              <w:rPr>
                <w:spacing w:val="-4"/>
                <w:lang w:val="en-GB"/>
              </w:rPr>
              <w:t>.</w:t>
            </w:r>
            <w:r w:rsidR="009A6225" w:rsidRPr="00A17559">
              <w:rPr>
                <w:spacing w:val="-4"/>
                <w:lang w:val="en-GB"/>
              </w:rPr>
              <w:t>4</w:t>
            </w:r>
            <w:r w:rsidR="00403F57" w:rsidRPr="00A17559">
              <w:rPr>
                <w:spacing w:val="-4"/>
                <w:lang w:val="en-GB"/>
              </w:rPr>
              <w:t>%</w:t>
            </w:r>
            <w:r w:rsidR="0019196C" w:rsidRPr="00A17559">
              <w:rPr>
                <w:spacing w:val="-4"/>
                <w:lang w:val="en-GB"/>
              </w:rPr>
              <w:t xml:space="preserve"> (3</w:t>
            </w:r>
            <w:r w:rsidR="009A6225" w:rsidRPr="00A17559">
              <w:rPr>
                <w:spacing w:val="-4"/>
                <w:lang w:val="en-GB"/>
              </w:rPr>
              <w:t>1</w:t>
            </w:r>
            <w:r w:rsidR="00F27797" w:rsidRPr="00A17559">
              <w:rPr>
                <w:spacing w:val="-4"/>
                <w:lang w:val="en-GB"/>
              </w:rPr>
              <w:t>.</w:t>
            </w:r>
            <w:r w:rsidR="009A6225" w:rsidRPr="00A17559">
              <w:rPr>
                <w:spacing w:val="-4"/>
                <w:lang w:val="en-GB"/>
              </w:rPr>
              <w:t>3</w:t>
            </w:r>
            <w:r w:rsidR="00403F57" w:rsidRPr="00A17559">
              <w:rPr>
                <w:spacing w:val="-4"/>
                <w:lang w:val="en-GB"/>
              </w:rPr>
              <w:t> </w:t>
            </w:r>
            <w:r w:rsidR="00F27797" w:rsidRPr="00A17559">
              <w:rPr>
                <w:spacing w:val="-4"/>
                <w:lang w:val="en-GB"/>
              </w:rPr>
              <w:t>bn</w:t>
            </w:r>
            <w:r w:rsidR="0019196C" w:rsidRPr="00A17559">
              <w:rPr>
                <w:spacing w:val="-4"/>
                <w:lang w:val="en-GB"/>
              </w:rPr>
              <w:t xml:space="preserve">). </w:t>
            </w:r>
            <w:r w:rsidR="00F27797" w:rsidRPr="00A17559">
              <w:rPr>
                <w:spacing w:val="-4"/>
                <w:lang w:val="en-GB"/>
              </w:rPr>
              <w:t xml:space="preserve">Value of export was </w:t>
            </w:r>
            <w:r w:rsidR="0019196C" w:rsidRPr="00A17559">
              <w:rPr>
                <w:spacing w:val="-4"/>
                <w:lang w:val="en-GB"/>
              </w:rPr>
              <w:t>9</w:t>
            </w:r>
            <w:r w:rsidR="009A6225" w:rsidRPr="00A17559">
              <w:rPr>
                <w:spacing w:val="-4"/>
                <w:lang w:val="en-GB"/>
              </w:rPr>
              <w:t>48</w:t>
            </w:r>
            <w:r w:rsidR="00F27797" w:rsidRPr="00A17559">
              <w:rPr>
                <w:spacing w:val="-4"/>
                <w:lang w:val="en-GB"/>
              </w:rPr>
              <w:t>.</w:t>
            </w:r>
            <w:r w:rsidR="009A6225" w:rsidRPr="00A17559">
              <w:rPr>
                <w:spacing w:val="-4"/>
                <w:lang w:val="en-GB"/>
              </w:rPr>
              <w:t>5</w:t>
            </w:r>
            <w:r w:rsidR="00F27797" w:rsidRPr="00A17559">
              <w:rPr>
                <w:spacing w:val="-4"/>
                <w:lang w:val="en-GB"/>
              </w:rPr>
              <w:t xml:space="preserve"> CZK bn in Q2</w:t>
            </w:r>
            <w:r w:rsidR="007D5BC6" w:rsidRPr="00A17559">
              <w:rPr>
                <w:spacing w:val="-4"/>
                <w:lang w:val="en-GB"/>
              </w:rPr>
              <w:t xml:space="preserve"> and was thus </w:t>
            </w:r>
            <w:r w:rsidR="00F27797" w:rsidRPr="00A17559">
              <w:rPr>
                <w:spacing w:val="-4"/>
                <w:lang w:val="en-GB"/>
              </w:rPr>
              <w:t xml:space="preserve">the highest reached for this period in the time series since year </w:t>
            </w:r>
            <w:r w:rsidR="0019196C" w:rsidRPr="00A17559">
              <w:rPr>
                <w:spacing w:val="-4"/>
                <w:lang w:val="en-GB"/>
              </w:rPr>
              <w:t>200</w:t>
            </w:r>
            <w:r w:rsidR="004A5D4E" w:rsidRPr="00A17559">
              <w:rPr>
                <w:spacing w:val="-4"/>
                <w:lang w:val="en-GB"/>
              </w:rPr>
              <w:t>5.</w:t>
            </w:r>
          </w:p>
        </w:tc>
      </w:tr>
      <w:tr w:rsidR="0019196C" w:rsidRPr="00A17559" w:rsidTr="000A212B">
        <w:trPr>
          <w:trHeight w:val="145"/>
        </w:trPr>
        <w:tc>
          <w:tcPr>
            <w:tcW w:w="1801" w:type="dxa"/>
            <w:shd w:val="clear" w:color="auto" w:fill="auto"/>
            <w:tcMar>
              <w:left w:w="0" w:type="dxa"/>
            </w:tcMar>
          </w:tcPr>
          <w:p w:rsidR="0019196C" w:rsidRPr="00A17559" w:rsidRDefault="006F7559" w:rsidP="006F7559">
            <w:pPr>
              <w:pStyle w:val="Marginlie"/>
              <w:rPr>
                <w:lang w:val="en-GB"/>
              </w:rPr>
            </w:pPr>
            <w:r w:rsidRPr="00A17559">
              <w:rPr>
                <w:lang w:val="en-GB"/>
              </w:rPr>
              <w:t>Export outside the European Union featured stronger dynamics in H</w:t>
            </w:r>
            <w:r w:rsidR="004A5D4E" w:rsidRPr="00A17559">
              <w:rPr>
                <w:lang w:val="en-GB"/>
              </w:rPr>
              <w:t>1.</w:t>
            </w:r>
          </w:p>
        </w:tc>
        <w:tc>
          <w:tcPr>
            <w:tcW w:w="228" w:type="dxa"/>
            <w:shd w:val="clear" w:color="auto" w:fill="auto"/>
            <w:tcMar>
              <w:left w:w="0" w:type="dxa"/>
            </w:tcMar>
          </w:tcPr>
          <w:p w:rsidR="0019196C" w:rsidRPr="00A17559" w:rsidRDefault="0019196C" w:rsidP="0019196C">
            <w:pPr>
              <w:pStyle w:val="Textpoznpodarou"/>
              <w:jc w:val="both"/>
              <w:rPr>
                <w:spacing w:val="-4"/>
                <w:lang w:val="en-GB"/>
              </w:rPr>
            </w:pPr>
          </w:p>
        </w:tc>
        <w:tc>
          <w:tcPr>
            <w:tcW w:w="7610" w:type="dxa"/>
            <w:shd w:val="clear" w:color="auto" w:fill="auto"/>
            <w:tcMar>
              <w:left w:w="0" w:type="dxa"/>
            </w:tcMar>
          </w:tcPr>
          <w:p w:rsidR="0019196C" w:rsidRPr="00A17559" w:rsidRDefault="00F27797" w:rsidP="007D5BC6">
            <w:pPr>
              <w:spacing w:after="200"/>
              <w:rPr>
                <w:spacing w:val="-4"/>
                <w:lang w:val="en-GB"/>
              </w:rPr>
            </w:pPr>
            <w:r w:rsidRPr="00A17559">
              <w:rPr>
                <w:spacing w:val="-4"/>
                <w:lang w:val="en-GB"/>
              </w:rPr>
              <w:t>Value of export of goods into the EU increased by 3.5% and by 4.7% outside of the EU year-on-year in H1</w:t>
            </w:r>
            <w:r w:rsidR="004A5D4E" w:rsidRPr="00A17559">
              <w:rPr>
                <w:spacing w:val="-4"/>
                <w:lang w:val="en-GB"/>
              </w:rPr>
              <w:t>.</w:t>
            </w:r>
            <w:r w:rsidRPr="00A17559">
              <w:rPr>
                <w:spacing w:val="-4"/>
                <w:lang w:val="en-GB"/>
              </w:rPr>
              <w:t xml:space="preserve"> The dynamics was changing during the individual quarters – grow</w:t>
            </w:r>
            <w:r w:rsidR="007D5BC6" w:rsidRPr="00A17559">
              <w:rPr>
                <w:spacing w:val="-4"/>
                <w:lang w:val="en-GB"/>
              </w:rPr>
              <w:t>th</w:t>
            </w:r>
            <w:r w:rsidRPr="00A17559">
              <w:rPr>
                <w:spacing w:val="-4"/>
                <w:lang w:val="en-GB"/>
              </w:rPr>
              <w:t xml:space="preserve"> of export into the Union weakened to 2.6% in Q2 and export outside the EU on the contrary sharply accelerated to </w:t>
            </w:r>
            <w:r w:rsidR="00BD73D2" w:rsidRPr="00A17559">
              <w:rPr>
                <w:spacing w:val="-4"/>
                <w:lang w:val="en-GB"/>
              </w:rPr>
              <w:t>8</w:t>
            </w:r>
            <w:r w:rsidRPr="00A17559">
              <w:rPr>
                <w:spacing w:val="-4"/>
                <w:lang w:val="en-GB"/>
              </w:rPr>
              <w:t>.</w:t>
            </w:r>
            <w:r w:rsidR="00BD73D2" w:rsidRPr="00A17559">
              <w:rPr>
                <w:spacing w:val="-4"/>
                <w:lang w:val="en-GB"/>
              </w:rPr>
              <w:t>0</w:t>
            </w:r>
            <w:r w:rsidR="00403F57" w:rsidRPr="00A17559">
              <w:rPr>
                <w:spacing w:val="-4"/>
                <w:lang w:val="en-GB"/>
              </w:rPr>
              <w:t>%</w:t>
            </w:r>
            <w:r w:rsidR="0019196C" w:rsidRPr="00A17559">
              <w:rPr>
                <w:spacing w:val="-4"/>
                <w:lang w:val="en-GB"/>
              </w:rPr>
              <w:t xml:space="preserve">. </w:t>
            </w:r>
            <w:r w:rsidR="00291F92" w:rsidRPr="00A17559">
              <w:rPr>
                <w:spacing w:val="-4"/>
                <w:lang w:val="en-GB"/>
              </w:rPr>
              <w:t xml:space="preserve">Year-on-year dynamics of export to Germany remained on moderate level in the first half of the year </w:t>
            </w:r>
            <w:r w:rsidR="0019196C" w:rsidRPr="00A17559">
              <w:rPr>
                <w:spacing w:val="-4"/>
                <w:lang w:val="en-GB"/>
              </w:rPr>
              <w:t>(2</w:t>
            </w:r>
            <w:r w:rsidR="00291F92" w:rsidRPr="00A17559">
              <w:rPr>
                <w:spacing w:val="-4"/>
                <w:lang w:val="en-GB"/>
              </w:rPr>
              <w:t>.</w:t>
            </w:r>
            <w:r w:rsidR="00BD73D2" w:rsidRPr="00A17559">
              <w:rPr>
                <w:spacing w:val="-4"/>
                <w:lang w:val="en-GB"/>
              </w:rPr>
              <w:t>4</w:t>
            </w:r>
            <w:r w:rsidR="0019196C" w:rsidRPr="00A17559">
              <w:rPr>
                <w:spacing w:val="-4"/>
                <w:lang w:val="en-GB"/>
              </w:rPr>
              <w:t xml:space="preserve">% </w:t>
            </w:r>
            <w:r w:rsidR="00291F92" w:rsidRPr="00A17559">
              <w:rPr>
                <w:spacing w:val="-4"/>
                <w:lang w:val="en-GB"/>
              </w:rPr>
              <w:t>in both Q</w:t>
            </w:r>
            <w:r w:rsidR="004A5D4E" w:rsidRPr="00A17559">
              <w:rPr>
                <w:spacing w:val="-4"/>
                <w:lang w:val="en-GB"/>
              </w:rPr>
              <w:t>1</w:t>
            </w:r>
            <w:r w:rsidR="00291F92" w:rsidRPr="00A17559">
              <w:rPr>
                <w:spacing w:val="-4"/>
                <w:lang w:val="en-GB"/>
              </w:rPr>
              <w:t xml:space="preserve"> and </w:t>
            </w:r>
            <w:r w:rsidR="0019196C" w:rsidRPr="00A17559">
              <w:rPr>
                <w:spacing w:val="-4"/>
                <w:lang w:val="en-GB"/>
              </w:rPr>
              <w:t xml:space="preserve">2). </w:t>
            </w:r>
            <w:r w:rsidR="000537E1" w:rsidRPr="00A17559">
              <w:rPr>
                <w:spacing w:val="-4"/>
                <w:lang w:val="en-GB"/>
              </w:rPr>
              <w:t xml:space="preserve">However, Q2 was the one weaker for other EU countries. It was valid for Poland </w:t>
            </w:r>
            <w:r w:rsidR="0019196C" w:rsidRPr="00A17559">
              <w:rPr>
                <w:spacing w:val="-4"/>
                <w:lang w:val="en-GB"/>
              </w:rPr>
              <w:t>(</w:t>
            </w:r>
            <w:r w:rsidR="000537E1" w:rsidRPr="00A17559">
              <w:rPr>
                <w:spacing w:val="-4"/>
                <w:lang w:val="en-GB"/>
              </w:rPr>
              <w:t xml:space="preserve">slowdown from </w:t>
            </w:r>
            <w:r w:rsidR="0019196C" w:rsidRPr="00A17559">
              <w:rPr>
                <w:spacing w:val="-4"/>
                <w:lang w:val="en-GB"/>
              </w:rPr>
              <w:t>3</w:t>
            </w:r>
            <w:r w:rsidR="000537E1" w:rsidRPr="00A17559">
              <w:rPr>
                <w:spacing w:val="-4"/>
                <w:lang w:val="en-GB"/>
              </w:rPr>
              <w:t>.</w:t>
            </w:r>
            <w:r w:rsidR="0019196C" w:rsidRPr="00A17559">
              <w:rPr>
                <w:spacing w:val="-4"/>
                <w:lang w:val="en-GB"/>
              </w:rPr>
              <w:t>1</w:t>
            </w:r>
            <w:r w:rsidR="00403F57" w:rsidRPr="00A17559">
              <w:rPr>
                <w:spacing w:val="-4"/>
                <w:lang w:val="en-GB"/>
              </w:rPr>
              <w:t>%</w:t>
            </w:r>
            <w:r w:rsidR="000537E1" w:rsidRPr="00A17559">
              <w:rPr>
                <w:spacing w:val="-4"/>
                <w:lang w:val="en-GB"/>
              </w:rPr>
              <w:t xml:space="preserve"> to </w:t>
            </w:r>
            <w:r w:rsidR="0019196C" w:rsidRPr="00A17559">
              <w:rPr>
                <w:spacing w:val="-4"/>
                <w:lang w:val="en-GB"/>
              </w:rPr>
              <w:t>0</w:t>
            </w:r>
            <w:r w:rsidR="000537E1" w:rsidRPr="00A17559">
              <w:rPr>
                <w:spacing w:val="-4"/>
                <w:lang w:val="en-GB"/>
              </w:rPr>
              <w:t>.</w:t>
            </w:r>
            <w:r w:rsidR="00BD73D2" w:rsidRPr="00A17559">
              <w:rPr>
                <w:spacing w:val="-4"/>
                <w:lang w:val="en-GB"/>
              </w:rPr>
              <w:t>8</w:t>
            </w:r>
            <w:r w:rsidR="00403F57" w:rsidRPr="00A17559">
              <w:rPr>
                <w:spacing w:val="-4"/>
                <w:lang w:val="en-GB"/>
              </w:rPr>
              <w:t>%</w:t>
            </w:r>
            <w:r w:rsidR="0019196C" w:rsidRPr="00A17559">
              <w:rPr>
                <w:spacing w:val="-4"/>
                <w:lang w:val="en-GB"/>
              </w:rPr>
              <w:t>), Slov</w:t>
            </w:r>
            <w:r w:rsidR="000537E1" w:rsidRPr="00A17559">
              <w:rPr>
                <w:spacing w:val="-4"/>
                <w:lang w:val="en-GB"/>
              </w:rPr>
              <w:t xml:space="preserve">akia </w:t>
            </w:r>
            <w:r w:rsidR="0019196C" w:rsidRPr="00A17559">
              <w:rPr>
                <w:spacing w:val="-4"/>
                <w:lang w:val="en-GB"/>
              </w:rPr>
              <w:t>(</w:t>
            </w:r>
            <w:r w:rsidR="000537E1" w:rsidRPr="00A17559">
              <w:rPr>
                <w:spacing w:val="-4"/>
                <w:lang w:val="en-GB"/>
              </w:rPr>
              <w:t xml:space="preserve">from </w:t>
            </w:r>
            <w:r w:rsidR="0019196C" w:rsidRPr="00A17559">
              <w:rPr>
                <w:spacing w:val="-4"/>
                <w:lang w:val="en-GB"/>
              </w:rPr>
              <w:t>10</w:t>
            </w:r>
            <w:r w:rsidR="000537E1" w:rsidRPr="00A17559">
              <w:rPr>
                <w:spacing w:val="-4"/>
                <w:lang w:val="en-GB"/>
              </w:rPr>
              <w:t>.</w:t>
            </w:r>
            <w:r w:rsidR="00BD73D2" w:rsidRPr="00A17559">
              <w:rPr>
                <w:spacing w:val="-4"/>
                <w:lang w:val="en-GB"/>
              </w:rPr>
              <w:t>8</w:t>
            </w:r>
            <w:r w:rsidR="00403F57" w:rsidRPr="00A17559">
              <w:rPr>
                <w:spacing w:val="-4"/>
                <w:lang w:val="en-GB"/>
              </w:rPr>
              <w:t>%</w:t>
            </w:r>
            <w:r w:rsidR="0019196C" w:rsidRPr="00A17559">
              <w:rPr>
                <w:spacing w:val="-4"/>
                <w:lang w:val="en-GB"/>
              </w:rPr>
              <w:t xml:space="preserve"> </w:t>
            </w:r>
            <w:r w:rsidR="000537E1" w:rsidRPr="00A17559">
              <w:rPr>
                <w:spacing w:val="-4"/>
                <w:lang w:val="en-GB"/>
              </w:rPr>
              <w:t xml:space="preserve">to </w:t>
            </w:r>
            <w:r w:rsidR="0019196C" w:rsidRPr="00A17559">
              <w:rPr>
                <w:spacing w:val="-4"/>
                <w:lang w:val="en-GB"/>
              </w:rPr>
              <w:t>4</w:t>
            </w:r>
            <w:r w:rsidR="000537E1" w:rsidRPr="00A17559">
              <w:rPr>
                <w:spacing w:val="-4"/>
                <w:lang w:val="en-GB"/>
              </w:rPr>
              <w:t>.</w:t>
            </w:r>
            <w:r w:rsidR="00BD73D2" w:rsidRPr="00A17559">
              <w:rPr>
                <w:spacing w:val="-4"/>
                <w:lang w:val="en-GB"/>
              </w:rPr>
              <w:t>8</w:t>
            </w:r>
            <w:r w:rsidR="0019196C" w:rsidRPr="00A17559">
              <w:rPr>
                <w:spacing w:val="-4"/>
                <w:lang w:val="en-GB"/>
              </w:rPr>
              <w:t xml:space="preserve">%), </w:t>
            </w:r>
            <w:r w:rsidR="000537E1" w:rsidRPr="00A17559">
              <w:rPr>
                <w:spacing w:val="-4"/>
                <w:lang w:val="en-GB"/>
              </w:rPr>
              <w:t>Austria</w:t>
            </w:r>
            <w:r w:rsidR="0019196C" w:rsidRPr="00A17559">
              <w:rPr>
                <w:spacing w:val="-4"/>
                <w:lang w:val="en-GB"/>
              </w:rPr>
              <w:t xml:space="preserve"> (</w:t>
            </w:r>
            <w:r w:rsidR="000537E1" w:rsidRPr="00A17559">
              <w:rPr>
                <w:spacing w:val="-4"/>
                <w:lang w:val="en-GB"/>
              </w:rPr>
              <w:t xml:space="preserve">from </w:t>
            </w:r>
            <w:r w:rsidR="0019196C" w:rsidRPr="00A17559">
              <w:rPr>
                <w:spacing w:val="-4"/>
                <w:lang w:val="en-GB"/>
              </w:rPr>
              <w:t>6</w:t>
            </w:r>
            <w:r w:rsidR="000537E1" w:rsidRPr="00A17559">
              <w:rPr>
                <w:spacing w:val="-4"/>
                <w:lang w:val="en-GB"/>
              </w:rPr>
              <w:t>.</w:t>
            </w:r>
            <w:r w:rsidR="00BD73D2" w:rsidRPr="00A17559">
              <w:rPr>
                <w:spacing w:val="-4"/>
                <w:lang w:val="en-GB"/>
              </w:rPr>
              <w:t>0</w:t>
            </w:r>
            <w:r w:rsidR="00403F57" w:rsidRPr="00A17559">
              <w:rPr>
                <w:spacing w:val="-4"/>
                <w:lang w:val="en-GB"/>
              </w:rPr>
              <w:t>%</w:t>
            </w:r>
            <w:r w:rsidR="0019196C" w:rsidRPr="00A17559">
              <w:rPr>
                <w:spacing w:val="-4"/>
                <w:lang w:val="en-GB"/>
              </w:rPr>
              <w:t xml:space="preserve"> </w:t>
            </w:r>
            <w:r w:rsidR="000537E1" w:rsidRPr="00A17559">
              <w:rPr>
                <w:spacing w:val="-4"/>
                <w:lang w:val="en-GB"/>
              </w:rPr>
              <w:t xml:space="preserve">to </w:t>
            </w:r>
            <w:r w:rsidR="0019196C" w:rsidRPr="00A17559">
              <w:rPr>
                <w:spacing w:val="-4"/>
                <w:lang w:val="en-GB"/>
              </w:rPr>
              <w:t>2</w:t>
            </w:r>
            <w:r w:rsidR="000537E1" w:rsidRPr="00A17559">
              <w:rPr>
                <w:spacing w:val="-4"/>
                <w:lang w:val="en-GB"/>
              </w:rPr>
              <w:t>.</w:t>
            </w:r>
            <w:r w:rsidR="00BD73D2" w:rsidRPr="00A17559">
              <w:rPr>
                <w:spacing w:val="-4"/>
                <w:lang w:val="en-GB"/>
              </w:rPr>
              <w:t>0</w:t>
            </w:r>
            <w:r w:rsidR="00403F57" w:rsidRPr="00A17559">
              <w:rPr>
                <w:spacing w:val="-4"/>
                <w:lang w:val="en-GB"/>
              </w:rPr>
              <w:t>%</w:t>
            </w:r>
            <w:r w:rsidR="0019196C" w:rsidRPr="00A17559">
              <w:rPr>
                <w:spacing w:val="-4"/>
                <w:lang w:val="en-GB"/>
              </w:rPr>
              <w:t xml:space="preserve">) </w:t>
            </w:r>
            <w:r w:rsidR="000537E1" w:rsidRPr="00A17559">
              <w:rPr>
                <w:spacing w:val="-4"/>
                <w:lang w:val="en-GB"/>
              </w:rPr>
              <w:t>or France</w:t>
            </w:r>
            <w:r w:rsidR="0019196C" w:rsidRPr="00A17559">
              <w:rPr>
                <w:spacing w:val="-4"/>
                <w:lang w:val="en-GB"/>
              </w:rPr>
              <w:t xml:space="preserve"> (</w:t>
            </w:r>
            <w:r w:rsidR="000537E1" w:rsidRPr="00A17559">
              <w:rPr>
                <w:spacing w:val="-4"/>
                <w:lang w:val="en-GB"/>
              </w:rPr>
              <w:t xml:space="preserve">from </w:t>
            </w:r>
            <w:r w:rsidR="0019196C" w:rsidRPr="00A17559">
              <w:rPr>
                <w:spacing w:val="-4"/>
                <w:lang w:val="en-GB"/>
              </w:rPr>
              <w:t>9</w:t>
            </w:r>
            <w:r w:rsidR="000537E1" w:rsidRPr="00A17559">
              <w:rPr>
                <w:spacing w:val="-4"/>
                <w:lang w:val="en-GB"/>
              </w:rPr>
              <w:t>.</w:t>
            </w:r>
            <w:r w:rsidR="00BD73D2" w:rsidRPr="00A17559">
              <w:rPr>
                <w:spacing w:val="-4"/>
                <w:lang w:val="en-GB"/>
              </w:rPr>
              <w:t>4</w:t>
            </w:r>
            <w:r w:rsidR="00403F57" w:rsidRPr="00A17559">
              <w:rPr>
                <w:spacing w:val="-4"/>
                <w:lang w:val="en-GB"/>
              </w:rPr>
              <w:t>%</w:t>
            </w:r>
            <w:r w:rsidR="000537E1" w:rsidRPr="00A17559">
              <w:rPr>
                <w:spacing w:val="-4"/>
                <w:lang w:val="en-GB"/>
              </w:rPr>
              <w:t xml:space="preserve"> to </w:t>
            </w:r>
            <w:r w:rsidR="0019196C" w:rsidRPr="00A17559">
              <w:rPr>
                <w:spacing w:val="-4"/>
                <w:lang w:val="en-GB"/>
              </w:rPr>
              <w:t>1</w:t>
            </w:r>
            <w:r w:rsidR="000537E1" w:rsidRPr="00A17559">
              <w:rPr>
                <w:spacing w:val="-4"/>
                <w:lang w:val="en-GB"/>
              </w:rPr>
              <w:t>.</w:t>
            </w:r>
            <w:r w:rsidR="00BD73D2" w:rsidRPr="00A17559">
              <w:rPr>
                <w:spacing w:val="-4"/>
                <w:lang w:val="en-GB"/>
              </w:rPr>
              <w:t>1</w:t>
            </w:r>
            <w:r w:rsidR="00403F57" w:rsidRPr="00A17559">
              <w:rPr>
                <w:spacing w:val="-4"/>
                <w:lang w:val="en-GB"/>
              </w:rPr>
              <w:t>%</w:t>
            </w:r>
            <w:r w:rsidR="0019196C" w:rsidRPr="00A17559">
              <w:rPr>
                <w:spacing w:val="-4"/>
                <w:lang w:val="en-GB"/>
              </w:rPr>
              <w:t xml:space="preserve">). </w:t>
            </w:r>
            <w:r w:rsidR="00403D51" w:rsidRPr="00A17559">
              <w:rPr>
                <w:spacing w:val="-4"/>
                <w:lang w:val="en-GB"/>
              </w:rPr>
              <w:t xml:space="preserve">On the contrary, export to Hungary accelerated </w:t>
            </w:r>
            <w:r w:rsidR="0019196C" w:rsidRPr="00A17559">
              <w:rPr>
                <w:spacing w:val="-4"/>
                <w:lang w:val="en-GB"/>
              </w:rPr>
              <w:t>(</w:t>
            </w:r>
            <w:r w:rsidR="00403D51" w:rsidRPr="00A17559">
              <w:rPr>
                <w:spacing w:val="-4"/>
                <w:lang w:val="en-GB"/>
              </w:rPr>
              <w:t xml:space="preserve">to </w:t>
            </w:r>
            <w:r w:rsidR="0019196C" w:rsidRPr="00A17559">
              <w:rPr>
                <w:spacing w:val="-4"/>
                <w:lang w:val="en-GB"/>
              </w:rPr>
              <w:t>9</w:t>
            </w:r>
            <w:r w:rsidR="00403D51" w:rsidRPr="00A17559">
              <w:rPr>
                <w:spacing w:val="-4"/>
                <w:lang w:val="en-GB"/>
              </w:rPr>
              <w:t>.</w:t>
            </w:r>
            <w:r w:rsidR="00BD73D2" w:rsidRPr="00A17559">
              <w:rPr>
                <w:spacing w:val="-4"/>
                <w:lang w:val="en-GB"/>
              </w:rPr>
              <w:t>4</w:t>
            </w:r>
            <w:r w:rsidR="00403F57" w:rsidRPr="00A17559">
              <w:rPr>
                <w:spacing w:val="-4"/>
                <w:lang w:val="en-GB"/>
              </w:rPr>
              <w:t>%</w:t>
            </w:r>
            <w:r w:rsidR="0019196C" w:rsidRPr="00A17559">
              <w:rPr>
                <w:spacing w:val="-4"/>
                <w:lang w:val="en-GB"/>
              </w:rPr>
              <w:t>)</w:t>
            </w:r>
            <w:r w:rsidR="00403D51" w:rsidRPr="00A17559">
              <w:rPr>
                <w:spacing w:val="-4"/>
                <w:lang w:val="en-GB"/>
              </w:rPr>
              <w:t xml:space="preserve"> in Q2</w:t>
            </w:r>
            <w:r w:rsidR="0019196C" w:rsidRPr="00A17559">
              <w:rPr>
                <w:spacing w:val="-4"/>
                <w:lang w:val="en-GB"/>
              </w:rPr>
              <w:t>.</w:t>
            </w:r>
            <w:r w:rsidR="00403D51" w:rsidRPr="00A17559">
              <w:rPr>
                <w:spacing w:val="-4"/>
                <w:lang w:val="en-GB"/>
              </w:rPr>
              <w:t xml:space="preserve"> Export to Belgium featured a year-on-year decrease </w:t>
            </w:r>
            <w:r w:rsidR="0019196C" w:rsidRPr="00A17559">
              <w:rPr>
                <w:spacing w:val="-4"/>
                <w:lang w:val="en-GB"/>
              </w:rPr>
              <w:t>(</w:t>
            </w:r>
            <w:r w:rsidR="00403D51" w:rsidRPr="00A17559">
              <w:rPr>
                <w:spacing w:val="-4"/>
                <w:lang w:val="en-GB"/>
              </w:rPr>
              <w:t xml:space="preserve">by </w:t>
            </w:r>
            <w:r w:rsidR="00BD73D2" w:rsidRPr="00A17559">
              <w:rPr>
                <w:spacing w:val="-4"/>
                <w:lang w:val="en-GB"/>
              </w:rPr>
              <w:t>6</w:t>
            </w:r>
            <w:r w:rsidR="00403D51" w:rsidRPr="00A17559">
              <w:rPr>
                <w:spacing w:val="-4"/>
                <w:lang w:val="en-GB"/>
              </w:rPr>
              <w:t>.</w:t>
            </w:r>
            <w:r w:rsidR="00BD73D2" w:rsidRPr="00A17559">
              <w:rPr>
                <w:spacing w:val="-4"/>
                <w:lang w:val="en-GB"/>
              </w:rPr>
              <w:t>9</w:t>
            </w:r>
            <w:r w:rsidR="00403F57" w:rsidRPr="00A17559">
              <w:rPr>
                <w:spacing w:val="-4"/>
                <w:lang w:val="en-GB"/>
              </w:rPr>
              <w:t>%</w:t>
            </w:r>
            <w:r w:rsidR="0019196C" w:rsidRPr="00A17559">
              <w:rPr>
                <w:spacing w:val="-4"/>
                <w:lang w:val="en-GB"/>
              </w:rPr>
              <w:t xml:space="preserve"> </w:t>
            </w:r>
            <w:r w:rsidR="002F1B09" w:rsidRPr="00A17559">
              <w:rPr>
                <w:spacing w:val="-4"/>
                <w:lang w:val="en-GB"/>
              </w:rPr>
              <w:t>a</w:t>
            </w:r>
            <w:r w:rsidR="00403D51" w:rsidRPr="00A17559">
              <w:rPr>
                <w:spacing w:val="-4"/>
                <w:lang w:val="en-GB"/>
              </w:rPr>
              <w:t>nd</w:t>
            </w:r>
            <w:r w:rsidR="002F1B09" w:rsidRPr="00A17559">
              <w:rPr>
                <w:spacing w:val="-4"/>
                <w:lang w:val="en-GB"/>
              </w:rPr>
              <w:t> </w:t>
            </w:r>
            <w:r w:rsidR="0019196C" w:rsidRPr="00A17559">
              <w:rPr>
                <w:spacing w:val="-4"/>
                <w:lang w:val="en-GB"/>
              </w:rPr>
              <w:t>1</w:t>
            </w:r>
            <w:r w:rsidR="00403D51" w:rsidRPr="00A17559">
              <w:rPr>
                <w:spacing w:val="-4"/>
                <w:lang w:val="en-GB"/>
              </w:rPr>
              <w:t>.</w:t>
            </w:r>
            <w:r w:rsidR="00BD73D2" w:rsidRPr="00A17559">
              <w:rPr>
                <w:spacing w:val="-4"/>
                <w:lang w:val="en-GB"/>
              </w:rPr>
              <w:t>6</w:t>
            </w:r>
            <w:r w:rsidR="00403F57" w:rsidRPr="00A17559">
              <w:rPr>
                <w:spacing w:val="-4"/>
                <w:lang w:val="en-GB"/>
              </w:rPr>
              <w:t>%</w:t>
            </w:r>
            <w:r w:rsidR="00403D51" w:rsidRPr="00A17559">
              <w:rPr>
                <w:spacing w:val="-4"/>
                <w:lang w:val="en-GB"/>
              </w:rPr>
              <w:t xml:space="preserve"> in individual quarters</w:t>
            </w:r>
            <w:r w:rsidR="0019196C" w:rsidRPr="00A17559">
              <w:rPr>
                <w:spacing w:val="-4"/>
                <w:lang w:val="en-GB"/>
              </w:rPr>
              <w:t xml:space="preserve">). </w:t>
            </w:r>
            <w:r w:rsidR="00A72CD8" w:rsidRPr="00A17559">
              <w:rPr>
                <w:spacing w:val="-4"/>
                <w:lang w:val="en-GB"/>
              </w:rPr>
              <w:t xml:space="preserve">Growth </w:t>
            </w:r>
            <w:r w:rsidR="00A72CD8" w:rsidRPr="00A17559">
              <w:rPr>
                <w:spacing w:val="-4"/>
                <w:lang w:val="en-GB"/>
              </w:rPr>
              <w:lastRenderedPageBreak/>
              <w:t xml:space="preserve">detected towards the end of the last year and at the beginning of this year for export to Great Britain did not hold </w:t>
            </w:r>
            <w:r w:rsidR="002F1B09" w:rsidRPr="00A17559">
              <w:rPr>
                <w:spacing w:val="-4"/>
                <w:lang w:val="en-GB"/>
              </w:rPr>
              <w:t>a</w:t>
            </w:r>
            <w:r w:rsidR="00403D51" w:rsidRPr="00A17559">
              <w:rPr>
                <w:spacing w:val="-4"/>
                <w:lang w:val="en-GB"/>
              </w:rPr>
              <w:t>nd export fell by 7.8% in Q</w:t>
            </w:r>
            <w:r w:rsidR="0019196C" w:rsidRPr="00A17559">
              <w:rPr>
                <w:spacing w:val="-4"/>
                <w:lang w:val="en-GB"/>
              </w:rPr>
              <w:t>2</w:t>
            </w:r>
            <w:r w:rsidR="004A5D4E" w:rsidRPr="00A17559">
              <w:rPr>
                <w:spacing w:val="-4"/>
                <w:lang w:val="en-GB"/>
              </w:rPr>
              <w:t>.</w:t>
            </w:r>
            <w:r w:rsidR="00403D51" w:rsidRPr="00A17559">
              <w:rPr>
                <w:spacing w:val="-4"/>
                <w:lang w:val="en-GB"/>
              </w:rPr>
              <w:t xml:space="preserve"> </w:t>
            </w:r>
            <w:r w:rsidR="00A72CD8" w:rsidRPr="00A17559">
              <w:rPr>
                <w:spacing w:val="-4"/>
                <w:lang w:val="en-GB"/>
              </w:rPr>
              <w:t>Acceleration</w:t>
            </w:r>
            <w:r w:rsidR="00403D51" w:rsidRPr="00A17559">
              <w:rPr>
                <w:spacing w:val="-4"/>
                <w:lang w:val="en-GB"/>
              </w:rPr>
              <w:t xml:space="preserve"> of year-on-year dynamics of export outside the Union was partially due to the </w:t>
            </w:r>
            <w:r w:rsidR="00A72CD8" w:rsidRPr="00A17559">
              <w:rPr>
                <w:spacing w:val="-4"/>
                <w:lang w:val="en-GB"/>
              </w:rPr>
              <w:t xml:space="preserve">comparative basis of the last year´s Q2. Nevertheless, the value of export to Russia </w:t>
            </w:r>
            <w:r w:rsidR="0019196C" w:rsidRPr="00A17559">
              <w:rPr>
                <w:spacing w:val="-4"/>
                <w:lang w:val="en-GB"/>
              </w:rPr>
              <w:t>(11</w:t>
            </w:r>
            <w:r w:rsidR="00A72CD8" w:rsidRPr="00A17559">
              <w:rPr>
                <w:spacing w:val="-4"/>
                <w:lang w:val="en-GB"/>
              </w:rPr>
              <w:t>.</w:t>
            </w:r>
            <w:r w:rsidR="00BD73D2" w:rsidRPr="00A17559">
              <w:rPr>
                <w:spacing w:val="-4"/>
                <w:lang w:val="en-GB"/>
              </w:rPr>
              <w:t>4</w:t>
            </w:r>
            <w:r w:rsidR="00403F57" w:rsidRPr="00A17559">
              <w:rPr>
                <w:spacing w:val="-4"/>
                <w:lang w:val="en-GB"/>
              </w:rPr>
              <w:t>%</w:t>
            </w:r>
            <w:r w:rsidR="0019196C" w:rsidRPr="00A17559">
              <w:rPr>
                <w:spacing w:val="-4"/>
                <w:lang w:val="en-GB"/>
              </w:rPr>
              <w:t xml:space="preserve">), </w:t>
            </w:r>
            <w:r w:rsidR="00A72CD8" w:rsidRPr="00A17559">
              <w:rPr>
                <w:spacing w:val="-4"/>
                <w:lang w:val="en-GB"/>
              </w:rPr>
              <w:t xml:space="preserve">United States </w:t>
            </w:r>
            <w:r w:rsidR="0019196C" w:rsidRPr="00A17559">
              <w:rPr>
                <w:spacing w:val="-4"/>
                <w:lang w:val="en-GB"/>
              </w:rPr>
              <w:t>(17</w:t>
            </w:r>
            <w:r w:rsidR="00A72CD8" w:rsidRPr="00A17559">
              <w:rPr>
                <w:spacing w:val="-4"/>
                <w:lang w:val="en-GB"/>
              </w:rPr>
              <w:t>.</w:t>
            </w:r>
            <w:r w:rsidR="00BD73D2" w:rsidRPr="00A17559">
              <w:rPr>
                <w:spacing w:val="-4"/>
                <w:lang w:val="en-GB"/>
              </w:rPr>
              <w:t>6</w:t>
            </w:r>
            <w:r w:rsidR="00403F57" w:rsidRPr="00A17559">
              <w:rPr>
                <w:spacing w:val="-4"/>
                <w:lang w:val="en-GB"/>
              </w:rPr>
              <w:t>%</w:t>
            </w:r>
            <w:r w:rsidR="0019196C" w:rsidRPr="00A17559">
              <w:rPr>
                <w:spacing w:val="-4"/>
                <w:lang w:val="en-GB"/>
              </w:rPr>
              <w:t xml:space="preserve">) </w:t>
            </w:r>
            <w:r w:rsidR="002F1B09" w:rsidRPr="00A17559">
              <w:rPr>
                <w:spacing w:val="-4"/>
                <w:lang w:val="en-GB"/>
              </w:rPr>
              <w:t>a</w:t>
            </w:r>
            <w:r w:rsidR="00A72CD8" w:rsidRPr="00A17559">
              <w:rPr>
                <w:spacing w:val="-4"/>
                <w:lang w:val="en-GB"/>
              </w:rPr>
              <w:t xml:space="preserve">nd Switzerland </w:t>
            </w:r>
            <w:r w:rsidR="0019196C" w:rsidRPr="00A17559">
              <w:rPr>
                <w:spacing w:val="-4"/>
                <w:lang w:val="en-GB"/>
              </w:rPr>
              <w:t>(</w:t>
            </w:r>
            <w:r w:rsidR="00BD73D2" w:rsidRPr="00A17559">
              <w:rPr>
                <w:spacing w:val="-4"/>
                <w:lang w:val="en-GB"/>
              </w:rPr>
              <w:t>8</w:t>
            </w:r>
            <w:r w:rsidR="00A72CD8" w:rsidRPr="00A17559">
              <w:rPr>
                <w:spacing w:val="-4"/>
                <w:lang w:val="en-GB"/>
              </w:rPr>
              <w:t>.</w:t>
            </w:r>
            <w:r w:rsidR="00BD73D2" w:rsidRPr="00A17559">
              <w:rPr>
                <w:spacing w:val="-4"/>
                <w:lang w:val="en-GB"/>
              </w:rPr>
              <w:t>1</w:t>
            </w:r>
            <w:r w:rsidR="0019196C" w:rsidRPr="00A17559">
              <w:rPr>
                <w:spacing w:val="-4"/>
                <w:lang w:val="en-GB"/>
              </w:rPr>
              <w:t>%)</w:t>
            </w:r>
            <w:r w:rsidR="00A72CD8" w:rsidRPr="00A17559">
              <w:rPr>
                <w:spacing w:val="-4"/>
                <w:lang w:val="en-GB"/>
              </w:rPr>
              <w:t xml:space="preserve"> grew relatively strong in Q2</w:t>
            </w:r>
            <w:r w:rsidR="0019196C" w:rsidRPr="00A17559">
              <w:rPr>
                <w:spacing w:val="-4"/>
                <w:lang w:val="en-GB"/>
              </w:rPr>
              <w:t>.</w:t>
            </w:r>
          </w:p>
        </w:tc>
      </w:tr>
      <w:tr w:rsidR="0019196C" w:rsidRPr="00E343C7" w:rsidTr="000A212B">
        <w:trPr>
          <w:trHeight w:val="170"/>
        </w:trPr>
        <w:tc>
          <w:tcPr>
            <w:tcW w:w="1801" w:type="dxa"/>
            <w:shd w:val="clear" w:color="auto" w:fill="auto"/>
            <w:tcMar>
              <w:left w:w="0" w:type="dxa"/>
            </w:tcMar>
          </w:tcPr>
          <w:p w:rsidR="0019196C" w:rsidRPr="00A17559" w:rsidRDefault="00291F92" w:rsidP="00291F92">
            <w:pPr>
              <w:pStyle w:val="Marginlie"/>
              <w:rPr>
                <w:lang w:val="en-GB"/>
              </w:rPr>
            </w:pPr>
            <w:r w:rsidRPr="00A17559">
              <w:rPr>
                <w:lang w:val="en-GB"/>
              </w:rPr>
              <w:lastRenderedPageBreak/>
              <w:t>Export of motor vehicles revived in Q</w:t>
            </w:r>
            <w:r w:rsidR="0019196C" w:rsidRPr="00A17559">
              <w:rPr>
                <w:lang w:val="en-GB"/>
              </w:rPr>
              <w:t>2</w:t>
            </w:r>
            <w:r w:rsidR="004A5D4E" w:rsidRPr="00A17559">
              <w:rPr>
                <w:lang w:val="en-GB"/>
              </w:rPr>
              <w:t>.</w:t>
            </w:r>
          </w:p>
        </w:tc>
        <w:tc>
          <w:tcPr>
            <w:tcW w:w="228" w:type="dxa"/>
            <w:shd w:val="clear" w:color="auto" w:fill="auto"/>
            <w:tcMar>
              <w:left w:w="0" w:type="dxa"/>
            </w:tcMar>
          </w:tcPr>
          <w:p w:rsidR="0019196C" w:rsidRPr="00A17559" w:rsidRDefault="0019196C" w:rsidP="0019196C">
            <w:pPr>
              <w:pStyle w:val="Textpoznpodarou"/>
              <w:jc w:val="both"/>
              <w:rPr>
                <w:spacing w:val="-4"/>
                <w:lang w:val="en-GB"/>
              </w:rPr>
            </w:pPr>
          </w:p>
        </w:tc>
        <w:tc>
          <w:tcPr>
            <w:tcW w:w="7610" w:type="dxa"/>
            <w:shd w:val="clear" w:color="auto" w:fill="auto"/>
            <w:tcMar>
              <w:left w:w="0" w:type="dxa"/>
            </w:tcMar>
          </w:tcPr>
          <w:p w:rsidR="0019196C" w:rsidRPr="00E343C7" w:rsidRDefault="002D0394" w:rsidP="00A6636F">
            <w:pPr>
              <w:spacing w:after="200"/>
              <w:rPr>
                <w:spacing w:val="-2"/>
                <w:lang w:val="en-GB"/>
              </w:rPr>
            </w:pPr>
            <w:r w:rsidRPr="00E343C7">
              <w:rPr>
                <w:spacing w:val="-2"/>
                <w:lang w:val="en-GB"/>
              </w:rPr>
              <w:t xml:space="preserve">Increase of the value of export of motor vehicles </w:t>
            </w:r>
            <w:r w:rsidR="0019196C" w:rsidRPr="00E343C7">
              <w:rPr>
                <w:spacing w:val="-2"/>
                <w:lang w:val="en-GB"/>
              </w:rPr>
              <w:t>(+</w:t>
            </w:r>
            <w:r w:rsidR="0032788F" w:rsidRPr="00E343C7">
              <w:rPr>
                <w:spacing w:val="-2"/>
                <w:lang w:val="en-GB"/>
              </w:rPr>
              <w:t>17</w:t>
            </w:r>
            <w:r w:rsidRPr="00E343C7">
              <w:rPr>
                <w:spacing w:val="-2"/>
                <w:lang w:val="en-GB"/>
              </w:rPr>
              <w:t>.</w:t>
            </w:r>
            <w:r w:rsidR="0032788F" w:rsidRPr="00E343C7">
              <w:rPr>
                <w:spacing w:val="-2"/>
                <w:lang w:val="en-GB"/>
              </w:rPr>
              <w:t>5</w:t>
            </w:r>
            <w:r w:rsidR="00403F57" w:rsidRPr="00E343C7">
              <w:rPr>
                <w:spacing w:val="-2"/>
                <w:lang w:val="en-GB"/>
              </w:rPr>
              <w:t> </w:t>
            </w:r>
            <w:r w:rsidRPr="00E343C7">
              <w:rPr>
                <w:spacing w:val="-2"/>
                <w:lang w:val="en-GB"/>
              </w:rPr>
              <w:t>CZK bn</w:t>
            </w:r>
            <w:r w:rsidR="0019196C" w:rsidRPr="00E343C7">
              <w:rPr>
                <w:spacing w:val="-2"/>
                <w:lang w:val="en-GB"/>
              </w:rPr>
              <w:t>, 3</w:t>
            </w:r>
            <w:r w:rsidRPr="00E343C7">
              <w:rPr>
                <w:spacing w:val="-2"/>
                <w:lang w:val="en-GB"/>
              </w:rPr>
              <w:t>.</w:t>
            </w:r>
            <w:r w:rsidR="0032788F" w:rsidRPr="00E343C7">
              <w:rPr>
                <w:spacing w:val="-2"/>
                <w:lang w:val="en-GB"/>
              </w:rPr>
              <w:t>4</w:t>
            </w:r>
            <w:r w:rsidR="00403F57" w:rsidRPr="00E343C7">
              <w:rPr>
                <w:spacing w:val="-2"/>
                <w:lang w:val="en-GB"/>
              </w:rPr>
              <w:t>%</w:t>
            </w:r>
            <w:r w:rsidR="0019196C" w:rsidRPr="00E343C7">
              <w:rPr>
                <w:spacing w:val="-2"/>
                <w:lang w:val="en-GB"/>
              </w:rPr>
              <w:t xml:space="preserve">) </w:t>
            </w:r>
            <w:r w:rsidRPr="00E343C7">
              <w:rPr>
                <w:spacing w:val="-2"/>
                <w:lang w:val="en-GB"/>
              </w:rPr>
              <w:t xml:space="preserve">and also computers, electronic and optical products </w:t>
            </w:r>
            <w:r w:rsidR="0019196C" w:rsidRPr="00E343C7">
              <w:rPr>
                <w:spacing w:val="-2"/>
                <w:lang w:val="en-GB"/>
              </w:rPr>
              <w:t>(+1</w:t>
            </w:r>
            <w:r w:rsidR="0032788F" w:rsidRPr="00E343C7">
              <w:rPr>
                <w:spacing w:val="-2"/>
                <w:lang w:val="en-GB"/>
              </w:rPr>
              <w:t>0</w:t>
            </w:r>
            <w:r w:rsidRPr="00E343C7">
              <w:rPr>
                <w:spacing w:val="-2"/>
                <w:lang w:val="en-GB"/>
              </w:rPr>
              <w:t>.</w:t>
            </w:r>
            <w:r w:rsidR="0032788F" w:rsidRPr="00E343C7">
              <w:rPr>
                <w:spacing w:val="-2"/>
                <w:lang w:val="en-GB"/>
              </w:rPr>
              <w:t>2</w:t>
            </w:r>
            <w:r w:rsidR="0019196C" w:rsidRPr="00E343C7">
              <w:rPr>
                <w:spacing w:val="-2"/>
                <w:lang w:val="en-GB"/>
              </w:rPr>
              <w:t> </w:t>
            </w:r>
            <w:r w:rsidRPr="00E343C7">
              <w:rPr>
                <w:spacing w:val="-2"/>
                <w:lang w:val="en-GB"/>
              </w:rPr>
              <w:t>bn</w:t>
            </w:r>
            <w:r w:rsidR="0019196C" w:rsidRPr="00E343C7">
              <w:rPr>
                <w:spacing w:val="-2"/>
                <w:lang w:val="en-GB"/>
              </w:rPr>
              <w:t xml:space="preserve">, </w:t>
            </w:r>
            <w:r w:rsidR="0032788F" w:rsidRPr="00E343C7">
              <w:rPr>
                <w:spacing w:val="-2"/>
                <w:lang w:val="en-GB"/>
              </w:rPr>
              <w:t>5</w:t>
            </w:r>
            <w:r w:rsidRPr="00E343C7">
              <w:rPr>
                <w:spacing w:val="-2"/>
                <w:lang w:val="en-GB"/>
              </w:rPr>
              <w:t>.</w:t>
            </w:r>
            <w:r w:rsidR="0019196C" w:rsidRPr="00E343C7">
              <w:rPr>
                <w:spacing w:val="-2"/>
                <w:lang w:val="en-GB"/>
              </w:rPr>
              <w:t>8</w:t>
            </w:r>
            <w:r w:rsidR="00403F57" w:rsidRPr="00E343C7">
              <w:rPr>
                <w:spacing w:val="-2"/>
                <w:lang w:val="en-GB"/>
              </w:rPr>
              <w:t>%</w:t>
            </w:r>
            <w:r w:rsidR="0019196C" w:rsidRPr="00E343C7">
              <w:rPr>
                <w:spacing w:val="-2"/>
                <w:lang w:val="en-GB"/>
              </w:rPr>
              <w:t>)</w:t>
            </w:r>
            <w:r w:rsidRPr="00E343C7">
              <w:rPr>
                <w:spacing w:val="-2"/>
                <w:lang w:val="en-GB"/>
              </w:rPr>
              <w:t xml:space="preserve"> supported the solid growth of export in H1. </w:t>
            </w:r>
            <w:r w:rsidR="006A3F54" w:rsidRPr="00E343C7">
              <w:rPr>
                <w:spacing w:val="-2"/>
                <w:lang w:val="en-GB"/>
              </w:rPr>
              <w:t xml:space="preserve">Increase of value of export of other transport equipment </w:t>
            </w:r>
            <w:r w:rsidR="0032788F" w:rsidRPr="00E343C7">
              <w:rPr>
                <w:spacing w:val="-2"/>
                <w:lang w:val="en-GB"/>
              </w:rPr>
              <w:t>(+5</w:t>
            </w:r>
            <w:r w:rsidR="006A3F54" w:rsidRPr="00E343C7">
              <w:rPr>
                <w:spacing w:val="-2"/>
                <w:lang w:val="en-GB"/>
              </w:rPr>
              <w:t>.</w:t>
            </w:r>
            <w:r w:rsidR="0032788F" w:rsidRPr="00E343C7">
              <w:rPr>
                <w:spacing w:val="-2"/>
                <w:lang w:val="en-GB"/>
              </w:rPr>
              <w:t>0 </w:t>
            </w:r>
            <w:r w:rsidR="006A3F54" w:rsidRPr="00E343C7">
              <w:rPr>
                <w:spacing w:val="-2"/>
                <w:lang w:val="en-GB"/>
              </w:rPr>
              <w:t>bn</w:t>
            </w:r>
            <w:r w:rsidR="0032788F" w:rsidRPr="00E343C7">
              <w:rPr>
                <w:spacing w:val="-2"/>
                <w:lang w:val="en-GB"/>
              </w:rPr>
              <w:t>, 19</w:t>
            </w:r>
            <w:r w:rsidR="006A3F54" w:rsidRPr="00E343C7">
              <w:rPr>
                <w:spacing w:val="-2"/>
                <w:lang w:val="en-GB"/>
              </w:rPr>
              <w:t>.</w:t>
            </w:r>
            <w:r w:rsidR="0032788F" w:rsidRPr="00E343C7">
              <w:rPr>
                <w:spacing w:val="-2"/>
                <w:lang w:val="en-GB"/>
              </w:rPr>
              <w:t>1%) a</w:t>
            </w:r>
            <w:r w:rsidR="006A3F54" w:rsidRPr="00E343C7">
              <w:rPr>
                <w:spacing w:val="-2"/>
                <w:lang w:val="en-GB"/>
              </w:rPr>
              <w:t>nd</w:t>
            </w:r>
            <w:r w:rsidR="0032788F" w:rsidRPr="00E343C7">
              <w:rPr>
                <w:spacing w:val="-2"/>
                <w:lang w:val="en-GB"/>
              </w:rPr>
              <w:t xml:space="preserve"> </w:t>
            </w:r>
            <w:r w:rsidR="006A3F54" w:rsidRPr="00E343C7">
              <w:rPr>
                <w:spacing w:val="-2"/>
                <w:lang w:val="en-GB"/>
              </w:rPr>
              <w:t xml:space="preserve">chemicals and chemical products </w:t>
            </w:r>
            <w:r w:rsidR="0019196C" w:rsidRPr="00E343C7">
              <w:rPr>
                <w:spacing w:val="-2"/>
                <w:lang w:val="en-GB"/>
              </w:rPr>
              <w:t>(+</w:t>
            </w:r>
            <w:r w:rsidR="0032788F" w:rsidRPr="00E343C7">
              <w:rPr>
                <w:spacing w:val="-2"/>
                <w:lang w:val="en-GB"/>
              </w:rPr>
              <w:t>4</w:t>
            </w:r>
            <w:r w:rsidR="006A3F54" w:rsidRPr="00E343C7">
              <w:rPr>
                <w:spacing w:val="-2"/>
                <w:lang w:val="en-GB"/>
              </w:rPr>
              <w:t>.</w:t>
            </w:r>
            <w:r w:rsidR="0032788F" w:rsidRPr="00E343C7">
              <w:rPr>
                <w:spacing w:val="-2"/>
                <w:lang w:val="en-GB"/>
              </w:rPr>
              <w:t>4</w:t>
            </w:r>
            <w:r w:rsidR="00403F57" w:rsidRPr="00E343C7">
              <w:rPr>
                <w:spacing w:val="-2"/>
                <w:lang w:val="en-GB"/>
              </w:rPr>
              <w:t> </w:t>
            </w:r>
            <w:r w:rsidR="006A3F54" w:rsidRPr="00E343C7">
              <w:rPr>
                <w:spacing w:val="-2"/>
                <w:lang w:val="en-GB"/>
              </w:rPr>
              <w:t>bn</w:t>
            </w:r>
            <w:r w:rsidR="0019196C" w:rsidRPr="00E343C7">
              <w:rPr>
                <w:spacing w:val="-2"/>
                <w:lang w:val="en-GB"/>
              </w:rPr>
              <w:t xml:space="preserve">, </w:t>
            </w:r>
            <w:r w:rsidR="0032788F" w:rsidRPr="00E343C7">
              <w:rPr>
                <w:spacing w:val="-2"/>
                <w:lang w:val="en-GB"/>
              </w:rPr>
              <w:t>5</w:t>
            </w:r>
            <w:r w:rsidR="006A3F54" w:rsidRPr="00E343C7">
              <w:rPr>
                <w:spacing w:val="-2"/>
                <w:lang w:val="en-GB"/>
              </w:rPr>
              <w:t>.</w:t>
            </w:r>
            <w:r w:rsidR="0032788F" w:rsidRPr="00E343C7">
              <w:rPr>
                <w:spacing w:val="-2"/>
                <w:lang w:val="en-GB"/>
              </w:rPr>
              <w:t>3</w:t>
            </w:r>
            <w:r w:rsidR="00403F57" w:rsidRPr="00E343C7">
              <w:rPr>
                <w:spacing w:val="-2"/>
                <w:lang w:val="en-GB"/>
              </w:rPr>
              <w:t>%</w:t>
            </w:r>
            <w:r w:rsidR="0019196C" w:rsidRPr="00E343C7">
              <w:rPr>
                <w:spacing w:val="-2"/>
                <w:lang w:val="en-GB"/>
              </w:rPr>
              <w:t>)</w:t>
            </w:r>
            <w:r w:rsidR="006A3F54" w:rsidRPr="00E343C7">
              <w:rPr>
                <w:spacing w:val="-2"/>
                <w:lang w:val="en-GB"/>
              </w:rPr>
              <w:t xml:space="preserve"> was also stronger</w:t>
            </w:r>
            <w:r w:rsidR="0019196C" w:rsidRPr="00E343C7">
              <w:rPr>
                <w:spacing w:val="-2"/>
                <w:lang w:val="en-GB"/>
              </w:rPr>
              <w:t xml:space="preserve">. </w:t>
            </w:r>
            <w:r w:rsidR="006A3F54" w:rsidRPr="00E343C7">
              <w:rPr>
                <w:spacing w:val="-2"/>
                <w:lang w:val="en-GB"/>
              </w:rPr>
              <w:t xml:space="preserve">Export of two significant items </w:t>
            </w:r>
            <w:r w:rsidR="0019196C" w:rsidRPr="00E343C7">
              <w:rPr>
                <w:spacing w:val="-2"/>
                <w:lang w:val="en-GB"/>
              </w:rPr>
              <w:t>–</w:t>
            </w:r>
            <w:r w:rsidR="009A51A5" w:rsidRPr="00E343C7">
              <w:rPr>
                <w:spacing w:val="-2"/>
                <w:lang w:val="en-GB"/>
              </w:rPr>
              <w:t> </w:t>
            </w:r>
            <w:r w:rsidR="00891CEA" w:rsidRPr="00E343C7">
              <w:rPr>
                <w:spacing w:val="-2"/>
                <w:lang w:val="en-GB"/>
              </w:rPr>
              <w:t xml:space="preserve">machinery and equipment </w:t>
            </w:r>
            <w:r w:rsidR="0019196C" w:rsidRPr="00E343C7">
              <w:rPr>
                <w:spacing w:val="-2"/>
                <w:lang w:val="en-GB"/>
              </w:rPr>
              <w:t>(+5</w:t>
            </w:r>
            <w:r w:rsidR="00891CEA" w:rsidRPr="00E343C7">
              <w:rPr>
                <w:spacing w:val="-2"/>
                <w:lang w:val="en-GB"/>
              </w:rPr>
              <w:t>.</w:t>
            </w:r>
            <w:r w:rsidR="0019196C" w:rsidRPr="00E343C7">
              <w:rPr>
                <w:spacing w:val="-2"/>
                <w:lang w:val="en-GB"/>
              </w:rPr>
              <w:t>1</w:t>
            </w:r>
            <w:r w:rsidR="00403F57" w:rsidRPr="00E343C7">
              <w:rPr>
                <w:spacing w:val="-2"/>
                <w:lang w:val="en-GB"/>
              </w:rPr>
              <w:t> </w:t>
            </w:r>
            <w:r w:rsidR="00891CEA" w:rsidRPr="00E343C7">
              <w:rPr>
                <w:spacing w:val="-2"/>
                <w:lang w:val="en-GB"/>
              </w:rPr>
              <w:t>bn</w:t>
            </w:r>
            <w:r w:rsidR="009A51A5" w:rsidRPr="00E343C7">
              <w:rPr>
                <w:spacing w:val="-2"/>
                <w:lang w:val="en-GB"/>
              </w:rPr>
              <w:t>,</w:t>
            </w:r>
            <w:r w:rsidR="0019196C" w:rsidRPr="00E343C7">
              <w:rPr>
                <w:spacing w:val="-2"/>
                <w:lang w:val="en-GB"/>
              </w:rPr>
              <w:t xml:space="preserve"> 2</w:t>
            </w:r>
            <w:r w:rsidR="00891CEA" w:rsidRPr="00E343C7">
              <w:rPr>
                <w:spacing w:val="-2"/>
                <w:lang w:val="en-GB"/>
              </w:rPr>
              <w:t>.</w:t>
            </w:r>
            <w:r w:rsidR="0019196C" w:rsidRPr="00E343C7">
              <w:rPr>
                <w:spacing w:val="-2"/>
                <w:lang w:val="en-GB"/>
              </w:rPr>
              <w:t>5</w:t>
            </w:r>
            <w:r w:rsidR="00403F57" w:rsidRPr="00E343C7">
              <w:rPr>
                <w:spacing w:val="-2"/>
                <w:lang w:val="en-GB"/>
              </w:rPr>
              <w:t>%</w:t>
            </w:r>
            <w:r w:rsidR="0019196C" w:rsidRPr="00E343C7">
              <w:rPr>
                <w:spacing w:val="-2"/>
                <w:lang w:val="en-GB"/>
              </w:rPr>
              <w:t xml:space="preserve">) </w:t>
            </w:r>
            <w:r w:rsidR="002F1B09" w:rsidRPr="00E343C7">
              <w:rPr>
                <w:spacing w:val="-2"/>
                <w:lang w:val="en-GB"/>
              </w:rPr>
              <w:t>a</w:t>
            </w:r>
            <w:r w:rsidR="00891CEA" w:rsidRPr="00E343C7">
              <w:rPr>
                <w:spacing w:val="-2"/>
                <w:lang w:val="en-GB"/>
              </w:rPr>
              <w:t xml:space="preserve">nd electrical equipment </w:t>
            </w:r>
            <w:r w:rsidR="0019196C" w:rsidRPr="00E343C7">
              <w:rPr>
                <w:spacing w:val="-2"/>
                <w:lang w:val="en-GB"/>
              </w:rPr>
              <w:t>(+2</w:t>
            </w:r>
            <w:r w:rsidR="00891CEA" w:rsidRPr="00E343C7">
              <w:rPr>
                <w:spacing w:val="-2"/>
                <w:lang w:val="en-GB"/>
              </w:rPr>
              <w:t>.</w:t>
            </w:r>
            <w:r w:rsidR="0032788F" w:rsidRPr="00E343C7">
              <w:rPr>
                <w:spacing w:val="-2"/>
                <w:lang w:val="en-GB"/>
              </w:rPr>
              <w:t>2</w:t>
            </w:r>
            <w:r w:rsidR="00403F57" w:rsidRPr="00E343C7">
              <w:rPr>
                <w:spacing w:val="-2"/>
                <w:lang w:val="en-GB"/>
              </w:rPr>
              <w:t> </w:t>
            </w:r>
            <w:r w:rsidR="00891CEA" w:rsidRPr="00E343C7">
              <w:rPr>
                <w:spacing w:val="-2"/>
                <w:lang w:val="en-GB"/>
              </w:rPr>
              <w:t>bn</w:t>
            </w:r>
            <w:r w:rsidR="0019196C" w:rsidRPr="00E343C7">
              <w:rPr>
                <w:spacing w:val="-2"/>
                <w:lang w:val="en-GB"/>
              </w:rPr>
              <w:t>, 1</w:t>
            </w:r>
            <w:r w:rsidR="00891CEA" w:rsidRPr="00E343C7">
              <w:rPr>
                <w:spacing w:val="-2"/>
                <w:lang w:val="en-GB"/>
              </w:rPr>
              <w:t>.</w:t>
            </w:r>
            <w:r w:rsidR="0032788F" w:rsidRPr="00E343C7">
              <w:rPr>
                <w:spacing w:val="-2"/>
                <w:lang w:val="en-GB"/>
              </w:rPr>
              <w:t>4</w:t>
            </w:r>
            <w:r w:rsidR="00403F57" w:rsidRPr="00E343C7">
              <w:rPr>
                <w:spacing w:val="-2"/>
                <w:lang w:val="en-GB"/>
              </w:rPr>
              <w:t>%</w:t>
            </w:r>
            <w:r w:rsidR="0019196C" w:rsidRPr="00E343C7">
              <w:rPr>
                <w:spacing w:val="-2"/>
                <w:lang w:val="en-GB"/>
              </w:rPr>
              <w:t>)</w:t>
            </w:r>
            <w:r w:rsidR="006A3F54" w:rsidRPr="00E343C7">
              <w:rPr>
                <w:spacing w:val="-2"/>
                <w:lang w:val="en-GB"/>
              </w:rPr>
              <w:t xml:space="preserve"> then featured a relatively weak dynamics</w:t>
            </w:r>
            <w:r w:rsidR="0019196C" w:rsidRPr="00E343C7">
              <w:rPr>
                <w:spacing w:val="-2"/>
                <w:lang w:val="en-GB"/>
              </w:rPr>
              <w:t xml:space="preserve">. </w:t>
            </w:r>
            <w:r w:rsidR="00891CEA" w:rsidRPr="00E343C7">
              <w:rPr>
                <w:spacing w:val="-2"/>
                <w:lang w:val="en-GB"/>
              </w:rPr>
              <w:t xml:space="preserve">Growth of export of motor vehicles gained pace to 5.4% in Q2 itself and on the contrary the value of mentioned items </w:t>
            </w:r>
            <w:r w:rsidR="00A6636F" w:rsidRPr="00E343C7">
              <w:rPr>
                <w:spacing w:val="-2"/>
                <w:lang w:val="en-GB"/>
              </w:rPr>
              <w:t xml:space="preserve">tied to the manufacture of motor vehicles – machinery and equipment </w:t>
            </w:r>
            <w:r w:rsidR="0019196C" w:rsidRPr="00E343C7">
              <w:rPr>
                <w:spacing w:val="-2"/>
                <w:lang w:val="en-GB"/>
              </w:rPr>
              <w:t>(0</w:t>
            </w:r>
            <w:r w:rsidR="00A6636F" w:rsidRPr="00E343C7">
              <w:rPr>
                <w:spacing w:val="-2"/>
                <w:lang w:val="en-GB"/>
              </w:rPr>
              <w:t>.</w:t>
            </w:r>
            <w:r w:rsidR="0032788F" w:rsidRPr="00E343C7">
              <w:rPr>
                <w:spacing w:val="-2"/>
                <w:lang w:val="en-GB"/>
              </w:rPr>
              <w:t>2</w:t>
            </w:r>
            <w:r w:rsidR="00403F57" w:rsidRPr="00E343C7">
              <w:rPr>
                <w:spacing w:val="-2"/>
                <w:lang w:val="en-GB"/>
              </w:rPr>
              <w:t>%</w:t>
            </w:r>
            <w:r w:rsidR="0019196C" w:rsidRPr="00E343C7">
              <w:rPr>
                <w:spacing w:val="-2"/>
                <w:lang w:val="en-GB"/>
              </w:rPr>
              <w:t>)</w:t>
            </w:r>
            <w:r w:rsidR="003E62F1" w:rsidRPr="00E343C7">
              <w:rPr>
                <w:spacing w:val="-2"/>
                <w:lang w:val="en-GB"/>
              </w:rPr>
              <w:t>,</w:t>
            </w:r>
            <w:r w:rsidR="002F1B09" w:rsidRPr="00E343C7">
              <w:rPr>
                <w:spacing w:val="-2"/>
                <w:lang w:val="en-GB"/>
              </w:rPr>
              <w:t> </w:t>
            </w:r>
            <w:r w:rsidR="00A6636F" w:rsidRPr="00E343C7">
              <w:rPr>
                <w:spacing w:val="-2"/>
                <w:lang w:val="en-GB"/>
              </w:rPr>
              <w:t xml:space="preserve">electrical products </w:t>
            </w:r>
            <w:r w:rsidR="0019196C" w:rsidRPr="00E343C7">
              <w:rPr>
                <w:spacing w:val="-2"/>
                <w:lang w:val="en-GB"/>
              </w:rPr>
              <w:t>(0</w:t>
            </w:r>
            <w:r w:rsidR="00A6636F" w:rsidRPr="00E343C7">
              <w:rPr>
                <w:spacing w:val="-2"/>
                <w:lang w:val="en-GB"/>
              </w:rPr>
              <w:t>.</w:t>
            </w:r>
            <w:r w:rsidR="0032788F" w:rsidRPr="00E343C7">
              <w:rPr>
                <w:spacing w:val="-2"/>
                <w:lang w:val="en-GB"/>
              </w:rPr>
              <w:t>5</w:t>
            </w:r>
            <w:r w:rsidR="00403F57" w:rsidRPr="00E343C7">
              <w:rPr>
                <w:spacing w:val="-2"/>
                <w:lang w:val="en-GB"/>
              </w:rPr>
              <w:t>%</w:t>
            </w:r>
            <w:r w:rsidR="0019196C" w:rsidRPr="00E343C7">
              <w:rPr>
                <w:spacing w:val="-2"/>
                <w:lang w:val="en-GB"/>
              </w:rPr>
              <w:t xml:space="preserve">) </w:t>
            </w:r>
            <w:r w:rsidR="00A6636F" w:rsidRPr="00E343C7">
              <w:rPr>
                <w:spacing w:val="-2"/>
                <w:lang w:val="en-GB"/>
              </w:rPr>
              <w:t xml:space="preserve">and also rubber and plastic products </w:t>
            </w:r>
            <w:r w:rsidR="0019196C" w:rsidRPr="00E343C7">
              <w:rPr>
                <w:spacing w:val="-2"/>
                <w:lang w:val="en-GB"/>
              </w:rPr>
              <w:t>(0</w:t>
            </w:r>
            <w:r w:rsidR="00A6636F" w:rsidRPr="00E343C7">
              <w:rPr>
                <w:spacing w:val="-2"/>
                <w:lang w:val="en-GB"/>
              </w:rPr>
              <w:t>.</w:t>
            </w:r>
            <w:r w:rsidR="0032788F" w:rsidRPr="00E343C7">
              <w:rPr>
                <w:spacing w:val="-2"/>
                <w:lang w:val="en-GB"/>
              </w:rPr>
              <w:t>9</w:t>
            </w:r>
            <w:r w:rsidR="00403F57" w:rsidRPr="00E343C7">
              <w:rPr>
                <w:spacing w:val="-2"/>
                <w:lang w:val="en-GB"/>
              </w:rPr>
              <w:t>%</w:t>
            </w:r>
            <w:r w:rsidR="0019196C" w:rsidRPr="00E343C7">
              <w:rPr>
                <w:spacing w:val="-2"/>
                <w:lang w:val="en-GB"/>
              </w:rPr>
              <w:t>)</w:t>
            </w:r>
            <w:r w:rsidR="00891CEA" w:rsidRPr="00E343C7">
              <w:rPr>
                <w:spacing w:val="-2"/>
                <w:lang w:val="en-GB"/>
              </w:rPr>
              <w:t xml:space="preserve"> stagnated</w:t>
            </w:r>
            <w:r w:rsidR="0019196C" w:rsidRPr="00E343C7">
              <w:rPr>
                <w:spacing w:val="-2"/>
                <w:lang w:val="en-GB"/>
              </w:rPr>
              <w:t>.</w:t>
            </w:r>
          </w:p>
        </w:tc>
      </w:tr>
      <w:tr w:rsidR="0019196C" w:rsidRPr="00A17559" w:rsidTr="000A212B">
        <w:trPr>
          <w:trHeight w:val="145"/>
        </w:trPr>
        <w:tc>
          <w:tcPr>
            <w:tcW w:w="1801" w:type="dxa"/>
            <w:shd w:val="clear" w:color="auto" w:fill="auto"/>
            <w:tcMar>
              <w:left w:w="0" w:type="dxa"/>
            </w:tcMar>
          </w:tcPr>
          <w:p w:rsidR="0019196C" w:rsidRPr="00A17559" w:rsidRDefault="00D065FC" w:rsidP="00D065FC">
            <w:pPr>
              <w:pStyle w:val="Marginlie"/>
              <w:rPr>
                <w:lang w:val="en-GB"/>
              </w:rPr>
            </w:pPr>
            <w:r w:rsidRPr="00A17559">
              <w:rPr>
                <w:lang w:val="en-GB"/>
              </w:rPr>
              <w:t>Import growth in contrast slowed in Q</w:t>
            </w:r>
            <w:r w:rsidR="0019196C" w:rsidRPr="00A17559">
              <w:rPr>
                <w:lang w:val="en-GB"/>
              </w:rPr>
              <w:t>2</w:t>
            </w:r>
            <w:r w:rsidR="004A5D4E" w:rsidRPr="00A17559">
              <w:rPr>
                <w:lang w:val="en-GB"/>
              </w:rPr>
              <w:t>. </w:t>
            </w:r>
            <w:r w:rsidRPr="00A17559">
              <w:rPr>
                <w:lang w:val="en-GB"/>
              </w:rPr>
              <w:t xml:space="preserve">Import from the EU stagnated. </w:t>
            </w:r>
          </w:p>
        </w:tc>
        <w:tc>
          <w:tcPr>
            <w:tcW w:w="228" w:type="dxa"/>
            <w:shd w:val="clear" w:color="auto" w:fill="auto"/>
            <w:tcMar>
              <w:left w:w="0" w:type="dxa"/>
            </w:tcMar>
          </w:tcPr>
          <w:p w:rsidR="0019196C" w:rsidRPr="00A17559" w:rsidRDefault="0019196C" w:rsidP="0019196C">
            <w:pPr>
              <w:pStyle w:val="Textpoznpodarou"/>
              <w:jc w:val="both"/>
              <w:rPr>
                <w:spacing w:val="-4"/>
                <w:lang w:val="en-GB"/>
              </w:rPr>
            </w:pPr>
          </w:p>
        </w:tc>
        <w:tc>
          <w:tcPr>
            <w:tcW w:w="7610" w:type="dxa"/>
            <w:shd w:val="clear" w:color="auto" w:fill="auto"/>
            <w:tcMar>
              <w:left w:w="0" w:type="dxa"/>
            </w:tcMar>
          </w:tcPr>
          <w:p w:rsidR="0019196C" w:rsidRPr="00A17559" w:rsidRDefault="00262141" w:rsidP="00FC2C40">
            <w:pPr>
              <w:rPr>
                <w:spacing w:val="-4"/>
                <w:lang w:val="en-GB"/>
              </w:rPr>
            </w:pPr>
            <w:r w:rsidRPr="00A17559">
              <w:rPr>
                <w:spacing w:val="-4"/>
                <w:lang w:val="en-GB"/>
              </w:rPr>
              <w:t xml:space="preserve">Year-on-year dynamics of import of goods </w:t>
            </w:r>
            <w:r w:rsidR="006075B2" w:rsidRPr="00A17559">
              <w:rPr>
                <w:spacing w:val="-4"/>
                <w:lang w:val="en-GB"/>
              </w:rPr>
              <w:t>stepped on the brakes co</w:t>
            </w:r>
            <w:r w:rsidR="00CE0217" w:rsidRPr="00A17559">
              <w:rPr>
                <w:spacing w:val="-4"/>
                <w:lang w:val="en-GB"/>
              </w:rPr>
              <w:t xml:space="preserve">mpared to H2 2018. </w:t>
            </w:r>
            <w:r w:rsidR="006075B2" w:rsidRPr="00A17559">
              <w:rPr>
                <w:spacing w:val="-4"/>
                <w:lang w:val="en-GB"/>
              </w:rPr>
              <w:t xml:space="preserve">Value of import increased by 45.4 CZK bn (2.6%) in total to </w:t>
            </w:r>
            <w:r w:rsidR="0019196C" w:rsidRPr="00A17559">
              <w:rPr>
                <w:spacing w:val="-4"/>
                <w:lang w:val="en-GB"/>
              </w:rPr>
              <w:t>1</w:t>
            </w:r>
            <w:r w:rsidR="006075B2" w:rsidRPr="00A17559">
              <w:rPr>
                <w:spacing w:val="-4"/>
                <w:lang w:val="en-GB"/>
              </w:rPr>
              <w:t> </w:t>
            </w:r>
            <w:r w:rsidR="0019196C" w:rsidRPr="00A17559">
              <w:rPr>
                <w:spacing w:val="-4"/>
                <w:lang w:val="en-GB"/>
              </w:rPr>
              <w:t>7</w:t>
            </w:r>
            <w:r w:rsidR="0032788F" w:rsidRPr="00A17559">
              <w:rPr>
                <w:spacing w:val="-4"/>
                <w:lang w:val="en-GB"/>
              </w:rPr>
              <w:t>6</w:t>
            </w:r>
            <w:r w:rsidR="0019196C" w:rsidRPr="00A17559">
              <w:rPr>
                <w:spacing w:val="-4"/>
                <w:lang w:val="en-GB"/>
              </w:rPr>
              <w:t>9</w:t>
            </w:r>
            <w:r w:rsidR="006075B2" w:rsidRPr="00A17559">
              <w:rPr>
                <w:spacing w:val="-4"/>
                <w:lang w:val="en-GB"/>
              </w:rPr>
              <w:t>.</w:t>
            </w:r>
            <w:r w:rsidR="0032788F" w:rsidRPr="00A17559">
              <w:rPr>
                <w:spacing w:val="-4"/>
                <w:lang w:val="en-GB"/>
              </w:rPr>
              <w:t>8</w:t>
            </w:r>
            <w:r w:rsidR="00403F57" w:rsidRPr="00A17559">
              <w:rPr>
                <w:spacing w:val="-4"/>
                <w:lang w:val="en-GB"/>
              </w:rPr>
              <w:t> </w:t>
            </w:r>
            <w:r w:rsidR="006075B2" w:rsidRPr="00A17559">
              <w:rPr>
                <w:spacing w:val="-4"/>
                <w:lang w:val="en-GB"/>
              </w:rPr>
              <w:t>bn in H1 2019</w:t>
            </w:r>
            <w:r w:rsidR="00403F57" w:rsidRPr="00A17559">
              <w:rPr>
                <w:spacing w:val="-4"/>
                <w:lang w:val="en-GB"/>
              </w:rPr>
              <w:t>.</w:t>
            </w:r>
            <w:r w:rsidR="006075B2" w:rsidRPr="00A17559">
              <w:rPr>
                <w:spacing w:val="-4"/>
                <w:lang w:val="en-GB"/>
              </w:rPr>
              <w:t xml:space="preserve"> The deceleration however took place mostly in Q2 of the year. Value of import rose by 8.3 CZK bn (0.9%) year-on-year to 890.1 bn in this time period. Import grew nearly exclusively from countries outside the EU in H</w:t>
            </w:r>
            <w:r w:rsidR="0019196C" w:rsidRPr="00A17559">
              <w:rPr>
                <w:spacing w:val="-4"/>
                <w:lang w:val="en-GB"/>
              </w:rPr>
              <w:t>1</w:t>
            </w:r>
            <w:r w:rsidR="006075B2" w:rsidRPr="00A17559">
              <w:rPr>
                <w:spacing w:val="-4"/>
                <w:lang w:val="en-GB"/>
              </w:rPr>
              <w:t xml:space="preserve"> </w:t>
            </w:r>
            <w:r w:rsidR="0019196C" w:rsidRPr="00A17559">
              <w:rPr>
                <w:spacing w:val="-4"/>
                <w:lang w:val="en-GB"/>
              </w:rPr>
              <w:t>(</w:t>
            </w:r>
            <w:r w:rsidR="0032788F" w:rsidRPr="00A17559">
              <w:rPr>
                <w:spacing w:val="-4"/>
                <w:lang w:val="en-GB"/>
              </w:rPr>
              <w:t>7</w:t>
            </w:r>
            <w:r w:rsidR="006075B2" w:rsidRPr="00A17559">
              <w:rPr>
                <w:spacing w:val="-4"/>
                <w:lang w:val="en-GB"/>
              </w:rPr>
              <w:t>.</w:t>
            </w:r>
            <w:r w:rsidR="0032788F" w:rsidRPr="00A17559">
              <w:rPr>
                <w:spacing w:val="-4"/>
                <w:lang w:val="en-GB"/>
              </w:rPr>
              <w:t>6</w:t>
            </w:r>
            <w:r w:rsidR="00403F57" w:rsidRPr="00A17559">
              <w:rPr>
                <w:spacing w:val="-4"/>
                <w:lang w:val="en-GB"/>
              </w:rPr>
              <w:t>%</w:t>
            </w:r>
            <w:r w:rsidR="0019196C" w:rsidRPr="00A17559">
              <w:rPr>
                <w:spacing w:val="-4"/>
                <w:lang w:val="en-GB"/>
              </w:rPr>
              <w:t xml:space="preserve">), </w:t>
            </w:r>
            <w:r w:rsidR="00C41E3C" w:rsidRPr="00A17559">
              <w:rPr>
                <w:spacing w:val="-4"/>
                <w:lang w:val="en-GB"/>
              </w:rPr>
              <w:t xml:space="preserve">on the contrary only by 0.3% more was imported into the CR from the EU than in the same period of the last year. In Q2, the value of import from the EU even slumped by 1.2% year-on-year. It was caused mainly by the sinking import from Germany by </w:t>
            </w:r>
            <w:r w:rsidR="0032788F" w:rsidRPr="00A17559">
              <w:rPr>
                <w:spacing w:val="-4"/>
                <w:lang w:val="en-GB"/>
              </w:rPr>
              <w:t>2</w:t>
            </w:r>
            <w:r w:rsidR="00C41E3C" w:rsidRPr="00A17559">
              <w:rPr>
                <w:spacing w:val="-4"/>
                <w:lang w:val="en-GB"/>
              </w:rPr>
              <w:t>.</w:t>
            </w:r>
            <w:r w:rsidR="0032788F" w:rsidRPr="00A17559">
              <w:rPr>
                <w:spacing w:val="-4"/>
                <w:lang w:val="en-GB"/>
              </w:rPr>
              <w:t>7</w:t>
            </w:r>
            <w:r w:rsidR="00403F57" w:rsidRPr="00A17559">
              <w:rPr>
                <w:spacing w:val="-4"/>
                <w:lang w:val="en-GB"/>
              </w:rPr>
              <w:t>%</w:t>
            </w:r>
            <w:r w:rsidR="0019196C" w:rsidRPr="00A17559">
              <w:rPr>
                <w:spacing w:val="-4"/>
                <w:lang w:val="en-GB"/>
              </w:rPr>
              <w:t xml:space="preserve">, </w:t>
            </w:r>
            <w:r w:rsidR="00C41E3C" w:rsidRPr="00A17559">
              <w:rPr>
                <w:spacing w:val="-4"/>
                <w:lang w:val="en-GB"/>
              </w:rPr>
              <w:t xml:space="preserve">slump of the import from Slovakia also deepened to </w:t>
            </w:r>
            <w:r w:rsidR="0019196C" w:rsidRPr="00A17559">
              <w:rPr>
                <w:spacing w:val="-4"/>
                <w:lang w:val="en-GB"/>
              </w:rPr>
              <w:t>10</w:t>
            </w:r>
            <w:r w:rsidR="00C41E3C" w:rsidRPr="00A17559">
              <w:rPr>
                <w:spacing w:val="-4"/>
                <w:lang w:val="en-GB"/>
              </w:rPr>
              <w:t>.</w:t>
            </w:r>
            <w:r w:rsidR="0032788F" w:rsidRPr="00A17559">
              <w:rPr>
                <w:spacing w:val="-4"/>
                <w:lang w:val="en-GB"/>
              </w:rPr>
              <w:t>7</w:t>
            </w:r>
            <w:r w:rsidR="00403F57" w:rsidRPr="00A17559">
              <w:rPr>
                <w:spacing w:val="-4"/>
                <w:lang w:val="en-GB"/>
              </w:rPr>
              <w:t>%</w:t>
            </w:r>
            <w:r w:rsidR="00C41E3C" w:rsidRPr="00A17559">
              <w:rPr>
                <w:spacing w:val="-4"/>
                <w:lang w:val="en-GB"/>
              </w:rPr>
              <w:t xml:space="preserve"> in Q2</w:t>
            </w:r>
            <w:r w:rsidR="0019196C" w:rsidRPr="00A17559">
              <w:rPr>
                <w:spacing w:val="-4"/>
                <w:lang w:val="en-GB"/>
              </w:rPr>
              <w:t>. S</w:t>
            </w:r>
            <w:r w:rsidR="00C41E3C" w:rsidRPr="00A17559">
              <w:rPr>
                <w:spacing w:val="-4"/>
                <w:lang w:val="en-GB"/>
              </w:rPr>
              <w:t xml:space="preserve">trong decline continued also in case of Great Britain </w:t>
            </w:r>
            <w:r w:rsidR="0019196C" w:rsidRPr="00A17559">
              <w:rPr>
                <w:spacing w:val="-4"/>
                <w:lang w:val="en-GB"/>
              </w:rPr>
              <w:t>(</w:t>
            </w:r>
            <w:r w:rsidR="00FC2C40">
              <w:rPr>
                <w:spacing w:val="-4"/>
                <w:lang w:val="en-GB"/>
              </w:rPr>
              <w:noBreakHyphen/>
            </w:r>
            <w:r w:rsidR="00000B55" w:rsidRPr="00A17559">
              <w:rPr>
                <w:spacing w:val="-4"/>
                <w:lang w:val="en-GB"/>
              </w:rPr>
              <w:t>9</w:t>
            </w:r>
            <w:r w:rsidR="00C41E3C" w:rsidRPr="00A17559">
              <w:rPr>
                <w:spacing w:val="-4"/>
                <w:lang w:val="en-GB"/>
              </w:rPr>
              <w:t>.</w:t>
            </w:r>
            <w:r w:rsidR="00000B55" w:rsidRPr="00A17559">
              <w:rPr>
                <w:spacing w:val="-4"/>
                <w:lang w:val="en-GB"/>
              </w:rPr>
              <w:t>9</w:t>
            </w:r>
            <w:r w:rsidR="00403F57" w:rsidRPr="00A17559">
              <w:rPr>
                <w:spacing w:val="-4"/>
                <w:lang w:val="en-GB"/>
              </w:rPr>
              <w:t>%</w:t>
            </w:r>
            <w:r w:rsidR="0019196C" w:rsidRPr="00A17559">
              <w:rPr>
                <w:spacing w:val="-4"/>
                <w:lang w:val="en-GB"/>
              </w:rPr>
              <w:t xml:space="preserve">). </w:t>
            </w:r>
            <w:r w:rsidR="00C41E3C" w:rsidRPr="00A17559">
              <w:rPr>
                <w:spacing w:val="-4"/>
                <w:lang w:val="en-GB"/>
              </w:rPr>
              <w:t xml:space="preserve">Among the destinations outside the EU, import increased especially from China </w:t>
            </w:r>
            <w:r w:rsidR="0019196C" w:rsidRPr="00A17559">
              <w:rPr>
                <w:spacing w:val="-4"/>
                <w:lang w:val="en-GB"/>
              </w:rPr>
              <w:t>(</w:t>
            </w:r>
            <w:r w:rsidR="00C41E3C" w:rsidRPr="00A17559">
              <w:rPr>
                <w:spacing w:val="-4"/>
                <w:lang w:val="en-GB"/>
              </w:rPr>
              <w:t xml:space="preserve">similarly by </w:t>
            </w:r>
            <w:r w:rsidR="00000B55" w:rsidRPr="00A17559">
              <w:rPr>
                <w:spacing w:val="-4"/>
                <w:lang w:val="en-GB"/>
              </w:rPr>
              <w:t>9</w:t>
            </w:r>
            <w:r w:rsidR="00C41E3C" w:rsidRPr="00A17559">
              <w:rPr>
                <w:spacing w:val="-4"/>
                <w:lang w:val="en-GB"/>
              </w:rPr>
              <w:t>.</w:t>
            </w:r>
            <w:r w:rsidR="00000B55" w:rsidRPr="00A17559">
              <w:rPr>
                <w:spacing w:val="-4"/>
                <w:lang w:val="en-GB"/>
              </w:rPr>
              <w:t>0%)</w:t>
            </w:r>
            <w:r w:rsidR="00C41E3C" w:rsidRPr="00A17559">
              <w:rPr>
                <w:spacing w:val="-4"/>
                <w:lang w:val="en-GB"/>
              </w:rPr>
              <w:t xml:space="preserve"> in both quarters of 2019</w:t>
            </w:r>
            <w:r w:rsidR="0019196C" w:rsidRPr="00A17559">
              <w:rPr>
                <w:spacing w:val="-4"/>
                <w:lang w:val="en-GB"/>
              </w:rPr>
              <w:t xml:space="preserve">. </w:t>
            </w:r>
            <w:r w:rsidR="00785311" w:rsidRPr="00A17559">
              <w:rPr>
                <w:spacing w:val="-4"/>
                <w:lang w:val="en-GB"/>
              </w:rPr>
              <w:t xml:space="preserve">Import from South Korea </w:t>
            </w:r>
            <w:r w:rsidR="0019196C" w:rsidRPr="00A17559">
              <w:rPr>
                <w:spacing w:val="-4"/>
                <w:lang w:val="en-GB"/>
              </w:rPr>
              <w:t>(</w:t>
            </w:r>
            <w:r w:rsidR="00403F57" w:rsidRPr="00A17559">
              <w:rPr>
                <w:spacing w:val="-4"/>
                <w:lang w:val="en-GB"/>
              </w:rPr>
              <w:t>–</w:t>
            </w:r>
            <w:r w:rsidR="0019196C" w:rsidRPr="00A17559">
              <w:rPr>
                <w:spacing w:val="-4"/>
                <w:lang w:val="en-GB"/>
              </w:rPr>
              <w:t>9</w:t>
            </w:r>
            <w:r w:rsidR="00785311" w:rsidRPr="00A17559">
              <w:rPr>
                <w:spacing w:val="-4"/>
                <w:lang w:val="en-GB"/>
              </w:rPr>
              <w:t>.</w:t>
            </w:r>
            <w:r w:rsidR="00000B55" w:rsidRPr="00A17559">
              <w:rPr>
                <w:spacing w:val="-4"/>
                <w:lang w:val="en-GB"/>
              </w:rPr>
              <w:t>0</w:t>
            </w:r>
            <w:r w:rsidR="00403F57" w:rsidRPr="00A17559">
              <w:rPr>
                <w:spacing w:val="-4"/>
                <w:lang w:val="en-GB"/>
              </w:rPr>
              <w:t>%</w:t>
            </w:r>
            <w:r w:rsidR="0019196C" w:rsidRPr="00A17559">
              <w:rPr>
                <w:spacing w:val="-4"/>
                <w:lang w:val="en-GB"/>
              </w:rPr>
              <w:t>),</w:t>
            </w:r>
            <w:r w:rsidR="00785311" w:rsidRPr="00A17559">
              <w:rPr>
                <w:spacing w:val="-4"/>
                <w:lang w:val="en-GB"/>
              </w:rPr>
              <w:t xml:space="preserve"> United States </w:t>
            </w:r>
            <w:r w:rsidR="0019196C" w:rsidRPr="00A17559">
              <w:rPr>
                <w:spacing w:val="-4"/>
                <w:lang w:val="en-GB"/>
              </w:rPr>
              <w:t>(</w:t>
            </w:r>
            <w:r w:rsidR="00403F57" w:rsidRPr="00A17559">
              <w:rPr>
                <w:spacing w:val="-4"/>
                <w:lang w:val="en-GB"/>
              </w:rPr>
              <w:t>–</w:t>
            </w:r>
            <w:r w:rsidR="0019196C" w:rsidRPr="00A17559">
              <w:rPr>
                <w:spacing w:val="-4"/>
                <w:lang w:val="en-GB"/>
              </w:rPr>
              <w:t>7</w:t>
            </w:r>
            <w:r w:rsidR="00785311" w:rsidRPr="00A17559">
              <w:rPr>
                <w:spacing w:val="-4"/>
                <w:lang w:val="en-GB"/>
              </w:rPr>
              <w:t>.</w:t>
            </w:r>
            <w:r w:rsidR="00000B55" w:rsidRPr="00A17559">
              <w:rPr>
                <w:spacing w:val="-4"/>
                <w:lang w:val="en-GB"/>
              </w:rPr>
              <w:t>4</w:t>
            </w:r>
            <w:r w:rsidR="00403F57" w:rsidRPr="00A17559">
              <w:rPr>
                <w:spacing w:val="-4"/>
                <w:lang w:val="en-GB"/>
              </w:rPr>
              <w:t>%</w:t>
            </w:r>
            <w:r w:rsidR="0019196C" w:rsidRPr="00A17559">
              <w:rPr>
                <w:spacing w:val="-4"/>
                <w:lang w:val="en-GB"/>
              </w:rPr>
              <w:t xml:space="preserve">) </w:t>
            </w:r>
            <w:r w:rsidR="002F1B09" w:rsidRPr="00A17559">
              <w:rPr>
                <w:spacing w:val="-4"/>
                <w:lang w:val="en-GB"/>
              </w:rPr>
              <w:t>a</w:t>
            </w:r>
            <w:r w:rsidR="00785311" w:rsidRPr="00A17559">
              <w:rPr>
                <w:spacing w:val="-4"/>
                <w:lang w:val="en-GB"/>
              </w:rPr>
              <w:t>nd</w:t>
            </w:r>
            <w:r w:rsidR="002F1B09" w:rsidRPr="00A17559">
              <w:rPr>
                <w:spacing w:val="-4"/>
                <w:lang w:val="en-GB"/>
              </w:rPr>
              <w:t> </w:t>
            </w:r>
            <w:r w:rsidR="0019196C" w:rsidRPr="00A17559">
              <w:rPr>
                <w:spacing w:val="-4"/>
                <w:lang w:val="en-GB"/>
              </w:rPr>
              <w:t>Rus</w:t>
            </w:r>
            <w:r w:rsidR="00785311" w:rsidRPr="00A17559">
              <w:rPr>
                <w:spacing w:val="-4"/>
                <w:lang w:val="en-GB"/>
              </w:rPr>
              <w:t xml:space="preserve">sia </w:t>
            </w:r>
            <w:r w:rsidR="0019196C" w:rsidRPr="00A17559">
              <w:rPr>
                <w:spacing w:val="-4"/>
                <w:lang w:val="en-GB"/>
              </w:rPr>
              <w:t>(</w:t>
            </w:r>
            <w:r w:rsidR="009A51A5" w:rsidRPr="00A17559">
              <w:rPr>
                <w:spacing w:val="-4"/>
                <w:lang w:val="en-GB"/>
              </w:rPr>
              <w:t>–</w:t>
            </w:r>
            <w:r w:rsidR="0019196C" w:rsidRPr="00A17559">
              <w:rPr>
                <w:spacing w:val="-4"/>
                <w:lang w:val="en-GB"/>
              </w:rPr>
              <w:t>20</w:t>
            </w:r>
            <w:r w:rsidR="00785311" w:rsidRPr="00A17559">
              <w:rPr>
                <w:spacing w:val="-4"/>
                <w:lang w:val="en-GB"/>
              </w:rPr>
              <w:t>.</w:t>
            </w:r>
            <w:r w:rsidR="00000B55" w:rsidRPr="00A17559">
              <w:rPr>
                <w:spacing w:val="-4"/>
                <w:lang w:val="en-GB"/>
              </w:rPr>
              <w:t>2</w:t>
            </w:r>
            <w:r w:rsidR="00403F57" w:rsidRPr="00A17559">
              <w:rPr>
                <w:spacing w:val="-4"/>
                <w:lang w:val="en-GB"/>
              </w:rPr>
              <w:t>%</w:t>
            </w:r>
            <w:r w:rsidR="00785311" w:rsidRPr="00A17559">
              <w:rPr>
                <w:spacing w:val="-4"/>
                <w:lang w:val="en-GB"/>
              </w:rPr>
              <w:t xml:space="preserve">, caused by the stopped supplies of oil due to its pollution) featured relatively strong decline year-on-year in Q2. </w:t>
            </w:r>
          </w:p>
        </w:tc>
      </w:tr>
      <w:tr w:rsidR="0019196C" w:rsidRPr="00A17559" w:rsidTr="000A212B">
        <w:trPr>
          <w:trHeight w:val="145"/>
        </w:trPr>
        <w:tc>
          <w:tcPr>
            <w:tcW w:w="1801" w:type="dxa"/>
            <w:shd w:val="clear" w:color="auto" w:fill="auto"/>
            <w:tcMar>
              <w:left w:w="0" w:type="dxa"/>
            </w:tcMar>
          </w:tcPr>
          <w:p w:rsidR="0019196C" w:rsidRPr="00A17559" w:rsidRDefault="00D065FC" w:rsidP="00D065FC">
            <w:pPr>
              <w:pStyle w:val="Marginlie"/>
              <w:rPr>
                <w:lang w:val="en-GB"/>
              </w:rPr>
            </w:pPr>
            <w:r w:rsidRPr="00A17559">
              <w:rPr>
                <w:lang w:val="en-GB"/>
              </w:rPr>
              <w:t xml:space="preserve">Import of motor vehicles increased only negligibly. </w:t>
            </w:r>
          </w:p>
        </w:tc>
        <w:tc>
          <w:tcPr>
            <w:tcW w:w="228" w:type="dxa"/>
            <w:shd w:val="clear" w:color="auto" w:fill="auto"/>
            <w:tcMar>
              <w:left w:w="0" w:type="dxa"/>
            </w:tcMar>
          </w:tcPr>
          <w:p w:rsidR="0019196C" w:rsidRPr="00A17559" w:rsidRDefault="0019196C" w:rsidP="0019196C">
            <w:pPr>
              <w:pStyle w:val="Textpoznpodarou"/>
              <w:jc w:val="both"/>
              <w:rPr>
                <w:spacing w:val="-4"/>
                <w:lang w:val="en-GB"/>
              </w:rPr>
            </w:pPr>
          </w:p>
        </w:tc>
        <w:tc>
          <w:tcPr>
            <w:tcW w:w="7610" w:type="dxa"/>
            <w:shd w:val="clear" w:color="auto" w:fill="auto"/>
            <w:tcMar>
              <w:left w:w="0" w:type="dxa"/>
            </w:tcMar>
          </w:tcPr>
          <w:p w:rsidR="0019196C" w:rsidRPr="00A17559" w:rsidRDefault="00852DB1" w:rsidP="004705F1">
            <w:pPr>
              <w:rPr>
                <w:spacing w:val="-4"/>
                <w:lang w:val="en-GB"/>
              </w:rPr>
            </w:pPr>
            <w:r w:rsidRPr="00A17559">
              <w:rPr>
                <w:spacing w:val="-4"/>
                <w:lang w:val="en-GB"/>
              </w:rPr>
              <w:t xml:space="preserve">Value of import of motor vehicles grew only slowly in H1 </w:t>
            </w:r>
            <w:r w:rsidR="0019196C" w:rsidRPr="00A17559">
              <w:rPr>
                <w:spacing w:val="-4"/>
                <w:lang w:val="en-GB"/>
              </w:rPr>
              <w:t>(+5</w:t>
            </w:r>
            <w:r w:rsidRPr="00A17559">
              <w:rPr>
                <w:spacing w:val="-4"/>
                <w:lang w:val="en-GB"/>
              </w:rPr>
              <w:t>.</w:t>
            </w:r>
            <w:r w:rsidR="00993194" w:rsidRPr="00A17559">
              <w:rPr>
                <w:spacing w:val="-4"/>
                <w:lang w:val="en-GB"/>
              </w:rPr>
              <w:t>4</w:t>
            </w:r>
            <w:r w:rsidRPr="00A17559">
              <w:rPr>
                <w:spacing w:val="-4"/>
                <w:lang w:val="en-GB"/>
              </w:rPr>
              <w:t xml:space="preserve"> CZK bn</w:t>
            </w:r>
            <w:r w:rsidR="0019196C" w:rsidRPr="00A17559">
              <w:rPr>
                <w:spacing w:val="-4"/>
                <w:lang w:val="en-GB"/>
              </w:rPr>
              <w:t>, 1</w:t>
            </w:r>
            <w:r w:rsidRPr="00A17559">
              <w:rPr>
                <w:spacing w:val="-4"/>
                <w:lang w:val="en-GB"/>
              </w:rPr>
              <w:t>.</w:t>
            </w:r>
            <w:r w:rsidR="00993194" w:rsidRPr="00A17559">
              <w:rPr>
                <w:spacing w:val="-4"/>
                <w:lang w:val="en-GB"/>
              </w:rPr>
              <w:t>9</w:t>
            </w:r>
            <w:r w:rsidR="00403F57" w:rsidRPr="00A17559">
              <w:rPr>
                <w:spacing w:val="-4"/>
                <w:lang w:val="en-GB"/>
              </w:rPr>
              <w:t>%</w:t>
            </w:r>
            <w:r w:rsidR="0019196C" w:rsidRPr="00A17559">
              <w:rPr>
                <w:spacing w:val="-4"/>
                <w:lang w:val="en-GB"/>
              </w:rPr>
              <w:t>).</w:t>
            </w:r>
            <w:r w:rsidRPr="00A17559">
              <w:rPr>
                <w:spacing w:val="-4"/>
                <w:lang w:val="en-GB"/>
              </w:rPr>
              <w:t xml:space="preserve"> Value of imported computers, electronic and optical products </w:t>
            </w:r>
            <w:r w:rsidR="0019196C" w:rsidRPr="00A17559">
              <w:rPr>
                <w:spacing w:val="-4"/>
                <w:lang w:val="en-GB"/>
              </w:rPr>
              <w:t>(+</w:t>
            </w:r>
            <w:r w:rsidR="00993194" w:rsidRPr="00A17559">
              <w:rPr>
                <w:spacing w:val="-4"/>
                <w:lang w:val="en-GB"/>
              </w:rPr>
              <w:t>8</w:t>
            </w:r>
            <w:r w:rsidR="004705F1" w:rsidRPr="00A17559">
              <w:rPr>
                <w:spacing w:val="-4"/>
                <w:lang w:val="en-GB"/>
              </w:rPr>
              <w:t>.</w:t>
            </w:r>
            <w:r w:rsidR="00993194" w:rsidRPr="00A17559">
              <w:rPr>
                <w:spacing w:val="-4"/>
                <w:lang w:val="en-GB"/>
              </w:rPr>
              <w:t>1</w:t>
            </w:r>
            <w:r w:rsidR="00403F57" w:rsidRPr="00A17559">
              <w:rPr>
                <w:spacing w:val="-4"/>
                <w:lang w:val="en-GB"/>
              </w:rPr>
              <w:t> </w:t>
            </w:r>
            <w:r w:rsidR="004705F1" w:rsidRPr="00A17559">
              <w:rPr>
                <w:spacing w:val="-4"/>
                <w:lang w:val="en-GB"/>
              </w:rPr>
              <w:t>bn</w:t>
            </w:r>
            <w:r w:rsidR="0019196C" w:rsidRPr="00A17559">
              <w:rPr>
                <w:spacing w:val="-4"/>
                <w:lang w:val="en-GB"/>
              </w:rPr>
              <w:t xml:space="preserve">, </w:t>
            </w:r>
            <w:r w:rsidR="00993194" w:rsidRPr="00A17559">
              <w:rPr>
                <w:spacing w:val="-4"/>
                <w:lang w:val="en-GB"/>
              </w:rPr>
              <w:t>4</w:t>
            </w:r>
            <w:r w:rsidR="004705F1" w:rsidRPr="00A17559">
              <w:rPr>
                <w:spacing w:val="-4"/>
                <w:lang w:val="en-GB"/>
              </w:rPr>
              <w:t>.</w:t>
            </w:r>
            <w:r w:rsidR="00993194" w:rsidRPr="00A17559">
              <w:rPr>
                <w:spacing w:val="-4"/>
                <w:lang w:val="en-GB"/>
              </w:rPr>
              <w:t>5</w:t>
            </w:r>
            <w:r w:rsidR="00403F57" w:rsidRPr="00A17559">
              <w:rPr>
                <w:spacing w:val="-4"/>
                <w:lang w:val="en-GB"/>
              </w:rPr>
              <w:t>%</w:t>
            </w:r>
            <w:r w:rsidR="0019196C" w:rsidRPr="00A17559">
              <w:rPr>
                <w:spacing w:val="-4"/>
                <w:lang w:val="en-GB"/>
              </w:rPr>
              <w:t>)</w:t>
            </w:r>
            <w:r w:rsidRPr="00A17559">
              <w:rPr>
                <w:spacing w:val="-4"/>
                <w:lang w:val="en-GB"/>
              </w:rPr>
              <w:t xml:space="preserve"> attained the largest addition</w:t>
            </w:r>
            <w:r w:rsidR="0019196C" w:rsidRPr="00A17559">
              <w:rPr>
                <w:spacing w:val="-4"/>
                <w:lang w:val="en-GB"/>
              </w:rPr>
              <w:t xml:space="preserve">. </w:t>
            </w:r>
            <w:r w:rsidRPr="00A17559">
              <w:rPr>
                <w:spacing w:val="-4"/>
                <w:lang w:val="en-GB"/>
              </w:rPr>
              <w:t xml:space="preserve">Oil and natural gas recorded import increase of </w:t>
            </w:r>
            <w:r w:rsidR="00993194" w:rsidRPr="00A17559">
              <w:rPr>
                <w:spacing w:val="-4"/>
                <w:lang w:val="en-GB"/>
              </w:rPr>
              <w:t>6</w:t>
            </w:r>
            <w:r w:rsidRPr="00A17559">
              <w:rPr>
                <w:spacing w:val="-4"/>
                <w:lang w:val="en-GB"/>
              </w:rPr>
              <w:t>.</w:t>
            </w:r>
            <w:r w:rsidR="00993194" w:rsidRPr="00A17559">
              <w:rPr>
                <w:spacing w:val="-4"/>
                <w:lang w:val="en-GB"/>
              </w:rPr>
              <w:t>9</w:t>
            </w:r>
            <w:r w:rsidRPr="00A17559">
              <w:rPr>
                <w:spacing w:val="-4"/>
                <w:lang w:val="en-GB"/>
              </w:rPr>
              <w:t xml:space="preserve"> CZK bn </w:t>
            </w:r>
            <w:r w:rsidR="0019196C" w:rsidRPr="00A17559">
              <w:rPr>
                <w:spacing w:val="-4"/>
                <w:lang w:val="en-GB"/>
              </w:rPr>
              <w:t>(12</w:t>
            </w:r>
            <w:r w:rsidRPr="00A17559">
              <w:rPr>
                <w:spacing w:val="-4"/>
                <w:lang w:val="en-GB"/>
              </w:rPr>
              <w:t>.</w:t>
            </w:r>
            <w:r w:rsidR="00993194" w:rsidRPr="00A17559">
              <w:rPr>
                <w:spacing w:val="-4"/>
                <w:lang w:val="en-GB"/>
              </w:rPr>
              <w:t>0</w:t>
            </w:r>
            <w:r w:rsidR="00403F57" w:rsidRPr="00A17559">
              <w:rPr>
                <w:spacing w:val="-4"/>
                <w:lang w:val="en-GB"/>
              </w:rPr>
              <w:t>%</w:t>
            </w:r>
            <w:r w:rsidR="0019196C" w:rsidRPr="00A17559">
              <w:rPr>
                <w:spacing w:val="-4"/>
                <w:lang w:val="en-GB"/>
              </w:rPr>
              <w:t xml:space="preserve">). </w:t>
            </w:r>
            <w:r w:rsidRPr="00A17559">
              <w:rPr>
                <w:spacing w:val="-4"/>
                <w:lang w:val="en-GB"/>
              </w:rPr>
              <w:t xml:space="preserve">Import of chemicals and chemical products </w:t>
            </w:r>
            <w:r w:rsidR="0019196C" w:rsidRPr="00A17559">
              <w:rPr>
                <w:spacing w:val="-4"/>
                <w:lang w:val="en-GB"/>
              </w:rPr>
              <w:t>(</w:t>
            </w:r>
            <w:r w:rsidR="00993194" w:rsidRPr="00A17559">
              <w:rPr>
                <w:spacing w:val="-4"/>
                <w:lang w:val="en-GB"/>
              </w:rPr>
              <w:t>4</w:t>
            </w:r>
            <w:r w:rsidRPr="00A17559">
              <w:rPr>
                <w:spacing w:val="-4"/>
                <w:lang w:val="en-GB"/>
              </w:rPr>
              <w:t>.</w:t>
            </w:r>
            <w:r w:rsidR="00993194" w:rsidRPr="00A17559">
              <w:rPr>
                <w:spacing w:val="-4"/>
                <w:lang w:val="en-GB"/>
              </w:rPr>
              <w:t>9</w:t>
            </w:r>
            <w:r w:rsidR="0019196C" w:rsidRPr="00A17559">
              <w:rPr>
                <w:spacing w:val="-4"/>
                <w:lang w:val="en-GB"/>
              </w:rPr>
              <w:t> </w:t>
            </w:r>
            <w:r w:rsidRPr="00A17559">
              <w:rPr>
                <w:spacing w:val="-4"/>
                <w:lang w:val="en-GB"/>
              </w:rPr>
              <w:t>bn</w:t>
            </w:r>
            <w:r w:rsidR="0019196C" w:rsidRPr="00A17559">
              <w:rPr>
                <w:spacing w:val="-4"/>
                <w:lang w:val="en-GB"/>
              </w:rPr>
              <w:t xml:space="preserve">, </w:t>
            </w:r>
            <w:r w:rsidR="00993194" w:rsidRPr="00A17559">
              <w:rPr>
                <w:spacing w:val="-4"/>
                <w:lang w:val="en-GB"/>
              </w:rPr>
              <w:t>3</w:t>
            </w:r>
            <w:r w:rsidRPr="00A17559">
              <w:rPr>
                <w:spacing w:val="-4"/>
                <w:lang w:val="en-GB"/>
              </w:rPr>
              <w:t>.</w:t>
            </w:r>
            <w:r w:rsidR="00993194" w:rsidRPr="00A17559">
              <w:rPr>
                <w:spacing w:val="-4"/>
                <w:lang w:val="en-GB"/>
              </w:rPr>
              <w:t>5</w:t>
            </w:r>
            <w:r w:rsidR="00403F57" w:rsidRPr="00A17559">
              <w:rPr>
                <w:spacing w:val="-4"/>
                <w:lang w:val="en-GB"/>
              </w:rPr>
              <w:t>%</w:t>
            </w:r>
            <w:r w:rsidR="0019196C" w:rsidRPr="00A17559">
              <w:rPr>
                <w:spacing w:val="-4"/>
                <w:lang w:val="en-GB"/>
              </w:rPr>
              <w:t xml:space="preserve">), </w:t>
            </w:r>
            <w:r w:rsidRPr="00A17559">
              <w:rPr>
                <w:spacing w:val="-4"/>
                <w:lang w:val="en-GB"/>
              </w:rPr>
              <w:t xml:space="preserve">machinery and equipment </w:t>
            </w:r>
            <w:r w:rsidR="0019196C" w:rsidRPr="00A17559">
              <w:rPr>
                <w:spacing w:val="-4"/>
                <w:lang w:val="en-GB"/>
              </w:rPr>
              <w:t>(5</w:t>
            </w:r>
            <w:r w:rsidRPr="00A17559">
              <w:rPr>
                <w:spacing w:val="-4"/>
                <w:lang w:val="en-GB"/>
              </w:rPr>
              <w:t>.</w:t>
            </w:r>
            <w:r w:rsidR="00993194" w:rsidRPr="00A17559">
              <w:rPr>
                <w:spacing w:val="-4"/>
                <w:lang w:val="en-GB"/>
              </w:rPr>
              <w:t>6</w:t>
            </w:r>
            <w:r w:rsidR="00403F57" w:rsidRPr="00A17559">
              <w:rPr>
                <w:spacing w:val="-4"/>
                <w:lang w:val="en-GB"/>
              </w:rPr>
              <w:t> </w:t>
            </w:r>
            <w:r w:rsidRPr="00A17559">
              <w:rPr>
                <w:spacing w:val="-4"/>
                <w:lang w:val="en-GB"/>
              </w:rPr>
              <w:t>bn</w:t>
            </w:r>
            <w:r w:rsidR="0019196C" w:rsidRPr="00A17559">
              <w:rPr>
                <w:spacing w:val="-4"/>
                <w:lang w:val="en-GB"/>
              </w:rPr>
              <w:t>, 3</w:t>
            </w:r>
            <w:r w:rsidRPr="00A17559">
              <w:rPr>
                <w:spacing w:val="-4"/>
                <w:lang w:val="en-GB"/>
              </w:rPr>
              <w:t>.</w:t>
            </w:r>
            <w:r w:rsidR="00993194" w:rsidRPr="00A17559">
              <w:rPr>
                <w:spacing w:val="-4"/>
                <w:lang w:val="en-GB"/>
              </w:rPr>
              <w:t>3</w:t>
            </w:r>
            <w:r w:rsidR="00403F57" w:rsidRPr="00A17559">
              <w:rPr>
                <w:spacing w:val="-4"/>
                <w:lang w:val="en-GB"/>
              </w:rPr>
              <w:t>%</w:t>
            </w:r>
            <w:r w:rsidR="0019196C" w:rsidRPr="00A17559">
              <w:rPr>
                <w:spacing w:val="-4"/>
                <w:lang w:val="en-GB"/>
              </w:rPr>
              <w:t xml:space="preserve">) </w:t>
            </w:r>
            <w:r w:rsidR="002F1B09" w:rsidRPr="00A17559">
              <w:rPr>
                <w:spacing w:val="-4"/>
                <w:lang w:val="en-GB"/>
              </w:rPr>
              <w:t>a</w:t>
            </w:r>
            <w:r w:rsidRPr="00A17559">
              <w:rPr>
                <w:spacing w:val="-4"/>
                <w:lang w:val="en-GB"/>
              </w:rPr>
              <w:t>nd electrical appliances</w:t>
            </w:r>
            <w:r w:rsidR="0019196C" w:rsidRPr="00A17559">
              <w:rPr>
                <w:spacing w:val="-4"/>
                <w:lang w:val="en-GB"/>
              </w:rPr>
              <w:t xml:space="preserve"> (2</w:t>
            </w:r>
            <w:r w:rsidRPr="00A17559">
              <w:rPr>
                <w:spacing w:val="-4"/>
                <w:lang w:val="en-GB"/>
              </w:rPr>
              <w:t>.</w:t>
            </w:r>
            <w:r w:rsidR="0019196C" w:rsidRPr="00A17559">
              <w:rPr>
                <w:spacing w:val="-4"/>
                <w:lang w:val="en-GB"/>
              </w:rPr>
              <w:t>8</w:t>
            </w:r>
            <w:r w:rsidR="00403F57" w:rsidRPr="00A17559">
              <w:rPr>
                <w:spacing w:val="-4"/>
                <w:lang w:val="en-GB"/>
              </w:rPr>
              <w:t> </w:t>
            </w:r>
            <w:r w:rsidRPr="00A17559">
              <w:rPr>
                <w:spacing w:val="-4"/>
                <w:lang w:val="en-GB"/>
              </w:rPr>
              <w:t>CZK bn</w:t>
            </w:r>
            <w:r w:rsidR="0019196C" w:rsidRPr="00A17559">
              <w:rPr>
                <w:spacing w:val="-4"/>
                <w:lang w:val="en-GB"/>
              </w:rPr>
              <w:t>, 2</w:t>
            </w:r>
            <w:r w:rsidRPr="00A17559">
              <w:rPr>
                <w:spacing w:val="-4"/>
                <w:lang w:val="en-GB"/>
              </w:rPr>
              <w:t>.</w:t>
            </w:r>
            <w:r w:rsidR="00993194" w:rsidRPr="00A17559">
              <w:rPr>
                <w:spacing w:val="-4"/>
                <w:lang w:val="en-GB"/>
              </w:rPr>
              <w:t>2</w:t>
            </w:r>
            <w:r w:rsidR="00403F57" w:rsidRPr="00A17559">
              <w:rPr>
                <w:spacing w:val="-4"/>
                <w:lang w:val="en-GB"/>
              </w:rPr>
              <w:t>%</w:t>
            </w:r>
            <w:r w:rsidR="0019196C" w:rsidRPr="00A17559">
              <w:rPr>
                <w:spacing w:val="-4"/>
                <w:lang w:val="en-GB"/>
              </w:rPr>
              <w:t>)</w:t>
            </w:r>
            <w:r w:rsidRPr="00A17559">
              <w:rPr>
                <w:spacing w:val="-4"/>
                <w:lang w:val="en-GB"/>
              </w:rPr>
              <w:t xml:space="preserve"> slightly grew</w:t>
            </w:r>
            <w:r w:rsidR="0019196C" w:rsidRPr="00A17559">
              <w:rPr>
                <w:spacing w:val="-4"/>
                <w:lang w:val="en-GB"/>
              </w:rPr>
              <w:t xml:space="preserve">. </w:t>
            </w:r>
            <w:r w:rsidR="004705F1" w:rsidRPr="00A17559">
              <w:rPr>
                <w:spacing w:val="-4"/>
                <w:lang w:val="en-GB"/>
              </w:rPr>
              <w:t xml:space="preserve">However similarly to the export side, import of machinery and equipment </w:t>
            </w:r>
            <w:r w:rsidR="0019196C" w:rsidRPr="00A17559">
              <w:rPr>
                <w:spacing w:val="-4"/>
                <w:lang w:val="en-GB"/>
              </w:rPr>
              <w:t>(0</w:t>
            </w:r>
            <w:r w:rsidR="004705F1" w:rsidRPr="00A17559">
              <w:rPr>
                <w:spacing w:val="-4"/>
                <w:lang w:val="en-GB"/>
              </w:rPr>
              <w:t>.</w:t>
            </w:r>
            <w:r w:rsidR="00993194" w:rsidRPr="00A17559">
              <w:rPr>
                <w:spacing w:val="-4"/>
                <w:lang w:val="en-GB"/>
              </w:rPr>
              <w:t>5</w:t>
            </w:r>
            <w:r w:rsidR="00403F57" w:rsidRPr="00A17559">
              <w:rPr>
                <w:spacing w:val="-4"/>
                <w:lang w:val="en-GB"/>
              </w:rPr>
              <w:t>%</w:t>
            </w:r>
            <w:r w:rsidR="0019196C" w:rsidRPr="00A17559">
              <w:rPr>
                <w:spacing w:val="-4"/>
                <w:lang w:val="en-GB"/>
              </w:rPr>
              <w:t xml:space="preserve">) </w:t>
            </w:r>
            <w:r w:rsidR="004705F1" w:rsidRPr="00A17559">
              <w:rPr>
                <w:spacing w:val="-4"/>
                <w:lang w:val="en-GB"/>
              </w:rPr>
              <w:t xml:space="preserve">as well as electrical products </w:t>
            </w:r>
            <w:r w:rsidR="0019196C" w:rsidRPr="00A17559">
              <w:rPr>
                <w:spacing w:val="-4"/>
                <w:lang w:val="en-GB"/>
              </w:rPr>
              <w:t>(0</w:t>
            </w:r>
            <w:r w:rsidR="004705F1" w:rsidRPr="00A17559">
              <w:rPr>
                <w:spacing w:val="-4"/>
                <w:lang w:val="en-GB"/>
              </w:rPr>
              <w:t>.</w:t>
            </w:r>
            <w:r w:rsidR="0019196C" w:rsidRPr="00A17559">
              <w:rPr>
                <w:spacing w:val="-4"/>
                <w:lang w:val="en-GB"/>
              </w:rPr>
              <w:t>4</w:t>
            </w:r>
            <w:r w:rsidR="00403F57" w:rsidRPr="00A17559">
              <w:rPr>
                <w:spacing w:val="-4"/>
                <w:lang w:val="en-GB"/>
              </w:rPr>
              <w:t>%</w:t>
            </w:r>
            <w:r w:rsidR="0019196C" w:rsidRPr="00A17559">
              <w:rPr>
                <w:spacing w:val="-4"/>
                <w:lang w:val="en-GB"/>
              </w:rPr>
              <w:t>)</w:t>
            </w:r>
            <w:r w:rsidR="004705F1" w:rsidRPr="00A17559">
              <w:rPr>
                <w:spacing w:val="-4"/>
                <w:lang w:val="en-GB"/>
              </w:rPr>
              <w:t xml:space="preserve"> stagnated in Q</w:t>
            </w:r>
            <w:r w:rsidR="0019196C" w:rsidRPr="00A17559">
              <w:rPr>
                <w:spacing w:val="-4"/>
                <w:lang w:val="en-GB"/>
              </w:rPr>
              <w:t>2</w:t>
            </w:r>
            <w:r w:rsidR="004705F1" w:rsidRPr="00A17559">
              <w:rPr>
                <w:spacing w:val="-4"/>
                <w:lang w:val="en-GB"/>
              </w:rPr>
              <w:t xml:space="preserve"> itself</w:t>
            </w:r>
            <w:r w:rsidR="004A5D4E" w:rsidRPr="00A17559">
              <w:rPr>
                <w:spacing w:val="-4"/>
                <w:lang w:val="en-GB"/>
              </w:rPr>
              <w:t>.</w:t>
            </w:r>
            <w:r w:rsidR="004705F1" w:rsidRPr="00A17559">
              <w:rPr>
                <w:spacing w:val="-4"/>
                <w:lang w:val="en-GB"/>
              </w:rPr>
              <w:t xml:space="preserve"> </w:t>
            </w:r>
            <w:r w:rsidRPr="00A17559">
              <w:rPr>
                <w:spacing w:val="-4"/>
                <w:lang w:val="en-GB"/>
              </w:rPr>
              <w:t xml:space="preserve">Value fell for imports of basic metals </w:t>
            </w:r>
            <w:r w:rsidR="0019196C" w:rsidRPr="00A17559">
              <w:rPr>
                <w:spacing w:val="-4"/>
                <w:lang w:val="en-GB"/>
              </w:rPr>
              <w:t>(</w:t>
            </w:r>
            <w:r w:rsidR="00403F57" w:rsidRPr="00A17559">
              <w:rPr>
                <w:spacing w:val="-4"/>
                <w:lang w:val="en-GB"/>
              </w:rPr>
              <w:t>–</w:t>
            </w:r>
            <w:r w:rsidR="00993194" w:rsidRPr="00A17559">
              <w:rPr>
                <w:spacing w:val="-4"/>
                <w:lang w:val="en-GB"/>
              </w:rPr>
              <w:t>3</w:t>
            </w:r>
            <w:r w:rsidRPr="00A17559">
              <w:rPr>
                <w:spacing w:val="-4"/>
                <w:lang w:val="en-GB"/>
              </w:rPr>
              <w:t>.</w:t>
            </w:r>
            <w:r w:rsidR="00993194" w:rsidRPr="00A17559">
              <w:rPr>
                <w:spacing w:val="-4"/>
                <w:lang w:val="en-GB"/>
              </w:rPr>
              <w:t>8</w:t>
            </w:r>
            <w:r w:rsidR="00403F57" w:rsidRPr="00A17559">
              <w:rPr>
                <w:spacing w:val="-4"/>
                <w:lang w:val="en-GB"/>
              </w:rPr>
              <w:t> </w:t>
            </w:r>
            <w:r w:rsidRPr="00A17559">
              <w:rPr>
                <w:spacing w:val="-4"/>
                <w:lang w:val="en-GB"/>
              </w:rPr>
              <w:t>CZK bn</w:t>
            </w:r>
            <w:r w:rsidR="0019196C" w:rsidRPr="00A17559">
              <w:rPr>
                <w:spacing w:val="-4"/>
                <w:lang w:val="en-GB"/>
              </w:rPr>
              <w:t xml:space="preserve">, </w:t>
            </w:r>
            <w:r w:rsidR="00993194" w:rsidRPr="00A17559">
              <w:rPr>
                <w:spacing w:val="-4"/>
                <w:lang w:val="en-GB"/>
              </w:rPr>
              <w:t>2</w:t>
            </w:r>
            <w:r w:rsidRPr="00A17559">
              <w:rPr>
                <w:spacing w:val="-4"/>
                <w:lang w:val="en-GB"/>
              </w:rPr>
              <w:t>.</w:t>
            </w:r>
            <w:r w:rsidR="00993194" w:rsidRPr="00A17559">
              <w:rPr>
                <w:spacing w:val="-4"/>
                <w:lang w:val="en-GB"/>
              </w:rPr>
              <w:t>6</w:t>
            </w:r>
            <w:r w:rsidR="00403F57" w:rsidRPr="00A17559">
              <w:rPr>
                <w:spacing w:val="-4"/>
                <w:lang w:val="en-GB"/>
              </w:rPr>
              <w:t>%</w:t>
            </w:r>
            <w:r w:rsidR="0019196C" w:rsidRPr="00A17559">
              <w:rPr>
                <w:spacing w:val="-4"/>
                <w:lang w:val="en-GB"/>
              </w:rPr>
              <w:t xml:space="preserve">) </w:t>
            </w:r>
            <w:r w:rsidR="002F1B09" w:rsidRPr="00A17559">
              <w:rPr>
                <w:spacing w:val="-4"/>
                <w:lang w:val="en-GB"/>
              </w:rPr>
              <w:t>a</w:t>
            </w:r>
            <w:r w:rsidRPr="00A17559">
              <w:rPr>
                <w:spacing w:val="-4"/>
                <w:lang w:val="en-GB"/>
              </w:rPr>
              <w:t xml:space="preserve">nd coke and refined oil products </w:t>
            </w:r>
            <w:r w:rsidR="0019196C" w:rsidRPr="00A17559">
              <w:rPr>
                <w:spacing w:val="-4"/>
                <w:lang w:val="en-GB"/>
              </w:rPr>
              <w:t>(</w:t>
            </w:r>
            <w:r w:rsidR="00403F57" w:rsidRPr="00A17559">
              <w:rPr>
                <w:spacing w:val="-4"/>
                <w:lang w:val="en-GB"/>
              </w:rPr>
              <w:t>–</w:t>
            </w:r>
            <w:r w:rsidR="0019196C" w:rsidRPr="00A17559">
              <w:rPr>
                <w:spacing w:val="-4"/>
                <w:lang w:val="en-GB"/>
              </w:rPr>
              <w:t>4</w:t>
            </w:r>
            <w:r w:rsidRPr="00A17559">
              <w:rPr>
                <w:spacing w:val="-4"/>
                <w:lang w:val="en-GB"/>
              </w:rPr>
              <w:t>.</w:t>
            </w:r>
            <w:r w:rsidR="0019196C" w:rsidRPr="00A17559">
              <w:rPr>
                <w:spacing w:val="-4"/>
                <w:lang w:val="en-GB"/>
              </w:rPr>
              <w:t>2</w:t>
            </w:r>
            <w:r w:rsidR="00403F57" w:rsidRPr="00A17559">
              <w:rPr>
                <w:spacing w:val="-4"/>
                <w:lang w:val="en-GB"/>
              </w:rPr>
              <w:t> </w:t>
            </w:r>
            <w:r w:rsidRPr="00A17559">
              <w:rPr>
                <w:spacing w:val="-4"/>
                <w:lang w:val="en-GB"/>
              </w:rPr>
              <w:t>bn</w:t>
            </w:r>
            <w:r w:rsidR="0019196C" w:rsidRPr="00A17559">
              <w:rPr>
                <w:spacing w:val="-4"/>
                <w:lang w:val="en-GB"/>
              </w:rPr>
              <w:t>, 12</w:t>
            </w:r>
            <w:r w:rsidRPr="00A17559">
              <w:rPr>
                <w:spacing w:val="-4"/>
                <w:lang w:val="en-GB"/>
              </w:rPr>
              <w:t>.</w:t>
            </w:r>
            <w:r w:rsidR="00993194" w:rsidRPr="00A17559">
              <w:rPr>
                <w:spacing w:val="-4"/>
                <w:lang w:val="en-GB"/>
              </w:rPr>
              <w:t>4</w:t>
            </w:r>
            <w:r w:rsidR="00403F57" w:rsidRPr="00A17559">
              <w:rPr>
                <w:spacing w:val="-4"/>
                <w:lang w:val="en-GB"/>
              </w:rPr>
              <w:t>%</w:t>
            </w:r>
            <w:r w:rsidR="0019196C" w:rsidRPr="00A17559">
              <w:rPr>
                <w:spacing w:val="-4"/>
                <w:lang w:val="en-GB"/>
              </w:rPr>
              <w:t>)</w:t>
            </w:r>
            <w:r w:rsidRPr="00A17559">
              <w:rPr>
                <w:spacing w:val="-4"/>
                <w:lang w:val="en-GB"/>
              </w:rPr>
              <w:t xml:space="preserve"> in H1</w:t>
            </w:r>
            <w:r w:rsidR="0019196C" w:rsidRPr="00A17559">
              <w:rPr>
                <w:spacing w:val="-4"/>
                <w:lang w:val="en-GB"/>
              </w:rPr>
              <w:t>.</w:t>
            </w:r>
          </w:p>
        </w:tc>
      </w:tr>
      <w:tr w:rsidR="0019196C" w:rsidRPr="00A17559" w:rsidTr="000A212B">
        <w:trPr>
          <w:trHeight w:val="145"/>
        </w:trPr>
        <w:tc>
          <w:tcPr>
            <w:tcW w:w="1801" w:type="dxa"/>
            <w:shd w:val="clear" w:color="auto" w:fill="auto"/>
            <w:tcMar>
              <w:left w:w="0" w:type="dxa"/>
            </w:tcMar>
          </w:tcPr>
          <w:p w:rsidR="0019196C" w:rsidRPr="00A17559" w:rsidRDefault="007752BF" w:rsidP="007752BF">
            <w:pPr>
              <w:pStyle w:val="Marginlie"/>
              <w:rPr>
                <w:lang w:val="en-GB"/>
              </w:rPr>
            </w:pPr>
            <w:r w:rsidRPr="00A17559">
              <w:rPr>
                <w:lang w:val="en-GB"/>
              </w:rPr>
              <w:t>The surplus of the balance of trade with goods expanded in H</w:t>
            </w:r>
            <w:r w:rsidR="004A5D4E" w:rsidRPr="00A17559">
              <w:rPr>
                <w:lang w:val="en-GB"/>
              </w:rPr>
              <w:t>1</w:t>
            </w:r>
            <w:r w:rsidRPr="00A17559">
              <w:rPr>
                <w:lang w:val="en-GB"/>
              </w:rPr>
              <w:t xml:space="preserve">, especially due to trade with the EU. </w:t>
            </w:r>
          </w:p>
        </w:tc>
        <w:tc>
          <w:tcPr>
            <w:tcW w:w="228" w:type="dxa"/>
            <w:shd w:val="clear" w:color="auto" w:fill="auto"/>
            <w:tcMar>
              <w:left w:w="0" w:type="dxa"/>
            </w:tcMar>
          </w:tcPr>
          <w:p w:rsidR="0019196C" w:rsidRPr="00A17559" w:rsidRDefault="0019196C" w:rsidP="0019196C">
            <w:pPr>
              <w:pStyle w:val="Textpoznpodarou"/>
              <w:jc w:val="both"/>
              <w:rPr>
                <w:spacing w:val="-4"/>
                <w:lang w:val="en-GB"/>
              </w:rPr>
            </w:pPr>
          </w:p>
        </w:tc>
        <w:tc>
          <w:tcPr>
            <w:tcW w:w="7610" w:type="dxa"/>
            <w:shd w:val="clear" w:color="auto" w:fill="auto"/>
            <w:tcMar>
              <w:left w:w="0" w:type="dxa"/>
            </w:tcMar>
          </w:tcPr>
          <w:p w:rsidR="0019196C" w:rsidRPr="00A17559" w:rsidRDefault="00FA523B" w:rsidP="00986B72">
            <w:pPr>
              <w:rPr>
                <w:spacing w:val="-4"/>
                <w:lang w:val="en-GB"/>
              </w:rPr>
            </w:pPr>
            <w:r w:rsidRPr="00A17559">
              <w:rPr>
                <w:spacing w:val="-4"/>
                <w:lang w:val="en-GB"/>
              </w:rPr>
              <w:t xml:space="preserve">Moderation of the import growth was </w:t>
            </w:r>
            <w:r w:rsidR="007752BF" w:rsidRPr="00A17559">
              <w:rPr>
                <w:spacing w:val="-4"/>
                <w:lang w:val="en-GB"/>
              </w:rPr>
              <w:t xml:space="preserve">also </w:t>
            </w:r>
            <w:r w:rsidRPr="00A17559">
              <w:rPr>
                <w:spacing w:val="-4"/>
                <w:lang w:val="en-GB"/>
              </w:rPr>
              <w:t>apparent</w:t>
            </w:r>
            <w:r w:rsidR="007752BF" w:rsidRPr="00A17559">
              <w:rPr>
                <w:spacing w:val="-4"/>
                <w:lang w:val="en-GB"/>
              </w:rPr>
              <w:t xml:space="preserve"> in the resulting balance of trade with goods, which summed </w:t>
            </w:r>
            <w:r w:rsidR="0019196C" w:rsidRPr="00A17559">
              <w:rPr>
                <w:spacing w:val="-4"/>
                <w:lang w:val="en-GB"/>
              </w:rPr>
              <w:t>1</w:t>
            </w:r>
            <w:r w:rsidR="00993194" w:rsidRPr="00A17559">
              <w:rPr>
                <w:spacing w:val="-4"/>
                <w:lang w:val="en-GB"/>
              </w:rPr>
              <w:t>08</w:t>
            </w:r>
            <w:r w:rsidR="007752BF" w:rsidRPr="00A17559">
              <w:rPr>
                <w:spacing w:val="-4"/>
                <w:lang w:val="en-GB"/>
              </w:rPr>
              <w:t>.</w:t>
            </w:r>
            <w:r w:rsidR="00993194" w:rsidRPr="00A17559">
              <w:rPr>
                <w:spacing w:val="-4"/>
                <w:lang w:val="en-GB"/>
              </w:rPr>
              <w:t>6</w:t>
            </w:r>
            <w:r w:rsidR="00403F57" w:rsidRPr="00A17559">
              <w:rPr>
                <w:spacing w:val="-4"/>
                <w:lang w:val="en-GB"/>
              </w:rPr>
              <w:t> </w:t>
            </w:r>
            <w:r w:rsidR="007752BF" w:rsidRPr="00A17559">
              <w:rPr>
                <w:spacing w:val="-4"/>
                <w:lang w:val="en-GB"/>
              </w:rPr>
              <w:t xml:space="preserve">CZK bn in H1 and rose by 17.7 bn year-on-year. </w:t>
            </w:r>
            <w:r w:rsidR="00F53652" w:rsidRPr="00A17559">
              <w:rPr>
                <w:spacing w:val="-4"/>
                <w:lang w:val="en-GB"/>
              </w:rPr>
              <w:t xml:space="preserve">Described increase however concerns only Q2. </w:t>
            </w:r>
            <w:r w:rsidR="00E601BA" w:rsidRPr="00A17559">
              <w:rPr>
                <w:spacing w:val="-4"/>
                <w:lang w:val="en-GB"/>
              </w:rPr>
              <w:t xml:space="preserve">Positive balance increased then by </w:t>
            </w:r>
            <w:r w:rsidR="0019196C" w:rsidRPr="00A17559">
              <w:rPr>
                <w:spacing w:val="-4"/>
                <w:lang w:val="en-GB"/>
              </w:rPr>
              <w:t>2</w:t>
            </w:r>
            <w:r w:rsidR="00993194" w:rsidRPr="00A17559">
              <w:rPr>
                <w:spacing w:val="-4"/>
                <w:lang w:val="en-GB"/>
              </w:rPr>
              <w:t>3</w:t>
            </w:r>
            <w:r w:rsidR="00E601BA" w:rsidRPr="00A17559">
              <w:rPr>
                <w:spacing w:val="-4"/>
                <w:lang w:val="en-GB"/>
              </w:rPr>
              <w:t>.</w:t>
            </w:r>
            <w:r w:rsidR="00993194" w:rsidRPr="00A17559">
              <w:rPr>
                <w:spacing w:val="-4"/>
                <w:lang w:val="en-GB"/>
              </w:rPr>
              <w:t>0</w:t>
            </w:r>
            <w:r w:rsidR="0019196C" w:rsidRPr="00A17559">
              <w:rPr>
                <w:spacing w:val="-4"/>
                <w:lang w:val="en-GB"/>
              </w:rPr>
              <w:t> </w:t>
            </w:r>
            <w:r w:rsidR="00E601BA" w:rsidRPr="00A17559">
              <w:rPr>
                <w:spacing w:val="-4"/>
                <w:lang w:val="en-GB"/>
              </w:rPr>
              <w:t xml:space="preserve">CZK bn to </w:t>
            </w:r>
            <w:r w:rsidR="00993194" w:rsidRPr="00A17559">
              <w:rPr>
                <w:spacing w:val="-4"/>
                <w:lang w:val="en-GB"/>
              </w:rPr>
              <w:t>58</w:t>
            </w:r>
            <w:r w:rsidR="00E601BA" w:rsidRPr="00A17559">
              <w:rPr>
                <w:spacing w:val="-4"/>
                <w:lang w:val="en-GB"/>
              </w:rPr>
              <w:t>.</w:t>
            </w:r>
            <w:r w:rsidR="00993194" w:rsidRPr="00A17559">
              <w:rPr>
                <w:spacing w:val="-4"/>
                <w:lang w:val="en-GB"/>
              </w:rPr>
              <w:t>4</w:t>
            </w:r>
            <w:r w:rsidR="00403F57" w:rsidRPr="00A17559">
              <w:rPr>
                <w:spacing w:val="-4"/>
                <w:lang w:val="en-GB"/>
              </w:rPr>
              <w:t> </w:t>
            </w:r>
            <w:r w:rsidR="00E601BA" w:rsidRPr="00A17559">
              <w:rPr>
                <w:spacing w:val="-4"/>
                <w:lang w:val="en-GB"/>
              </w:rPr>
              <w:t>bn</w:t>
            </w:r>
            <w:r w:rsidR="00403F57" w:rsidRPr="00A17559">
              <w:rPr>
                <w:spacing w:val="-4"/>
                <w:lang w:val="en-GB"/>
              </w:rPr>
              <w:t>.</w:t>
            </w:r>
            <w:r w:rsidR="0019196C" w:rsidRPr="00A17559">
              <w:rPr>
                <w:spacing w:val="-4"/>
                <w:lang w:val="en-GB"/>
              </w:rPr>
              <w:t xml:space="preserve"> </w:t>
            </w:r>
            <w:r w:rsidR="007B3F31" w:rsidRPr="00A17559">
              <w:rPr>
                <w:spacing w:val="-4"/>
                <w:lang w:val="en-GB"/>
              </w:rPr>
              <w:t xml:space="preserve">Series of surplus declines lasting five quarters was thus interrupted. </w:t>
            </w:r>
            <w:r w:rsidR="00AB56A1" w:rsidRPr="00A17559">
              <w:rPr>
                <w:spacing w:val="-4"/>
                <w:lang w:val="en-GB"/>
              </w:rPr>
              <w:t xml:space="preserve">From the territorial perspective the massive increase of surplus with the EU countries by </w:t>
            </w:r>
            <w:r w:rsidR="00993194" w:rsidRPr="00A17559">
              <w:rPr>
                <w:spacing w:val="-4"/>
                <w:lang w:val="en-GB"/>
              </w:rPr>
              <w:t>46</w:t>
            </w:r>
            <w:r w:rsidR="00AB56A1" w:rsidRPr="00A17559">
              <w:rPr>
                <w:spacing w:val="-4"/>
                <w:lang w:val="en-GB"/>
              </w:rPr>
              <w:t>.</w:t>
            </w:r>
            <w:r w:rsidR="00993194" w:rsidRPr="00A17559">
              <w:rPr>
                <w:spacing w:val="-4"/>
                <w:lang w:val="en-GB"/>
              </w:rPr>
              <w:t>5</w:t>
            </w:r>
            <w:r w:rsidR="00403F57" w:rsidRPr="00A17559">
              <w:rPr>
                <w:spacing w:val="-4"/>
                <w:lang w:val="en-GB"/>
              </w:rPr>
              <w:t> </w:t>
            </w:r>
            <w:r w:rsidR="00AB56A1" w:rsidRPr="00A17559">
              <w:rPr>
                <w:spacing w:val="-4"/>
                <w:lang w:val="en-GB"/>
              </w:rPr>
              <w:t xml:space="preserve">CZK bn is mostly of interest. In the opposite direction, the already negative balance with countries outside the Union worsened by </w:t>
            </w:r>
            <w:r w:rsidR="0019196C" w:rsidRPr="00A17559">
              <w:rPr>
                <w:spacing w:val="-4"/>
                <w:lang w:val="en-GB"/>
              </w:rPr>
              <w:t>2</w:t>
            </w:r>
            <w:r w:rsidR="00993194" w:rsidRPr="00A17559">
              <w:rPr>
                <w:spacing w:val="-4"/>
                <w:lang w:val="en-GB"/>
              </w:rPr>
              <w:t>7</w:t>
            </w:r>
            <w:r w:rsidR="00AB56A1" w:rsidRPr="00A17559">
              <w:rPr>
                <w:spacing w:val="-4"/>
                <w:lang w:val="en-GB"/>
              </w:rPr>
              <w:t>.</w:t>
            </w:r>
            <w:r w:rsidR="00993194" w:rsidRPr="00A17559">
              <w:rPr>
                <w:spacing w:val="-4"/>
                <w:lang w:val="en-GB"/>
              </w:rPr>
              <w:t>1</w:t>
            </w:r>
            <w:r w:rsidR="0019196C" w:rsidRPr="00A17559">
              <w:rPr>
                <w:spacing w:val="-4"/>
                <w:lang w:val="en-GB"/>
              </w:rPr>
              <w:t> </w:t>
            </w:r>
            <w:r w:rsidR="00AB56A1" w:rsidRPr="00A17559">
              <w:rPr>
                <w:spacing w:val="-4"/>
                <w:lang w:val="en-GB"/>
              </w:rPr>
              <w:t>bn</w:t>
            </w:r>
            <w:r w:rsidR="0019196C" w:rsidRPr="00A17559">
              <w:rPr>
                <w:spacing w:val="-4"/>
                <w:lang w:val="en-GB"/>
              </w:rPr>
              <w:t xml:space="preserve">. </w:t>
            </w:r>
            <w:r w:rsidR="00AB686D" w:rsidRPr="00A17559">
              <w:rPr>
                <w:spacing w:val="-4"/>
                <w:lang w:val="en-GB"/>
              </w:rPr>
              <w:t xml:space="preserve"> The surplus of trade with Germany </w:t>
            </w:r>
            <w:r w:rsidR="0019196C" w:rsidRPr="00A17559">
              <w:rPr>
                <w:spacing w:val="-4"/>
                <w:lang w:val="en-GB"/>
              </w:rPr>
              <w:t>(</w:t>
            </w:r>
            <w:r w:rsidR="00AB686D" w:rsidRPr="00A17559">
              <w:rPr>
                <w:spacing w:val="-4"/>
                <w:lang w:val="en-GB"/>
              </w:rPr>
              <w:t xml:space="preserve">by </w:t>
            </w:r>
            <w:r w:rsidR="00993194" w:rsidRPr="00A17559">
              <w:rPr>
                <w:spacing w:val="-4"/>
                <w:lang w:val="en-GB"/>
              </w:rPr>
              <w:t>1</w:t>
            </w:r>
            <w:r w:rsidR="003B7B50" w:rsidRPr="00A17559">
              <w:rPr>
                <w:spacing w:val="-4"/>
                <w:lang w:val="en-GB"/>
              </w:rPr>
              <w:t>5</w:t>
            </w:r>
            <w:r w:rsidR="00AB686D" w:rsidRPr="00A17559">
              <w:rPr>
                <w:spacing w:val="-4"/>
                <w:lang w:val="en-GB"/>
              </w:rPr>
              <w:t>.</w:t>
            </w:r>
            <w:r w:rsidR="003B7B50" w:rsidRPr="00A17559">
              <w:rPr>
                <w:spacing w:val="-4"/>
                <w:lang w:val="en-GB"/>
              </w:rPr>
              <w:t>4</w:t>
            </w:r>
            <w:r w:rsidR="00403F57" w:rsidRPr="00A17559">
              <w:rPr>
                <w:spacing w:val="-4"/>
                <w:lang w:val="en-GB"/>
              </w:rPr>
              <w:t> </w:t>
            </w:r>
            <w:r w:rsidR="00AB686D" w:rsidRPr="00A17559">
              <w:rPr>
                <w:spacing w:val="-4"/>
                <w:lang w:val="en-GB"/>
              </w:rPr>
              <w:t>CZK bn in H1</w:t>
            </w:r>
            <w:r w:rsidR="0019196C" w:rsidRPr="00A17559">
              <w:rPr>
                <w:spacing w:val="-4"/>
                <w:lang w:val="en-GB"/>
              </w:rPr>
              <w:t xml:space="preserve">, </w:t>
            </w:r>
            <w:r w:rsidR="00AB686D" w:rsidRPr="00A17559">
              <w:rPr>
                <w:spacing w:val="-4"/>
                <w:lang w:val="en-GB"/>
              </w:rPr>
              <w:t xml:space="preserve">in that by </w:t>
            </w:r>
            <w:r w:rsidR="0019196C" w:rsidRPr="00A17559">
              <w:rPr>
                <w:spacing w:val="-4"/>
                <w:lang w:val="en-GB"/>
              </w:rPr>
              <w:t>1</w:t>
            </w:r>
            <w:r w:rsidR="00993194" w:rsidRPr="00A17559">
              <w:rPr>
                <w:spacing w:val="-4"/>
                <w:lang w:val="en-GB"/>
              </w:rPr>
              <w:t>3</w:t>
            </w:r>
            <w:r w:rsidR="00AB686D" w:rsidRPr="00A17559">
              <w:rPr>
                <w:spacing w:val="-4"/>
                <w:lang w:val="en-GB"/>
              </w:rPr>
              <w:t>.</w:t>
            </w:r>
            <w:r w:rsidR="00993194" w:rsidRPr="00A17559">
              <w:rPr>
                <w:spacing w:val="-4"/>
                <w:lang w:val="en-GB"/>
              </w:rPr>
              <w:t>4</w:t>
            </w:r>
            <w:r w:rsidR="00403F57" w:rsidRPr="00A17559">
              <w:rPr>
                <w:spacing w:val="-4"/>
                <w:lang w:val="en-GB"/>
              </w:rPr>
              <w:t> </w:t>
            </w:r>
            <w:r w:rsidR="00AB686D" w:rsidRPr="00A17559">
              <w:rPr>
                <w:spacing w:val="-4"/>
                <w:lang w:val="en-GB"/>
              </w:rPr>
              <w:t>bn in Q2</w:t>
            </w:r>
            <w:r w:rsidR="0019196C" w:rsidRPr="00A17559">
              <w:rPr>
                <w:spacing w:val="-4"/>
                <w:lang w:val="en-GB"/>
              </w:rPr>
              <w:t xml:space="preserve">) </w:t>
            </w:r>
            <w:r w:rsidR="002F1B09" w:rsidRPr="00A17559">
              <w:rPr>
                <w:spacing w:val="-4"/>
                <w:lang w:val="en-GB"/>
              </w:rPr>
              <w:t>a</w:t>
            </w:r>
            <w:r w:rsidR="00AB686D" w:rsidRPr="00A17559">
              <w:rPr>
                <w:spacing w:val="-4"/>
                <w:lang w:val="en-GB"/>
              </w:rPr>
              <w:t xml:space="preserve">nd with Slovakia </w:t>
            </w:r>
            <w:r w:rsidR="0019196C" w:rsidRPr="00A17559">
              <w:rPr>
                <w:spacing w:val="-4"/>
                <w:lang w:val="en-GB"/>
              </w:rPr>
              <w:t>(</w:t>
            </w:r>
            <w:r w:rsidR="00AB686D" w:rsidRPr="00A17559">
              <w:rPr>
                <w:spacing w:val="-4"/>
                <w:lang w:val="en-GB"/>
              </w:rPr>
              <w:t xml:space="preserve">by </w:t>
            </w:r>
            <w:r w:rsidR="0019196C" w:rsidRPr="00A17559">
              <w:rPr>
                <w:spacing w:val="-4"/>
                <w:lang w:val="en-GB"/>
              </w:rPr>
              <w:t>18</w:t>
            </w:r>
            <w:r w:rsidR="00AB686D" w:rsidRPr="00A17559">
              <w:rPr>
                <w:spacing w:val="-4"/>
                <w:lang w:val="en-GB"/>
              </w:rPr>
              <w:t>.</w:t>
            </w:r>
            <w:r w:rsidR="0019196C" w:rsidRPr="00A17559">
              <w:rPr>
                <w:spacing w:val="-4"/>
                <w:lang w:val="en-GB"/>
              </w:rPr>
              <w:t>7</w:t>
            </w:r>
            <w:r w:rsidR="00403F57" w:rsidRPr="00A17559">
              <w:rPr>
                <w:spacing w:val="-4"/>
                <w:lang w:val="en-GB"/>
              </w:rPr>
              <w:t> </w:t>
            </w:r>
            <w:r w:rsidR="00AB686D" w:rsidRPr="00A17559">
              <w:rPr>
                <w:spacing w:val="-4"/>
                <w:lang w:val="en-GB"/>
              </w:rPr>
              <w:t>bn in H1</w:t>
            </w:r>
            <w:r w:rsidR="0019196C" w:rsidRPr="00A17559">
              <w:rPr>
                <w:spacing w:val="-4"/>
                <w:lang w:val="en-GB"/>
              </w:rPr>
              <w:t xml:space="preserve">, </w:t>
            </w:r>
            <w:r w:rsidR="00AB686D" w:rsidRPr="00A17559">
              <w:rPr>
                <w:spacing w:val="-4"/>
                <w:lang w:val="en-GB"/>
              </w:rPr>
              <w:t xml:space="preserve">in that by </w:t>
            </w:r>
            <w:r w:rsidR="0019196C" w:rsidRPr="00A17559">
              <w:rPr>
                <w:spacing w:val="-4"/>
                <w:lang w:val="en-GB"/>
              </w:rPr>
              <w:t>9</w:t>
            </w:r>
            <w:r w:rsidR="00AB686D" w:rsidRPr="00A17559">
              <w:rPr>
                <w:spacing w:val="-4"/>
                <w:lang w:val="en-GB"/>
              </w:rPr>
              <w:t>.</w:t>
            </w:r>
            <w:r w:rsidR="00993194" w:rsidRPr="00A17559">
              <w:rPr>
                <w:spacing w:val="-4"/>
                <w:lang w:val="en-GB"/>
              </w:rPr>
              <w:t>1</w:t>
            </w:r>
            <w:r w:rsidR="00403F57" w:rsidRPr="00A17559">
              <w:rPr>
                <w:spacing w:val="-4"/>
                <w:lang w:val="en-GB"/>
              </w:rPr>
              <w:t> </w:t>
            </w:r>
            <w:r w:rsidR="00AB686D" w:rsidRPr="00A17559">
              <w:rPr>
                <w:spacing w:val="-4"/>
                <w:lang w:val="en-GB"/>
              </w:rPr>
              <w:t>bn in Q</w:t>
            </w:r>
            <w:r w:rsidR="0019196C" w:rsidRPr="00A17559">
              <w:rPr>
                <w:spacing w:val="-4"/>
                <w:lang w:val="en-GB"/>
              </w:rPr>
              <w:t>2)</w:t>
            </w:r>
            <w:r w:rsidR="00AB686D" w:rsidRPr="00A17559">
              <w:rPr>
                <w:spacing w:val="-4"/>
                <w:lang w:val="en-GB"/>
              </w:rPr>
              <w:t xml:space="preserve"> </w:t>
            </w:r>
            <w:r w:rsidR="00FC2C40">
              <w:rPr>
                <w:spacing w:val="-4"/>
                <w:lang w:val="en-GB"/>
              </w:rPr>
              <w:t xml:space="preserve">rose </w:t>
            </w:r>
            <w:r w:rsidR="00AB686D" w:rsidRPr="00A17559">
              <w:rPr>
                <w:spacing w:val="-4"/>
                <w:lang w:val="en-GB"/>
              </w:rPr>
              <w:t>thanks to the decreased import described above</w:t>
            </w:r>
            <w:r w:rsidR="0019196C" w:rsidRPr="00A17559">
              <w:rPr>
                <w:spacing w:val="-4"/>
                <w:lang w:val="en-GB"/>
              </w:rPr>
              <w:t xml:space="preserve">. </w:t>
            </w:r>
            <w:r w:rsidR="00A43DF7" w:rsidRPr="00A17559">
              <w:rPr>
                <w:spacing w:val="-4"/>
                <w:lang w:val="en-GB"/>
              </w:rPr>
              <w:t>Deficit with China</w:t>
            </w:r>
            <w:r w:rsidR="00986B72" w:rsidRPr="00A17559">
              <w:rPr>
                <w:spacing w:val="-4"/>
                <w:lang w:val="en-GB"/>
              </w:rPr>
              <w:t xml:space="preserve"> </w:t>
            </w:r>
            <w:r w:rsidR="0019196C" w:rsidRPr="00A17559">
              <w:rPr>
                <w:spacing w:val="-4"/>
                <w:lang w:val="en-GB"/>
              </w:rPr>
              <w:t>(</w:t>
            </w:r>
            <w:r w:rsidR="00A74C2A" w:rsidRPr="00A17559">
              <w:rPr>
                <w:spacing w:val="-4"/>
                <w:lang w:val="en-GB"/>
              </w:rPr>
              <w:t>–</w:t>
            </w:r>
            <w:r w:rsidR="0019196C" w:rsidRPr="00A17559">
              <w:rPr>
                <w:spacing w:val="-4"/>
                <w:lang w:val="en-GB"/>
              </w:rPr>
              <w:t>1</w:t>
            </w:r>
            <w:r w:rsidR="00993194" w:rsidRPr="00A17559">
              <w:rPr>
                <w:spacing w:val="-4"/>
                <w:lang w:val="en-GB"/>
              </w:rPr>
              <w:t>4</w:t>
            </w:r>
            <w:r w:rsidR="00A43DF7" w:rsidRPr="00A17559">
              <w:rPr>
                <w:spacing w:val="-4"/>
                <w:lang w:val="en-GB"/>
              </w:rPr>
              <w:t>.</w:t>
            </w:r>
            <w:r w:rsidR="00993194" w:rsidRPr="00A17559">
              <w:rPr>
                <w:spacing w:val="-4"/>
                <w:lang w:val="en-GB"/>
              </w:rPr>
              <w:t>4</w:t>
            </w:r>
            <w:r w:rsidR="00403F57" w:rsidRPr="00A17559">
              <w:rPr>
                <w:spacing w:val="-4"/>
                <w:lang w:val="en-GB"/>
              </w:rPr>
              <w:t> </w:t>
            </w:r>
            <w:r w:rsidR="00A43DF7" w:rsidRPr="00A17559">
              <w:rPr>
                <w:spacing w:val="-4"/>
                <w:lang w:val="en-GB"/>
              </w:rPr>
              <w:t>CZK bn for the whole half-year</w:t>
            </w:r>
            <w:r w:rsidR="0019196C" w:rsidRPr="00A17559">
              <w:rPr>
                <w:spacing w:val="-4"/>
                <w:lang w:val="en-GB"/>
              </w:rPr>
              <w:t>)</w:t>
            </w:r>
            <w:r w:rsidR="00986B72" w:rsidRPr="00A17559">
              <w:rPr>
                <w:spacing w:val="-4"/>
                <w:lang w:val="en-GB"/>
              </w:rPr>
              <w:t xml:space="preserve"> </w:t>
            </w:r>
            <w:r w:rsidR="002F1B09" w:rsidRPr="00A17559">
              <w:rPr>
                <w:spacing w:val="-4"/>
                <w:lang w:val="en-GB"/>
              </w:rPr>
              <w:t>a</w:t>
            </w:r>
            <w:r w:rsidR="00A43DF7" w:rsidRPr="00A17559">
              <w:rPr>
                <w:spacing w:val="-4"/>
                <w:lang w:val="en-GB"/>
              </w:rPr>
              <w:t xml:space="preserve">nd with Turkey </w:t>
            </w:r>
            <w:r w:rsidR="0019196C" w:rsidRPr="00A17559">
              <w:rPr>
                <w:spacing w:val="-4"/>
                <w:lang w:val="en-GB"/>
              </w:rPr>
              <w:t>(</w:t>
            </w:r>
            <w:r w:rsidR="00403F57" w:rsidRPr="00A17559">
              <w:rPr>
                <w:spacing w:val="-4"/>
                <w:lang w:val="en-GB"/>
              </w:rPr>
              <w:t>–</w:t>
            </w:r>
            <w:r w:rsidR="0019196C" w:rsidRPr="00A17559">
              <w:rPr>
                <w:spacing w:val="-4"/>
                <w:lang w:val="en-GB"/>
              </w:rPr>
              <w:t>7</w:t>
            </w:r>
            <w:r w:rsidR="00A43DF7" w:rsidRPr="00A17559">
              <w:rPr>
                <w:spacing w:val="-4"/>
                <w:lang w:val="en-GB"/>
              </w:rPr>
              <w:t>.</w:t>
            </w:r>
            <w:r w:rsidR="00993194" w:rsidRPr="00A17559">
              <w:rPr>
                <w:spacing w:val="-4"/>
                <w:lang w:val="en-GB"/>
              </w:rPr>
              <w:t>5</w:t>
            </w:r>
            <w:r w:rsidR="00403F57" w:rsidRPr="00A17559">
              <w:rPr>
                <w:spacing w:val="-4"/>
                <w:lang w:val="en-GB"/>
              </w:rPr>
              <w:t> </w:t>
            </w:r>
            <w:r w:rsidR="00A43DF7" w:rsidRPr="00A17559">
              <w:rPr>
                <w:spacing w:val="-4"/>
                <w:lang w:val="en-GB"/>
              </w:rPr>
              <w:t>bn</w:t>
            </w:r>
            <w:r w:rsidR="0019196C" w:rsidRPr="00A17559">
              <w:rPr>
                <w:spacing w:val="-4"/>
                <w:lang w:val="en-GB"/>
              </w:rPr>
              <w:t>)</w:t>
            </w:r>
            <w:r w:rsidR="00986B72" w:rsidRPr="00A17559">
              <w:rPr>
                <w:spacing w:val="-4"/>
                <w:lang w:val="en-GB"/>
              </w:rPr>
              <w:t xml:space="preserve"> markedly deepened</w:t>
            </w:r>
            <w:r w:rsidR="0019196C" w:rsidRPr="00A17559">
              <w:rPr>
                <w:spacing w:val="-4"/>
                <w:lang w:val="en-GB"/>
              </w:rPr>
              <w:t>.</w:t>
            </w:r>
          </w:p>
        </w:tc>
      </w:tr>
      <w:tr w:rsidR="0019196C" w:rsidRPr="00A17559" w:rsidTr="000A212B">
        <w:trPr>
          <w:trHeight w:val="145"/>
        </w:trPr>
        <w:tc>
          <w:tcPr>
            <w:tcW w:w="1801" w:type="dxa"/>
            <w:shd w:val="clear" w:color="auto" w:fill="auto"/>
            <w:tcMar>
              <w:left w:w="0" w:type="dxa"/>
            </w:tcMar>
          </w:tcPr>
          <w:p w:rsidR="0019196C" w:rsidRPr="00A17559" w:rsidRDefault="00FA523B" w:rsidP="00FA523B">
            <w:pPr>
              <w:pStyle w:val="Marginlie"/>
              <w:rPr>
                <w:lang w:val="en-GB"/>
              </w:rPr>
            </w:pPr>
            <w:r w:rsidRPr="00A17559">
              <w:rPr>
                <w:lang w:val="en-GB"/>
              </w:rPr>
              <w:t xml:space="preserve">Sale of motor vehicles recorded the largest surplus growth. </w:t>
            </w:r>
          </w:p>
        </w:tc>
        <w:tc>
          <w:tcPr>
            <w:tcW w:w="228" w:type="dxa"/>
            <w:shd w:val="clear" w:color="auto" w:fill="auto"/>
            <w:tcMar>
              <w:left w:w="0" w:type="dxa"/>
            </w:tcMar>
          </w:tcPr>
          <w:p w:rsidR="0019196C" w:rsidRPr="00A17559" w:rsidRDefault="0019196C" w:rsidP="0019196C">
            <w:pPr>
              <w:pStyle w:val="Textpoznpodarou"/>
              <w:jc w:val="both"/>
              <w:rPr>
                <w:spacing w:val="-4"/>
                <w:lang w:val="en-GB"/>
              </w:rPr>
            </w:pPr>
          </w:p>
        </w:tc>
        <w:tc>
          <w:tcPr>
            <w:tcW w:w="7610" w:type="dxa"/>
            <w:shd w:val="clear" w:color="auto" w:fill="auto"/>
            <w:tcMar>
              <w:left w:w="0" w:type="dxa"/>
            </w:tcMar>
          </w:tcPr>
          <w:p w:rsidR="0019196C" w:rsidRPr="00A17559" w:rsidRDefault="00F54330" w:rsidP="00F54330">
            <w:pPr>
              <w:rPr>
                <w:spacing w:val="-4"/>
                <w:lang w:val="en-GB"/>
              </w:rPr>
            </w:pPr>
            <w:r w:rsidRPr="00A17559">
              <w:rPr>
                <w:spacing w:val="-4"/>
                <w:lang w:val="en-GB"/>
              </w:rPr>
              <w:t>S</w:t>
            </w:r>
            <w:r w:rsidR="00105F9B" w:rsidRPr="00A17559">
              <w:rPr>
                <w:spacing w:val="-4"/>
                <w:lang w:val="en-GB"/>
              </w:rPr>
              <w:t xml:space="preserve">ale of motor vehicles </w:t>
            </w:r>
            <w:r w:rsidR="0019196C" w:rsidRPr="00A17559">
              <w:rPr>
                <w:spacing w:val="-4"/>
                <w:lang w:val="en-GB"/>
              </w:rPr>
              <w:t>(</w:t>
            </w:r>
            <w:r w:rsidR="00FA523B" w:rsidRPr="00A17559">
              <w:rPr>
                <w:spacing w:val="-4"/>
                <w:lang w:val="en-GB"/>
              </w:rPr>
              <w:t xml:space="preserve">in total </w:t>
            </w:r>
            <w:r w:rsidR="0019196C" w:rsidRPr="00A17559">
              <w:rPr>
                <w:spacing w:val="-4"/>
                <w:lang w:val="en-GB"/>
              </w:rPr>
              <w:t>+1</w:t>
            </w:r>
            <w:r w:rsidR="0051630F" w:rsidRPr="00A17559">
              <w:rPr>
                <w:spacing w:val="-4"/>
                <w:lang w:val="en-GB"/>
              </w:rPr>
              <w:t>2</w:t>
            </w:r>
            <w:r w:rsidR="00FA523B" w:rsidRPr="00A17559">
              <w:rPr>
                <w:spacing w:val="-4"/>
                <w:lang w:val="en-GB"/>
              </w:rPr>
              <w:t>.</w:t>
            </w:r>
            <w:r w:rsidR="0051630F" w:rsidRPr="00A17559">
              <w:rPr>
                <w:spacing w:val="-4"/>
                <w:lang w:val="en-GB"/>
              </w:rPr>
              <w:t>1</w:t>
            </w:r>
            <w:r w:rsidR="0019196C" w:rsidRPr="00A17559">
              <w:rPr>
                <w:spacing w:val="-4"/>
                <w:lang w:val="en-GB"/>
              </w:rPr>
              <w:t> </w:t>
            </w:r>
            <w:r w:rsidR="00FA523B" w:rsidRPr="00A17559">
              <w:rPr>
                <w:spacing w:val="-4"/>
                <w:lang w:val="en-GB"/>
              </w:rPr>
              <w:t>CZK bn</w:t>
            </w:r>
            <w:r w:rsidR="0019196C" w:rsidRPr="00A17559">
              <w:rPr>
                <w:spacing w:val="-4"/>
                <w:lang w:val="en-GB"/>
              </w:rPr>
              <w:t xml:space="preserve">, </w:t>
            </w:r>
            <w:r w:rsidR="00FA523B" w:rsidRPr="00A17559">
              <w:rPr>
                <w:spacing w:val="-4"/>
                <w:lang w:val="en-GB"/>
              </w:rPr>
              <w:t xml:space="preserve">in that </w:t>
            </w:r>
            <w:r w:rsidR="0019196C" w:rsidRPr="00A17559">
              <w:rPr>
                <w:spacing w:val="-4"/>
                <w:lang w:val="en-GB"/>
              </w:rPr>
              <w:t>+</w:t>
            </w:r>
            <w:r w:rsidR="0051630F" w:rsidRPr="00A17559">
              <w:rPr>
                <w:spacing w:val="-4"/>
                <w:lang w:val="en-GB"/>
              </w:rPr>
              <w:t>8</w:t>
            </w:r>
            <w:r w:rsidR="00FA523B" w:rsidRPr="00A17559">
              <w:rPr>
                <w:spacing w:val="-4"/>
                <w:lang w:val="en-GB"/>
              </w:rPr>
              <w:t>.</w:t>
            </w:r>
            <w:r w:rsidR="0051630F" w:rsidRPr="00A17559">
              <w:rPr>
                <w:spacing w:val="-4"/>
                <w:lang w:val="en-GB"/>
              </w:rPr>
              <w:t>2</w:t>
            </w:r>
            <w:r w:rsidR="00FA523B" w:rsidRPr="00A17559">
              <w:rPr>
                <w:spacing w:val="-4"/>
                <w:lang w:val="en-GB"/>
              </w:rPr>
              <w:t xml:space="preserve"> bn in Q</w:t>
            </w:r>
            <w:r w:rsidR="0019196C" w:rsidRPr="00A17559">
              <w:rPr>
                <w:spacing w:val="-4"/>
                <w:lang w:val="en-GB"/>
              </w:rPr>
              <w:t>2), o</w:t>
            </w:r>
            <w:r w:rsidRPr="00A17559">
              <w:rPr>
                <w:spacing w:val="-4"/>
                <w:lang w:val="en-GB"/>
              </w:rPr>
              <w:t xml:space="preserve">ther transport equipment </w:t>
            </w:r>
            <w:r w:rsidR="0019196C" w:rsidRPr="00A17559">
              <w:rPr>
                <w:spacing w:val="-4"/>
                <w:lang w:val="en-GB"/>
              </w:rPr>
              <w:t>(+8</w:t>
            </w:r>
            <w:r w:rsidRPr="00A17559">
              <w:rPr>
                <w:spacing w:val="-4"/>
                <w:lang w:val="en-GB"/>
              </w:rPr>
              <w:t>.</w:t>
            </w:r>
            <w:r w:rsidR="0051630F" w:rsidRPr="00A17559">
              <w:rPr>
                <w:spacing w:val="-4"/>
                <w:lang w:val="en-GB"/>
              </w:rPr>
              <w:t>4</w:t>
            </w:r>
            <w:r w:rsidR="0019196C" w:rsidRPr="00A17559">
              <w:rPr>
                <w:spacing w:val="-4"/>
                <w:lang w:val="en-GB"/>
              </w:rPr>
              <w:t> </w:t>
            </w:r>
            <w:r w:rsidRPr="00A17559">
              <w:rPr>
                <w:spacing w:val="-4"/>
                <w:lang w:val="en-GB"/>
              </w:rPr>
              <w:t>bn</w:t>
            </w:r>
            <w:r w:rsidR="0019196C" w:rsidRPr="00A17559">
              <w:rPr>
                <w:spacing w:val="-4"/>
                <w:lang w:val="en-GB"/>
              </w:rPr>
              <w:t>, +8</w:t>
            </w:r>
            <w:r w:rsidRPr="00A17559">
              <w:rPr>
                <w:spacing w:val="-4"/>
                <w:lang w:val="en-GB"/>
              </w:rPr>
              <w:t>.</w:t>
            </w:r>
            <w:r w:rsidR="0051630F" w:rsidRPr="00A17559">
              <w:rPr>
                <w:spacing w:val="-4"/>
                <w:lang w:val="en-GB"/>
              </w:rPr>
              <w:t>0</w:t>
            </w:r>
            <w:r w:rsidR="00403F57" w:rsidRPr="00A17559">
              <w:rPr>
                <w:spacing w:val="-4"/>
                <w:lang w:val="en-GB"/>
              </w:rPr>
              <w:t> </w:t>
            </w:r>
            <w:r w:rsidRPr="00A17559">
              <w:rPr>
                <w:spacing w:val="-4"/>
                <w:lang w:val="en-GB"/>
              </w:rPr>
              <w:t>bn in Q</w:t>
            </w:r>
            <w:r w:rsidR="0019196C" w:rsidRPr="00A17559">
              <w:rPr>
                <w:spacing w:val="-4"/>
                <w:lang w:val="en-GB"/>
              </w:rPr>
              <w:t xml:space="preserve">2), </w:t>
            </w:r>
            <w:r w:rsidRPr="00A17559">
              <w:rPr>
                <w:spacing w:val="-4"/>
                <w:lang w:val="en-GB"/>
              </w:rPr>
              <w:t xml:space="preserve">coke and refined oil products </w:t>
            </w:r>
            <w:r w:rsidR="0019196C" w:rsidRPr="00A17559">
              <w:rPr>
                <w:spacing w:val="-4"/>
                <w:lang w:val="en-GB"/>
              </w:rPr>
              <w:t>(+5</w:t>
            </w:r>
            <w:r w:rsidRPr="00A17559">
              <w:rPr>
                <w:spacing w:val="-4"/>
                <w:lang w:val="en-GB"/>
              </w:rPr>
              <w:t>.</w:t>
            </w:r>
            <w:r w:rsidR="0019196C" w:rsidRPr="00A17559">
              <w:rPr>
                <w:spacing w:val="-4"/>
                <w:lang w:val="en-GB"/>
              </w:rPr>
              <w:t>2</w:t>
            </w:r>
            <w:r w:rsidR="00403F57" w:rsidRPr="00A17559">
              <w:rPr>
                <w:spacing w:val="-4"/>
                <w:lang w:val="en-GB"/>
              </w:rPr>
              <w:t> </w:t>
            </w:r>
            <w:r w:rsidRPr="00A17559">
              <w:rPr>
                <w:spacing w:val="-4"/>
                <w:lang w:val="en-GB"/>
              </w:rPr>
              <w:t>bn</w:t>
            </w:r>
            <w:r w:rsidR="0019196C" w:rsidRPr="00A17559">
              <w:rPr>
                <w:spacing w:val="-4"/>
                <w:lang w:val="en-GB"/>
              </w:rPr>
              <w:t>, +4</w:t>
            </w:r>
            <w:r w:rsidRPr="00A17559">
              <w:rPr>
                <w:spacing w:val="-4"/>
                <w:lang w:val="en-GB"/>
              </w:rPr>
              <w:t>.</w:t>
            </w:r>
            <w:r w:rsidR="0019196C" w:rsidRPr="00A17559">
              <w:rPr>
                <w:spacing w:val="-4"/>
                <w:lang w:val="en-GB"/>
              </w:rPr>
              <w:t>8</w:t>
            </w:r>
            <w:r w:rsidR="00403F57" w:rsidRPr="00A17559">
              <w:rPr>
                <w:spacing w:val="-4"/>
                <w:lang w:val="en-GB"/>
              </w:rPr>
              <w:t> </w:t>
            </w:r>
            <w:r w:rsidRPr="00A17559">
              <w:rPr>
                <w:spacing w:val="-4"/>
                <w:lang w:val="en-GB"/>
              </w:rPr>
              <w:t>bn in Q2</w:t>
            </w:r>
            <w:r w:rsidR="0019196C" w:rsidRPr="00A17559">
              <w:rPr>
                <w:spacing w:val="-4"/>
                <w:lang w:val="en-GB"/>
              </w:rPr>
              <w:t xml:space="preserve">), </w:t>
            </w:r>
            <w:r w:rsidRPr="00A17559">
              <w:rPr>
                <w:spacing w:val="-4"/>
                <w:lang w:val="en-GB"/>
              </w:rPr>
              <w:t xml:space="preserve">basic metals </w:t>
            </w:r>
            <w:r w:rsidR="0019196C" w:rsidRPr="00A17559">
              <w:rPr>
                <w:spacing w:val="-4"/>
                <w:lang w:val="en-GB"/>
              </w:rPr>
              <w:t>(</w:t>
            </w:r>
            <w:r w:rsidR="0051630F" w:rsidRPr="00A17559">
              <w:rPr>
                <w:spacing w:val="-4"/>
                <w:lang w:val="en-GB"/>
              </w:rPr>
              <w:t>2</w:t>
            </w:r>
            <w:r w:rsidRPr="00A17559">
              <w:rPr>
                <w:spacing w:val="-4"/>
                <w:lang w:val="en-GB"/>
              </w:rPr>
              <w:t>.</w:t>
            </w:r>
            <w:r w:rsidR="0051630F" w:rsidRPr="00A17559">
              <w:rPr>
                <w:spacing w:val="-4"/>
                <w:lang w:val="en-GB"/>
              </w:rPr>
              <w:t>1</w:t>
            </w:r>
            <w:r w:rsidR="0019196C" w:rsidRPr="00A17559">
              <w:rPr>
                <w:spacing w:val="-4"/>
                <w:lang w:val="en-GB"/>
              </w:rPr>
              <w:t> </w:t>
            </w:r>
            <w:r w:rsidRPr="00A17559">
              <w:rPr>
                <w:spacing w:val="-4"/>
                <w:lang w:val="en-GB"/>
              </w:rPr>
              <w:t>bn</w:t>
            </w:r>
            <w:r w:rsidR="0019196C" w:rsidRPr="00A17559">
              <w:rPr>
                <w:spacing w:val="-4"/>
                <w:lang w:val="en-GB"/>
              </w:rPr>
              <w:t xml:space="preserve">) </w:t>
            </w:r>
            <w:r w:rsidR="002F1B09" w:rsidRPr="00A17559">
              <w:rPr>
                <w:spacing w:val="-4"/>
                <w:lang w:val="en-GB"/>
              </w:rPr>
              <w:t>a</w:t>
            </w:r>
            <w:r w:rsidRPr="00A17559">
              <w:rPr>
                <w:spacing w:val="-4"/>
                <w:lang w:val="en-GB"/>
              </w:rPr>
              <w:t>nd electricity, gas, steam and air conditioning supply (</w:t>
            </w:r>
            <w:r w:rsidR="0019196C" w:rsidRPr="00A17559">
              <w:rPr>
                <w:spacing w:val="-4"/>
                <w:lang w:val="en-GB"/>
              </w:rPr>
              <w:t>+4</w:t>
            </w:r>
            <w:r w:rsidRPr="00A17559">
              <w:rPr>
                <w:spacing w:val="-4"/>
                <w:lang w:val="en-GB"/>
              </w:rPr>
              <w:t>.</w:t>
            </w:r>
            <w:r w:rsidR="0019196C" w:rsidRPr="00A17559">
              <w:rPr>
                <w:spacing w:val="-4"/>
                <w:lang w:val="en-GB"/>
              </w:rPr>
              <w:t>0</w:t>
            </w:r>
            <w:r w:rsidR="00403F57" w:rsidRPr="00A17559">
              <w:rPr>
                <w:spacing w:val="-4"/>
                <w:lang w:val="en-GB"/>
              </w:rPr>
              <w:t> </w:t>
            </w:r>
            <w:r w:rsidRPr="00A17559">
              <w:rPr>
                <w:spacing w:val="-4"/>
                <w:lang w:val="en-GB"/>
              </w:rPr>
              <w:t>bn</w:t>
            </w:r>
            <w:r w:rsidR="0019196C" w:rsidRPr="00A17559">
              <w:rPr>
                <w:spacing w:val="-4"/>
                <w:lang w:val="en-GB"/>
              </w:rPr>
              <w:t>)</w:t>
            </w:r>
            <w:r w:rsidRPr="00A17559">
              <w:rPr>
                <w:spacing w:val="-4"/>
                <w:lang w:val="en-GB"/>
              </w:rPr>
              <w:t xml:space="preserve"> </w:t>
            </w:r>
            <w:r w:rsidRPr="00A17559">
              <w:rPr>
                <w:spacing w:val="-4"/>
                <w:lang w:val="en-GB"/>
              </w:rPr>
              <w:lastRenderedPageBreak/>
              <w:t>mostly contributed to the surplus growth in H1</w:t>
            </w:r>
            <w:r w:rsidR="0019196C" w:rsidRPr="00A17559">
              <w:rPr>
                <w:spacing w:val="-4"/>
                <w:lang w:val="en-GB"/>
              </w:rPr>
              <w:t xml:space="preserve">. </w:t>
            </w:r>
            <w:r w:rsidRPr="00A17559">
              <w:rPr>
                <w:spacing w:val="-4"/>
                <w:lang w:val="en-GB"/>
              </w:rPr>
              <w:t xml:space="preserve">Trade with oil and natural gas (-7.6 CZK bn) on the contrary mostly more markedly worked in the direction of the deficit. </w:t>
            </w:r>
          </w:p>
        </w:tc>
      </w:tr>
      <w:tr w:rsidR="0019196C" w:rsidRPr="00A17559" w:rsidTr="000A212B">
        <w:trPr>
          <w:trHeight w:val="106"/>
        </w:trPr>
        <w:tc>
          <w:tcPr>
            <w:tcW w:w="1801" w:type="dxa"/>
            <w:vMerge w:val="restart"/>
            <w:shd w:val="clear" w:color="auto" w:fill="auto"/>
            <w:tcMar>
              <w:left w:w="0" w:type="dxa"/>
            </w:tcMar>
          </w:tcPr>
          <w:p w:rsidR="0019196C" w:rsidRPr="00A17559" w:rsidRDefault="0019196C" w:rsidP="0019196C">
            <w:pPr>
              <w:pStyle w:val="Marginlie"/>
              <w:rPr>
                <w:lang w:val="en-GB"/>
              </w:rPr>
            </w:pPr>
          </w:p>
        </w:tc>
        <w:tc>
          <w:tcPr>
            <w:tcW w:w="228" w:type="dxa"/>
            <w:vMerge w:val="restart"/>
            <w:shd w:val="clear" w:color="auto" w:fill="auto"/>
            <w:tcMar>
              <w:left w:w="0" w:type="dxa"/>
            </w:tcMar>
          </w:tcPr>
          <w:p w:rsidR="0019196C" w:rsidRPr="00A17559" w:rsidRDefault="0019196C" w:rsidP="0019196C">
            <w:pPr>
              <w:pStyle w:val="Textpoznpodarou"/>
              <w:jc w:val="both"/>
              <w:rPr>
                <w:spacing w:val="-4"/>
                <w:lang w:val="en-GB"/>
              </w:rPr>
            </w:pPr>
          </w:p>
        </w:tc>
        <w:tc>
          <w:tcPr>
            <w:tcW w:w="7610" w:type="dxa"/>
            <w:shd w:val="clear" w:color="auto" w:fill="auto"/>
            <w:tcMar>
              <w:left w:w="0" w:type="dxa"/>
            </w:tcMar>
          </w:tcPr>
          <w:p w:rsidR="0019196C" w:rsidRPr="00A6092A" w:rsidRDefault="00841FC4" w:rsidP="00841FC4">
            <w:pPr>
              <w:spacing w:after="0"/>
              <w:rPr>
                <w:spacing w:val="-4"/>
                <w:szCs w:val="20"/>
                <w:lang w:val="en-GB"/>
              </w:rPr>
            </w:pPr>
            <w:r w:rsidRPr="00A6092A">
              <w:rPr>
                <w:rFonts w:cs="Arial"/>
                <w:b/>
                <w:bCs/>
                <w:color w:val="000000"/>
                <w:szCs w:val="20"/>
                <w:lang w:val="en-GB"/>
              </w:rPr>
              <w:t>Chart</w:t>
            </w:r>
            <w:r w:rsidR="006B16EF" w:rsidRPr="00A6092A">
              <w:rPr>
                <w:rFonts w:cs="Arial"/>
                <w:b/>
                <w:bCs/>
                <w:color w:val="000000"/>
                <w:szCs w:val="20"/>
                <w:lang w:val="en-GB"/>
              </w:rPr>
              <w:t xml:space="preserve"> 9</w:t>
            </w:r>
            <w:r w:rsidRPr="00A6092A">
              <w:rPr>
                <w:rFonts w:cs="Arial"/>
                <w:b/>
                <w:bCs/>
                <w:color w:val="000000"/>
                <w:szCs w:val="20"/>
                <w:lang w:val="en-GB"/>
              </w:rPr>
              <w:t xml:space="preserve"> Balance</w:t>
            </w:r>
            <w:r w:rsidRPr="00A6092A">
              <w:rPr>
                <w:b/>
                <w:spacing w:val="-4"/>
                <w:szCs w:val="20"/>
                <w:lang w:val="en-GB"/>
              </w:rPr>
              <w:t xml:space="preserve"> of foreign trade* in foreign trade statistics </w:t>
            </w:r>
            <w:r w:rsidRPr="00A6092A">
              <w:rPr>
                <w:spacing w:val="-4"/>
                <w:szCs w:val="20"/>
                <w:lang w:val="en-GB"/>
              </w:rPr>
              <w:t>(accumulation of the first half-year, in CZK bn, selected divisions of the CZ-CPA classification)</w:t>
            </w:r>
          </w:p>
        </w:tc>
      </w:tr>
      <w:tr w:rsidR="0019196C" w:rsidRPr="00A17559" w:rsidTr="00347BDC">
        <w:tblPrEx>
          <w:tblCellMar>
            <w:left w:w="70" w:type="dxa"/>
            <w:right w:w="70" w:type="dxa"/>
          </w:tblCellMar>
        </w:tblPrEx>
        <w:trPr>
          <w:trHeight w:val="106"/>
        </w:trPr>
        <w:tc>
          <w:tcPr>
            <w:tcW w:w="1801" w:type="dxa"/>
            <w:vMerge/>
            <w:shd w:val="clear" w:color="auto" w:fill="auto"/>
          </w:tcPr>
          <w:p w:rsidR="0019196C" w:rsidRPr="00A17559" w:rsidRDefault="0019196C" w:rsidP="0019196C">
            <w:pPr>
              <w:pStyle w:val="Marginlie"/>
              <w:rPr>
                <w:lang w:val="en-GB"/>
              </w:rPr>
            </w:pPr>
          </w:p>
        </w:tc>
        <w:tc>
          <w:tcPr>
            <w:tcW w:w="228" w:type="dxa"/>
            <w:vMerge/>
            <w:shd w:val="clear" w:color="auto" w:fill="auto"/>
          </w:tcPr>
          <w:p w:rsidR="0019196C" w:rsidRPr="00A17559" w:rsidRDefault="0019196C" w:rsidP="0019196C">
            <w:pPr>
              <w:pStyle w:val="Textpoznpodarou"/>
              <w:jc w:val="both"/>
              <w:rPr>
                <w:spacing w:val="-4"/>
                <w:lang w:val="en-GB"/>
              </w:rPr>
            </w:pPr>
          </w:p>
        </w:tc>
        <w:tc>
          <w:tcPr>
            <w:tcW w:w="7610" w:type="dxa"/>
            <w:shd w:val="clear" w:color="auto" w:fill="auto"/>
          </w:tcPr>
          <w:p w:rsidR="0019196C" w:rsidRPr="00A17559" w:rsidRDefault="00347BDC" w:rsidP="0019196C">
            <w:pPr>
              <w:spacing w:after="0"/>
              <w:rPr>
                <w:spacing w:val="-4"/>
                <w:lang w:val="en-GB"/>
              </w:rPr>
            </w:pPr>
            <w:r>
              <w:rPr>
                <w:noProof/>
              </w:rPr>
              <w:drawing>
                <wp:inline distT="0" distB="0" distL="0" distR="0" wp14:anchorId="51FCF45C" wp14:editId="331A4A31">
                  <wp:extent cx="4737600" cy="3553200"/>
                  <wp:effectExtent l="0" t="0" r="6350" b="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19196C" w:rsidRPr="00A17559" w:rsidTr="000A212B">
        <w:trPr>
          <w:trHeight w:val="106"/>
        </w:trPr>
        <w:tc>
          <w:tcPr>
            <w:tcW w:w="1801" w:type="dxa"/>
            <w:vMerge/>
            <w:shd w:val="clear" w:color="auto" w:fill="auto"/>
            <w:tcMar>
              <w:left w:w="0" w:type="dxa"/>
            </w:tcMar>
          </w:tcPr>
          <w:p w:rsidR="0019196C" w:rsidRPr="00A17559" w:rsidRDefault="0019196C" w:rsidP="0019196C">
            <w:pPr>
              <w:pStyle w:val="Marginlie"/>
              <w:rPr>
                <w:lang w:val="en-GB"/>
              </w:rPr>
            </w:pPr>
          </w:p>
        </w:tc>
        <w:tc>
          <w:tcPr>
            <w:tcW w:w="228" w:type="dxa"/>
            <w:vMerge/>
            <w:shd w:val="clear" w:color="auto" w:fill="auto"/>
            <w:tcMar>
              <w:left w:w="0" w:type="dxa"/>
            </w:tcMar>
          </w:tcPr>
          <w:p w:rsidR="0019196C" w:rsidRPr="00A17559" w:rsidRDefault="0019196C" w:rsidP="0019196C">
            <w:pPr>
              <w:pStyle w:val="Textpoznpodarou"/>
              <w:jc w:val="both"/>
              <w:rPr>
                <w:spacing w:val="-4"/>
                <w:lang w:val="en-GB"/>
              </w:rPr>
            </w:pPr>
          </w:p>
        </w:tc>
        <w:tc>
          <w:tcPr>
            <w:tcW w:w="7610" w:type="dxa"/>
            <w:shd w:val="clear" w:color="auto" w:fill="auto"/>
            <w:tcMar>
              <w:left w:w="0" w:type="dxa"/>
            </w:tcMar>
          </w:tcPr>
          <w:p w:rsidR="00891CEA" w:rsidRPr="00A17559" w:rsidRDefault="00891CEA" w:rsidP="00347BDC">
            <w:pPr>
              <w:spacing w:after="0"/>
              <w:rPr>
                <w:spacing w:val="-4"/>
                <w:lang w:val="en-GB"/>
              </w:rPr>
            </w:pPr>
            <w:r w:rsidRPr="00A17559">
              <w:rPr>
                <w:sz w:val="14"/>
                <w:szCs w:val="14"/>
                <w:lang w:val="en-GB"/>
              </w:rPr>
              <w:t>Source</w:t>
            </w:r>
            <w:r w:rsidR="0019196C" w:rsidRPr="00A17559">
              <w:rPr>
                <w:sz w:val="14"/>
                <w:szCs w:val="14"/>
                <w:lang w:val="en-GB"/>
              </w:rPr>
              <w:t>:</w:t>
            </w:r>
            <w:r w:rsidRPr="00A17559">
              <w:rPr>
                <w:sz w:val="14"/>
                <w:szCs w:val="14"/>
                <w:lang w:val="en-GB"/>
              </w:rPr>
              <w:t xml:space="preserve"> CZSO</w:t>
            </w:r>
            <w:r w:rsidR="00347BDC">
              <w:rPr>
                <w:sz w:val="14"/>
                <w:szCs w:val="14"/>
                <w:lang w:val="en-GB"/>
              </w:rPr>
              <w:t xml:space="preserve">                                                                                                                                        </w:t>
            </w:r>
            <w:r w:rsidR="0019196C" w:rsidRPr="00A17559">
              <w:rPr>
                <w:sz w:val="14"/>
                <w:szCs w:val="14"/>
                <w:lang w:val="en-GB"/>
              </w:rPr>
              <w:t>*</w:t>
            </w:r>
            <w:r w:rsidRPr="00A17559">
              <w:rPr>
                <w:sz w:val="14"/>
                <w:szCs w:val="14"/>
                <w:lang w:val="en-GB"/>
              </w:rPr>
              <w:t>in national conception</w:t>
            </w:r>
          </w:p>
        </w:tc>
      </w:tr>
      <w:tr w:rsidR="00E343C7" w:rsidRPr="00A17559" w:rsidTr="000A212B">
        <w:trPr>
          <w:trHeight w:val="106"/>
        </w:trPr>
        <w:tc>
          <w:tcPr>
            <w:tcW w:w="1801" w:type="dxa"/>
            <w:shd w:val="clear" w:color="auto" w:fill="auto"/>
            <w:tcMar>
              <w:left w:w="0" w:type="dxa"/>
            </w:tcMar>
          </w:tcPr>
          <w:p w:rsidR="00E343C7" w:rsidRPr="00A17559" w:rsidRDefault="00E343C7" w:rsidP="0019196C">
            <w:pPr>
              <w:pStyle w:val="Marginlie"/>
              <w:rPr>
                <w:lang w:val="en-GB"/>
              </w:rPr>
            </w:pPr>
          </w:p>
        </w:tc>
        <w:tc>
          <w:tcPr>
            <w:tcW w:w="228" w:type="dxa"/>
            <w:shd w:val="clear" w:color="auto" w:fill="auto"/>
            <w:tcMar>
              <w:left w:w="0" w:type="dxa"/>
            </w:tcMar>
          </w:tcPr>
          <w:p w:rsidR="00E343C7" w:rsidRPr="00A17559" w:rsidRDefault="00E343C7" w:rsidP="0019196C">
            <w:pPr>
              <w:pStyle w:val="Textpoznpodarou"/>
              <w:jc w:val="both"/>
              <w:rPr>
                <w:spacing w:val="-4"/>
                <w:lang w:val="en-GB"/>
              </w:rPr>
            </w:pPr>
          </w:p>
        </w:tc>
        <w:tc>
          <w:tcPr>
            <w:tcW w:w="7610" w:type="dxa"/>
            <w:shd w:val="clear" w:color="auto" w:fill="auto"/>
            <w:tcMar>
              <w:left w:w="0" w:type="dxa"/>
            </w:tcMar>
          </w:tcPr>
          <w:p w:rsidR="00E343C7" w:rsidRPr="00A17559" w:rsidRDefault="00E343C7" w:rsidP="00347BDC">
            <w:pPr>
              <w:spacing w:after="0"/>
              <w:rPr>
                <w:sz w:val="14"/>
                <w:szCs w:val="14"/>
                <w:lang w:val="en-GB"/>
              </w:rPr>
            </w:pPr>
          </w:p>
        </w:tc>
      </w:tr>
    </w:tbl>
    <w:p w:rsidR="000D3058" w:rsidRPr="00A17559" w:rsidRDefault="004A5D4E" w:rsidP="000D3058">
      <w:pPr>
        <w:pStyle w:val="Nadpis11"/>
        <w:rPr>
          <w:lang w:val="en-GB"/>
        </w:rPr>
      </w:pPr>
      <w:bookmarkStart w:id="8" w:name="_Toc511215218"/>
      <w:bookmarkStart w:id="9" w:name="_Toc19179084"/>
      <w:bookmarkEnd w:id="8"/>
      <w:r w:rsidRPr="00A17559">
        <w:rPr>
          <w:lang w:val="en-GB"/>
        </w:rPr>
        <w:t>5. </w:t>
      </w:r>
      <w:r w:rsidR="00DB3419" w:rsidRPr="00A17559">
        <w:rPr>
          <w:lang w:val="en-GB"/>
        </w:rPr>
        <w:t>Prices</w:t>
      </w:r>
      <w:bookmarkEnd w:id="9"/>
    </w:p>
    <w:tbl>
      <w:tblPr>
        <w:tblW w:w="9639" w:type="dxa"/>
        <w:tblInd w:w="-15" w:type="dxa"/>
        <w:tblCellMar>
          <w:left w:w="0" w:type="dxa"/>
          <w:right w:w="0" w:type="dxa"/>
        </w:tblCellMar>
        <w:tblLook w:val="00A0" w:firstRow="1" w:lastRow="0" w:firstColumn="1" w:lastColumn="0" w:noHBand="0" w:noVBand="0"/>
      </w:tblPr>
      <w:tblGrid>
        <w:gridCol w:w="1805"/>
        <w:gridCol w:w="224"/>
        <w:gridCol w:w="7610"/>
      </w:tblGrid>
      <w:tr w:rsidR="00747EE9" w:rsidRPr="00A17559" w:rsidTr="00747EE9">
        <w:trPr>
          <w:trHeight w:val="145"/>
        </w:trPr>
        <w:tc>
          <w:tcPr>
            <w:tcW w:w="1805" w:type="dxa"/>
            <w:shd w:val="clear" w:color="auto" w:fill="auto"/>
            <w:tcMar>
              <w:left w:w="0" w:type="dxa"/>
            </w:tcMar>
          </w:tcPr>
          <w:p w:rsidR="00747EE9" w:rsidRPr="00A17559" w:rsidRDefault="00DB3419" w:rsidP="00DB3419">
            <w:pPr>
              <w:pStyle w:val="Marginlie"/>
              <w:rPr>
                <w:spacing w:val="0"/>
                <w:lang w:val="en-GB"/>
              </w:rPr>
            </w:pPr>
            <w:r w:rsidRPr="00A17559">
              <w:rPr>
                <w:spacing w:val="0"/>
                <w:lang w:val="en-GB"/>
              </w:rPr>
              <w:t>Growth of total price level accelerated in Q</w:t>
            </w:r>
            <w:r w:rsidR="00747EE9" w:rsidRPr="00A17559">
              <w:rPr>
                <w:spacing w:val="0"/>
                <w:lang w:val="en-GB"/>
              </w:rPr>
              <w:t>2</w:t>
            </w:r>
            <w:r w:rsidR="004A5D4E" w:rsidRPr="00A17559">
              <w:rPr>
                <w:spacing w:val="0"/>
                <w:lang w:val="en-GB"/>
              </w:rPr>
              <w:t>.</w:t>
            </w:r>
          </w:p>
        </w:tc>
        <w:tc>
          <w:tcPr>
            <w:tcW w:w="224" w:type="dxa"/>
            <w:shd w:val="clear" w:color="auto" w:fill="auto"/>
            <w:tcMar>
              <w:left w:w="0" w:type="dxa"/>
            </w:tcMar>
          </w:tcPr>
          <w:p w:rsidR="00747EE9" w:rsidRPr="00A17559" w:rsidRDefault="00747EE9" w:rsidP="00747EE9">
            <w:pPr>
              <w:pStyle w:val="Textpoznpodarou1"/>
              <w:jc w:val="both"/>
              <w:rPr>
                <w:lang w:val="en-GB"/>
              </w:rPr>
            </w:pPr>
          </w:p>
        </w:tc>
        <w:tc>
          <w:tcPr>
            <w:tcW w:w="7610" w:type="dxa"/>
            <w:shd w:val="clear" w:color="auto" w:fill="auto"/>
            <w:tcMar>
              <w:left w:w="0" w:type="dxa"/>
            </w:tcMar>
          </w:tcPr>
          <w:p w:rsidR="00747EE9" w:rsidRPr="00A17559" w:rsidRDefault="00DB3419" w:rsidP="00986B72">
            <w:pPr>
              <w:rPr>
                <w:szCs w:val="20"/>
                <w:lang w:val="en-GB"/>
              </w:rPr>
            </w:pPr>
            <w:r w:rsidRPr="00A17559">
              <w:rPr>
                <w:szCs w:val="20"/>
                <w:lang w:val="en-GB"/>
              </w:rPr>
              <w:t>Total year-on-year increase of total price level in the economy (gauged by the GDP deflator) arrived at 3.5% in Q</w:t>
            </w:r>
            <w:r w:rsidR="00747EE9" w:rsidRPr="00A17559">
              <w:rPr>
                <w:szCs w:val="20"/>
                <w:lang w:val="en-GB"/>
              </w:rPr>
              <w:t>2</w:t>
            </w:r>
            <w:r w:rsidRPr="00A17559">
              <w:rPr>
                <w:szCs w:val="20"/>
                <w:lang w:val="en-GB"/>
              </w:rPr>
              <w:t xml:space="preserve"> </w:t>
            </w:r>
            <w:r w:rsidR="00747EE9" w:rsidRPr="00A17559">
              <w:rPr>
                <w:szCs w:val="20"/>
                <w:lang w:val="en-GB"/>
              </w:rPr>
              <w:t>2019</w:t>
            </w:r>
            <w:r w:rsidRPr="00A17559">
              <w:rPr>
                <w:szCs w:val="20"/>
                <w:lang w:val="en-GB"/>
              </w:rPr>
              <w:t>, the most since Q</w:t>
            </w:r>
            <w:r w:rsidR="00747EE9" w:rsidRPr="00A17559">
              <w:rPr>
                <w:szCs w:val="20"/>
                <w:lang w:val="en-GB"/>
              </w:rPr>
              <w:t>1</w:t>
            </w:r>
            <w:r w:rsidRPr="00A17559">
              <w:rPr>
                <w:szCs w:val="20"/>
                <w:lang w:val="en-GB"/>
              </w:rPr>
              <w:t xml:space="preserve"> </w:t>
            </w:r>
            <w:r w:rsidR="00747EE9" w:rsidRPr="00A17559">
              <w:rPr>
                <w:szCs w:val="20"/>
                <w:lang w:val="en-GB"/>
              </w:rPr>
              <w:t>200</w:t>
            </w:r>
            <w:r w:rsidR="004A5D4E" w:rsidRPr="00A17559">
              <w:rPr>
                <w:szCs w:val="20"/>
                <w:lang w:val="en-GB"/>
              </w:rPr>
              <w:t>9.</w:t>
            </w:r>
            <w:r w:rsidR="00066558" w:rsidRPr="00A17559">
              <w:rPr>
                <w:szCs w:val="20"/>
                <w:lang w:val="en-GB"/>
              </w:rPr>
              <w:t xml:space="preserve"> </w:t>
            </w:r>
            <w:r w:rsidR="005B4DBA" w:rsidRPr="00A17559">
              <w:rPr>
                <w:szCs w:val="20"/>
                <w:lang w:val="en-GB"/>
              </w:rPr>
              <w:t xml:space="preserve">Domestic demand mostly shared in the growth of the price level. Prices of consumption goods grew by </w:t>
            </w:r>
            <w:r w:rsidR="00747EE9" w:rsidRPr="00A17559">
              <w:rPr>
                <w:szCs w:val="20"/>
                <w:lang w:val="en-GB"/>
              </w:rPr>
              <w:t>3</w:t>
            </w:r>
            <w:r w:rsidR="005B4DBA" w:rsidRPr="00A17559">
              <w:rPr>
                <w:szCs w:val="20"/>
                <w:lang w:val="en-GB"/>
              </w:rPr>
              <w:t>.</w:t>
            </w:r>
            <w:r w:rsidR="00747EE9" w:rsidRPr="00A17559">
              <w:rPr>
                <w:szCs w:val="20"/>
                <w:lang w:val="en-GB"/>
              </w:rPr>
              <w:t>8</w:t>
            </w:r>
            <w:r w:rsidR="00403F57" w:rsidRPr="00A17559">
              <w:rPr>
                <w:szCs w:val="20"/>
                <w:lang w:val="en-GB"/>
              </w:rPr>
              <w:t>%</w:t>
            </w:r>
            <w:r w:rsidR="00747EE9" w:rsidRPr="00A17559">
              <w:rPr>
                <w:szCs w:val="20"/>
                <w:lang w:val="en-GB"/>
              </w:rPr>
              <w:t xml:space="preserve">, </w:t>
            </w:r>
            <w:r w:rsidR="005B4DBA" w:rsidRPr="00A17559">
              <w:rPr>
                <w:szCs w:val="20"/>
                <w:lang w:val="en-GB"/>
              </w:rPr>
              <w:t xml:space="preserve">in that it was 3.0% for household consumption and goods and services consumed by the government sector featured prices higher by </w:t>
            </w:r>
            <w:r w:rsidR="00747EE9" w:rsidRPr="00A17559">
              <w:rPr>
                <w:szCs w:val="20"/>
                <w:lang w:val="en-GB"/>
              </w:rPr>
              <w:t>5</w:t>
            </w:r>
            <w:r w:rsidR="005B4DBA" w:rsidRPr="00A17559">
              <w:rPr>
                <w:szCs w:val="20"/>
                <w:lang w:val="en-GB"/>
              </w:rPr>
              <w:t>.</w:t>
            </w:r>
            <w:r w:rsidR="00747EE9" w:rsidRPr="00A17559">
              <w:rPr>
                <w:szCs w:val="20"/>
                <w:lang w:val="en-GB"/>
              </w:rPr>
              <w:t>6</w:t>
            </w:r>
            <w:r w:rsidR="00403F57" w:rsidRPr="00A17559">
              <w:rPr>
                <w:szCs w:val="20"/>
                <w:lang w:val="en-GB"/>
              </w:rPr>
              <w:t>%</w:t>
            </w:r>
            <w:r w:rsidR="00747EE9" w:rsidRPr="00A17559">
              <w:rPr>
                <w:szCs w:val="20"/>
                <w:lang w:val="en-GB"/>
              </w:rPr>
              <w:t xml:space="preserve">. </w:t>
            </w:r>
            <w:r w:rsidR="005B4DBA" w:rsidRPr="00A17559">
              <w:rPr>
                <w:szCs w:val="20"/>
                <w:lang w:val="en-GB"/>
              </w:rPr>
              <w:t xml:space="preserve">Prices of capital goods rose by 2.6% year-on-year. Terms of trade move close around the level of 100% since the beginning of year 2019. They amounted to </w:t>
            </w:r>
            <w:r w:rsidR="00747EE9" w:rsidRPr="00A17559">
              <w:rPr>
                <w:szCs w:val="20"/>
                <w:lang w:val="en-GB"/>
              </w:rPr>
              <w:t>100</w:t>
            </w:r>
            <w:r w:rsidR="005B4DBA" w:rsidRPr="00A17559">
              <w:rPr>
                <w:szCs w:val="20"/>
                <w:lang w:val="en-GB"/>
              </w:rPr>
              <w:t>.</w:t>
            </w:r>
            <w:r w:rsidR="00747EE9" w:rsidRPr="00A17559">
              <w:rPr>
                <w:szCs w:val="20"/>
                <w:lang w:val="en-GB"/>
              </w:rPr>
              <w:t>3%</w:t>
            </w:r>
            <w:r w:rsidR="0011038E" w:rsidRPr="00A17559">
              <w:rPr>
                <w:rStyle w:val="Znakapoznpodarou"/>
                <w:szCs w:val="20"/>
                <w:lang w:val="en-GB"/>
              </w:rPr>
              <w:footnoteReference w:id="39"/>
            </w:r>
            <w:r w:rsidR="005B4DBA" w:rsidRPr="00A17559">
              <w:rPr>
                <w:szCs w:val="20"/>
                <w:lang w:val="en-GB"/>
              </w:rPr>
              <w:t xml:space="preserve"> in Q2</w:t>
            </w:r>
            <w:r w:rsidR="00747EE9" w:rsidRPr="00A17559">
              <w:rPr>
                <w:szCs w:val="20"/>
                <w:lang w:val="en-GB"/>
              </w:rPr>
              <w:t>.</w:t>
            </w:r>
          </w:p>
        </w:tc>
      </w:tr>
      <w:tr w:rsidR="00747EE9" w:rsidRPr="00A17559" w:rsidTr="00747EE9">
        <w:trPr>
          <w:trHeight w:val="145"/>
        </w:trPr>
        <w:tc>
          <w:tcPr>
            <w:tcW w:w="1805" w:type="dxa"/>
            <w:shd w:val="clear" w:color="auto" w:fill="auto"/>
            <w:tcMar>
              <w:left w:w="0" w:type="dxa"/>
            </w:tcMar>
          </w:tcPr>
          <w:p w:rsidR="00747EE9" w:rsidRPr="00A17559" w:rsidRDefault="00DB3419" w:rsidP="00AA2C80">
            <w:pPr>
              <w:pStyle w:val="Marginlie"/>
              <w:rPr>
                <w:spacing w:val="0"/>
                <w:lang w:val="en-GB"/>
              </w:rPr>
            </w:pPr>
            <w:r w:rsidRPr="00A17559">
              <w:rPr>
                <w:spacing w:val="0"/>
                <w:lang w:val="en-GB"/>
              </w:rPr>
              <w:t>Consumer prices</w:t>
            </w:r>
            <w:r w:rsidR="00AA2C80" w:rsidRPr="00A17559">
              <w:rPr>
                <w:spacing w:val="0"/>
                <w:lang w:val="en-GB"/>
              </w:rPr>
              <w:t xml:space="preserve"> grew by more than 2% pace in the whole H1</w:t>
            </w:r>
            <w:r w:rsidR="00747EE9" w:rsidRPr="00A17559">
              <w:rPr>
                <w:spacing w:val="0"/>
                <w:lang w:val="en-GB"/>
              </w:rPr>
              <w:t>.</w:t>
            </w:r>
          </w:p>
        </w:tc>
        <w:tc>
          <w:tcPr>
            <w:tcW w:w="224" w:type="dxa"/>
            <w:shd w:val="clear" w:color="auto" w:fill="auto"/>
            <w:tcMar>
              <w:left w:w="0" w:type="dxa"/>
            </w:tcMar>
          </w:tcPr>
          <w:p w:rsidR="00747EE9" w:rsidRPr="00A17559" w:rsidRDefault="00747EE9" w:rsidP="00747EE9">
            <w:pPr>
              <w:pStyle w:val="Textpoznpodarou1"/>
              <w:jc w:val="both"/>
              <w:rPr>
                <w:highlight w:val="yellow"/>
                <w:lang w:val="en-GB"/>
              </w:rPr>
            </w:pPr>
          </w:p>
        </w:tc>
        <w:tc>
          <w:tcPr>
            <w:tcW w:w="7610" w:type="dxa"/>
            <w:shd w:val="clear" w:color="auto" w:fill="auto"/>
            <w:tcMar>
              <w:left w:w="0" w:type="dxa"/>
            </w:tcMar>
          </w:tcPr>
          <w:p w:rsidR="00747EE9" w:rsidRPr="00A17559" w:rsidRDefault="00516789" w:rsidP="00A5162C">
            <w:pPr>
              <w:rPr>
                <w:highlight w:val="yellow"/>
                <w:lang w:val="en-GB"/>
              </w:rPr>
            </w:pPr>
            <w:r w:rsidRPr="00A17559">
              <w:rPr>
                <w:lang w:val="en-GB"/>
              </w:rPr>
              <w:t xml:space="preserve">Year-on-year growth of the consumer price index </w:t>
            </w:r>
            <w:r w:rsidR="00A5162C" w:rsidRPr="00A17559">
              <w:rPr>
                <w:lang w:val="en-GB"/>
              </w:rPr>
              <w:t>balanced markedly above the two percent level in H</w:t>
            </w:r>
            <w:r w:rsidR="004A5D4E" w:rsidRPr="00A17559">
              <w:rPr>
                <w:lang w:val="en-GB"/>
              </w:rPr>
              <w:t>1</w:t>
            </w:r>
            <w:r w:rsidR="00A5162C" w:rsidRPr="00A17559">
              <w:rPr>
                <w:lang w:val="en-GB"/>
              </w:rPr>
              <w:t xml:space="preserve"> </w:t>
            </w:r>
            <w:r w:rsidR="00747EE9" w:rsidRPr="00A17559">
              <w:rPr>
                <w:lang w:val="en-GB"/>
              </w:rPr>
              <w:t>2019</w:t>
            </w:r>
            <w:r w:rsidR="00A5162C" w:rsidRPr="00A17559">
              <w:rPr>
                <w:lang w:val="en-GB"/>
              </w:rPr>
              <w:t xml:space="preserve">. Compared to the same period of the last year, the consumer prices climbed by </w:t>
            </w:r>
            <w:r w:rsidR="00747EE9" w:rsidRPr="00A17559">
              <w:rPr>
                <w:lang w:val="en-GB"/>
              </w:rPr>
              <w:t>2</w:t>
            </w:r>
            <w:r w:rsidR="00A5162C" w:rsidRPr="00A17559">
              <w:rPr>
                <w:lang w:val="en-GB"/>
              </w:rPr>
              <w:t>.</w:t>
            </w:r>
            <w:r w:rsidR="00747EE9" w:rsidRPr="00A17559">
              <w:rPr>
                <w:lang w:val="en-GB"/>
              </w:rPr>
              <w:t>8</w:t>
            </w:r>
            <w:r w:rsidR="00403F57" w:rsidRPr="00A17559">
              <w:rPr>
                <w:lang w:val="en-GB"/>
              </w:rPr>
              <w:t>%</w:t>
            </w:r>
            <w:r w:rsidR="00747EE9" w:rsidRPr="00A17559">
              <w:rPr>
                <w:lang w:val="en-GB"/>
              </w:rPr>
              <w:t xml:space="preserve">. </w:t>
            </w:r>
            <w:r w:rsidR="00A5162C" w:rsidRPr="00A17559">
              <w:rPr>
                <w:lang w:val="en-GB"/>
              </w:rPr>
              <w:t>The division housing, water, energies, fuels maintained the largest influence over the price dynamics throughout the whole H1</w:t>
            </w:r>
            <w:r w:rsidR="004A5D4E" w:rsidRPr="00A17559">
              <w:rPr>
                <w:lang w:val="en-GB"/>
              </w:rPr>
              <w:t>.</w:t>
            </w:r>
            <w:r w:rsidR="00A5162C" w:rsidRPr="00A17559">
              <w:rPr>
                <w:lang w:val="en-GB"/>
              </w:rPr>
              <w:t xml:space="preserve"> Prices of food and non-alcoholic beverages and also the division other goods and services contributed to the growth more significantly. Divisions alcoholic beverages and tobacco and accommodation and restaurants also exerted a smaller contribution. Consumer prices rose by 2.8% in Q2 itself. Effect of prices of housing, water, energies and fuels and also food strengthened in Q</w:t>
            </w:r>
            <w:r w:rsidR="004A5D4E" w:rsidRPr="00A17559">
              <w:rPr>
                <w:lang w:val="en-GB"/>
              </w:rPr>
              <w:t>2.</w:t>
            </w:r>
            <w:r w:rsidR="00A5162C" w:rsidRPr="00A17559">
              <w:rPr>
                <w:lang w:val="en-GB"/>
              </w:rPr>
              <w:t xml:space="preserve"> </w:t>
            </w:r>
          </w:p>
        </w:tc>
      </w:tr>
      <w:tr w:rsidR="00747EE9" w:rsidRPr="00A17559" w:rsidTr="00747EE9">
        <w:trPr>
          <w:trHeight w:val="145"/>
        </w:trPr>
        <w:tc>
          <w:tcPr>
            <w:tcW w:w="1805" w:type="dxa"/>
            <w:shd w:val="clear" w:color="auto" w:fill="auto"/>
            <w:tcMar>
              <w:left w:w="0" w:type="dxa"/>
            </w:tcMar>
          </w:tcPr>
          <w:p w:rsidR="00747EE9" w:rsidRPr="00A17559" w:rsidRDefault="002A5E26" w:rsidP="002A5E26">
            <w:pPr>
              <w:pStyle w:val="Marginlie"/>
              <w:rPr>
                <w:spacing w:val="0"/>
                <w:lang w:val="en-GB"/>
              </w:rPr>
            </w:pPr>
            <w:r w:rsidRPr="00A17559">
              <w:rPr>
                <w:spacing w:val="0"/>
                <w:lang w:val="en-GB"/>
              </w:rPr>
              <w:t>Housing maintain</w:t>
            </w:r>
            <w:r w:rsidR="006F4866" w:rsidRPr="00A17559">
              <w:rPr>
                <w:spacing w:val="0"/>
                <w:lang w:val="en-GB"/>
              </w:rPr>
              <w:t>ed</w:t>
            </w:r>
            <w:r w:rsidRPr="00A17559">
              <w:rPr>
                <w:spacing w:val="0"/>
                <w:lang w:val="en-GB"/>
              </w:rPr>
              <w:t xml:space="preserve"> a dominant influence on the total growth. </w:t>
            </w:r>
          </w:p>
        </w:tc>
        <w:tc>
          <w:tcPr>
            <w:tcW w:w="224" w:type="dxa"/>
            <w:shd w:val="clear" w:color="auto" w:fill="auto"/>
            <w:tcMar>
              <w:left w:w="0" w:type="dxa"/>
            </w:tcMar>
          </w:tcPr>
          <w:p w:rsidR="00747EE9" w:rsidRPr="00A17559" w:rsidRDefault="00747EE9" w:rsidP="00747EE9">
            <w:pPr>
              <w:pStyle w:val="Textpoznpodarou1"/>
              <w:jc w:val="both"/>
              <w:rPr>
                <w:highlight w:val="yellow"/>
                <w:lang w:val="en-GB"/>
              </w:rPr>
            </w:pPr>
          </w:p>
        </w:tc>
        <w:tc>
          <w:tcPr>
            <w:tcW w:w="7610" w:type="dxa"/>
            <w:shd w:val="clear" w:color="auto" w:fill="auto"/>
            <w:tcMar>
              <w:left w:w="0" w:type="dxa"/>
            </w:tcMar>
          </w:tcPr>
          <w:p w:rsidR="00747EE9" w:rsidRPr="00A17559" w:rsidRDefault="00A5162C" w:rsidP="006F4866">
            <w:pPr>
              <w:rPr>
                <w:lang w:val="en-GB"/>
              </w:rPr>
            </w:pPr>
            <w:r w:rsidRPr="00A17559">
              <w:rPr>
                <w:lang w:val="en-GB"/>
              </w:rPr>
              <w:t xml:space="preserve">Prices of housing, water, energies and </w:t>
            </w:r>
            <w:r w:rsidR="00CA7432" w:rsidRPr="00A17559">
              <w:rPr>
                <w:lang w:val="en-GB"/>
              </w:rPr>
              <w:t>fuels</w:t>
            </w:r>
            <w:r w:rsidRPr="00A17559">
              <w:rPr>
                <w:lang w:val="en-GB"/>
              </w:rPr>
              <w:t xml:space="preserve"> grew by 5.6% year-on-year in H1. </w:t>
            </w:r>
            <w:r w:rsidR="00F67C31" w:rsidRPr="00A17559">
              <w:rPr>
                <w:lang w:val="en-GB"/>
              </w:rPr>
              <w:t xml:space="preserve">Year-on-year dynamics sharply accelerated since the beginning of the year and peaked in March. </w:t>
            </w:r>
            <w:r w:rsidR="00B75B39" w:rsidRPr="00A17559">
              <w:rPr>
                <w:lang w:val="en-GB"/>
              </w:rPr>
              <w:t xml:space="preserve">In Q2, however, it still maintained a high level. Year-on-year growth of the </w:t>
            </w:r>
            <w:r w:rsidR="00CA7432" w:rsidRPr="00A17559">
              <w:rPr>
                <w:lang w:val="en-GB"/>
              </w:rPr>
              <w:t xml:space="preserve">rents from flats mildly strengthened </w:t>
            </w:r>
            <w:r w:rsidR="00747EE9" w:rsidRPr="00A17559">
              <w:rPr>
                <w:lang w:val="en-GB"/>
              </w:rPr>
              <w:t>(3</w:t>
            </w:r>
            <w:r w:rsidR="00CA7432" w:rsidRPr="00A17559">
              <w:rPr>
                <w:lang w:val="en-GB"/>
              </w:rPr>
              <w:t>.</w:t>
            </w:r>
            <w:r w:rsidR="00747EE9" w:rsidRPr="00A17559">
              <w:rPr>
                <w:lang w:val="en-GB"/>
              </w:rPr>
              <w:t>6</w:t>
            </w:r>
            <w:r w:rsidR="00403F57" w:rsidRPr="00A17559">
              <w:rPr>
                <w:lang w:val="en-GB"/>
              </w:rPr>
              <w:t>%</w:t>
            </w:r>
            <w:r w:rsidR="00747EE9" w:rsidRPr="00A17559">
              <w:rPr>
                <w:lang w:val="en-GB"/>
              </w:rPr>
              <w:t>)</w:t>
            </w:r>
            <w:r w:rsidR="00CA7432" w:rsidRPr="00A17559">
              <w:rPr>
                <w:lang w:val="en-GB"/>
              </w:rPr>
              <w:t xml:space="preserve"> in H1 compared to last year</w:t>
            </w:r>
            <w:r w:rsidR="00747EE9" w:rsidRPr="00A17559">
              <w:rPr>
                <w:lang w:val="en-GB"/>
              </w:rPr>
              <w:t xml:space="preserve">. </w:t>
            </w:r>
            <w:r w:rsidR="009C15A4" w:rsidRPr="00A17559">
              <w:rPr>
                <w:lang w:val="en-GB"/>
              </w:rPr>
              <w:t xml:space="preserve">The imputed </w:t>
            </w:r>
            <w:r w:rsidR="009C15A4" w:rsidRPr="00A17559">
              <w:rPr>
                <w:lang w:val="en-GB"/>
              </w:rPr>
              <w:lastRenderedPageBreak/>
              <w:t xml:space="preserve">rent for housing (5.7%) as well as prices of common maintenance and repair of household goods </w:t>
            </w:r>
            <w:r w:rsidR="00747EE9" w:rsidRPr="00A17559">
              <w:rPr>
                <w:lang w:val="en-GB"/>
              </w:rPr>
              <w:t>(4</w:t>
            </w:r>
            <w:r w:rsidR="009C15A4" w:rsidRPr="00A17559">
              <w:rPr>
                <w:lang w:val="en-GB"/>
              </w:rPr>
              <w:t>.</w:t>
            </w:r>
            <w:r w:rsidR="00747EE9" w:rsidRPr="00A17559">
              <w:rPr>
                <w:lang w:val="en-GB"/>
              </w:rPr>
              <w:t>9</w:t>
            </w:r>
            <w:r w:rsidR="00403F57" w:rsidRPr="00A17559">
              <w:rPr>
                <w:lang w:val="en-GB"/>
              </w:rPr>
              <w:t>%</w:t>
            </w:r>
            <w:r w:rsidR="00747EE9" w:rsidRPr="00A17559">
              <w:rPr>
                <w:lang w:val="en-GB"/>
              </w:rPr>
              <w:t>)</w:t>
            </w:r>
            <w:r w:rsidR="00B63F4C" w:rsidRPr="00A17559">
              <w:rPr>
                <w:lang w:val="en-GB"/>
              </w:rPr>
              <w:t xml:space="preserve"> hiked up</w:t>
            </w:r>
            <w:r w:rsidR="00747EE9" w:rsidRPr="00A17559">
              <w:rPr>
                <w:lang w:val="en-GB"/>
              </w:rPr>
              <w:t xml:space="preserve">. </w:t>
            </w:r>
            <w:r w:rsidR="00B63F4C" w:rsidRPr="00A17559">
              <w:rPr>
                <w:lang w:val="en-GB"/>
              </w:rPr>
              <w:t>Acceleration of prices of the whole division can be ascribed to the dynamics of prices of electricity and heat, gas and other fuels</w:t>
            </w:r>
            <w:r w:rsidR="00747EE9" w:rsidRPr="00A17559">
              <w:rPr>
                <w:lang w:val="en-GB"/>
              </w:rPr>
              <w:t>. T</w:t>
            </w:r>
            <w:r w:rsidR="006E6BA2" w:rsidRPr="00A17559">
              <w:rPr>
                <w:lang w:val="en-GB"/>
              </w:rPr>
              <w:t xml:space="preserve">hese have picked up steam since the beginning of the year and grew by 6.9% for the whole half-year. </w:t>
            </w:r>
            <w:r w:rsidR="00BC297E" w:rsidRPr="00A17559">
              <w:rPr>
                <w:lang w:val="en-GB"/>
              </w:rPr>
              <w:t>Growth of housing and energies was 5.7% year-on-year in Q</w:t>
            </w:r>
            <w:r w:rsidR="00747EE9" w:rsidRPr="00A17559">
              <w:rPr>
                <w:lang w:val="en-GB"/>
              </w:rPr>
              <w:t>2</w:t>
            </w:r>
            <w:r w:rsidR="004A5D4E" w:rsidRPr="00A17559">
              <w:rPr>
                <w:lang w:val="en-GB"/>
              </w:rPr>
              <w:t>.</w:t>
            </w:r>
            <w:r w:rsidR="00BC297E" w:rsidRPr="00A17559">
              <w:rPr>
                <w:lang w:val="en-GB"/>
              </w:rPr>
              <w:t xml:space="preserve"> </w:t>
            </w:r>
          </w:p>
        </w:tc>
      </w:tr>
      <w:tr w:rsidR="00747EE9" w:rsidRPr="00A17559" w:rsidTr="00747EE9">
        <w:trPr>
          <w:trHeight w:val="170"/>
        </w:trPr>
        <w:tc>
          <w:tcPr>
            <w:tcW w:w="1805" w:type="dxa"/>
            <w:vMerge w:val="restart"/>
            <w:shd w:val="clear" w:color="auto" w:fill="auto"/>
            <w:tcMar>
              <w:left w:w="0" w:type="dxa"/>
            </w:tcMar>
          </w:tcPr>
          <w:p w:rsidR="00747EE9" w:rsidRPr="00A17559" w:rsidRDefault="00747EE9" w:rsidP="00747EE9">
            <w:pPr>
              <w:pStyle w:val="Marginlie"/>
              <w:rPr>
                <w:spacing w:val="0"/>
                <w:lang w:val="en-GB"/>
              </w:rPr>
            </w:pPr>
          </w:p>
        </w:tc>
        <w:tc>
          <w:tcPr>
            <w:tcW w:w="224" w:type="dxa"/>
            <w:vMerge w:val="restart"/>
            <w:shd w:val="clear" w:color="auto" w:fill="auto"/>
            <w:tcMar>
              <w:left w:w="0" w:type="dxa"/>
            </w:tcMar>
          </w:tcPr>
          <w:p w:rsidR="00747EE9" w:rsidRPr="00A17559" w:rsidRDefault="00747EE9" w:rsidP="00747EE9">
            <w:pPr>
              <w:pStyle w:val="Textpoznpodarou1"/>
              <w:jc w:val="both"/>
              <w:rPr>
                <w:highlight w:val="yellow"/>
                <w:lang w:val="en-GB"/>
              </w:rPr>
            </w:pPr>
          </w:p>
        </w:tc>
        <w:tc>
          <w:tcPr>
            <w:tcW w:w="7610" w:type="dxa"/>
            <w:shd w:val="clear" w:color="auto" w:fill="auto"/>
            <w:tcMar>
              <w:left w:w="0" w:type="dxa"/>
            </w:tcMar>
          </w:tcPr>
          <w:p w:rsidR="00747EE9" w:rsidRPr="00A6092A" w:rsidRDefault="00732DEC" w:rsidP="00732DEC">
            <w:pPr>
              <w:spacing w:after="0"/>
              <w:rPr>
                <w:b/>
                <w:szCs w:val="20"/>
                <w:lang w:val="en-GB"/>
              </w:rPr>
            </w:pPr>
            <w:r w:rsidRPr="00A6092A">
              <w:rPr>
                <w:rFonts w:cs="Arial"/>
                <w:b/>
                <w:bCs/>
                <w:color w:val="000000"/>
                <w:szCs w:val="20"/>
                <w:lang w:val="en-GB"/>
              </w:rPr>
              <w:t xml:space="preserve">Chart </w:t>
            </w:r>
            <w:r w:rsidR="00747EE9" w:rsidRPr="00A6092A">
              <w:rPr>
                <w:rFonts w:cs="Arial"/>
                <w:b/>
                <w:bCs/>
                <w:color w:val="000000"/>
                <w:szCs w:val="20"/>
                <w:lang w:val="en-GB"/>
              </w:rPr>
              <w:t>1</w:t>
            </w:r>
            <w:r w:rsidR="008A394E" w:rsidRPr="00A6092A">
              <w:rPr>
                <w:rFonts w:cs="Arial"/>
                <w:b/>
                <w:bCs/>
                <w:color w:val="000000"/>
                <w:szCs w:val="20"/>
                <w:lang w:val="en-GB"/>
              </w:rPr>
              <w:t>0</w:t>
            </w:r>
            <w:r w:rsidR="00747EE9" w:rsidRPr="00A6092A">
              <w:rPr>
                <w:rFonts w:cs="Arial"/>
                <w:b/>
                <w:bCs/>
                <w:color w:val="000000"/>
                <w:szCs w:val="20"/>
                <w:lang w:val="en-GB"/>
              </w:rPr>
              <w:t xml:space="preserve">  </w:t>
            </w:r>
            <w:r w:rsidR="00F0293D" w:rsidRPr="00A6092A">
              <w:rPr>
                <w:b/>
                <w:spacing w:val="-4"/>
                <w:szCs w:val="20"/>
                <w:lang w:val="en-GB"/>
              </w:rPr>
              <w:t xml:space="preserve">Prices in the selected divisions of the consumer price index </w:t>
            </w:r>
            <w:r w:rsidR="00F0293D" w:rsidRPr="00A6092A">
              <w:rPr>
                <w:rFonts w:cs="Arial"/>
                <w:color w:val="000000"/>
                <w:szCs w:val="20"/>
                <w:lang w:val="en-GB"/>
              </w:rPr>
              <w:t>(y/y in %)</w:t>
            </w:r>
          </w:p>
        </w:tc>
      </w:tr>
      <w:tr w:rsidR="00747EE9" w:rsidRPr="00A17559" w:rsidTr="00FD025C">
        <w:tblPrEx>
          <w:tblCellMar>
            <w:left w:w="70" w:type="dxa"/>
            <w:right w:w="70" w:type="dxa"/>
          </w:tblCellMar>
        </w:tblPrEx>
        <w:trPr>
          <w:trHeight w:val="170"/>
        </w:trPr>
        <w:tc>
          <w:tcPr>
            <w:tcW w:w="1805" w:type="dxa"/>
            <w:vMerge/>
            <w:shd w:val="clear" w:color="auto" w:fill="auto"/>
          </w:tcPr>
          <w:p w:rsidR="00747EE9" w:rsidRPr="00A17559" w:rsidRDefault="00747EE9" w:rsidP="00747EE9">
            <w:pPr>
              <w:pStyle w:val="Marginlie"/>
              <w:rPr>
                <w:spacing w:val="0"/>
                <w:lang w:val="en-GB"/>
              </w:rPr>
            </w:pPr>
          </w:p>
        </w:tc>
        <w:tc>
          <w:tcPr>
            <w:tcW w:w="224" w:type="dxa"/>
            <w:vMerge/>
            <w:shd w:val="clear" w:color="auto" w:fill="auto"/>
          </w:tcPr>
          <w:p w:rsidR="00747EE9" w:rsidRPr="00A17559" w:rsidRDefault="00747EE9" w:rsidP="00747EE9">
            <w:pPr>
              <w:pStyle w:val="Textpoznpodarou"/>
              <w:jc w:val="both"/>
              <w:rPr>
                <w:lang w:val="en-GB"/>
              </w:rPr>
            </w:pPr>
          </w:p>
        </w:tc>
        <w:tc>
          <w:tcPr>
            <w:tcW w:w="7610" w:type="dxa"/>
            <w:shd w:val="clear" w:color="auto" w:fill="auto"/>
          </w:tcPr>
          <w:p w:rsidR="00747EE9" w:rsidRPr="00A17559" w:rsidRDefault="00FD025C" w:rsidP="00747EE9">
            <w:pPr>
              <w:spacing w:after="0"/>
              <w:rPr>
                <w:lang w:val="en-GB"/>
              </w:rPr>
            </w:pPr>
            <w:r>
              <w:rPr>
                <w:noProof/>
              </w:rPr>
              <w:drawing>
                <wp:inline distT="0" distB="0" distL="0" distR="0" wp14:anchorId="730B8536" wp14:editId="5C0012C0">
                  <wp:extent cx="4737600" cy="3553200"/>
                  <wp:effectExtent l="0" t="0" r="6350" b="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747EE9" w:rsidRPr="00A17559" w:rsidTr="00747EE9">
        <w:trPr>
          <w:trHeight w:val="170"/>
        </w:trPr>
        <w:tc>
          <w:tcPr>
            <w:tcW w:w="1805" w:type="dxa"/>
            <w:vMerge/>
            <w:shd w:val="clear" w:color="auto" w:fill="auto"/>
            <w:tcMar>
              <w:left w:w="0" w:type="dxa"/>
            </w:tcMar>
          </w:tcPr>
          <w:p w:rsidR="00747EE9" w:rsidRPr="00A17559" w:rsidRDefault="00747EE9" w:rsidP="00747EE9">
            <w:pPr>
              <w:pStyle w:val="Marginlie"/>
              <w:rPr>
                <w:spacing w:val="0"/>
                <w:lang w:val="en-GB"/>
              </w:rPr>
            </w:pPr>
          </w:p>
        </w:tc>
        <w:tc>
          <w:tcPr>
            <w:tcW w:w="224" w:type="dxa"/>
            <w:vMerge/>
            <w:shd w:val="clear" w:color="auto" w:fill="auto"/>
            <w:tcMar>
              <w:left w:w="0" w:type="dxa"/>
            </w:tcMar>
          </w:tcPr>
          <w:p w:rsidR="00747EE9" w:rsidRPr="00A17559" w:rsidRDefault="00747EE9" w:rsidP="00747EE9">
            <w:pPr>
              <w:pStyle w:val="Textpoznpodarou"/>
              <w:jc w:val="both"/>
              <w:rPr>
                <w:lang w:val="en-GB"/>
              </w:rPr>
            </w:pPr>
          </w:p>
        </w:tc>
        <w:tc>
          <w:tcPr>
            <w:tcW w:w="7610" w:type="dxa"/>
            <w:shd w:val="clear" w:color="auto" w:fill="auto"/>
            <w:tcMar>
              <w:left w:w="0" w:type="dxa"/>
            </w:tcMar>
          </w:tcPr>
          <w:p w:rsidR="00F0293D" w:rsidRPr="00A17559" w:rsidRDefault="00F0293D" w:rsidP="00FD025C">
            <w:pPr>
              <w:rPr>
                <w:sz w:val="14"/>
                <w:szCs w:val="14"/>
                <w:lang w:val="en-GB"/>
              </w:rPr>
            </w:pPr>
            <w:r w:rsidRPr="00A17559">
              <w:rPr>
                <w:sz w:val="14"/>
                <w:szCs w:val="14"/>
                <w:lang w:val="en-GB"/>
              </w:rPr>
              <w:t>Source</w:t>
            </w:r>
            <w:r w:rsidR="00747EE9" w:rsidRPr="00A17559">
              <w:rPr>
                <w:sz w:val="14"/>
                <w:szCs w:val="14"/>
                <w:lang w:val="en-GB"/>
              </w:rPr>
              <w:t xml:space="preserve">: </w:t>
            </w:r>
            <w:r w:rsidRPr="00A17559">
              <w:rPr>
                <w:sz w:val="14"/>
                <w:szCs w:val="14"/>
                <w:lang w:val="en-GB"/>
              </w:rPr>
              <w:t>CZSO</w:t>
            </w:r>
          </w:p>
        </w:tc>
      </w:tr>
      <w:tr w:rsidR="00747EE9" w:rsidRPr="00A17559" w:rsidTr="00747EE9">
        <w:trPr>
          <w:trHeight w:val="145"/>
        </w:trPr>
        <w:tc>
          <w:tcPr>
            <w:tcW w:w="1805" w:type="dxa"/>
            <w:shd w:val="clear" w:color="auto" w:fill="auto"/>
            <w:tcMar>
              <w:left w:w="0" w:type="dxa"/>
            </w:tcMar>
          </w:tcPr>
          <w:p w:rsidR="00747EE9" w:rsidRPr="00A17559" w:rsidRDefault="00747EE9" w:rsidP="00867C6C">
            <w:pPr>
              <w:pStyle w:val="Marginlie"/>
              <w:rPr>
                <w:spacing w:val="0"/>
                <w:lang w:val="en-GB"/>
              </w:rPr>
            </w:pPr>
            <w:r w:rsidRPr="00A17559">
              <w:rPr>
                <w:spacing w:val="0"/>
                <w:lang w:val="en-GB"/>
              </w:rPr>
              <w:t>O</w:t>
            </w:r>
            <w:r w:rsidR="00867C6C" w:rsidRPr="00A17559">
              <w:rPr>
                <w:spacing w:val="0"/>
                <w:lang w:val="en-GB"/>
              </w:rPr>
              <w:t xml:space="preserve">ther items of the consumer basket contributed to the growth less. </w:t>
            </w:r>
          </w:p>
        </w:tc>
        <w:tc>
          <w:tcPr>
            <w:tcW w:w="224" w:type="dxa"/>
            <w:shd w:val="clear" w:color="auto" w:fill="auto"/>
            <w:tcMar>
              <w:left w:w="0" w:type="dxa"/>
            </w:tcMar>
          </w:tcPr>
          <w:p w:rsidR="00747EE9" w:rsidRPr="00A17559" w:rsidRDefault="00747EE9" w:rsidP="00747EE9">
            <w:pPr>
              <w:pStyle w:val="Textpoznpodarou1"/>
              <w:jc w:val="both"/>
              <w:rPr>
                <w:lang w:val="en-GB"/>
              </w:rPr>
            </w:pPr>
          </w:p>
        </w:tc>
        <w:tc>
          <w:tcPr>
            <w:tcW w:w="7610" w:type="dxa"/>
            <w:shd w:val="clear" w:color="auto" w:fill="auto"/>
            <w:tcMar>
              <w:left w:w="0" w:type="dxa"/>
            </w:tcMar>
          </w:tcPr>
          <w:p w:rsidR="00747EE9" w:rsidRPr="00E343C7" w:rsidRDefault="005F2EB5" w:rsidP="008062A6">
            <w:pPr>
              <w:rPr>
                <w:spacing w:val="-3"/>
                <w:lang w:val="en-GB"/>
              </w:rPr>
            </w:pPr>
            <w:r w:rsidRPr="00E343C7">
              <w:rPr>
                <w:spacing w:val="-3"/>
                <w:lang w:val="en-GB"/>
              </w:rPr>
              <w:t xml:space="preserve">Prices of food and non-alcoholic beverages were raised by 1.7% year-on-year in H1. The dynamics between Q1 and Q2 showed a very large difference. </w:t>
            </w:r>
            <w:r w:rsidR="00084492" w:rsidRPr="00E343C7">
              <w:rPr>
                <w:spacing w:val="-3"/>
                <w:lang w:val="en-GB"/>
              </w:rPr>
              <w:t>Year-on-year growth gained pace in Q</w:t>
            </w:r>
            <w:r w:rsidR="00747EE9" w:rsidRPr="00E343C7">
              <w:rPr>
                <w:spacing w:val="-3"/>
                <w:lang w:val="en-GB"/>
              </w:rPr>
              <w:t>2</w:t>
            </w:r>
            <w:r w:rsidR="00084492" w:rsidRPr="00E343C7">
              <w:rPr>
                <w:spacing w:val="-3"/>
                <w:lang w:val="en-GB"/>
              </w:rPr>
              <w:t xml:space="preserve"> and reached </w:t>
            </w:r>
            <w:r w:rsidR="00747EE9" w:rsidRPr="00E343C7">
              <w:rPr>
                <w:spacing w:val="-3"/>
                <w:lang w:val="en-GB"/>
              </w:rPr>
              <w:t>2</w:t>
            </w:r>
            <w:r w:rsidR="00084492" w:rsidRPr="00E343C7">
              <w:rPr>
                <w:spacing w:val="-3"/>
                <w:lang w:val="en-GB"/>
              </w:rPr>
              <w:t>.</w:t>
            </w:r>
            <w:r w:rsidR="00747EE9" w:rsidRPr="00E343C7">
              <w:rPr>
                <w:spacing w:val="-3"/>
                <w:lang w:val="en-GB"/>
              </w:rPr>
              <w:t>5</w:t>
            </w:r>
            <w:r w:rsidR="00403F57" w:rsidRPr="00E343C7">
              <w:rPr>
                <w:spacing w:val="-3"/>
                <w:lang w:val="en-GB"/>
              </w:rPr>
              <w:t>%</w:t>
            </w:r>
            <w:r w:rsidR="00084492" w:rsidRPr="00E343C7">
              <w:rPr>
                <w:spacing w:val="-3"/>
                <w:lang w:val="en-GB"/>
              </w:rPr>
              <w:t xml:space="preserve"> in total</w:t>
            </w:r>
            <w:r w:rsidR="00747EE9" w:rsidRPr="00E343C7">
              <w:rPr>
                <w:spacing w:val="-3"/>
                <w:lang w:val="en-GB"/>
              </w:rPr>
              <w:t xml:space="preserve">. </w:t>
            </w:r>
            <w:r w:rsidR="006F4866" w:rsidRPr="00E343C7">
              <w:rPr>
                <w:spacing w:val="-3"/>
                <w:lang w:val="en-GB"/>
              </w:rPr>
              <w:t>Vegetables, which share</w:t>
            </w:r>
            <w:r w:rsidR="00084492" w:rsidRPr="00E343C7">
              <w:rPr>
                <w:spacing w:val="-3"/>
                <w:lang w:val="en-GB"/>
              </w:rPr>
              <w:t xml:space="preserve"> only small proportion in the basket, pulled the price growth in this division throughout the whole half-year, but its prices went up by 23.7% in H</w:t>
            </w:r>
            <w:r w:rsidR="004A5D4E" w:rsidRPr="00E343C7">
              <w:rPr>
                <w:spacing w:val="-3"/>
                <w:lang w:val="en-GB"/>
              </w:rPr>
              <w:t>1.</w:t>
            </w:r>
            <w:r w:rsidR="00084492" w:rsidRPr="00E343C7">
              <w:rPr>
                <w:spacing w:val="-3"/>
                <w:lang w:val="en-GB"/>
              </w:rPr>
              <w:t xml:space="preserve"> </w:t>
            </w:r>
            <w:r w:rsidR="00000DA2" w:rsidRPr="00E343C7">
              <w:rPr>
                <w:spacing w:val="-3"/>
                <w:lang w:val="en-GB"/>
              </w:rPr>
              <w:t xml:space="preserve">Prices of baking products and cereals also increased </w:t>
            </w:r>
            <w:r w:rsidR="00747EE9" w:rsidRPr="00E343C7">
              <w:rPr>
                <w:spacing w:val="-3"/>
                <w:lang w:val="en-GB"/>
              </w:rPr>
              <w:t>(2</w:t>
            </w:r>
            <w:r w:rsidR="00000DA2" w:rsidRPr="00E343C7">
              <w:rPr>
                <w:spacing w:val="-3"/>
                <w:lang w:val="en-GB"/>
              </w:rPr>
              <w:t>.</w:t>
            </w:r>
            <w:r w:rsidR="00747EE9" w:rsidRPr="00E343C7">
              <w:rPr>
                <w:spacing w:val="-3"/>
                <w:lang w:val="en-GB"/>
              </w:rPr>
              <w:t>7</w:t>
            </w:r>
            <w:r w:rsidR="00403F57" w:rsidRPr="00E343C7">
              <w:rPr>
                <w:spacing w:val="-3"/>
                <w:lang w:val="en-GB"/>
              </w:rPr>
              <w:t>%</w:t>
            </w:r>
            <w:r w:rsidR="00747EE9" w:rsidRPr="00E343C7">
              <w:rPr>
                <w:spacing w:val="-3"/>
                <w:lang w:val="en-GB"/>
              </w:rPr>
              <w:t>).</w:t>
            </w:r>
            <w:r w:rsidR="00000DA2" w:rsidRPr="00E343C7">
              <w:rPr>
                <w:spacing w:val="-3"/>
                <w:lang w:val="en-GB"/>
              </w:rPr>
              <w:t xml:space="preserve"> In the opposite direction, fruit pushed the prices down (drop by 9.2% in H</w:t>
            </w:r>
            <w:r w:rsidR="004A5D4E" w:rsidRPr="00E343C7">
              <w:rPr>
                <w:spacing w:val="-3"/>
                <w:lang w:val="en-GB"/>
              </w:rPr>
              <w:t>1</w:t>
            </w:r>
            <w:r w:rsidR="00747EE9" w:rsidRPr="00E343C7">
              <w:rPr>
                <w:spacing w:val="-3"/>
                <w:lang w:val="en-GB"/>
              </w:rPr>
              <w:t xml:space="preserve">) </w:t>
            </w:r>
            <w:r w:rsidR="002F1B09" w:rsidRPr="00E343C7">
              <w:rPr>
                <w:spacing w:val="-3"/>
                <w:lang w:val="en-GB"/>
              </w:rPr>
              <w:t>a</w:t>
            </w:r>
            <w:r w:rsidR="00000DA2" w:rsidRPr="00E343C7">
              <w:rPr>
                <w:spacing w:val="-3"/>
                <w:lang w:val="en-GB"/>
              </w:rPr>
              <w:t xml:space="preserve">nd also sugar, jam, honey, chocolate and sweets </w:t>
            </w:r>
            <w:r w:rsidR="00747EE9" w:rsidRPr="00E343C7">
              <w:rPr>
                <w:spacing w:val="-3"/>
                <w:lang w:val="en-GB"/>
              </w:rPr>
              <w:t>(</w:t>
            </w:r>
            <w:r w:rsidR="00403F57" w:rsidRPr="00E343C7">
              <w:rPr>
                <w:spacing w:val="-3"/>
                <w:lang w:val="en-GB"/>
              </w:rPr>
              <w:t>–</w:t>
            </w:r>
            <w:r w:rsidR="00747EE9" w:rsidRPr="00E343C7">
              <w:rPr>
                <w:spacing w:val="-3"/>
                <w:lang w:val="en-GB"/>
              </w:rPr>
              <w:t>4</w:t>
            </w:r>
            <w:r w:rsidR="00000DA2" w:rsidRPr="00E343C7">
              <w:rPr>
                <w:spacing w:val="-3"/>
                <w:lang w:val="en-GB"/>
              </w:rPr>
              <w:t>.</w:t>
            </w:r>
            <w:r w:rsidR="00747EE9" w:rsidRPr="00E343C7">
              <w:rPr>
                <w:spacing w:val="-3"/>
                <w:lang w:val="en-GB"/>
              </w:rPr>
              <w:t>6</w:t>
            </w:r>
            <w:r w:rsidR="00403F57" w:rsidRPr="00E343C7">
              <w:rPr>
                <w:spacing w:val="-3"/>
                <w:lang w:val="en-GB"/>
              </w:rPr>
              <w:t>%</w:t>
            </w:r>
            <w:r w:rsidR="00747EE9" w:rsidRPr="00E343C7">
              <w:rPr>
                <w:spacing w:val="-3"/>
                <w:lang w:val="en-GB"/>
              </w:rPr>
              <w:t>).</w:t>
            </w:r>
            <w:r w:rsidR="0019447D" w:rsidRPr="00E343C7">
              <w:rPr>
                <w:spacing w:val="-3"/>
                <w:lang w:val="en-GB"/>
              </w:rPr>
              <w:t xml:space="preserve"> Prices of alcoholic beverages and tobacco rose by 2.5% year-on-year in H</w:t>
            </w:r>
            <w:r w:rsidR="00747EE9" w:rsidRPr="00E343C7">
              <w:rPr>
                <w:spacing w:val="-3"/>
                <w:lang w:val="en-GB"/>
              </w:rPr>
              <w:t>1.</w:t>
            </w:r>
            <w:r w:rsidR="0019447D" w:rsidRPr="00E343C7">
              <w:rPr>
                <w:spacing w:val="-3"/>
                <w:lang w:val="en-GB"/>
              </w:rPr>
              <w:t xml:space="preserve"> Growth however slowed </w:t>
            </w:r>
            <w:r w:rsidR="008062A6" w:rsidRPr="00E343C7">
              <w:rPr>
                <w:spacing w:val="-3"/>
                <w:lang w:val="en-GB"/>
              </w:rPr>
              <w:t>t</w:t>
            </w:r>
            <w:r w:rsidR="0019447D" w:rsidRPr="00E343C7">
              <w:rPr>
                <w:spacing w:val="-3"/>
                <w:lang w:val="en-GB"/>
              </w:rPr>
              <w:t>o 1.7% during Q</w:t>
            </w:r>
            <w:r w:rsidR="00747EE9" w:rsidRPr="00E343C7">
              <w:rPr>
                <w:spacing w:val="-3"/>
                <w:lang w:val="en-GB"/>
              </w:rPr>
              <w:t>2</w:t>
            </w:r>
            <w:r w:rsidR="004A5D4E" w:rsidRPr="00E343C7">
              <w:rPr>
                <w:spacing w:val="-3"/>
                <w:lang w:val="en-GB"/>
              </w:rPr>
              <w:t>.</w:t>
            </w:r>
            <w:r w:rsidR="0019447D" w:rsidRPr="00E343C7">
              <w:rPr>
                <w:spacing w:val="-3"/>
                <w:lang w:val="en-GB"/>
              </w:rPr>
              <w:t xml:space="preserve"> </w:t>
            </w:r>
            <w:r w:rsidR="00407C53" w:rsidRPr="00E343C7">
              <w:rPr>
                <w:spacing w:val="-3"/>
                <w:lang w:val="en-GB"/>
              </w:rPr>
              <w:t>Prices of household equipment, appliances and their repairs were raised by 1.3%, also mildly contributing to the total growth of consumer prices in H</w:t>
            </w:r>
            <w:r w:rsidR="004A5D4E" w:rsidRPr="00E343C7">
              <w:rPr>
                <w:spacing w:val="-3"/>
                <w:lang w:val="en-GB"/>
              </w:rPr>
              <w:t>1.</w:t>
            </w:r>
            <w:r w:rsidR="00407C53" w:rsidRPr="00E343C7">
              <w:rPr>
                <w:spacing w:val="-3"/>
                <w:lang w:val="en-GB"/>
              </w:rPr>
              <w:t xml:space="preserve"> </w:t>
            </w:r>
            <w:r w:rsidR="00407C53" w:rsidRPr="00E343C7">
              <w:rPr>
                <w:spacing w:val="-4"/>
                <w:lang w:val="en-GB"/>
              </w:rPr>
              <w:t>Prices of transport stagnated during the whole H</w:t>
            </w:r>
            <w:r w:rsidR="004A5D4E" w:rsidRPr="00E343C7">
              <w:rPr>
                <w:spacing w:val="-4"/>
                <w:lang w:val="en-GB"/>
              </w:rPr>
              <w:t>1</w:t>
            </w:r>
            <w:r w:rsidR="00407C53" w:rsidRPr="00E343C7">
              <w:rPr>
                <w:spacing w:val="-4"/>
                <w:lang w:val="en-GB"/>
              </w:rPr>
              <w:t xml:space="preserve"> </w:t>
            </w:r>
            <w:r w:rsidR="00747EE9" w:rsidRPr="00E343C7">
              <w:rPr>
                <w:spacing w:val="-4"/>
                <w:lang w:val="en-GB"/>
              </w:rPr>
              <w:t>(0</w:t>
            </w:r>
            <w:r w:rsidR="00407C53" w:rsidRPr="00E343C7">
              <w:rPr>
                <w:spacing w:val="-4"/>
                <w:lang w:val="en-GB"/>
              </w:rPr>
              <w:t>.</w:t>
            </w:r>
            <w:r w:rsidR="00747EE9" w:rsidRPr="00E343C7">
              <w:rPr>
                <w:spacing w:val="-4"/>
                <w:lang w:val="en-GB"/>
              </w:rPr>
              <w:t>7</w:t>
            </w:r>
            <w:r w:rsidR="00403F57" w:rsidRPr="00E343C7">
              <w:rPr>
                <w:spacing w:val="-4"/>
                <w:lang w:val="en-GB"/>
              </w:rPr>
              <w:t>%</w:t>
            </w:r>
            <w:r w:rsidR="00747EE9" w:rsidRPr="00E343C7">
              <w:rPr>
                <w:spacing w:val="-4"/>
                <w:lang w:val="en-GB"/>
              </w:rPr>
              <w:t>),</w:t>
            </w:r>
            <w:r w:rsidR="00407C53" w:rsidRPr="00E343C7">
              <w:rPr>
                <w:spacing w:val="-4"/>
                <w:lang w:val="en-GB"/>
              </w:rPr>
              <w:t xml:space="preserve"> especially due to the drop of prices of transportation service activities by </w:t>
            </w:r>
            <w:r w:rsidR="00747EE9" w:rsidRPr="00E343C7">
              <w:rPr>
                <w:spacing w:val="-4"/>
                <w:lang w:val="en-GB"/>
              </w:rPr>
              <w:t>7</w:t>
            </w:r>
            <w:r w:rsidR="00407C53" w:rsidRPr="00E343C7">
              <w:rPr>
                <w:spacing w:val="-4"/>
                <w:lang w:val="en-GB"/>
              </w:rPr>
              <w:t>.</w:t>
            </w:r>
            <w:r w:rsidR="00747EE9" w:rsidRPr="00E343C7">
              <w:rPr>
                <w:spacing w:val="-4"/>
                <w:lang w:val="en-GB"/>
              </w:rPr>
              <w:t>9</w:t>
            </w:r>
            <w:r w:rsidR="00403F57" w:rsidRPr="00E343C7">
              <w:rPr>
                <w:spacing w:val="-4"/>
                <w:lang w:val="en-GB"/>
              </w:rPr>
              <w:t>%</w:t>
            </w:r>
            <w:r w:rsidR="00747EE9" w:rsidRPr="00E343C7">
              <w:rPr>
                <w:spacing w:val="-4"/>
                <w:lang w:val="en-GB"/>
              </w:rPr>
              <w:t xml:space="preserve">. </w:t>
            </w:r>
            <w:r w:rsidR="006E7E74" w:rsidRPr="00E343C7">
              <w:rPr>
                <w:spacing w:val="-4"/>
                <w:lang w:val="en-GB"/>
              </w:rPr>
              <w:t xml:space="preserve">Prices of wearing apparel and footwear pressed the consumer prices in the downward direction </w:t>
            </w:r>
            <w:r w:rsidR="00747EE9" w:rsidRPr="00E343C7">
              <w:rPr>
                <w:spacing w:val="-4"/>
                <w:lang w:val="en-GB"/>
              </w:rPr>
              <w:t>(</w:t>
            </w:r>
            <w:r w:rsidR="006E7E74" w:rsidRPr="00E343C7">
              <w:rPr>
                <w:spacing w:val="-4"/>
                <w:lang w:val="en-GB"/>
              </w:rPr>
              <w:t xml:space="preserve">prices dropped by </w:t>
            </w:r>
            <w:r w:rsidR="00747EE9" w:rsidRPr="00E343C7">
              <w:rPr>
                <w:spacing w:val="-4"/>
                <w:lang w:val="en-GB"/>
              </w:rPr>
              <w:t>1</w:t>
            </w:r>
            <w:r w:rsidR="006E7E74" w:rsidRPr="00E343C7">
              <w:rPr>
                <w:spacing w:val="-4"/>
                <w:lang w:val="en-GB"/>
              </w:rPr>
              <w:t>.</w:t>
            </w:r>
            <w:r w:rsidR="00747EE9" w:rsidRPr="00E343C7">
              <w:rPr>
                <w:spacing w:val="-4"/>
                <w:lang w:val="en-GB"/>
              </w:rPr>
              <w:t>5%)</w:t>
            </w:r>
            <w:r w:rsidR="00066558" w:rsidRPr="00E343C7">
              <w:rPr>
                <w:spacing w:val="-4"/>
                <w:lang w:val="en-GB"/>
              </w:rPr>
              <w:t>.</w:t>
            </w:r>
          </w:p>
        </w:tc>
      </w:tr>
      <w:tr w:rsidR="00747EE9" w:rsidRPr="00A17559" w:rsidTr="00747EE9">
        <w:trPr>
          <w:trHeight w:val="145"/>
        </w:trPr>
        <w:tc>
          <w:tcPr>
            <w:tcW w:w="1805" w:type="dxa"/>
            <w:shd w:val="clear" w:color="auto" w:fill="auto"/>
            <w:tcMar>
              <w:left w:w="0" w:type="dxa"/>
            </w:tcMar>
          </w:tcPr>
          <w:p w:rsidR="00747EE9" w:rsidRPr="00A17559" w:rsidRDefault="00000DA2" w:rsidP="00000DA2">
            <w:pPr>
              <w:pStyle w:val="Marginlie"/>
              <w:rPr>
                <w:spacing w:val="0"/>
                <w:lang w:val="en-GB"/>
              </w:rPr>
            </w:pPr>
            <w:r w:rsidRPr="00A17559">
              <w:rPr>
                <w:spacing w:val="0"/>
                <w:lang w:val="en-GB"/>
              </w:rPr>
              <w:t>Growth of consumer prices mildly increased in the EU in Q</w:t>
            </w:r>
            <w:r w:rsidR="00747EE9" w:rsidRPr="00A17559">
              <w:rPr>
                <w:spacing w:val="0"/>
                <w:lang w:val="en-GB"/>
              </w:rPr>
              <w:t>2</w:t>
            </w:r>
            <w:r w:rsidR="004A5D4E" w:rsidRPr="00A17559">
              <w:rPr>
                <w:spacing w:val="0"/>
                <w:lang w:val="en-GB"/>
              </w:rPr>
              <w:t>.</w:t>
            </w:r>
            <w:r w:rsidRPr="00A17559">
              <w:rPr>
                <w:spacing w:val="0"/>
                <w:lang w:val="en-GB"/>
              </w:rPr>
              <w:t xml:space="preserve"> </w:t>
            </w:r>
          </w:p>
        </w:tc>
        <w:tc>
          <w:tcPr>
            <w:tcW w:w="224" w:type="dxa"/>
            <w:shd w:val="clear" w:color="auto" w:fill="auto"/>
            <w:tcMar>
              <w:left w:w="0" w:type="dxa"/>
            </w:tcMar>
          </w:tcPr>
          <w:p w:rsidR="00747EE9" w:rsidRPr="00A17559" w:rsidRDefault="00747EE9" w:rsidP="00747EE9">
            <w:pPr>
              <w:pStyle w:val="Textpoznpodarou1"/>
              <w:jc w:val="both"/>
              <w:rPr>
                <w:lang w:val="en-GB"/>
              </w:rPr>
            </w:pPr>
          </w:p>
        </w:tc>
        <w:tc>
          <w:tcPr>
            <w:tcW w:w="7610" w:type="dxa"/>
            <w:shd w:val="clear" w:color="auto" w:fill="auto"/>
            <w:tcMar>
              <w:left w:w="0" w:type="dxa"/>
            </w:tcMar>
          </w:tcPr>
          <w:p w:rsidR="00747EE9" w:rsidRPr="00A17559" w:rsidRDefault="00C9295C" w:rsidP="00C36E37">
            <w:pPr>
              <w:rPr>
                <w:lang w:val="en-GB"/>
              </w:rPr>
            </w:pPr>
            <w:r w:rsidRPr="00A17559">
              <w:rPr>
                <w:lang w:val="en-GB"/>
              </w:rPr>
              <w:t xml:space="preserve">Year-on-year growth of the </w:t>
            </w:r>
            <w:r w:rsidR="00C36E37" w:rsidRPr="00A17559">
              <w:rPr>
                <w:lang w:val="en-GB"/>
              </w:rPr>
              <w:t>consumer prices reached 1.6% in the EU in H</w:t>
            </w:r>
            <w:r w:rsidR="004A5D4E" w:rsidRPr="00A17559">
              <w:rPr>
                <w:lang w:val="en-GB"/>
              </w:rPr>
              <w:t>1.</w:t>
            </w:r>
            <w:r w:rsidR="00C36E37" w:rsidRPr="00A17559">
              <w:rPr>
                <w:lang w:val="en-GB"/>
              </w:rPr>
              <w:t xml:space="preserve"> In Q2 itself however it slightly speeded up against Q1 to </w:t>
            </w:r>
            <w:r w:rsidR="00747EE9" w:rsidRPr="00A17559">
              <w:rPr>
                <w:lang w:val="en-GB"/>
              </w:rPr>
              <w:t>1</w:t>
            </w:r>
            <w:r w:rsidR="00C36E37" w:rsidRPr="00A17559">
              <w:rPr>
                <w:lang w:val="en-GB"/>
              </w:rPr>
              <w:t>.</w:t>
            </w:r>
            <w:r w:rsidR="00747EE9" w:rsidRPr="00A17559">
              <w:rPr>
                <w:lang w:val="en-GB"/>
              </w:rPr>
              <w:t>7</w:t>
            </w:r>
            <w:r w:rsidR="00403F57" w:rsidRPr="00A17559">
              <w:rPr>
                <w:lang w:val="en-GB"/>
              </w:rPr>
              <w:t>%</w:t>
            </w:r>
            <w:r w:rsidR="00747EE9" w:rsidRPr="00A17559">
              <w:rPr>
                <w:lang w:val="en-GB"/>
              </w:rPr>
              <w:t xml:space="preserve">. </w:t>
            </w:r>
            <w:r w:rsidR="00407C53" w:rsidRPr="00A17559">
              <w:rPr>
                <w:lang w:val="en-GB"/>
              </w:rPr>
              <w:t>Year-on-year growth dynamics pointed to brisk growth in most EU countries in Q</w:t>
            </w:r>
            <w:r w:rsidR="00747EE9" w:rsidRPr="00A17559">
              <w:rPr>
                <w:lang w:val="en-GB"/>
              </w:rPr>
              <w:t>2</w:t>
            </w:r>
            <w:r w:rsidR="004A5D4E" w:rsidRPr="00A17559">
              <w:rPr>
                <w:lang w:val="en-GB"/>
              </w:rPr>
              <w:t>.</w:t>
            </w:r>
            <w:r w:rsidR="00407C53" w:rsidRPr="00A17559">
              <w:rPr>
                <w:lang w:val="en-GB"/>
              </w:rPr>
              <w:t xml:space="preserve"> </w:t>
            </w:r>
            <w:r w:rsidR="001143E0" w:rsidRPr="00A17559">
              <w:rPr>
                <w:lang w:val="en-GB"/>
              </w:rPr>
              <w:t xml:space="preserve">It was the most in Poland </w:t>
            </w:r>
            <w:r w:rsidR="00747EE9" w:rsidRPr="00A17559">
              <w:rPr>
                <w:lang w:val="en-GB"/>
              </w:rPr>
              <w:t>(</w:t>
            </w:r>
            <w:r w:rsidR="001143E0" w:rsidRPr="00A17559">
              <w:rPr>
                <w:lang w:val="en-GB"/>
              </w:rPr>
              <w:t xml:space="preserve">from </w:t>
            </w:r>
            <w:r w:rsidR="00747EE9" w:rsidRPr="00A17559">
              <w:rPr>
                <w:lang w:val="en-GB"/>
              </w:rPr>
              <w:t>1</w:t>
            </w:r>
            <w:r w:rsidR="001143E0" w:rsidRPr="00A17559">
              <w:rPr>
                <w:lang w:val="en-GB"/>
              </w:rPr>
              <w:t>.</w:t>
            </w:r>
            <w:r w:rsidR="00747EE9" w:rsidRPr="00A17559">
              <w:rPr>
                <w:lang w:val="en-GB"/>
              </w:rPr>
              <w:t>2</w:t>
            </w:r>
            <w:r w:rsidR="00403F57" w:rsidRPr="00A17559">
              <w:rPr>
                <w:lang w:val="en-GB"/>
              </w:rPr>
              <w:t>%</w:t>
            </w:r>
            <w:r w:rsidR="001143E0" w:rsidRPr="00A17559">
              <w:rPr>
                <w:lang w:val="en-GB"/>
              </w:rPr>
              <w:t xml:space="preserve"> to </w:t>
            </w:r>
            <w:r w:rsidR="00747EE9" w:rsidRPr="00A17559">
              <w:rPr>
                <w:lang w:val="en-GB"/>
              </w:rPr>
              <w:t>2</w:t>
            </w:r>
            <w:r w:rsidR="001143E0" w:rsidRPr="00A17559">
              <w:rPr>
                <w:lang w:val="en-GB"/>
              </w:rPr>
              <w:t>.</w:t>
            </w:r>
            <w:r w:rsidR="00747EE9" w:rsidRPr="00A17559">
              <w:rPr>
                <w:lang w:val="en-GB"/>
              </w:rPr>
              <w:t>2</w:t>
            </w:r>
            <w:r w:rsidR="00403F57" w:rsidRPr="00A17559">
              <w:rPr>
                <w:lang w:val="en-GB"/>
              </w:rPr>
              <w:t>%</w:t>
            </w:r>
            <w:r w:rsidR="00747EE9" w:rsidRPr="00A17559">
              <w:rPr>
                <w:lang w:val="en-GB"/>
              </w:rPr>
              <w:t>), Eston</w:t>
            </w:r>
            <w:r w:rsidR="001143E0" w:rsidRPr="00A17559">
              <w:rPr>
                <w:lang w:val="en-GB"/>
              </w:rPr>
              <w:t xml:space="preserve">ia </w:t>
            </w:r>
            <w:r w:rsidR="00747EE9" w:rsidRPr="00A17559">
              <w:rPr>
                <w:lang w:val="en-GB"/>
              </w:rPr>
              <w:t>(</w:t>
            </w:r>
            <w:r w:rsidR="001143E0" w:rsidRPr="00A17559">
              <w:rPr>
                <w:lang w:val="en-GB"/>
              </w:rPr>
              <w:t xml:space="preserve">from </w:t>
            </w:r>
            <w:r w:rsidR="00747EE9" w:rsidRPr="00A17559">
              <w:rPr>
                <w:lang w:val="en-GB"/>
              </w:rPr>
              <w:t>2</w:t>
            </w:r>
            <w:r w:rsidR="001143E0" w:rsidRPr="00A17559">
              <w:rPr>
                <w:lang w:val="en-GB"/>
              </w:rPr>
              <w:t>.</w:t>
            </w:r>
            <w:r w:rsidR="00747EE9" w:rsidRPr="00A17559">
              <w:rPr>
                <w:lang w:val="en-GB"/>
              </w:rPr>
              <w:t>3</w:t>
            </w:r>
            <w:r w:rsidR="00403F57" w:rsidRPr="00A17559">
              <w:rPr>
                <w:lang w:val="en-GB"/>
              </w:rPr>
              <w:t>%</w:t>
            </w:r>
            <w:r w:rsidR="00747EE9" w:rsidRPr="00A17559">
              <w:rPr>
                <w:lang w:val="en-GB"/>
              </w:rPr>
              <w:t xml:space="preserve"> </w:t>
            </w:r>
            <w:r w:rsidR="001143E0" w:rsidRPr="00A17559">
              <w:rPr>
                <w:lang w:val="en-GB"/>
              </w:rPr>
              <w:t xml:space="preserve">to </w:t>
            </w:r>
            <w:r w:rsidR="00747EE9" w:rsidRPr="00A17559">
              <w:rPr>
                <w:lang w:val="en-GB"/>
              </w:rPr>
              <w:t>3</w:t>
            </w:r>
            <w:r w:rsidR="001143E0" w:rsidRPr="00A17559">
              <w:rPr>
                <w:lang w:val="en-GB"/>
              </w:rPr>
              <w:t>.</w:t>
            </w:r>
            <w:r w:rsidR="00747EE9" w:rsidRPr="00A17559">
              <w:rPr>
                <w:lang w:val="en-GB"/>
              </w:rPr>
              <w:t>0</w:t>
            </w:r>
            <w:r w:rsidR="00403F57" w:rsidRPr="00A17559">
              <w:rPr>
                <w:lang w:val="en-GB"/>
              </w:rPr>
              <w:t>%</w:t>
            </w:r>
            <w:r w:rsidR="00747EE9" w:rsidRPr="00A17559">
              <w:rPr>
                <w:lang w:val="en-GB"/>
              </w:rPr>
              <w:t xml:space="preserve">) </w:t>
            </w:r>
            <w:r w:rsidR="002F1B09" w:rsidRPr="00A17559">
              <w:rPr>
                <w:lang w:val="en-GB"/>
              </w:rPr>
              <w:t>a</w:t>
            </w:r>
            <w:r w:rsidR="001143E0" w:rsidRPr="00A17559">
              <w:rPr>
                <w:lang w:val="en-GB"/>
              </w:rPr>
              <w:t xml:space="preserve">nd Hungary </w:t>
            </w:r>
            <w:r w:rsidR="00747EE9" w:rsidRPr="00A17559">
              <w:rPr>
                <w:lang w:val="en-GB"/>
              </w:rPr>
              <w:t>(</w:t>
            </w:r>
            <w:r w:rsidR="001143E0" w:rsidRPr="00A17559">
              <w:rPr>
                <w:lang w:val="en-GB"/>
              </w:rPr>
              <w:t xml:space="preserve">from </w:t>
            </w:r>
            <w:r w:rsidR="00747EE9" w:rsidRPr="00A17559">
              <w:rPr>
                <w:lang w:val="en-GB"/>
              </w:rPr>
              <w:t>3</w:t>
            </w:r>
            <w:r w:rsidR="001143E0" w:rsidRPr="00A17559">
              <w:rPr>
                <w:lang w:val="en-GB"/>
              </w:rPr>
              <w:t>.</w:t>
            </w:r>
            <w:r w:rsidR="00747EE9" w:rsidRPr="00A17559">
              <w:rPr>
                <w:lang w:val="en-GB"/>
              </w:rPr>
              <w:t>2</w:t>
            </w:r>
            <w:r w:rsidR="00403F57" w:rsidRPr="00A17559">
              <w:rPr>
                <w:lang w:val="en-GB"/>
              </w:rPr>
              <w:t>%</w:t>
            </w:r>
            <w:r w:rsidR="00747EE9" w:rsidRPr="00A17559">
              <w:rPr>
                <w:lang w:val="en-GB"/>
              </w:rPr>
              <w:t xml:space="preserve"> </w:t>
            </w:r>
            <w:r w:rsidR="001143E0" w:rsidRPr="00A17559">
              <w:rPr>
                <w:lang w:val="en-GB"/>
              </w:rPr>
              <w:t xml:space="preserve">to </w:t>
            </w:r>
            <w:r w:rsidR="00747EE9" w:rsidRPr="00A17559">
              <w:rPr>
                <w:lang w:val="en-GB"/>
              </w:rPr>
              <w:t>3</w:t>
            </w:r>
            <w:r w:rsidR="001143E0" w:rsidRPr="00A17559">
              <w:rPr>
                <w:lang w:val="en-GB"/>
              </w:rPr>
              <w:t>.</w:t>
            </w:r>
            <w:r w:rsidR="00747EE9" w:rsidRPr="00A17559">
              <w:rPr>
                <w:lang w:val="en-GB"/>
              </w:rPr>
              <w:t>8</w:t>
            </w:r>
            <w:r w:rsidR="00403F57" w:rsidRPr="00A17559">
              <w:rPr>
                <w:lang w:val="en-GB"/>
              </w:rPr>
              <w:t>%</w:t>
            </w:r>
            <w:r w:rsidR="00747EE9" w:rsidRPr="00A17559">
              <w:rPr>
                <w:lang w:val="en-GB"/>
              </w:rPr>
              <w:t xml:space="preserve">). </w:t>
            </w:r>
            <w:r w:rsidR="00C36E37" w:rsidRPr="00A17559">
              <w:rPr>
                <w:lang w:val="en-GB"/>
              </w:rPr>
              <w:t xml:space="preserve">Growth of prices of food accelerated in case of Poland and Estonia </w:t>
            </w:r>
            <w:r w:rsidR="00747EE9" w:rsidRPr="00A17559">
              <w:rPr>
                <w:lang w:val="en-GB"/>
              </w:rPr>
              <w:t>(</w:t>
            </w:r>
            <w:r w:rsidR="00C36E37" w:rsidRPr="00A17559">
              <w:rPr>
                <w:lang w:val="en-GB"/>
              </w:rPr>
              <w:t>both countries were struck by African swine fewer</w:t>
            </w:r>
            <w:r w:rsidR="00747EE9" w:rsidRPr="00A17559">
              <w:rPr>
                <w:lang w:val="en-GB"/>
              </w:rPr>
              <w:t xml:space="preserve">), </w:t>
            </w:r>
            <w:r w:rsidR="00C36E37" w:rsidRPr="00A17559">
              <w:rPr>
                <w:lang w:val="en-GB"/>
              </w:rPr>
              <w:t>t</w:t>
            </w:r>
            <w:r w:rsidR="00407C53" w:rsidRPr="00A17559">
              <w:rPr>
                <w:lang w:val="en-GB"/>
              </w:rPr>
              <w:t xml:space="preserve">ransportation price growth had an effect in Hungary. </w:t>
            </w:r>
            <w:r w:rsidR="00747EE9" w:rsidRPr="00A17559">
              <w:rPr>
                <w:lang w:val="en-GB"/>
              </w:rPr>
              <w:t>R</w:t>
            </w:r>
            <w:r w:rsidR="00C36E37" w:rsidRPr="00A17559">
              <w:rPr>
                <w:lang w:val="en-GB"/>
              </w:rPr>
              <w:t xml:space="preserve">omania </w:t>
            </w:r>
            <w:r w:rsidR="00747EE9" w:rsidRPr="00A17559">
              <w:rPr>
                <w:lang w:val="en-GB"/>
              </w:rPr>
              <w:t>(4</w:t>
            </w:r>
            <w:r w:rsidR="00C36E37" w:rsidRPr="00A17559">
              <w:rPr>
                <w:lang w:val="en-GB"/>
              </w:rPr>
              <w:t>.</w:t>
            </w:r>
            <w:r w:rsidR="00747EE9" w:rsidRPr="00A17559">
              <w:rPr>
                <w:lang w:val="en-GB"/>
              </w:rPr>
              <w:t>3</w:t>
            </w:r>
            <w:r w:rsidR="00403F57" w:rsidRPr="00A17559">
              <w:rPr>
                <w:lang w:val="en-GB"/>
              </w:rPr>
              <w:t>%</w:t>
            </w:r>
            <w:r w:rsidR="00747EE9" w:rsidRPr="00A17559">
              <w:rPr>
                <w:lang w:val="en-GB"/>
              </w:rPr>
              <w:t xml:space="preserve">), </w:t>
            </w:r>
            <w:r w:rsidR="00C36E37" w:rsidRPr="00A17559">
              <w:rPr>
                <w:lang w:val="en-GB"/>
              </w:rPr>
              <w:t xml:space="preserve">Hungary </w:t>
            </w:r>
            <w:r w:rsidR="00747EE9" w:rsidRPr="00A17559">
              <w:rPr>
                <w:lang w:val="en-GB"/>
              </w:rPr>
              <w:t>(3</w:t>
            </w:r>
            <w:r w:rsidR="00C36E37" w:rsidRPr="00A17559">
              <w:rPr>
                <w:lang w:val="en-GB"/>
              </w:rPr>
              <w:t>.</w:t>
            </w:r>
            <w:r w:rsidR="00747EE9" w:rsidRPr="00A17559">
              <w:rPr>
                <w:lang w:val="en-GB"/>
              </w:rPr>
              <w:t>8</w:t>
            </w:r>
            <w:r w:rsidR="00403F57" w:rsidRPr="00A17559">
              <w:rPr>
                <w:lang w:val="en-GB"/>
              </w:rPr>
              <w:t>%</w:t>
            </w:r>
            <w:r w:rsidR="00747EE9" w:rsidRPr="00A17559">
              <w:rPr>
                <w:lang w:val="en-GB"/>
              </w:rPr>
              <w:t xml:space="preserve">) </w:t>
            </w:r>
            <w:r w:rsidR="002F1B09" w:rsidRPr="00A17559">
              <w:rPr>
                <w:lang w:val="en-GB"/>
              </w:rPr>
              <w:t>a</w:t>
            </w:r>
            <w:r w:rsidR="00C36E37" w:rsidRPr="00A17559">
              <w:rPr>
                <w:lang w:val="en-GB"/>
              </w:rPr>
              <w:t xml:space="preserve">nd </w:t>
            </w:r>
            <w:r w:rsidR="00747EE9" w:rsidRPr="00A17559">
              <w:rPr>
                <w:lang w:val="en-GB"/>
              </w:rPr>
              <w:t>L</w:t>
            </w:r>
            <w:r w:rsidR="00C36E37" w:rsidRPr="00A17559">
              <w:rPr>
                <w:lang w:val="en-GB"/>
              </w:rPr>
              <w:t xml:space="preserve">atvia </w:t>
            </w:r>
            <w:r w:rsidR="00747EE9" w:rsidRPr="00A17559">
              <w:rPr>
                <w:lang w:val="en-GB"/>
              </w:rPr>
              <w:t>(3</w:t>
            </w:r>
            <w:r w:rsidR="00C36E37" w:rsidRPr="00A17559">
              <w:rPr>
                <w:lang w:val="en-GB"/>
              </w:rPr>
              <w:t>.</w:t>
            </w:r>
            <w:r w:rsidR="00747EE9" w:rsidRPr="00A17559">
              <w:rPr>
                <w:lang w:val="en-GB"/>
              </w:rPr>
              <w:t>3</w:t>
            </w:r>
            <w:r w:rsidR="00403F57" w:rsidRPr="00A17559">
              <w:rPr>
                <w:lang w:val="en-GB"/>
              </w:rPr>
              <w:t>%</w:t>
            </w:r>
            <w:r w:rsidR="00747EE9" w:rsidRPr="00A17559">
              <w:rPr>
                <w:lang w:val="en-GB"/>
              </w:rPr>
              <w:t>)</w:t>
            </w:r>
            <w:r w:rsidR="00C36E37" w:rsidRPr="00A17559">
              <w:rPr>
                <w:lang w:val="en-GB"/>
              </w:rPr>
              <w:t xml:space="preserve"> experienced the highest price growth in Q2. Cyprus, Portugal and Greece </w:t>
            </w:r>
            <w:r w:rsidR="00747EE9" w:rsidRPr="00A17559">
              <w:rPr>
                <w:lang w:val="en-GB"/>
              </w:rPr>
              <w:t>(</w:t>
            </w:r>
            <w:r w:rsidR="00C36E37" w:rsidRPr="00A17559">
              <w:rPr>
                <w:lang w:val="en-GB"/>
              </w:rPr>
              <w:t xml:space="preserve">similarly by </w:t>
            </w:r>
            <w:r w:rsidR="00747EE9" w:rsidRPr="00A17559">
              <w:rPr>
                <w:lang w:val="en-GB"/>
              </w:rPr>
              <w:t>0</w:t>
            </w:r>
            <w:r w:rsidR="00C36E37" w:rsidRPr="00A17559">
              <w:rPr>
                <w:lang w:val="en-GB"/>
              </w:rPr>
              <w:t>.</w:t>
            </w:r>
            <w:r w:rsidR="00747EE9" w:rsidRPr="00A17559">
              <w:rPr>
                <w:lang w:val="en-GB"/>
              </w:rPr>
              <w:t>6</w:t>
            </w:r>
            <w:r w:rsidR="00403F57" w:rsidRPr="00A17559">
              <w:rPr>
                <w:lang w:val="en-GB"/>
              </w:rPr>
              <w:t>%</w:t>
            </w:r>
            <w:r w:rsidR="00747EE9" w:rsidRPr="00A17559">
              <w:rPr>
                <w:lang w:val="en-GB"/>
              </w:rPr>
              <w:t>)</w:t>
            </w:r>
            <w:r w:rsidR="00C36E37" w:rsidRPr="00A17559">
              <w:rPr>
                <w:lang w:val="en-GB"/>
              </w:rPr>
              <w:t xml:space="preserve"> recorded on the contrary only slow price growth</w:t>
            </w:r>
            <w:r w:rsidR="00747EE9" w:rsidRPr="00A17559">
              <w:rPr>
                <w:lang w:val="en-GB"/>
              </w:rPr>
              <w:t>.</w:t>
            </w:r>
          </w:p>
        </w:tc>
      </w:tr>
      <w:tr w:rsidR="00747EE9" w:rsidRPr="00A17559" w:rsidTr="00747EE9">
        <w:trPr>
          <w:trHeight w:val="170"/>
        </w:trPr>
        <w:tc>
          <w:tcPr>
            <w:tcW w:w="1805" w:type="dxa"/>
            <w:vMerge w:val="restart"/>
            <w:shd w:val="clear" w:color="auto" w:fill="auto"/>
            <w:tcMar>
              <w:left w:w="0" w:type="dxa"/>
            </w:tcMar>
          </w:tcPr>
          <w:p w:rsidR="00747EE9" w:rsidRPr="00A17559" w:rsidRDefault="00747EE9" w:rsidP="00747EE9">
            <w:pPr>
              <w:pStyle w:val="Marginlie"/>
              <w:rPr>
                <w:spacing w:val="0"/>
                <w:lang w:val="en-GB"/>
              </w:rPr>
            </w:pPr>
          </w:p>
        </w:tc>
        <w:tc>
          <w:tcPr>
            <w:tcW w:w="224" w:type="dxa"/>
            <w:vMerge w:val="restart"/>
            <w:shd w:val="clear" w:color="auto" w:fill="auto"/>
            <w:tcMar>
              <w:left w:w="0" w:type="dxa"/>
            </w:tcMar>
          </w:tcPr>
          <w:p w:rsidR="00747EE9" w:rsidRPr="00A17559" w:rsidRDefault="00747EE9" w:rsidP="00747EE9">
            <w:pPr>
              <w:pStyle w:val="Textpoznpodarou1"/>
              <w:jc w:val="both"/>
              <w:rPr>
                <w:lang w:val="en-GB"/>
              </w:rPr>
            </w:pPr>
          </w:p>
        </w:tc>
        <w:tc>
          <w:tcPr>
            <w:tcW w:w="7610" w:type="dxa"/>
            <w:shd w:val="clear" w:color="auto" w:fill="auto"/>
            <w:tcMar>
              <w:left w:w="0" w:type="dxa"/>
            </w:tcMar>
          </w:tcPr>
          <w:p w:rsidR="00747EE9" w:rsidRPr="00A6092A" w:rsidRDefault="005F2EB5" w:rsidP="005F2EB5">
            <w:pPr>
              <w:spacing w:after="0"/>
              <w:rPr>
                <w:szCs w:val="20"/>
                <w:lang w:val="en-GB"/>
              </w:rPr>
            </w:pPr>
            <w:r w:rsidRPr="00A6092A">
              <w:rPr>
                <w:b/>
                <w:szCs w:val="20"/>
                <w:lang w:val="en-GB" w:eastAsia="en-US"/>
              </w:rPr>
              <w:t xml:space="preserve">Chart </w:t>
            </w:r>
            <w:r w:rsidR="008A394E" w:rsidRPr="00A6092A">
              <w:rPr>
                <w:b/>
                <w:szCs w:val="20"/>
                <w:lang w:val="en-GB" w:eastAsia="en-US"/>
              </w:rPr>
              <w:t>11</w:t>
            </w:r>
            <w:r w:rsidR="00DB6DFF" w:rsidRPr="00A6092A">
              <w:rPr>
                <w:b/>
                <w:szCs w:val="20"/>
                <w:lang w:val="en-GB" w:eastAsia="en-US"/>
              </w:rPr>
              <w:t xml:space="preserve"> </w:t>
            </w:r>
            <w:r w:rsidR="00FF3F14" w:rsidRPr="00A6092A">
              <w:rPr>
                <w:b/>
                <w:szCs w:val="20"/>
                <w:lang w:val="en-GB" w:eastAsia="en-US"/>
              </w:rPr>
              <w:t xml:space="preserve">Prices of real estate </w:t>
            </w:r>
            <w:r w:rsidR="00FF3F14" w:rsidRPr="00A6092A">
              <w:rPr>
                <w:szCs w:val="20"/>
                <w:lang w:val="en-GB" w:eastAsia="en-US"/>
              </w:rPr>
              <w:t>(year-on-year change, in %)</w:t>
            </w:r>
          </w:p>
        </w:tc>
      </w:tr>
      <w:tr w:rsidR="00747EE9" w:rsidRPr="00A17559" w:rsidTr="00FD025C">
        <w:tblPrEx>
          <w:tblCellMar>
            <w:left w:w="70" w:type="dxa"/>
            <w:right w:w="70" w:type="dxa"/>
          </w:tblCellMar>
        </w:tblPrEx>
        <w:trPr>
          <w:trHeight w:val="170"/>
        </w:trPr>
        <w:tc>
          <w:tcPr>
            <w:tcW w:w="1805" w:type="dxa"/>
            <w:vMerge/>
            <w:shd w:val="clear" w:color="auto" w:fill="auto"/>
          </w:tcPr>
          <w:p w:rsidR="00747EE9" w:rsidRPr="00A17559" w:rsidRDefault="00747EE9" w:rsidP="00747EE9">
            <w:pPr>
              <w:pStyle w:val="Marginlie"/>
              <w:rPr>
                <w:spacing w:val="0"/>
                <w:lang w:val="en-GB"/>
              </w:rPr>
            </w:pPr>
          </w:p>
        </w:tc>
        <w:tc>
          <w:tcPr>
            <w:tcW w:w="224" w:type="dxa"/>
            <w:vMerge/>
            <w:shd w:val="clear" w:color="auto" w:fill="auto"/>
          </w:tcPr>
          <w:p w:rsidR="00747EE9" w:rsidRPr="00A17559" w:rsidRDefault="00747EE9" w:rsidP="00747EE9">
            <w:pPr>
              <w:pStyle w:val="Textpoznpodarou1"/>
              <w:jc w:val="both"/>
              <w:rPr>
                <w:lang w:val="en-GB"/>
              </w:rPr>
            </w:pPr>
          </w:p>
        </w:tc>
        <w:tc>
          <w:tcPr>
            <w:tcW w:w="7610" w:type="dxa"/>
            <w:shd w:val="clear" w:color="auto" w:fill="auto"/>
          </w:tcPr>
          <w:p w:rsidR="00747EE9" w:rsidRPr="00A17559" w:rsidRDefault="00FD025C" w:rsidP="006E45D2">
            <w:pPr>
              <w:spacing w:after="0"/>
              <w:rPr>
                <w:lang w:val="en-GB"/>
              </w:rPr>
            </w:pPr>
            <w:r>
              <w:rPr>
                <w:noProof/>
              </w:rPr>
              <w:drawing>
                <wp:inline distT="0" distB="0" distL="0" distR="0" wp14:anchorId="4B34C806" wp14:editId="219F22D8">
                  <wp:extent cx="4737600" cy="3553200"/>
                  <wp:effectExtent l="0" t="0" r="6350" b="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747EE9" w:rsidRPr="00A17559" w:rsidTr="00747EE9">
        <w:trPr>
          <w:trHeight w:val="170"/>
        </w:trPr>
        <w:tc>
          <w:tcPr>
            <w:tcW w:w="1805" w:type="dxa"/>
            <w:vMerge/>
            <w:shd w:val="clear" w:color="auto" w:fill="auto"/>
            <w:tcMar>
              <w:left w:w="0" w:type="dxa"/>
            </w:tcMar>
          </w:tcPr>
          <w:p w:rsidR="00747EE9" w:rsidRPr="00A17559" w:rsidRDefault="00747EE9" w:rsidP="00747EE9">
            <w:pPr>
              <w:pStyle w:val="Marginlie"/>
              <w:rPr>
                <w:spacing w:val="0"/>
                <w:lang w:val="en-GB"/>
              </w:rPr>
            </w:pPr>
          </w:p>
        </w:tc>
        <w:tc>
          <w:tcPr>
            <w:tcW w:w="224" w:type="dxa"/>
            <w:vMerge/>
            <w:shd w:val="clear" w:color="auto" w:fill="auto"/>
            <w:tcMar>
              <w:left w:w="0" w:type="dxa"/>
            </w:tcMar>
          </w:tcPr>
          <w:p w:rsidR="00747EE9" w:rsidRPr="00A17559" w:rsidRDefault="00747EE9" w:rsidP="00747EE9">
            <w:pPr>
              <w:pStyle w:val="Textpoznpodarou1"/>
              <w:jc w:val="both"/>
              <w:rPr>
                <w:lang w:val="en-GB"/>
              </w:rPr>
            </w:pPr>
          </w:p>
        </w:tc>
        <w:tc>
          <w:tcPr>
            <w:tcW w:w="7610" w:type="dxa"/>
            <w:shd w:val="clear" w:color="auto" w:fill="auto"/>
            <w:tcMar>
              <w:left w:w="0" w:type="dxa"/>
            </w:tcMar>
          </w:tcPr>
          <w:p w:rsidR="00A16520" w:rsidRPr="00A17559" w:rsidRDefault="00951A15" w:rsidP="00FD025C">
            <w:pPr>
              <w:rPr>
                <w:lang w:val="en-GB"/>
              </w:rPr>
            </w:pPr>
            <w:r w:rsidRPr="00A17559">
              <w:rPr>
                <w:sz w:val="14"/>
                <w:szCs w:val="14"/>
                <w:lang w:val="en-GB"/>
              </w:rPr>
              <w:t>Source</w:t>
            </w:r>
            <w:r w:rsidR="00747EE9" w:rsidRPr="00A17559">
              <w:rPr>
                <w:sz w:val="14"/>
                <w:szCs w:val="14"/>
                <w:lang w:val="en-GB"/>
              </w:rPr>
              <w:t xml:space="preserve">: </w:t>
            </w:r>
            <w:r w:rsidRPr="00A17559">
              <w:rPr>
                <w:sz w:val="14"/>
                <w:szCs w:val="14"/>
                <w:lang w:val="en-GB"/>
              </w:rPr>
              <w:t>CZSO</w:t>
            </w:r>
          </w:p>
        </w:tc>
      </w:tr>
      <w:tr w:rsidR="00747EE9" w:rsidRPr="00A17559" w:rsidTr="00747EE9">
        <w:trPr>
          <w:trHeight w:val="145"/>
        </w:trPr>
        <w:tc>
          <w:tcPr>
            <w:tcW w:w="1805" w:type="dxa"/>
            <w:shd w:val="clear" w:color="auto" w:fill="auto"/>
            <w:tcMar>
              <w:left w:w="0" w:type="dxa"/>
            </w:tcMar>
          </w:tcPr>
          <w:p w:rsidR="00747EE9" w:rsidRPr="00A17559" w:rsidRDefault="00951A15" w:rsidP="00951A15">
            <w:pPr>
              <w:pStyle w:val="Marginlie"/>
              <w:rPr>
                <w:spacing w:val="0"/>
                <w:lang w:val="en-GB"/>
              </w:rPr>
            </w:pPr>
            <w:r w:rsidRPr="00A17559">
              <w:rPr>
                <w:spacing w:val="0"/>
                <w:lang w:val="en-GB"/>
              </w:rPr>
              <w:t xml:space="preserve">Growth of the supply prices of flats weakened. </w:t>
            </w:r>
          </w:p>
        </w:tc>
        <w:tc>
          <w:tcPr>
            <w:tcW w:w="224" w:type="dxa"/>
            <w:shd w:val="clear" w:color="auto" w:fill="auto"/>
            <w:tcMar>
              <w:left w:w="0" w:type="dxa"/>
            </w:tcMar>
          </w:tcPr>
          <w:p w:rsidR="00747EE9" w:rsidRPr="00A17559" w:rsidRDefault="00747EE9" w:rsidP="00747EE9">
            <w:pPr>
              <w:pStyle w:val="Textpoznpodarou1"/>
              <w:jc w:val="both"/>
              <w:rPr>
                <w:lang w:val="en-GB"/>
              </w:rPr>
            </w:pPr>
          </w:p>
        </w:tc>
        <w:tc>
          <w:tcPr>
            <w:tcW w:w="7610" w:type="dxa"/>
            <w:shd w:val="clear" w:color="auto" w:fill="auto"/>
            <w:tcMar>
              <w:left w:w="0" w:type="dxa"/>
            </w:tcMar>
          </w:tcPr>
          <w:p w:rsidR="00747EE9" w:rsidRPr="00A17559" w:rsidRDefault="00951A15" w:rsidP="00A2445C">
            <w:pPr>
              <w:rPr>
                <w:lang w:val="en-GB"/>
              </w:rPr>
            </w:pPr>
            <w:r w:rsidRPr="00A17559">
              <w:rPr>
                <w:lang w:val="en-GB"/>
              </w:rPr>
              <w:t>Development of real estate prices mirrors to a certain extent the situation on the</w:t>
            </w:r>
            <w:r w:rsidR="00B876D2" w:rsidRPr="00A17559">
              <w:rPr>
                <w:lang w:val="en-GB"/>
              </w:rPr>
              <w:t xml:space="preserve"> residential market</w:t>
            </w:r>
            <w:r w:rsidR="00747EE9" w:rsidRPr="00A17559">
              <w:rPr>
                <w:lang w:val="en-GB"/>
              </w:rPr>
              <w:t xml:space="preserve">. </w:t>
            </w:r>
            <w:r w:rsidR="009912E7" w:rsidRPr="00A17559">
              <w:rPr>
                <w:lang w:val="en-GB"/>
              </w:rPr>
              <w:t>Supply prices increased by 5.7% year-on-year in Q</w:t>
            </w:r>
            <w:r w:rsidR="00747EE9" w:rsidRPr="00A17559">
              <w:rPr>
                <w:lang w:val="en-GB"/>
              </w:rPr>
              <w:t>2</w:t>
            </w:r>
            <w:r w:rsidR="009912E7" w:rsidRPr="00A17559">
              <w:rPr>
                <w:lang w:val="en-GB"/>
              </w:rPr>
              <w:t xml:space="preserve"> and the trend of the slowing dynamics thus continued </w:t>
            </w:r>
            <w:r w:rsidR="00747EE9" w:rsidRPr="00A17559">
              <w:rPr>
                <w:lang w:val="en-GB"/>
              </w:rPr>
              <w:t>(</w:t>
            </w:r>
            <w:r w:rsidR="009912E7" w:rsidRPr="00A17559">
              <w:rPr>
                <w:lang w:val="en-GB"/>
              </w:rPr>
              <w:t>prices grew by</w:t>
            </w:r>
            <w:r w:rsidR="00A2445C" w:rsidRPr="00A17559">
              <w:rPr>
                <w:lang w:val="en-GB"/>
              </w:rPr>
              <w:t xml:space="preserve"> </w:t>
            </w:r>
            <w:r w:rsidR="009912E7" w:rsidRPr="00A17559">
              <w:rPr>
                <w:lang w:val="en-GB"/>
              </w:rPr>
              <w:t>7.4% in Q</w:t>
            </w:r>
            <w:r w:rsidR="00747EE9" w:rsidRPr="00A17559">
              <w:rPr>
                <w:lang w:val="en-GB"/>
              </w:rPr>
              <w:t>1</w:t>
            </w:r>
            <w:r w:rsidR="009912E7" w:rsidRPr="00A17559">
              <w:rPr>
                <w:lang w:val="en-GB"/>
              </w:rPr>
              <w:t xml:space="preserve">). </w:t>
            </w:r>
            <w:r w:rsidR="00BE0088" w:rsidRPr="00A17559">
              <w:rPr>
                <w:lang w:val="en-GB"/>
              </w:rPr>
              <w:t xml:space="preserve">Growth of the supply prices of flats slackened even more in Prague </w:t>
            </w:r>
            <w:r w:rsidR="00747EE9" w:rsidRPr="00A17559">
              <w:rPr>
                <w:lang w:val="en-GB"/>
              </w:rPr>
              <w:t>(</w:t>
            </w:r>
            <w:r w:rsidR="00BE0088" w:rsidRPr="00A17559">
              <w:rPr>
                <w:lang w:val="en-GB"/>
              </w:rPr>
              <w:t xml:space="preserve">from </w:t>
            </w:r>
            <w:r w:rsidR="00747EE9" w:rsidRPr="00A17559">
              <w:rPr>
                <w:lang w:val="en-GB"/>
              </w:rPr>
              <w:t>8</w:t>
            </w:r>
            <w:r w:rsidR="00BE0088" w:rsidRPr="00A17559">
              <w:rPr>
                <w:lang w:val="en-GB"/>
              </w:rPr>
              <w:t>.</w:t>
            </w:r>
            <w:r w:rsidR="00747EE9" w:rsidRPr="00A17559">
              <w:rPr>
                <w:lang w:val="en-GB"/>
              </w:rPr>
              <w:t>3</w:t>
            </w:r>
            <w:r w:rsidR="00403F57" w:rsidRPr="00A17559">
              <w:rPr>
                <w:lang w:val="en-GB"/>
              </w:rPr>
              <w:t>%</w:t>
            </w:r>
            <w:r w:rsidR="00747EE9" w:rsidRPr="00A17559">
              <w:rPr>
                <w:lang w:val="en-GB"/>
              </w:rPr>
              <w:t xml:space="preserve"> </w:t>
            </w:r>
            <w:r w:rsidR="00BE0088" w:rsidRPr="00A17559">
              <w:rPr>
                <w:lang w:val="en-GB"/>
              </w:rPr>
              <w:t>in Q</w:t>
            </w:r>
            <w:r w:rsidR="00747EE9" w:rsidRPr="00A17559">
              <w:rPr>
                <w:lang w:val="en-GB"/>
              </w:rPr>
              <w:t>1</w:t>
            </w:r>
            <w:r w:rsidR="00BE0088" w:rsidRPr="00A17559">
              <w:rPr>
                <w:lang w:val="en-GB"/>
              </w:rPr>
              <w:t xml:space="preserve"> to </w:t>
            </w:r>
            <w:r w:rsidR="00747EE9" w:rsidRPr="00A17559">
              <w:rPr>
                <w:lang w:val="en-GB"/>
              </w:rPr>
              <w:t>4</w:t>
            </w:r>
            <w:r w:rsidR="00BE0088" w:rsidRPr="00A17559">
              <w:rPr>
                <w:lang w:val="en-GB"/>
              </w:rPr>
              <w:t>.</w:t>
            </w:r>
            <w:r w:rsidR="00747EE9" w:rsidRPr="00A17559">
              <w:rPr>
                <w:lang w:val="en-GB"/>
              </w:rPr>
              <w:t>9</w:t>
            </w:r>
            <w:r w:rsidR="00403F57" w:rsidRPr="00A17559">
              <w:rPr>
                <w:lang w:val="en-GB"/>
              </w:rPr>
              <w:t>%</w:t>
            </w:r>
            <w:r w:rsidR="00747EE9" w:rsidRPr="00A17559">
              <w:rPr>
                <w:lang w:val="en-GB"/>
              </w:rPr>
              <w:t xml:space="preserve">). </w:t>
            </w:r>
            <w:r w:rsidR="00B876D2" w:rsidRPr="00A17559">
              <w:rPr>
                <w:lang w:val="en-GB"/>
              </w:rPr>
              <w:t>On the other hand, the year-on-year rate of growth of the realised prices of older flats stays above 8% in the last three years. This index thus increased by 10.3% in total in the CR in Q</w:t>
            </w:r>
            <w:r w:rsidR="00747EE9" w:rsidRPr="00A17559">
              <w:rPr>
                <w:lang w:val="en-GB"/>
              </w:rPr>
              <w:t>2</w:t>
            </w:r>
            <w:r w:rsidR="00B876D2" w:rsidRPr="00A17559">
              <w:rPr>
                <w:lang w:val="en-GB"/>
              </w:rPr>
              <w:t xml:space="preserve"> and by 8.2% in Prague. It shows, that even though certain market </w:t>
            </w:r>
            <w:r w:rsidR="0024106F" w:rsidRPr="00A17559">
              <w:rPr>
                <w:lang w:val="en-GB"/>
              </w:rPr>
              <w:t xml:space="preserve">downturn </w:t>
            </w:r>
            <w:r w:rsidR="00747EE9" w:rsidRPr="00A17559">
              <w:rPr>
                <w:lang w:val="en-GB"/>
              </w:rPr>
              <w:t>(</w:t>
            </w:r>
            <w:r w:rsidR="00B876D2" w:rsidRPr="00A17559">
              <w:rPr>
                <w:lang w:val="en-GB"/>
              </w:rPr>
              <w:t>connected among other things to worse accessibility of mortgages</w:t>
            </w:r>
            <w:r w:rsidR="00747EE9" w:rsidRPr="00A17559">
              <w:rPr>
                <w:lang w:val="en-GB"/>
              </w:rPr>
              <w:t xml:space="preserve">) </w:t>
            </w:r>
            <w:r w:rsidR="0024106F" w:rsidRPr="00A17559">
              <w:rPr>
                <w:lang w:val="en-GB"/>
              </w:rPr>
              <w:t>was evident in the supply</w:t>
            </w:r>
            <w:r w:rsidR="00747EE9" w:rsidRPr="00A17559">
              <w:rPr>
                <w:lang w:val="en-GB"/>
              </w:rPr>
              <w:t xml:space="preserve">, </w:t>
            </w:r>
            <w:r w:rsidR="00B876D2" w:rsidRPr="00A17559">
              <w:rPr>
                <w:lang w:val="en-GB"/>
              </w:rPr>
              <w:t xml:space="preserve">the position of buyers is still relatively weak. Shortage of suitable flats, which would satiate the demand, still does not enable more meaningful negotiation regarding the price, which could hamper the growth of the realised prices. </w:t>
            </w:r>
          </w:p>
        </w:tc>
      </w:tr>
      <w:tr w:rsidR="00747EE9" w:rsidRPr="00A17559" w:rsidTr="00747EE9">
        <w:trPr>
          <w:trHeight w:val="145"/>
        </w:trPr>
        <w:tc>
          <w:tcPr>
            <w:tcW w:w="1805" w:type="dxa"/>
            <w:shd w:val="clear" w:color="auto" w:fill="auto"/>
            <w:tcMar>
              <w:left w:w="0" w:type="dxa"/>
            </w:tcMar>
          </w:tcPr>
          <w:p w:rsidR="00747EE9" w:rsidRPr="00A17559" w:rsidRDefault="00A16520" w:rsidP="00A16520">
            <w:pPr>
              <w:pStyle w:val="Marginlie"/>
              <w:rPr>
                <w:spacing w:val="0"/>
                <w:lang w:val="en-GB"/>
              </w:rPr>
            </w:pPr>
            <w:r w:rsidRPr="00A17559">
              <w:rPr>
                <w:spacing w:val="0"/>
                <w:lang w:val="en-GB"/>
              </w:rPr>
              <w:t>Industrial producer prices were rising in H1</w:t>
            </w:r>
            <w:r w:rsidR="004A5D4E" w:rsidRPr="00A17559">
              <w:rPr>
                <w:spacing w:val="0"/>
                <w:lang w:val="en-GB"/>
              </w:rPr>
              <w:t>.</w:t>
            </w:r>
          </w:p>
        </w:tc>
        <w:tc>
          <w:tcPr>
            <w:tcW w:w="224" w:type="dxa"/>
            <w:shd w:val="clear" w:color="auto" w:fill="auto"/>
            <w:tcMar>
              <w:left w:w="0" w:type="dxa"/>
            </w:tcMar>
          </w:tcPr>
          <w:p w:rsidR="00747EE9" w:rsidRPr="00A17559" w:rsidRDefault="00747EE9" w:rsidP="00747EE9">
            <w:pPr>
              <w:pStyle w:val="Textpoznpodarou1"/>
              <w:jc w:val="both"/>
              <w:rPr>
                <w:lang w:val="en-GB"/>
              </w:rPr>
            </w:pPr>
          </w:p>
        </w:tc>
        <w:tc>
          <w:tcPr>
            <w:tcW w:w="7610" w:type="dxa"/>
            <w:shd w:val="clear" w:color="auto" w:fill="auto"/>
            <w:tcMar>
              <w:left w:w="0" w:type="dxa"/>
            </w:tcMar>
          </w:tcPr>
          <w:p w:rsidR="00747EE9" w:rsidRPr="00A17559" w:rsidRDefault="00A16520" w:rsidP="00A2445C">
            <w:pPr>
              <w:rPr>
                <w:lang w:val="en-GB"/>
              </w:rPr>
            </w:pPr>
            <w:r w:rsidRPr="00A17559">
              <w:rPr>
                <w:lang w:val="en-GB"/>
              </w:rPr>
              <w:t>Prices of industrial producers rose by 3.5% year-on-year in H1</w:t>
            </w:r>
            <w:r w:rsidR="00747EE9" w:rsidRPr="00A17559">
              <w:rPr>
                <w:lang w:val="en-GB"/>
              </w:rPr>
              <w:t>.</w:t>
            </w:r>
            <w:r w:rsidRPr="00A17559">
              <w:rPr>
                <w:lang w:val="en-GB"/>
              </w:rPr>
              <w:t xml:space="preserve"> </w:t>
            </w:r>
            <w:r w:rsidR="00ED19F0" w:rsidRPr="00A17559">
              <w:rPr>
                <w:lang w:val="en-GB"/>
              </w:rPr>
              <w:t xml:space="preserve">Growth attained the same values also in individual quarters. </w:t>
            </w:r>
            <w:r w:rsidR="00A2445C" w:rsidRPr="00A17559">
              <w:rPr>
                <w:lang w:val="en-GB"/>
              </w:rPr>
              <w:t>G</w:t>
            </w:r>
            <w:r w:rsidR="00ED19F0" w:rsidRPr="00A17559">
              <w:rPr>
                <w:lang w:val="en-GB"/>
              </w:rPr>
              <w:t>oods and services</w:t>
            </w:r>
            <w:r w:rsidR="00A2445C" w:rsidRPr="00A17559">
              <w:rPr>
                <w:lang w:val="en-GB"/>
              </w:rPr>
              <w:t xml:space="preserve"> of manufacturing</w:t>
            </w:r>
            <w:r w:rsidR="00ED19F0" w:rsidRPr="00A17559">
              <w:rPr>
                <w:lang w:val="en-GB"/>
              </w:rPr>
              <w:t>, which holds the strongest weight in the Czech economy, contributed the most to the growth of prices. Their prices rose by 2.6% in H</w:t>
            </w:r>
            <w:r w:rsidR="004A5D4E" w:rsidRPr="00A17559">
              <w:rPr>
                <w:lang w:val="en-GB"/>
              </w:rPr>
              <w:t>1.</w:t>
            </w:r>
            <w:r w:rsidR="00ED19F0" w:rsidRPr="00A17559">
              <w:rPr>
                <w:lang w:val="en-GB"/>
              </w:rPr>
              <w:t xml:space="preserve"> Prices of coke and refined oil products, but also food products, beverages, tobacco (year-on-year growth of </w:t>
            </w:r>
            <w:r w:rsidR="00747EE9" w:rsidRPr="00A17559">
              <w:rPr>
                <w:lang w:val="en-GB"/>
              </w:rPr>
              <w:t>3</w:t>
            </w:r>
            <w:r w:rsidR="00ED19F0" w:rsidRPr="00A17559">
              <w:rPr>
                <w:lang w:val="en-GB"/>
              </w:rPr>
              <w:t>.</w:t>
            </w:r>
            <w:r w:rsidR="00747EE9" w:rsidRPr="00A17559">
              <w:rPr>
                <w:lang w:val="en-GB"/>
              </w:rPr>
              <w:t>3</w:t>
            </w:r>
            <w:r w:rsidR="00403F57" w:rsidRPr="00A17559">
              <w:rPr>
                <w:lang w:val="en-GB"/>
              </w:rPr>
              <w:t>%</w:t>
            </w:r>
            <w:r w:rsidR="00747EE9" w:rsidRPr="00A17559">
              <w:rPr>
                <w:lang w:val="en-GB"/>
              </w:rPr>
              <w:t>),</w:t>
            </w:r>
            <w:r w:rsidR="00ED19F0" w:rsidRPr="00A17559">
              <w:rPr>
                <w:lang w:val="en-GB"/>
              </w:rPr>
              <w:t xml:space="preserve"> rubber and plastic products </w:t>
            </w:r>
            <w:r w:rsidR="00747EE9" w:rsidRPr="00A17559">
              <w:rPr>
                <w:lang w:val="en-GB"/>
              </w:rPr>
              <w:t>(3</w:t>
            </w:r>
            <w:r w:rsidR="00ED19F0" w:rsidRPr="00A17559">
              <w:rPr>
                <w:lang w:val="en-GB"/>
              </w:rPr>
              <w:t>.</w:t>
            </w:r>
            <w:r w:rsidR="00747EE9" w:rsidRPr="00A17559">
              <w:rPr>
                <w:lang w:val="en-GB"/>
              </w:rPr>
              <w:t>7</w:t>
            </w:r>
            <w:r w:rsidR="00403F57" w:rsidRPr="00A17559">
              <w:rPr>
                <w:lang w:val="en-GB"/>
              </w:rPr>
              <w:t>%</w:t>
            </w:r>
            <w:r w:rsidR="00747EE9" w:rsidRPr="00A17559">
              <w:rPr>
                <w:lang w:val="en-GB"/>
              </w:rPr>
              <w:t xml:space="preserve">) </w:t>
            </w:r>
            <w:r w:rsidR="00ED19F0" w:rsidRPr="00A17559">
              <w:rPr>
                <w:lang w:val="en-GB"/>
              </w:rPr>
              <w:t xml:space="preserve">or basic metals and metal products </w:t>
            </w:r>
            <w:r w:rsidR="00747EE9" w:rsidRPr="00A17559">
              <w:rPr>
                <w:lang w:val="en-GB"/>
              </w:rPr>
              <w:t>(2</w:t>
            </w:r>
            <w:r w:rsidR="00ED19F0" w:rsidRPr="00A17559">
              <w:rPr>
                <w:lang w:val="en-GB"/>
              </w:rPr>
              <w:t>.</w:t>
            </w:r>
            <w:r w:rsidR="00747EE9" w:rsidRPr="00A17559">
              <w:rPr>
                <w:lang w:val="en-GB"/>
              </w:rPr>
              <w:t>2</w:t>
            </w:r>
            <w:r w:rsidR="00403F57" w:rsidRPr="00A17559">
              <w:rPr>
                <w:lang w:val="en-GB"/>
              </w:rPr>
              <w:t>%</w:t>
            </w:r>
            <w:r w:rsidR="00747EE9" w:rsidRPr="00A17559">
              <w:rPr>
                <w:lang w:val="en-GB"/>
              </w:rPr>
              <w:t>)</w:t>
            </w:r>
            <w:r w:rsidR="00ED19F0" w:rsidRPr="00A17559">
              <w:rPr>
                <w:lang w:val="en-GB"/>
              </w:rPr>
              <w:t xml:space="preserve"> strongly contributed to this growth</w:t>
            </w:r>
            <w:r w:rsidR="00747EE9" w:rsidRPr="00A17559">
              <w:rPr>
                <w:lang w:val="en-GB"/>
              </w:rPr>
              <w:t>.</w:t>
            </w:r>
            <w:r w:rsidR="00ED19F0" w:rsidRPr="00A17559">
              <w:rPr>
                <w:lang w:val="en-GB"/>
              </w:rPr>
              <w:t xml:space="preserve"> Prices of </w:t>
            </w:r>
            <w:r w:rsidR="00183928" w:rsidRPr="00A17559">
              <w:rPr>
                <w:lang w:val="en-GB"/>
              </w:rPr>
              <w:t>electricity</w:t>
            </w:r>
            <w:r w:rsidR="00ED19F0" w:rsidRPr="00A17559">
              <w:rPr>
                <w:lang w:val="en-GB"/>
              </w:rPr>
              <w:t>, gas, steam and air conditioning supply</w:t>
            </w:r>
            <w:r w:rsidR="00183928" w:rsidRPr="00A17559">
              <w:rPr>
                <w:lang w:val="en-GB"/>
              </w:rPr>
              <w:t xml:space="preserve">, where the strong dynamics from Q1 even strengthened in Q2 </w:t>
            </w:r>
            <w:r w:rsidR="00A2445C" w:rsidRPr="00A17559">
              <w:rPr>
                <w:lang w:val="en-GB"/>
              </w:rPr>
              <w:t>rose</w:t>
            </w:r>
            <w:r w:rsidR="00183928" w:rsidRPr="00A17559">
              <w:rPr>
                <w:lang w:val="en-GB"/>
              </w:rPr>
              <w:t xml:space="preserve"> notably (</w:t>
            </w:r>
            <w:r w:rsidR="00747EE9" w:rsidRPr="00A17559">
              <w:rPr>
                <w:lang w:val="en-GB"/>
              </w:rPr>
              <w:t>8</w:t>
            </w:r>
            <w:r w:rsidR="00183928" w:rsidRPr="00A17559">
              <w:rPr>
                <w:lang w:val="en-GB"/>
              </w:rPr>
              <w:t>.</w:t>
            </w:r>
            <w:r w:rsidR="00747EE9" w:rsidRPr="00A17559">
              <w:rPr>
                <w:lang w:val="en-GB"/>
              </w:rPr>
              <w:t>0</w:t>
            </w:r>
            <w:r w:rsidR="00403F57" w:rsidRPr="00A17559">
              <w:rPr>
                <w:lang w:val="en-GB"/>
              </w:rPr>
              <w:t>%</w:t>
            </w:r>
            <w:r w:rsidR="00747EE9" w:rsidRPr="00A17559">
              <w:rPr>
                <w:lang w:val="en-GB"/>
              </w:rPr>
              <w:t>)</w:t>
            </w:r>
            <w:r w:rsidR="00183928" w:rsidRPr="00A17559">
              <w:rPr>
                <w:lang w:val="en-GB"/>
              </w:rPr>
              <w:t xml:space="preserve">. Prices of mining and quarrying were also growing in the first half of year </w:t>
            </w:r>
            <w:r w:rsidR="00747EE9" w:rsidRPr="00A17559">
              <w:rPr>
                <w:lang w:val="en-GB"/>
              </w:rPr>
              <w:t>(7</w:t>
            </w:r>
            <w:r w:rsidR="00183928" w:rsidRPr="00A17559">
              <w:rPr>
                <w:lang w:val="en-GB"/>
              </w:rPr>
              <w:t>.</w:t>
            </w:r>
            <w:r w:rsidR="00747EE9" w:rsidRPr="00A17559">
              <w:rPr>
                <w:lang w:val="en-GB"/>
              </w:rPr>
              <w:t>7</w:t>
            </w:r>
            <w:r w:rsidR="00403F57" w:rsidRPr="00A17559">
              <w:rPr>
                <w:lang w:val="en-GB"/>
              </w:rPr>
              <w:t>%</w:t>
            </w:r>
            <w:r w:rsidR="00747EE9" w:rsidRPr="00A17559">
              <w:rPr>
                <w:lang w:val="en-GB"/>
              </w:rPr>
              <w:t xml:space="preserve">). </w:t>
            </w:r>
            <w:r w:rsidR="008B4895" w:rsidRPr="00A17559">
              <w:rPr>
                <w:lang w:val="en-GB"/>
              </w:rPr>
              <w:t>Year-on-year growth of the prices of water supply and water waste management (2.9%</w:t>
            </w:r>
            <w:r w:rsidR="00747EE9" w:rsidRPr="00A17559">
              <w:rPr>
                <w:lang w:val="en-GB"/>
              </w:rPr>
              <w:t>)</w:t>
            </w:r>
            <w:r w:rsidR="008B4895" w:rsidRPr="00A17559">
              <w:rPr>
                <w:lang w:val="en-GB"/>
              </w:rPr>
              <w:t xml:space="preserve"> was also higher compared to the last year</w:t>
            </w:r>
            <w:r w:rsidR="00747EE9" w:rsidRPr="00A17559">
              <w:rPr>
                <w:lang w:val="en-GB"/>
              </w:rPr>
              <w:t>.</w:t>
            </w:r>
          </w:p>
        </w:tc>
      </w:tr>
      <w:tr w:rsidR="00747EE9" w:rsidRPr="00A17559" w:rsidTr="00747EE9">
        <w:trPr>
          <w:trHeight w:val="145"/>
        </w:trPr>
        <w:tc>
          <w:tcPr>
            <w:tcW w:w="1805" w:type="dxa"/>
            <w:shd w:val="clear" w:color="auto" w:fill="auto"/>
            <w:tcMar>
              <w:left w:w="0" w:type="dxa"/>
            </w:tcMar>
          </w:tcPr>
          <w:p w:rsidR="00747EE9" w:rsidRPr="00A17559" w:rsidRDefault="00A16520" w:rsidP="00A16520">
            <w:pPr>
              <w:pStyle w:val="Marginlie"/>
              <w:rPr>
                <w:spacing w:val="0"/>
                <w:lang w:val="en-GB"/>
              </w:rPr>
            </w:pPr>
            <w:r w:rsidRPr="00A17559">
              <w:rPr>
                <w:spacing w:val="0"/>
                <w:lang w:val="en-GB"/>
              </w:rPr>
              <w:t>Manufacturers noted a drop in the year-on-year price dynamics in the EU in Q</w:t>
            </w:r>
            <w:r w:rsidR="00747EE9" w:rsidRPr="00A17559">
              <w:rPr>
                <w:spacing w:val="0"/>
                <w:lang w:val="en-GB"/>
              </w:rPr>
              <w:t>2</w:t>
            </w:r>
            <w:r w:rsidR="004A5D4E" w:rsidRPr="00A17559">
              <w:rPr>
                <w:spacing w:val="0"/>
                <w:lang w:val="en-GB"/>
              </w:rPr>
              <w:t>.</w:t>
            </w:r>
            <w:r w:rsidRPr="00A17559">
              <w:rPr>
                <w:spacing w:val="0"/>
                <w:lang w:val="en-GB"/>
              </w:rPr>
              <w:t xml:space="preserve"> </w:t>
            </w:r>
          </w:p>
        </w:tc>
        <w:tc>
          <w:tcPr>
            <w:tcW w:w="224" w:type="dxa"/>
            <w:shd w:val="clear" w:color="auto" w:fill="auto"/>
            <w:tcMar>
              <w:left w:w="0" w:type="dxa"/>
            </w:tcMar>
          </w:tcPr>
          <w:p w:rsidR="00747EE9" w:rsidRPr="00A17559" w:rsidRDefault="00747EE9" w:rsidP="00747EE9">
            <w:pPr>
              <w:pStyle w:val="Textpoznpodarou1"/>
              <w:jc w:val="both"/>
              <w:rPr>
                <w:lang w:val="en-GB"/>
              </w:rPr>
            </w:pPr>
          </w:p>
        </w:tc>
        <w:tc>
          <w:tcPr>
            <w:tcW w:w="7610" w:type="dxa"/>
            <w:shd w:val="clear" w:color="auto" w:fill="auto"/>
            <w:tcMar>
              <w:left w:w="0" w:type="dxa"/>
            </w:tcMar>
          </w:tcPr>
          <w:p w:rsidR="00747EE9" w:rsidRPr="00A17559" w:rsidRDefault="00881A67" w:rsidP="00D25098">
            <w:pPr>
              <w:rPr>
                <w:lang w:val="en-GB"/>
              </w:rPr>
            </w:pPr>
            <w:r w:rsidRPr="00A17559">
              <w:rPr>
                <w:lang w:val="en-GB"/>
              </w:rPr>
              <w:t>Producer prices in the European twenty-eight increased by 2.5% year-on-year in H</w:t>
            </w:r>
            <w:r w:rsidR="004A5D4E" w:rsidRPr="00A17559">
              <w:rPr>
                <w:lang w:val="en-GB"/>
              </w:rPr>
              <w:t>1.</w:t>
            </w:r>
            <w:r w:rsidRPr="00A17559">
              <w:rPr>
                <w:lang w:val="en-GB"/>
              </w:rPr>
              <w:t xml:space="preserve"> </w:t>
            </w:r>
            <w:r w:rsidR="00A0363E" w:rsidRPr="00A17559">
              <w:rPr>
                <w:lang w:val="en-GB"/>
              </w:rPr>
              <w:t xml:space="preserve">A significant slump in </w:t>
            </w:r>
            <w:r w:rsidR="00D25098" w:rsidRPr="00A17559">
              <w:rPr>
                <w:lang w:val="en-GB"/>
              </w:rPr>
              <w:t xml:space="preserve">dynamics </w:t>
            </w:r>
            <w:r w:rsidR="00A0363E" w:rsidRPr="00A17559">
              <w:rPr>
                <w:lang w:val="en-GB"/>
              </w:rPr>
              <w:t>however occurred between the Q1 and 2. While the prices rose by 3.1% in the EU year-on-year in the first quarter of the year, the addition fell to 1.9% in Q</w:t>
            </w:r>
            <w:r w:rsidR="00747EE9" w:rsidRPr="00A17559">
              <w:rPr>
                <w:lang w:val="en-GB"/>
              </w:rPr>
              <w:t>2</w:t>
            </w:r>
            <w:r w:rsidR="004A5D4E" w:rsidRPr="00A17559">
              <w:rPr>
                <w:lang w:val="en-GB"/>
              </w:rPr>
              <w:t>.</w:t>
            </w:r>
            <w:r w:rsidR="00A0363E" w:rsidRPr="00A17559">
              <w:rPr>
                <w:lang w:val="en-GB"/>
              </w:rPr>
              <w:t xml:space="preserve"> The described slowdown was common to the overwhelming majority of EU countries. </w:t>
            </w:r>
            <w:r w:rsidR="00A16520" w:rsidRPr="00A17559">
              <w:rPr>
                <w:lang w:val="en-GB"/>
              </w:rPr>
              <w:t xml:space="preserve">A more detailed view then shows </w:t>
            </w:r>
            <w:r w:rsidR="00A0363E" w:rsidRPr="00A17559">
              <w:rPr>
                <w:lang w:val="en-GB"/>
              </w:rPr>
              <w:t xml:space="preserve">a sinking dynamics for mining and quarrying </w:t>
            </w:r>
            <w:r w:rsidR="00747EE9" w:rsidRPr="00A17559">
              <w:rPr>
                <w:lang w:val="en-GB"/>
              </w:rPr>
              <w:t>(</w:t>
            </w:r>
            <w:r w:rsidR="00A16520" w:rsidRPr="00A17559">
              <w:rPr>
                <w:lang w:val="en-GB"/>
              </w:rPr>
              <w:t xml:space="preserve">from </w:t>
            </w:r>
            <w:r w:rsidR="00747EE9" w:rsidRPr="00A17559">
              <w:rPr>
                <w:lang w:val="en-GB"/>
              </w:rPr>
              <w:t>4</w:t>
            </w:r>
            <w:r w:rsidR="00A16520" w:rsidRPr="00A17559">
              <w:rPr>
                <w:lang w:val="en-GB"/>
              </w:rPr>
              <w:t>.</w:t>
            </w:r>
            <w:r w:rsidR="00747EE9" w:rsidRPr="00A17559">
              <w:rPr>
                <w:lang w:val="en-GB"/>
              </w:rPr>
              <w:t>3</w:t>
            </w:r>
            <w:r w:rsidR="00403F57" w:rsidRPr="00A17559">
              <w:rPr>
                <w:lang w:val="en-GB"/>
              </w:rPr>
              <w:t>%</w:t>
            </w:r>
            <w:r w:rsidR="00A16520" w:rsidRPr="00A17559">
              <w:rPr>
                <w:lang w:val="en-GB"/>
              </w:rPr>
              <w:t xml:space="preserve"> in Q</w:t>
            </w:r>
            <w:r w:rsidR="00747EE9" w:rsidRPr="00A17559">
              <w:rPr>
                <w:lang w:val="en-GB"/>
              </w:rPr>
              <w:t>1</w:t>
            </w:r>
            <w:r w:rsidR="00A16520" w:rsidRPr="00A17559">
              <w:rPr>
                <w:lang w:val="en-GB"/>
              </w:rPr>
              <w:t xml:space="preserve"> to </w:t>
            </w:r>
            <w:r w:rsidR="00403F57" w:rsidRPr="00A17559">
              <w:rPr>
                <w:lang w:val="en-GB"/>
              </w:rPr>
              <w:t>–</w:t>
            </w:r>
            <w:r w:rsidR="00747EE9" w:rsidRPr="00A17559">
              <w:rPr>
                <w:lang w:val="en-GB"/>
              </w:rPr>
              <w:t>0</w:t>
            </w:r>
            <w:r w:rsidR="00B52D70" w:rsidRPr="00A17559">
              <w:rPr>
                <w:lang w:val="en-GB"/>
              </w:rPr>
              <w:t>.</w:t>
            </w:r>
            <w:r w:rsidR="00D04134" w:rsidRPr="00A17559">
              <w:rPr>
                <w:lang w:val="en-GB"/>
              </w:rPr>
              <w:t>1</w:t>
            </w:r>
            <w:r w:rsidR="00403F57" w:rsidRPr="00A17559">
              <w:rPr>
                <w:lang w:val="en-GB"/>
              </w:rPr>
              <w:t>%</w:t>
            </w:r>
            <w:r w:rsidR="00747EE9" w:rsidRPr="00A17559">
              <w:rPr>
                <w:lang w:val="en-GB"/>
              </w:rPr>
              <w:t xml:space="preserve"> </w:t>
            </w:r>
            <w:r w:rsidR="00B52D70" w:rsidRPr="00A17559">
              <w:rPr>
                <w:lang w:val="en-GB"/>
              </w:rPr>
              <w:t>in Q</w:t>
            </w:r>
            <w:r w:rsidR="00747EE9" w:rsidRPr="00A17559">
              <w:rPr>
                <w:lang w:val="en-GB"/>
              </w:rPr>
              <w:t xml:space="preserve">2), </w:t>
            </w:r>
            <w:r w:rsidR="00DA0FE3" w:rsidRPr="00A17559">
              <w:rPr>
                <w:lang w:val="en-GB"/>
              </w:rPr>
              <w:t xml:space="preserve">the growth of prices in </w:t>
            </w:r>
            <w:r w:rsidR="00DA0FE3" w:rsidRPr="00A17559">
              <w:rPr>
                <w:lang w:val="en-GB"/>
              </w:rPr>
              <w:lastRenderedPageBreak/>
              <w:t xml:space="preserve">manufacturing also slightly slowed down </w:t>
            </w:r>
            <w:r w:rsidR="00747EE9" w:rsidRPr="00A17559">
              <w:rPr>
                <w:lang w:val="en-GB"/>
              </w:rPr>
              <w:t>(</w:t>
            </w:r>
            <w:r w:rsidR="00DA0FE3" w:rsidRPr="00A17559">
              <w:rPr>
                <w:lang w:val="en-GB"/>
              </w:rPr>
              <w:t xml:space="preserve">from </w:t>
            </w:r>
            <w:r w:rsidR="00747EE9" w:rsidRPr="00A17559">
              <w:rPr>
                <w:lang w:val="en-GB"/>
              </w:rPr>
              <w:t>1</w:t>
            </w:r>
            <w:r w:rsidR="00DA0FE3" w:rsidRPr="00A17559">
              <w:rPr>
                <w:lang w:val="en-GB"/>
              </w:rPr>
              <w:t>.</w:t>
            </w:r>
            <w:r w:rsidR="00747EE9" w:rsidRPr="00A17559">
              <w:rPr>
                <w:lang w:val="en-GB"/>
              </w:rPr>
              <w:t xml:space="preserve">6% </w:t>
            </w:r>
            <w:r w:rsidR="00DA0FE3" w:rsidRPr="00A17559">
              <w:rPr>
                <w:lang w:val="en-GB"/>
              </w:rPr>
              <w:t xml:space="preserve">to </w:t>
            </w:r>
            <w:r w:rsidR="00747EE9" w:rsidRPr="00A17559">
              <w:rPr>
                <w:lang w:val="en-GB"/>
              </w:rPr>
              <w:t>1</w:t>
            </w:r>
            <w:r w:rsidR="00DA0FE3" w:rsidRPr="00A17559">
              <w:rPr>
                <w:lang w:val="en-GB"/>
              </w:rPr>
              <w:t>.</w:t>
            </w:r>
            <w:r w:rsidR="00747EE9" w:rsidRPr="00A17559">
              <w:rPr>
                <w:lang w:val="en-GB"/>
              </w:rPr>
              <w:t>2</w:t>
            </w:r>
            <w:r w:rsidR="00403F57" w:rsidRPr="00A17559">
              <w:rPr>
                <w:lang w:val="en-GB"/>
              </w:rPr>
              <w:t>%</w:t>
            </w:r>
            <w:r w:rsidR="00747EE9" w:rsidRPr="00A17559">
              <w:rPr>
                <w:lang w:val="en-GB"/>
              </w:rPr>
              <w:t xml:space="preserve">) </w:t>
            </w:r>
            <w:r w:rsidR="002F1B09" w:rsidRPr="00A17559">
              <w:rPr>
                <w:lang w:val="en-GB"/>
              </w:rPr>
              <w:t>a</w:t>
            </w:r>
            <w:r w:rsidR="00DA0FE3" w:rsidRPr="00A17559">
              <w:rPr>
                <w:lang w:val="en-GB"/>
              </w:rPr>
              <w:t xml:space="preserve">nd </w:t>
            </w:r>
            <w:r w:rsidR="00A0363E" w:rsidRPr="00A17559">
              <w:rPr>
                <w:lang w:val="en-GB"/>
              </w:rPr>
              <w:t xml:space="preserve">the addition in energetics decreased </w:t>
            </w:r>
            <w:r w:rsidR="00DA0FE3" w:rsidRPr="00A17559">
              <w:rPr>
                <w:lang w:val="en-GB"/>
              </w:rPr>
              <w:t xml:space="preserve">from </w:t>
            </w:r>
            <w:r w:rsidR="00D04134" w:rsidRPr="00A17559">
              <w:rPr>
                <w:lang w:val="en-GB"/>
              </w:rPr>
              <w:t>8</w:t>
            </w:r>
            <w:r w:rsidR="00DA0FE3" w:rsidRPr="00A17559">
              <w:rPr>
                <w:lang w:val="en-GB"/>
              </w:rPr>
              <w:t>.</w:t>
            </w:r>
            <w:r w:rsidR="00D04134" w:rsidRPr="00A17559">
              <w:rPr>
                <w:lang w:val="en-GB"/>
              </w:rPr>
              <w:t>8</w:t>
            </w:r>
            <w:r w:rsidR="00403F57" w:rsidRPr="00A17559">
              <w:rPr>
                <w:lang w:val="en-GB"/>
              </w:rPr>
              <w:t>%</w:t>
            </w:r>
            <w:r w:rsidR="00747EE9" w:rsidRPr="00A17559">
              <w:rPr>
                <w:lang w:val="en-GB"/>
              </w:rPr>
              <w:t xml:space="preserve"> </w:t>
            </w:r>
            <w:r w:rsidR="00DA0FE3" w:rsidRPr="00A17559">
              <w:rPr>
                <w:lang w:val="en-GB"/>
              </w:rPr>
              <w:t xml:space="preserve">to </w:t>
            </w:r>
            <w:r w:rsidR="00747EE9" w:rsidRPr="00A17559">
              <w:rPr>
                <w:lang w:val="en-GB"/>
              </w:rPr>
              <w:t>4</w:t>
            </w:r>
            <w:r w:rsidR="00DA0FE3" w:rsidRPr="00A17559">
              <w:rPr>
                <w:lang w:val="en-GB"/>
              </w:rPr>
              <w:t>.</w:t>
            </w:r>
            <w:r w:rsidR="00D04134" w:rsidRPr="00A17559">
              <w:rPr>
                <w:lang w:val="en-GB"/>
              </w:rPr>
              <w:t>6</w:t>
            </w:r>
            <w:r w:rsidR="00403F57" w:rsidRPr="00A17559">
              <w:rPr>
                <w:lang w:val="en-GB"/>
              </w:rPr>
              <w:t>%</w:t>
            </w:r>
            <w:r w:rsidR="00747EE9" w:rsidRPr="00A17559">
              <w:rPr>
                <w:rStyle w:val="Znakapoznpodarou"/>
                <w:lang w:val="en-GB"/>
              </w:rPr>
              <w:footnoteReference w:id="40"/>
            </w:r>
            <w:r w:rsidR="00747EE9" w:rsidRPr="00A17559">
              <w:rPr>
                <w:lang w:val="en-GB"/>
              </w:rPr>
              <w:t xml:space="preserve">. </w:t>
            </w:r>
            <w:r w:rsidR="00DA0FE3" w:rsidRPr="00A17559">
              <w:rPr>
                <w:lang w:val="en-GB"/>
              </w:rPr>
              <w:t xml:space="preserve">The producer prices were growing the fastest in Romania </w:t>
            </w:r>
            <w:r w:rsidR="00747EE9" w:rsidRPr="00A17559">
              <w:rPr>
                <w:lang w:val="en-GB"/>
              </w:rPr>
              <w:t>(5</w:t>
            </w:r>
            <w:r w:rsidR="00DA0FE3" w:rsidRPr="00A17559">
              <w:rPr>
                <w:lang w:val="en-GB"/>
              </w:rPr>
              <w:t>.</w:t>
            </w:r>
            <w:r w:rsidR="00747EE9" w:rsidRPr="00A17559">
              <w:rPr>
                <w:lang w:val="en-GB"/>
              </w:rPr>
              <w:t>8</w:t>
            </w:r>
            <w:r w:rsidR="00403F57" w:rsidRPr="00A17559">
              <w:rPr>
                <w:lang w:val="en-GB"/>
              </w:rPr>
              <w:t>%</w:t>
            </w:r>
            <w:r w:rsidR="00747EE9" w:rsidRPr="00A17559">
              <w:rPr>
                <w:lang w:val="en-GB"/>
              </w:rPr>
              <w:t xml:space="preserve">), </w:t>
            </w:r>
            <w:r w:rsidR="00DA0FE3" w:rsidRPr="00A17559">
              <w:rPr>
                <w:lang w:val="en-GB"/>
              </w:rPr>
              <w:t xml:space="preserve">in </w:t>
            </w:r>
            <w:r w:rsidR="00A0363E" w:rsidRPr="00A17559">
              <w:rPr>
                <w:lang w:val="en-GB"/>
              </w:rPr>
              <w:t xml:space="preserve">Latvia </w:t>
            </w:r>
            <w:r w:rsidR="00747EE9" w:rsidRPr="00A17559">
              <w:rPr>
                <w:lang w:val="en-GB"/>
              </w:rPr>
              <w:t>(5</w:t>
            </w:r>
            <w:r w:rsidR="00DA0FE3" w:rsidRPr="00A17559">
              <w:rPr>
                <w:lang w:val="en-GB"/>
              </w:rPr>
              <w:t>.</w:t>
            </w:r>
            <w:r w:rsidR="00747EE9" w:rsidRPr="00A17559">
              <w:rPr>
                <w:lang w:val="en-GB"/>
              </w:rPr>
              <w:t>5</w:t>
            </w:r>
            <w:r w:rsidR="00403F57" w:rsidRPr="00A17559">
              <w:rPr>
                <w:lang w:val="en-GB"/>
              </w:rPr>
              <w:t>%</w:t>
            </w:r>
            <w:r w:rsidR="00747EE9" w:rsidRPr="00A17559">
              <w:rPr>
                <w:lang w:val="en-GB"/>
              </w:rPr>
              <w:t xml:space="preserve">) </w:t>
            </w:r>
            <w:r w:rsidR="002F1B09" w:rsidRPr="00A17559">
              <w:rPr>
                <w:lang w:val="en-GB"/>
              </w:rPr>
              <w:t>a</w:t>
            </w:r>
            <w:r w:rsidR="00DA0FE3" w:rsidRPr="00A17559">
              <w:rPr>
                <w:lang w:val="en-GB"/>
              </w:rPr>
              <w:t xml:space="preserve">nd Hungary </w:t>
            </w:r>
            <w:r w:rsidR="00747EE9" w:rsidRPr="00A17559">
              <w:rPr>
                <w:lang w:val="en-GB"/>
              </w:rPr>
              <w:t>(5</w:t>
            </w:r>
            <w:r w:rsidR="00DA0FE3" w:rsidRPr="00A17559">
              <w:rPr>
                <w:lang w:val="en-GB"/>
              </w:rPr>
              <w:t>.</w:t>
            </w:r>
            <w:r w:rsidR="00747EE9" w:rsidRPr="00A17559">
              <w:rPr>
                <w:lang w:val="en-GB"/>
              </w:rPr>
              <w:t>0</w:t>
            </w:r>
            <w:r w:rsidR="00403F57" w:rsidRPr="00A17559">
              <w:rPr>
                <w:lang w:val="en-GB"/>
              </w:rPr>
              <w:t>%</w:t>
            </w:r>
            <w:r w:rsidR="00747EE9" w:rsidRPr="00A17559">
              <w:rPr>
                <w:lang w:val="en-GB"/>
              </w:rPr>
              <w:t>)</w:t>
            </w:r>
            <w:r w:rsidR="00DA0FE3" w:rsidRPr="00A17559">
              <w:rPr>
                <w:lang w:val="en-GB"/>
              </w:rPr>
              <w:t xml:space="preserve"> in Q2</w:t>
            </w:r>
            <w:r w:rsidR="00747EE9" w:rsidRPr="00A17559">
              <w:rPr>
                <w:lang w:val="en-GB"/>
              </w:rPr>
              <w:t xml:space="preserve">. </w:t>
            </w:r>
            <w:r w:rsidR="00A0363E" w:rsidRPr="00A17559">
              <w:rPr>
                <w:lang w:val="en-GB"/>
              </w:rPr>
              <w:t>Producer prices grew only by</w:t>
            </w:r>
            <w:r w:rsidR="002F1B09" w:rsidRPr="00A17559">
              <w:rPr>
                <w:lang w:val="en-GB"/>
              </w:rPr>
              <w:t> </w:t>
            </w:r>
            <w:r w:rsidR="00747EE9" w:rsidRPr="00A17559">
              <w:rPr>
                <w:lang w:val="en-GB"/>
              </w:rPr>
              <w:t>0</w:t>
            </w:r>
            <w:r w:rsidR="00A0363E" w:rsidRPr="00A17559">
              <w:rPr>
                <w:lang w:val="en-GB"/>
              </w:rPr>
              <w:t>.</w:t>
            </w:r>
            <w:r w:rsidR="00747EE9" w:rsidRPr="00A17559">
              <w:rPr>
                <w:lang w:val="en-GB"/>
              </w:rPr>
              <w:t>3</w:t>
            </w:r>
            <w:r w:rsidR="00403F57" w:rsidRPr="00A17559">
              <w:rPr>
                <w:lang w:val="en-GB"/>
              </w:rPr>
              <w:t>%</w:t>
            </w:r>
            <w:r w:rsidR="00A0363E" w:rsidRPr="00A17559">
              <w:rPr>
                <w:lang w:val="en-GB"/>
              </w:rPr>
              <w:t xml:space="preserve"> in Portugal in Q</w:t>
            </w:r>
            <w:r w:rsidR="00747EE9" w:rsidRPr="00A17559">
              <w:rPr>
                <w:lang w:val="en-GB"/>
              </w:rPr>
              <w:t>2</w:t>
            </w:r>
            <w:r w:rsidR="004A5D4E" w:rsidRPr="00A17559">
              <w:rPr>
                <w:lang w:val="en-GB"/>
              </w:rPr>
              <w:t>.</w:t>
            </w:r>
            <w:r w:rsidR="00A0363E" w:rsidRPr="00A17559">
              <w:rPr>
                <w:lang w:val="en-GB"/>
              </w:rPr>
              <w:t xml:space="preserve"> </w:t>
            </w:r>
            <w:r w:rsidR="00240DA6" w:rsidRPr="00A17559">
              <w:rPr>
                <w:lang w:val="en-GB"/>
              </w:rPr>
              <w:t xml:space="preserve">Only moderate dynamics was also in Austria </w:t>
            </w:r>
            <w:r w:rsidR="00747EE9" w:rsidRPr="00A17559">
              <w:rPr>
                <w:lang w:val="en-GB"/>
              </w:rPr>
              <w:t>(0</w:t>
            </w:r>
            <w:r w:rsidR="00240DA6" w:rsidRPr="00A17559">
              <w:rPr>
                <w:lang w:val="en-GB"/>
              </w:rPr>
              <w:t>.</w:t>
            </w:r>
            <w:r w:rsidR="00747EE9" w:rsidRPr="00A17559">
              <w:rPr>
                <w:lang w:val="en-GB"/>
              </w:rPr>
              <w:t>7</w:t>
            </w:r>
            <w:r w:rsidR="00403F57" w:rsidRPr="00A17559">
              <w:rPr>
                <w:lang w:val="en-GB"/>
              </w:rPr>
              <w:t>%</w:t>
            </w:r>
            <w:r w:rsidR="00747EE9" w:rsidRPr="00A17559">
              <w:rPr>
                <w:lang w:val="en-GB"/>
              </w:rPr>
              <w:t xml:space="preserve">), </w:t>
            </w:r>
            <w:r w:rsidR="00240DA6" w:rsidRPr="00A17559">
              <w:rPr>
                <w:lang w:val="en-GB"/>
              </w:rPr>
              <w:t xml:space="preserve">Greece and Denmark </w:t>
            </w:r>
            <w:r w:rsidR="00747EE9" w:rsidRPr="00A17559">
              <w:rPr>
                <w:lang w:val="en-GB"/>
              </w:rPr>
              <w:t>(s</w:t>
            </w:r>
            <w:r w:rsidR="00240DA6" w:rsidRPr="00A17559">
              <w:rPr>
                <w:lang w:val="en-GB"/>
              </w:rPr>
              <w:t xml:space="preserve">imilarly </w:t>
            </w:r>
            <w:r w:rsidR="00747EE9" w:rsidRPr="00A17559">
              <w:rPr>
                <w:lang w:val="en-GB"/>
              </w:rPr>
              <w:t>0</w:t>
            </w:r>
            <w:r w:rsidR="00240DA6" w:rsidRPr="00A17559">
              <w:rPr>
                <w:lang w:val="en-GB"/>
              </w:rPr>
              <w:t>.</w:t>
            </w:r>
            <w:r w:rsidR="00747EE9" w:rsidRPr="00A17559">
              <w:rPr>
                <w:lang w:val="en-GB"/>
              </w:rPr>
              <w:t>8</w:t>
            </w:r>
            <w:r w:rsidR="00403F57" w:rsidRPr="00A17559">
              <w:rPr>
                <w:lang w:val="en-GB"/>
              </w:rPr>
              <w:t>%</w:t>
            </w:r>
            <w:r w:rsidR="00747EE9" w:rsidRPr="00A17559">
              <w:rPr>
                <w:lang w:val="en-GB"/>
              </w:rPr>
              <w:t>).</w:t>
            </w:r>
          </w:p>
        </w:tc>
      </w:tr>
      <w:tr w:rsidR="00747EE9" w:rsidRPr="00A17559" w:rsidTr="00747EE9">
        <w:trPr>
          <w:trHeight w:val="170"/>
        </w:trPr>
        <w:tc>
          <w:tcPr>
            <w:tcW w:w="1805" w:type="dxa"/>
            <w:vMerge w:val="restart"/>
            <w:shd w:val="clear" w:color="auto" w:fill="auto"/>
            <w:tcMar>
              <w:left w:w="0" w:type="dxa"/>
            </w:tcMar>
          </w:tcPr>
          <w:p w:rsidR="00747EE9" w:rsidRPr="00A17559" w:rsidRDefault="00747EE9" w:rsidP="00747EE9">
            <w:pPr>
              <w:pStyle w:val="Marginlie"/>
              <w:rPr>
                <w:spacing w:val="0"/>
                <w:lang w:val="en-GB"/>
              </w:rPr>
            </w:pPr>
          </w:p>
        </w:tc>
        <w:tc>
          <w:tcPr>
            <w:tcW w:w="224" w:type="dxa"/>
            <w:vMerge w:val="restart"/>
            <w:shd w:val="clear" w:color="auto" w:fill="auto"/>
            <w:tcMar>
              <w:left w:w="0" w:type="dxa"/>
            </w:tcMar>
          </w:tcPr>
          <w:p w:rsidR="00747EE9" w:rsidRPr="00A17559" w:rsidRDefault="00747EE9" w:rsidP="00747EE9">
            <w:pPr>
              <w:pStyle w:val="Textpoznpodarou1"/>
              <w:jc w:val="both"/>
              <w:rPr>
                <w:highlight w:val="yellow"/>
                <w:lang w:val="en-GB"/>
              </w:rPr>
            </w:pPr>
          </w:p>
        </w:tc>
        <w:tc>
          <w:tcPr>
            <w:tcW w:w="7610" w:type="dxa"/>
            <w:shd w:val="clear" w:color="auto" w:fill="auto"/>
            <w:tcMar>
              <w:left w:w="0" w:type="dxa"/>
            </w:tcMar>
          </w:tcPr>
          <w:p w:rsidR="00747EE9" w:rsidRPr="00E91301" w:rsidRDefault="00ED19F0" w:rsidP="00ED19F0">
            <w:pPr>
              <w:spacing w:after="0"/>
              <w:rPr>
                <w:b/>
                <w:spacing w:val="-2"/>
                <w:szCs w:val="20"/>
                <w:lang w:val="en-GB"/>
              </w:rPr>
            </w:pPr>
            <w:r w:rsidRPr="00E91301">
              <w:rPr>
                <w:b/>
                <w:spacing w:val="-2"/>
                <w:szCs w:val="20"/>
                <w:lang w:val="en-GB"/>
              </w:rPr>
              <w:t xml:space="preserve">Chart </w:t>
            </w:r>
            <w:r w:rsidR="008A394E" w:rsidRPr="00E91301">
              <w:rPr>
                <w:b/>
                <w:spacing w:val="-2"/>
                <w:szCs w:val="20"/>
                <w:lang w:val="en-GB"/>
              </w:rPr>
              <w:t>12</w:t>
            </w:r>
            <w:r w:rsidR="00747EE9" w:rsidRPr="00E91301">
              <w:rPr>
                <w:b/>
                <w:spacing w:val="-2"/>
                <w:szCs w:val="20"/>
                <w:lang w:val="en-GB"/>
              </w:rPr>
              <w:t xml:space="preserve">  </w:t>
            </w:r>
            <w:r w:rsidR="00881A67" w:rsidRPr="00E91301">
              <w:rPr>
                <w:b/>
                <w:spacing w:val="-2"/>
                <w:szCs w:val="20"/>
                <w:lang w:val="en-GB"/>
              </w:rPr>
              <w:t xml:space="preserve">Prices of main groups of industrial producers </w:t>
            </w:r>
            <w:r w:rsidR="00881A67" w:rsidRPr="00E91301">
              <w:rPr>
                <w:spacing w:val="-2"/>
                <w:szCs w:val="20"/>
                <w:lang w:val="en-GB"/>
              </w:rPr>
              <w:t>(year-on-year change, in %, based on CZ-CPA classification</w:t>
            </w:r>
            <w:r w:rsidR="00881A67" w:rsidRPr="00E91301">
              <w:rPr>
                <w:b/>
                <w:spacing w:val="-2"/>
                <w:szCs w:val="20"/>
                <w:lang w:val="en-GB"/>
              </w:rPr>
              <w:t>)</w:t>
            </w:r>
          </w:p>
        </w:tc>
      </w:tr>
      <w:tr w:rsidR="00747EE9" w:rsidRPr="00A17559" w:rsidTr="00FD025C">
        <w:tblPrEx>
          <w:tblCellMar>
            <w:left w:w="70" w:type="dxa"/>
            <w:right w:w="70" w:type="dxa"/>
          </w:tblCellMar>
        </w:tblPrEx>
        <w:trPr>
          <w:trHeight w:val="170"/>
        </w:trPr>
        <w:tc>
          <w:tcPr>
            <w:tcW w:w="1805" w:type="dxa"/>
            <w:vMerge/>
            <w:shd w:val="clear" w:color="auto" w:fill="auto"/>
          </w:tcPr>
          <w:p w:rsidR="00747EE9" w:rsidRPr="00A17559" w:rsidRDefault="00747EE9" w:rsidP="00747EE9">
            <w:pPr>
              <w:pStyle w:val="Marginlie"/>
              <w:rPr>
                <w:spacing w:val="0"/>
                <w:lang w:val="en-GB"/>
              </w:rPr>
            </w:pPr>
          </w:p>
        </w:tc>
        <w:tc>
          <w:tcPr>
            <w:tcW w:w="224" w:type="dxa"/>
            <w:vMerge/>
            <w:shd w:val="clear" w:color="auto" w:fill="auto"/>
          </w:tcPr>
          <w:p w:rsidR="00747EE9" w:rsidRPr="00A17559" w:rsidRDefault="00747EE9" w:rsidP="00747EE9">
            <w:pPr>
              <w:pStyle w:val="Textpoznpodarou1"/>
              <w:jc w:val="both"/>
              <w:rPr>
                <w:lang w:val="en-GB"/>
              </w:rPr>
            </w:pPr>
          </w:p>
        </w:tc>
        <w:tc>
          <w:tcPr>
            <w:tcW w:w="7610" w:type="dxa"/>
            <w:shd w:val="clear" w:color="auto" w:fill="auto"/>
          </w:tcPr>
          <w:p w:rsidR="00747EE9" w:rsidRPr="00A17559" w:rsidRDefault="00FD025C" w:rsidP="00747EE9">
            <w:pPr>
              <w:spacing w:after="0"/>
              <w:rPr>
                <w:lang w:val="en-GB"/>
              </w:rPr>
            </w:pPr>
            <w:r>
              <w:rPr>
                <w:noProof/>
              </w:rPr>
              <w:drawing>
                <wp:inline distT="0" distB="0" distL="0" distR="0" wp14:anchorId="20AA30F4" wp14:editId="0C236A0C">
                  <wp:extent cx="4737600" cy="3553200"/>
                  <wp:effectExtent l="0" t="0" r="6350" b="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747EE9" w:rsidRPr="00A17559" w:rsidTr="00747EE9">
        <w:trPr>
          <w:trHeight w:val="170"/>
        </w:trPr>
        <w:tc>
          <w:tcPr>
            <w:tcW w:w="1805" w:type="dxa"/>
            <w:vMerge/>
            <w:shd w:val="clear" w:color="auto" w:fill="auto"/>
            <w:tcMar>
              <w:left w:w="0" w:type="dxa"/>
            </w:tcMar>
          </w:tcPr>
          <w:p w:rsidR="00747EE9" w:rsidRPr="00A17559" w:rsidRDefault="00747EE9" w:rsidP="00747EE9">
            <w:pPr>
              <w:pStyle w:val="Marginlie"/>
              <w:rPr>
                <w:spacing w:val="0"/>
                <w:lang w:val="en-GB"/>
              </w:rPr>
            </w:pPr>
          </w:p>
        </w:tc>
        <w:tc>
          <w:tcPr>
            <w:tcW w:w="224" w:type="dxa"/>
            <w:vMerge/>
            <w:shd w:val="clear" w:color="auto" w:fill="auto"/>
            <w:tcMar>
              <w:left w:w="0" w:type="dxa"/>
            </w:tcMar>
          </w:tcPr>
          <w:p w:rsidR="00747EE9" w:rsidRPr="00A17559" w:rsidRDefault="00747EE9" w:rsidP="00747EE9">
            <w:pPr>
              <w:pStyle w:val="Textpoznpodarou1"/>
              <w:jc w:val="both"/>
              <w:rPr>
                <w:lang w:val="en-GB"/>
              </w:rPr>
            </w:pPr>
          </w:p>
        </w:tc>
        <w:tc>
          <w:tcPr>
            <w:tcW w:w="7610" w:type="dxa"/>
            <w:shd w:val="clear" w:color="auto" w:fill="auto"/>
            <w:tcMar>
              <w:left w:w="0" w:type="dxa"/>
            </w:tcMar>
          </w:tcPr>
          <w:p w:rsidR="00463700" w:rsidRPr="00A17559" w:rsidRDefault="00463700" w:rsidP="00FD025C">
            <w:pPr>
              <w:rPr>
                <w:lang w:val="en-GB"/>
              </w:rPr>
            </w:pPr>
            <w:r w:rsidRPr="00A17559">
              <w:rPr>
                <w:sz w:val="14"/>
                <w:szCs w:val="14"/>
                <w:lang w:val="en-GB"/>
              </w:rPr>
              <w:t>Source</w:t>
            </w:r>
            <w:r w:rsidR="00747EE9" w:rsidRPr="00A17559">
              <w:rPr>
                <w:sz w:val="14"/>
                <w:szCs w:val="14"/>
                <w:lang w:val="en-GB"/>
              </w:rPr>
              <w:t xml:space="preserve">: </w:t>
            </w:r>
            <w:r w:rsidRPr="00A17559">
              <w:rPr>
                <w:sz w:val="14"/>
                <w:szCs w:val="14"/>
                <w:lang w:val="en-GB"/>
              </w:rPr>
              <w:t>CZSO</w:t>
            </w:r>
          </w:p>
        </w:tc>
      </w:tr>
      <w:tr w:rsidR="00747EE9" w:rsidRPr="00A17559" w:rsidTr="00747EE9">
        <w:trPr>
          <w:trHeight w:val="145"/>
        </w:trPr>
        <w:tc>
          <w:tcPr>
            <w:tcW w:w="1805" w:type="dxa"/>
            <w:shd w:val="clear" w:color="auto" w:fill="auto"/>
            <w:tcMar>
              <w:left w:w="0" w:type="dxa"/>
            </w:tcMar>
          </w:tcPr>
          <w:p w:rsidR="00747EE9" w:rsidRPr="00A17559" w:rsidRDefault="00DA0FE3" w:rsidP="00DA0FE3">
            <w:pPr>
              <w:pStyle w:val="Marginlie"/>
              <w:rPr>
                <w:spacing w:val="0"/>
                <w:lang w:val="en-GB"/>
              </w:rPr>
            </w:pPr>
            <w:r w:rsidRPr="00A17559">
              <w:rPr>
                <w:spacing w:val="0"/>
                <w:lang w:val="en-GB"/>
              </w:rPr>
              <w:t xml:space="preserve">Prices grew in the majority of market services branches. </w:t>
            </w:r>
          </w:p>
        </w:tc>
        <w:tc>
          <w:tcPr>
            <w:tcW w:w="224" w:type="dxa"/>
            <w:shd w:val="clear" w:color="auto" w:fill="auto"/>
            <w:tcMar>
              <w:left w:w="0" w:type="dxa"/>
            </w:tcMar>
          </w:tcPr>
          <w:p w:rsidR="00747EE9" w:rsidRPr="00A17559" w:rsidRDefault="00747EE9" w:rsidP="00747EE9">
            <w:pPr>
              <w:pStyle w:val="Textpoznpodarou1"/>
              <w:jc w:val="both"/>
              <w:rPr>
                <w:lang w:val="en-GB"/>
              </w:rPr>
            </w:pPr>
          </w:p>
        </w:tc>
        <w:tc>
          <w:tcPr>
            <w:tcW w:w="7610" w:type="dxa"/>
            <w:shd w:val="clear" w:color="auto" w:fill="auto"/>
            <w:tcMar>
              <w:left w:w="0" w:type="dxa"/>
            </w:tcMar>
          </w:tcPr>
          <w:p w:rsidR="00747EE9" w:rsidRPr="00A17559" w:rsidRDefault="008641EA" w:rsidP="00F421A3">
            <w:pPr>
              <w:rPr>
                <w:lang w:val="en-GB"/>
              </w:rPr>
            </w:pPr>
            <w:r w:rsidRPr="00A17559">
              <w:rPr>
                <w:lang w:val="en-GB"/>
              </w:rPr>
              <w:t>Year-on-year growth of prices of market services hiked up to 2.6% already in Q1 and maintained this level in Q</w:t>
            </w:r>
            <w:r w:rsidR="004A5D4E" w:rsidRPr="00A17559">
              <w:rPr>
                <w:lang w:val="en-GB"/>
              </w:rPr>
              <w:t>2.</w:t>
            </w:r>
            <w:r w:rsidRPr="00A17559">
              <w:rPr>
                <w:lang w:val="en-GB"/>
              </w:rPr>
              <w:t xml:space="preserve"> Prices of land and pipe transport </w:t>
            </w:r>
            <w:r w:rsidR="00747EE9" w:rsidRPr="00A17559">
              <w:rPr>
                <w:lang w:val="en-GB"/>
              </w:rPr>
              <w:t>(</w:t>
            </w:r>
            <w:r w:rsidRPr="00A17559">
              <w:rPr>
                <w:lang w:val="en-GB"/>
              </w:rPr>
              <w:t>increase of 3.0% in Q2</w:t>
            </w:r>
            <w:r w:rsidR="00747EE9" w:rsidRPr="00A17559">
              <w:rPr>
                <w:lang w:val="en-GB"/>
              </w:rPr>
              <w:t>)</w:t>
            </w:r>
            <w:r w:rsidRPr="00A17559">
              <w:rPr>
                <w:lang w:val="en-GB"/>
              </w:rPr>
              <w:t xml:space="preserve"> comprised the largest contributors to the dynamics</w:t>
            </w:r>
            <w:r w:rsidR="00747EE9" w:rsidRPr="00A17559">
              <w:rPr>
                <w:lang w:val="en-GB"/>
              </w:rPr>
              <w:t xml:space="preserve">. </w:t>
            </w:r>
            <w:r w:rsidR="008D4E52" w:rsidRPr="00A17559">
              <w:rPr>
                <w:lang w:val="en-GB"/>
              </w:rPr>
              <w:t xml:space="preserve">Prices of freight rail transport featured the highest year-on-year growth </w:t>
            </w:r>
            <w:r w:rsidR="00747EE9" w:rsidRPr="00A17559">
              <w:rPr>
                <w:lang w:val="en-GB"/>
              </w:rPr>
              <w:t>(</w:t>
            </w:r>
            <w:r w:rsidR="008D4E52" w:rsidRPr="00A17559">
              <w:rPr>
                <w:lang w:val="en-GB"/>
              </w:rPr>
              <w:t xml:space="preserve">to </w:t>
            </w:r>
            <w:r w:rsidR="00747EE9" w:rsidRPr="00A17559">
              <w:rPr>
                <w:lang w:val="en-GB"/>
              </w:rPr>
              <w:t>10</w:t>
            </w:r>
            <w:r w:rsidR="008D4E52" w:rsidRPr="00A17559">
              <w:rPr>
                <w:lang w:val="en-GB"/>
              </w:rPr>
              <w:t>.</w:t>
            </w:r>
            <w:r w:rsidR="00747EE9" w:rsidRPr="00A17559">
              <w:rPr>
                <w:lang w:val="en-GB"/>
              </w:rPr>
              <w:t>8</w:t>
            </w:r>
            <w:r w:rsidR="00403F57" w:rsidRPr="00A17559">
              <w:rPr>
                <w:lang w:val="en-GB"/>
              </w:rPr>
              <w:t>%</w:t>
            </w:r>
            <w:r w:rsidR="00747EE9" w:rsidRPr="00A17559">
              <w:rPr>
                <w:lang w:val="en-GB"/>
              </w:rPr>
              <w:t xml:space="preserve">). </w:t>
            </w:r>
            <w:r w:rsidRPr="00A17559">
              <w:rPr>
                <w:lang w:val="en-GB"/>
              </w:rPr>
              <w:t xml:space="preserve">Services in the area of programming and consultancy activities </w:t>
            </w:r>
            <w:r w:rsidR="00747EE9" w:rsidRPr="00A17559">
              <w:rPr>
                <w:lang w:val="en-GB"/>
              </w:rPr>
              <w:t>(4</w:t>
            </w:r>
            <w:r w:rsidRPr="00A17559">
              <w:rPr>
                <w:lang w:val="en-GB"/>
              </w:rPr>
              <w:t>.</w:t>
            </w:r>
            <w:r w:rsidR="00747EE9" w:rsidRPr="00A17559">
              <w:rPr>
                <w:lang w:val="en-GB"/>
              </w:rPr>
              <w:t>4%</w:t>
            </w:r>
            <w:r w:rsidRPr="00A17559">
              <w:rPr>
                <w:lang w:val="en-GB"/>
              </w:rPr>
              <w:t xml:space="preserve"> growth in Q</w:t>
            </w:r>
            <w:r w:rsidR="00747EE9" w:rsidRPr="00A17559">
              <w:rPr>
                <w:lang w:val="en-GB"/>
              </w:rPr>
              <w:t xml:space="preserve">2) </w:t>
            </w:r>
            <w:r w:rsidRPr="00A17559">
              <w:rPr>
                <w:lang w:val="en-GB"/>
              </w:rPr>
              <w:t xml:space="preserve">and then insurance, reinsurance and pension funding </w:t>
            </w:r>
            <w:r w:rsidR="00747EE9" w:rsidRPr="00A17559">
              <w:rPr>
                <w:lang w:val="en-GB"/>
              </w:rPr>
              <w:t>(6</w:t>
            </w:r>
            <w:r w:rsidRPr="00A17559">
              <w:rPr>
                <w:lang w:val="en-GB"/>
              </w:rPr>
              <w:t>.</w:t>
            </w:r>
            <w:r w:rsidR="00747EE9" w:rsidRPr="00A17559">
              <w:rPr>
                <w:lang w:val="en-GB"/>
              </w:rPr>
              <w:t>5</w:t>
            </w:r>
            <w:r w:rsidR="00403F57" w:rsidRPr="00A17559">
              <w:rPr>
                <w:lang w:val="en-GB"/>
              </w:rPr>
              <w:t>%</w:t>
            </w:r>
            <w:r w:rsidR="00747EE9" w:rsidRPr="00A17559">
              <w:rPr>
                <w:lang w:val="en-GB"/>
              </w:rPr>
              <w:t>)</w:t>
            </w:r>
            <w:r w:rsidR="008D4E52" w:rsidRPr="00A17559">
              <w:rPr>
                <w:lang w:val="en-GB"/>
              </w:rPr>
              <w:t xml:space="preserve"> were further categories, which significantly added to the growth of market services prices</w:t>
            </w:r>
            <w:r w:rsidR="00747EE9" w:rsidRPr="00A17559">
              <w:rPr>
                <w:lang w:val="en-GB"/>
              </w:rPr>
              <w:t>.</w:t>
            </w:r>
            <w:r w:rsidR="008D4E52" w:rsidRPr="00A17559">
              <w:rPr>
                <w:lang w:val="en-GB"/>
              </w:rPr>
              <w:t xml:space="preserve"> </w:t>
            </w:r>
            <w:r w:rsidR="00F421A3" w:rsidRPr="00A17559">
              <w:rPr>
                <w:lang w:val="en-GB"/>
              </w:rPr>
              <w:t xml:space="preserve">Advertising and market research </w:t>
            </w:r>
            <w:r w:rsidR="00747EE9" w:rsidRPr="00A17559">
              <w:rPr>
                <w:lang w:val="en-GB"/>
              </w:rPr>
              <w:t>(</w:t>
            </w:r>
            <w:r w:rsidR="00F421A3" w:rsidRPr="00A17559">
              <w:rPr>
                <w:lang w:val="en-GB"/>
              </w:rPr>
              <w:t xml:space="preserve">growth slowed to </w:t>
            </w:r>
            <w:r w:rsidR="00747EE9" w:rsidRPr="00A17559">
              <w:rPr>
                <w:lang w:val="en-GB"/>
              </w:rPr>
              <w:t>3</w:t>
            </w:r>
            <w:r w:rsidR="00F421A3" w:rsidRPr="00A17559">
              <w:rPr>
                <w:lang w:val="en-GB"/>
              </w:rPr>
              <w:t>.</w:t>
            </w:r>
            <w:r w:rsidR="00747EE9" w:rsidRPr="00A17559">
              <w:rPr>
                <w:lang w:val="en-GB"/>
              </w:rPr>
              <w:t>9</w:t>
            </w:r>
            <w:r w:rsidR="00403F57" w:rsidRPr="00A17559">
              <w:rPr>
                <w:lang w:val="en-GB"/>
              </w:rPr>
              <w:t>%</w:t>
            </w:r>
            <w:r w:rsidR="00747EE9" w:rsidRPr="00A17559">
              <w:rPr>
                <w:lang w:val="en-GB"/>
              </w:rPr>
              <w:t>)</w:t>
            </w:r>
            <w:r w:rsidR="00F421A3" w:rsidRPr="00A17559">
              <w:rPr>
                <w:lang w:val="en-GB"/>
              </w:rPr>
              <w:t xml:space="preserve"> </w:t>
            </w:r>
            <w:r w:rsidR="002F1B09" w:rsidRPr="00A17559">
              <w:rPr>
                <w:lang w:val="en-GB"/>
              </w:rPr>
              <w:t>a</w:t>
            </w:r>
            <w:r w:rsidR="00F421A3" w:rsidRPr="00A17559">
              <w:rPr>
                <w:lang w:val="en-GB"/>
              </w:rPr>
              <w:t xml:space="preserve">nd activities of employment placement agencies </w:t>
            </w:r>
            <w:r w:rsidR="00747EE9" w:rsidRPr="00A17559">
              <w:rPr>
                <w:lang w:val="en-GB"/>
              </w:rPr>
              <w:t>(7</w:t>
            </w:r>
            <w:r w:rsidR="00F421A3" w:rsidRPr="00A17559">
              <w:rPr>
                <w:lang w:val="en-GB"/>
              </w:rPr>
              <w:t>.</w:t>
            </w:r>
            <w:r w:rsidR="00747EE9" w:rsidRPr="00A17559">
              <w:rPr>
                <w:lang w:val="en-GB"/>
              </w:rPr>
              <w:t>1</w:t>
            </w:r>
            <w:r w:rsidR="00403F57" w:rsidRPr="00A17559">
              <w:rPr>
                <w:lang w:val="en-GB"/>
              </w:rPr>
              <w:t>%</w:t>
            </w:r>
            <w:r w:rsidR="00747EE9" w:rsidRPr="00A17559">
              <w:rPr>
                <w:lang w:val="en-GB"/>
              </w:rPr>
              <w:t>)</w:t>
            </w:r>
            <w:r w:rsidR="008D4E52" w:rsidRPr="00A17559">
              <w:rPr>
                <w:lang w:val="en-GB"/>
              </w:rPr>
              <w:t xml:space="preserve"> exerted a moderate influence</w:t>
            </w:r>
            <w:r w:rsidR="00747EE9" w:rsidRPr="00A17559">
              <w:rPr>
                <w:lang w:val="en-GB"/>
              </w:rPr>
              <w:t xml:space="preserve">. </w:t>
            </w:r>
            <w:r w:rsidR="00F421A3" w:rsidRPr="00A17559">
              <w:rPr>
                <w:lang w:val="en-GB"/>
              </w:rPr>
              <w:t>Most types of services featured a price growth</w:t>
            </w:r>
            <w:r w:rsidR="00747EE9" w:rsidRPr="00A17559">
              <w:rPr>
                <w:lang w:val="en-GB"/>
              </w:rPr>
              <w:t xml:space="preserve">, </w:t>
            </w:r>
            <w:r w:rsidR="00F421A3" w:rsidRPr="00A17559">
              <w:rPr>
                <w:lang w:val="en-GB"/>
              </w:rPr>
              <w:t xml:space="preserve">only storage and support activities in transportation </w:t>
            </w:r>
            <w:r w:rsidR="00747EE9" w:rsidRPr="00A17559">
              <w:rPr>
                <w:lang w:val="en-GB"/>
              </w:rPr>
              <w:t>(</w:t>
            </w:r>
            <w:r w:rsidR="00403F57" w:rsidRPr="00A17559">
              <w:rPr>
                <w:lang w:val="en-GB"/>
              </w:rPr>
              <w:t>–</w:t>
            </w:r>
            <w:r w:rsidR="00747EE9" w:rsidRPr="00A17559">
              <w:rPr>
                <w:lang w:val="en-GB"/>
              </w:rPr>
              <w:t>1</w:t>
            </w:r>
            <w:r w:rsidR="00F421A3" w:rsidRPr="00A17559">
              <w:rPr>
                <w:lang w:val="en-GB"/>
              </w:rPr>
              <w:t>.</w:t>
            </w:r>
            <w:r w:rsidR="00747EE9" w:rsidRPr="00A17559">
              <w:rPr>
                <w:lang w:val="en-GB"/>
              </w:rPr>
              <w:t>6</w:t>
            </w:r>
            <w:r w:rsidR="00403F57" w:rsidRPr="00A17559">
              <w:rPr>
                <w:lang w:val="en-GB"/>
              </w:rPr>
              <w:t>%</w:t>
            </w:r>
            <w:r w:rsidR="00747EE9" w:rsidRPr="00A17559">
              <w:rPr>
                <w:lang w:val="en-GB"/>
              </w:rPr>
              <w:t>)</w:t>
            </w:r>
            <w:r w:rsidR="00F421A3" w:rsidRPr="00A17559">
              <w:rPr>
                <w:lang w:val="en-GB"/>
              </w:rPr>
              <w:t xml:space="preserve"> worked in the direction of decrease. </w:t>
            </w:r>
          </w:p>
        </w:tc>
      </w:tr>
      <w:tr w:rsidR="00747EE9" w:rsidRPr="00A17559" w:rsidTr="00747EE9">
        <w:trPr>
          <w:trHeight w:val="145"/>
        </w:trPr>
        <w:tc>
          <w:tcPr>
            <w:tcW w:w="1805" w:type="dxa"/>
            <w:shd w:val="clear" w:color="auto" w:fill="auto"/>
            <w:tcMar>
              <w:left w:w="0" w:type="dxa"/>
            </w:tcMar>
          </w:tcPr>
          <w:p w:rsidR="00747EE9" w:rsidRPr="00A17559" w:rsidRDefault="00DA0FE3" w:rsidP="00DA0FE3">
            <w:pPr>
              <w:pStyle w:val="Marginlie"/>
              <w:rPr>
                <w:spacing w:val="0"/>
                <w:lang w:val="en-GB"/>
              </w:rPr>
            </w:pPr>
            <w:r w:rsidRPr="00A17559">
              <w:rPr>
                <w:spacing w:val="0"/>
                <w:lang w:val="en-GB"/>
              </w:rPr>
              <w:t xml:space="preserve">Prices of agricultural production picked up steam in Q2, both in the plant and animal production. </w:t>
            </w:r>
          </w:p>
        </w:tc>
        <w:tc>
          <w:tcPr>
            <w:tcW w:w="224" w:type="dxa"/>
            <w:shd w:val="clear" w:color="auto" w:fill="auto"/>
            <w:tcMar>
              <w:left w:w="0" w:type="dxa"/>
            </w:tcMar>
          </w:tcPr>
          <w:p w:rsidR="00747EE9" w:rsidRPr="00A17559" w:rsidRDefault="00747EE9" w:rsidP="00747EE9">
            <w:pPr>
              <w:pStyle w:val="Textpoznpodarou1"/>
              <w:jc w:val="both"/>
              <w:rPr>
                <w:lang w:val="en-GB"/>
              </w:rPr>
            </w:pPr>
          </w:p>
        </w:tc>
        <w:tc>
          <w:tcPr>
            <w:tcW w:w="7610" w:type="dxa"/>
            <w:shd w:val="clear" w:color="auto" w:fill="auto"/>
            <w:tcMar>
              <w:left w:w="0" w:type="dxa"/>
            </w:tcMar>
          </w:tcPr>
          <w:p w:rsidR="00747EE9" w:rsidRPr="00A17559" w:rsidRDefault="00F421A3" w:rsidP="00072A4A">
            <w:pPr>
              <w:rPr>
                <w:spacing w:val="-2"/>
                <w:lang w:val="en-GB"/>
              </w:rPr>
            </w:pPr>
            <w:r w:rsidRPr="00A17559">
              <w:rPr>
                <w:lang w:val="en-GB"/>
              </w:rPr>
              <w:t>Year-on-year growth of the agricultural producer prices markedly accelerated in Q</w:t>
            </w:r>
            <w:r w:rsidR="00747EE9" w:rsidRPr="00A17559">
              <w:rPr>
                <w:lang w:val="en-GB"/>
              </w:rPr>
              <w:t>2</w:t>
            </w:r>
            <w:r w:rsidRPr="00A17559">
              <w:rPr>
                <w:lang w:val="en-GB"/>
              </w:rPr>
              <w:t xml:space="preserve"> and attained </w:t>
            </w:r>
            <w:r w:rsidR="00747EE9" w:rsidRPr="00A17559">
              <w:rPr>
                <w:lang w:val="en-GB"/>
              </w:rPr>
              <w:t>11</w:t>
            </w:r>
            <w:r w:rsidRPr="00A17559">
              <w:rPr>
                <w:lang w:val="en-GB"/>
              </w:rPr>
              <w:t>.</w:t>
            </w:r>
            <w:r w:rsidR="00747EE9" w:rsidRPr="00A17559">
              <w:rPr>
                <w:lang w:val="en-GB"/>
              </w:rPr>
              <w:t>0%.</w:t>
            </w:r>
            <w:r w:rsidRPr="00A17559">
              <w:rPr>
                <w:lang w:val="en-GB"/>
              </w:rPr>
              <w:t xml:space="preserve"> This is the most since Q</w:t>
            </w:r>
            <w:r w:rsidR="00747EE9" w:rsidRPr="00A17559">
              <w:rPr>
                <w:lang w:val="en-GB"/>
              </w:rPr>
              <w:t>3</w:t>
            </w:r>
            <w:r w:rsidRPr="00A17559">
              <w:rPr>
                <w:lang w:val="en-GB"/>
              </w:rPr>
              <w:t xml:space="preserve"> </w:t>
            </w:r>
            <w:r w:rsidR="00747EE9" w:rsidRPr="00A17559">
              <w:rPr>
                <w:lang w:val="en-GB"/>
              </w:rPr>
              <w:t>201</w:t>
            </w:r>
            <w:r w:rsidR="004A5D4E" w:rsidRPr="00A17559">
              <w:rPr>
                <w:lang w:val="en-GB"/>
              </w:rPr>
              <w:t>7.</w:t>
            </w:r>
            <w:r w:rsidRPr="00A17559">
              <w:rPr>
                <w:lang w:val="en-GB"/>
              </w:rPr>
              <w:t xml:space="preserve"> Prices of plant </w:t>
            </w:r>
            <w:r w:rsidR="00747EE9" w:rsidRPr="00A17559">
              <w:rPr>
                <w:lang w:val="en-GB"/>
              </w:rPr>
              <w:t>(16</w:t>
            </w:r>
            <w:r w:rsidRPr="00A17559">
              <w:rPr>
                <w:lang w:val="en-GB"/>
              </w:rPr>
              <w:t>.</w:t>
            </w:r>
            <w:r w:rsidR="00747EE9" w:rsidRPr="00A17559">
              <w:rPr>
                <w:lang w:val="en-GB"/>
              </w:rPr>
              <w:t>6</w:t>
            </w:r>
            <w:r w:rsidR="00403F57" w:rsidRPr="00A17559">
              <w:rPr>
                <w:lang w:val="en-GB"/>
              </w:rPr>
              <w:t>%</w:t>
            </w:r>
            <w:r w:rsidR="00747EE9" w:rsidRPr="00A17559">
              <w:rPr>
                <w:lang w:val="en-GB"/>
              </w:rPr>
              <w:t>)</w:t>
            </w:r>
            <w:r w:rsidRPr="00A17559">
              <w:rPr>
                <w:lang w:val="en-GB"/>
              </w:rPr>
              <w:t xml:space="preserve"> as well as animal production </w:t>
            </w:r>
            <w:r w:rsidR="00747EE9" w:rsidRPr="00A17559">
              <w:rPr>
                <w:lang w:val="en-GB"/>
              </w:rPr>
              <w:t>(5</w:t>
            </w:r>
            <w:r w:rsidRPr="00A17559">
              <w:rPr>
                <w:lang w:val="en-GB"/>
              </w:rPr>
              <w:t>.</w:t>
            </w:r>
            <w:r w:rsidR="00747EE9" w:rsidRPr="00A17559">
              <w:rPr>
                <w:lang w:val="en-GB"/>
              </w:rPr>
              <w:t>4</w:t>
            </w:r>
            <w:r w:rsidR="00403F57" w:rsidRPr="00A17559">
              <w:rPr>
                <w:lang w:val="en-GB"/>
              </w:rPr>
              <w:t>%</w:t>
            </w:r>
            <w:r w:rsidR="00747EE9" w:rsidRPr="00A17559">
              <w:rPr>
                <w:lang w:val="en-GB"/>
              </w:rPr>
              <w:t>)</w:t>
            </w:r>
            <w:r w:rsidRPr="00A17559">
              <w:rPr>
                <w:lang w:val="en-GB"/>
              </w:rPr>
              <w:t xml:space="preserve"> were climbing up</w:t>
            </w:r>
            <w:r w:rsidR="00747EE9" w:rsidRPr="00A17559">
              <w:rPr>
                <w:lang w:val="en-GB"/>
              </w:rPr>
              <w:t xml:space="preserve">. </w:t>
            </w:r>
            <w:r w:rsidRPr="00A17559">
              <w:rPr>
                <w:lang w:val="en-GB"/>
              </w:rPr>
              <w:t xml:space="preserve">The adverse development of harvest in the last year fully manifested in the plant production. Large increase of prices was observed for cereals </w:t>
            </w:r>
            <w:r w:rsidR="00747EE9" w:rsidRPr="00A17559">
              <w:rPr>
                <w:lang w:val="en-GB"/>
              </w:rPr>
              <w:t>(16</w:t>
            </w:r>
            <w:r w:rsidRPr="00A17559">
              <w:rPr>
                <w:lang w:val="en-GB"/>
              </w:rPr>
              <w:t>.</w:t>
            </w:r>
            <w:r w:rsidR="00747EE9" w:rsidRPr="00A17559">
              <w:rPr>
                <w:lang w:val="en-GB"/>
              </w:rPr>
              <w:t>4</w:t>
            </w:r>
            <w:r w:rsidR="00403F57" w:rsidRPr="00A17559">
              <w:rPr>
                <w:lang w:val="en-GB"/>
              </w:rPr>
              <w:t>%</w:t>
            </w:r>
            <w:r w:rsidR="00747EE9" w:rsidRPr="00A17559">
              <w:rPr>
                <w:lang w:val="en-GB"/>
              </w:rPr>
              <w:t>),</w:t>
            </w:r>
            <w:r w:rsidRPr="00A17559">
              <w:rPr>
                <w:lang w:val="en-GB"/>
              </w:rPr>
              <w:t xml:space="preserve"> especially wheat </w:t>
            </w:r>
            <w:r w:rsidR="00747EE9" w:rsidRPr="00A17559">
              <w:rPr>
                <w:lang w:val="en-GB"/>
              </w:rPr>
              <w:t>(17</w:t>
            </w:r>
            <w:r w:rsidR="0076264F" w:rsidRPr="00A17559">
              <w:rPr>
                <w:lang w:val="en-GB"/>
              </w:rPr>
              <w:t>.</w:t>
            </w:r>
            <w:r w:rsidR="00747EE9" w:rsidRPr="00A17559">
              <w:rPr>
                <w:lang w:val="en-GB"/>
              </w:rPr>
              <w:t>8</w:t>
            </w:r>
            <w:r w:rsidR="00403F57" w:rsidRPr="00A17559">
              <w:rPr>
                <w:lang w:val="en-GB"/>
              </w:rPr>
              <w:t>%</w:t>
            </w:r>
            <w:r w:rsidR="00747EE9" w:rsidRPr="00A17559">
              <w:rPr>
                <w:lang w:val="en-GB"/>
              </w:rPr>
              <w:t>)</w:t>
            </w:r>
            <w:r w:rsidR="0076264F" w:rsidRPr="00A17559">
              <w:rPr>
                <w:lang w:val="en-GB"/>
              </w:rPr>
              <w:t xml:space="preserve"> and barl</w:t>
            </w:r>
            <w:r w:rsidR="00072A4A" w:rsidRPr="00A17559">
              <w:rPr>
                <w:lang w:val="en-GB"/>
              </w:rPr>
              <w:t>e</w:t>
            </w:r>
            <w:r w:rsidR="0076264F" w:rsidRPr="00A17559">
              <w:rPr>
                <w:lang w:val="en-GB"/>
              </w:rPr>
              <w:t xml:space="preserve">y </w:t>
            </w:r>
            <w:r w:rsidR="00747EE9" w:rsidRPr="00A17559">
              <w:rPr>
                <w:lang w:val="en-GB"/>
              </w:rPr>
              <w:t>(16</w:t>
            </w:r>
            <w:r w:rsidR="0076264F" w:rsidRPr="00A17559">
              <w:rPr>
                <w:lang w:val="en-GB"/>
              </w:rPr>
              <w:t>.</w:t>
            </w:r>
            <w:r w:rsidR="00747EE9" w:rsidRPr="00A17559">
              <w:rPr>
                <w:lang w:val="en-GB"/>
              </w:rPr>
              <w:t>4</w:t>
            </w:r>
            <w:r w:rsidR="00403F57" w:rsidRPr="00A17559">
              <w:rPr>
                <w:lang w:val="en-GB"/>
              </w:rPr>
              <w:t>%</w:t>
            </w:r>
            <w:r w:rsidR="00747EE9" w:rsidRPr="00A17559">
              <w:rPr>
                <w:lang w:val="en-GB"/>
              </w:rPr>
              <w:t xml:space="preserve">). </w:t>
            </w:r>
            <w:r w:rsidR="0076264F" w:rsidRPr="00A17559">
              <w:rPr>
                <w:lang w:val="en-GB"/>
              </w:rPr>
              <w:t>Prices of industrial crops increased by 1</w:t>
            </w:r>
            <w:r w:rsidR="00747EE9" w:rsidRPr="00A17559">
              <w:rPr>
                <w:lang w:val="en-GB"/>
              </w:rPr>
              <w:t>5</w:t>
            </w:r>
            <w:r w:rsidR="0076264F" w:rsidRPr="00A17559">
              <w:rPr>
                <w:lang w:val="en-GB"/>
              </w:rPr>
              <w:t>.</w:t>
            </w:r>
            <w:r w:rsidR="00747EE9" w:rsidRPr="00A17559">
              <w:rPr>
                <w:lang w:val="en-GB"/>
              </w:rPr>
              <w:t>0</w:t>
            </w:r>
            <w:r w:rsidR="00403F57" w:rsidRPr="00A17559">
              <w:rPr>
                <w:lang w:val="en-GB"/>
              </w:rPr>
              <w:t>%</w:t>
            </w:r>
            <w:r w:rsidR="0076264F" w:rsidRPr="00A17559">
              <w:rPr>
                <w:lang w:val="en-GB"/>
              </w:rPr>
              <w:t xml:space="preserve">, in that prices of oil plants by </w:t>
            </w:r>
            <w:r w:rsidR="00747EE9" w:rsidRPr="00A17559">
              <w:rPr>
                <w:lang w:val="en-GB"/>
              </w:rPr>
              <w:t>15</w:t>
            </w:r>
            <w:r w:rsidR="0076264F" w:rsidRPr="00A17559">
              <w:rPr>
                <w:lang w:val="en-GB"/>
              </w:rPr>
              <w:t>.</w:t>
            </w:r>
            <w:r w:rsidR="00747EE9" w:rsidRPr="00A17559">
              <w:rPr>
                <w:lang w:val="en-GB"/>
              </w:rPr>
              <w:t>6</w:t>
            </w:r>
            <w:r w:rsidR="00403F57" w:rsidRPr="00A17559">
              <w:rPr>
                <w:lang w:val="en-GB"/>
              </w:rPr>
              <w:t>%</w:t>
            </w:r>
            <w:r w:rsidR="00747EE9" w:rsidRPr="00A17559">
              <w:rPr>
                <w:lang w:val="en-GB"/>
              </w:rPr>
              <w:t>.</w:t>
            </w:r>
            <w:r w:rsidR="0076264F" w:rsidRPr="00A17559">
              <w:rPr>
                <w:lang w:val="en-GB"/>
              </w:rPr>
              <w:t xml:space="preserve"> On the contrary, increase </w:t>
            </w:r>
            <w:r w:rsidR="007129A5" w:rsidRPr="00A17559">
              <w:rPr>
                <w:lang w:val="en-GB"/>
              </w:rPr>
              <w:t xml:space="preserve">of feed crops shrank to </w:t>
            </w:r>
            <w:r w:rsidR="00747EE9" w:rsidRPr="00A17559">
              <w:rPr>
                <w:lang w:val="en-GB"/>
              </w:rPr>
              <w:t>5</w:t>
            </w:r>
            <w:r w:rsidR="007129A5" w:rsidRPr="00A17559">
              <w:rPr>
                <w:lang w:val="en-GB"/>
              </w:rPr>
              <w:t>.</w:t>
            </w:r>
            <w:r w:rsidR="00747EE9" w:rsidRPr="00A17559">
              <w:rPr>
                <w:lang w:val="en-GB"/>
              </w:rPr>
              <w:t>9</w:t>
            </w:r>
            <w:r w:rsidR="00403F57" w:rsidRPr="00A17559">
              <w:rPr>
                <w:lang w:val="en-GB"/>
              </w:rPr>
              <w:t>%</w:t>
            </w:r>
            <w:r w:rsidR="00747EE9" w:rsidRPr="00A17559">
              <w:rPr>
                <w:lang w:val="en-GB"/>
              </w:rPr>
              <w:t>.</w:t>
            </w:r>
            <w:r w:rsidR="007129A5" w:rsidRPr="00A17559">
              <w:rPr>
                <w:lang w:val="en-GB"/>
              </w:rPr>
              <w:t xml:space="preserve"> Dynamics of </w:t>
            </w:r>
            <w:r w:rsidR="00885EE2" w:rsidRPr="00A17559">
              <w:rPr>
                <w:lang w:val="en-GB"/>
              </w:rPr>
              <w:t>potato</w:t>
            </w:r>
            <w:r w:rsidR="007129A5" w:rsidRPr="00A17559">
              <w:rPr>
                <w:lang w:val="en-GB"/>
              </w:rPr>
              <w:t xml:space="preserve"> prices still accelerates </w:t>
            </w:r>
            <w:r w:rsidR="007E2467" w:rsidRPr="00A17559">
              <w:rPr>
                <w:lang w:val="en-GB"/>
              </w:rPr>
              <w:t>–</w:t>
            </w:r>
            <w:r w:rsidR="007129A5" w:rsidRPr="00A17559">
              <w:rPr>
                <w:lang w:val="en-GB"/>
              </w:rPr>
              <w:t xml:space="preserve"> </w:t>
            </w:r>
            <w:r w:rsidR="007E2467" w:rsidRPr="00A17559">
              <w:rPr>
                <w:lang w:val="en-GB"/>
              </w:rPr>
              <w:t xml:space="preserve">after </w:t>
            </w:r>
            <w:r w:rsidR="00747EE9" w:rsidRPr="00A17559">
              <w:rPr>
                <w:lang w:val="en-GB"/>
              </w:rPr>
              <w:t>47</w:t>
            </w:r>
            <w:r w:rsidR="007E2467" w:rsidRPr="00A17559">
              <w:rPr>
                <w:lang w:val="en-GB"/>
              </w:rPr>
              <w:t>.</w:t>
            </w:r>
            <w:r w:rsidR="00747EE9" w:rsidRPr="00A17559">
              <w:rPr>
                <w:lang w:val="en-GB"/>
              </w:rPr>
              <w:t xml:space="preserve">9% </w:t>
            </w:r>
            <w:r w:rsidR="007E2467" w:rsidRPr="00A17559">
              <w:rPr>
                <w:lang w:val="en-GB"/>
              </w:rPr>
              <w:t>rise in Q</w:t>
            </w:r>
            <w:r w:rsidR="00747EE9" w:rsidRPr="00A17559">
              <w:rPr>
                <w:lang w:val="en-GB"/>
              </w:rPr>
              <w:t>1</w:t>
            </w:r>
            <w:r w:rsidR="007E2467" w:rsidRPr="00A17559">
              <w:rPr>
                <w:lang w:val="en-GB"/>
              </w:rPr>
              <w:t xml:space="preserve"> to </w:t>
            </w:r>
            <w:r w:rsidR="00747EE9" w:rsidRPr="00A17559">
              <w:rPr>
                <w:lang w:val="en-GB"/>
              </w:rPr>
              <w:t>74</w:t>
            </w:r>
            <w:r w:rsidR="007E2467" w:rsidRPr="00A17559">
              <w:rPr>
                <w:lang w:val="en-GB"/>
              </w:rPr>
              <w:t>.</w:t>
            </w:r>
            <w:r w:rsidR="00747EE9" w:rsidRPr="00A17559">
              <w:rPr>
                <w:lang w:val="en-GB"/>
              </w:rPr>
              <w:t>7</w:t>
            </w:r>
            <w:r w:rsidR="00403F57" w:rsidRPr="00A17559">
              <w:rPr>
                <w:lang w:val="en-GB"/>
              </w:rPr>
              <w:t>%</w:t>
            </w:r>
            <w:r w:rsidR="007E2467" w:rsidRPr="00A17559">
              <w:rPr>
                <w:lang w:val="en-GB"/>
              </w:rPr>
              <w:t xml:space="preserve"> in Q</w:t>
            </w:r>
            <w:r w:rsidR="004A5D4E" w:rsidRPr="00A17559">
              <w:rPr>
                <w:lang w:val="en-GB"/>
              </w:rPr>
              <w:t>2</w:t>
            </w:r>
            <w:r w:rsidR="00747EE9" w:rsidRPr="00A17559">
              <w:rPr>
                <w:lang w:val="en-GB"/>
              </w:rPr>
              <w:t>.</w:t>
            </w:r>
            <w:r w:rsidR="007E2467" w:rsidRPr="00A17559">
              <w:rPr>
                <w:lang w:val="en-GB"/>
              </w:rPr>
              <w:t xml:space="preserve"> In that, </w:t>
            </w:r>
            <w:r w:rsidR="00885EE2" w:rsidRPr="00A17559">
              <w:rPr>
                <w:lang w:val="en-GB"/>
              </w:rPr>
              <w:t>prices of ware potatoes went up by 104.7% year-on-year in Q</w:t>
            </w:r>
            <w:r w:rsidR="00747EE9" w:rsidRPr="00A17559">
              <w:rPr>
                <w:lang w:val="en-GB"/>
              </w:rPr>
              <w:t>2</w:t>
            </w:r>
            <w:r w:rsidR="00885EE2" w:rsidRPr="00A17559">
              <w:rPr>
                <w:lang w:val="en-GB"/>
              </w:rPr>
              <w:t xml:space="preserve"> and seed potatoes by </w:t>
            </w:r>
            <w:r w:rsidR="00747EE9" w:rsidRPr="00A17559">
              <w:rPr>
                <w:lang w:val="en-GB"/>
              </w:rPr>
              <w:t>17</w:t>
            </w:r>
            <w:r w:rsidR="00885EE2" w:rsidRPr="00A17559">
              <w:rPr>
                <w:lang w:val="en-GB"/>
              </w:rPr>
              <w:t>.</w:t>
            </w:r>
            <w:r w:rsidR="00747EE9" w:rsidRPr="00A17559">
              <w:rPr>
                <w:lang w:val="en-GB"/>
              </w:rPr>
              <w:t xml:space="preserve">2%. </w:t>
            </w:r>
            <w:r w:rsidR="00885EE2" w:rsidRPr="00A17559">
              <w:rPr>
                <w:lang w:val="en-GB"/>
              </w:rPr>
              <w:t xml:space="preserve">In contrast, the </w:t>
            </w:r>
            <w:r w:rsidR="00885EE2" w:rsidRPr="00A17559">
              <w:rPr>
                <w:lang w:val="en-GB"/>
              </w:rPr>
              <w:lastRenderedPageBreak/>
              <w:t xml:space="preserve">prices of fruit fell by </w:t>
            </w:r>
            <w:r w:rsidR="00747EE9" w:rsidRPr="00A17559">
              <w:rPr>
                <w:lang w:val="en-GB"/>
              </w:rPr>
              <w:t>21</w:t>
            </w:r>
            <w:r w:rsidR="00885EE2" w:rsidRPr="00A17559">
              <w:rPr>
                <w:lang w:val="en-GB"/>
              </w:rPr>
              <w:t>.</w:t>
            </w:r>
            <w:r w:rsidR="00747EE9" w:rsidRPr="00A17559">
              <w:rPr>
                <w:lang w:val="en-GB"/>
              </w:rPr>
              <w:t>9</w:t>
            </w:r>
            <w:r w:rsidR="00403F57" w:rsidRPr="00A17559">
              <w:rPr>
                <w:lang w:val="en-GB"/>
              </w:rPr>
              <w:t>%</w:t>
            </w:r>
            <w:r w:rsidR="00747EE9" w:rsidRPr="00A17559">
              <w:rPr>
                <w:lang w:val="en-GB"/>
              </w:rPr>
              <w:t>.</w:t>
            </w:r>
            <w:r w:rsidR="00885EE2" w:rsidRPr="00A17559">
              <w:rPr>
                <w:lang w:val="en-GB"/>
              </w:rPr>
              <w:t xml:space="preserve"> Prices of animal production climbed back after four quarters of declines, especially due to prices of pigs and piglets. </w:t>
            </w:r>
            <w:r w:rsidR="00747EE9" w:rsidRPr="00A17559">
              <w:rPr>
                <w:lang w:val="en-GB"/>
              </w:rPr>
              <w:t>T</w:t>
            </w:r>
            <w:r w:rsidR="00D5238B" w:rsidRPr="00A17559">
              <w:rPr>
                <w:lang w:val="en-GB"/>
              </w:rPr>
              <w:t>hese grew by 1</w:t>
            </w:r>
            <w:r w:rsidR="00747EE9" w:rsidRPr="00A17559">
              <w:rPr>
                <w:lang w:val="en-GB"/>
              </w:rPr>
              <w:t>3</w:t>
            </w:r>
            <w:r w:rsidR="00D5238B" w:rsidRPr="00A17559">
              <w:rPr>
                <w:lang w:val="en-GB"/>
              </w:rPr>
              <w:t>.</w:t>
            </w:r>
            <w:r w:rsidR="00747EE9" w:rsidRPr="00A17559">
              <w:rPr>
                <w:lang w:val="en-GB"/>
              </w:rPr>
              <w:t>0%.</w:t>
            </w:r>
            <w:r w:rsidR="00D5238B" w:rsidRPr="00A17559">
              <w:rPr>
                <w:lang w:val="en-GB"/>
              </w:rPr>
              <w:t xml:space="preserve"> </w:t>
            </w:r>
            <w:r w:rsidR="006E5161" w:rsidRPr="00A17559">
              <w:rPr>
                <w:lang w:val="en-GB"/>
              </w:rPr>
              <w:t>It resulted from the veterinary situation on the large wor</w:t>
            </w:r>
            <w:r w:rsidR="00072A4A" w:rsidRPr="00A17559">
              <w:rPr>
                <w:lang w:val="en-GB"/>
              </w:rPr>
              <w:t>l</w:t>
            </w:r>
            <w:r w:rsidR="006E5161" w:rsidRPr="00A17559">
              <w:rPr>
                <w:lang w:val="en-GB"/>
              </w:rPr>
              <w:t>d markets</w:t>
            </w:r>
            <w:r w:rsidR="00747EE9" w:rsidRPr="00A17559">
              <w:rPr>
                <w:rStyle w:val="Znakapoznpodarou"/>
                <w:lang w:val="en-GB"/>
              </w:rPr>
              <w:footnoteReference w:id="41"/>
            </w:r>
            <w:r w:rsidR="00747EE9" w:rsidRPr="00A17559">
              <w:rPr>
                <w:lang w:val="en-GB"/>
              </w:rPr>
              <w:t>,</w:t>
            </w:r>
            <w:r w:rsidR="006E5161" w:rsidRPr="00A17559">
              <w:rPr>
                <w:lang w:val="en-GB"/>
              </w:rPr>
              <w:t xml:space="preserve"> which caused the supply of pork to be considerably limited. </w:t>
            </w:r>
            <w:r w:rsidR="00D5238B" w:rsidRPr="00A17559">
              <w:rPr>
                <w:lang w:val="en-GB"/>
              </w:rPr>
              <w:t>Among the animal products, prices of mil</w:t>
            </w:r>
            <w:r w:rsidR="00072A4A" w:rsidRPr="00A17559">
              <w:rPr>
                <w:lang w:val="en-GB"/>
              </w:rPr>
              <w:t>k</w:t>
            </w:r>
            <w:r w:rsidR="00D5238B" w:rsidRPr="00A17559">
              <w:rPr>
                <w:lang w:val="en-GB"/>
              </w:rPr>
              <w:t xml:space="preserve"> went up by </w:t>
            </w:r>
            <w:r w:rsidR="00747EE9" w:rsidRPr="00A17559">
              <w:rPr>
                <w:lang w:val="en-GB"/>
              </w:rPr>
              <w:t>6</w:t>
            </w:r>
            <w:r w:rsidR="00D5238B" w:rsidRPr="00A17559">
              <w:rPr>
                <w:lang w:val="en-GB"/>
              </w:rPr>
              <w:t>.</w:t>
            </w:r>
            <w:r w:rsidR="00747EE9" w:rsidRPr="00A17559">
              <w:rPr>
                <w:lang w:val="en-GB"/>
              </w:rPr>
              <w:t>2</w:t>
            </w:r>
            <w:r w:rsidR="00403F57" w:rsidRPr="00A17559">
              <w:rPr>
                <w:lang w:val="en-GB"/>
              </w:rPr>
              <w:t>%</w:t>
            </w:r>
            <w:r w:rsidR="00747EE9" w:rsidRPr="00A17559">
              <w:rPr>
                <w:lang w:val="en-GB"/>
              </w:rPr>
              <w:t>.</w:t>
            </w:r>
          </w:p>
        </w:tc>
      </w:tr>
      <w:tr w:rsidR="00747EE9" w:rsidRPr="00A17559" w:rsidTr="00747EE9">
        <w:trPr>
          <w:trHeight w:val="145"/>
        </w:trPr>
        <w:tc>
          <w:tcPr>
            <w:tcW w:w="1805" w:type="dxa"/>
            <w:shd w:val="clear" w:color="auto" w:fill="auto"/>
            <w:tcMar>
              <w:left w:w="0" w:type="dxa"/>
            </w:tcMar>
          </w:tcPr>
          <w:p w:rsidR="00747EE9" w:rsidRPr="00A17559" w:rsidRDefault="006E5161" w:rsidP="006E5161">
            <w:pPr>
              <w:pStyle w:val="Marginlie"/>
              <w:rPr>
                <w:spacing w:val="0"/>
                <w:lang w:val="en-GB"/>
              </w:rPr>
            </w:pPr>
            <w:r w:rsidRPr="00A17559">
              <w:rPr>
                <w:spacing w:val="0"/>
                <w:lang w:val="en-GB"/>
              </w:rPr>
              <w:lastRenderedPageBreak/>
              <w:t xml:space="preserve">Prices of foreign trade went up. </w:t>
            </w:r>
          </w:p>
        </w:tc>
        <w:tc>
          <w:tcPr>
            <w:tcW w:w="224" w:type="dxa"/>
            <w:shd w:val="clear" w:color="auto" w:fill="auto"/>
            <w:tcMar>
              <w:left w:w="0" w:type="dxa"/>
            </w:tcMar>
          </w:tcPr>
          <w:p w:rsidR="00747EE9" w:rsidRPr="00A17559" w:rsidRDefault="00747EE9" w:rsidP="00747EE9">
            <w:pPr>
              <w:pStyle w:val="Textpoznpodarou1"/>
              <w:jc w:val="both"/>
              <w:rPr>
                <w:lang w:val="en-GB"/>
              </w:rPr>
            </w:pPr>
          </w:p>
        </w:tc>
        <w:tc>
          <w:tcPr>
            <w:tcW w:w="7610" w:type="dxa"/>
            <w:shd w:val="clear" w:color="auto" w:fill="auto"/>
            <w:tcMar>
              <w:left w:w="0" w:type="dxa"/>
            </w:tcMar>
          </w:tcPr>
          <w:p w:rsidR="00747EE9" w:rsidRPr="00A17559" w:rsidRDefault="00D478B9" w:rsidP="00072A4A">
            <w:pPr>
              <w:rPr>
                <w:lang w:val="en-GB"/>
              </w:rPr>
            </w:pPr>
            <w:r w:rsidRPr="00A17559">
              <w:rPr>
                <w:lang w:val="en-GB"/>
              </w:rPr>
              <w:t xml:space="preserve">Prices of export grew by </w:t>
            </w:r>
            <w:r w:rsidR="00747EE9" w:rsidRPr="00A17559">
              <w:rPr>
                <w:lang w:val="en-GB"/>
              </w:rPr>
              <w:t>2</w:t>
            </w:r>
            <w:r w:rsidRPr="00A17559">
              <w:rPr>
                <w:lang w:val="en-GB"/>
              </w:rPr>
              <w:t>.</w:t>
            </w:r>
            <w:r w:rsidR="00747EE9" w:rsidRPr="00A17559">
              <w:rPr>
                <w:lang w:val="en-GB"/>
              </w:rPr>
              <w:t>3</w:t>
            </w:r>
            <w:r w:rsidR="00403F57" w:rsidRPr="00A17559">
              <w:rPr>
                <w:lang w:val="en-GB"/>
              </w:rPr>
              <w:t>%</w:t>
            </w:r>
            <w:r w:rsidRPr="00A17559">
              <w:rPr>
                <w:lang w:val="en-GB"/>
              </w:rPr>
              <w:t xml:space="preserve"> year-on-year in H1 2019</w:t>
            </w:r>
            <w:r w:rsidR="00747EE9" w:rsidRPr="00A17559">
              <w:rPr>
                <w:lang w:val="en-GB"/>
              </w:rPr>
              <w:t>,</w:t>
            </w:r>
            <w:r w:rsidRPr="00A17559">
              <w:rPr>
                <w:lang w:val="en-GB"/>
              </w:rPr>
              <w:t xml:space="preserve"> in that by </w:t>
            </w:r>
            <w:r w:rsidR="00747EE9" w:rsidRPr="00A17559">
              <w:rPr>
                <w:lang w:val="en-GB"/>
              </w:rPr>
              <w:t>1</w:t>
            </w:r>
            <w:r w:rsidRPr="00A17559">
              <w:rPr>
                <w:lang w:val="en-GB"/>
              </w:rPr>
              <w:t>.</w:t>
            </w:r>
            <w:r w:rsidR="00747EE9" w:rsidRPr="00A17559">
              <w:rPr>
                <w:lang w:val="en-GB"/>
              </w:rPr>
              <w:t>7%</w:t>
            </w:r>
            <w:r w:rsidRPr="00A17559">
              <w:rPr>
                <w:lang w:val="en-GB"/>
              </w:rPr>
              <w:t xml:space="preserve"> in Q2</w:t>
            </w:r>
            <w:r w:rsidR="00747EE9" w:rsidRPr="00A17559">
              <w:rPr>
                <w:lang w:val="en-GB"/>
              </w:rPr>
              <w:t>.</w:t>
            </w:r>
            <w:r w:rsidRPr="00A17559">
              <w:rPr>
                <w:lang w:val="en-GB"/>
              </w:rPr>
              <w:t xml:space="preserve"> </w:t>
            </w:r>
            <w:r w:rsidR="00747EE9" w:rsidRPr="00A17559">
              <w:rPr>
                <w:lang w:val="en-GB"/>
              </w:rPr>
              <w:t xml:space="preserve"> </w:t>
            </w:r>
            <w:r w:rsidR="001C60B7" w:rsidRPr="00A17559">
              <w:rPr>
                <w:lang w:val="en-GB"/>
              </w:rPr>
              <w:t>Especially the price growth of other materials</w:t>
            </w:r>
            <w:r w:rsidR="00747EE9" w:rsidRPr="00A17559">
              <w:rPr>
                <w:rStyle w:val="Znakapoznpodarou"/>
                <w:lang w:val="en-GB"/>
              </w:rPr>
              <w:footnoteReference w:id="42"/>
            </w:r>
            <w:r w:rsidR="00747EE9" w:rsidRPr="00A17559">
              <w:rPr>
                <w:lang w:val="en-GB"/>
              </w:rPr>
              <w:t xml:space="preserve"> (</w:t>
            </w:r>
            <w:r w:rsidR="001C60B7" w:rsidRPr="00A17559">
              <w:rPr>
                <w:lang w:val="en-GB"/>
              </w:rPr>
              <w:t xml:space="preserve">from </w:t>
            </w:r>
            <w:r w:rsidR="00747EE9" w:rsidRPr="00A17559">
              <w:rPr>
                <w:lang w:val="en-GB"/>
              </w:rPr>
              <w:t>0</w:t>
            </w:r>
            <w:r w:rsidR="001C60B7" w:rsidRPr="00A17559">
              <w:rPr>
                <w:lang w:val="en-GB"/>
              </w:rPr>
              <w:t>.</w:t>
            </w:r>
            <w:r w:rsidR="00747EE9" w:rsidRPr="00A17559">
              <w:rPr>
                <w:lang w:val="en-GB"/>
              </w:rPr>
              <w:t>8</w:t>
            </w:r>
            <w:r w:rsidR="00403F57" w:rsidRPr="00A17559">
              <w:rPr>
                <w:lang w:val="en-GB"/>
              </w:rPr>
              <w:t>%</w:t>
            </w:r>
            <w:r w:rsidR="001C60B7" w:rsidRPr="00A17559">
              <w:rPr>
                <w:lang w:val="en-GB"/>
              </w:rPr>
              <w:t xml:space="preserve"> in Q</w:t>
            </w:r>
            <w:r w:rsidR="00747EE9" w:rsidRPr="00A17559">
              <w:rPr>
                <w:lang w:val="en-GB"/>
              </w:rPr>
              <w:t>1</w:t>
            </w:r>
            <w:r w:rsidR="001C60B7" w:rsidRPr="00A17559">
              <w:rPr>
                <w:lang w:val="en-GB"/>
              </w:rPr>
              <w:t xml:space="preserve"> to </w:t>
            </w:r>
            <w:r w:rsidR="00403F57" w:rsidRPr="00A17559">
              <w:rPr>
                <w:lang w:val="en-GB"/>
              </w:rPr>
              <w:t>–</w:t>
            </w:r>
            <w:r w:rsidR="00747EE9" w:rsidRPr="00A17559">
              <w:rPr>
                <w:lang w:val="en-GB"/>
              </w:rPr>
              <w:t>1</w:t>
            </w:r>
            <w:r w:rsidR="001C60B7" w:rsidRPr="00A17559">
              <w:rPr>
                <w:lang w:val="en-GB"/>
              </w:rPr>
              <w:t>.</w:t>
            </w:r>
            <w:r w:rsidR="00747EE9" w:rsidRPr="00A17559">
              <w:rPr>
                <w:lang w:val="en-GB"/>
              </w:rPr>
              <w:t>5</w:t>
            </w:r>
            <w:r w:rsidR="00403F57" w:rsidRPr="00A17559">
              <w:rPr>
                <w:lang w:val="en-GB"/>
              </w:rPr>
              <w:t>%</w:t>
            </w:r>
            <w:r w:rsidR="001C60B7" w:rsidRPr="00A17559">
              <w:rPr>
                <w:lang w:val="en-GB"/>
              </w:rPr>
              <w:t xml:space="preserve"> in Q</w:t>
            </w:r>
            <w:r w:rsidR="00747EE9" w:rsidRPr="00A17559">
              <w:rPr>
                <w:lang w:val="en-GB"/>
              </w:rPr>
              <w:t>2)</w:t>
            </w:r>
            <w:r w:rsidR="001C60B7" w:rsidRPr="00A17559">
              <w:rPr>
                <w:lang w:val="en-GB"/>
              </w:rPr>
              <w:t xml:space="preserve"> and also mineral fuels </w:t>
            </w:r>
            <w:r w:rsidR="00747EE9" w:rsidRPr="00A17559">
              <w:rPr>
                <w:lang w:val="en-GB"/>
              </w:rPr>
              <w:t>(</w:t>
            </w:r>
            <w:r w:rsidR="001C60B7" w:rsidRPr="00A17559">
              <w:rPr>
                <w:lang w:val="en-GB"/>
              </w:rPr>
              <w:t xml:space="preserve">from </w:t>
            </w:r>
            <w:r w:rsidR="00747EE9" w:rsidRPr="00A17559">
              <w:rPr>
                <w:lang w:val="en-GB"/>
              </w:rPr>
              <w:t>8</w:t>
            </w:r>
            <w:r w:rsidR="001C60B7" w:rsidRPr="00A17559">
              <w:rPr>
                <w:lang w:val="en-GB"/>
              </w:rPr>
              <w:t>.</w:t>
            </w:r>
            <w:r w:rsidR="00747EE9" w:rsidRPr="00A17559">
              <w:rPr>
                <w:lang w:val="en-GB"/>
              </w:rPr>
              <w:t>9</w:t>
            </w:r>
            <w:r w:rsidR="00403F57" w:rsidRPr="00A17559">
              <w:rPr>
                <w:lang w:val="en-GB"/>
              </w:rPr>
              <w:t>%</w:t>
            </w:r>
            <w:r w:rsidR="00747EE9" w:rsidRPr="00A17559">
              <w:rPr>
                <w:lang w:val="en-GB"/>
              </w:rPr>
              <w:t xml:space="preserve"> </w:t>
            </w:r>
            <w:r w:rsidR="001C60B7" w:rsidRPr="00A17559">
              <w:rPr>
                <w:lang w:val="en-GB"/>
              </w:rPr>
              <w:t xml:space="preserve">to </w:t>
            </w:r>
            <w:r w:rsidR="00747EE9" w:rsidRPr="00A17559">
              <w:rPr>
                <w:lang w:val="en-GB"/>
              </w:rPr>
              <w:t>2</w:t>
            </w:r>
            <w:r w:rsidR="001C60B7" w:rsidRPr="00A17559">
              <w:rPr>
                <w:lang w:val="en-GB"/>
              </w:rPr>
              <w:t>.</w:t>
            </w:r>
            <w:r w:rsidR="00747EE9" w:rsidRPr="00A17559">
              <w:rPr>
                <w:lang w:val="en-GB"/>
              </w:rPr>
              <w:t>4</w:t>
            </w:r>
            <w:r w:rsidR="00403F57" w:rsidRPr="00A17559">
              <w:rPr>
                <w:lang w:val="en-GB"/>
              </w:rPr>
              <w:t>%</w:t>
            </w:r>
            <w:r w:rsidR="00747EE9" w:rsidRPr="00A17559">
              <w:rPr>
                <w:lang w:val="en-GB"/>
              </w:rPr>
              <w:t>)</w:t>
            </w:r>
            <w:r w:rsidR="001C60B7" w:rsidRPr="00A17559">
              <w:rPr>
                <w:lang w:val="en-GB"/>
              </w:rPr>
              <w:t xml:space="preserve"> slowed</w:t>
            </w:r>
            <w:r w:rsidR="00747EE9" w:rsidRPr="00A17559">
              <w:rPr>
                <w:lang w:val="en-GB"/>
              </w:rPr>
              <w:t xml:space="preserve">. </w:t>
            </w:r>
            <w:r w:rsidRPr="00A17559">
              <w:rPr>
                <w:lang w:val="en-GB"/>
              </w:rPr>
              <w:t>Price growth of exported machinery and transport equipment (</w:t>
            </w:r>
            <w:r w:rsidR="00747EE9" w:rsidRPr="00A17559">
              <w:rPr>
                <w:lang w:val="en-GB"/>
              </w:rPr>
              <w:t>1</w:t>
            </w:r>
            <w:r w:rsidRPr="00A17559">
              <w:rPr>
                <w:lang w:val="en-GB"/>
              </w:rPr>
              <w:t>.</w:t>
            </w:r>
            <w:r w:rsidR="00747EE9" w:rsidRPr="00A17559">
              <w:rPr>
                <w:lang w:val="en-GB"/>
              </w:rPr>
              <w:t>4</w:t>
            </w:r>
            <w:r w:rsidR="00403F57" w:rsidRPr="00A17559">
              <w:rPr>
                <w:lang w:val="en-GB"/>
              </w:rPr>
              <w:t>%</w:t>
            </w:r>
            <w:r w:rsidR="00747EE9" w:rsidRPr="00A17559">
              <w:rPr>
                <w:lang w:val="en-GB"/>
              </w:rPr>
              <w:t>)</w:t>
            </w:r>
            <w:r w:rsidRPr="00A17559">
              <w:rPr>
                <w:lang w:val="en-GB"/>
              </w:rPr>
              <w:t xml:space="preserve"> and semi-finished products</w:t>
            </w:r>
            <w:r w:rsidR="00747EE9" w:rsidRPr="00A17559">
              <w:rPr>
                <w:rStyle w:val="Znakapoznpodarou"/>
                <w:lang w:val="en-GB"/>
              </w:rPr>
              <w:footnoteReference w:id="43"/>
            </w:r>
            <w:r w:rsidR="00747EE9" w:rsidRPr="00A17559">
              <w:rPr>
                <w:lang w:val="en-GB"/>
              </w:rPr>
              <w:t xml:space="preserve"> (1</w:t>
            </w:r>
            <w:r w:rsidRPr="00A17559">
              <w:rPr>
                <w:lang w:val="en-GB"/>
              </w:rPr>
              <w:t>.</w:t>
            </w:r>
            <w:r w:rsidR="00747EE9" w:rsidRPr="00A17559">
              <w:rPr>
                <w:lang w:val="en-GB"/>
              </w:rPr>
              <w:t>4 %)</w:t>
            </w:r>
            <w:r w:rsidRPr="00A17559">
              <w:rPr>
                <w:lang w:val="en-GB"/>
              </w:rPr>
              <w:t xml:space="preserve"> was also only moderate in Q2</w:t>
            </w:r>
            <w:r w:rsidR="00747EE9" w:rsidRPr="00A17559">
              <w:rPr>
                <w:lang w:val="en-GB"/>
              </w:rPr>
              <w:t xml:space="preserve">. </w:t>
            </w:r>
            <w:r w:rsidR="002E26A6" w:rsidRPr="00A17559">
              <w:rPr>
                <w:lang w:val="en-GB"/>
              </w:rPr>
              <w:t xml:space="preserve">And vice versa, prices of food and live animals </w:t>
            </w:r>
            <w:r w:rsidR="00747EE9" w:rsidRPr="00A17559">
              <w:rPr>
                <w:lang w:val="en-GB"/>
              </w:rPr>
              <w:t>(3</w:t>
            </w:r>
            <w:r w:rsidR="002E26A6" w:rsidRPr="00A17559">
              <w:rPr>
                <w:lang w:val="en-GB"/>
              </w:rPr>
              <w:t>.</w:t>
            </w:r>
            <w:r w:rsidR="00747EE9" w:rsidRPr="00A17559">
              <w:rPr>
                <w:lang w:val="en-GB"/>
              </w:rPr>
              <w:t>5</w:t>
            </w:r>
            <w:r w:rsidR="00403F57" w:rsidRPr="00A17559">
              <w:rPr>
                <w:lang w:val="en-GB"/>
              </w:rPr>
              <w:t>%</w:t>
            </w:r>
            <w:r w:rsidR="00747EE9" w:rsidRPr="00A17559">
              <w:rPr>
                <w:lang w:val="en-GB"/>
              </w:rPr>
              <w:t>)</w:t>
            </w:r>
            <w:r w:rsidR="002E26A6" w:rsidRPr="00A17559">
              <w:rPr>
                <w:lang w:val="en-GB"/>
              </w:rPr>
              <w:t xml:space="preserve"> and industrial consumption goods </w:t>
            </w:r>
            <w:r w:rsidR="00747EE9" w:rsidRPr="00A17559">
              <w:rPr>
                <w:lang w:val="en-GB"/>
              </w:rPr>
              <w:t>(4</w:t>
            </w:r>
            <w:r w:rsidR="002E26A6" w:rsidRPr="00A17559">
              <w:rPr>
                <w:lang w:val="en-GB"/>
              </w:rPr>
              <w:t>.</w:t>
            </w:r>
            <w:r w:rsidR="00747EE9" w:rsidRPr="00A17559">
              <w:rPr>
                <w:lang w:val="en-GB"/>
              </w:rPr>
              <w:t>3</w:t>
            </w:r>
            <w:r w:rsidR="00403F57" w:rsidRPr="00A17559">
              <w:rPr>
                <w:lang w:val="en-GB"/>
              </w:rPr>
              <w:t>%</w:t>
            </w:r>
            <w:r w:rsidR="00747EE9" w:rsidRPr="00A17559">
              <w:rPr>
                <w:lang w:val="en-GB"/>
              </w:rPr>
              <w:t>)</w:t>
            </w:r>
            <w:r w:rsidR="002E26A6" w:rsidRPr="00A17559">
              <w:rPr>
                <w:lang w:val="en-GB"/>
              </w:rPr>
              <w:t xml:space="preserve"> went up relatively fast</w:t>
            </w:r>
            <w:r w:rsidR="00747EE9" w:rsidRPr="00A17559">
              <w:rPr>
                <w:lang w:val="en-GB"/>
              </w:rPr>
              <w:t xml:space="preserve">. </w:t>
            </w:r>
            <w:r w:rsidR="003E6DE1" w:rsidRPr="00A17559">
              <w:rPr>
                <w:lang w:val="en-GB"/>
              </w:rPr>
              <w:t>Import prices followed a similar pattern. They increased by 2.2% year-on-year in H</w:t>
            </w:r>
            <w:r w:rsidR="00747EE9" w:rsidRPr="00A17559">
              <w:rPr>
                <w:lang w:val="en-GB"/>
              </w:rPr>
              <w:t>1</w:t>
            </w:r>
            <w:r w:rsidR="003E6DE1" w:rsidRPr="00A17559">
              <w:rPr>
                <w:lang w:val="en-GB"/>
              </w:rPr>
              <w:t xml:space="preserve"> and the growth slackened to 1.5% between quarter </w:t>
            </w:r>
            <w:r w:rsidR="004A5D4E" w:rsidRPr="00A17559">
              <w:rPr>
                <w:lang w:val="en-GB"/>
              </w:rPr>
              <w:t>1</w:t>
            </w:r>
            <w:r w:rsidR="003E6DE1" w:rsidRPr="00A17559">
              <w:rPr>
                <w:lang w:val="en-GB"/>
              </w:rPr>
              <w:t xml:space="preserve"> and 2, mainly due to the effect of prices of mineral fuels </w:t>
            </w:r>
            <w:r w:rsidR="00747EE9" w:rsidRPr="00A17559">
              <w:rPr>
                <w:lang w:val="en-GB"/>
              </w:rPr>
              <w:t>(8</w:t>
            </w:r>
            <w:r w:rsidR="003E6DE1" w:rsidRPr="00A17559">
              <w:rPr>
                <w:lang w:val="en-GB"/>
              </w:rPr>
              <w:t>.</w:t>
            </w:r>
            <w:r w:rsidR="00747EE9" w:rsidRPr="00A17559">
              <w:rPr>
                <w:lang w:val="en-GB"/>
              </w:rPr>
              <w:t>0</w:t>
            </w:r>
            <w:r w:rsidR="00403F57" w:rsidRPr="00A17559">
              <w:rPr>
                <w:lang w:val="en-GB"/>
              </w:rPr>
              <w:t>%</w:t>
            </w:r>
            <w:r w:rsidR="003E6DE1" w:rsidRPr="00A17559">
              <w:rPr>
                <w:lang w:val="en-GB"/>
              </w:rPr>
              <w:t xml:space="preserve"> and </w:t>
            </w:r>
            <w:r w:rsidR="00747EE9" w:rsidRPr="00A17559">
              <w:rPr>
                <w:lang w:val="en-GB"/>
              </w:rPr>
              <w:t>1</w:t>
            </w:r>
            <w:r w:rsidR="003E6DE1" w:rsidRPr="00A17559">
              <w:rPr>
                <w:lang w:val="en-GB"/>
              </w:rPr>
              <w:t>.</w:t>
            </w:r>
            <w:r w:rsidR="00747EE9" w:rsidRPr="00A17559">
              <w:rPr>
                <w:lang w:val="en-GB"/>
              </w:rPr>
              <w:t>0</w:t>
            </w:r>
            <w:r w:rsidR="00403F57" w:rsidRPr="00A17559">
              <w:rPr>
                <w:lang w:val="en-GB"/>
              </w:rPr>
              <w:t>%</w:t>
            </w:r>
            <w:r w:rsidR="003E6DE1" w:rsidRPr="00A17559">
              <w:rPr>
                <w:lang w:val="en-GB"/>
              </w:rPr>
              <w:t xml:space="preserve"> in individual quarters</w:t>
            </w:r>
            <w:r w:rsidR="00747EE9" w:rsidRPr="00A17559">
              <w:rPr>
                <w:lang w:val="en-GB"/>
              </w:rPr>
              <w:t>).</w:t>
            </w:r>
            <w:r w:rsidR="003E6DE1" w:rsidRPr="00A17559">
              <w:rPr>
                <w:lang w:val="en-GB"/>
              </w:rPr>
              <w:t xml:space="preserve"> Dynamics of prices of other materials however remained very strong </w:t>
            </w:r>
            <w:r w:rsidR="00747EE9" w:rsidRPr="00A17559">
              <w:rPr>
                <w:lang w:val="en-GB"/>
              </w:rPr>
              <w:t>(8</w:t>
            </w:r>
            <w:r w:rsidR="003E6DE1" w:rsidRPr="00A17559">
              <w:rPr>
                <w:lang w:val="en-GB"/>
              </w:rPr>
              <w:t>.</w:t>
            </w:r>
            <w:r w:rsidR="00747EE9" w:rsidRPr="00A17559">
              <w:rPr>
                <w:lang w:val="en-GB"/>
              </w:rPr>
              <w:t>7</w:t>
            </w:r>
            <w:r w:rsidR="00403F57" w:rsidRPr="00A17559">
              <w:rPr>
                <w:lang w:val="en-GB"/>
              </w:rPr>
              <w:t>%</w:t>
            </w:r>
            <w:r w:rsidR="00747EE9" w:rsidRPr="00A17559">
              <w:rPr>
                <w:lang w:val="en-GB"/>
              </w:rPr>
              <w:t>).</w:t>
            </w:r>
            <w:r w:rsidR="003E6DE1" w:rsidRPr="00A17559">
              <w:rPr>
                <w:lang w:val="en-GB"/>
              </w:rPr>
              <w:t xml:space="preserve"> </w:t>
            </w:r>
            <w:r w:rsidR="001D74DD" w:rsidRPr="00A17559">
              <w:rPr>
                <w:lang w:val="en-GB"/>
              </w:rPr>
              <w:t xml:space="preserve">Prices of import of food and live animals </w:t>
            </w:r>
            <w:r w:rsidR="00747EE9" w:rsidRPr="00A17559">
              <w:rPr>
                <w:lang w:val="en-GB"/>
              </w:rPr>
              <w:t>(3</w:t>
            </w:r>
            <w:r w:rsidR="001D74DD" w:rsidRPr="00A17559">
              <w:rPr>
                <w:lang w:val="en-GB"/>
              </w:rPr>
              <w:t>.</w:t>
            </w:r>
            <w:r w:rsidR="00747EE9" w:rsidRPr="00A17559">
              <w:rPr>
                <w:lang w:val="en-GB"/>
              </w:rPr>
              <w:t>1</w:t>
            </w:r>
            <w:r w:rsidR="00403F57" w:rsidRPr="00A17559">
              <w:rPr>
                <w:lang w:val="en-GB"/>
              </w:rPr>
              <w:t>%</w:t>
            </w:r>
            <w:r w:rsidR="00747EE9" w:rsidRPr="00A17559">
              <w:rPr>
                <w:lang w:val="en-GB"/>
              </w:rPr>
              <w:t>),</w:t>
            </w:r>
            <w:r w:rsidR="001D74DD" w:rsidRPr="00A17559">
              <w:rPr>
                <w:lang w:val="en-GB"/>
              </w:rPr>
              <w:t xml:space="preserve"> chemicals and chemical products </w:t>
            </w:r>
            <w:r w:rsidR="00747EE9" w:rsidRPr="00A17559">
              <w:rPr>
                <w:lang w:val="en-GB"/>
              </w:rPr>
              <w:t>(1</w:t>
            </w:r>
            <w:r w:rsidR="001D74DD" w:rsidRPr="00A17559">
              <w:rPr>
                <w:lang w:val="en-GB"/>
              </w:rPr>
              <w:t>.</w:t>
            </w:r>
            <w:r w:rsidR="00747EE9" w:rsidRPr="00A17559">
              <w:rPr>
                <w:lang w:val="en-GB"/>
              </w:rPr>
              <w:t>3</w:t>
            </w:r>
            <w:r w:rsidR="00403F57" w:rsidRPr="00A17559">
              <w:rPr>
                <w:lang w:val="en-GB"/>
              </w:rPr>
              <w:t>%</w:t>
            </w:r>
            <w:r w:rsidR="00747EE9" w:rsidRPr="00A17559">
              <w:rPr>
                <w:lang w:val="en-GB"/>
              </w:rPr>
              <w:t>)</w:t>
            </w:r>
            <w:r w:rsidR="001D74DD" w:rsidRPr="00A17559">
              <w:rPr>
                <w:lang w:val="en-GB"/>
              </w:rPr>
              <w:t xml:space="preserve"> and machinery and transport equipment </w:t>
            </w:r>
            <w:r w:rsidR="00747EE9" w:rsidRPr="00A17559">
              <w:rPr>
                <w:lang w:val="en-GB"/>
              </w:rPr>
              <w:t>(2</w:t>
            </w:r>
            <w:r w:rsidR="001D74DD" w:rsidRPr="00A17559">
              <w:rPr>
                <w:lang w:val="en-GB"/>
              </w:rPr>
              <w:t>.</w:t>
            </w:r>
            <w:r w:rsidR="00747EE9" w:rsidRPr="00A17559">
              <w:rPr>
                <w:lang w:val="en-GB"/>
              </w:rPr>
              <w:t>4</w:t>
            </w:r>
            <w:r w:rsidR="00403F57" w:rsidRPr="00A17559">
              <w:rPr>
                <w:lang w:val="en-GB"/>
              </w:rPr>
              <w:t>%</w:t>
            </w:r>
            <w:r w:rsidR="00072A4A" w:rsidRPr="00A17559">
              <w:rPr>
                <w:lang w:val="en-GB"/>
              </w:rPr>
              <w:t>)</w:t>
            </w:r>
            <w:r w:rsidR="001D74DD" w:rsidRPr="00A17559">
              <w:rPr>
                <w:lang w:val="en-GB"/>
              </w:rPr>
              <w:t xml:space="preserve"> also increased year-on-year in Q2</w:t>
            </w:r>
            <w:r w:rsidR="00747EE9" w:rsidRPr="00A17559">
              <w:rPr>
                <w:lang w:val="en-GB"/>
              </w:rPr>
              <w:t>.</w:t>
            </w:r>
            <w:r w:rsidR="001D74DD" w:rsidRPr="00A17559">
              <w:rPr>
                <w:lang w:val="en-GB"/>
              </w:rPr>
              <w:t xml:space="preserve"> Prices of industrial consumer goods stagnated </w:t>
            </w:r>
            <w:r w:rsidR="00747EE9" w:rsidRPr="00A17559">
              <w:rPr>
                <w:lang w:val="en-GB"/>
              </w:rPr>
              <w:t>(0</w:t>
            </w:r>
            <w:r w:rsidR="001D74DD" w:rsidRPr="00A17559">
              <w:rPr>
                <w:lang w:val="en-GB"/>
              </w:rPr>
              <w:t>.</w:t>
            </w:r>
            <w:r w:rsidR="00747EE9" w:rsidRPr="00A17559">
              <w:rPr>
                <w:lang w:val="en-GB"/>
              </w:rPr>
              <w:t>3</w:t>
            </w:r>
            <w:r w:rsidR="00403F57" w:rsidRPr="00A17559">
              <w:rPr>
                <w:lang w:val="en-GB"/>
              </w:rPr>
              <w:t>%</w:t>
            </w:r>
            <w:r w:rsidR="00747EE9" w:rsidRPr="00A17559">
              <w:rPr>
                <w:lang w:val="en-GB"/>
              </w:rPr>
              <w:t>)</w:t>
            </w:r>
            <w:r w:rsidR="001D74DD" w:rsidRPr="00A17559">
              <w:rPr>
                <w:lang w:val="en-GB"/>
              </w:rPr>
              <w:t xml:space="preserve"> and prices of beverages and tobacco considerably fell </w:t>
            </w:r>
            <w:r w:rsidR="00747EE9" w:rsidRPr="00A17559">
              <w:rPr>
                <w:lang w:val="en-GB"/>
              </w:rPr>
              <w:t>(</w:t>
            </w:r>
            <w:r w:rsidR="00403F57" w:rsidRPr="00A17559">
              <w:rPr>
                <w:lang w:val="en-GB"/>
              </w:rPr>
              <w:t>–</w:t>
            </w:r>
            <w:r w:rsidR="00747EE9" w:rsidRPr="00A17559">
              <w:rPr>
                <w:lang w:val="en-GB"/>
              </w:rPr>
              <w:t>5</w:t>
            </w:r>
            <w:r w:rsidR="001D74DD" w:rsidRPr="00A17559">
              <w:rPr>
                <w:lang w:val="en-GB"/>
              </w:rPr>
              <w:t>.</w:t>
            </w:r>
            <w:r w:rsidR="00747EE9" w:rsidRPr="00A17559">
              <w:rPr>
                <w:lang w:val="en-GB"/>
              </w:rPr>
              <w:t>0</w:t>
            </w:r>
            <w:r w:rsidR="00403F57" w:rsidRPr="00A17559">
              <w:rPr>
                <w:lang w:val="en-GB"/>
              </w:rPr>
              <w:t>%</w:t>
            </w:r>
            <w:r w:rsidR="00747EE9" w:rsidRPr="00A17559">
              <w:rPr>
                <w:lang w:val="en-GB"/>
              </w:rPr>
              <w:t>).</w:t>
            </w:r>
          </w:p>
        </w:tc>
      </w:tr>
      <w:tr w:rsidR="00747EE9" w:rsidRPr="00A17559" w:rsidTr="00747EE9">
        <w:trPr>
          <w:trHeight w:val="145"/>
        </w:trPr>
        <w:tc>
          <w:tcPr>
            <w:tcW w:w="1805" w:type="dxa"/>
            <w:shd w:val="clear" w:color="auto" w:fill="auto"/>
            <w:tcMar>
              <w:left w:w="0" w:type="dxa"/>
            </w:tcMar>
          </w:tcPr>
          <w:p w:rsidR="00747EE9" w:rsidRPr="00A17559" w:rsidRDefault="00DA0FE3" w:rsidP="00DA0FE3">
            <w:pPr>
              <w:pStyle w:val="Marginlie"/>
              <w:rPr>
                <w:spacing w:val="0"/>
                <w:lang w:val="en-GB"/>
              </w:rPr>
            </w:pPr>
            <w:r w:rsidRPr="00A17559">
              <w:rPr>
                <w:spacing w:val="0"/>
                <w:lang w:val="en-GB"/>
              </w:rPr>
              <w:t>Terms of trade were positive in H</w:t>
            </w:r>
            <w:r w:rsidR="00747EE9" w:rsidRPr="00A17559">
              <w:rPr>
                <w:spacing w:val="0"/>
                <w:lang w:val="en-GB"/>
              </w:rPr>
              <w:t>1.</w:t>
            </w:r>
          </w:p>
        </w:tc>
        <w:tc>
          <w:tcPr>
            <w:tcW w:w="224" w:type="dxa"/>
            <w:shd w:val="clear" w:color="auto" w:fill="auto"/>
            <w:tcMar>
              <w:left w:w="0" w:type="dxa"/>
            </w:tcMar>
          </w:tcPr>
          <w:p w:rsidR="00747EE9" w:rsidRPr="00A17559" w:rsidRDefault="00747EE9" w:rsidP="00747EE9">
            <w:pPr>
              <w:pStyle w:val="Textpoznpodarou1"/>
              <w:jc w:val="both"/>
              <w:rPr>
                <w:lang w:val="en-GB"/>
              </w:rPr>
            </w:pPr>
          </w:p>
        </w:tc>
        <w:tc>
          <w:tcPr>
            <w:tcW w:w="7610" w:type="dxa"/>
            <w:shd w:val="clear" w:color="auto" w:fill="auto"/>
            <w:tcMar>
              <w:left w:w="0" w:type="dxa"/>
            </w:tcMar>
          </w:tcPr>
          <w:p w:rsidR="00747EE9" w:rsidRPr="00A17559" w:rsidRDefault="001143E0" w:rsidP="00072A4A">
            <w:pPr>
              <w:rPr>
                <w:lang w:val="en-GB"/>
              </w:rPr>
            </w:pPr>
            <w:r w:rsidRPr="00A17559">
              <w:rPr>
                <w:lang w:val="en-GB"/>
              </w:rPr>
              <w:t xml:space="preserve">Terms of trade </w:t>
            </w:r>
            <w:r w:rsidR="000A6F9F" w:rsidRPr="00A17559">
              <w:rPr>
                <w:lang w:val="en-GB"/>
              </w:rPr>
              <w:t xml:space="preserve">attained the value 100.2% in both quarters of </w:t>
            </w:r>
            <w:r w:rsidR="00747EE9" w:rsidRPr="00A17559">
              <w:rPr>
                <w:lang w:val="en-GB"/>
              </w:rPr>
              <w:t>2019</w:t>
            </w:r>
            <w:r w:rsidR="000A6F9F" w:rsidRPr="00A17559">
              <w:rPr>
                <w:lang w:val="en-GB"/>
              </w:rPr>
              <w:t>.</w:t>
            </w:r>
            <w:r w:rsidR="00795CC8" w:rsidRPr="00A17559">
              <w:rPr>
                <w:lang w:val="en-GB"/>
              </w:rPr>
              <w:t xml:space="preserve"> Mostly beverages and tobacco (108.1%) and industrial consumption goods (104.0%) worked in the direction of positive terms of trade in Q</w:t>
            </w:r>
            <w:r w:rsidR="00747EE9" w:rsidRPr="00A17559">
              <w:rPr>
                <w:lang w:val="en-GB"/>
              </w:rPr>
              <w:t>2.</w:t>
            </w:r>
            <w:r w:rsidR="00795CC8" w:rsidRPr="00A17559">
              <w:rPr>
                <w:lang w:val="en-GB"/>
              </w:rPr>
              <w:t xml:space="preserve"> Positive terms of trade of food and live animals </w:t>
            </w:r>
            <w:r w:rsidR="00747EE9" w:rsidRPr="00A17559">
              <w:rPr>
                <w:lang w:val="en-GB"/>
              </w:rPr>
              <w:t>(100</w:t>
            </w:r>
            <w:r w:rsidR="00795CC8" w:rsidRPr="00A17559">
              <w:rPr>
                <w:lang w:val="en-GB"/>
              </w:rPr>
              <w:t>.</w:t>
            </w:r>
            <w:r w:rsidR="00747EE9" w:rsidRPr="00A17559">
              <w:rPr>
                <w:lang w:val="en-GB"/>
              </w:rPr>
              <w:t>4</w:t>
            </w:r>
            <w:r w:rsidR="00403F57" w:rsidRPr="00A17559">
              <w:rPr>
                <w:lang w:val="en-GB"/>
              </w:rPr>
              <w:t>%</w:t>
            </w:r>
            <w:r w:rsidR="00747EE9" w:rsidRPr="00A17559">
              <w:rPr>
                <w:lang w:val="en-GB"/>
              </w:rPr>
              <w:t>), miner</w:t>
            </w:r>
            <w:r w:rsidR="00795CC8" w:rsidRPr="00A17559">
              <w:rPr>
                <w:lang w:val="en-GB"/>
              </w:rPr>
              <w:t xml:space="preserve">al fuels </w:t>
            </w:r>
            <w:r w:rsidR="00747EE9" w:rsidRPr="00A17559">
              <w:rPr>
                <w:lang w:val="en-GB"/>
              </w:rPr>
              <w:t>(101</w:t>
            </w:r>
            <w:r w:rsidR="00795CC8" w:rsidRPr="00A17559">
              <w:rPr>
                <w:lang w:val="en-GB"/>
              </w:rPr>
              <w:t>.</w:t>
            </w:r>
            <w:r w:rsidR="00747EE9" w:rsidRPr="00A17559">
              <w:rPr>
                <w:lang w:val="en-GB"/>
              </w:rPr>
              <w:t>4</w:t>
            </w:r>
            <w:r w:rsidR="00403F57" w:rsidRPr="00A17559">
              <w:rPr>
                <w:lang w:val="en-GB"/>
              </w:rPr>
              <w:t>%</w:t>
            </w:r>
            <w:r w:rsidR="00747EE9" w:rsidRPr="00A17559">
              <w:rPr>
                <w:lang w:val="en-GB"/>
              </w:rPr>
              <w:t>)</w:t>
            </w:r>
            <w:r w:rsidR="00795CC8" w:rsidRPr="00A17559">
              <w:rPr>
                <w:lang w:val="en-GB"/>
              </w:rPr>
              <w:t xml:space="preserve"> and semi-finished products </w:t>
            </w:r>
            <w:r w:rsidR="00747EE9" w:rsidRPr="00A17559">
              <w:rPr>
                <w:lang w:val="en-GB"/>
              </w:rPr>
              <w:t>(101</w:t>
            </w:r>
            <w:r w:rsidR="00795CC8" w:rsidRPr="00A17559">
              <w:rPr>
                <w:lang w:val="en-GB"/>
              </w:rPr>
              <w:t>.</w:t>
            </w:r>
            <w:r w:rsidR="00747EE9" w:rsidRPr="00A17559">
              <w:rPr>
                <w:lang w:val="en-GB"/>
              </w:rPr>
              <w:t>5</w:t>
            </w:r>
            <w:r w:rsidR="00403F57" w:rsidRPr="00A17559">
              <w:rPr>
                <w:lang w:val="en-GB"/>
              </w:rPr>
              <w:t>%</w:t>
            </w:r>
            <w:r w:rsidR="00747EE9" w:rsidRPr="00A17559">
              <w:rPr>
                <w:lang w:val="en-GB"/>
              </w:rPr>
              <w:t>)</w:t>
            </w:r>
            <w:r w:rsidR="00795CC8" w:rsidRPr="00A17559">
              <w:rPr>
                <w:lang w:val="en-GB"/>
              </w:rPr>
              <w:t xml:space="preserve"> were less pronounced</w:t>
            </w:r>
            <w:r w:rsidR="00747EE9" w:rsidRPr="00A17559">
              <w:rPr>
                <w:lang w:val="en-GB"/>
              </w:rPr>
              <w:t xml:space="preserve">. </w:t>
            </w:r>
            <w:r w:rsidRPr="00A17559">
              <w:rPr>
                <w:lang w:val="en-GB"/>
              </w:rPr>
              <w:t>Trade with</w:t>
            </w:r>
            <w:r w:rsidR="00795CC8" w:rsidRPr="00A17559">
              <w:rPr>
                <w:lang w:val="en-GB"/>
              </w:rPr>
              <w:t xml:space="preserve"> other materials </w:t>
            </w:r>
            <w:r w:rsidR="00747EE9" w:rsidRPr="00A17559">
              <w:rPr>
                <w:lang w:val="en-GB"/>
              </w:rPr>
              <w:t>(90</w:t>
            </w:r>
            <w:r w:rsidRPr="00A17559">
              <w:rPr>
                <w:lang w:val="en-GB"/>
              </w:rPr>
              <w:t>.</w:t>
            </w:r>
            <w:r w:rsidR="00747EE9" w:rsidRPr="00A17559">
              <w:rPr>
                <w:lang w:val="en-GB"/>
              </w:rPr>
              <w:t>6</w:t>
            </w:r>
            <w:r w:rsidR="00403F57" w:rsidRPr="00A17559">
              <w:rPr>
                <w:lang w:val="en-GB"/>
              </w:rPr>
              <w:t>%</w:t>
            </w:r>
            <w:r w:rsidR="00747EE9" w:rsidRPr="00A17559">
              <w:rPr>
                <w:lang w:val="en-GB"/>
              </w:rPr>
              <w:t xml:space="preserve">), </w:t>
            </w:r>
            <w:r w:rsidRPr="00A17559">
              <w:rPr>
                <w:lang w:val="en-GB"/>
              </w:rPr>
              <w:t xml:space="preserve">chemicals </w:t>
            </w:r>
            <w:r w:rsidR="00747EE9" w:rsidRPr="00A17559">
              <w:rPr>
                <w:lang w:val="en-GB"/>
              </w:rPr>
              <w:t>(99</w:t>
            </w:r>
            <w:r w:rsidRPr="00A17559">
              <w:rPr>
                <w:lang w:val="en-GB"/>
              </w:rPr>
              <w:t>.</w:t>
            </w:r>
            <w:r w:rsidR="00747EE9" w:rsidRPr="00A17559">
              <w:rPr>
                <w:lang w:val="en-GB"/>
              </w:rPr>
              <w:t>1</w:t>
            </w:r>
            <w:r w:rsidR="00403F57" w:rsidRPr="00A17559">
              <w:rPr>
                <w:lang w:val="en-GB"/>
              </w:rPr>
              <w:t>%</w:t>
            </w:r>
            <w:r w:rsidR="00747EE9" w:rsidRPr="00A17559">
              <w:rPr>
                <w:lang w:val="en-GB"/>
              </w:rPr>
              <w:t xml:space="preserve">) </w:t>
            </w:r>
            <w:r w:rsidR="002F1B09" w:rsidRPr="00A17559">
              <w:rPr>
                <w:lang w:val="en-GB"/>
              </w:rPr>
              <w:t>a</w:t>
            </w:r>
            <w:r w:rsidRPr="00A17559">
              <w:rPr>
                <w:lang w:val="en-GB"/>
              </w:rPr>
              <w:t>nd</w:t>
            </w:r>
            <w:r w:rsidR="00BC43D7" w:rsidRPr="00A17559">
              <w:rPr>
                <w:lang w:val="en-GB"/>
              </w:rPr>
              <w:t xml:space="preserve"> machinery and transport equipment </w:t>
            </w:r>
            <w:r w:rsidR="00747EE9" w:rsidRPr="00A17559">
              <w:rPr>
                <w:lang w:val="en-GB"/>
              </w:rPr>
              <w:t>(99</w:t>
            </w:r>
            <w:r w:rsidRPr="00A17559">
              <w:rPr>
                <w:lang w:val="en-GB"/>
              </w:rPr>
              <w:t>.</w:t>
            </w:r>
            <w:r w:rsidR="00747EE9" w:rsidRPr="00A17559">
              <w:rPr>
                <w:lang w:val="en-GB"/>
              </w:rPr>
              <w:t>0</w:t>
            </w:r>
            <w:r w:rsidR="00403F57" w:rsidRPr="00A17559">
              <w:rPr>
                <w:lang w:val="en-GB"/>
              </w:rPr>
              <w:t>%</w:t>
            </w:r>
            <w:r w:rsidR="00747EE9" w:rsidRPr="00A17559">
              <w:rPr>
                <w:lang w:val="en-GB"/>
              </w:rPr>
              <w:t>)</w:t>
            </w:r>
            <w:r w:rsidRPr="00A17559">
              <w:rPr>
                <w:lang w:val="en-GB"/>
              </w:rPr>
              <w:t xml:space="preserve"> featured negative terms of trade in Q2.</w:t>
            </w:r>
          </w:p>
        </w:tc>
      </w:tr>
    </w:tbl>
    <w:p w:rsidR="00B4411A" w:rsidRPr="00A17559" w:rsidRDefault="004A5D4E" w:rsidP="000D3058">
      <w:pPr>
        <w:pStyle w:val="Nadpis11"/>
        <w:rPr>
          <w:lang w:val="en-GB"/>
        </w:rPr>
      </w:pPr>
      <w:bookmarkStart w:id="10" w:name="_Toc19179085"/>
      <w:bookmarkStart w:id="11" w:name="_GoBack"/>
      <w:bookmarkEnd w:id="11"/>
      <w:r w:rsidRPr="00A17559">
        <w:rPr>
          <w:lang w:val="en-GB"/>
        </w:rPr>
        <w:t>6. </w:t>
      </w:r>
      <w:r w:rsidR="008179FC" w:rsidRPr="00A17559">
        <w:rPr>
          <w:lang w:val="en-GB"/>
        </w:rPr>
        <w:t>Labour Market</w:t>
      </w:r>
      <w:bookmarkEnd w:id="10"/>
    </w:p>
    <w:tbl>
      <w:tblPr>
        <w:tblW w:w="9654" w:type="dxa"/>
        <w:tblInd w:w="-30" w:type="dxa"/>
        <w:tblCellMar>
          <w:left w:w="0" w:type="dxa"/>
          <w:right w:w="0" w:type="dxa"/>
        </w:tblCellMar>
        <w:tblLook w:val="00A0" w:firstRow="1" w:lastRow="0" w:firstColumn="1" w:lastColumn="0" w:noHBand="0" w:noVBand="0"/>
      </w:tblPr>
      <w:tblGrid>
        <w:gridCol w:w="1790"/>
        <w:gridCol w:w="216"/>
        <w:gridCol w:w="7648"/>
      </w:tblGrid>
      <w:tr w:rsidR="00B43216" w:rsidRPr="00A17559" w:rsidTr="00B43216">
        <w:trPr>
          <w:trHeight w:val="145"/>
        </w:trPr>
        <w:tc>
          <w:tcPr>
            <w:tcW w:w="1790" w:type="dxa"/>
            <w:shd w:val="clear" w:color="auto" w:fill="auto"/>
            <w:tcMar>
              <w:left w:w="0" w:type="dxa"/>
            </w:tcMar>
          </w:tcPr>
          <w:p w:rsidR="00B43216" w:rsidRPr="00A17559" w:rsidRDefault="00511F3B" w:rsidP="00B43216">
            <w:pPr>
              <w:pStyle w:val="Marginlie"/>
              <w:rPr>
                <w:lang w:val="en-GB"/>
              </w:rPr>
            </w:pPr>
            <w:r w:rsidRPr="00A17559">
              <w:rPr>
                <w:rFonts w:cs="Arial"/>
                <w:lang w:val="en-GB"/>
              </w:rPr>
              <w:t>Strain persisted on the Czech labour market. Shortage of spare capacities steered businesses more and more towards importing labour force from abroad.</w:t>
            </w:r>
          </w:p>
        </w:tc>
        <w:tc>
          <w:tcPr>
            <w:tcW w:w="216" w:type="dxa"/>
            <w:shd w:val="clear" w:color="auto" w:fill="auto"/>
            <w:tcMar>
              <w:left w:w="0" w:type="dxa"/>
            </w:tcMar>
          </w:tcPr>
          <w:p w:rsidR="00B43216" w:rsidRPr="00A17559" w:rsidRDefault="00B43216" w:rsidP="00B43216">
            <w:pPr>
              <w:pStyle w:val="Textpoznpodarou"/>
              <w:jc w:val="both"/>
              <w:rPr>
                <w:spacing w:val="-4"/>
                <w:lang w:val="en-GB"/>
              </w:rPr>
            </w:pPr>
          </w:p>
        </w:tc>
        <w:tc>
          <w:tcPr>
            <w:tcW w:w="7648" w:type="dxa"/>
            <w:shd w:val="clear" w:color="auto" w:fill="auto"/>
            <w:tcMar>
              <w:left w:w="0" w:type="dxa"/>
            </w:tcMar>
          </w:tcPr>
          <w:p w:rsidR="00B43216" w:rsidRPr="00A17559" w:rsidRDefault="00511F3B" w:rsidP="00511F3B">
            <w:pPr>
              <w:spacing w:after="220"/>
              <w:rPr>
                <w:spacing w:val="-2"/>
                <w:lang w:val="en-GB"/>
              </w:rPr>
            </w:pPr>
            <w:r w:rsidRPr="00A17559">
              <w:rPr>
                <w:lang w:val="en-GB"/>
              </w:rPr>
              <w:t xml:space="preserve">Perceptible strain reflecting the imbalance between the supply and </w:t>
            </w:r>
            <w:r w:rsidR="00166875">
              <w:rPr>
                <w:lang w:val="en-GB"/>
              </w:rPr>
              <w:t>demand prevailed on the Czech</w:t>
            </w:r>
            <w:r w:rsidRPr="00A17559">
              <w:rPr>
                <w:lang w:val="en-GB"/>
              </w:rPr>
              <w:t xml:space="preserve"> labour market also during H1 2019. Demand for employees still remained strong despite partial corrections. Their shortage still presented the main growth barrier across the majority of branches, it was the most acute in construction. Supply of new workers has been considerably limited on the domestic market for already several quarters. Businesses thus gradually redirected their recruitment activities towards foreign workers, assisted by the activities of the state, continued in the targeted projects of economic migration</w:t>
            </w:r>
            <w:r w:rsidRPr="00A17559">
              <w:rPr>
                <w:rStyle w:val="Znakapoznpodarou"/>
                <w:color w:val="0D0D0D" w:themeColor="text1" w:themeTint="F2"/>
                <w:spacing w:val="-2"/>
                <w:lang w:val="en-GB"/>
              </w:rPr>
              <w:footnoteReference w:id="44"/>
            </w:r>
            <w:r w:rsidRPr="00A17559">
              <w:rPr>
                <w:lang w:val="en-GB"/>
              </w:rPr>
              <w:t>. The ro</w:t>
            </w:r>
            <w:r w:rsidR="00166875">
              <w:rPr>
                <w:lang w:val="en-GB"/>
              </w:rPr>
              <w:t>le of foreigners on the Czech</w:t>
            </w:r>
            <w:r w:rsidRPr="00A17559">
              <w:rPr>
                <w:lang w:val="en-GB"/>
              </w:rPr>
              <w:t xml:space="preserve"> labour market thus further grew</w:t>
            </w:r>
            <w:r w:rsidRPr="00A17559">
              <w:rPr>
                <w:rStyle w:val="Znakapoznpodarou"/>
                <w:color w:val="0D0D0D" w:themeColor="text1" w:themeTint="F2"/>
                <w:spacing w:val="-2"/>
                <w:lang w:val="en-GB"/>
              </w:rPr>
              <w:footnoteReference w:id="45"/>
            </w:r>
            <w:r w:rsidRPr="00A17559">
              <w:rPr>
                <w:lang w:val="en-GB"/>
              </w:rPr>
              <w:t>. However, businesses still faced considerable obstacles to acquire new more qualified workers. Both new and current employees benefite</w:t>
            </w:r>
            <w:r w:rsidR="00166875">
              <w:rPr>
                <w:lang w:val="en-GB"/>
              </w:rPr>
              <w:t xml:space="preserve">d from this situation – </w:t>
            </w:r>
            <w:r w:rsidR="00166875">
              <w:rPr>
                <w:rStyle w:val="tlid-translation"/>
                <w:rFonts w:eastAsia="MS Gothic"/>
                <w:lang w:val="en"/>
              </w:rPr>
              <w:t>their earnings showed a significant growth</w:t>
            </w:r>
          </w:p>
        </w:tc>
      </w:tr>
      <w:tr w:rsidR="00B43216" w:rsidRPr="00A17559" w:rsidTr="00B43216">
        <w:trPr>
          <w:trHeight w:val="145"/>
        </w:trPr>
        <w:tc>
          <w:tcPr>
            <w:tcW w:w="1790" w:type="dxa"/>
            <w:shd w:val="clear" w:color="auto" w:fill="auto"/>
            <w:tcMar>
              <w:left w:w="0" w:type="dxa"/>
            </w:tcMar>
          </w:tcPr>
          <w:p w:rsidR="00B43216" w:rsidRPr="00A17559" w:rsidRDefault="00BC10AD" w:rsidP="00E343C7">
            <w:pPr>
              <w:pStyle w:val="Marginlie"/>
              <w:rPr>
                <w:lang w:val="en-GB"/>
              </w:rPr>
            </w:pPr>
            <w:r>
              <w:rPr>
                <w:lang w:val="en-GB"/>
              </w:rPr>
              <w:lastRenderedPageBreak/>
              <w:t>Number of employed in</w:t>
            </w:r>
            <w:r w:rsidR="008179FC" w:rsidRPr="00A17559">
              <w:rPr>
                <w:lang w:val="en-GB"/>
              </w:rPr>
              <w:t xml:space="preserve"> the economy hiked up to the record level at </w:t>
            </w:r>
            <w:r w:rsidR="00072A4A" w:rsidRPr="00A17559">
              <w:rPr>
                <w:lang w:val="en-GB"/>
              </w:rPr>
              <w:t>t</w:t>
            </w:r>
            <w:r w:rsidR="008179FC" w:rsidRPr="00A17559">
              <w:rPr>
                <w:lang w:val="en-GB"/>
              </w:rPr>
              <w:t>h</w:t>
            </w:r>
            <w:r w:rsidR="00072A4A" w:rsidRPr="00A17559">
              <w:rPr>
                <w:lang w:val="en-GB"/>
              </w:rPr>
              <w:t>e</w:t>
            </w:r>
            <w:r w:rsidR="008179FC" w:rsidRPr="00A17559">
              <w:rPr>
                <w:lang w:val="en-GB"/>
              </w:rPr>
              <w:t xml:space="preserve"> beginning of the year, where it already remained in Q</w:t>
            </w:r>
            <w:r w:rsidR="00E343C7">
              <w:rPr>
                <w:lang w:val="en-GB"/>
              </w:rPr>
              <w:t>2.</w:t>
            </w:r>
          </w:p>
        </w:tc>
        <w:tc>
          <w:tcPr>
            <w:tcW w:w="216" w:type="dxa"/>
            <w:shd w:val="clear" w:color="auto" w:fill="auto"/>
            <w:tcMar>
              <w:left w:w="0" w:type="dxa"/>
            </w:tcMar>
          </w:tcPr>
          <w:p w:rsidR="00B43216" w:rsidRPr="00A17559" w:rsidRDefault="00B43216" w:rsidP="00B43216">
            <w:pPr>
              <w:pStyle w:val="Textpoznpodarou"/>
              <w:jc w:val="both"/>
              <w:rPr>
                <w:spacing w:val="-4"/>
                <w:lang w:val="en-GB"/>
              </w:rPr>
            </w:pPr>
          </w:p>
        </w:tc>
        <w:tc>
          <w:tcPr>
            <w:tcW w:w="7648" w:type="dxa"/>
            <w:shd w:val="clear" w:color="auto" w:fill="auto"/>
            <w:tcMar>
              <w:left w:w="0" w:type="dxa"/>
            </w:tcMar>
          </w:tcPr>
          <w:p w:rsidR="00B43216" w:rsidRPr="00A17559" w:rsidRDefault="008179FC" w:rsidP="00422D1A">
            <w:pPr>
              <w:spacing w:after="200"/>
              <w:rPr>
                <w:spacing w:val="-2"/>
                <w:lang w:val="en-GB"/>
              </w:rPr>
            </w:pPr>
            <w:r w:rsidRPr="00A17559">
              <w:rPr>
                <w:spacing w:val="-3"/>
                <w:lang w:val="en-GB"/>
              </w:rPr>
              <w:t>Total employment</w:t>
            </w:r>
            <w:r w:rsidR="00B43216" w:rsidRPr="00A17559">
              <w:rPr>
                <w:rStyle w:val="Znakapoznpodarou"/>
                <w:color w:val="0D0D0D" w:themeColor="text1" w:themeTint="F2"/>
                <w:spacing w:val="-3"/>
                <w:lang w:val="en-GB"/>
              </w:rPr>
              <w:footnoteReference w:id="46"/>
            </w:r>
            <w:r w:rsidR="00B43216" w:rsidRPr="00A17559">
              <w:rPr>
                <w:spacing w:val="-3"/>
                <w:lang w:val="en-GB"/>
              </w:rPr>
              <w:t xml:space="preserve"> </w:t>
            </w:r>
            <w:r w:rsidR="00281155" w:rsidRPr="00A17559">
              <w:rPr>
                <w:spacing w:val="-3"/>
                <w:lang w:val="en-GB"/>
              </w:rPr>
              <w:t>in the economy further boosted this year</w:t>
            </w:r>
            <w:r w:rsidR="00B43216" w:rsidRPr="00A17559">
              <w:rPr>
                <w:spacing w:val="-3"/>
                <w:lang w:val="en-GB"/>
              </w:rPr>
              <w:t xml:space="preserve">, </w:t>
            </w:r>
            <w:r w:rsidR="00360811" w:rsidRPr="00A17559">
              <w:rPr>
                <w:spacing w:val="-3"/>
                <w:lang w:val="en-GB"/>
              </w:rPr>
              <w:t>rate of growth howev</w:t>
            </w:r>
            <w:r w:rsidR="00281155" w:rsidRPr="00A17559">
              <w:rPr>
                <w:spacing w:val="-3"/>
                <w:lang w:val="en-GB"/>
              </w:rPr>
              <w:t>er</w:t>
            </w:r>
            <w:r w:rsidR="00360811" w:rsidRPr="00A17559">
              <w:rPr>
                <w:spacing w:val="-3"/>
                <w:lang w:val="en-GB"/>
              </w:rPr>
              <w:t xml:space="preserve"> </w:t>
            </w:r>
            <w:r w:rsidR="00281155" w:rsidRPr="00A17559">
              <w:rPr>
                <w:spacing w:val="-3"/>
                <w:lang w:val="en-GB"/>
              </w:rPr>
              <w:t>lowered.</w:t>
            </w:r>
            <w:r w:rsidR="00360811" w:rsidRPr="00A17559">
              <w:rPr>
                <w:spacing w:val="-3"/>
                <w:lang w:val="en-GB"/>
              </w:rPr>
              <w:t xml:space="preserve"> While the number of employed increased by 1.4% year-on-year in Q</w:t>
            </w:r>
            <w:r w:rsidR="00B43216" w:rsidRPr="00A17559">
              <w:rPr>
                <w:spacing w:val="-3"/>
                <w:lang w:val="en-GB"/>
              </w:rPr>
              <w:t>1</w:t>
            </w:r>
            <w:r w:rsidR="00360811" w:rsidRPr="00A17559">
              <w:rPr>
                <w:spacing w:val="-3"/>
                <w:lang w:val="en-GB"/>
              </w:rPr>
              <w:t xml:space="preserve"> (</w:t>
            </w:r>
            <w:r w:rsidRPr="00A17559">
              <w:rPr>
                <w:spacing w:val="-3"/>
                <w:lang w:val="en-GB"/>
              </w:rPr>
              <w:t>similarly to the whole last year</w:t>
            </w:r>
            <w:r w:rsidR="00B43216" w:rsidRPr="00A17559">
              <w:rPr>
                <w:spacing w:val="-3"/>
                <w:lang w:val="en-GB"/>
              </w:rPr>
              <w:t>),</w:t>
            </w:r>
            <w:r w:rsidR="00360811" w:rsidRPr="00A17559">
              <w:rPr>
                <w:spacing w:val="-3"/>
                <w:lang w:val="en-GB"/>
              </w:rPr>
              <w:t xml:space="preserve"> it was already only 0.8% in the subsequent quarter </w:t>
            </w:r>
            <w:r w:rsidR="00B43216" w:rsidRPr="00A17559">
              <w:rPr>
                <w:spacing w:val="-3"/>
                <w:lang w:val="en-GB"/>
              </w:rPr>
              <w:t>(</w:t>
            </w:r>
            <w:r w:rsidR="00360811" w:rsidRPr="00A17559">
              <w:rPr>
                <w:spacing w:val="-3"/>
                <w:lang w:val="en-GB"/>
              </w:rPr>
              <w:t>the least since Q</w:t>
            </w:r>
            <w:r w:rsidR="00B43216" w:rsidRPr="00A17559">
              <w:rPr>
                <w:spacing w:val="-3"/>
                <w:lang w:val="en-GB"/>
              </w:rPr>
              <w:t>3</w:t>
            </w:r>
            <w:r w:rsidR="00360811" w:rsidRPr="00A17559">
              <w:rPr>
                <w:spacing w:val="-3"/>
                <w:lang w:val="en-GB"/>
              </w:rPr>
              <w:t xml:space="preserve"> </w:t>
            </w:r>
            <w:r w:rsidR="00B43216" w:rsidRPr="00A17559">
              <w:rPr>
                <w:spacing w:val="-3"/>
                <w:lang w:val="en-GB"/>
              </w:rPr>
              <w:t xml:space="preserve">2014). </w:t>
            </w:r>
            <w:r w:rsidR="00281155" w:rsidRPr="00A17559">
              <w:rPr>
                <w:spacing w:val="-3"/>
                <w:lang w:val="en-GB"/>
              </w:rPr>
              <w:t>Number of workers again set a new record in the era of independent CR in Q1</w:t>
            </w:r>
            <w:r w:rsidR="00251771">
              <w:rPr>
                <w:spacing w:val="-3"/>
                <w:lang w:val="en-GB"/>
              </w:rPr>
              <w:t xml:space="preserve"> 2019</w:t>
            </w:r>
            <w:r w:rsidR="00281155" w:rsidRPr="00A17559">
              <w:rPr>
                <w:spacing w:val="-3"/>
                <w:lang w:val="en-GB"/>
              </w:rPr>
              <w:t xml:space="preserve"> </w:t>
            </w:r>
            <w:r w:rsidR="00B43216" w:rsidRPr="00A17559">
              <w:rPr>
                <w:spacing w:val="-3"/>
                <w:lang w:val="en-GB"/>
              </w:rPr>
              <w:t>(5</w:t>
            </w:r>
            <w:r w:rsidR="00281155" w:rsidRPr="00A17559">
              <w:rPr>
                <w:spacing w:val="-3"/>
                <w:lang w:val="en-GB"/>
              </w:rPr>
              <w:t>.</w:t>
            </w:r>
            <w:r w:rsidR="00B43216" w:rsidRPr="00A17559">
              <w:rPr>
                <w:spacing w:val="-3"/>
                <w:lang w:val="en-GB"/>
              </w:rPr>
              <w:t xml:space="preserve">48 mil.), </w:t>
            </w:r>
            <w:r w:rsidR="00281155" w:rsidRPr="00A17559">
              <w:rPr>
                <w:spacing w:val="-3"/>
                <w:lang w:val="en-GB"/>
              </w:rPr>
              <w:t xml:space="preserve">this level however remained stable in the next time period. Slowdown was aligned with the results of the business cycle surveys, which signalled more prudent attitude of businesses to hiring new workers already during year </w:t>
            </w:r>
            <w:r w:rsidR="00B43216" w:rsidRPr="00A17559">
              <w:rPr>
                <w:spacing w:val="-3"/>
                <w:lang w:val="en-GB"/>
              </w:rPr>
              <w:t>2018</w:t>
            </w:r>
            <w:r w:rsidR="00281155" w:rsidRPr="00A17559">
              <w:rPr>
                <w:spacing w:val="-3"/>
                <w:lang w:val="en-GB"/>
              </w:rPr>
              <w:t xml:space="preserve"> </w:t>
            </w:r>
            <w:r w:rsidR="00B43216" w:rsidRPr="00A17559">
              <w:rPr>
                <w:spacing w:val="-3"/>
                <w:lang w:val="en-GB"/>
              </w:rPr>
              <w:t>(</w:t>
            </w:r>
            <w:r w:rsidR="00281155" w:rsidRPr="00A17559">
              <w:rPr>
                <w:spacing w:val="-3"/>
                <w:lang w:val="en-GB"/>
              </w:rPr>
              <w:t>mainly in industry, but also in some branches of market services</w:t>
            </w:r>
            <w:r w:rsidR="00B43216" w:rsidRPr="00A17559">
              <w:rPr>
                <w:spacing w:val="-3"/>
                <w:lang w:val="en-GB"/>
              </w:rPr>
              <w:t>)</w:t>
            </w:r>
            <w:r w:rsidR="00B43216" w:rsidRPr="00A17559">
              <w:rPr>
                <w:rStyle w:val="Znakapoznpodarou"/>
                <w:color w:val="0D0D0D" w:themeColor="text1" w:themeTint="F2"/>
                <w:spacing w:val="-3"/>
                <w:lang w:val="en-GB"/>
              </w:rPr>
              <w:footnoteReference w:id="47"/>
            </w:r>
            <w:r w:rsidR="00B43216" w:rsidRPr="00A17559">
              <w:rPr>
                <w:spacing w:val="-3"/>
                <w:lang w:val="en-GB"/>
              </w:rPr>
              <w:t xml:space="preserve">. </w:t>
            </w:r>
          </w:p>
        </w:tc>
      </w:tr>
      <w:tr w:rsidR="00E343C7" w:rsidRPr="00A17559" w:rsidTr="00B43216">
        <w:trPr>
          <w:trHeight w:val="145"/>
        </w:trPr>
        <w:tc>
          <w:tcPr>
            <w:tcW w:w="1790" w:type="dxa"/>
            <w:shd w:val="clear" w:color="auto" w:fill="auto"/>
            <w:tcMar>
              <w:left w:w="0" w:type="dxa"/>
            </w:tcMar>
          </w:tcPr>
          <w:p w:rsidR="00E343C7" w:rsidRPr="00A17559" w:rsidRDefault="00E343C7" w:rsidP="00B43216">
            <w:pPr>
              <w:pStyle w:val="Marginlie"/>
              <w:rPr>
                <w:lang w:val="en-GB"/>
              </w:rPr>
            </w:pPr>
            <w:r w:rsidRPr="00A17559">
              <w:rPr>
                <w:lang w:val="en-GB"/>
              </w:rPr>
              <w:t>Business cycle survey implied continuing positive expectations of employment especially in construction and trade.</w:t>
            </w:r>
          </w:p>
        </w:tc>
        <w:tc>
          <w:tcPr>
            <w:tcW w:w="216" w:type="dxa"/>
            <w:shd w:val="clear" w:color="auto" w:fill="auto"/>
            <w:tcMar>
              <w:left w:w="0" w:type="dxa"/>
            </w:tcMar>
          </w:tcPr>
          <w:p w:rsidR="00E343C7" w:rsidRPr="00A17559" w:rsidRDefault="00E343C7" w:rsidP="00B43216">
            <w:pPr>
              <w:pStyle w:val="Textpoznpodarou"/>
              <w:jc w:val="both"/>
              <w:rPr>
                <w:spacing w:val="-4"/>
                <w:lang w:val="en-GB"/>
              </w:rPr>
            </w:pPr>
          </w:p>
        </w:tc>
        <w:tc>
          <w:tcPr>
            <w:tcW w:w="7648" w:type="dxa"/>
            <w:shd w:val="clear" w:color="auto" w:fill="auto"/>
            <w:tcMar>
              <w:left w:w="0" w:type="dxa"/>
            </w:tcMar>
          </w:tcPr>
          <w:p w:rsidR="00E343C7" w:rsidRPr="00A17559" w:rsidRDefault="00E343C7" w:rsidP="00422D1A">
            <w:pPr>
              <w:spacing w:after="200"/>
              <w:rPr>
                <w:spacing w:val="-3"/>
                <w:lang w:val="en-GB"/>
              </w:rPr>
            </w:pPr>
            <w:r w:rsidRPr="00A17559">
              <w:rPr>
                <w:spacing w:val="-3"/>
                <w:lang w:val="en-GB"/>
              </w:rPr>
              <w:t>This tendency reflected both the growing uncertainties of significant domestic exporters linked to the current situation in the euro area as well as longstanding pressure on raising the labour productivity driven by growing wage costs as well as falling profitability of businesses. More cautions ou</w:t>
            </w:r>
            <w:r w:rsidR="00A6764C">
              <w:rPr>
                <w:spacing w:val="-3"/>
                <w:lang w:val="en-GB"/>
              </w:rPr>
              <w:t>tlooks of businesses in terms</w:t>
            </w:r>
            <w:r w:rsidRPr="00A17559">
              <w:rPr>
                <w:spacing w:val="-3"/>
                <w:lang w:val="en-GB"/>
              </w:rPr>
              <w:t xml:space="preserve"> of employment were apparent also at the beginning of this year, Q2 witnessed a stabili</w:t>
            </w:r>
            <w:r w:rsidR="00A6764C">
              <w:rPr>
                <w:spacing w:val="-3"/>
                <w:lang w:val="en-GB"/>
              </w:rPr>
              <w:t>sation. Nevertheless, the short-</w:t>
            </w:r>
            <w:r w:rsidRPr="00A17559">
              <w:rPr>
                <w:spacing w:val="-3"/>
                <w:lang w:val="en-GB"/>
              </w:rPr>
              <w:t>term anticipations of employment remained patently positive especially in construction and trade</w:t>
            </w:r>
            <w:r w:rsidRPr="00A17559">
              <w:rPr>
                <w:rStyle w:val="Znakapoznpodarou"/>
                <w:color w:val="0D0D0D" w:themeColor="text1" w:themeTint="F2"/>
                <w:spacing w:val="-4"/>
                <w:lang w:val="en-GB"/>
              </w:rPr>
              <w:footnoteReference w:id="48"/>
            </w:r>
            <w:r w:rsidRPr="00A17559">
              <w:rPr>
                <w:spacing w:val="-4"/>
                <w:lang w:val="en-GB"/>
              </w:rPr>
              <w:t>.</w:t>
            </w:r>
          </w:p>
        </w:tc>
      </w:tr>
      <w:tr w:rsidR="00601F7B" w:rsidRPr="00A17559" w:rsidTr="00B43216">
        <w:trPr>
          <w:trHeight w:val="145"/>
        </w:trPr>
        <w:tc>
          <w:tcPr>
            <w:tcW w:w="1790" w:type="dxa"/>
            <w:shd w:val="clear" w:color="auto" w:fill="auto"/>
            <w:tcMar>
              <w:left w:w="0" w:type="dxa"/>
            </w:tcMar>
          </w:tcPr>
          <w:p w:rsidR="00601F7B" w:rsidRPr="00A17559" w:rsidRDefault="00601F7B" w:rsidP="00601F7B">
            <w:pPr>
              <w:pStyle w:val="Marginlie"/>
              <w:rPr>
                <w:lang w:val="en-GB"/>
              </w:rPr>
            </w:pPr>
            <w:r w:rsidRPr="00A17559">
              <w:rPr>
                <w:lang w:val="en-GB"/>
              </w:rPr>
              <w:t xml:space="preserve">Employees caused exclusively the higher number of workers. </w:t>
            </w:r>
          </w:p>
          <w:p w:rsidR="00601F7B" w:rsidRPr="00A17559" w:rsidRDefault="00601F7B" w:rsidP="00B43216">
            <w:pPr>
              <w:pStyle w:val="Marginlie"/>
              <w:rPr>
                <w:lang w:val="en-GB"/>
              </w:rPr>
            </w:pPr>
          </w:p>
        </w:tc>
        <w:tc>
          <w:tcPr>
            <w:tcW w:w="216" w:type="dxa"/>
            <w:shd w:val="clear" w:color="auto" w:fill="auto"/>
            <w:tcMar>
              <w:left w:w="0" w:type="dxa"/>
            </w:tcMar>
          </w:tcPr>
          <w:p w:rsidR="00601F7B" w:rsidRPr="00A17559" w:rsidRDefault="00601F7B" w:rsidP="00B43216">
            <w:pPr>
              <w:pStyle w:val="Textpoznpodarou"/>
              <w:jc w:val="both"/>
              <w:rPr>
                <w:spacing w:val="-4"/>
                <w:lang w:val="en-GB"/>
              </w:rPr>
            </w:pPr>
          </w:p>
        </w:tc>
        <w:tc>
          <w:tcPr>
            <w:tcW w:w="7648" w:type="dxa"/>
            <w:shd w:val="clear" w:color="auto" w:fill="auto"/>
            <w:tcMar>
              <w:left w:w="0" w:type="dxa"/>
            </w:tcMar>
          </w:tcPr>
          <w:p w:rsidR="00601F7B" w:rsidRPr="00A17559" w:rsidRDefault="00601F7B" w:rsidP="00422D1A">
            <w:pPr>
              <w:spacing w:after="200"/>
              <w:rPr>
                <w:spacing w:val="-2"/>
                <w:lang w:val="en-GB"/>
              </w:rPr>
            </w:pPr>
            <w:r w:rsidRPr="00A17559">
              <w:rPr>
                <w:spacing w:val="-2"/>
                <w:lang w:val="en-GB"/>
              </w:rPr>
              <w:t>Year-on-year expansion of total employment (+60.6 thousand) was the result exclusively of higher number of persons with the employee status in H1, since the number of self-employed stagnated (among main branches it more substantially increased only in information and communication</w:t>
            </w:r>
            <w:r w:rsidR="00422D1A">
              <w:rPr>
                <w:spacing w:val="-2"/>
                <w:lang w:val="en-GB"/>
              </w:rPr>
              <w:t xml:space="preserve"> </w:t>
            </w:r>
            <w:r w:rsidR="00422D1A" w:rsidRPr="00A17559">
              <w:rPr>
                <w:spacing w:val="-2"/>
                <w:lang w:val="en-GB"/>
              </w:rPr>
              <w:t>activities</w:t>
            </w:r>
            <w:r w:rsidR="00422D1A">
              <w:rPr>
                <w:spacing w:val="-2"/>
                <w:lang w:val="en-GB"/>
              </w:rPr>
              <w:t xml:space="preserve">, finance and insurance </w:t>
            </w:r>
            <w:r w:rsidR="00422D1A" w:rsidRPr="00A17559">
              <w:rPr>
                <w:spacing w:val="-2"/>
                <w:lang w:val="en-GB"/>
              </w:rPr>
              <w:t>activities</w:t>
            </w:r>
            <w:r w:rsidRPr="00A17559">
              <w:rPr>
                <w:spacing w:val="-2"/>
                <w:lang w:val="en-GB"/>
              </w:rPr>
              <w:t>, professional, scientific, technical and administrative activities and also in manufacturing). Core of the total employment growth was further shifting into the tertiary sector, which profited from the growing domestic demand as well as expanding tourist industry. Services sector contributed to the higher number of workers in the economy nearly from three quarters</w:t>
            </w:r>
            <w:r>
              <w:rPr>
                <w:spacing w:val="-2"/>
                <w:lang w:val="en-GB"/>
              </w:rPr>
              <w:t>.</w:t>
            </w:r>
          </w:p>
        </w:tc>
      </w:tr>
      <w:tr w:rsidR="00B43216" w:rsidRPr="00A17559" w:rsidTr="00B43216">
        <w:trPr>
          <w:trHeight w:val="145"/>
        </w:trPr>
        <w:tc>
          <w:tcPr>
            <w:tcW w:w="1790" w:type="dxa"/>
            <w:shd w:val="clear" w:color="auto" w:fill="auto"/>
            <w:tcMar>
              <w:left w:w="0" w:type="dxa"/>
            </w:tcMar>
          </w:tcPr>
          <w:p w:rsidR="00B43216" w:rsidRPr="00A17559" w:rsidRDefault="00601F7B" w:rsidP="00B43216">
            <w:pPr>
              <w:pStyle w:val="Marginlie"/>
              <w:rPr>
                <w:lang w:val="en-GB"/>
              </w:rPr>
            </w:pPr>
            <w:r>
              <w:rPr>
                <w:lang w:val="en-GB"/>
              </w:rPr>
              <w:t>D</w:t>
            </w:r>
            <w:r w:rsidR="00B43216" w:rsidRPr="00A17559">
              <w:rPr>
                <w:lang w:val="en-GB"/>
              </w:rPr>
              <w:t>yn</w:t>
            </w:r>
            <w:r w:rsidR="00B53538" w:rsidRPr="00A17559">
              <w:rPr>
                <w:lang w:val="en-GB"/>
              </w:rPr>
              <w:t xml:space="preserve">amical growth of branch </w:t>
            </w:r>
            <w:r w:rsidR="00360811" w:rsidRPr="00A17559">
              <w:rPr>
                <w:lang w:val="en-GB"/>
              </w:rPr>
              <w:t>information</w:t>
            </w:r>
            <w:r w:rsidR="00B53538" w:rsidRPr="00A17559">
              <w:rPr>
                <w:lang w:val="en-GB"/>
              </w:rPr>
              <w:t xml:space="preserve"> and communication lasted, bra</w:t>
            </w:r>
            <w:r w:rsidR="002F0840" w:rsidRPr="00A17559">
              <w:rPr>
                <w:lang w:val="en-GB"/>
              </w:rPr>
              <w:t>n</w:t>
            </w:r>
            <w:r w:rsidR="00B53538" w:rsidRPr="00A17559">
              <w:rPr>
                <w:lang w:val="en-GB"/>
              </w:rPr>
              <w:t xml:space="preserve">ches with the predominant public </w:t>
            </w:r>
            <w:r w:rsidR="000162C4" w:rsidRPr="00A17559">
              <w:rPr>
                <w:lang w:val="en-GB"/>
              </w:rPr>
              <w:t>sector</w:t>
            </w:r>
            <w:r w:rsidR="00B53538" w:rsidRPr="00A17559">
              <w:rPr>
                <w:lang w:val="en-GB"/>
              </w:rPr>
              <w:t xml:space="preserve"> also created new job positions. </w:t>
            </w:r>
          </w:p>
          <w:p w:rsidR="00B43216" w:rsidRPr="00A17559" w:rsidRDefault="00B43216" w:rsidP="007302FF">
            <w:pPr>
              <w:pStyle w:val="Marginlie"/>
              <w:rPr>
                <w:lang w:val="en-GB"/>
              </w:rPr>
            </w:pPr>
          </w:p>
        </w:tc>
        <w:tc>
          <w:tcPr>
            <w:tcW w:w="216" w:type="dxa"/>
            <w:shd w:val="clear" w:color="auto" w:fill="auto"/>
            <w:tcMar>
              <w:left w:w="0" w:type="dxa"/>
            </w:tcMar>
          </w:tcPr>
          <w:p w:rsidR="00B43216" w:rsidRPr="00A17559" w:rsidRDefault="00B43216" w:rsidP="00B43216">
            <w:pPr>
              <w:pStyle w:val="Textpoznpodarou"/>
              <w:jc w:val="both"/>
              <w:rPr>
                <w:spacing w:val="-4"/>
                <w:lang w:val="en-GB"/>
              </w:rPr>
            </w:pPr>
          </w:p>
        </w:tc>
        <w:tc>
          <w:tcPr>
            <w:tcW w:w="7648" w:type="dxa"/>
            <w:shd w:val="clear" w:color="auto" w:fill="auto"/>
            <w:tcMar>
              <w:left w:w="0" w:type="dxa"/>
            </w:tcMar>
          </w:tcPr>
          <w:p w:rsidR="00601F7B" w:rsidRPr="00A17559" w:rsidRDefault="009773D6" w:rsidP="00422D1A">
            <w:pPr>
              <w:spacing w:after="200"/>
              <w:rPr>
                <w:spacing w:val="-2"/>
                <w:lang w:val="en-GB"/>
              </w:rPr>
            </w:pPr>
            <w:r w:rsidRPr="00A17559">
              <w:rPr>
                <w:spacing w:val="-2"/>
                <w:lang w:val="en-GB"/>
              </w:rPr>
              <w:t xml:space="preserve">Dynamic development of information and communication continued </w:t>
            </w:r>
            <w:r w:rsidR="00B43216" w:rsidRPr="00A17559">
              <w:rPr>
                <w:spacing w:val="-2"/>
                <w:lang w:val="en-GB"/>
              </w:rPr>
              <w:t>(+4</w:t>
            </w:r>
            <w:r w:rsidRPr="00A17559">
              <w:rPr>
                <w:spacing w:val="-2"/>
                <w:lang w:val="en-GB"/>
              </w:rPr>
              <w:t>.</w:t>
            </w:r>
            <w:r w:rsidR="00B43216" w:rsidRPr="00A17559">
              <w:rPr>
                <w:spacing w:val="-2"/>
                <w:lang w:val="en-GB"/>
              </w:rPr>
              <w:t>2%</w:t>
            </w:r>
            <w:r w:rsidRPr="00A17559">
              <w:rPr>
                <w:spacing w:val="-2"/>
                <w:lang w:val="en-GB"/>
              </w:rPr>
              <w:t xml:space="preserve"> year-on-year</w:t>
            </w:r>
            <w:r w:rsidR="00B43216" w:rsidRPr="00A17559">
              <w:rPr>
                <w:spacing w:val="-2"/>
                <w:lang w:val="en-GB"/>
              </w:rPr>
              <w:t xml:space="preserve">). </w:t>
            </w:r>
            <w:r w:rsidRPr="00A17559">
              <w:rPr>
                <w:spacing w:val="-2"/>
                <w:lang w:val="en-GB"/>
              </w:rPr>
              <w:t xml:space="preserve">The activity was bolstered by nearly </w:t>
            </w:r>
            <w:r w:rsidR="00B43216" w:rsidRPr="00A17559">
              <w:rPr>
                <w:spacing w:val="-2"/>
                <w:lang w:val="en-GB"/>
              </w:rPr>
              <w:t>24 t</w:t>
            </w:r>
            <w:r w:rsidRPr="00A17559">
              <w:rPr>
                <w:spacing w:val="-2"/>
                <w:lang w:val="en-GB"/>
              </w:rPr>
              <w:t>housand of job positions a</w:t>
            </w:r>
            <w:r w:rsidR="001143E0" w:rsidRPr="00A17559">
              <w:rPr>
                <w:spacing w:val="-2"/>
                <w:lang w:val="en-GB"/>
              </w:rPr>
              <w:t xml:space="preserve">nd total employment </w:t>
            </w:r>
            <w:r w:rsidR="00212F5D" w:rsidRPr="00A17559">
              <w:rPr>
                <w:spacing w:val="-2"/>
                <w:lang w:val="en-GB"/>
              </w:rPr>
              <w:t>expanded</w:t>
            </w:r>
            <w:r w:rsidR="001143E0" w:rsidRPr="00A17559">
              <w:rPr>
                <w:spacing w:val="-2"/>
                <w:lang w:val="en-GB"/>
              </w:rPr>
              <w:t xml:space="preserve"> by one sixth</w:t>
            </w:r>
            <w:r w:rsidRPr="00A17559">
              <w:rPr>
                <w:spacing w:val="-2"/>
                <w:lang w:val="en-GB"/>
              </w:rPr>
              <w:t xml:space="preserve"> in the last five years</w:t>
            </w:r>
            <w:r w:rsidR="001143E0" w:rsidRPr="00A17559">
              <w:rPr>
                <w:spacing w:val="-2"/>
                <w:lang w:val="en-GB"/>
              </w:rPr>
              <w:t xml:space="preserve">. </w:t>
            </w:r>
            <w:r w:rsidR="00212F5D" w:rsidRPr="00A17559">
              <w:rPr>
                <w:spacing w:val="-2"/>
                <w:lang w:val="en-GB"/>
              </w:rPr>
              <w:t xml:space="preserve">Branches with the predominant public sector also fared well </w:t>
            </w:r>
            <w:r w:rsidR="00B43216" w:rsidRPr="00A17559">
              <w:rPr>
                <w:spacing w:val="-2"/>
                <w:lang w:val="en-GB"/>
              </w:rPr>
              <w:t>(+2</w:t>
            </w:r>
            <w:r w:rsidR="00212F5D" w:rsidRPr="00A17559">
              <w:rPr>
                <w:spacing w:val="-2"/>
                <w:lang w:val="en-GB"/>
              </w:rPr>
              <w:t>.</w:t>
            </w:r>
            <w:r w:rsidR="00B43216" w:rsidRPr="00A17559">
              <w:rPr>
                <w:spacing w:val="-2"/>
                <w:lang w:val="en-GB"/>
              </w:rPr>
              <w:t xml:space="preserve">3%), </w:t>
            </w:r>
            <w:r w:rsidR="001143E0" w:rsidRPr="00A17559">
              <w:rPr>
                <w:spacing w:val="-2"/>
                <w:lang w:val="en-GB"/>
              </w:rPr>
              <w:t xml:space="preserve">mostly due to education as well as </w:t>
            </w:r>
            <w:r w:rsidR="00212F5D" w:rsidRPr="00A17559">
              <w:rPr>
                <w:spacing w:val="-2"/>
                <w:lang w:val="en-GB"/>
              </w:rPr>
              <w:t>health</w:t>
            </w:r>
            <w:r w:rsidR="001143E0" w:rsidRPr="00A17559">
              <w:rPr>
                <w:spacing w:val="-2"/>
                <w:lang w:val="en-GB"/>
              </w:rPr>
              <w:t xml:space="preserve"> and social care. </w:t>
            </w:r>
            <w:r w:rsidR="00E84A1C" w:rsidRPr="00A17559">
              <w:rPr>
                <w:spacing w:val="-2"/>
                <w:lang w:val="en-GB"/>
              </w:rPr>
              <w:t xml:space="preserve">Weight significant group trade, transportation, accommodation and food service </w:t>
            </w:r>
            <w:r w:rsidR="00B43216" w:rsidRPr="00A17559">
              <w:rPr>
                <w:spacing w:val="-2"/>
                <w:lang w:val="en-GB"/>
              </w:rPr>
              <w:t>(+1</w:t>
            </w:r>
            <w:r w:rsidR="00E84A1C" w:rsidRPr="00A17559">
              <w:rPr>
                <w:spacing w:val="-2"/>
                <w:lang w:val="en-GB"/>
              </w:rPr>
              <w:t>.</w:t>
            </w:r>
            <w:r w:rsidR="00B43216" w:rsidRPr="00A17559">
              <w:rPr>
                <w:spacing w:val="-2"/>
                <w:lang w:val="en-GB"/>
              </w:rPr>
              <w:t>2%)</w:t>
            </w:r>
            <w:r w:rsidR="00E84A1C" w:rsidRPr="00A17559">
              <w:rPr>
                <w:spacing w:val="-2"/>
                <w:lang w:val="en-GB"/>
              </w:rPr>
              <w:t xml:space="preserve"> showed a weaker dynamics in </w:t>
            </w:r>
            <w:r w:rsidR="008C3D6B">
              <w:rPr>
                <w:spacing w:val="-2"/>
                <w:lang w:val="en-GB"/>
              </w:rPr>
              <w:t>comparison to the last year, par</w:t>
            </w:r>
            <w:r w:rsidR="00E84A1C" w:rsidRPr="00A17559">
              <w:rPr>
                <w:spacing w:val="-2"/>
                <w:lang w:val="en-GB"/>
              </w:rPr>
              <w:t xml:space="preserve">tly due to the mild lowering of number of entrepreneurs </w:t>
            </w:r>
            <w:r w:rsidR="00B43216" w:rsidRPr="00A17559">
              <w:rPr>
                <w:spacing w:val="-2"/>
                <w:lang w:val="en-GB"/>
              </w:rPr>
              <w:t>(</w:t>
            </w:r>
            <w:r w:rsidR="00E84A1C" w:rsidRPr="00A17559">
              <w:rPr>
                <w:spacing w:val="-2"/>
                <w:lang w:val="en-GB"/>
              </w:rPr>
              <w:t>without employees</w:t>
            </w:r>
            <w:r w:rsidR="00B43216" w:rsidRPr="00A17559">
              <w:rPr>
                <w:spacing w:val="-2"/>
                <w:lang w:val="en-GB"/>
              </w:rPr>
              <w:t xml:space="preserve">). </w:t>
            </w:r>
          </w:p>
        </w:tc>
      </w:tr>
      <w:tr w:rsidR="007302FF" w:rsidRPr="00A17559" w:rsidTr="00B43216">
        <w:trPr>
          <w:trHeight w:val="145"/>
        </w:trPr>
        <w:tc>
          <w:tcPr>
            <w:tcW w:w="1790" w:type="dxa"/>
            <w:shd w:val="clear" w:color="auto" w:fill="auto"/>
            <w:tcMar>
              <w:left w:w="0" w:type="dxa"/>
            </w:tcMar>
          </w:tcPr>
          <w:p w:rsidR="007302FF" w:rsidRPr="00A17559" w:rsidRDefault="007302FF" w:rsidP="007302FF">
            <w:pPr>
              <w:pStyle w:val="Marginlie"/>
              <w:rPr>
                <w:lang w:val="en-GB"/>
              </w:rPr>
            </w:pPr>
            <w:r w:rsidRPr="00A17559">
              <w:rPr>
                <w:lang w:val="en-GB"/>
              </w:rPr>
              <w:t xml:space="preserve">Rate of growth of employment weakened in industry, in contrast further accelerated in construction. </w:t>
            </w:r>
          </w:p>
          <w:p w:rsidR="007302FF" w:rsidRDefault="007302FF" w:rsidP="00B43216">
            <w:pPr>
              <w:pStyle w:val="Marginlie"/>
              <w:rPr>
                <w:lang w:val="en-GB"/>
              </w:rPr>
            </w:pPr>
          </w:p>
        </w:tc>
        <w:tc>
          <w:tcPr>
            <w:tcW w:w="216" w:type="dxa"/>
            <w:shd w:val="clear" w:color="auto" w:fill="auto"/>
            <w:tcMar>
              <w:left w:w="0" w:type="dxa"/>
            </w:tcMar>
          </w:tcPr>
          <w:p w:rsidR="007302FF" w:rsidRPr="00A17559" w:rsidRDefault="007302FF" w:rsidP="00B43216">
            <w:pPr>
              <w:pStyle w:val="Textpoznpodarou"/>
              <w:jc w:val="both"/>
              <w:rPr>
                <w:spacing w:val="-4"/>
                <w:lang w:val="en-GB"/>
              </w:rPr>
            </w:pPr>
          </w:p>
        </w:tc>
        <w:tc>
          <w:tcPr>
            <w:tcW w:w="7648" w:type="dxa"/>
            <w:shd w:val="clear" w:color="auto" w:fill="auto"/>
            <w:tcMar>
              <w:left w:w="0" w:type="dxa"/>
            </w:tcMar>
          </w:tcPr>
          <w:p w:rsidR="007302FF" w:rsidRPr="00A17559" w:rsidRDefault="007302FF" w:rsidP="007302FF">
            <w:pPr>
              <w:spacing w:after="400"/>
              <w:rPr>
                <w:spacing w:val="-2"/>
                <w:lang w:val="en-GB"/>
              </w:rPr>
            </w:pPr>
            <w:r w:rsidRPr="00A17559">
              <w:rPr>
                <w:spacing w:val="-2"/>
                <w:lang w:val="en-GB"/>
              </w:rPr>
              <w:t>Manufacturing enlarged by 0.8% of workers, this branch records below average pace already for two and a half years</w:t>
            </w:r>
            <w:r w:rsidRPr="00A17559">
              <w:rPr>
                <w:rStyle w:val="Znakapoznpodarou"/>
                <w:color w:val="0D0D0D" w:themeColor="text1" w:themeTint="F2"/>
                <w:spacing w:val="-2"/>
                <w:lang w:val="en-GB"/>
              </w:rPr>
              <w:footnoteReference w:id="49"/>
            </w:r>
            <w:r w:rsidRPr="00A17559">
              <w:rPr>
                <w:spacing w:val="-2"/>
                <w:lang w:val="en-GB"/>
              </w:rPr>
              <w:t xml:space="preserve">. Construction was hiring workers already second year in a row and even </w:t>
            </w:r>
            <w:r w:rsidR="000E4DDC">
              <w:rPr>
                <w:spacing w:val="-2"/>
                <w:lang w:val="en-GB"/>
              </w:rPr>
              <w:t>though the employment growth (+</w:t>
            </w:r>
            <w:r w:rsidRPr="00A17559">
              <w:rPr>
                <w:spacing w:val="-2"/>
                <w:lang w:val="en-GB"/>
              </w:rPr>
              <w:t xml:space="preserve">1.0%) remained slightly below the pace of the whole economy in this branch also this year, it represented the best half-yearly result here since the end of year 2010. Trend of a very gradual reduction of the number of workers in the primary sector continued, largely due to the reduction of number of self-employed </w:t>
            </w:r>
            <w:r w:rsidR="000E4DDC">
              <w:rPr>
                <w:spacing w:val="-2"/>
                <w:lang w:val="en-GB"/>
              </w:rPr>
              <w:t>(</w:t>
            </w:r>
            <w:r w:rsidRPr="00A17559">
              <w:rPr>
                <w:spacing w:val="-2"/>
                <w:lang w:val="en-GB"/>
              </w:rPr>
              <w:t>similarly to the last year</w:t>
            </w:r>
            <w:r w:rsidR="000E4DDC">
              <w:rPr>
                <w:spacing w:val="-2"/>
                <w:lang w:val="en-GB"/>
              </w:rPr>
              <w:t>)</w:t>
            </w:r>
            <w:r w:rsidRPr="00A17559">
              <w:rPr>
                <w:spacing w:val="-2"/>
                <w:lang w:val="en-GB"/>
              </w:rPr>
              <w:t>.</w:t>
            </w:r>
          </w:p>
        </w:tc>
      </w:tr>
      <w:tr w:rsidR="00B43216" w:rsidRPr="00A17559" w:rsidTr="00B43216">
        <w:trPr>
          <w:trHeight w:val="98"/>
        </w:trPr>
        <w:tc>
          <w:tcPr>
            <w:tcW w:w="1790" w:type="dxa"/>
            <w:vMerge w:val="restart"/>
            <w:shd w:val="clear" w:color="auto" w:fill="auto"/>
            <w:tcMar>
              <w:left w:w="0" w:type="dxa"/>
            </w:tcMar>
          </w:tcPr>
          <w:p w:rsidR="00B43216" w:rsidRPr="00A17559" w:rsidRDefault="00B43216" w:rsidP="00B43216">
            <w:pPr>
              <w:pStyle w:val="Marginlie"/>
              <w:rPr>
                <w:lang w:val="en-GB"/>
              </w:rPr>
            </w:pPr>
          </w:p>
        </w:tc>
        <w:tc>
          <w:tcPr>
            <w:tcW w:w="216" w:type="dxa"/>
            <w:vMerge w:val="restart"/>
            <w:shd w:val="clear" w:color="auto" w:fill="auto"/>
            <w:tcMar>
              <w:left w:w="0" w:type="dxa"/>
            </w:tcMar>
          </w:tcPr>
          <w:p w:rsidR="00B43216" w:rsidRPr="00A17559" w:rsidRDefault="00B43216" w:rsidP="00B43216">
            <w:pPr>
              <w:pStyle w:val="Textpoznpodarou"/>
              <w:jc w:val="both"/>
              <w:rPr>
                <w:spacing w:val="-4"/>
                <w:lang w:val="en-GB"/>
              </w:rPr>
            </w:pPr>
          </w:p>
        </w:tc>
        <w:tc>
          <w:tcPr>
            <w:tcW w:w="7648" w:type="dxa"/>
            <w:shd w:val="clear" w:color="auto" w:fill="auto"/>
            <w:tcMar>
              <w:left w:w="0" w:type="dxa"/>
            </w:tcMar>
          </w:tcPr>
          <w:p w:rsidR="00B43216" w:rsidRPr="00E91301" w:rsidRDefault="003B6762" w:rsidP="00A6092A">
            <w:pPr>
              <w:spacing w:after="40"/>
              <w:rPr>
                <w:spacing w:val="-3"/>
                <w:szCs w:val="20"/>
                <w:lang w:val="en-GB"/>
              </w:rPr>
            </w:pPr>
            <w:r w:rsidRPr="00E91301">
              <w:rPr>
                <w:rFonts w:cs="Arial"/>
                <w:b/>
                <w:bCs/>
                <w:color w:val="000000"/>
                <w:spacing w:val="-3"/>
                <w:szCs w:val="20"/>
                <w:lang w:val="en-GB"/>
              </w:rPr>
              <w:t xml:space="preserve">Chart </w:t>
            </w:r>
            <w:r w:rsidR="008A394E" w:rsidRPr="00E91301">
              <w:rPr>
                <w:rFonts w:cs="Arial"/>
                <w:b/>
                <w:bCs/>
                <w:color w:val="000000"/>
                <w:spacing w:val="-3"/>
                <w:szCs w:val="20"/>
                <w:lang w:val="en-GB"/>
              </w:rPr>
              <w:t>13</w:t>
            </w:r>
            <w:r w:rsidR="00B43216" w:rsidRPr="00E91301">
              <w:rPr>
                <w:rFonts w:cs="Arial"/>
                <w:b/>
                <w:bCs/>
                <w:color w:val="000000"/>
                <w:spacing w:val="-3"/>
                <w:szCs w:val="20"/>
                <w:lang w:val="en-GB"/>
              </w:rPr>
              <w:t xml:space="preserve">  </w:t>
            </w:r>
            <w:r w:rsidRPr="00E91301">
              <w:rPr>
                <w:rFonts w:cs="Arial"/>
                <w:b/>
                <w:bCs/>
                <w:color w:val="000000"/>
                <w:spacing w:val="-3"/>
                <w:szCs w:val="20"/>
                <w:lang w:val="en-GB"/>
              </w:rPr>
              <w:t xml:space="preserve">Total employment </w:t>
            </w:r>
            <w:r w:rsidR="00B43216" w:rsidRPr="00E91301">
              <w:rPr>
                <w:spacing w:val="-3"/>
                <w:szCs w:val="20"/>
                <w:lang w:val="en-GB" w:eastAsia="en-US"/>
              </w:rPr>
              <w:t>(</w:t>
            </w:r>
            <w:r w:rsidRPr="00E91301">
              <w:rPr>
                <w:spacing w:val="-3"/>
                <w:szCs w:val="20"/>
                <w:lang w:val="en-GB" w:eastAsia="en-US"/>
              </w:rPr>
              <w:t xml:space="preserve">year-on-year in </w:t>
            </w:r>
            <w:r w:rsidR="00B43216" w:rsidRPr="00E91301">
              <w:rPr>
                <w:bCs/>
                <w:spacing w:val="-3"/>
                <w:szCs w:val="20"/>
                <w:lang w:val="en-GB"/>
              </w:rPr>
              <w:t xml:space="preserve">%) </w:t>
            </w:r>
            <w:r w:rsidR="00B43216" w:rsidRPr="00E91301">
              <w:rPr>
                <w:b/>
                <w:bCs/>
                <w:spacing w:val="-3"/>
                <w:szCs w:val="20"/>
                <w:lang w:val="en-GB"/>
              </w:rPr>
              <w:t>a</w:t>
            </w:r>
            <w:r w:rsidRPr="00E91301">
              <w:rPr>
                <w:b/>
                <w:bCs/>
                <w:spacing w:val="-3"/>
                <w:szCs w:val="20"/>
                <w:lang w:val="en-GB"/>
              </w:rPr>
              <w:t xml:space="preserve">nd contributions of main branches to year-on-year employment change </w:t>
            </w:r>
            <w:r w:rsidR="00B43216" w:rsidRPr="00E91301">
              <w:rPr>
                <w:bCs/>
                <w:spacing w:val="-3"/>
                <w:szCs w:val="20"/>
                <w:lang w:val="en-GB"/>
              </w:rPr>
              <w:t>(</w:t>
            </w:r>
            <w:r w:rsidRPr="00E91301">
              <w:rPr>
                <w:bCs/>
                <w:spacing w:val="-3"/>
                <w:szCs w:val="20"/>
                <w:lang w:val="en-GB"/>
              </w:rPr>
              <w:t>in percentage points</w:t>
            </w:r>
            <w:r w:rsidR="00B43216" w:rsidRPr="00E91301">
              <w:rPr>
                <w:bCs/>
                <w:spacing w:val="-3"/>
                <w:szCs w:val="20"/>
                <w:lang w:val="en-GB"/>
              </w:rPr>
              <w:t>)</w:t>
            </w:r>
          </w:p>
        </w:tc>
      </w:tr>
      <w:tr w:rsidR="00B43216" w:rsidRPr="00A17559" w:rsidTr="008E1268">
        <w:tblPrEx>
          <w:tblCellMar>
            <w:left w:w="70" w:type="dxa"/>
            <w:right w:w="70" w:type="dxa"/>
          </w:tblCellMar>
        </w:tblPrEx>
        <w:trPr>
          <w:trHeight w:val="96"/>
        </w:trPr>
        <w:tc>
          <w:tcPr>
            <w:tcW w:w="1790" w:type="dxa"/>
            <w:vMerge/>
            <w:shd w:val="clear" w:color="auto" w:fill="auto"/>
          </w:tcPr>
          <w:p w:rsidR="00B43216" w:rsidRPr="00A17559" w:rsidRDefault="00B43216" w:rsidP="00B43216">
            <w:pPr>
              <w:pStyle w:val="Marginlie"/>
              <w:rPr>
                <w:lang w:val="en-GB"/>
              </w:rPr>
            </w:pPr>
          </w:p>
        </w:tc>
        <w:tc>
          <w:tcPr>
            <w:tcW w:w="216" w:type="dxa"/>
            <w:vMerge/>
            <w:shd w:val="clear" w:color="auto" w:fill="auto"/>
          </w:tcPr>
          <w:p w:rsidR="00B43216" w:rsidRPr="00A17559" w:rsidRDefault="00B43216" w:rsidP="00B43216">
            <w:pPr>
              <w:pStyle w:val="Textpoznpodarou"/>
              <w:jc w:val="both"/>
              <w:rPr>
                <w:spacing w:val="-4"/>
                <w:lang w:val="en-GB"/>
              </w:rPr>
            </w:pPr>
          </w:p>
        </w:tc>
        <w:tc>
          <w:tcPr>
            <w:tcW w:w="7648" w:type="dxa"/>
            <w:shd w:val="clear" w:color="auto" w:fill="auto"/>
          </w:tcPr>
          <w:p w:rsidR="00B43216" w:rsidRPr="00A17559" w:rsidRDefault="008E1268" w:rsidP="00B43216">
            <w:pPr>
              <w:spacing w:after="40" w:line="240" w:lineRule="auto"/>
              <w:rPr>
                <w:spacing w:val="-2"/>
                <w:lang w:val="en-GB"/>
              </w:rPr>
            </w:pPr>
            <w:r>
              <w:rPr>
                <w:noProof/>
              </w:rPr>
              <w:drawing>
                <wp:inline distT="0" distB="0" distL="0" distR="0" wp14:anchorId="769D0735" wp14:editId="191C6FF7">
                  <wp:extent cx="4718406" cy="3547811"/>
                  <wp:effectExtent l="0" t="0" r="635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B43216" w:rsidRPr="00A17559" w:rsidTr="00B43216">
        <w:trPr>
          <w:trHeight w:val="96"/>
        </w:trPr>
        <w:tc>
          <w:tcPr>
            <w:tcW w:w="1790" w:type="dxa"/>
            <w:vMerge/>
            <w:shd w:val="clear" w:color="auto" w:fill="auto"/>
            <w:tcMar>
              <w:left w:w="0" w:type="dxa"/>
            </w:tcMar>
          </w:tcPr>
          <w:p w:rsidR="00B43216" w:rsidRPr="00A17559" w:rsidRDefault="00B43216" w:rsidP="00B43216">
            <w:pPr>
              <w:pStyle w:val="Marginlie"/>
              <w:rPr>
                <w:lang w:val="en-GB"/>
              </w:rPr>
            </w:pPr>
          </w:p>
        </w:tc>
        <w:tc>
          <w:tcPr>
            <w:tcW w:w="216" w:type="dxa"/>
            <w:vMerge/>
            <w:shd w:val="clear" w:color="auto" w:fill="auto"/>
            <w:tcMar>
              <w:left w:w="0" w:type="dxa"/>
            </w:tcMar>
          </w:tcPr>
          <w:p w:rsidR="00B43216" w:rsidRPr="00A17559" w:rsidRDefault="00B43216" w:rsidP="00B43216">
            <w:pPr>
              <w:pStyle w:val="Textpoznpodarou"/>
              <w:jc w:val="both"/>
              <w:rPr>
                <w:spacing w:val="-4"/>
                <w:lang w:val="en-GB"/>
              </w:rPr>
            </w:pPr>
          </w:p>
        </w:tc>
        <w:tc>
          <w:tcPr>
            <w:tcW w:w="7648" w:type="dxa"/>
            <w:shd w:val="clear" w:color="auto" w:fill="auto"/>
            <w:tcMar>
              <w:left w:w="0" w:type="dxa"/>
            </w:tcMar>
          </w:tcPr>
          <w:p w:rsidR="008E1268" w:rsidRDefault="00B43216" w:rsidP="00ED7A13">
            <w:pPr>
              <w:spacing w:after="0" w:line="240" w:lineRule="auto"/>
              <w:rPr>
                <w:rFonts w:cs="Arial"/>
                <w:sz w:val="14"/>
                <w:szCs w:val="14"/>
                <w:lang w:val="en-GB"/>
              </w:rPr>
            </w:pPr>
            <w:r w:rsidRPr="00A17559">
              <w:rPr>
                <w:rFonts w:cs="Arial"/>
                <w:sz w:val="14"/>
                <w:szCs w:val="14"/>
                <w:lang w:val="en-GB"/>
              </w:rPr>
              <w:t>*</w:t>
            </w:r>
            <w:r w:rsidR="00ED7A13" w:rsidRPr="00A17559">
              <w:rPr>
                <w:rFonts w:cs="Arial"/>
                <w:sz w:val="14"/>
                <w:szCs w:val="14"/>
                <w:lang w:val="en-GB"/>
              </w:rPr>
              <w:t>Includes branches</w:t>
            </w:r>
            <w:r w:rsidRPr="00A17559">
              <w:rPr>
                <w:rFonts w:cs="Arial"/>
                <w:sz w:val="14"/>
                <w:szCs w:val="14"/>
                <w:lang w:val="en-GB"/>
              </w:rPr>
              <w:t>:</w:t>
            </w:r>
            <w:r w:rsidR="000E4DDC">
              <w:rPr>
                <w:rFonts w:cs="Arial"/>
                <w:sz w:val="14"/>
                <w:szCs w:val="14"/>
                <w:lang w:val="en-GB"/>
              </w:rPr>
              <w:t xml:space="preserve"> Mining and energetics</w:t>
            </w:r>
            <w:r w:rsidR="000E4DDC">
              <w:rPr>
                <w:rFonts w:cs="Arial"/>
                <w:sz w:val="14"/>
                <w:szCs w:val="14"/>
                <w:lang w:val="en-US"/>
              </w:rPr>
              <w:t>;</w:t>
            </w:r>
            <w:r w:rsidR="00ED7A13" w:rsidRPr="00A17559">
              <w:rPr>
                <w:rFonts w:cs="Arial"/>
                <w:sz w:val="14"/>
                <w:szCs w:val="14"/>
                <w:lang w:val="en-GB"/>
              </w:rPr>
              <w:t xml:space="preserve"> Fin</w:t>
            </w:r>
            <w:r w:rsidR="000E4DDC">
              <w:rPr>
                <w:rFonts w:cs="Arial"/>
                <w:sz w:val="14"/>
                <w:szCs w:val="14"/>
                <w:lang w:val="en-GB"/>
              </w:rPr>
              <w:t>ancial and insurance activities</w:t>
            </w:r>
            <w:r w:rsidR="000E4DDC">
              <w:rPr>
                <w:rFonts w:cs="Arial"/>
                <w:sz w:val="14"/>
                <w:szCs w:val="14"/>
                <w:lang w:val="en-US"/>
              </w:rPr>
              <w:t>;</w:t>
            </w:r>
            <w:r w:rsidR="00ED7A13" w:rsidRPr="00A17559">
              <w:rPr>
                <w:rFonts w:cs="Arial"/>
                <w:sz w:val="14"/>
                <w:szCs w:val="14"/>
                <w:lang w:val="en-GB"/>
              </w:rPr>
              <w:t xml:space="preserve"> Real es</w:t>
            </w:r>
            <w:r w:rsidR="000E4DDC">
              <w:rPr>
                <w:rFonts w:cs="Arial"/>
                <w:sz w:val="14"/>
                <w:szCs w:val="14"/>
                <w:lang w:val="en-GB"/>
              </w:rPr>
              <w:t>tate activities</w:t>
            </w:r>
            <w:r w:rsidR="000E4DDC">
              <w:rPr>
                <w:rFonts w:cs="Arial"/>
                <w:sz w:val="14"/>
                <w:szCs w:val="14"/>
                <w:lang w:val="en-US"/>
              </w:rPr>
              <w:t>;</w:t>
            </w:r>
            <w:r w:rsidR="000E4DDC">
              <w:rPr>
                <w:rFonts w:cs="Arial"/>
                <w:sz w:val="14"/>
                <w:szCs w:val="14"/>
                <w:lang w:val="en-GB"/>
              </w:rPr>
              <w:t xml:space="preserve"> Arts, entertainm</w:t>
            </w:r>
            <w:r w:rsidR="00ED7A13" w:rsidRPr="00A17559">
              <w:rPr>
                <w:rFonts w:cs="Arial"/>
                <w:sz w:val="14"/>
                <w:szCs w:val="14"/>
                <w:lang w:val="en-GB"/>
              </w:rPr>
              <w:t>ent and recreation activi</w:t>
            </w:r>
            <w:r w:rsidR="000E4DDC">
              <w:rPr>
                <w:rFonts w:cs="Arial"/>
                <w:sz w:val="14"/>
                <w:szCs w:val="14"/>
                <w:lang w:val="en-GB"/>
              </w:rPr>
              <w:t>ties</w:t>
            </w:r>
            <w:r w:rsidR="000E4DDC">
              <w:rPr>
                <w:rFonts w:cs="Arial"/>
                <w:sz w:val="14"/>
                <w:szCs w:val="14"/>
                <w:lang w:val="en-US"/>
              </w:rPr>
              <w:t>;</w:t>
            </w:r>
            <w:r w:rsidR="008E1268">
              <w:rPr>
                <w:rFonts w:cs="Arial"/>
                <w:sz w:val="14"/>
                <w:szCs w:val="14"/>
                <w:lang w:val="en-GB"/>
              </w:rPr>
              <w:t xml:space="preserve"> Other services.</w:t>
            </w:r>
          </w:p>
          <w:p w:rsidR="00ED7A13" w:rsidRPr="00A17559" w:rsidRDefault="00ED7A13" w:rsidP="00B43216">
            <w:pPr>
              <w:spacing w:after="0" w:line="240" w:lineRule="auto"/>
              <w:rPr>
                <w:rFonts w:cs="Arial"/>
                <w:sz w:val="14"/>
                <w:szCs w:val="14"/>
                <w:lang w:val="en-GB"/>
              </w:rPr>
            </w:pPr>
            <w:r w:rsidRPr="00A17559">
              <w:rPr>
                <w:rFonts w:cs="Arial"/>
                <w:sz w:val="14"/>
                <w:szCs w:val="14"/>
                <w:lang w:val="en-GB"/>
              </w:rPr>
              <w:t>Source</w:t>
            </w:r>
            <w:r w:rsidR="00B43216" w:rsidRPr="00A17559">
              <w:rPr>
                <w:rFonts w:cs="Arial"/>
                <w:sz w:val="14"/>
                <w:szCs w:val="14"/>
                <w:lang w:val="en-GB"/>
              </w:rPr>
              <w:t xml:space="preserve">: </w:t>
            </w:r>
            <w:r w:rsidRPr="00A17559">
              <w:rPr>
                <w:rFonts w:cs="Arial"/>
                <w:sz w:val="14"/>
                <w:szCs w:val="14"/>
                <w:lang w:val="en-GB"/>
              </w:rPr>
              <w:t>CZSO</w:t>
            </w:r>
            <w:r w:rsidR="00B43216" w:rsidRPr="00A17559">
              <w:rPr>
                <w:rFonts w:cs="Arial"/>
                <w:sz w:val="14"/>
                <w:szCs w:val="14"/>
                <w:lang w:val="en-GB"/>
              </w:rPr>
              <w:t xml:space="preserve"> (n</w:t>
            </w:r>
            <w:r w:rsidR="008E1268">
              <w:rPr>
                <w:rFonts w:cs="Arial"/>
                <w:sz w:val="14"/>
                <w:szCs w:val="14"/>
                <w:lang w:val="en-GB"/>
              </w:rPr>
              <w:t>ational account</w:t>
            </w:r>
          </w:p>
          <w:p w:rsidR="00B43216" w:rsidRPr="00A17559" w:rsidRDefault="00B43216" w:rsidP="00B43216">
            <w:pPr>
              <w:spacing w:after="0" w:line="240" w:lineRule="auto"/>
              <w:rPr>
                <w:spacing w:val="-2"/>
                <w:szCs w:val="20"/>
                <w:lang w:val="en-GB"/>
              </w:rPr>
            </w:pPr>
          </w:p>
        </w:tc>
      </w:tr>
      <w:tr w:rsidR="00B43216" w:rsidRPr="00A17559" w:rsidTr="00B43216">
        <w:trPr>
          <w:trHeight w:val="145"/>
        </w:trPr>
        <w:tc>
          <w:tcPr>
            <w:tcW w:w="1790" w:type="dxa"/>
            <w:shd w:val="clear" w:color="auto" w:fill="auto"/>
            <w:tcMar>
              <w:left w:w="0" w:type="dxa"/>
            </w:tcMar>
          </w:tcPr>
          <w:p w:rsidR="00B43216" w:rsidRPr="00A17559" w:rsidRDefault="00ED7A13" w:rsidP="00B43216">
            <w:pPr>
              <w:pStyle w:val="Marginlie"/>
              <w:rPr>
                <w:lang w:val="en-GB"/>
              </w:rPr>
            </w:pPr>
            <w:r w:rsidRPr="00A17559">
              <w:rPr>
                <w:lang w:val="en-GB"/>
              </w:rPr>
              <w:t xml:space="preserve">Average age of workers was further rising. Employment rate of population in the productive age also grew, but slower. </w:t>
            </w:r>
          </w:p>
          <w:p w:rsidR="00B43216" w:rsidRPr="00A17559" w:rsidRDefault="00B43216" w:rsidP="00B43216">
            <w:pPr>
              <w:pStyle w:val="Marginlie"/>
              <w:rPr>
                <w:lang w:val="en-GB"/>
              </w:rPr>
            </w:pPr>
          </w:p>
          <w:p w:rsidR="00B43216" w:rsidRPr="00A17559" w:rsidRDefault="00B43216" w:rsidP="00B43216">
            <w:pPr>
              <w:pStyle w:val="Marginlie"/>
              <w:rPr>
                <w:lang w:val="en-GB"/>
              </w:rPr>
            </w:pPr>
          </w:p>
          <w:p w:rsidR="00B43216" w:rsidRPr="00A17559" w:rsidRDefault="00ED7A13" w:rsidP="001524CE">
            <w:pPr>
              <w:pStyle w:val="Marginlie"/>
              <w:rPr>
                <w:lang w:val="en-GB"/>
              </w:rPr>
            </w:pPr>
            <w:r w:rsidRPr="00A17559">
              <w:rPr>
                <w:lang w:val="en-GB"/>
              </w:rPr>
              <w:t xml:space="preserve">Employment rate of both males and females in the CR ranks among the significantly above average </w:t>
            </w:r>
            <w:r w:rsidR="001524CE" w:rsidRPr="00A17559">
              <w:rPr>
                <w:lang w:val="en-GB"/>
              </w:rPr>
              <w:t xml:space="preserve">in the EU in the long-term. </w:t>
            </w:r>
          </w:p>
        </w:tc>
        <w:tc>
          <w:tcPr>
            <w:tcW w:w="216" w:type="dxa"/>
            <w:shd w:val="clear" w:color="auto" w:fill="auto"/>
            <w:tcMar>
              <w:left w:w="0" w:type="dxa"/>
            </w:tcMar>
          </w:tcPr>
          <w:p w:rsidR="00B43216" w:rsidRPr="00A17559" w:rsidRDefault="00B43216" w:rsidP="00B43216">
            <w:pPr>
              <w:pStyle w:val="Textpoznpodarou"/>
              <w:jc w:val="both"/>
              <w:rPr>
                <w:spacing w:val="-4"/>
                <w:lang w:val="en-GB"/>
              </w:rPr>
            </w:pPr>
          </w:p>
        </w:tc>
        <w:tc>
          <w:tcPr>
            <w:tcW w:w="7648" w:type="dxa"/>
            <w:shd w:val="clear" w:color="auto" w:fill="auto"/>
            <w:tcMar>
              <w:left w:w="0" w:type="dxa"/>
            </w:tcMar>
          </w:tcPr>
          <w:p w:rsidR="00B43216" w:rsidRPr="00A17559" w:rsidRDefault="00ED7A13" w:rsidP="00703DCB">
            <w:pPr>
              <w:spacing w:after="200"/>
              <w:rPr>
                <w:spacing w:val="-2"/>
                <w:lang w:val="en-GB"/>
              </w:rPr>
            </w:pPr>
            <w:r w:rsidRPr="00A17559">
              <w:rPr>
                <w:spacing w:val="-2"/>
                <w:lang w:val="en-GB"/>
              </w:rPr>
              <w:t>From the view of the age c</w:t>
            </w:r>
            <w:r w:rsidR="001524CE" w:rsidRPr="00A17559">
              <w:rPr>
                <w:spacing w:val="-2"/>
                <w:lang w:val="en-GB"/>
              </w:rPr>
              <w:t xml:space="preserve">omposition, the employment was favourable </w:t>
            </w:r>
            <w:r w:rsidR="00AC4883">
              <w:rPr>
                <w:spacing w:val="-2"/>
                <w:lang w:val="en-GB"/>
              </w:rPr>
              <w:t>impacted mainly by the growth</w:t>
            </w:r>
            <w:r w:rsidR="001524CE" w:rsidRPr="00A17559">
              <w:rPr>
                <w:spacing w:val="-2"/>
                <w:lang w:val="en-GB"/>
              </w:rPr>
              <w:t xml:space="preserve"> of both the legal and </w:t>
            </w:r>
            <w:r w:rsidR="00703DCB" w:rsidRPr="00A17559">
              <w:rPr>
                <w:spacing w:val="-2"/>
                <w:lang w:val="en-GB"/>
              </w:rPr>
              <w:t>real</w:t>
            </w:r>
            <w:r w:rsidR="001524CE" w:rsidRPr="00A17559">
              <w:rPr>
                <w:spacing w:val="-2"/>
                <w:lang w:val="en-GB"/>
              </w:rPr>
              <w:t xml:space="preserve"> age of retirement. Further structural changes also con</w:t>
            </w:r>
            <w:r w:rsidR="00AC4883">
              <w:rPr>
                <w:spacing w:val="-2"/>
                <w:lang w:val="en-GB"/>
              </w:rPr>
              <w:t>tinued – strong population cohorts</w:t>
            </w:r>
            <w:r w:rsidR="001524CE" w:rsidRPr="00A17559">
              <w:rPr>
                <w:spacing w:val="-2"/>
                <w:lang w:val="en-GB"/>
              </w:rPr>
              <w:t xml:space="preserve"> of the 70s were moving into the age with the higher rate of economic participation. </w:t>
            </w:r>
            <w:r w:rsidR="00C92144" w:rsidRPr="00A17559">
              <w:rPr>
                <w:spacing w:val="-2"/>
                <w:lang w:val="en-GB"/>
              </w:rPr>
              <w:t>Average age of workers further increased. These trends were also reflected in the growing employment rate of productive age population</w:t>
            </w:r>
            <w:r w:rsidR="00473DFA">
              <w:rPr>
                <w:spacing w:val="-2"/>
                <w:lang w:val="en-GB"/>
              </w:rPr>
              <w:t xml:space="preserve"> (15–64 years)</w:t>
            </w:r>
            <w:r w:rsidR="00C92144" w:rsidRPr="00A17559">
              <w:rPr>
                <w:spacing w:val="-2"/>
                <w:lang w:val="en-GB"/>
              </w:rPr>
              <w:t xml:space="preserve">. It arrived at </w:t>
            </w:r>
            <w:r w:rsidR="00B43216" w:rsidRPr="00A17559">
              <w:rPr>
                <w:spacing w:val="-2"/>
                <w:lang w:val="en-GB"/>
              </w:rPr>
              <w:t>82</w:t>
            </w:r>
            <w:r w:rsidR="00F215AC" w:rsidRPr="00A17559">
              <w:rPr>
                <w:spacing w:val="-2"/>
                <w:lang w:val="en-GB"/>
              </w:rPr>
              <w:t>.</w:t>
            </w:r>
            <w:r w:rsidR="00B43216" w:rsidRPr="00A17559">
              <w:rPr>
                <w:spacing w:val="-2"/>
                <w:lang w:val="en-GB"/>
              </w:rPr>
              <w:t>0%</w:t>
            </w:r>
            <w:r w:rsidR="00C92144" w:rsidRPr="00A17559">
              <w:rPr>
                <w:spacing w:val="-2"/>
                <w:lang w:val="en-GB"/>
              </w:rPr>
              <w:t xml:space="preserve"> for males and </w:t>
            </w:r>
            <w:r w:rsidR="00B43216" w:rsidRPr="00A17559">
              <w:rPr>
                <w:spacing w:val="-2"/>
                <w:lang w:val="en-GB"/>
              </w:rPr>
              <w:t>67</w:t>
            </w:r>
            <w:r w:rsidR="00C92144" w:rsidRPr="00A17559">
              <w:rPr>
                <w:spacing w:val="-2"/>
                <w:lang w:val="en-GB"/>
              </w:rPr>
              <w:t>.</w:t>
            </w:r>
            <w:r w:rsidR="00B43216" w:rsidRPr="00A17559">
              <w:rPr>
                <w:spacing w:val="-2"/>
                <w:lang w:val="en-GB"/>
              </w:rPr>
              <w:t>8%</w:t>
            </w:r>
            <w:r w:rsidR="00C92144" w:rsidRPr="00A17559">
              <w:rPr>
                <w:spacing w:val="-2"/>
                <w:lang w:val="en-GB"/>
              </w:rPr>
              <w:t xml:space="preserve"> for females in Q2</w:t>
            </w:r>
            <w:r w:rsidR="00B43216" w:rsidRPr="00A17559">
              <w:rPr>
                <w:spacing w:val="-2"/>
                <w:lang w:val="en-GB"/>
              </w:rPr>
              <w:t>,</w:t>
            </w:r>
            <w:r w:rsidR="00C92144" w:rsidRPr="00A17559">
              <w:rPr>
                <w:spacing w:val="-2"/>
                <w:lang w:val="en-GB"/>
              </w:rPr>
              <w:t xml:space="preserve"> it rose by </w:t>
            </w:r>
            <w:r w:rsidR="00B43216" w:rsidRPr="00A17559">
              <w:rPr>
                <w:spacing w:val="-2"/>
                <w:lang w:val="en-GB"/>
              </w:rPr>
              <w:t>0</w:t>
            </w:r>
            <w:r w:rsidR="00F215AC" w:rsidRPr="00A17559">
              <w:rPr>
                <w:spacing w:val="-2"/>
                <w:lang w:val="en-GB"/>
              </w:rPr>
              <w:t>.</w:t>
            </w:r>
            <w:r w:rsidR="00B43216" w:rsidRPr="00A17559">
              <w:rPr>
                <w:spacing w:val="-2"/>
                <w:lang w:val="en-GB"/>
              </w:rPr>
              <w:t>3 p.</w:t>
            </w:r>
            <w:r w:rsidR="00F215AC" w:rsidRPr="00A17559">
              <w:rPr>
                <w:spacing w:val="-2"/>
                <w:lang w:val="en-GB"/>
              </w:rPr>
              <w:t>p. year-on-year in both cases. The rate of growth gradually evaporates as the potential resources of workers among both the unemployed and economically inactive who wish to work</w:t>
            </w:r>
            <w:r w:rsidR="00F215AC" w:rsidRPr="00A17559">
              <w:rPr>
                <w:rStyle w:val="Znakapoznpodarou"/>
                <w:color w:val="0D0D0D" w:themeColor="text1" w:themeTint="F2"/>
                <w:spacing w:val="-2"/>
                <w:lang w:val="en-GB"/>
              </w:rPr>
              <w:footnoteReference w:id="50"/>
            </w:r>
            <w:r w:rsidR="00F215AC" w:rsidRPr="00A17559">
              <w:rPr>
                <w:spacing w:val="-2"/>
                <w:lang w:val="en-GB"/>
              </w:rPr>
              <w:t xml:space="preserve"> </w:t>
            </w:r>
            <w:r w:rsidR="00B43216" w:rsidRPr="00A17559">
              <w:rPr>
                <w:spacing w:val="-2"/>
                <w:lang w:val="en-GB"/>
              </w:rPr>
              <w:t>„</w:t>
            </w:r>
            <w:r w:rsidR="00F215AC" w:rsidRPr="00A17559">
              <w:rPr>
                <w:spacing w:val="-2"/>
                <w:lang w:val="en-GB"/>
              </w:rPr>
              <w:t>dry out</w:t>
            </w:r>
            <w:r w:rsidR="00B43216" w:rsidRPr="00A17559">
              <w:rPr>
                <w:spacing w:val="-2"/>
                <w:lang w:val="en-GB"/>
              </w:rPr>
              <w:t>“</w:t>
            </w:r>
            <w:r w:rsidR="00F215AC" w:rsidRPr="00A17559">
              <w:rPr>
                <w:spacing w:val="-2"/>
                <w:lang w:val="en-GB"/>
              </w:rPr>
              <w:t>. Still the employment rate stays significantly above average in the CR within the European context. For females, the CR ranks eleventh</w:t>
            </w:r>
            <w:r w:rsidR="00B43216" w:rsidRPr="00A17559">
              <w:rPr>
                <w:rStyle w:val="Znakapoznpodarou"/>
                <w:color w:val="0D0D0D" w:themeColor="text1" w:themeTint="F2"/>
                <w:spacing w:val="-2"/>
                <w:lang w:val="en-GB"/>
              </w:rPr>
              <w:footnoteReference w:id="51"/>
            </w:r>
            <w:r w:rsidR="00B43216" w:rsidRPr="00A17559">
              <w:rPr>
                <w:spacing w:val="-2"/>
                <w:lang w:val="en-GB"/>
              </w:rPr>
              <w:t xml:space="preserve"> </w:t>
            </w:r>
            <w:r w:rsidR="00F215AC" w:rsidRPr="00A17559">
              <w:rPr>
                <w:spacing w:val="-2"/>
                <w:lang w:val="en-GB"/>
              </w:rPr>
              <w:t xml:space="preserve">among the EU states </w:t>
            </w:r>
            <w:r w:rsidR="00B43216" w:rsidRPr="00A17559">
              <w:rPr>
                <w:spacing w:val="-2"/>
                <w:lang w:val="en-GB"/>
              </w:rPr>
              <w:t>(</w:t>
            </w:r>
            <w:r w:rsidR="00F215AC" w:rsidRPr="00A17559">
              <w:rPr>
                <w:spacing w:val="-2"/>
                <w:lang w:val="en-GB"/>
              </w:rPr>
              <w:t>wit</w:t>
            </w:r>
            <w:r w:rsidR="00E32D52" w:rsidRPr="00A17559">
              <w:rPr>
                <w:spacing w:val="-2"/>
                <w:lang w:val="en-GB"/>
              </w:rPr>
              <w:t>h</w:t>
            </w:r>
            <w:r w:rsidR="00F215AC" w:rsidRPr="00A17559">
              <w:rPr>
                <w:spacing w:val="-2"/>
                <w:lang w:val="en-GB"/>
              </w:rPr>
              <w:t xml:space="preserve"> maximum in Sweden </w:t>
            </w:r>
            <w:r w:rsidR="00B43216" w:rsidRPr="00A17559">
              <w:rPr>
                <w:spacing w:val="-2"/>
                <w:lang w:val="en-GB"/>
              </w:rPr>
              <w:t>– 75%</w:t>
            </w:r>
            <w:r w:rsidR="00F215AC" w:rsidRPr="00A17559">
              <w:rPr>
                <w:spacing w:val="-2"/>
                <w:lang w:val="en-GB"/>
              </w:rPr>
              <w:t xml:space="preserve"> and minimum in Greece </w:t>
            </w:r>
            <w:r w:rsidR="00B43216" w:rsidRPr="00A17559">
              <w:rPr>
                <w:spacing w:val="-2"/>
                <w:lang w:val="en-GB"/>
              </w:rPr>
              <w:t xml:space="preserve">– 46% </w:t>
            </w:r>
            <w:r w:rsidR="00F215AC" w:rsidRPr="00A17559">
              <w:rPr>
                <w:spacing w:val="-2"/>
                <w:lang w:val="en-GB"/>
              </w:rPr>
              <w:t>and further Italy</w:t>
            </w:r>
            <w:r w:rsidR="00B43216" w:rsidRPr="00A17559">
              <w:rPr>
                <w:spacing w:val="-2"/>
                <w:lang w:val="en-GB"/>
              </w:rPr>
              <w:t xml:space="preserve"> – 50%),</w:t>
            </w:r>
            <w:r w:rsidR="00F215AC" w:rsidRPr="00A17559">
              <w:rPr>
                <w:spacing w:val="-2"/>
                <w:lang w:val="en-GB"/>
              </w:rPr>
              <w:t xml:space="preserve"> for males second </w:t>
            </w:r>
            <w:r w:rsidR="00B43216" w:rsidRPr="00A17559">
              <w:rPr>
                <w:spacing w:val="-2"/>
                <w:lang w:val="en-GB"/>
              </w:rPr>
              <w:t>(</w:t>
            </w:r>
            <w:r w:rsidR="00F215AC" w:rsidRPr="00A17559">
              <w:rPr>
                <w:spacing w:val="-2"/>
                <w:lang w:val="en-GB"/>
              </w:rPr>
              <w:t>tightly behind the Netherlands</w:t>
            </w:r>
            <w:r w:rsidR="00B43216" w:rsidRPr="00A17559">
              <w:rPr>
                <w:spacing w:val="-2"/>
                <w:lang w:val="en-GB"/>
              </w:rPr>
              <w:t>).</w:t>
            </w:r>
          </w:p>
        </w:tc>
      </w:tr>
      <w:tr w:rsidR="00B43216" w:rsidRPr="00A17559" w:rsidTr="00B43216">
        <w:trPr>
          <w:trHeight w:val="145"/>
        </w:trPr>
        <w:tc>
          <w:tcPr>
            <w:tcW w:w="1790" w:type="dxa"/>
            <w:shd w:val="clear" w:color="auto" w:fill="auto"/>
            <w:tcMar>
              <w:left w:w="0" w:type="dxa"/>
            </w:tcMar>
          </w:tcPr>
          <w:p w:rsidR="00B43216" w:rsidRPr="00A17559" w:rsidRDefault="00CA2441" w:rsidP="00B43216">
            <w:pPr>
              <w:pStyle w:val="Marginlie"/>
              <w:rPr>
                <w:lang w:val="en-GB"/>
              </w:rPr>
            </w:pPr>
            <w:r w:rsidRPr="00A17559">
              <w:rPr>
                <w:lang w:val="en-GB"/>
              </w:rPr>
              <w:t>General unemployment rate kept further mildly falling</w:t>
            </w:r>
            <w:r w:rsidR="00B43216" w:rsidRPr="00A17559">
              <w:rPr>
                <w:lang w:val="en-GB"/>
              </w:rPr>
              <w:t xml:space="preserve">, </w:t>
            </w:r>
            <w:r w:rsidRPr="00A17559">
              <w:rPr>
                <w:lang w:val="en-GB"/>
              </w:rPr>
              <w:t xml:space="preserve">mainly due to females. Proportion of </w:t>
            </w:r>
            <w:r w:rsidR="00CC5DBF">
              <w:rPr>
                <w:lang w:val="en-GB"/>
              </w:rPr>
              <w:t xml:space="preserve">long-term unemployed among </w:t>
            </w:r>
            <w:r w:rsidRPr="00A17559">
              <w:rPr>
                <w:lang w:val="en-GB"/>
              </w:rPr>
              <w:t>all unemployed</w:t>
            </w:r>
            <w:r w:rsidR="00CC5DBF">
              <w:rPr>
                <w:lang w:val="en-GB"/>
              </w:rPr>
              <w:t xml:space="preserve"> persons</w:t>
            </w:r>
            <w:r w:rsidRPr="00A17559">
              <w:rPr>
                <w:lang w:val="en-GB"/>
              </w:rPr>
              <w:t xml:space="preserve"> stabilised closely above </w:t>
            </w:r>
            <w:r w:rsidR="00B43216" w:rsidRPr="00A17559">
              <w:rPr>
                <w:lang w:val="en-GB"/>
              </w:rPr>
              <w:t>30%.</w:t>
            </w:r>
          </w:p>
          <w:p w:rsidR="00B43216" w:rsidRPr="00A17559" w:rsidRDefault="00B43216" w:rsidP="00B43216">
            <w:pPr>
              <w:pStyle w:val="Marginlie"/>
              <w:rPr>
                <w:lang w:val="en-GB"/>
              </w:rPr>
            </w:pPr>
          </w:p>
          <w:p w:rsidR="00B43216" w:rsidRPr="00A17559" w:rsidRDefault="00B43216" w:rsidP="00B43216">
            <w:pPr>
              <w:pStyle w:val="Marginlie"/>
              <w:rPr>
                <w:lang w:val="en-GB"/>
              </w:rPr>
            </w:pPr>
          </w:p>
          <w:p w:rsidR="00B43216" w:rsidRPr="00A17559" w:rsidRDefault="00B43216" w:rsidP="00B43216">
            <w:pPr>
              <w:pStyle w:val="Marginlie"/>
              <w:rPr>
                <w:lang w:val="en-GB"/>
              </w:rPr>
            </w:pPr>
          </w:p>
          <w:p w:rsidR="00B43216" w:rsidRPr="00A17559" w:rsidRDefault="00B43216" w:rsidP="00B43216">
            <w:pPr>
              <w:pStyle w:val="Marginlie"/>
              <w:rPr>
                <w:lang w:val="en-GB"/>
              </w:rPr>
            </w:pPr>
          </w:p>
          <w:p w:rsidR="00B43216" w:rsidRPr="00A17559" w:rsidRDefault="00B43216" w:rsidP="00B43216">
            <w:pPr>
              <w:pStyle w:val="Marginlie"/>
              <w:rPr>
                <w:lang w:val="en-GB"/>
              </w:rPr>
            </w:pPr>
          </w:p>
          <w:p w:rsidR="00B43216" w:rsidRPr="00A17559" w:rsidRDefault="00CA2441" w:rsidP="00CA2441">
            <w:pPr>
              <w:pStyle w:val="Marginlie"/>
              <w:rPr>
                <w:lang w:val="en-GB"/>
              </w:rPr>
            </w:pPr>
            <w:r w:rsidRPr="00A17559">
              <w:rPr>
                <w:lang w:val="en-GB"/>
              </w:rPr>
              <w:lastRenderedPageBreak/>
              <w:t xml:space="preserve">Unemployment rate of both males and females in the CR still stayed the lowest among the EU states. Other countries of central Europe also enjoyed a very good position. </w:t>
            </w:r>
          </w:p>
        </w:tc>
        <w:tc>
          <w:tcPr>
            <w:tcW w:w="216" w:type="dxa"/>
            <w:shd w:val="clear" w:color="auto" w:fill="auto"/>
            <w:tcMar>
              <w:left w:w="0" w:type="dxa"/>
            </w:tcMar>
          </w:tcPr>
          <w:p w:rsidR="00B43216" w:rsidRPr="00A17559" w:rsidRDefault="00B43216" w:rsidP="00B43216">
            <w:pPr>
              <w:pStyle w:val="Textpoznpodarou"/>
              <w:jc w:val="both"/>
              <w:rPr>
                <w:spacing w:val="-4"/>
                <w:lang w:val="en-GB"/>
              </w:rPr>
            </w:pPr>
          </w:p>
        </w:tc>
        <w:tc>
          <w:tcPr>
            <w:tcW w:w="7648" w:type="dxa"/>
            <w:shd w:val="clear" w:color="auto" w:fill="auto"/>
            <w:tcMar>
              <w:left w:w="0" w:type="dxa"/>
            </w:tcMar>
          </w:tcPr>
          <w:p w:rsidR="00B43216" w:rsidRPr="00A17559" w:rsidRDefault="00CA2441" w:rsidP="00D218B6">
            <w:pPr>
              <w:spacing w:after="200"/>
              <w:rPr>
                <w:spacing w:val="-4"/>
                <w:lang w:val="en-GB"/>
              </w:rPr>
            </w:pPr>
            <w:r w:rsidRPr="00A17559">
              <w:rPr>
                <w:spacing w:val="-3"/>
                <w:lang w:val="en-GB"/>
              </w:rPr>
              <w:t xml:space="preserve">General unemployment rate </w:t>
            </w:r>
            <w:r w:rsidR="00B43216" w:rsidRPr="00A17559">
              <w:rPr>
                <w:spacing w:val="-3"/>
                <w:lang w:val="en-GB"/>
              </w:rPr>
              <w:t>(</w:t>
            </w:r>
            <w:r w:rsidRPr="00A17559">
              <w:rPr>
                <w:spacing w:val="-3"/>
                <w:lang w:val="en-GB"/>
              </w:rPr>
              <w:t>after seasonal adjustment</w:t>
            </w:r>
            <w:r w:rsidR="00B43216" w:rsidRPr="00A17559">
              <w:rPr>
                <w:spacing w:val="-3"/>
                <w:lang w:val="en-GB"/>
              </w:rPr>
              <w:t>)</w:t>
            </w:r>
            <w:r w:rsidRPr="00A17559">
              <w:rPr>
                <w:spacing w:val="-3"/>
                <w:lang w:val="en-GB"/>
              </w:rPr>
              <w:t xml:space="preserve"> was already falling only slowly this year, similarly to year </w:t>
            </w:r>
            <w:r w:rsidR="00B43216" w:rsidRPr="00A17559">
              <w:rPr>
                <w:spacing w:val="-3"/>
                <w:lang w:val="en-GB"/>
              </w:rPr>
              <w:t>2018</w:t>
            </w:r>
            <w:r w:rsidRPr="00A17559">
              <w:rPr>
                <w:spacing w:val="-3"/>
                <w:lang w:val="en-GB"/>
              </w:rPr>
              <w:t xml:space="preserve">. It reduced to </w:t>
            </w:r>
            <w:r w:rsidR="00B43216" w:rsidRPr="00A17559">
              <w:rPr>
                <w:spacing w:val="-3"/>
                <w:lang w:val="en-GB"/>
              </w:rPr>
              <w:t>1</w:t>
            </w:r>
            <w:r w:rsidRPr="00A17559">
              <w:rPr>
                <w:spacing w:val="-3"/>
                <w:lang w:val="en-GB"/>
              </w:rPr>
              <w:t>.</w:t>
            </w:r>
            <w:r w:rsidR="00B43216" w:rsidRPr="00A17559">
              <w:rPr>
                <w:spacing w:val="-3"/>
                <w:lang w:val="en-GB"/>
              </w:rPr>
              <w:t>7%</w:t>
            </w:r>
            <w:r w:rsidR="00DB6DFF">
              <w:rPr>
                <w:spacing w:val="-3"/>
                <w:lang w:val="en-GB"/>
              </w:rPr>
              <w:t xml:space="preserve"> for males,</w:t>
            </w:r>
            <w:r w:rsidR="00B43216" w:rsidRPr="00A17559">
              <w:rPr>
                <w:spacing w:val="-3"/>
                <w:lang w:val="en-GB"/>
              </w:rPr>
              <w:t xml:space="preserve"> 2</w:t>
            </w:r>
            <w:r w:rsidR="001C2B88" w:rsidRPr="00A17559">
              <w:rPr>
                <w:spacing w:val="-3"/>
                <w:lang w:val="en-GB"/>
              </w:rPr>
              <w:t>.</w:t>
            </w:r>
            <w:r w:rsidR="00B43216" w:rsidRPr="00A17559">
              <w:rPr>
                <w:spacing w:val="-3"/>
                <w:lang w:val="en-GB"/>
              </w:rPr>
              <w:t>5%</w:t>
            </w:r>
            <w:r w:rsidR="001C2B88" w:rsidRPr="00A17559">
              <w:rPr>
                <w:spacing w:val="-3"/>
                <w:lang w:val="en-GB"/>
              </w:rPr>
              <w:t xml:space="preserve"> for females in Q2</w:t>
            </w:r>
            <w:r w:rsidR="00CC5DBF">
              <w:rPr>
                <w:spacing w:val="-3"/>
                <w:lang w:val="en-GB"/>
              </w:rPr>
              <w:t xml:space="preserve"> 2019</w:t>
            </w:r>
            <w:r w:rsidR="00E32D52" w:rsidRPr="00A17559">
              <w:rPr>
                <w:spacing w:val="-3"/>
                <w:lang w:val="en-GB"/>
              </w:rPr>
              <w:t>.</w:t>
            </w:r>
            <w:r w:rsidR="001C2B88" w:rsidRPr="00A17559">
              <w:rPr>
                <w:spacing w:val="-3"/>
                <w:lang w:val="en-GB"/>
              </w:rPr>
              <w:t xml:space="preserve"> Year-on-year it thus fell only by </w:t>
            </w:r>
            <w:r w:rsidR="00B43216" w:rsidRPr="00A17559">
              <w:rPr>
                <w:spacing w:val="-3"/>
                <w:lang w:val="en-GB"/>
              </w:rPr>
              <w:t>0</w:t>
            </w:r>
            <w:r w:rsidR="001C2B88" w:rsidRPr="00A17559">
              <w:rPr>
                <w:spacing w:val="-3"/>
                <w:lang w:val="en-GB"/>
              </w:rPr>
              <w:t>.</w:t>
            </w:r>
            <w:r w:rsidR="00B43216" w:rsidRPr="00A17559">
              <w:rPr>
                <w:spacing w:val="-3"/>
                <w:lang w:val="en-GB"/>
              </w:rPr>
              <w:t>1, resp. 0</w:t>
            </w:r>
            <w:r w:rsidR="001C2B88" w:rsidRPr="00A17559">
              <w:rPr>
                <w:spacing w:val="-3"/>
                <w:lang w:val="en-GB"/>
              </w:rPr>
              <w:t>.</w:t>
            </w:r>
            <w:r w:rsidR="00B43216" w:rsidRPr="00A17559">
              <w:rPr>
                <w:spacing w:val="-3"/>
                <w:lang w:val="en-GB"/>
              </w:rPr>
              <w:t>4 p.</w:t>
            </w:r>
            <w:r w:rsidR="001C2B88" w:rsidRPr="00A17559">
              <w:rPr>
                <w:spacing w:val="-3"/>
                <w:lang w:val="en-GB"/>
              </w:rPr>
              <w:t>p</w:t>
            </w:r>
            <w:r w:rsidR="00B43216" w:rsidRPr="00A17559">
              <w:rPr>
                <w:spacing w:val="-3"/>
                <w:lang w:val="en-GB"/>
              </w:rPr>
              <w:t>. Po</w:t>
            </w:r>
            <w:r w:rsidR="007B27AE" w:rsidRPr="00A17559">
              <w:rPr>
                <w:spacing w:val="-3"/>
                <w:lang w:val="en-GB"/>
              </w:rPr>
              <w:t>sitively, the number of long-term unemployed (above one year) also decreased, however already only by 2.7 thousand of persons in Q</w:t>
            </w:r>
            <w:r w:rsidR="00B43216" w:rsidRPr="00A17559">
              <w:rPr>
                <w:spacing w:val="-3"/>
                <w:lang w:val="en-GB"/>
              </w:rPr>
              <w:t>2</w:t>
            </w:r>
            <w:r w:rsidR="007B27AE" w:rsidRPr="00A17559">
              <w:rPr>
                <w:spacing w:val="-3"/>
                <w:lang w:val="en-GB"/>
              </w:rPr>
              <w:t xml:space="preserve"> itself</w:t>
            </w:r>
            <w:r w:rsidR="00B43216" w:rsidRPr="00A17559">
              <w:rPr>
                <w:spacing w:val="-3"/>
                <w:lang w:val="en-GB"/>
              </w:rPr>
              <w:t>.</w:t>
            </w:r>
            <w:r w:rsidR="007B27AE" w:rsidRPr="00A17559">
              <w:rPr>
                <w:spacing w:val="-3"/>
                <w:lang w:val="en-GB"/>
              </w:rPr>
              <w:t xml:space="preserve"> These persons thus added only one sixth to the year-on-year reduction of total unemployment. They were represented among unemployed then only by one third and this share has not changed for nearly two years. </w:t>
            </w:r>
            <w:r w:rsidR="00240ADA" w:rsidRPr="00A17559">
              <w:rPr>
                <w:spacing w:val="-3"/>
                <w:lang w:val="en-GB"/>
              </w:rPr>
              <w:t xml:space="preserve">Persons aged above </w:t>
            </w:r>
            <w:r w:rsidR="00B43216" w:rsidRPr="00A17559">
              <w:rPr>
                <w:spacing w:val="-3"/>
                <w:lang w:val="en-GB"/>
              </w:rPr>
              <w:t>50</w:t>
            </w:r>
            <w:r w:rsidR="00240ADA" w:rsidRPr="00A17559">
              <w:rPr>
                <w:spacing w:val="-3"/>
                <w:lang w:val="en-GB"/>
              </w:rPr>
              <w:t xml:space="preserve"> and also persons with primary education hold higher proportion among long-term unemployed</w:t>
            </w:r>
            <w:r w:rsidR="00B43216" w:rsidRPr="00A17559">
              <w:rPr>
                <w:spacing w:val="-3"/>
                <w:lang w:val="en-GB"/>
              </w:rPr>
              <w:t xml:space="preserve">. </w:t>
            </w:r>
            <w:r w:rsidR="00D218B6" w:rsidRPr="00A17559">
              <w:rPr>
                <w:spacing w:val="-3"/>
                <w:lang w:val="en-GB"/>
              </w:rPr>
              <w:t xml:space="preserve">Even though the number of businesses expecting reduction of the level of employees mildly increased during this year, it can be assumed, that the labour </w:t>
            </w:r>
            <w:r w:rsidR="00D218B6" w:rsidRPr="00A17559">
              <w:rPr>
                <w:spacing w:val="-3"/>
                <w:lang w:val="en-GB"/>
              </w:rPr>
              <w:lastRenderedPageBreak/>
              <w:t xml:space="preserve">market managed to again absorb these so far sparse groups of dismissed employees without difficulties. </w:t>
            </w:r>
            <w:r w:rsidR="00DC75F3" w:rsidRPr="00A17559">
              <w:rPr>
                <w:spacing w:val="-3"/>
                <w:lang w:val="en-GB"/>
              </w:rPr>
              <w:t xml:space="preserve">Very low unemployment is also manifested in the improved working conditions of current employees </w:t>
            </w:r>
            <w:r w:rsidR="00B43216" w:rsidRPr="00A17559">
              <w:rPr>
                <w:spacing w:val="-3"/>
                <w:lang w:val="en-GB"/>
              </w:rPr>
              <w:t>(</w:t>
            </w:r>
            <w:r w:rsidR="00DC75F3" w:rsidRPr="00A17559">
              <w:rPr>
                <w:spacing w:val="-3"/>
                <w:lang w:val="en-GB"/>
              </w:rPr>
              <w:t xml:space="preserve">e.g. </w:t>
            </w:r>
            <w:r w:rsidR="00D218B6" w:rsidRPr="00A17559">
              <w:rPr>
                <w:spacing w:val="-3"/>
                <w:lang w:val="en-GB"/>
              </w:rPr>
              <w:t>drop of share of employees working involuntarily on temporary contract, specifically for agency workers as well</w:t>
            </w:r>
            <w:r w:rsidR="00B43216" w:rsidRPr="00A17559">
              <w:rPr>
                <w:spacing w:val="-3"/>
                <w:lang w:val="en-GB"/>
              </w:rPr>
              <w:t xml:space="preserve">). </w:t>
            </w:r>
            <w:r w:rsidRPr="00A17559">
              <w:rPr>
                <w:spacing w:val="-3"/>
                <w:lang w:val="en-GB"/>
              </w:rPr>
              <w:t xml:space="preserve">Unemployment rate of both males and females in the CR boasted the lowest values among the EU countries this as well as last year. Unemployment was falling to the minimum (since the beginning of 90s) the same as in the CR also for instance in other countries of the </w:t>
            </w:r>
            <w:r w:rsidR="008A2E4C">
              <w:rPr>
                <w:spacing w:val="-3"/>
                <w:lang w:val="en-GB"/>
              </w:rPr>
              <w:t>“</w:t>
            </w:r>
            <w:r w:rsidRPr="00A17559">
              <w:rPr>
                <w:spacing w:val="-3"/>
                <w:lang w:val="en-GB"/>
              </w:rPr>
              <w:t>Visegrad Group</w:t>
            </w:r>
            <w:r w:rsidR="008A2E4C">
              <w:rPr>
                <w:spacing w:val="-3"/>
                <w:lang w:val="en-GB"/>
              </w:rPr>
              <w:t>”</w:t>
            </w:r>
            <w:r w:rsidRPr="00A17559">
              <w:rPr>
                <w:spacing w:val="-3"/>
                <w:lang w:val="en-GB"/>
              </w:rPr>
              <w:t xml:space="preserve">. </w:t>
            </w:r>
          </w:p>
        </w:tc>
      </w:tr>
      <w:tr w:rsidR="00B43216" w:rsidRPr="00A17559" w:rsidTr="00B43216">
        <w:trPr>
          <w:trHeight w:val="155"/>
        </w:trPr>
        <w:tc>
          <w:tcPr>
            <w:tcW w:w="1790" w:type="dxa"/>
            <w:vMerge w:val="restart"/>
            <w:shd w:val="clear" w:color="auto" w:fill="auto"/>
            <w:tcMar>
              <w:left w:w="0" w:type="dxa"/>
            </w:tcMar>
          </w:tcPr>
          <w:p w:rsidR="00B43216" w:rsidRPr="00A17559" w:rsidRDefault="00B43216" w:rsidP="00B43216">
            <w:pPr>
              <w:pStyle w:val="Marginlie"/>
              <w:rPr>
                <w:spacing w:val="-4"/>
                <w:lang w:val="en-GB"/>
              </w:rPr>
            </w:pPr>
          </w:p>
        </w:tc>
        <w:tc>
          <w:tcPr>
            <w:tcW w:w="216" w:type="dxa"/>
            <w:vMerge w:val="restart"/>
            <w:shd w:val="clear" w:color="auto" w:fill="auto"/>
            <w:tcMar>
              <w:left w:w="0" w:type="dxa"/>
            </w:tcMar>
          </w:tcPr>
          <w:p w:rsidR="00B43216" w:rsidRPr="00A17559" w:rsidRDefault="00B43216" w:rsidP="00B43216">
            <w:pPr>
              <w:pStyle w:val="Textpoznpodarou"/>
              <w:jc w:val="both"/>
              <w:rPr>
                <w:spacing w:val="-4"/>
                <w:lang w:val="en-GB"/>
              </w:rPr>
            </w:pPr>
          </w:p>
        </w:tc>
        <w:tc>
          <w:tcPr>
            <w:tcW w:w="7648" w:type="dxa"/>
            <w:shd w:val="clear" w:color="auto" w:fill="auto"/>
            <w:tcMar>
              <w:left w:w="0" w:type="dxa"/>
            </w:tcMar>
          </w:tcPr>
          <w:p w:rsidR="00B43216" w:rsidRPr="00A17559" w:rsidRDefault="00F6393F" w:rsidP="00D218B6">
            <w:pPr>
              <w:spacing w:after="0"/>
              <w:rPr>
                <w:spacing w:val="-4"/>
                <w:lang w:val="en-GB"/>
              </w:rPr>
            </w:pPr>
            <w:r w:rsidRPr="00A17559">
              <w:rPr>
                <w:b/>
                <w:spacing w:val="-2"/>
                <w:lang w:val="en-GB"/>
              </w:rPr>
              <w:t xml:space="preserve">Chart </w:t>
            </w:r>
            <w:r w:rsidR="008A394E" w:rsidRPr="00A17559">
              <w:rPr>
                <w:b/>
                <w:spacing w:val="-2"/>
                <w:lang w:val="en-GB"/>
              </w:rPr>
              <w:t>14</w:t>
            </w:r>
            <w:r w:rsidR="00B43216" w:rsidRPr="00A17559">
              <w:rPr>
                <w:b/>
                <w:spacing w:val="-2"/>
                <w:lang w:val="en-GB"/>
              </w:rPr>
              <w:t xml:space="preserve">  </w:t>
            </w:r>
            <w:r w:rsidR="00D218B6" w:rsidRPr="00A17559">
              <w:rPr>
                <w:b/>
                <w:spacing w:val="-2"/>
                <w:lang w:val="en-GB"/>
              </w:rPr>
              <w:t xml:space="preserve">General unemployment rate for persons aged </w:t>
            </w:r>
            <w:r w:rsidR="00B43216" w:rsidRPr="00A17559">
              <w:rPr>
                <w:rFonts w:cs="Arial"/>
                <w:b/>
                <w:bCs/>
                <w:spacing w:val="-2"/>
                <w:lang w:val="en-GB"/>
              </w:rPr>
              <w:t xml:space="preserve">15 </w:t>
            </w:r>
            <w:r w:rsidR="00D218B6" w:rsidRPr="00A17559">
              <w:rPr>
                <w:rFonts w:cs="Arial"/>
                <w:b/>
                <w:bCs/>
                <w:spacing w:val="-2"/>
                <w:lang w:val="en-GB"/>
              </w:rPr>
              <w:t xml:space="preserve">to </w:t>
            </w:r>
            <w:r w:rsidR="00B43216" w:rsidRPr="00A17559">
              <w:rPr>
                <w:rFonts w:cs="Arial"/>
                <w:b/>
                <w:bCs/>
                <w:spacing w:val="-2"/>
                <w:lang w:val="en-GB"/>
              </w:rPr>
              <w:t>74 </w:t>
            </w:r>
            <w:r w:rsidR="00D218B6" w:rsidRPr="00A17559">
              <w:rPr>
                <w:rFonts w:cs="Arial"/>
                <w:b/>
                <w:bCs/>
                <w:spacing w:val="-2"/>
                <w:lang w:val="en-GB"/>
              </w:rPr>
              <w:t xml:space="preserve">years in the CR, total EU and selected Union countries </w:t>
            </w:r>
            <w:r w:rsidR="00B43216" w:rsidRPr="00A17559">
              <w:rPr>
                <w:rFonts w:cs="Arial"/>
                <w:bCs/>
                <w:spacing w:val="-2"/>
                <w:lang w:val="en-GB"/>
              </w:rPr>
              <w:t>(</w:t>
            </w:r>
            <w:r w:rsidR="00D218B6" w:rsidRPr="00A17559">
              <w:rPr>
                <w:rFonts w:cs="Arial"/>
                <w:bCs/>
                <w:spacing w:val="-2"/>
                <w:lang w:val="en-GB"/>
              </w:rPr>
              <w:t>in</w:t>
            </w:r>
            <w:r w:rsidR="00B43216" w:rsidRPr="00A17559">
              <w:rPr>
                <w:rFonts w:cs="Arial"/>
                <w:bCs/>
                <w:spacing w:val="-2"/>
                <w:lang w:val="en-GB"/>
              </w:rPr>
              <w:t> %)</w:t>
            </w:r>
            <w:r w:rsidR="00B43216" w:rsidRPr="00A17559">
              <w:rPr>
                <w:rFonts w:cs="Arial"/>
                <w:b/>
                <w:bCs/>
                <w:spacing w:val="-2"/>
                <w:lang w:val="en-GB"/>
              </w:rPr>
              <w:t>*</w:t>
            </w:r>
          </w:p>
        </w:tc>
      </w:tr>
      <w:tr w:rsidR="00B43216" w:rsidRPr="00A17559" w:rsidTr="008E1268">
        <w:tblPrEx>
          <w:tblCellMar>
            <w:left w:w="70" w:type="dxa"/>
            <w:right w:w="70" w:type="dxa"/>
          </w:tblCellMar>
        </w:tblPrEx>
        <w:trPr>
          <w:trHeight w:val="155"/>
        </w:trPr>
        <w:tc>
          <w:tcPr>
            <w:tcW w:w="1790" w:type="dxa"/>
            <w:vMerge/>
            <w:shd w:val="clear" w:color="auto" w:fill="auto"/>
          </w:tcPr>
          <w:p w:rsidR="00B43216" w:rsidRPr="00A17559" w:rsidRDefault="00B43216" w:rsidP="00B43216">
            <w:pPr>
              <w:pStyle w:val="Marginlie"/>
              <w:rPr>
                <w:spacing w:val="-4"/>
                <w:lang w:val="en-GB"/>
              </w:rPr>
            </w:pPr>
          </w:p>
        </w:tc>
        <w:tc>
          <w:tcPr>
            <w:tcW w:w="216" w:type="dxa"/>
            <w:vMerge/>
            <w:shd w:val="clear" w:color="auto" w:fill="auto"/>
          </w:tcPr>
          <w:p w:rsidR="00B43216" w:rsidRPr="00A17559" w:rsidRDefault="00B43216" w:rsidP="00B43216">
            <w:pPr>
              <w:pStyle w:val="Textpoznpodarou"/>
              <w:jc w:val="both"/>
              <w:rPr>
                <w:spacing w:val="-4"/>
                <w:lang w:val="en-GB"/>
              </w:rPr>
            </w:pPr>
          </w:p>
        </w:tc>
        <w:tc>
          <w:tcPr>
            <w:tcW w:w="7648" w:type="dxa"/>
            <w:shd w:val="clear" w:color="auto" w:fill="auto"/>
          </w:tcPr>
          <w:p w:rsidR="00B43216" w:rsidRPr="00A17559" w:rsidRDefault="008E1268" w:rsidP="00B43216">
            <w:pPr>
              <w:spacing w:after="0"/>
              <w:rPr>
                <w:spacing w:val="-4"/>
                <w:lang w:val="en-GB"/>
              </w:rPr>
            </w:pPr>
            <w:r>
              <w:rPr>
                <w:noProof/>
              </w:rPr>
              <w:drawing>
                <wp:inline distT="0" distB="0" distL="0" distR="0" wp14:anchorId="4AF2B27D" wp14:editId="78497B91">
                  <wp:extent cx="4751705" cy="3435607"/>
                  <wp:effectExtent l="0" t="0" r="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B43216" w:rsidRPr="00A17559" w:rsidTr="00B43216">
        <w:trPr>
          <w:trHeight w:val="155"/>
        </w:trPr>
        <w:tc>
          <w:tcPr>
            <w:tcW w:w="1790" w:type="dxa"/>
            <w:vMerge/>
            <w:shd w:val="clear" w:color="auto" w:fill="auto"/>
            <w:tcMar>
              <w:left w:w="0" w:type="dxa"/>
            </w:tcMar>
          </w:tcPr>
          <w:p w:rsidR="00B43216" w:rsidRPr="00A17559" w:rsidRDefault="00B43216" w:rsidP="00B43216">
            <w:pPr>
              <w:pStyle w:val="Marginlie"/>
              <w:rPr>
                <w:spacing w:val="-4"/>
                <w:lang w:val="en-GB"/>
              </w:rPr>
            </w:pPr>
          </w:p>
        </w:tc>
        <w:tc>
          <w:tcPr>
            <w:tcW w:w="216" w:type="dxa"/>
            <w:vMerge/>
            <w:shd w:val="clear" w:color="auto" w:fill="auto"/>
            <w:tcMar>
              <w:left w:w="0" w:type="dxa"/>
            </w:tcMar>
          </w:tcPr>
          <w:p w:rsidR="00B43216" w:rsidRPr="00A17559" w:rsidRDefault="00B43216" w:rsidP="00B43216">
            <w:pPr>
              <w:pStyle w:val="Textpoznpodarou"/>
              <w:jc w:val="both"/>
              <w:rPr>
                <w:spacing w:val="-4"/>
                <w:lang w:val="en-GB"/>
              </w:rPr>
            </w:pPr>
          </w:p>
        </w:tc>
        <w:tc>
          <w:tcPr>
            <w:tcW w:w="7648" w:type="dxa"/>
            <w:shd w:val="clear" w:color="auto" w:fill="auto"/>
            <w:tcMar>
              <w:left w:w="0" w:type="dxa"/>
            </w:tcMar>
          </w:tcPr>
          <w:p w:rsidR="00D218B6" w:rsidRPr="008E1268" w:rsidRDefault="00AD4C32" w:rsidP="00155B6D">
            <w:pPr>
              <w:spacing w:after="180"/>
              <w:rPr>
                <w:rFonts w:cs="Arial"/>
                <w:color w:val="0D0D0D" w:themeColor="text1" w:themeTint="F2"/>
                <w:sz w:val="14"/>
                <w:szCs w:val="14"/>
                <w:lang w:val="en-GB"/>
              </w:rPr>
            </w:pPr>
            <w:r w:rsidRPr="00A17559">
              <w:rPr>
                <w:rFonts w:cs="Arial"/>
                <w:color w:val="0D0D0D" w:themeColor="text1" w:themeTint="F2"/>
                <w:sz w:val="14"/>
                <w:szCs w:val="14"/>
                <w:lang w:val="en-GB"/>
              </w:rPr>
              <w:t xml:space="preserve">*Data after seasonal adjustment. </w:t>
            </w:r>
            <w:r w:rsidR="00B43216" w:rsidRPr="00A17559">
              <w:rPr>
                <w:rFonts w:cs="Arial"/>
                <w:color w:val="0D0D0D" w:themeColor="text1" w:themeTint="F2"/>
                <w:sz w:val="14"/>
                <w:szCs w:val="14"/>
                <w:lang w:val="en-GB"/>
              </w:rPr>
              <w:t xml:space="preserve">                                                                                                                    </w:t>
            </w:r>
            <w:r w:rsidRPr="00A17559">
              <w:rPr>
                <w:rFonts w:cs="Arial"/>
                <w:color w:val="0D0D0D" w:themeColor="text1" w:themeTint="F2"/>
                <w:sz w:val="14"/>
                <w:szCs w:val="14"/>
                <w:lang w:val="en-GB"/>
              </w:rPr>
              <w:t>Source</w:t>
            </w:r>
            <w:r w:rsidR="008E1268">
              <w:rPr>
                <w:rFonts w:cs="Arial"/>
                <w:color w:val="0D0D0D" w:themeColor="text1" w:themeTint="F2"/>
                <w:sz w:val="14"/>
                <w:szCs w:val="14"/>
                <w:lang w:val="en-GB"/>
              </w:rPr>
              <w:t>: Eurostat</w:t>
            </w:r>
          </w:p>
        </w:tc>
      </w:tr>
      <w:tr w:rsidR="00155B6D" w:rsidRPr="00A17559" w:rsidTr="00B43216">
        <w:trPr>
          <w:trHeight w:val="145"/>
        </w:trPr>
        <w:tc>
          <w:tcPr>
            <w:tcW w:w="1790" w:type="dxa"/>
            <w:shd w:val="clear" w:color="auto" w:fill="auto"/>
            <w:tcMar>
              <w:left w:w="0" w:type="dxa"/>
            </w:tcMar>
          </w:tcPr>
          <w:p w:rsidR="00155B6D" w:rsidRPr="00A17559" w:rsidRDefault="00155B6D" w:rsidP="00155B6D">
            <w:pPr>
              <w:pStyle w:val="Marginlie"/>
              <w:rPr>
                <w:lang w:val="en-GB"/>
              </w:rPr>
            </w:pPr>
            <w:r w:rsidRPr="00A17559">
              <w:rPr>
                <w:lang w:val="en-GB"/>
              </w:rPr>
              <w:t>Number of job vacancies in the supply of labour offices neared 350 thousand, their rate of growth however slackened substantially since t</w:t>
            </w:r>
            <w:r>
              <w:rPr>
                <w:lang w:val="en-GB"/>
              </w:rPr>
              <w:t>he half of</w:t>
            </w:r>
            <w:r w:rsidRPr="00A17559">
              <w:rPr>
                <w:lang w:val="en-GB"/>
              </w:rPr>
              <w:t xml:space="preserve"> 2018.  </w:t>
            </w:r>
          </w:p>
          <w:p w:rsidR="00155B6D" w:rsidRDefault="00155B6D" w:rsidP="00B43216">
            <w:pPr>
              <w:pStyle w:val="Marginlie"/>
              <w:rPr>
                <w:lang w:val="en-GB"/>
              </w:rPr>
            </w:pPr>
          </w:p>
          <w:p w:rsidR="00155B6D" w:rsidRDefault="00155B6D" w:rsidP="00B43216">
            <w:pPr>
              <w:pStyle w:val="Marginlie"/>
              <w:rPr>
                <w:lang w:val="en-GB"/>
              </w:rPr>
            </w:pPr>
          </w:p>
          <w:p w:rsidR="00155B6D" w:rsidRDefault="00155B6D" w:rsidP="00B43216">
            <w:pPr>
              <w:pStyle w:val="Marginlie"/>
              <w:rPr>
                <w:lang w:val="en-GB"/>
              </w:rPr>
            </w:pPr>
          </w:p>
          <w:p w:rsidR="00155B6D" w:rsidRPr="00A17559" w:rsidRDefault="00155B6D" w:rsidP="00155B6D">
            <w:pPr>
              <w:pStyle w:val="Marginlie"/>
              <w:rPr>
                <w:lang w:val="en-GB"/>
              </w:rPr>
            </w:pPr>
            <w:r w:rsidRPr="00A17559">
              <w:rPr>
                <w:lang w:val="en-GB"/>
              </w:rPr>
              <w:t>New job vacancies targeted primarily per</w:t>
            </w:r>
            <w:r>
              <w:rPr>
                <w:lang w:val="en-GB"/>
              </w:rPr>
              <w:t>sons with lowest qualification.</w:t>
            </w:r>
          </w:p>
        </w:tc>
        <w:tc>
          <w:tcPr>
            <w:tcW w:w="216" w:type="dxa"/>
            <w:shd w:val="clear" w:color="auto" w:fill="auto"/>
            <w:tcMar>
              <w:left w:w="0" w:type="dxa"/>
            </w:tcMar>
          </w:tcPr>
          <w:p w:rsidR="00155B6D" w:rsidRPr="00A17559" w:rsidRDefault="00155B6D" w:rsidP="00B43216">
            <w:pPr>
              <w:pStyle w:val="Textpoznpodarou"/>
              <w:jc w:val="both"/>
              <w:rPr>
                <w:spacing w:val="-4"/>
                <w:lang w:val="en-GB"/>
              </w:rPr>
            </w:pPr>
          </w:p>
        </w:tc>
        <w:tc>
          <w:tcPr>
            <w:tcW w:w="7648" w:type="dxa"/>
            <w:shd w:val="clear" w:color="auto" w:fill="auto"/>
            <w:tcMar>
              <w:left w:w="0" w:type="dxa"/>
            </w:tcMar>
          </w:tcPr>
          <w:p w:rsidR="00155B6D" w:rsidRPr="00A17559" w:rsidRDefault="00155B6D" w:rsidP="00155B6D">
            <w:pPr>
              <w:spacing w:after="200"/>
              <w:rPr>
                <w:spacing w:val="-4"/>
                <w:lang w:val="en-GB"/>
              </w:rPr>
            </w:pPr>
            <w:r w:rsidRPr="00A17559">
              <w:rPr>
                <w:spacing w:val="-4"/>
                <w:lang w:val="en-GB"/>
              </w:rPr>
              <w:t>High demand for employees is evident from the rising number of job vacancies offered by the labour offices. There were 342.5 thousand of job vacancies at the end of June</w:t>
            </w:r>
            <w:r>
              <w:rPr>
                <w:spacing w:val="-4"/>
                <w:lang w:val="en-GB"/>
              </w:rPr>
              <w:t xml:space="preserve"> 2019</w:t>
            </w:r>
            <w:r w:rsidRPr="00A17559">
              <w:rPr>
                <w:spacing w:val="-4"/>
                <w:lang w:val="en-GB"/>
              </w:rPr>
              <w:t xml:space="preserve">, by 41 thousand more year-on-year. Speed of growth of number of positions however considerably slackened for the last year, their number even slightly lowered month-on-month in June (for the first time since the end of </w:t>
            </w:r>
            <w:r w:rsidRPr="00A17559">
              <w:rPr>
                <w:rFonts w:cs="Arial"/>
                <w:color w:val="0D0D0D" w:themeColor="text1" w:themeTint="F2"/>
                <w:spacing w:val="-4"/>
                <w:lang w:val="en-GB"/>
              </w:rPr>
              <w:t>2016). Dramatic imbalance of the job additions from the view of the qualification demands as well as regions attained already in the previous years further deepened, when the supply of new positions likely for the most part aimed at foreign workers from economically less developed countries. Already 77% of all job vacancies bel</w:t>
            </w:r>
            <w:r>
              <w:rPr>
                <w:rFonts w:cs="Arial"/>
                <w:color w:val="0D0D0D" w:themeColor="text1" w:themeTint="F2"/>
                <w:spacing w:val="-4"/>
                <w:lang w:val="en-GB"/>
              </w:rPr>
              <w:t>onged to classes with the low</w:t>
            </w:r>
            <w:r w:rsidRPr="00A17559">
              <w:rPr>
                <w:rFonts w:cs="Arial"/>
                <w:color w:val="0D0D0D" w:themeColor="text1" w:themeTint="F2"/>
                <w:spacing w:val="-4"/>
                <w:lang w:val="en-GB"/>
              </w:rPr>
              <w:t xml:space="preserve"> qualification (craftsmen and repairmen, machine operators, supporting and non-qualified staff). Similarly 69% of all jobs targeted applicants with maximally the primary </w:t>
            </w:r>
            <w:r>
              <w:rPr>
                <w:rFonts w:cs="Arial"/>
                <w:color w:val="0D0D0D" w:themeColor="text1" w:themeTint="F2"/>
                <w:spacing w:val="-4"/>
                <w:lang w:val="en-GB"/>
              </w:rPr>
              <w:t xml:space="preserve">or lower secondary </w:t>
            </w:r>
            <w:r w:rsidRPr="00A17559">
              <w:rPr>
                <w:rFonts w:cs="Arial"/>
                <w:color w:val="0D0D0D" w:themeColor="text1" w:themeTint="F2"/>
                <w:spacing w:val="-4"/>
                <w:lang w:val="en-GB"/>
              </w:rPr>
              <w:t>education, 20% then apprentices.</w:t>
            </w:r>
            <w:r>
              <w:rPr>
                <w:rFonts w:cs="Arial"/>
                <w:color w:val="0D0D0D" w:themeColor="text1" w:themeTint="F2"/>
                <w:spacing w:val="-4"/>
                <w:lang w:val="en-GB"/>
              </w:rPr>
              <w:t xml:space="preserve"> On the other hand </w:t>
            </w:r>
            <w:r w:rsidRPr="00A17559">
              <w:rPr>
                <w:lang w:val="en-GB"/>
              </w:rPr>
              <w:t>only minimum shift was observed in the supply for persons with higher education, but also e.g.</w:t>
            </w:r>
            <w:r>
              <w:rPr>
                <w:lang w:val="en-GB"/>
              </w:rPr>
              <w:t xml:space="preserve"> for persons with disabilities.</w:t>
            </w:r>
          </w:p>
        </w:tc>
      </w:tr>
      <w:tr w:rsidR="00B43216" w:rsidRPr="00A17559" w:rsidTr="00B43216">
        <w:trPr>
          <w:trHeight w:val="145"/>
        </w:trPr>
        <w:tc>
          <w:tcPr>
            <w:tcW w:w="1790" w:type="dxa"/>
            <w:shd w:val="clear" w:color="auto" w:fill="auto"/>
            <w:tcMar>
              <w:left w:w="0" w:type="dxa"/>
            </w:tcMar>
          </w:tcPr>
          <w:p w:rsidR="00B43216" w:rsidRPr="00A17559" w:rsidRDefault="00155B6D" w:rsidP="00D44896">
            <w:pPr>
              <w:pStyle w:val="Marginlie"/>
              <w:rPr>
                <w:spacing w:val="-4"/>
                <w:lang w:val="en-GB"/>
              </w:rPr>
            </w:pPr>
            <w:r w:rsidRPr="00A17559">
              <w:rPr>
                <w:rFonts w:cs="Arial"/>
                <w:color w:val="0D0D0D" w:themeColor="text1" w:themeTint="F2"/>
                <w:spacing w:val="-4"/>
                <w:lang w:val="en-GB"/>
              </w:rPr>
              <w:t xml:space="preserve">Excess of demand over supply of labour force, which has been apparent at the level of the CR </w:t>
            </w:r>
            <w:r>
              <w:rPr>
                <w:rFonts w:cs="Arial"/>
                <w:color w:val="0D0D0D" w:themeColor="text1" w:themeTint="F2"/>
                <w:spacing w:val="-4"/>
                <w:lang w:val="en-GB"/>
              </w:rPr>
              <w:t>already since April 2018.</w:t>
            </w:r>
          </w:p>
        </w:tc>
        <w:tc>
          <w:tcPr>
            <w:tcW w:w="216" w:type="dxa"/>
            <w:shd w:val="clear" w:color="auto" w:fill="auto"/>
            <w:tcMar>
              <w:left w:w="0" w:type="dxa"/>
            </w:tcMar>
          </w:tcPr>
          <w:p w:rsidR="00B43216" w:rsidRPr="00A17559" w:rsidRDefault="00B43216" w:rsidP="00B43216">
            <w:pPr>
              <w:pStyle w:val="Textpoznpodarou"/>
              <w:jc w:val="both"/>
              <w:rPr>
                <w:spacing w:val="-4"/>
                <w:lang w:val="en-GB"/>
              </w:rPr>
            </w:pPr>
          </w:p>
        </w:tc>
        <w:tc>
          <w:tcPr>
            <w:tcW w:w="7648" w:type="dxa"/>
            <w:shd w:val="clear" w:color="auto" w:fill="auto"/>
            <w:tcMar>
              <w:left w:w="0" w:type="dxa"/>
            </w:tcMar>
          </w:tcPr>
          <w:p w:rsidR="00D70A58" w:rsidRPr="00A17559" w:rsidRDefault="006965F5" w:rsidP="00D70A58">
            <w:pPr>
              <w:spacing w:after="400"/>
              <w:rPr>
                <w:spacing w:val="-4"/>
                <w:lang w:val="en-GB"/>
              </w:rPr>
            </w:pPr>
            <w:r w:rsidRPr="00A17559">
              <w:rPr>
                <w:rFonts w:cs="Arial"/>
                <w:color w:val="0D0D0D" w:themeColor="text1" w:themeTint="F2"/>
                <w:spacing w:val="-4"/>
                <w:lang w:val="en-GB"/>
              </w:rPr>
              <w:t xml:space="preserve">Ratio of job applicants to one job vacancy was </w:t>
            </w:r>
            <w:r w:rsidR="00B43216" w:rsidRPr="00A17559">
              <w:rPr>
                <w:rFonts w:cs="Arial"/>
                <w:color w:val="0D0D0D" w:themeColor="text1" w:themeTint="F2"/>
                <w:spacing w:val="-4"/>
                <w:lang w:val="en-GB"/>
              </w:rPr>
              <w:t>0</w:t>
            </w:r>
            <w:r w:rsidRPr="00A17559">
              <w:rPr>
                <w:rFonts w:cs="Arial"/>
                <w:color w:val="0D0D0D" w:themeColor="text1" w:themeTint="F2"/>
                <w:spacing w:val="-4"/>
                <w:lang w:val="en-GB"/>
              </w:rPr>
              <w:t>.</w:t>
            </w:r>
            <w:r w:rsidR="00B43216" w:rsidRPr="00A17559">
              <w:rPr>
                <w:rFonts w:cs="Arial"/>
                <w:color w:val="0D0D0D" w:themeColor="text1" w:themeTint="F2"/>
                <w:spacing w:val="-4"/>
                <w:lang w:val="en-GB"/>
              </w:rPr>
              <w:t>6</w:t>
            </w:r>
            <w:r w:rsidRPr="00A17559">
              <w:rPr>
                <w:rFonts w:cs="Arial"/>
                <w:color w:val="0D0D0D" w:themeColor="text1" w:themeTint="F2"/>
                <w:spacing w:val="-4"/>
                <w:lang w:val="en-GB"/>
              </w:rPr>
              <w:t>. Excess of demand over supply of labour force, which has been apparent at the level of the CR already since last year´s April, was signalle</w:t>
            </w:r>
            <w:r w:rsidR="00C16B15">
              <w:rPr>
                <w:rFonts w:cs="Arial"/>
                <w:color w:val="0D0D0D" w:themeColor="text1" w:themeTint="F2"/>
                <w:spacing w:val="-4"/>
                <w:lang w:val="en-GB"/>
              </w:rPr>
              <w:t>d by two thirds of district</w:t>
            </w:r>
            <w:r w:rsidRPr="00A17559">
              <w:rPr>
                <w:rFonts w:cs="Arial"/>
                <w:color w:val="0D0D0D" w:themeColor="text1" w:themeTint="F2"/>
                <w:spacing w:val="-4"/>
                <w:lang w:val="en-GB"/>
              </w:rPr>
              <w:t xml:space="preserve">s and majority of regions </w:t>
            </w:r>
            <w:r w:rsidR="00B43216" w:rsidRPr="00A17559">
              <w:rPr>
                <w:spacing w:val="-4"/>
                <w:lang w:val="en-GB"/>
              </w:rPr>
              <w:t>(</w:t>
            </w:r>
            <w:r w:rsidR="00D44896" w:rsidRPr="00A17559">
              <w:rPr>
                <w:spacing w:val="-4"/>
                <w:lang w:val="en-GB"/>
              </w:rPr>
              <w:t xml:space="preserve">apart from Ustecky and Moravian Silesian) in June this year. </w:t>
            </w:r>
            <w:r w:rsidR="006C4CDD" w:rsidRPr="00A17559">
              <w:rPr>
                <w:spacing w:val="-4"/>
                <w:lang w:val="en-GB"/>
              </w:rPr>
              <w:t xml:space="preserve">Excess pressure of applicants nevertheless still prevails for persons with the school leaving certificate </w:t>
            </w:r>
            <w:r w:rsidR="00B43216" w:rsidRPr="00A17559">
              <w:rPr>
                <w:spacing w:val="-4"/>
                <w:lang w:val="en-GB"/>
              </w:rPr>
              <w:t>(1</w:t>
            </w:r>
            <w:r w:rsidR="006C4CDD" w:rsidRPr="00A17559">
              <w:rPr>
                <w:spacing w:val="-4"/>
                <w:lang w:val="en-GB"/>
              </w:rPr>
              <w:t>.</w:t>
            </w:r>
            <w:r w:rsidR="00B43216" w:rsidRPr="00A17559">
              <w:rPr>
                <w:spacing w:val="-4"/>
                <w:lang w:val="en-GB"/>
              </w:rPr>
              <w:t xml:space="preserve">9) </w:t>
            </w:r>
            <w:r w:rsidR="006C4CDD" w:rsidRPr="00A17559">
              <w:rPr>
                <w:spacing w:val="-4"/>
                <w:lang w:val="en-GB"/>
              </w:rPr>
              <w:t xml:space="preserve">and university education </w:t>
            </w:r>
            <w:r w:rsidR="00B43216" w:rsidRPr="00A17559">
              <w:rPr>
                <w:spacing w:val="-4"/>
                <w:lang w:val="en-GB"/>
              </w:rPr>
              <w:t>(1</w:t>
            </w:r>
            <w:r w:rsidR="006C4CDD" w:rsidRPr="00A17559">
              <w:rPr>
                <w:spacing w:val="-4"/>
                <w:lang w:val="en-GB"/>
              </w:rPr>
              <w:t>.</w:t>
            </w:r>
            <w:r w:rsidR="00B43216" w:rsidRPr="00A17559">
              <w:rPr>
                <w:spacing w:val="-4"/>
                <w:lang w:val="en-GB"/>
              </w:rPr>
              <w:t>3) a</w:t>
            </w:r>
            <w:r w:rsidR="006C4CDD" w:rsidRPr="00A17559">
              <w:rPr>
                <w:spacing w:val="-4"/>
                <w:lang w:val="en-GB"/>
              </w:rPr>
              <w:t xml:space="preserve">nd for specific groups of applicants </w:t>
            </w:r>
            <w:r w:rsidR="00B43216" w:rsidRPr="00A17559">
              <w:rPr>
                <w:spacing w:val="-4"/>
                <w:lang w:val="en-GB"/>
              </w:rPr>
              <w:t xml:space="preserve">– </w:t>
            </w:r>
            <w:r w:rsidR="006C4CDD" w:rsidRPr="00A17559">
              <w:rPr>
                <w:spacing w:val="-4"/>
                <w:lang w:val="en-GB"/>
              </w:rPr>
              <w:t xml:space="preserve">women on parental leave or </w:t>
            </w:r>
            <w:r w:rsidR="00373973" w:rsidRPr="00A17559">
              <w:rPr>
                <w:spacing w:val="-4"/>
                <w:lang w:val="en-GB"/>
              </w:rPr>
              <w:t>persons</w:t>
            </w:r>
            <w:r w:rsidR="006C4CDD" w:rsidRPr="00A17559">
              <w:rPr>
                <w:spacing w:val="-4"/>
                <w:lang w:val="en-GB"/>
              </w:rPr>
              <w:t xml:space="preserve"> with disabilities </w:t>
            </w:r>
            <w:r w:rsidR="00B43216" w:rsidRPr="00A17559">
              <w:rPr>
                <w:spacing w:val="-4"/>
                <w:lang w:val="en-GB"/>
              </w:rPr>
              <w:t>(2</w:t>
            </w:r>
            <w:r w:rsidR="006C4CDD" w:rsidRPr="00A17559">
              <w:rPr>
                <w:spacing w:val="-4"/>
                <w:lang w:val="en-GB"/>
              </w:rPr>
              <w:t>.</w:t>
            </w:r>
            <w:r w:rsidR="00B43216" w:rsidRPr="00A17559">
              <w:rPr>
                <w:spacing w:val="-4"/>
                <w:lang w:val="en-GB"/>
              </w:rPr>
              <w:t>7).</w:t>
            </w:r>
          </w:p>
        </w:tc>
      </w:tr>
      <w:tr w:rsidR="00B43216" w:rsidRPr="00A17559" w:rsidTr="00B43216">
        <w:trPr>
          <w:trHeight w:val="155"/>
        </w:trPr>
        <w:tc>
          <w:tcPr>
            <w:tcW w:w="1790" w:type="dxa"/>
            <w:vMerge w:val="restart"/>
            <w:shd w:val="clear" w:color="auto" w:fill="auto"/>
            <w:tcMar>
              <w:left w:w="0" w:type="dxa"/>
            </w:tcMar>
          </w:tcPr>
          <w:p w:rsidR="00B43216" w:rsidRPr="00A17559" w:rsidRDefault="00B43216" w:rsidP="00B43216">
            <w:pPr>
              <w:pStyle w:val="Marginlie"/>
              <w:rPr>
                <w:spacing w:val="-4"/>
                <w:lang w:val="en-GB"/>
              </w:rPr>
            </w:pPr>
          </w:p>
        </w:tc>
        <w:tc>
          <w:tcPr>
            <w:tcW w:w="216" w:type="dxa"/>
            <w:vMerge w:val="restart"/>
            <w:shd w:val="clear" w:color="auto" w:fill="auto"/>
            <w:tcMar>
              <w:left w:w="0" w:type="dxa"/>
            </w:tcMar>
          </w:tcPr>
          <w:p w:rsidR="00B43216" w:rsidRPr="00A17559" w:rsidRDefault="00B43216" w:rsidP="00B43216">
            <w:pPr>
              <w:pStyle w:val="Textpoznpodarou"/>
              <w:jc w:val="both"/>
              <w:rPr>
                <w:spacing w:val="-4"/>
                <w:lang w:val="en-GB"/>
              </w:rPr>
            </w:pPr>
          </w:p>
        </w:tc>
        <w:tc>
          <w:tcPr>
            <w:tcW w:w="7648" w:type="dxa"/>
            <w:shd w:val="clear" w:color="auto" w:fill="auto"/>
            <w:tcMar>
              <w:left w:w="0" w:type="dxa"/>
            </w:tcMar>
          </w:tcPr>
          <w:p w:rsidR="00B43216" w:rsidRPr="0001719F" w:rsidRDefault="006965F5" w:rsidP="008F7D34">
            <w:pPr>
              <w:spacing w:after="0"/>
              <w:rPr>
                <w:spacing w:val="-5"/>
                <w:lang w:val="en-GB"/>
              </w:rPr>
            </w:pPr>
            <w:r w:rsidRPr="0001719F">
              <w:rPr>
                <w:b/>
                <w:spacing w:val="-5"/>
                <w:lang w:val="en-GB"/>
              </w:rPr>
              <w:t xml:space="preserve">Chart </w:t>
            </w:r>
            <w:r w:rsidR="00E91301" w:rsidRPr="0001719F">
              <w:rPr>
                <w:b/>
                <w:spacing w:val="-5"/>
                <w:lang w:val="en-GB"/>
              </w:rPr>
              <w:t>15</w:t>
            </w:r>
            <w:r w:rsidR="008F7D34" w:rsidRPr="0001719F">
              <w:rPr>
                <w:b/>
                <w:spacing w:val="-5"/>
                <w:lang w:val="en-GB"/>
              </w:rPr>
              <w:t xml:space="preserve"> Average nominal and real wage and labour productivity</w:t>
            </w:r>
            <w:r w:rsidR="00B43216" w:rsidRPr="0001719F">
              <w:rPr>
                <w:b/>
                <w:spacing w:val="-5"/>
                <w:lang w:val="en-GB"/>
              </w:rPr>
              <w:t>*</w:t>
            </w:r>
            <w:r w:rsidR="0001719F" w:rsidRPr="0001719F">
              <w:rPr>
                <w:b/>
                <w:spacing w:val="-5"/>
                <w:lang w:val="en-GB"/>
              </w:rPr>
              <w:t>*</w:t>
            </w:r>
            <w:r w:rsidR="00B43216" w:rsidRPr="0001719F">
              <w:rPr>
                <w:spacing w:val="-5"/>
                <w:lang w:val="en-GB"/>
              </w:rPr>
              <w:t xml:space="preserve"> (</w:t>
            </w:r>
            <w:r w:rsidR="008F7D34" w:rsidRPr="0001719F">
              <w:rPr>
                <w:spacing w:val="-5"/>
                <w:lang w:val="en-GB"/>
              </w:rPr>
              <w:t xml:space="preserve">year-on-year in </w:t>
            </w:r>
            <w:r w:rsidR="00B43216" w:rsidRPr="0001719F">
              <w:rPr>
                <w:spacing w:val="-5"/>
                <w:lang w:val="en-GB"/>
              </w:rPr>
              <w:t>%)</w:t>
            </w:r>
          </w:p>
        </w:tc>
      </w:tr>
      <w:tr w:rsidR="00B43216" w:rsidRPr="00A17559" w:rsidTr="00887B96">
        <w:tblPrEx>
          <w:tblCellMar>
            <w:left w:w="70" w:type="dxa"/>
            <w:right w:w="70" w:type="dxa"/>
          </w:tblCellMar>
        </w:tblPrEx>
        <w:trPr>
          <w:trHeight w:val="155"/>
        </w:trPr>
        <w:tc>
          <w:tcPr>
            <w:tcW w:w="1790" w:type="dxa"/>
            <w:vMerge/>
            <w:shd w:val="clear" w:color="auto" w:fill="auto"/>
          </w:tcPr>
          <w:p w:rsidR="00B43216" w:rsidRPr="00A17559" w:rsidRDefault="00B43216" w:rsidP="00B43216">
            <w:pPr>
              <w:pStyle w:val="Marginlie"/>
              <w:rPr>
                <w:spacing w:val="-4"/>
                <w:lang w:val="en-GB"/>
              </w:rPr>
            </w:pPr>
          </w:p>
        </w:tc>
        <w:tc>
          <w:tcPr>
            <w:tcW w:w="216" w:type="dxa"/>
            <w:vMerge/>
            <w:shd w:val="clear" w:color="auto" w:fill="auto"/>
          </w:tcPr>
          <w:p w:rsidR="00B43216" w:rsidRPr="00A17559" w:rsidRDefault="00B43216" w:rsidP="00B43216">
            <w:pPr>
              <w:pStyle w:val="Textpoznpodarou"/>
              <w:jc w:val="both"/>
              <w:rPr>
                <w:spacing w:val="-4"/>
                <w:lang w:val="en-GB"/>
              </w:rPr>
            </w:pPr>
          </w:p>
        </w:tc>
        <w:tc>
          <w:tcPr>
            <w:tcW w:w="7648" w:type="dxa"/>
            <w:shd w:val="clear" w:color="auto" w:fill="auto"/>
          </w:tcPr>
          <w:p w:rsidR="00B43216" w:rsidRPr="00A17559" w:rsidRDefault="00887B96" w:rsidP="00B43216">
            <w:pPr>
              <w:spacing w:after="0"/>
              <w:rPr>
                <w:spacing w:val="-4"/>
                <w:lang w:val="en-GB"/>
              </w:rPr>
            </w:pPr>
            <w:r>
              <w:rPr>
                <w:noProof/>
              </w:rPr>
              <w:drawing>
                <wp:inline distT="0" distB="0" distL="0" distR="0" wp14:anchorId="49E86C10" wp14:editId="66D520BE">
                  <wp:extent cx="4746468" cy="3528000"/>
                  <wp:effectExtent l="0" t="0" r="0"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B43216" w:rsidRPr="00A17559" w:rsidTr="00B43216">
        <w:trPr>
          <w:trHeight w:val="155"/>
        </w:trPr>
        <w:tc>
          <w:tcPr>
            <w:tcW w:w="1790" w:type="dxa"/>
            <w:vMerge/>
            <w:shd w:val="clear" w:color="auto" w:fill="auto"/>
            <w:tcMar>
              <w:left w:w="0" w:type="dxa"/>
            </w:tcMar>
          </w:tcPr>
          <w:p w:rsidR="00B43216" w:rsidRPr="00A17559" w:rsidRDefault="00B43216" w:rsidP="00B43216">
            <w:pPr>
              <w:pStyle w:val="Marginlie"/>
              <w:rPr>
                <w:spacing w:val="-4"/>
                <w:lang w:val="en-GB"/>
              </w:rPr>
            </w:pPr>
          </w:p>
        </w:tc>
        <w:tc>
          <w:tcPr>
            <w:tcW w:w="216" w:type="dxa"/>
            <w:vMerge/>
            <w:shd w:val="clear" w:color="auto" w:fill="auto"/>
            <w:tcMar>
              <w:left w:w="0" w:type="dxa"/>
            </w:tcMar>
          </w:tcPr>
          <w:p w:rsidR="00B43216" w:rsidRPr="00A17559" w:rsidRDefault="00B43216" w:rsidP="00B43216">
            <w:pPr>
              <w:pStyle w:val="Textpoznpodarou"/>
              <w:jc w:val="both"/>
              <w:rPr>
                <w:spacing w:val="-4"/>
                <w:lang w:val="en-GB"/>
              </w:rPr>
            </w:pPr>
          </w:p>
        </w:tc>
        <w:tc>
          <w:tcPr>
            <w:tcW w:w="7648" w:type="dxa"/>
            <w:shd w:val="clear" w:color="auto" w:fill="auto"/>
            <w:tcMar>
              <w:left w:w="0" w:type="dxa"/>
            </w:tcMar>
          </w:tcPr>
          <w:p w:rsidR="00B43216" w:rsidRPr="00A17559" w:rsidRDefault="00B43216" w:rsidP="00B43216">
            <w:pPr>
              <w:spacing w:after="0"/>
              <w:rPr>
                <w:spacing w:val="-3"/>
                <w:sz w:val="14"/>
                <w:szCs w:val="14"/>
                <w:lang w:val="en-GB"/>
              </w:rPr>
            </w:pPr>
            <w:r w:rsidRPr="00A17559">
              <w:rPr>
                <w:spacing w:val="-3"/>
                <w:sz w:val="14"/>
                <w:szCs w:val="14"/>
                <w:lang w:val="en-GB"/>
              </w:rPr>
              <w:t>*</w:t>
            </w:r>
            <w:r w:rsidRPr="00A17559">
              <w:rPr>
                <w:rFonts w:cs="Arial"/>
                <w:spacing w:val="-3"/>
                <w:sz w:val="14"/>
                <w:szCs w:val="14"/>
                <w:lang w:val="en-GB"/>
              </w:rPr>
              <w:t xml:space="preserve"> </w:t>
            </w:r>
            <w:r w:rsidR="00600AB5" w:rsidRPr="00A17559">
              <w:rPr>
                <w:rFonts w:cs="Arial"/>
                <w:spacing w:val="-3"/>
                <w:sz w:val="14"/>
                <w:szCs w:val="14"/>
                <w:lang w:val="en-GB"/>
              </w:rPr>
              <w:t>Includes branches</w:t>
            </w:r>
            <w:r w:rsidRPr="00A17559">
              <w:rPr>
                <w:rFonts w:cs="Arial"/>
                <w:spacing w:val="-3"/>
                <w:sz w:val="14"/>
                <w:szCs w:val="14"/>
                <w:lang w:val="en-GB"/>
              </w:rPr>
              <w:t>:</w:t>
            </w:r>
            <w:r w:rsidR="00600AB5" w:rsidRPr="00A17559">
              <w:rPr>
                <w:rFonts w:cs="Arial"/>
                <w:spacing w:val="-3"/>
                <w:sz w:val="14"/>
                <w:szCs w:val="14"/>
                <w:lang w:val="en-GB"/>
              </w:rPr>
              <w:t xml:space="preserve"> Public administration, defence, social security; Education</w:t>
            </w:r>
            <w:r w:rsidRPr="00A17559">
              <w:rPr>
                <w:rFonts w:cs="Arial"/>
                <w:spacing w:val="-3"/>
                <w:sz w:val="14"/>
                <w:szCs w:val="14"/>
                <w:lang w:val="en-GB"/>
              </w:rPr>
              <w:t xml:space="preserve">; </w:t>
            </w:r>
            <w:r w:rsidR="00600AB5" w:rsidRPr="00A17559">
              <w:rPr>
                <w:rFonts w:cs="Arial"/>
                <w:spacing w:val="-3"/>
                <w:sz w:val="14"/>
                <w:szCs w:val="14"/>
                <w:lang w:val="en-GB"/>
              </w:rPr>
              <w:t>H</w:t>
            </w:r>
            <w:r w:rsidR="00F23826">
              <w:rPr>
                <w:rFonts w:cs="Arial"/>
                <w:spacing w:val="-3"/>
                <w:sz w:val="14"/>
                <w:szCs w:val="14"/>
                <w:lang w:val="en-GB"/>
              </w:rPr>
              <w:t>uman h</w:t>
            </w:r>
            <w:r w:rsidR="00600AB5" w:rsidRPr="00A17559">
              <w:rPr>
                <w:rFonts w:cs="Arial"/>
                <w:spacing w:val="-3"/>
                <w:sz w:val="14"/>
                <w:szCs w:val="14"/>
                <w:lang w:val="en-GB"/>
              </w:rPr>
              <w:t>ealth and social work</w:t>
            </w:r>
            <w:r w:rsidR="00F23826">
              <w:rPr>
                <w:rFonts w:cs="Arial"/>
                <w:spacing w:val="-3"/>
                <w:sz w:val="14"/>
                <w:szCs w:val="14"/>
                <w:lang w:val="en-GB"/>
              </w:rPr>
              <w:t xml:space="preserve"> activities</w:t>
            </w:r>
            <w:r w:rsidRPr="00A17559">
              <w:rPr>
                <w:rFonts w:cs="Arial"/>
                <w:spacing w:val="-3"/>
                <w:sz w:val="14"/>
                <w:szCs w:val="14"/>
                <w:lang w:val="en-GB"/>
              </w:rPr>
              <w:t xml:space="preserve">; </w:t>
            </w:r>
            <w:r w:rsidR="00F23826">
              <w:rPr>
                <w:rFonts w:cs="Arial"/>
                <w:spacing w:val="-3"/>
                <w:sz w:val="14"/>
                <w:szCs w:val="14"/>
                <w:lang w:val="en-GB"/>
              </w:rPr>
              <w:t>Arts, entertain</w:t>
            </w:r>
            <w:r w:rsidR="00600AB5" w:rsidRPr="00A17559">
              <w:rPr>
                <w:rFonts w:cs="Arial"/>
                <w:spacing w:val="-3"/>
                <w:sz w:val="14"/>
                <w:szCs w:val="14"/>
                <w:lang w:val="en-GB"/>
              </w:rPr>
              <w:t xml:space="preserve">ment and recreation activities. </w:t>
            </w:r>
          </w:p>
          <w:p w:rsidR="006C4CDD" w:rsidRPr="00887B96" w:rsidRDefault="00B43216" w:rsidP="00887B96">
            <w:pPr>
              <w:spacing w:after="200"/>
              <w:rPr>
                <w:rFonts w:cs="Arial"/>
                <w:sz w:val="14"/>
                <w:szCs w:val="14"/>
                <w:lang w:val="en-GB"/>
              </w:rPr>
            </w:pPr>
            <w:r w:rsidRPr="00A17559">
              <w:rPr>
                <w:spacing w:val="-3"/>
                <w:sz w:val="14"/>
                <w:szCs w:val="14"/>
                <w:lang w:val="en-GB"/>
              </w:rPr>
              <w:t>**</w:t>
            </w:r>
            <w:r w:rsidR="00887B96">
              <w:rPr>
                <w:spacing w:val="-3"/>
                <w:sz w:val="14"/>
                <w:szCs w:val="14"/>
                <w:lang w:val="en-GB"/>
              </w:rPr>
              <w:t xml:space="preserve">Calculated as the </w:t>
            </w:r>
            <w:r w:rsidR="00887B96">
              <w:rPr>
                <w:rFonts w:cs="Arial"/>
                <w:sz w:val="14"/>
                <w:szCs w:val="14"/>
                <w:lang w:val="en-GB"/>
              </w:rPr>
              <w:t>s</w:t>
            </w:r>
            <w:r w:rsidR="005568FA" w:rsidRPr="00A17559">
              <w:rPr>
                <w:rFonts w:cs="Arial"/>
                <w:sz w:val="14"/>
                <w:szCs w:val="14"/>
                <w:lang w:val="en-GB"/>
              </w:rPr>
              <w:t xml:space="preserve">hare of seasonally non-adjusted GDP and </w:t>
            </w:r>
            <w:r w:rsidR="0001719F">
              <w:rPr>
                <w:rFonts w:cs="Arial"/>
                <w:sz w:val="14"/>
                <w:szCs w:val="14"/>
                <w:lang w:val="en-GB"/>
              </w:rPr>
              <w:t xml:space="preserve">total </w:t>
            </w:r>
            <w:r w:rsidR="005568FA" w:rsidRPr="00A17559">
              <w:rPr>
                <w:rFonts w:cs="Arial"/>
                <w:sz w:val="14"/>
                <w:szCs w:val="14"/>
                <w:lang w:val="en-GB"/>
              </w:rPr>
              <w:t>employment (in the national accounts conception)</w:t>
            </w:r>
            <w:r w:rsidR="00887B96">
              <w:rPr>
                <w:rFonts w:cs="Arial"/>
                <w:sz w:val="14"/>
                <w:szCs w:val="14"/>
                <w:lang w:val="en-GB"/>
              </w:rPr>
              <w:t>.</w:t>
            </w:r>
            <w:r w:rsidR="005568FA" w:rsidRPr="00A17559">
              <w:rPr>
                <w:rFonts w:cs="Arial"/>
                <w:sz w:val="14"/>
                <w:szCs w:val="14"/>
                <w:lang w:val="en-GB"/>
              </w:rPr>
              <w:t xml:space="preserve">                                                          Source</w:t>
            </w:r>
            <w:r w:rsidRPr="00A17559">
              <w:rPr>
                <w:spacing w:val="-3"/>
                <w:sz w:val="14"/>
                <w:szCs w:val="14"/>
                <w:lang w:val="en-GB"/>
              </w:rPr>
              <w:t>:</w:t>
            </w:r>
            <w:r w:rsidR="005568FA" w:rsidRPr="00A17559">
              <w:rPr>
                <w:spacing w:val="-3"/>
                <w:sz w:val="14"/>
                <w:szCs w:val="14"/>
                <w:lang w:val="en-GB"/>
              </w:rPr>
              <w:t xml:space="preserve"> CZSO </w:t>
            </w:r>
            <w:r w:rsidRPr="00A17559">
              <w:rPr>
                <w:rFonts w:cs="Arial"/>
                <w:sz w:val="14"/>
                <w:szCs w:val="14"/>
                <w:lang w:val="en-GB"/>
              </w:rPr>
              <w:t>(n</w:t>
            </w:r>
            <w:r w:rsidR="005568FA" w:rsidRPr="00A17559">
              <w:rPr>
                <w:rFonts w:cs="Arial"/>
                <w:sz w:val="14"/>
                <w:szCs w:val="14"/>
                <w:lang w:val="en-GB"/>
              </w:rPr>
              <w:t>ational accounts</w:t>
            </w:r>
            <w:r w:rsidR="00887B96">
              <w:rPr>
                <w:rFonts w:cs="Arial"/>
                <w:sz w:val="14"/>
                <w:szCs w:val="14"/>
                <w:lang w:val="en-GB"/>
              </w:rPr>
              <w:t>)</w:t>
            </w:r>
          </w:p>
        </w:tc>
      </w:tr>
      <w:tr w:rsidR="00B43216" w:rsidRPr="00A17559" w:rsidTr="00B43216">
        <w:trPr>
          <w:trHeight w:val="145"/>
        </w:trPr>
        <w:tc>
          <w:tcPr>
            <w:tcW w:w="1790" w:type="dxa"/>
            <w:shd w:val="clear" w:color="auto" w:fill="auto"/>
            <w:tcMar>
              <w:left w:w="0" w:type="dxa"/>
            </w:tcMar>
          </w:tcPr>
          <w:p w:rsidR="00B43216" w:rsidRPr="00A17559" w:rsidRDefault="00B43216" w:rsidP="00A93D06">
            <w:pPr>
              <w:pStyle w:val="Marginlie"/>
              <w:rPr>
                <w:spacing w:val="-4"/>
                <w:lang w:val="en-GB"/>
              </w:rPr>
            </w:pPr>
            <w:r w:rsidRPr="00A17559">
              <w:rPr>
                <w:lang w:val="en-GB"/>
              </w:rPr>
              <w:t>Fa</w:t>
            </w:r>
            <w:r w:rsidR="00A93D06" w:rsidRPr="00A17559">
              <w:rPr>
                <w:lang w:val="en-GB"/>
              </w:rPr>
              <w:t xml:space="preserve">ctors </w:t>
            </w:r>
            <w:r w:rsidR="00CC5BF7">
              <w:rPr>
                <w:lang w:val="en-GB"/>
              </w:rPr>
              <w:t xml:space="preserve">promoting brisk growth of wage </w:t>
            </w:r>
            <w:r w:rsidR="00A93D06" w:rsidRPr="00A17559">
              <w:rPr>
                <w:lang w:val="en-GB"/>
              </w:rPr>
              <w:t xml:space="preserve">were still more prominent in the domestic economy. </w:t>
            </w:r>
          </w:p>
        </w:tc>
        <w:tc>
          <w:tcPr>
            <w:tcW w:w="216" w:type="dxa"/>
            <w:shd w:val="clear" w:color="auto" w:fill="auto"/>
            <w:tcMar>
              <w:left w:w="0" w:type="dxa"/>
            </w:tcMar>
          </w:tcPr>
          <w:p w:rsidR="00B43216" w:rsidRPr="00A17559" w:rsidRDefault="00B43216" w:rsidP="00B43216">
            <w:pPr>
              <w:pStyle w:val="Textpoznpodarou"/>
              <w:jc w:val="both"/>
              <w:rPr>
                <w:spacing w:val="-4"/>
                <w:lang w:val="en-GB"/>
              </w:rPr>
            </w:pPr>
          </w:p>
        </w:tc>
        <w:tc>
          <w:tcPr>
            <w:tcW w:w="7648" w:type="dxa"/>
            <w:shd w:val="clear" w:color="auto" w:fill="auto"/>
            <w:tcMar>
              <w:left w:w="0" w:type="dxa"/>
            </w:tcMar>
          </w:tcPr>
          <w:p w:rsidR="00B43216" w:rsidRPr="00A17559" w:rsidRDefault="00A93D06" w:rsidP="00B43216">
            <w:pPr>
              <w:spacing w:after="0"/>
              <w:rPr>
                <w:spacing w:val="-4"/>
                <w:lang w:val="en-GB"/>
              </w:rPr>
            </w:pPr>
            <w:r w:rsidRPr="00A17559">
              <w:rPr>
                <w:spacing w:val="-4"/>
                <w:lang w:val="en-GB"/>
              </w:rPr>
              <w:t xml:space="preserve">In spite of more urgent </w:t>
            </w:r>
            <w:r w:rsidR="00B43216" w:rsidRPr="00A17559">
              <w:rPr>
                <w:spacing w:val="-4"/>
                <w:lang w:val="en-GB"/>
              </w:rPr>
              <w:t>„</w:t>
            </w:r>
            <w:r w:rsidRPr="00A17559">
              <w:rPr>
                <w:spacing w:val="-4"/>
                <w:lang w:val="en-GB"/>
              </w:rPr>
              <w:t>import</w:t>
            </w:r>
            <w:r w:rsidR="00B43216" w:rsidRPr="00A17559">
              <w:rPr>
                <w:spacing w:val="-4"/>
                <w:lang w:val="en-GB"/>
              </w:rPr>
              <w:t xml:space="preserve">“ </w:t>
            </w:r>
            <w:r w:rsidRPr="00A17559">
              <w:rPr>
                <w:spacing w:val="-4"/>
                <w:lang w:val="en-GB"/>
              </w:rPr>
              <w:t xml:space="preserve">of foreign workers, domestic employers still faced considerable difficulties in their staffing process. Higher fluctuation was also likely in play mostly with less qualified workers, which results from the fact, that these positions were taken by persons less established on the domestic labour market </w:t>
            </w:r>
            <w:r w:rsidR="00B43216" w:rsidRPr="00A17559">
              <w:rPr>
                <w:spacing w:val="-4"/>
                <w:lang w:val="en-GB"/>
              </w:rPr>
              <w:t>(</w:t>
            </w:r>
            <w:r w:rsidRPr="00A17559">
              <w:rPr>
                <w:spacing w:val="-4"/>
                <w:lang w:val="en-GB"/>
              </w:rPr>
              <w:t>foreigners, long-term unemployed</w:t>
            </w:r>
            <w:r w:rsidR="00B43216" w:rsidRPr="00A17559">
              <w:rPr>
                <w:spacing w:val="-4"/>
                <w:lang w:val="en-GB"/>
              </w:rPr>
              <w:t>). T</w:t>
            </w:r>
            <w:r w:rsidRPr="00A17559">
              <w:rPr>
                <w:spacing w:val="-4"/>
                <w:lang w:val="en-GB"/>
              </w:rPr>
              <w:t xml:space="preserve">hese factors together with the repeated increases of the minimal wage were contributing to the high wage dynamics. </w:t>
            </w:r>
            <w:r w:rsidR="007A71DE">
              <w:rPr>
                <w:spacing w:val="-4"/>
                <w:lang w:val="en-GB"/>
              </w:rPr>
              <w:t>However, chances</w:t>
            </w:r>
            <w:r w:rsidR="00F2079F" w:rsidRPr="00A17559">
              <w:rPr>
                <w:spacing w:val="-4"/>
                <w:lang w:val="en-GB"/>
              </w:rPr>
              <w:t xml:space="preserve"> for its sustaining kept further narrowing due to falling profitability of businesses enhanced by the worsened economic development in key export destinations.  </w:t>
            </w:r>
          </w:p>
          <w:p w:rsidR="00B43216" w:rsidRPr="00A17559" w:rsidRDefault="00B43216" w:rsidP="00B43216">
            <w:pPr>
              <w:spacing w:after="0"/>
              <w:rPr>
                <w:spacing w:val="-4"/>
                <w:lang w:val="en-GB"/>
              </w:rPr>
            </w:pPr>
          </w:p>
        </w:tc>
      </w:tr>
      <w:tr w:rsidR="00B43216" w:rsidRPr="00A17559" w:rsidTr="00B43216">
        <w:trPr>
          <w:trHeight w:val="145"/>
        </w:trPr>
        <w:tc>
          <w:tcPr>
            <w:tcW w:w="1790" w:type="dxa"/>
            <w:shd w:val="clear" w:color="auto" w:fill="auto"/>
            <w:tcMar>
              <w:left w:w="0" w:type="dxa"/>
            </w:tcMar>
          </w:tcPr>
          <w:p w:rsidR="00B43216" w:rsidRPr="00A17559" w:rsidRDefault="00CD07BE" w:rsidP="00B43216">
            <w:pPr>
              <w:pStyle w:val="Marginlie"/>
              <w:rPr>
                <w:lang w:val="en-GB"/>
              </w:rPr>
            </w:pPr>
            <w:r w:rsidRPr="00A17559">
              <w:rPr>
                <w:lang w:val="en-GB"/>
              </w:rPr>
              <w:t>Rate of growth of average nominal wages slightly slowed this year compared to H</w:t>
            </w:r>
            <w:r w:rsidR="00B43216" w:rsidRPr="00A17559">
              <w:rPr>
                <w:lang w:val="en-GB"/>
              </w:rPr>
              <w:t>1</w:t>
            </w:r>
            <w:r w:rsidRPr="00A17559">
              <w:rPr>
                <w:lang w:val="en-GB"/>
              </w:rPr>
              <w:t xml:space="preserve"> </w:t>
            </w:r>
            <w:r w:rsidR="00B43216" w:rsidRPr="00A17559">
              <w:rPr>
                <w:lang w:val="en-GB"/>
              </w:rPr>
              <w:t xml:space="preserve">2018, </w:t>
            </w:r>
            <w:r w:rsidRPr="00A17559">
              <w:rPr>
                <w:lang w:val="en-GB"/>
              </w:rPr>
              <w:t xml:space="preserve">due to the effect of manufacturing and public services. </w:t>
            </w:r>
          </w:p>
          <w:p w:rsidR="00B43216" w:rsidRPr="00A17559" w:rsidRDefault="00B43216" w:rsidP="00B43216">
            <w:pPr>
              <w:pStyle w:val="Marginlie"/>
              <w:rPr>
                <w:lang w:val="en-GB"/>
              </w:rPr>
            </w:pPr>
          </w:p>
          <w:p w:rsidR="00B43216" w:rsidRPr="00A17559" w:rsidRDefault="00B43216" w:rsidP="00B43216">
            <w:pPr>
              <w:pStyle w:val="Marginlie"/>
              <w:rPr>
                <w:lang w:val="en-GB"/>
              </w:rPr>
            </w:pPr>
          </w:p>
          <w:p w:rsidR="00B43216" w:rsidRPr="00A17559" w:rsidRDefault="00B43216" w:rsidP="00B43216">
            <w:pPr>
              <w:pStyle w:val="Marginlie"/>
              <w:rPr>
                <w:lang w:val="en-GB"/>
              </w:rPr>
            </w:pPr>
          </w:p>
          <w:p w:rsidR="00B43216" w:rsidRPr="00A17559" w:rsidRDefault="00B43216" w:rsidP="00B43216">
            <w:pPr>
              <w:pStyle w:val="Marginlie"/>
              <w:rPr>
                <w:lang w:val="en-GB"/>
              </w:rPr>
            </w:pPr>
          </w:p>
          <w:p w:rsidR="00B43216" w:rsidRPr="00A17559" w:rsidRDefault="00CD07BE" w:rsidP="00CD07BE">
            <w:pPr>
              <w:pStyle w:val="Marginlie"/>
              <w:rPr>
                <w:lang w:val="en-GB"/>
              </w:rPr>
            </w:pPr>
            <w:r w:rsidRPr="00A17559">
              <w:rPr>
                <w:lang w:val="en-GB"/>
              </w:rPr>
              <w:t xml:space="preserve">Wages notably gained pace in financial activities. </w:t>
            </w:r>
          </w:p>
        </w:tc>
        <w:tc>
          <w:tcPr>
            <w:tcW w:w="216" w:type="dxa"/>
            <w:shd w:val="clear" w:color="auto" w:fill="auto"/>
            <w:tcMar>
              <w:left w:w="0" w:type="dxa"/>
            </w:tcMar>
          </w:tcPr>
          <w:p w:rsidR="00B43216" w:rsidRPr="00A17559" w:rsidRDefault="00B43216" w:rsidP="00B43216">
            <w:pPr>
              <w:pStyle w:val="Textpoznpodarou"/>
              <w:jc w:val="both"/>
              <w:rPr>
                <w:spacing w:val="-4"/>
                <w:lang w:val="en-GB"/>
              </w:rPr>
            </w:pPr>
          </w:p>
        </w:tc>
        <w:tc>
          <w:tcPr>
            <w:tcW w:w="7648" w:type="dxa"/>
            <w:shd w:val="clear" w:color="auto" w:fill="auto"/>
            <w:tcMar>
              <w:left w:w="0" w:type="dxa"/>
            </w:tcMar>
          </w:tcPr>
          <w:p w:rsidR="00B43216" w:rsidRPr="00A17559" w:rsidRDefault="00205932" w:rsidP="00D653A0">
            <w:pPr>
              <w:spacing w:after="200"/>
              <w:rPr>
                <w:spacing w:val="-4"/>
                <w:lang w:val="en-GB"/>
              </w:rPr>
            </w:pPr>
            <w:r w:rsidRPr="00A17559">
              <w:rPr>
                <w:spacing w:val="-4"/>
                <w:lang w:val="en-GB"/>
              </w:rPr>
              <w:t>The average gross nominal monthly employee wage went up by 7.2% (based on</w:t>
            </w:r>
            <w:r w:rsidR="00F5487D">
              <w:rPr>
                <w:spacing w:val="-4"/>
                <w:lang w:val="en-GB"/>
              </w:rPr>
              <w:t xml:space="preserve"> business</w:t>
            </w:r>
            <w:r w:rsidRPr="00A17559">
              <w:rPr>
                <w:spacing w:val="-4"/>
                <w:lang w:val="en-GB"/>
              </w:rPr>
              <w:t xml:space="preserve"> statistics) year-on-year and climbed slightly above 34 thousand CZK in Q</w:t>
            </w:r>
            <w:r w:rsidR="00B43216" w:rsidRPr="00A17559">
              <w:rPr>
                <w:spacing w:val="-4"/>
                <w:lang w:val="en-GB"/>
              </w:rPr>
              <w:t>2</w:t>
            </w:r>
            <w:r w:rsidRPr="00A17559">
              <w:rPr>
                <w:spacing w:val="-4"/>
                <w:lang w:val="en-GB"/>
              </w:rPr>
              <w:t xml:space="preserve"> </w:t>
            </w:r>
            <w:r w:rsidR="00B43216" w:rsidRPr="00A17559">
              <w:rPr>
                <w:spacing w:val="-4"/>
                <w:lang w:val="en-GB"/>
              </w:rPr>
              <w:t>2019</w:t>
            </w:r>
            <w:r w:rsidRPr="00A17559">
              <w:rPr>
                <w:spacing w:val="-4"/>
                <w:lang w:val="en-GB"/>
              </w:rPr>
              <w:t xml:space="preserve">. </w:t>
            </w:r>
            <w:r w:rsidR="006032E5" w:rsidRPr="00A17559">
              <w:rPr>
                <w:spacing w:val="-4"/>
                <w:lang w:val="en-GB"/>
              </w:rPr>
              <w:t xml:space="preserve">Growth reached 7.3% for the whole half-year </w:t>
            </w:r>
            <w:r w:rsidR="00B43216" w:rsidRPr="00A17559">
              <w:rPr>
                <w:rFonts w:cs="Arial"/>
                <w:color w:val="0D0D0D" w:themeColor="text1" w:themeTint="F2"/>
                <w:spacing w:val="-4"/>
                <w:lang w:val="en-GB"/>
              </w:rPr>
              <w:t>(</w:t>
            </w:r>
            <w:r w:rsidR="00DF6CA7" w:rsidRPr="00A17559">
              <w:rPr>
                <w:rFonts w:cs="Arial"/>
                <w:color w:val="0D0D0D" w:themeColor="text1" w:themeTint="F2"/>
                <w:spacing w:val="-4"/>
                <w:lang w:val="en-GB"/>
              </w:rPr>
              <w:t xml:space="preserve">it was 8.0% in the same period of year </w:t>
            </w:r>
            <w:r w:rsidR="00B43216" w:rsidRPr="00A17559">
              <w:rPr>
                <w:rFonts w:cs="Arial"/>
                <w:color w:val="0D0D0D" w:themeColor="text1" w:themeTint="F2"/>
                <w:spacing w:val="-4"/>
                <w:lang w:val="en-GB"/>
              </w:rPr>
              <w:t>2018).</w:t>
            </w:r>
            <w:r w:rsidR="00DF6CA7" w:rsidRPr="00A17559">
              <w:rPr>
                <w:rFonts w:cs="Arial"/>
                <w:color w:val="0D0D0D" w:themeColor="text1" w:themeTint="F2"/>
                <w:spacing w:val="-4"/>
                <w:lang w:val="en-GB"/>
              </w:rPr>
              <w:t xml:space="preserve"> The </w:t>
            </w:r>
            <w:r w:rsidR="00F23826">
              <w:rPr>
                <w:rFonts w:cs="Arial"/>
                <w:color w:val="0D0D0D" w:themeColor="text1" w:themeTint="F2"/>
                <w:spacing w:val="-4"/>
                <w:lang w:val="en-GB"/>
              </w:rPr>
              <w:t>highest wage</w:t>
            </w:r>
            <w:r w:rsidR="00DF6CA7" w:rsidRPr="00A17559">
              <w:rPr>
                <w:rFonts w:cs="Arial"/>
                <w:color w:val="0D0D0D" w:themeColor="text1" w:themeTint="F2"/>
                <w:spacing w:val="-4"/>
                <w:lang w:val="en-GB"/>
              </w:rPr>
              <w:t xml:space="preserve"> g</w:t>
            </w:r>
            <w:r w:rsidR="00F23826">
              <w:rPr>
                <w:rFonts w:cs="Arial"/>
                <w:color w:val="0D0D0D" w:themeColor="text1" w:themeTint="F2"/>
                <w:spacing w:val="-4"/>
                <w:lang w:val="en-GB"/>
              </w:rPr>
              <w:t>rowth among main branches displayed arts, entertain</w:t>
            </w:r>
            <w:r w:rsidR="00DF6CA7" w:rsidRPr="00A17559">
              <w:rPr>
                <w:rFonts w:cs="Arial"/>
                <w:color w:val="0D0D0D" w:themeColor="text1" w:themeTint="F2"/>
                <w:spacing w:val="-4"/>
                <w:lang w:val="en-GB"/>
              </w:rPr>
              <w:t xml:space="preserve">ment and recreational activities </w:t>
            </w:r>
            <w:r w:rsidR="00B43216" w:rsidRPr="00A17559">
              <w:rPr>
                <w:rFonts w:cs="Arial"/>
                <w:color w:val="0D0D0D" w:themeColor="text1" w:themeTint="F2"/>
                <w:spacing w:val="-4"/>
                <w:lang w:val="en-GB"/>
              </w:rPr>
              <w:t>(12</w:t>
            </w:r>
            <w:r w:rsidR="00DF6CA7" w:rsidRPr="00A17559">
              <w:rPr>
                <w:rFonts w:cs="Arial"/>
                <w:color w:val="0D0D0D" w:themeColor="text1" w:themeTint="F2"/>
                <w:spacing w:val="-4"/>
                <w:lang w:val="en-GB"/>
              </w:rPr>
              <w:t>.</w:t>
            </w:r>
            <w:r w:rsidR="00714224">
              <w:rPr>
                <w:rFonts w:cs="Arial"/>
                <w:color w:val="0D0D0D" w:themeColor="text1" w:themeTint="F2"/>
                <w:spacing w:val="-4"/>
                <w:lang w:val="en-GB"/>
              </w:rPr>
              <w:t>0%). However,</w:t>
            </w:r>
            <w:r w:rsidR="00DF6CA7" w:rsidRPr="00A17559">
              <w:rPr>
                <w:rFonts w:cs="Arial"/>
                <w:color w:val="0D0D0D" w:themeColor="text1" w:themeTint="F2"/>
                <w:spacing w:val="-4"/>
                <w:lang w:val="en-GB"/>
              </w:rPr>
              <w:t xml:space="preserve"> </w:t>
            </w:r>
            <w:r w:rsidR="006032E5" w:rsidRPr="00A17559">
              <w:rPr>
                <w:rFonts w:cs="Arial"/>
                <w:color w:val="0D0D0D" w:themeColor="text1" w:themeTint="F2"/>
                <w:spacing w:val="-4"/>
                <w:lang w:val="en-GB"/>
              </w:rPr>
              <w:t xml:space="preserve">growth </w:t>
            </w:r>
            <w:r w:rsidR="00F23826">
              <w:rPr>
                <w:rFonts w:cs="Arial"/>
                <w:color w:val="0D0D0D" w:themeColor="text1" w:themeTint="F2"/>
                <w:spacing w:val="-4"/>
                <w:lang w:val="en-GB"/>
              </w:rPr>
              <w:t xml:space="preserve">within this branch </w:t>
            </w:r>
            <w:r w:rsidR="00714224">
              <w:rPr>
                <w:rFonts w:cs="Arial"/>
                <w:color w:val="0D0D0D" w:themeColor="text1" w:themeTint="F2"/>
                <w:spacing w:val="-4"/>
                <w:lang w:val="en-GB"/>
              </w:rPr>
              <w:t xml:space="preserve">was </w:t>
            </w:r>
            <w:r w:rsidR="006032E5" w:rsidRPr="00A17559">
              <w:rPr>
                <w:rFonts w:cs="Arial"/>
                <w:color w:val="0D0D0D" w:themeColor="text1" w:themeTint="F2"/>
                <w:spacing w:val="-4"/>
                <w:lang w:val="en-GB"/>
              </w:rPr>
              <w:t xml:space="preserve">concentrated in the segment outside the area of public services. </w:t>
            </w:r>
            <w:r w:rsidR="001E09E1" w:rsidRPr="00A17559">
              <w:rPr>
                <w:rFonts w:cs="Arial"/>
                <w:color w:val="0D0D0D" w:themeColor="text1" w:themeTint="F2"/>
                <w:spacing w:val="-4"/>
                <w:lang w:val="en-GB"/>
              </w:rPr>
              <w:t xml:space="preserve">There earnings grew the most in education </w:t>
            </w:r>
            <w:r w:rsidR="00B43216" w:rsidRPr="00A17559">
              <w:rPr>
                <w:rFonts w:cs="Arial"/>
                <w:color w:val="0D0D0D" w:themeColor="text1" w:themeTint="F2"/>
                <w:spacing w:val="-4"/>
                <w:lang w:val="en-GB"/>
              </w:rPr>
              <w:t>(</w:t>
            </w:r>
            <w:r w:rsidR="001E09E1" w:rsidRPr="00A17559">
              <w:rPr>
                <w:rFonts w:cs="Arial"/>
                <w:color w:val="0D0D0D" w:themeColor="text1" w:themeTint="F2"/>
                <w:spacing w:val="-4"/>
                <w:lang w:val="en-GB"/>
              </w:rPr>
              <w:t xml:space="preserve">nearly by </w:t>
            </w:r>
            <w:r w:rsidR="00B43216" w:rsidRPr="00A17559">
              <w:rPr>
                <w:rFonts w:cs="Arial"/>
                <w:color w:val="0D0D0D" w:themeColor="text1" w:themeTint="F2"/>
                <w:spacing w:val="-4"/>
                <w:lang w:val="en-GB"/>
              </w:rPr>
              <w:t>10</w:t>
            </w:r>
            <w:r w:rsidR="001E09E1" w:rsidRPr="00A17559">
              <w:rPr>
                <w:rFonts w:cs="Arial"/>
                <w:color w:val="0D0D0D" w:themeColor="text1" w:themeTint="F2"/>
                <w:spacing w:val="-4"/>
                <w:lang w:val="en-GB"/>
              </w:rPr>
              <w:t>.</w:t>
            </w:r>
            <w:r w:rsidR="00B43216" w:rsidRPr="00A17559">
              <w:rPr>
                <w:rFonts w:cs="Arial"/>
                <w:color w:val="0D0D0D" w:themeColor="text1" w:themeTint="F2"/>
                <w:spacing w:val="-4"/>
                <w:lang w:val="en-GB"/>
              </w:rPr>
              <w:t xml:space="preserve">6%), </w:t>
            </w:r>
            <w:r w:rsidR="001E09E1" w:rsidRPr="00A17559">
              <w:rPr>
                <w:rFonts w:cs="Arial"/>
                <w:color w:val="0D0D0D" w:themeColor="text1" w:themeTint="F2"/>
                <w:spacing w:val="-4"/>
                <w:lang w:val="en-GB"/>
              </w:rPr>
              <w:t xml:space="preserve">still their average monthly size somewhat lagged behind the level of the national economy. Wages grew briskly also in administrative and support service activities </w:t>
            </w:r>
            <w:r w:rsidR="00B43216" w:rsidRPr="00A17559">
              <w:rPr>
                <w:spacing w:val="-3"/>
                <w:lang w:val="en-GB"/>
              </w:rPr>
              <w:t>(+8</w:t>
            </w:r>
            <w:r w:rsidR="001E09E1" w:rsidRPr="00A17559">
              <w:rPr>
                <w:spacing w:val="-3"/>
                <w:lang w:val="en-GB"/>
              </w:rPr>
              <w:t>.</w:t>
            </w:r>
            <w:r w:rsidR="00B43216" w:rsidRPr="00A17559">
              <w:rPr>
                <w:spacing w:val="-3"/>
                <w:lang w:val="en-GB"/>
              </w:rPr>
              <w:t>7%),</w:t>
            </w:r>
            <w:r w:rsidR="001E09E1" w:rsidRPr="00A17559">
              <w:rPr>
                <w:spacing w:val="-3"/>
                <w:lang w:val="en-GB"/>
              </w:rPr>
              <w:t xml:space="preserve"> their level was</w:t>
            </w:r>
            <w:r w:rsidR="006E3420">
              <w:rPr>
                <w:spacing w:val="-3"/>
                <w:lang w:val="en-GB"/>
              </w:rPr>
              <w:t>,</w:t>
            </w:r>
            <w:r w:rsidR="001E09E1" w:rsidRPr="00A17559">
              <w:rPr>
                <w:spacing w:val="-3"/>
                <w:lang w:val="en-GB"/>
              </w:rPr>
              <w:t xml:space="preserve"> however</w:t>
            </w:r>
            <w:r w:rsidR="006E3420">
              <w:rPr>
                <w:spacing w:val="-3"/>
                <w:lang w:val="en-GB"/>
              </w:rPr>
              <w:t>,</w:t>
            </w:r>
            <w:r w:rsidR="001E09E1" w:rsidRPr="00A17559">
              <w:rPr>
                <w:spacing w:val="-3"/>
                <w:lang w:val="en-GB"/>
              </w:rPr>
              <w:t xml:space="preserve"> by one third lower compared to the whole economy.</w:t>
            </w:r>
            <w:r w:rsidR="00DD07EC" w:rsidRPr="00A17559">
              <w:rPr>
                <w:spacing w:val="-3"/>
                <w:lang w:val="en-GB"/>
              </w:rPr>
              <w:t xml:space="preserve"> </w:t>
            </w:r>
            <w:r w:rsidR="001E09E1" w:rsidRPr="00A17559">
              <w:rPr>
                <w:spacing w:val="-3"/>
                <w:lang w:val="en-GB"/>
              </w:rPr>
              <w:t xml:space="preserve">Wage pace in financial and insurance activities (+8.1%) markedly improved after four years of below average growth. </w:t>
            </w:r>
            <w:r w:rsidR="00DD07EC" w:rsidRPr="00A17559">
              <w:rPr>
                <w:spacing w:val="-3"/>
                <w:lang w:val="en-GB"/>
              </w:rPr>
              <w:t>I</w:t>
            </w:r>
            <w:r w:rsidR="00D653A0" w:rsidRPr="00A17559">
              <w:rPr>
                <w:spacing w:val="-3"/>
                <w:lang w:val="en-GB"/>
              </w:rPr>
              <w:t>t</w:t>
            </w:r>
            <w:r w:rsidR="00DD07EC" w:rsidRPr="00A17559">
              <w:rPr>
                <w:spacing w:val="-3"/>
                <w:lang w:val="en-GB"/>
              </w:rPr>
              <w:t xml:space="preserve"> was the consequence not only of the extraordinary bonuses tied </w:t>
            </w:r>
            <w:r w:rsidR="008A1FBA" w:rsidRPr="00A17559">
              <w:rPr>
                <w:spacing w:val="-3"/>
                <w:lang w:val="en-GB"/>
              </w:rPr>
              <w:t xml:space="preserve">to the very good business results of year </w:t>
            </w:r>
            <w:r w:rsidR="00B43216" w:rsidRPr="00A17559">
              <w:rPr>
                <w:rFonts w:cs="Arial"/>
                <w:color w:val="0D0D0D" w:themeColor="text1" w:themeTint="F2"/>
                <w:spacing w:val="-4"/>
                <w:lang w:val="en-GB"/>
              </w:rPr>
              <w:t xml:space="preserve">2018, </w:t>
            </w:r>
            <w:r w:rsidR="00DD07EC" w:rsidRPr="00A17559">
              <w:rPr>
                <w:rFonts w:cs="Arial"/>
                <w:color w:val="0D0D0D" w:themeColor="text1" w:themeTint="F2"/>
                <w:spacing w:val="-4"/>
                <w:lang w:val="en-GB"/>
              </w:rPr>
              <w:t>but also</w:t>
            </w:r>
            <w:r w:rsidR="008A1FBA" w:rsidRPr="00A17559">
              <w:rPr>
                <w:rFonts w:cs="Arial"/>
                <w:color w:val="0D0D0D" w:themeColor="text1" w:themeTint="F2"/>
                <w:spacing w:val="-4"/>
                <w:lang w:val="en-GB"/>
              </w:rPr>
              <w:t xml:space="preserve"> the strong pressure on the labour productivity,</w:t>
            </w:r>
            <w:r w:rsidR="00B43216" w:rsidRPr="00A17559">
              <w:rPr>
                <w:rFonts w:cs="Arial"/>
                <w:color w:val="0D0D0D" w:themeColor="text1" w:themeTint="F2"/>
                <w:spacing w:val="-4"/>
                <w:lang w:val="en-GB"/>
              </w:rPr>
              <w:t xml:space="preserve"> </w:t>
            </w:r>
            <w:r w:rsidR="00DD07EC" w:rsidRPr="00A17559">
              <w:rPr>
                <w:rFonts w:cs="Arial"/>
                <w:color w:val="0D0D0D" w:themeColor="text1" w:themeTint="F2"/>
                <w:spacing w:val="-4"/>
                <w:lang w:val="en-GB"/>
              </w:rPr>
              <w:t xml:space="preserve">which resulted in reduction of the registered number of employees </w:t>
            </w:r>
            <w:r w:rsidR="00B43216" w:rsidRPr="00A17559">
              <w:rPr>
                <w:rFonts w:cs="Arial"/>
                <w:color w:val="0D0D0D" w:themeColor="text1" w:themeTint="F2"/>
                <w:spacing w:val="-4"/>
                <w:lang w:val="en-GB"/>
              </w:rPr>
              <w:t>(</w:t>
            </w:r>
            <w:r w:rsidR="00DD07EC" w:rsidRPr="00A17559">
              <w:rPr>
                <w:rFonts w:cs="Arial"/>
                <w:color w:val="0D0D0D" w:themeColor="text1" w:themeTint="F2"/>
                <w:spacing w:val="-4"/>
                <w:lang w:val="en-GB"/>
              </w:rPr>
              <w:t xml:space="preserve">by </w:t>
            </w:r>
            <w:r w:rsidR="00B43216" w:rsidRPr="00A17559">
              <w:rPr>
                <w:rFonts w:cs="Arial"/>
                <w:color w:val="0D0D0D" w:themeColor="text1" w:themeTint="F2"/>
                <w:spacing w:val="-4"/>
                <w:lang w:val="en-GB"/>
              </w:rPr>
              <w:t>1</w:t>
            </w:r>
            <w:r w:rsidR="00DD07EC" w:rsidRPr="00A17559">
              <w:rPr>
                <w:rFonts w:cs="Arial"/>
                <w:color w:val="0D0D0D" w:themeColor="text1" w:themeTint="F2"/>
                <w:spacing w:val="-4"/>
                <w:lang w:val="en-GB"/>
              </w:rPr>
              <w:t>.</w:t>
            </w:r>
            <w:r w:rsidR="00B43216" w:rsidRPr="00A17559">
              <w:rPr>
                <w:rFonts w:cs="Arial"/>
                <w:color w:val="0D0D0D" w:themeColor="text1" w:themeTint="F2"/>
                <w:spacing w:val="-4"/>
                <w:lang w:val="en-GB"/>
              </w:rPr>
              <w:t xml:space="preserve">9%). </w:t>
            </w:r>
            <w:r w:rsidR="001E09E1" w:rsidRPr="00A17559">
              <w:rPr>
                <w:rFonts w:cs="Arial"/>
                <w:color w:val="0D0D0D" w:themeColor="text1" w:themeTint="F2"/>
                <w:spacing w:val="-4"/>
                <w:lang w:val="en-GB"/>
              </w:rPr>
              <w:t xml:space="preserve">It was also valid for </w:t>
            </w:r>
            <w:r w:rsidR="008A1FBA" w:rsidRPr="00A17559">
              <w:rPr>
                <w:rFonts w:cs="Arial"/>
                <w:color w:val="0D0D0D" w:themeColor="text1" w:themeTint="F2"/>
                <w:spacing w:val="-4"/>
                <w:lang w:val="en-GB"/>
              </w:rPr>
              <w:t xml:space="preserve">manufacturing </w:t>
            </w:r>
            <w:r w:rsidR="00B43216" w:rsidRPr="00A17559">
              <w:rPr>
                <w:rFonts w:cs="Arial"/>
                <w:color w:val="0D0D0D" w:themeColor="text1" w:themeTint="F2"/>
                <w:spacing w:val="-4"/>
                <w:lang w:val="en-GB"/>
              </w:rPr>
              <w:t>(–0</w:t>
            </w:r>
            <w:r w:rsidR="001E09E1" w:rsidRPr="00A17559">
              <w:rPr>
                <w:rFonts w:cs="Arial"/>
                <w:color w:val="0D0D0D" w:themeColor="text1" w:themeTint="F2"/>
                <w:spacing w:val="-4"/>
                <w:lang w:val="en-GB"/>
              </w:rPr>
              <w:t>.</w:t>
            </w:r>
            <w:r w:rsidR="00B43216" w:rsidRPr="00A17559">
              <w:rPr>
                <w:rFonts w:cs="Arial"/>
                <w:color w:val="0D0D0D" w:themeColor="text1" w:themeTint="F2"/>
                <w:spacing w:val="-4"/>
                <w:lang w:val="en-GB"/>
              </w:rPr>
              <w:t>4%),</w:t>
            </w:r>
            <w:r w:rsidR="001E09E1" w:rsidRPr="00A17559">
              <w:rPr>
                <w:rFonts w:cs="Arial"/>
                <w:color w:val="0D0D0D" w:themeColor="text1" w:themeTint="F2"/>
                <w:spacing w:val="-4"/>
                <w:lang w:val="en-GB"/>
              </w:rPr>
              <w:t xml:space="preserve"> volume of paid out wages was here the third lowest </w:t>
            </w:r>
            <w:r w:rsidR="00B43216" w:rsidRPr="00A17559">
              <w:rPr>
                <w:rFonts w:cs="Arial"/>
                <w:color w:val="0D0D0D" w:themeColor="text1" w:themeTint="F2"/>
                <w:spacing w:val="-4"/>
                <w:lang w:val="en-GB"/>
              </w:rPr>
              <w:t>(+6</w:t>
            </w:r>
            <w:r w:rsidR="001E09E1" w:rsidRPr="00A17559">
              <w:rPr>
                <w:rFonts w:cs="Arial"/>
                <w:color w:val="0D0D0D" w:themeColor="text1" w:themeTint="F2"/>
                <w:spacing w:val="-4"/>
                <w:lang w:val="en-GB"/>
              </w:rPr>
              <w:t>.</w:t>
            </w:r>
            <w:r w:rsidR="00B43216" w:rsidRPr="00A17559">
              <w:rPr>
                <w:rFonts w:cs="Arial"/>
                <w:color w:val="0D0D0D" w:themeColor="text1" w:themeTint="F2"/>
                <w:spacing w:val="-4"/>
                <w:lang w:val="en-GB"/>
              </w:rPr>
              <w:t>2%)</w:t>
            </w:r>
            <w:r w:rsidR="001E09E1" w:rsidRPr="00A17559">
              <w:rPr>
                <w:rFonts w:cs="Arial"/>
                <w:color w:val="0D0D0D" w:themeColor="text1" w:themeTint="F2"/>
                <w:spacing w:val="-4"/>
                <w:lang w:val="en-GB"/>
              </w:rPr>
              <w:t xml:space="preserve"> among nineteen main branches </w:t>
            </w:r>
            <w:r w:rsidR="00B43216" w:rsidRPr="00A17559">
              <w:rPr>
                <w:rFonts w:cs="Arial"/>
                <w:color w:val="0D0D0D" w:themeColor="text1" w:themeTint="F2"/>
                <w:spacing w:val="-4"/>
                <w:lang w:val="en-GB"/>
              </w:rPr>
              <w:t>(</w:t>
            </w:r>
            <w:r w:rsidR="008A1FBA" w:rsidRPr="00A17559">
              <w:rPr>
                <w:rFonts w:cs="Arial"/>
                <w:color w:val="0D0D0D" w:themeColor="text1" w:themeTint="F2"/>
                <w:spacing w:val="-4"/>
                <w:lang w:val="en-GB"/>
              </w:rPr>
              <w:t>after branches of the primary sector</w:t>
            </w:r>
            <w:r w:rsidR="00B43216" w:rsidRPr="00A17559">
              <w:rPr>
                <w:rFonts w:cs="Arial"/>
                <w:color w:val="0D0D0D" w:themeColor="text1" w:themeTint="F2"/>
                <w:spacing w:val="-4"/>
                <w:lang w:val="en-GB"/>
              </w:rPr>
              <w:t xml:space="preserve">). </w:t>
            </w:r>
            <w:r w:rsidR="001C369F">
              <w:rPr>
                <w:rFonts w:cs="Arial"/>
                <w:color w:val="0D0D0D" w:themeColor="text1" w:themeTint="F2"/>
                <w:spacing w:val="-4"/>
                <w:lang w:val="en-GB"/>
              </w:rPr>
              <w:t xml:space="preserve">Average </w:t>
            </w:r>
            <w:r w:rsidR="00266F0A">
              <w:rPr>
                <w:rFonts w:cs="Arial"/>
                <w:color w:val="0D0D0D" w:themeColor="text1" w:themeTint="F2"/>
                <w:spacing w:val="-4"/>
                <w:lang w:val="en-GB"/>
              </w:rPr>
              <w:t>w</w:t>
            </w:r>
            <w:r w:rsidR="008A1FBA" w:rsidRPr="00A17559">
              <w:rPr>
                <w:rFonts w:cs="Arial"/>
                <w:color w:val="0D0D0D" w:themeColor="text1" w:themeTint="F2"/>
                <w:spacing w:val="-4"/>
                <w:lang w:val="en-GB"/>
              </w:rPr>
              <w:t>ages in the developing branches with so fa</w:t>
            </w:r>
            <w:r w:rsidR="00266F0A">
              <w:rPr>
                <w:rFonts w:cs="Arial"/>
                <w:color w:val="0D0D0D" w:themeColor="text1" w:themeTint="F2"/>
                <w:spacing w:val="-4"/>
                <w:lang w:val="en-GB"/>
              </w:rPr>
              <w:t xml:space="preserve">r below the </w:t>
            </w:r>
            <w:r w:rsidR="008A1FBA" w:rsidRPr="00A17559">
              <w:rPr>
                <w:rFonts w:cs="Arial"/>
                <w:color w:val="0D0D0D" w:themeColor="text1" w:themeTint="F2"/>
                <w:spacing w:val="-4"/>
                <w:lang w:val="en-GB"/>
              </w:rPr>
              <w:t>level</w:t>
            </w:r>
            <w:r w:rsidR="00266F0A">
              <w:rPr>
                <w:rFonts w:cs="Arial"/>
                <w:color w:val="0D0D0D" w:themeColor="text1" w:themeTint="F2"/>
                <w:spacing w:val="-4"/>
                <w:lang w:val="en-GB"/>
              </w:rPr>
              <w:t xml:space="preserve"> of whole economy</w:t>
            </w:r>
            <w:r w:rsidR="008A1FBA" w:rsidRPr="00A17559">
              <w:rPr>
                <w:rFonts w:cs="Arial"/>
                <w:color w:val="0D0D0D" w:themeColor="text1" w:themeTint="F2"/>
                <w:spacing w:val="-4"/>
                <w:lang w:val="en-GB"/>
              </w:rPr>
              <w:t xml:space="preserve"> – trade </w:t>
            </w:r>
            <w:r w:rsidR="00B43216" w:rsidRPr="00A17559">
              <w:rPr>
                <w:rFonts w:cs="Arial"/>
                <w:color w:val="0D0D0D" w:themeColor="text1" w:themeTint="F2"/>
                <w:spacing w:val="-4"/>
                <w:lang w:val="en-GB"/>
              </w:rPr>
              <w:t>(+6</w:t>
            </w:r>
            <w:r w:rsidR="008A1FBA" w:rsidRPr="00A17559">
              <w:rPr>
                <w:rFonts w:cs="Arial"/>
                <w:color w:val="0D0D0D" w:themeColor="text1" w:themeTint="F2"/>
                <w:spacing w:val="-4"/>
                <w:lang w:val="en-GB"/>
              </w:rPr>
              <w:t>.</w:t>
            </w:r>
            <w:r w:rsidR="00B43216" w:rsidRPr="00A17559">
              <w:rPr>
                <w:rFonts w:cs="Arial"/>
                <w:color w:val="0D0D0D" w:themeColor="text1" w:themeTint="F2"/>
                <w:spacing w:val="-4"/>
                <w:lang w:val="en-GB"/>
              </w:rPr>
              <w:t>9%)</w:t>
            </w:r>
            <w:r w:rsidR="008A1FBA" w:rsidRPr="00A17559">
              <w:rPr>
                <w:rFonts w:cs="Arial"/>
                <w:color w:val="0D0D0D" w:themeColor="text1" w:themeTint="F2"/>
                <w:spacing w:val="-4"/>
                <w:lang w:val="en-GB"/>
              </w:rPr>
              <w:t xml:space="preserve"> as well as construction </w:t>
            </w:r>
            <w:r w:rsidR="00B43216" w:rsidRPr="00A17559">
              <w:rPr>
                <w:rFonts w:cs="Arial"/>
                <w:color w:val="0D0D0D" w:themeColor="text1" w:themeTint="F2"/>
                <w:spacing w:val="-4"/>
                <w:lang w:val="en-GB"/>
              </w:rPr>
              <w:t>(+6</w:t>
            </w:r>
            <w:r w:rsidR="008A1FBA" w:rsidRPr="00A17559">
              <w:rPr>
                <w:rFonts w:cs="Arial"/>
                <w:color w:val="0D0D0D" w:themeColor="text1" w:themeTint="F2"/>
                <w:spacing w:val="-4"/>
                <w:lang w:val="en-GB"/>
              </w:rPr>
              <w:t>.</w:t>
            </w:r>
            <w:r w:rsidR="00B43216" w:rsidRPr="00A17559">
              <w:rPr>
                <w:rFonts w:cs="Arial"/>
                <w:color w:val="0D0D0D" w:themeColor="text1" w:themeTint="F2"/>
                <w:spacing w:val="-4"/>
                <w:lang w:val="en-GB"/>
              </w:rPr>
              <w:t>8%)</w:t>
            </w:r>
            <w:r w:rsidR="008A1FBA" w:rsidRPr="00A17559">
              <w:rPr>
                <w:rFonts w:cs="Arial"/>
                <w:color w:val="0D0D0D" w:themeColor="text1" w:themeTint="F2"/>
                <w:spacing w:val="-4"/>
                <w:lang w:val="en-GB"/>
              </w:rPr>
              <w:t xml:space="preserve"> also grew by a relatively weaker rate of growth</w:t>
            </w:r>
            <w:r w:rsidR="00B43216" w:rsidRPr="00A17559">
              <w:rPr>
                <w:rFonts w:cs="Arial"/>
                <w:color w:val="0D0D0D" w:themeColor="text1" w:themeTint="F2"/>
                <w:spacing w:val="-4"/>
                <w:lang w:val="en-GB"/>
              </w:rPr>
              <w:t>.</w:t>
            </w:r>
          </w:p>
        </w:tc>
      </w:tr>
      <w:tr w:rsidR="00B43216" w:rsidRPr="00A17559" w:rsidTr="00B43216">
        <w:trPr>
          <w:trHeight w:val="145"/>
        </w:trPr>
        <w:tc>
          <w:tcPr>
            <w:tcW w:w="1790" w:type="dxa"/>
            <w:shd w:val="clear" w:color="auto" w:fill="auto"/>
            <w:tcMar>
              <w:left w:w="0" w:type="dxa"/>
            </w:tcMar>
          </w:tcPr>
          <w:p w:rsidR="006503D1" w:rsidRDefault="00D208FD" w:rsidP="00D208FD">
            <w:pPr>
              <w:pStyle w:val="Marginlie"/>
              <w:rPr>
                <w:lang w:val="en-GB"/>
              </w:rPr>
            </w:pPr>
            <w:r w:rsidRPr="00A17559">
              <w:rPr>
                <w:lang w:val="en-GB"/>
              </w:rPr>
              <w:lastRenderedPageBreak/>
              <w:t>Growth of purchasing power of wa</w:t>
            </w:r>
            <w:r w:rsidR="006503D1">
              <w:rPr>
                <w:lang w:val="en-GB"/>
              </w:rPr>
              <w:t>ges mildly slowed year-on-year,</w:t>
            </w:r>
          </w:p>
          <w:p w:rsidR="00B43216" w:rsidRPr="00A17559" w:rsidRDefault="00D208FD" w:rsidP="00D208FD">
            <w:pPr>
              <w:pStyle w:val="Marginlie"/>
              <w:rPr>
                <w:lang w:val="en-GB"/>
              </w:rPr>
            </w:pPr>
            <w:r w:rsidRPr="00A17559">
              <w:rPr>
                <w:lang w:val="en-GB"/>
              </w:rPr>
              <w:t xml:space="preserve">still it remained high. </w:t>
            </w:r>
          </w:p>
        </w:tc>
        <w:tc>
          <w:tcPr>
            <w:tcW w:w="216" w:type="dxa"/>
            <w:shd w:val="clear" w:color="auto" w:fill="auto"/>
            <w:tcMar>
              <w:left w:w="0" w:type="dxa"/>
            </w:tcMar>
          </w:tcPr>
          <w:p w:rsidR="00B43216" w:rsidRPr="00A17559" w:rsidRDefault="00B43216" w:rsidP="00B43216">
            <w:pPr>
              <w:pStyle w:val="Textpoznpodarou"/>
              <w:jc w:val="both"/>
              <w:rPr>
                <w:spacing w:val="-4"/>
                <w:lang w:val="en-GB"/>
              </w:rPr>
            </w:pPr>
          </w:p>
        </w:tc>
        <w:tc>
          <w:tcPr>
            <w:tcW w:w="7648" w:type="dxa"/>
            <w:shd w:val="clear" w:color="auto" w:fill="auto"/>
            <w:tcMar>
              <w:left w:w="0" w:type="dxa"/>
            </w:tcMar>
          </w:tcPr>
          <w:p w:rsidR="00B43216" w:rsidRPr="00A17559" w:rsidRDefault="00502709" w:rsidP="003A0837">
            <w:pPr>
              <w:spacing w:after="0"/>
              <w:rPr>
                <w:spacing w:val="-4"/>
                <w:lang w:val="en-GB"/>
              </w:rPr>
            </w:pPr>
            <w:r w:rsidRPr="00A17559">
              <w:rPr>
                <w:spacing w:val="-4"/>
                <w:lang w:val="en-GB"/>
              </w:rPr>
              <w:t xml:space="preserve">Wage median increased by 7.2% year-on-year in H1 and it lagged behind the pace of the average wage for the first time since H1 </w:t>
            </w:r>
            <w:r w:rsidR="00B43216" w:rsidRPr="00A17559">
              <w:rPr>
                <w:spacing w:val="-4"/>
                <w:lang w:val="en-GB"/>
              </w:rPr>
              <w:t>2015</w:t>
            </w:r>
            <w:r w:rsidRPr="00A17559">
              <w:rPr>
                <w:spacing w:val="-4"/>
                <w:lang w:val="en-GB"/>
              </w:rPr>
              <w:t xml:space="preserve">. </w:t>
            </w:r>
            <w:r w:rsidR="00B8177E" w:rsidRPr="00A17559">
              <w:rPr>
                <w:spacing w:val="-4"/>
                <w:lang w:val="en-GB"/>
              </w:rPr>
              <w:t>Even though the slightly picking inflation</w:t>
            </w:r>
            <w:r w:rsidR="00D653A0" w:rsidRPr="00A17559">
              <w:rPr>
                <w:spacing w:val="-4"/>
                <w:lang w:val="en-GB"/>
              </w:rPr>
              <w:t xml:space="preserve"> </w:t>
            </w:r>
            <w:r w:rsidR="00B43216" w:rsidRPr="00A17559">
              <w:rPr>
                <w:spacing w:val="-4"/>
                <w:lang w:val="en-GB"/>
              </w:rPr>
              <w:t>„</w:t>
            </w:r>
            <w:r w:rsidR="00B8177E" w:rsidRPr="00A17559">
              <w:rPr>
                <w:spacing w:val="-4"/>
                <w:lang w:val="en-GB"/>
              </w:rPr>
              <w:t>cut</w:t>
            </w:r>
            <w:r w:rsidR="00B43216" w:rsidRPr="00A17559">
              <w:rPr>
                <w:spacing w:val="-4"/>
                <w:lang w:val="en-GB"/>
              </w:rPr>
              <w:t xml:space="preserve">“ </w:t>
            </w:r>
            <w:r w:rsidR="00B8177E" w:rsidRPr="00A17559">
              <w:rPr>
                <w:spacing w:val="-4"/>
                <w:lang w:val="en-GB"/>
              </w:rPr>
              <w:t>whole two fifths from the earnings growth this year</w:t>
            </w:r>
            <w:r w:rsidR="00B43216" w:rsidRPr="00A17559">
              <w:rPr>
                <w:spacing w:val="-4"/>
                <w:lang w:val="en-GB"/>
              </w:rPr>
              <w:t>, r</w:t>
            </w:r>
            <w:r w:rsidR="00B8177E" w:rsidRPr="00A17559">
              <w:rPr>
                <w:spacing w:val="-4"/>
                <w:lang w:val="en-GB"/>
              </w:rPr>
              <w:t xml:space="preserve">eal value of average wages was by 4.4% higher year-on-year. Within first half-years, it presented the third strongest pace for the last sixteen years </w:t>
            </w:r>
            <w:r w:rsidR="00B43216" w:rsidRPr="00A17559">
              <w:rPr>
                <w:spacing w:val="-4"/>
                <w:lang w:val="en-GB"/>
              </w:rPr>
              <w:t>(</w:t>
            </w:r>
            <w:r w:rsidR="00B8177E" w:rsidRPr="00A17559">
              <w:rPr>
                <w:spacing w:val="-4"/>
                <w:lang w:val="en-GB"/>
              </w:rPr>
              <w:t xml:space="preserve">after years </w:t>
            </w:r>
            <w:r w:rsidR="00B43216" w:rsidRPr="00A17559">
              <w:rPr>
                <w:spacing w:val="-4"/>
                <w:lang w:val="en-GB"/>
              </w:rPr>
              <w:t>2007</w:t>
            </w:r>
            <w:r w:rsidR="00B8177E" w:rsidRPr="00A17559">
              <w:rPr>
                <w:spacing w:val="-4"/>
                <w:lang w:val="en-GB"/>
              </w:rPr>
              <w:t xml:space="preserve"> and </w:t>
            </w:r>
            <w:r w:rsidR="00B43216" w:rsidRPr="00A17559">
              <w:rPr>
                <w:spacing w:val="-4"/>
                <w:lang w:val="en-GB"/>
              </w:rPr>
              <w:t>2018).</w:t>
            </w:r>
          </w:p>
          <w:p w:rsidR="00C042D4" w:rsidRPr="00A17559" w:rsidRDefault="00C042D4" w:rsidP="003A0837">
            <w:pPr>
              <w:spacing w:after="0"/>
              <w:rPr>
                <w:spacing w:val="-4"/>
                <w:lang w:val="en-GB"/>
              </w:rPr>
            </w:pPr>
          </w:p>
        </w:tc>
      </w:tr>
    </w:tbl>
    <w:p w:rsidR="00935BD4" w:rsidRPr="00A17559" w:rsidRDefault="004A5D4E" w:rsidP="000D3058">
      <w:pPr>
        <w:pStyle w:val="Nadpis11"/>
        <w:rPr>
          <w:lang w:val="en-GB"/>
        </w:rPr>
      </w:pPr>
      <w:bookmarkStart w:id="12" w:name="_Toc19179086"/>
      <w:r w:rsidRPr="00A17559">
        <w:rPr>
          <w:lang w:val="en-GB"/>
        </w:rPr>
        <w:t>7. </w:t>
      </w:r>
      <w:r w:rsidR="00935BD4" w:rsidRPr="00A17559">
        <w:rPr>
          <w:lang w:val="en-GB"/>
        </w:rPr>
        <w:t>M</w:t>
      </w:r>
      <w:r w:rsidR="00115469" w:rsidRPr="00A17559">
        <w:rPr>
          <w:lang w:val="en-GB"/>
        </w:rPr>
        <w:t>onetary Conditions</w:t>
      </w:r>
      <w:bookmarkEnd w:id="12"/>
    </w:p>
    <w:tbl>
      <w:tblPr>
        <w:tblW w:w="9639" w:type="dxa"/>
        <w:tblInd w:w="-15" w:type="dxa"/>
        <w:tblCellMar>
          <w:left w:w="0" w:type="dxa"/>
          <w:right w:w="0" w:type="dxa"/>
        </w:tblCellMar>
        <w:tblLook w:val="00A0" w:firstRow="1" w:lastRow="0" w:firstColumn="1" w:lastColumn="0" w:noHBand="0" w:noVBand="0"/>
      </w:tblPr>
      <w:tblGrid>
        <w:gridCol w:w="1799"/>
        <w:gridCol w:w="230"/>
        <w:gridCol w:w="7610"/>
      </w:tblGrid>
      <w:tr w:rsidR="00A113A4" w:rsidRPr="00A17559" w:rsidTr="00F23826">
        <w:trPr>
          <w:trHeight w:val="145"/>
        </w:trPr>
        <w:tc>
          <w:tcPr>
            <w:tcW w:w="1799" w:type="dxa"/>
            <w:shd w:val="clear" w:color="auto" w:fill="auto"/>
            <w:tcMar>
              <w:left w:w="0" w:type="dxa"/>
            </w:tcMar>
          </w:tcPr>
          <w:p w:rsidR="00A113A4" w:rsidRPr="00A17559" w:rsidRDefault="00661EFC" w:rsidP="00661EFC">
            <w:pPr>
              <w:pStyle w:val="Marginlie"/>
              <w:rPr>
                <w:lang w:val="en-GB"/>
              </w:rPr>
            </w:pPr>
            <w:r w:rsidRPr="00A17559">
              <w:rPr>
                <w:lang w:val="en-GB"/>
              </w:rPr>
              <w:t>M</w:t>
            </w:r>
            <w:r w:rsidR="00115469" w:rsidRPr="00A17559">
              <w:rPr>
                <w:lang w:val="en-GB"/>
              </w:rPr>
              <w:t>onetary policy-relevant rates</w:t>
            </w:r>
            <w:r w:rsidRPr="00A17559">
              <w:rPr>
                <w:lang w:val="en-GB"/>
              </w:rPr>
              <w:t xml:space="preserve"> were again raised in Q2</w:t>
            </w:r>
            <w:r w:rsidR="00A113A4" w:rsidRPr="00A17559">
              <w:rPr>
                <w:lang w:val="en-GB"/>
              </w:rPr>
              <w:t>.</w:t>
            </w:r>
          </w:p>
        </w:tc>
        <w:tc>
          <w:tcPr>
            <w:tcW w:w="230" w:type="dxa"/>
            <w:shd w:val="clear" w:color="auto" w:fill="auto"/>
            <w:tcMar>
              <w:left w:w="0" w:type="dxa"/>
            </w:tcMar>
          </w:tcPr>
          <w:p w:rsidR="00A113A4" w:rsidRPr="00A17559" w:rsidRDefault="00A113A4" w:rsidP="00A113A4">
            <w:pPr>
              <w:pStyle w:val="Textpoznpodarou"/>
              <w:jc w:val="both"/>
              <w:rPr>
                <w:spacing w:val="-4"/>
                <w:lang w:val="en-GB"/>
              </w:rPr>
            </w:pPr>
          </w:p>
        </w:tc>
        <w:tc>
          <w:tcPr>
            <w:tcW w:w="7610" w:type="dxa"/>
            <w:shd w:val="clear" w:color="auto" w:fill="auto"/>
            <w:tcMar>
              <w:left w:w="0" w:type="dxa"/>
            </w:tcMar>
          </w:tcPr>
          <w:p w:rsidR="00A113A4" w:rsidRPr="00A17559" w:rsidRDefault="00661EFC" w:rsidP="00185E52">
            <w:pPr>
              <w:rPr>
                <w:spacing w:val="-2"/>
                <w:lang w:val="en-GB"/>
              </w:rPr>
            </w:pPr>
            <w:r w:rsidRPr="00A17559">
              <w:rPr>
                <w:spacing w:val="-2"/>
                <w:lang w:val="en-GB"/>
              </w:rPr>
              <w:t xml:space="preserve">While </w:t>
            </w:r>
            <w:r w:rsidR="00B76A3F" w:rsidRPr="00A17559">
              <w:rPr>
                <w:spacing w:val="-2"/>
                <w:lang w:val="en-GB"/>
              </w:rPr>
              <w:t xml:space="preserve">the setup of basic monetary policy-relevant rates </w:t>
            </w:r>
            <w:r w:rsidRPr="00A17559">
              <w:rPr>
                <w:spacing w:val="-2"/>
                <w:lang w:val="en-GB"/>
              </w:rPr>
              <w:t>did not change</w:t>
            </w:r>
            <w:r w:rsidR="00B76A3F" w:rsidRPr="00A17559">
              <w:rPr>
                <w:spacing w:val="-2"/>
                <w:lang w:val="en-GB"/>
              </w:rPr>
              <w:t xml:space="preserve"> in Q</w:t>
            </w:r>
            <w:r w:rsidR="00A113A4" w:rsidRPr="00A17559">
              <w:rPr>
                <w:spacing w:val="-2"/>
                <w:lang w:val="en-GB"/>
              </w:rPr>
              <w:t>1</w:t>
            </w:r>
            <w:r w:rsidR="00B76A3F" w:rsidRPr="00A17559">
              <w:rPr>
                <w:spacing w:val="-2"/>
                <w:lang w:val="en-GB"/>
              </w:rPr>
              <w:t xml:space="preserve"> </w:t>
            </w:r>
            <w:r w:rsidR="00A113A4" w:rsidRPr="00A17559">
              <w:rPr>
                <w:spacing w:val="-2"/>
                <w:lang w:val="en-GB"/>
              </w:rPr>
              <w:t>2019</w:t>
            </w:r>
            <w:r w:rsidR="00B76A3F" w:rsidRPr="00A17559">
              <w:rPr>
                <w:spacing w:val="-2"/>
                <w:lang w:val="en-GB"/>
              </w:rPr>
              <w:t xml:space="preserve">, it was decided to increase the two-week repo rate from </w:t>
            </w:r>
            <w:r w:rsidR="00A113A4" w:rsidRPr="00A17559">
              <w:rPr>
                <w:spacing w:val="-2"/>
                <w:lang w:val="en-GB"/>
              </w:rPr>
              <w:t>1</w:t>
            </w:r>
            <w:r w:rsidR="00495709" w:rsidRPr="00A17559">
              <w:rPr>
                <w:spacing w:val="-2"/>
                <w:lang w:val="en-GB"/>
              </w:rPr>
              <w:t>.</w:t>
            </w:r>
            <w:r w:rsidR="00A113A4" w:rsidRPr="00A17559">
              <w:rPr>
                <w:spacing w:val="-2"/>
                <w:lang w:val="en-GB"/>
              </w:rPr>
              <w:t>75</w:t>
            </w:r>
            <w:r w:rsidR="00403F57" w:rsidRPr="00A17559">
              <w:rPr>
                <w:spacing w:val="-2"/>
                <w:lang w:val="en-GB"/>
              </w:rPr>
              <w:t>%</w:t>
            </w:r>
            <w:r w:rsidR="00A113A4" w:rsidRPr="00A17559">
              <w:rPr>
                <w:spacing w:val="-2"/>
                <w:lang w:val="en-GB"/>
              </w:rPr>
              <w:t xml:space="preserve"> </w:t>
            </w:r>
            <w:r w:rsidR="00495709" w:rsidRPr="00A17559">
              <w:rPr>
                <w:spacing w:val="-2"/>
                <w:lang w:val="en-GB"/>
              </w:rPr>
              <w:t xml:space="preserve">to </w:t>
            </w:r>
            <w:r w:rsidR="00A113A4" w:rsidRPr="00A17559">
              <w:rPr>
                <w:spacing w:val="-2"/>
                <w:lang w:val="en-GB"/>
              </w:rPr>
              <w:t>2</w:t>
            </w:r>
            <w:r w:rsidR="00495709" w:rsidRPr="00A17559">
              <w:rPr>
                <w:spacing w:val="-2"/>
                <w:lang w:val="en-GB"/>
              </w:rPr>
              <w:t>.</w:t>
            </w:r>
            <w:r w:rsidR="00A113A4" w:rsidRPr="00A17559">
              <w:rPr>
                <w:spacing w:val="-2"/>
                <w:lang w:val="en-GB"/>
              </w:rPr>
              <w:t>00</w:t>
            </w:r>
            <w:r w:rsidR="00403F57" w:rsidRPr="00A17559">
              <w:rPr>
                <w:spacing w:val="-2"/>
                <w:lang w:val="en-GB"/>
              </w:rPr>
              <w:t>%</w:t>
            </w:r>
            <w:r w:rsidR="00B76A3F" w:rsidRPr="00A17559">
              <w:rPr>
                <w:spacing w:val="-2"/>
                <w:lang w:val="en-GB"/>
              </w:rPr>
              <w:t xml:space="preserve"> in May</w:t>
            </w:r>
            <w:r w:rsidR="00A113A4" w:rsidRPr="00A17559">
              <w:rPr>
                <w:spacing w:val="-2"/>
                <w:lang w:val="en-GB"/>
              </w:rPr>
              <w:t xml:space="preserve">. </w:t>
            </w:r>
            <w:r w:rsidR="00185E52" w:rsidRPr="00A17559">
              <w:rPr>
                <w:spacing w:val="-2"/>
                <w:lang w:val="en-GB"/>
              </w:rPr>
              <w:t xml:space="preserve">Discount rate </w:t>
            </w:r>
            <w:r w:rsidR="00A113A4" w:rsidRPr="00A17559">
              <w:rPr>
                <w:spacing w:val="-2"/>
                <w:lang w:val="en-GB"/>
              </w:rPr>
              <w:t>(</w:t>
            </w:r>
            <w:r w:rsidR="00495709" w:rsidRPr="00A17559">
              <w:rPr>
                <w:spacing w:val="-2"/>
                <w:lang w:val="en-GB"/>
              </w:rPr>
              <w:t xml:space="preserve">to </w:t>
            </w:r>
            <w:r w:rsidR="00A113A4" w:rsidRPr="00A17559">
              <w:rPr>
                <w:spacing w:val="-2"/>
                <w:lang w:val="en-GB"/>
              </w:rPr>
              <w:t>1</w:t>
            </w:r>
            <w:r w:rsidR="00495709" w:rsidRPr="00A17559">
              <w:rPr>
                <w:spacing w:val="-2"/>
                <w:lang w:val="en-GB"/>
              </w:rPr>
              <w:t>.</w:t>
            </w:r>
            <w:r w:rsidR="00A113A4" w:rsidRPr="00A17559">
              <w:rPr>
                <w:spacing w:val="-2"/>
                <w:lang w:val="en-GB"/>
              </w:rPr>
              <w:t>00</w:t>
            </w:r>
            <w:r w:rsidR="00403F57" w:rsidRPr="00A17559">
              <w:rPr>
                <w:spacing w:val="-2"/>
                <w:lang w:val="en-GB"/>
              </w:rPr>
              <w:t>%</w:t>
            </w:r>
            <w:r w:rsidR="00A113A4" w:rsidRPr="00A17559">
              <w:rPr>
                <w:spacing w:val="-2"/>
                <w:lang w:val="en-GB"/>
              </w:rPr>
              <w:t xml:space="preserve">) </w:t>
            </w:r>
            <w:r w:rsidR="002F1B09" w:rsidRPr="00A17559">
              <w:rPr>
                <w:spacing w:val="-2"/>
                <w:lang w:val="en-GB"/>
              </w:rPr>
              <w:t>a</w:t>
            </w:r>
            <w:r w:rsidR="00185E52" w:rsidRPr="00A17559">
              <w:rPr>
                <w:spacing w:val="-2"/>
                <w:lang w:val="en-GB"/>
              </w:rPr>
              <w:t xml:space="preserve">nd Lombard rate </w:t>
            </w:r>
            <w:r w:rsidR="00A113A4" w:rsidRPr="00A17559">
              <w:rPr>
                <w:spacing w:val="-2"/>
                <w:lang w:val="en-GB"/>
              </w:rPr>
              <w:t>(3</w:t>
            </w:r>
            <w:r w:rsidR="00185E52" w:rsidRPr="00A17559">
              <w:rPr>
                <w:spacing w:val="-2"/>
                <w:lang w:val="en-GB"/>
              </w:rPr>
              <w:t>.</w:t>
            </w:r>
            <w:r w:rsidR="00A113A4" w:rsidRPr="00A17559">
              <w:rPr>
                <w:spacing w:val="-2"/>
                <w:lang w:val="en-GB"/>
              </w:rPr>
              <w:t>00</w:t>
            </w:r>
            <w:r w:rsidR="00403F57" w:rsidRPr="00A17559">
              <w:rPr>
                <w:spacing w:val="-2"/>
                <w:lang w:val="en-GB"/>
              </w:rPr>
              <w:t>%</w:t>
            </w:r>
            <w:r w:rsidR="00A113A4" w:rsidRPr="00A17559">
              <w:rPr>
                <w:spacing w:val="-2"/>
                <w:lang w:val="en-GB"/>
              </w:rPr>
              <w:t>)</w:t>
            </w:r>
            <w:r w:rsidR="00185E52" w:rsidRPr="00A17559">
              <w:rPr>
                <w:spacing w:val="-2"/>
                <w:lang w:val="en-GB"/>
              </w:rPr>
              <w:t xml:space="preserve"> also increased</w:t>
            </w:r>
            <w:r w:rsidR="00A113A4" w:rsidRPr="00A17559">
              <w:rPr>
                <w:spacing w:val="-2"/>
                <w:lang w:val="en-GB"/>
              </w:rPr>
              <w:t xml:space="preserve">. </w:t>
            </w:r>
            <w:r w:rsidR="00502709" w:rsidRPr="00A17559">
              <w:rPr>
                <w:spacing w:val="-2"/>
                <w:lang w:val="en-GB"/>
              </w:rPr>
              <w:t xml:space="preserve">The difference between the rates in the CR and in the euro area thus further widened </w:t>
            </w:r>
            <w:r w:rsidR="00A113A4" w:rsidRPr="00A17559">
              <w:rPr>
                <w:spacing w:val="-2"/>
                <w:lang w:val="en-GB"/>
              </w:rPr>
              <w:t xml:space="preserve">(ECB </w:t>
            </w:r>
            <w:r w:rsidR="0093475A" w:rsidRPr="00A17559">
              <w:rPr>
                <w:spacing w:val="-2"/>
                <w:lang w:val="en-GB"/>
              </w:rPr>
              <w:t xml:space="preserve">did not change rates since March </w:t>
            </w:r>
            <w:r w:rsidR="00A113A4" w:rsidRPr="00A17559">
              <w:rPr>
                <w:spacing w:val="-2"/>
                <w:lang w:val="en-GB"/>
              </w:rPr>
              <w:t xml:space="preserve">2016 </w:t>
            </w:r>
            <w:r w:rsidR="002F1B09" w:rsidRPr="00A17559">
              <w:rPr>
                <w:spacing w:val="-2"/>
                <w:lang w:val="en-GB"/>
              </w:rPr>
              <w:t>a</w:t>
            </w:r>
            <w:r w:rsidR="0093475A" w:rsidRPr="00A17559">
              <w:rPr>
                <w:spacing w:val="-2"/>
                <w:lang w:val="en-GB"/>
              </w:rPr>
              <w:t>nd</w:t>
            </w:r>
            <w:r w:rsidR="002F1B09" w:rsidRPr="00A17559">
              <w:rPr>
                <w:spacing w:val="-2"/>
                <w:lang w:val="en-GB"/>
              </w:rPr>
              <w:t> </w:t>
            </w:r>
            <w:r w:rsidR="00A113A4" w:rsidRPr="00A17559">
              <w:rPr>
                <w:spacing w:val="-2"/>
                <w:lang w:val="en-GB"/>
              </w:rPr>
              <w:t>repo</w:t>
            </w:r>
            <w:r w:rsidR="0093475A" w:rsidRPr="00A17559">
              <w:rPr>
                <w:spacing w:val="-2"/>
                <w:lang w:val="en-GB"/>
              </w:rPr>
              <w:t xml:space="preserve"> rate is zero</w:t>
            </w:r>
            <w:r w:rsidR="00A113A4" w:rsidRPr="00A17559">
              <w:rPr>
                <w:spacing w:val="-2"/>
                <w:lang w:val="en-GB"/>
              </w:rPr>
              <w:t xml:space="preserve">). </w:t>
            </w:r>
            <w:r w:rsidR="00A80BD2" w:rsidRPr="00A17559">
              <w:rPr>
                <w:spacing w:val="-2"/>
                <w:lang w:val="en-GB"/>
              </w:rPr>
              <w:t>T</w:t>
            </w:r>
            <w:r w:rsidRPr="00A17559">
              <w:rPr>
                <w:spacing w:val="-2"/>
                <w:lang w:val="en-GB"/>
              </w:rPr>
              <w:t>he koruna foreign exchange against euro</w:t>
            </w:r>
            <w:r w:rsidR="00A80BD2" w:rsidRPr="00A17559">
              <w:rPr>
                <w:spacing w:val="-2"/>
                <w:lang w:val="en-GB"/>
              </w:rPr>
              <w:t xml:space="preserve"> was in contrast to dollar or pound relatively stable throughout the whole half-year </w:t>
            </w:r>
            <w:r w:rsidR="00A113A4" w:rsidRPr="00A17559">
              <w:rPr>
                <w:spacing w:val="-2"/>
                <w:lang w:val="en-GB"/>
              </w:rPr>
              <w:t>(</w:t>
            </w:r>
            <w:r w:rsidR="00185E52" w:rsidRPr="00A17559">
              <w:rPr>
                <w:spacing w:val="-2"/>
                <w:lang w:val="en-GB"/>
              </w:rPr>
              <w:t xml:space="preserve">it moved in the corridor between </w:t>
            </w:r>
            <w:r w:rsidR="00A113A4" w:rsidRPr="00A17559">
              <w:rPr>
                <w:spacing w:val="-2"/>
                <w:lang w:val="en-GB"/>
              </w:rPr>
              <w:t>25</w:t>
            </w:r>
            <w:r w:rsidR="00185E52" w:rsidRPr="00A17559">
              <w:rPr>
                <w:spacing w:val="-2"/>
                <w:lang w:val="en-GB"/>
              </w:rPr>
              <w:t>.</w:t>
            </w:r>
            <w:r w:rsidR="00A113A4" w:rsidRPr="00A17559">
              <w:rPr>
                <w:spacing w:val="-2"/>
                <w:lang w:val="en-GB"/>
              </w:rPr>
              <w:t xml:space="preserve">40 </w:t>
            </w:r>
            <w:r w:rsidR="002F1B09" w:rsidRPr="00A17559">
              <w:rPr>
                <w:spacing w:val="-2"/>
                <w:lang w:val="en-GB"/>
              </w:rPr>
              <w:t>a</w:t>
            </w:r>
            <w:r w:rsidR="00185E52" w:rsidRPr="00A17559">
              <w:rPr>
                <w:spacing w:val="-2"/>
                <w:lang w:val="en-GB"/>
              </w:rPr>
              <w:t>nd</w:t>
            </w:r>
            <w:r w:rsidR="002F1B09" w:rsidRPr="00A17559">
              <w:rPr>
                <w:spacing w:val="-2"/>
                <w:lang w:val="en-GB"/>
              </w:rPr>
              <w:t> </w:t>
            </w:r>
            <w:r w:rsidR="00A113A4" w:rsidRPr="00A17559">
              <w:rPr>
                <w:spacing w:val="-2"/>
                <w:lang w:val="en-GB"/>
              </w:rPr>
              <w:t>25</w:t>
            </w:r>
            <w:r w:rsidR="00185E52" w:rsidRPr="00A17559">
              <w:rPr>
                <w:spacing w:val="-2"/>
                <w:lang w:val="en-GB"/>
              </w:rPr>
              <w:t>.</w:t>
            </w:r>
            <w:r w:rsidR="00A113A4" w:rsidRPr="00A17559">
              <w:rPr>
                <w:spacing w:val="-2"/>
                <w:lang w:val="en-GB"/>
              </w:rPr>
              <w:t>9</w:t>
            </w:r>
            <w:r w:rsidR="00403F57" w:rsidRPr="00A17559">
              <w:rPr>
                <w:spacing w:val="-2"/>
                <w:lang w:val="en-GB"/>
              </w:rPr>
              <w:t>0 </w:t>
            </w:r>
            <w:r w:rsidR="00A113A4" w:rsidRPr="00A17559">
              <w:rPr>
                <w:spacing w:val="-2"/>
                <w:lang w:val="en-GB"/>
              </w:rPr>
              <w:t>koruna</w:t>
            </w:r>
            <w:r w:rsidR="00185E52" w:rsidRPr="00A17559">
              <w:rPr>
                <w:spacing w:val="-2"/>
                <w:lang w:val="en-GB"/>
              </w:rPr>
              <w:t xml:space="preserve"> per </w:t>
            </w:r>
            <w:r w:rsidR="00A113A4" w:rsidRPr="00A17559">
              <w:rPr>
                <w:spacing w:val="-2"/>
                <w:lang w:val="en-GB"/>
              </w:rPr>
              <w:t>euro</w:t>
            </w:r>
            <w:r w:rsidR="00A113A4" w:rsidRPr="00A17559">
              <w:rPr>
                <w:rStyle w:val="Znakapoznpodarou"/>
                <w:spacing w:val="-2"/>
                <w:lang w:val="en-GB"/>
              </w:rPr>
              <w:footnoteReference w:id="52"/>
            </w:r>
            <w:r w:rsidR="00A113A4" w:rsidRPr="00A17559">
              <w:rPr>
                <w:spacing w:val="-2"/>
                <w:lang w:val="en-GB"/>
              </w:rPr>
              <w:t xml:space="preserve">). </w:t>
            </w:r>
            <w:r w:rsidR="0093475A" w:rsidRPr="00A17559">
              <w:rPr>
                <w:spacing w:val="-2"/>
                <w:lang w:val="en-GB"/>
              </w:rPr>
              <w:t xml:space="preserve">The rate was then mildly weakening from April to May </w:t>
            </w:r>
            <w:r w:rsidR="00A113A4" w:rsidRPr="00A17559">
              <w:rPr>
                <w:spacing w:val="-2"/>
                <w:lang w:val="en-GB"/>
              </w:rPr>
              <w:t>2019</w:t>
            </w:r>
            <w:r w:rsidR="0093475A" w:rsidRPr="00A17559">
              <w:rPr>
                <w:spacing w:val="-2"/>
                <w:lang w:val="en-GB"/>
              </w:rPr>
              <w:t xml:space="preserve"> </w:t>
            </w:r>
            <w:r w:rsidR="00A113A4" w:rsidRPr="00A17559">
              <w:rPr>
                <w:spacing w:val="-2"/>
                <w:lang w:val="en-GB"/>
              </w:rPr>
              <w:t>(maxi</w:t>
            </w:r>
            <w:r w:rsidR="00A80BD2" w:rsidRPr="00A17559">
              <w:rPr>
                <w:spacing w:val="-2"/>
                <w:lang w:val="en-GB"/>
              </w:rPr>
              <w:t xml:space="preserve">mum value of </w:t>
            </w:r>
            <w:r w:rsidR="00A113A4" w:rsidRPr="00A17559">
              <w:rPr>
                <w:spacing w:val="-2"/>
                <w:lang w:val="en-GB"/>
              </w:rPr>
              <w:t>25</w:t>
            </w:r>
            <w:r w:rsidR="00A80BD2" w:rsidRPr="00A17559">
              <w:rPr>
                <w:spacing w:val="-2"/>
                <w:lang w:val="en-GB"/>
              </w:rPr>
              <w:t>.</w:t>
            </w:r>
            <w:r w:rsidR="00A113A4" w:rsidRPr="00A17559">
              <w:rPr>
                <w:spacing w:val="-2"/>
                <w:lang w:val="en-GB"/>
              </w:rPr>
              <w:t>8</w:t>
            </w:r>
            <w:r w:rsidR="00403F57" w:rsidRPr="00A17559">
              <w:rPr>
                <w:spacing w:val="-2"/>
                <w:lang w:val="en-GB"/>
              </w:rPr>
              <w:t>6 </w:t>
            </w:r>
            <w:r w:rsidR="00A113A4" w:rsidRPr="00A17559">
              <w:rPr>
                <w:spacing w:val="-2"/>
                <w:lang w:val="en-GB"/>
              </w:rPr>
              <w:t>CZK/EUR</w:t>
            </w:r>
            <w:r w:rsidR="00A80BD2" w:rsidRPr="00A17559">
              <w:rPr>
                <w:spacing w:val="-2"/>
                <w:lang w:val="en-GB"/>
              </w:rPr>
              <w:t xml:space="preserve"> on</w:t>
            </w:r>
            <w:r w:rsidR="00A113A4" w:rsidRPr="00A17559">
              <w:rPr>
                <w:spacing w:val="-2"/>
                <w:lang w:val="en-GB"/>
              </w:rPr>
              <w:t xml:space="preserve"> </w:t>
            </w:r>
            <w:r w:rsidR="00A80BD2" w:rsidRPr="00A17559">
              <w:rPr>
                <w:spacing w:val="-2"/>
                <w:lang w:val="en-GB"/>
              </w:rPr>
              <w:t xml:space="preserve">the </w:t>
            </w:r>
            <w:r w:rsidR="00A113A4" w:rsidRPr="00A17559">
              <w:rPr>
                <w:spacing w:val="-2"/>
                <w:lang w:val="en-GB"/>
              </w:rPr>
              <w:t>2</w:t>
            </w:r>
            <w:r w:rsidR="004A5D4E" w:rsidRPr="00A17559">
              <w:rPr>
                <w:spacing w:val="-2"/>
                <w:lang w:val="en-GB"/>
              </w:rPr>
              <w:t>9</w:t>
            </w:r>
            <w:r w:rsidR="00A80BD2" w:rsidRPr="00A17559">
              <w:rPr>
                <w:spacing w:val="-2"/>
                <w:lang w:val="en-GB"/>
              </w:rPr>
              <w:t>th May</w:t>
            </w:r>
            <w:r w:rsidR="00A113A4" w:rsidRPr="00A17559">
              <w:rPr>
                <w:spacing w:val="-2"/>
                <w:lang w:val="en-GB"/>
              </w:rPr>
              <w:t xml:space="preserve">). </w:t>
            </w:r>
            <w:r w:rsidR="00002315" w:rsidRPr="00A17559">
              <w:rPr>
                <w:spacing w:val="-2"/>
                <w:lang w:val="en-GB"/>
              </w:rPr>
              <w:t xml:space="preserve">Subsequently, the trend turned and </w:t>
            </w:r>
            <w:r w:rsidR="00A80BD2" w:rsidRPr="00A17559">
              <w:rPr>
                <w:spacing w:val="-2"/>
                <w:lang w:val="en-GB"/>
              </w:rPr>
              <w:t xml:space="preserve">the koruna foreign exchange appreciated </w:t>
            </w:r>
            <w:r w:rsidR="009E6140" w:rsidRPr="00A17559">
              <w:rPr>
                <w:spacing w:val="-2"/>
                <w:lang w:val="en-GB"/>
              </w:rPr>
              <w:t xml:space="preserve">up to the level of </w:t>
            </w:r>
            <w:r w:rsidR="00A113A4" w:rsidRPr="00A17559">
              <w:rPr>
                <w:spacing w:val="-2"/>
                <w:lang w:val="en-GB"/>
              </w:rPr>
              <w:t>25</w:t>
            </w:r>
            <w:r w:rsidR="009E6140" w:rsidRPr="00A17559">
              <w:rPr>
                <w:spacing w:val="-2"/>
                <w:lang w:val="en-GB"/>
              </w:rPr>
              <w:t>.</w:t>
            </w:r>
            <w:r w:rsidR="00A113A4" w:rsidRPr="00A17559">
              <w:rPr>
                <w:spacing w:val="-2"/>
                <w:lang w:val="en-GB"/>
              </w:rPr>
              <w:t>4</w:t>
            </w:r>
            <w:r w:rsidR="00403F57" w:rsidRPr="00A17559">
              <w:rPr>
                <w:spacing w:val="-2"/>
                <w:lang w:val="en-GB"/>
              </w:rPr>
              <w:t>4 </w:t>
            </w:r>
            <w:r w:rsidR="00A113A4" w:rsidRPr="00A17559">
              <w:rPr>
                <w:spacing w:val="-2"/>
                <w:lang w:val="en-GB"/>
              </w:rPr>
              <w:t>CZK/EUR</w:t>
            </w:r>
            <w:r w:rsidR="009E6140" w:rsidRPr="00A17559">
              <w:rPr>
                <w:spacing w:val="-2"/>
                <w:lang w:val="en-GB"/>
              </w:rPr>
              <w:t xml:space="preserve"> until 27th June. The koruna foreign exchange against </w:t>
            </w:r>
            <w:r w:rsidR="00076079" w:rsidRPr="00A17559">
              <w:rPr>
                <w:spacing w:val="-2"/>
                <w:lang w:val="en-GB"/>
              </w:rPr>
              <w:t xml:space="preserve">dollar was weakening </w:t>
            </w:r>
            <w:r w:rsidR="00495709" w:rsidRPr="00A17559">
              <w:rPr>
                <w:spacing w:val="-2"/>
                <w:lang w:val="en-GB"/>
              </w:rPr>
              <w:t xml:space="preserve">from January to May </w:t>
            </w:r>
            <w:r w:rsidR="00076079" w:rsidRPr="00A17559">
              <w:rPr>
                <w:spacing w:val="-2"/>
                <w:lang w:val="en-GB"/>
              </w:rPr>
              <w:t xml:space="preserve">down to </w:t>
            </w:r>
            <w:r w:rsidR="00A113A4" w:rsidRPr="00A17559">
              <w:rPr>
                <w:spacing w:val="-2"/>
                <w:lang w:val="en-GB"/>
              </w:rPr>
              <w:t>23</w:t>
            </w:r>
            <w:r w:rsidR="00495709" w:rsidRPr="00A17559">
              <w:rPr>
                <w:spacing w:val="-2"/>
                <w:lang w:val="en-GB"/>
              </w:rPr>
              <w:t>.</w:t>
            </w:r>
            <w:r w:rsidR="00A113A4" w:rsidRPr="00A17559">
              <w:rPr>
                <w:spacing w:val="-2"/>
                <w:lang w:val="en-GB"/>
              </w:rPr>
              <w:t>1</w:t>
            </w:r>
            <w:r w:rsidR="00403F57" w:rsidRPr="00A17559">
              <w:rPr>
                <w:spacing w:val="-2"/>
                <w:lang w:val="en-GB"/>
              </w:rPr>
              <w:t>5 </w:t>
            </w:r>
            <w:r w:rsidR="00A113A4" w:rsidRPr="00A17559">
              <w:rPr>
                <w:spacing w:val="-2"/>
                <w:lang w:val="en-GB"/>
              </w:rPr>
              <w:t xml:space="preserve">CZK/USD </w:t>
            </w:r>
            <w:r w:rsidR="00495709" w:rsidRPr="00A17559">
              <w:rPr>
                <w:spacing w:val="-2"/>
                <w:lang w:val="en-GB"/>
              </w:rPr>
              <w:t xml:space="preserve">on </w:t>
            </w:r>
            <w:r w:rsidR="00A113A4" w:rsidRPr="00A17559">
              <w:rPr>
                <w:spacing w:val="-2"/>
                <w:lang w:val="en-GB"/>
              </w:rPr>
              <w:t>3</w:t>
            </w:r>
            <w:r w:rsidR="004A5D4E" w:rsidRPr="00A17559">
              <w:rPr>
                <w:spacing w:val="-2"/>
                <w:lang w:val="en-GB"/>
              </w:rPr>
              <w:t>1</w:t>
            </w:r>
            <w:r w:rsidR="00495709" w:rsidRPr="00A17559">
              <w:rPr>
                <w:spacing w:val="-2"/>
                <w:lang w:val="en-GB"/>
              </w:rPr>
              <w:t>st May</w:t>
            </w:r>
            <w:r w:rsidR="004A5D4E" w:rsidRPr="00A17559">
              <w:rPr>
                <w:spacing w:val="-2"/>
                <w:lang w:val="en-GB"/>
              </w:rPr>
              <w:t>.</w:t>
            </w:r>
            <w:r w:rsidR="005C2B30" w:rsidRPr="00A17559">
              <w:rPr>
                <w:spacing w:val="-2"/>
                <w:lang w:val="en-GB"/>
              </w:rPr>
              <w:t xml:space="preserve"> </w:t>
            </w:r>
            <w:r w:rsidR="0093475A" w:rsidRPr="00A17559">
              <w:rPr>
                <w:spacing w:val="-2"/>
                <w:lang w:val="en-GB"/>
              </w:rPr>
              <w:t xml:space="preserve">Koruna however appreciated during June and </w:t>
            </w:r>
            <w:r w:rsidR="00185E52" w:rsidRPr="00A17559">
              <w:rPr>
                <w:spacing w:val="-2"/>
                <w:lang w:val="en-GB"/>
              </w:rPr>
              <w:t>completed</w:t>
            </w:r>
            <w:r w:rsidR="0093475A" w:rsidRPr="00A17559">
              <w:rPr>
                <w:spacing w:val="-2"/>
                <w:lang w:val="en-GB"/>
              </w:rPr>
              <w:t xml:space="preserve"> the half-year at the level of </w:t>
            </w:r>
            <w:r w:rsidR="00A113A4" w:rsidRPr="00A17559">
              <w:rPr>
                <w:spacing w:val="-2"/>
                <w:lang w:val="en-GB"/>
              </w:rPr>
              <w:t>22</w:t>
            </w:r>
            <w:r w:rsidR="0093475A" w:rsidRPr="00A17559">
              <w:rPr>
                <w:spacing w:val="-2"/>
                <w:lang w:val="en-GB"/>
              </w:rPr>
              <w:t>.</w:t>
            </w:r>
            <w:r w:rsidR="00A113A4" w:rsidRPr="00A17559">
              <w:rPr>
                <w:spacing w:val="-2"/>
                <w:lang w:val="en-GB"/>
              </w:rPr>
              <w:t>36 </w:t>
            </w:r>
            <w:r w:rsidR="0093475A" w:rsidRPr="00A17559">
              <w:rPr>
                <w:spacing w:val="-2"/>
                <w:lang w:val="en-GB"/>
              </w:rPr>
              <w:t>CZK per dollar</w:t>
            </w:r>
            <w:r w:rsidR="00A113A4" w:rsidRPr="00A17559">
              <w:rPr>
                <w:spacing w:val="-2"/>
                <w:lang w:val="en-GB"/>
              </w:rPr>
              <w:t>.</w:t>
            </w:r>
          </w:p>
        </w:tc>
      </w:tr>
      <w:tr w:rsidR="00A113A4" w:rsidRPr="00A17559" w:rsidTr="00F23826">
        <w:trPr>
          <w:trHeight w:val="145"/>
        </w:trPr>
        <w:tc>
          <w:tcPr>
            <w:tcW w:w="1799" w:type="dxa"/>
            <w:shd w:val="clear" w:color="auto" w:fill="auto"/>
            <w:tcMar>
              <w:left w:w="0" w:type="dxa"/>
            </w:tcMar>
          </w:tcPr>
          <w:p w:rsidR="00A113A4" w:rsidRPr="00A17559" w:rsidRDefault="00185E52" w:rsidP="00185E52">
            <w:pPr>
              <w:pStyle w:val="Marginlie"/>
              <w:rPr>
                <w:lang w:val="en-GB"/>
              </w:rPr>
            </w:pPr>
            <w:r w:rsidRPr="00A17559">
              <w:rPr>
                <w:lang w:val="en-GB"/>
              </w:rPr>
              <w:t xml:space="preserve">Interests on government bonds fell. </w:t>
            </w:r>
          </w:p>
        </w:tc>
        <w:tc>
          <w:tcPr>
            <w:tcW w:w="230" w:type="dxa"/>
            <w:shd w:val="clear" w:color="auto" w:fill="auto"/>
            <w:tcMar>
              <w:left w:w="0" w:type="dxa"/>
            </w:tcMar>
          </w:tcPr>
          <w:p w:rsidR="00A113A4" w:rsidRPr="00A17559" w:rsidRDefault="00A113A4" w:rsidP="00A113A4">
            <w:pPr>
              <w:pStyle w:val="Textpoznpodarou"/>
              <w:jc w:val="both"/>
              <w:rPr>
                <w:spacing w:val="-4"/>
                <w:lang w:val="en-GB"/>
              </w:rPr>
            </w:pPr>
          </w:p>
        </w:tc>
        <w:tc>
          <w:tcPr>
            <w:tcW w:w="7610" w:type="dxa"/>
            <w:shd w:val="clear" w:color="auto" w:fill="auto"/>
            <w:tcMar>
              <w:left w:w="0" w:type="dxa"/>
            </w:tcMar>
          </w:tcPr>
          <w:p w:rsidR="00A113A4" w:rsidRPr="00A17559" w:rsidRDefault="00D419C9" w:rsidP="00725611">
            <w:pPr>
              <w:rPr>
                <w:spacing w:val="-1"/>
                <w:lang w:val="en-GB"/>
              </w:rPr>
            </w:pPr>
            <w:r w:rsidRPr="00A17559">
              <w:rPr>
                <w:spacing w:val="-1"/>
                <w:lang w:val="en-GB"/>
              </w:rPr>
              <w:t xml:space="preserve">Interbank interest rates also naturally reacted </w:t>
            </w:r>
            <w:r w:rsidR="00725611" w:rsidRPr="00A17559">
              <w:rPr>
                <w:spacing w:val="-1"/>
                <w:lang w:val="en-GB"/>
              </w:rPr>
              <w:t>to</w:t>
            </w:r>
            <w:r w:rsidRPr="00A17559">
              <w:rPr>
                <w:spacing w:val="-1"/>
                <w:lang w:val="en-GB"/>
              </w:rPr>
              <w:t xml:space="preserve"> the growth of the monetary policy-relevant rates. Three-months </w:t>
            </w:r>
            <w:r w:rsidR="00A113A4" w:rsidRPr="00A17559">
              <w:rPr>
                <w:spacing w:val="-1"/>
                <w:lang w:val="en-GB"/>
              </w:rPr>
              <w:t>PRIBOR</w:t>
            </w:r>
            <w:r w:rsidRPr="00A17559">
              <w:rPr>
                <w:spacing w:val="-1"/>
                <w:lang w:val="en-GB"/>
              </w:rPr>
              <w:t xml:space="preserve"> rate </w:t>
            </w:r>
            <w:r w:rsidR="009716DE" w:rsidRPr="00A17559">
              <w:rPr>
                <w:spacing w:val="-1"/>
                <w:lang w:val="en-GB"/>
              </w:rPr>
              <w:t xml:space="preserve">increased by </w:t>
            </w:r>
            <w:r w:rsidR="00A113A4" w:rsidRPr="00A17559">
              <w:rPr>
                <w:spacing w:val="-1"/>
                <w:lang w:val="en-GB"/>
              </w:rPr>
              <w:t>0</w:t>
            </w:r>
            <w:r w:rsidR="009716DE" w:rsidRPr="00A17559">
              <w:rPr>
                <w:spacing w:val="-1"/>
                <w:lang w:val="en-GB"/>
              </w:rPr>
              <w:t>.</w:t>
            </w:r>
            <w:r w:rsidR="00A113A4" w:rsidRPr="00A17559">
              <w:rPr>
                <w:spacing w:val="-1"/>
                <w:lang w:val="en-GB"/>
              </w:rPr>
              <w:t>14</w:t>
            </w:r>
            <w:r w:rsidR="00403F57" w:rsidRPr="00A17559">
              <w:rPr>
                <w:spacing w:val="-1"/>
                <w:lang w:val="en-GB"/>
              </w:rPr>
              <w:t> p.</w:t>
            </w:r>
            <w:r w:rsidR="009716DE" w:rsidRPr="00A17559">
              <w:rPr>
                <w:spacing w:val="-1"/>
                <w:lang w:val="en-GB"/>
              </w:rPr>
              <w:t>p</w:t>
            </w:r>
            <w:r w:rsidR="00403F57" w:rsidRPr="00A17559">
              <w:rPr>
                <w:spacing w:val="-1"/>
                <w:lang w:val="en-GB"/>
              </w:rPr>
              <w:t>.</w:t>
            </w:r>
            <w:r w:rsidR="009716DE" w:rsidRPr="00A17559">
              <w:rPr>
                <w:spacing w:val="-1"/>
                <w:lang w:val="en-GB"/>
              </w:rPr>
              <w:t xml:space="preserve"> to </w:t>
            </w:r>
            <w:r w:rsidR="00A113A4" w:rsidRPr="00A17559">
              <w:rPr>
                <w:spacing w:val="-1"/>
                <w:lang w:val="en-GB"/>
              </w:rPr>
              <w:t>2</w:t>
            </w:r>
            <w:r w:rsidR="009716DE" w:rsidRPr="00A17559">
              <w:rPr>
                <w:spacing w:val="-1"/>
                <w:lang w:val="en-GB"/>
              </w:rPr>
              <w:t>.</w:t>
            </w:r>
            <w:r w:rsidR="00A113A4" w:rsidRPr="00A17559">
              <w:rPr>
                <w:spacing w:val="-1"/>
                <w:lang w:val="en-GB"/>
              </w:rPr>
              <w:t>17</w:t>
            </w:r>
            <w:r w:rsidR="00403F57" w:rsidRPr="00A17559">
              <w:rPr>
                <w:spacing w:val="-1"/>
                <w:lang w:val="en-GB"/>
              </w:rPr>
              <w:t>%</w:t>
            </w:r>
            <w:r w:rsidR="009716DE" w:rsidRPr="00A17559">
              <w:rPr>
                <w:spacing w:val="-1"/>
                <w:lang w:val="en-GB"/>
              </w:rPr>
              <w:t xml:space="preserve"> during Q2</w:t>
            </w:r>
            <w:r w:rsidR="00A113A4" w:rsidRPr="00A17559">
              <w:rPr>
                <w:spacing w:val="-1"/>
                <w:lang w:val="en-GB"/>
              </w:rPr>
              <w:t xml:space="preserve">. </w:t>
            </w:r>
            <w:r w:rsidRPr="00A17559">
              <w:rPr>
                <w:spacing w:val="-1"/>
                <w:lang w:val="en-GB"/>
              </w:rPr>
              <w:t xml:space="preserve">In the opposite direction, the yields of bonds were decreasing, specifically for all types of maturities. Short term government bonds </w:t>
            </w:r>
            <w:r w:rsidR="00A113A4" w:rsidRPr="00A17559">
              <w:rPr>
                <w:spacing w:val="-1"/>
                <w:lang w:val="en-GB"/>
              </w:rPr>
              <w:t>(</w:t>
            </w:r>
            <w:r w:rsidR="00403F57" w:rsidRPr="00A17559">
              <w:rPr>
                <w:spacing w:val="-1"/>
                <w:lang w:val="en-GB"/>
              </w:rPr>
              <w:t>2 </w:t>
            </w:r>
            <w:r w:rsidR="009716DE" w:rsidRPr="00A17559">
              <w:rPr>
                <w:spacing w:val="-1"/>
                <w:lang w:val="en-GB"/>
              </w:rPr>
              <w:t>years</w:t>
            </w:r>
            <w:r w:rsidR="00A113A4" w:rsidRPr="00A17559">
              <w:rPr>
                <w:spacing w:val="-1"/>
                <w:lang w:val="en-GB"/>
              </w:rPr>
              <w:t>)</w:t>
            </w:r>
            <w:r w:rsidR="00821DA9" w:rsidRPr="00A17559">
              <w:rPr>
                <w:spacing w:val="-1"/>
                <w:lang w:val="en-GB"/>
              </w:rPr>
              <w:t xml:space="preserve"> bore interest </w:t>
            </w:r>
            <w:r w:rsidR="00A113A4" w:rsidRPr="00A17559">
              <w:rPr>
                <w:spacing w:val="-1"/>
                <w:lang w:val="en-GB"/>
              </w:rPr>
              <w:t>1</w:t>
            </w:r>
            <w:r w:rsidR="00821DA9" w:rsidRPr="00A17559">
              <w:rPr>
                <w:spacing w:val="-1"/>
                <w:lang w:val="en-GB"/>
              </w:rPr>
              <w:t>.</w:t>
            </w:r>
            <w:r w:rsidR="00A113A4" w:rsidRPr="00A17559">
              <w:rPr>
                <w:spacing w:val="-1"/>
                <w:lang w:val="en-GB"/>
              </w:rPr>
              <w:t>52</w:t>
            </w:r>
            <w:r w:rsidR="00403F57" w:rsidRPr="00A17559">
              <w:rPr>
                <w:spacing w:val="-1"/>
                <w:lang w:val="en-GB"/>
              </w:rPr>
              <w:t>%</w:t>
            </w:r>
            <w:r w:rsidR="00821DA9" w:rsidRPr="00A17559">
              <w:rPr>
                <w:spacing w:val="-1"/>
                <w:lang w:val="en-GB"/>
              </w:rPr>
              <w:t xml:space="preserve"> as of 30.6.</w:t>
            </w:r>
            <w:r w:rsidR="00A113A4" w:rsidRPr="00A17559">
              <w:rPr>
                <w:spacing w:val="-1"/>
                <w:lang w:val="en-GB"/>
              </w:rPr>
              <w:t xml:space="preserve">, </w:t>
            </w:r>
            <w:r w:rsidR="00821DA9" w:rsidRPr="00A17559">
              <w:rPr>
                <w:spacing w:val="-1"/>
                <w:lang w:val="en-GB"/>
              </w:rPr>
              <w:t xml:space="preserve">by </w:t>
            </w:r>
            <w:r w:rsidR="00A113A4" w:rsidRPr="00A17559">
              <w:rPr>
                <w:spacing w:val="-1"/>
                <w:lang w:val="en-GB"/>
              </w:rPr>
              <w:t>0</w:t>
            </w:r>
            <w:r w:rsidR="00821DA9" w:rsidRPr="00A17559">
              <w:rPr>
                <w:spacing w:val="-1"/>
                <w:lang w:val="en-GB"/>
              </w:rPr>
              <w:t>.</w:t>
            </w:r>
            <w:r w:rsidR="00A113A4" w:rsidRPr="00A17559">
              <w:rPr>
                <w:spacing w:val="-1"/>
                <w:lang w:val="en-GB"/>
              </w:rPr>
              <w:t>19</w:t>
            </w:r>
            <w:r w:rsidR="00403F57" w:rsidRPr="00A17559">
              <w:rPr>
                <w:spacing w:val="-1"/>
                <w:lang w:val="en-GB"/>
              </w:rPr>
              <w:t> p.</w:t>
            </w:r>
            <w:r w:rsidR="00821DA9" w:rsidRPr="00A17559">
              <w:rPr>
                <w:spacing w:val="-1"/>
                <w:lang w:val="en-GB"/>
              </w:rPr>
              <w:t>p</w:t>
            </w:r>
            <w:r w:rsidR="00403F57" w:rsidRPr="00A17559">
              <w:rPr>
                <w:spacing w:val="-1"/>
                <w:lang w:val="en-GB"/>
              </w:rPr>
              <w:t>.</w:t>
            </w:r>
            <w:r w:rsidR="00821DA9" w:rsidRPr="00A17559">
              <w:rPr>
                <w:spacing w:val="-1"/>
                <w:lang w:val="en-GB"/>
              </w:rPr>
              <w:t xml:space="preserve"> less compared to the end of March. Medium term bonds </w:t>
            </w:r>
            <w:r w:rsidR="00A113A4" w:rsidRPr="00A17559">
              <w:rPr>
                <w:spacing w:val="-1"/>
                <w:lang w:val="en-GB"/>
              </w:rPr>
              <w:t>(</w:t>
            </w:r>
            <w:r w:rsidR="00403F57" w:rsidRPr="00A17559">
              <w:rPr>
                <w:spacing w:val="-1"/>
                <w:lang w:val="en-GB"/>
              </w:rPr>
              <w:t>5 </w:t>
            </w:r>
            <w:r w:rsidR="00661EFC" w:rsidRPr="00A17559">
              <w:rPr>
                <w:spacing w:val="-1"/>
                <w:lang w:val="en-GB"/>
              </w:rPr>
              <w:t>years</w:t>
            </w:r>
            <w:r w:rsidR="00A113A4" w:rsidRPr="00A17559">
              <w:rPr>
                <w:spacing w:val="-1"/>
                <w:lang w:val="en-GB"/>
              </w:rPr>
              <w:t>)</w:t>
            </w:r>
            <w:r w:rsidR="00821DA9" w:rsidRPr="00A17559">
              <w:rPr>
                <w:spacing w:val="-1"/>
                <w:lang w:val="en-GB"/>
              </w:rPr>
              <w:t xml:space="preserve"> featured more significant fall </w:t>
            </w:r>
            <w:r w:rsidR="00A113A4" w:rsidRPr="00A17559">
              <w:rPr>
                <w:spacing w:val="-1"/>
                <w:lang w:val="en-GB"/>
              </w:rPr>
              <w:t>–</w:t>
            </w:r>
            <w:r w:rsidR="005C2B30" w:rsidRPr="00A17559">
              <w:rPr>
                <w:spacing w:val="-1"/>
                <w:lang w:val="en-GB"/>
              </w:rPr>
              <w:t> </w:t>
            </w:r>
            <w:r w:rsidR="00821DA9" w:rsidRPr="00A17559">
              <w:rPr>
                <w:spacing w:val="-1"/>
                <w:lang w:val="en-GB"/>
              </w:rPr>
              <w:t>by</w:t>
            </w:r>
            <w:r w:rsidR="002F1B09" w:rsidRPr="00A17559">
              <w:rPr>
                <w:spacing w:val="-1"/>
                <w:lang w:val="en-GB"/>
              </w:rPr>
              <w:t> </w:t>
            </w:r>
            <w:r w:rsidR="00A113A4" w:rsidRPr="00A17559">
              <w:rPr>
                <w:spacing w:val="-1"/>
                <w:lang w:val="en-GB"/>
              </w:rPr>
              <w:t>0</w:t>
            </w:r>
            <w:r w:rsidR="00821DA9" w:rsidRPr="00A17559">
              <w:rPr>
                <w:spacing w:val="-1"/>
                <w:lang w:val="en-GB"/>
              </w:rPr>
              <w:t>.</w:t>
            </w:r>
            <w:r w:rsidR="00A113A4" w:rsidRPr="00A17559">
              <w:rPr>
                <w:spacing w:val="-1"/>
                <w:lang w:val="en-GB"/>
              </w:rPr>
              <w:t>27</w:t>
            </w:r>
            <w:r w:rsidR="00403F57" w:rsidRPr="00A17559">
              <w:rPr>
                <w:spacing w:val="-1"/>
                <w:lang w:val="en-GB"/>
              </w:rPr>
              <w:t> p.</w:t>
            </w:r>
            <w:r w:rsidR="00821DA9" w:rsidRPr="00A17559">
              <w:rPr>
                <w:spacing w:val="-1"/>
                <w:lang w:val="en-GB"/>
              </w:rPr>
              <w:t>p</w:t>
            </w:r>
            <w:r w:rsidR="00403F57" w:rsidRPr="00A17559">
              <w:rPr>
                <w:spacing w:val="-1"/>
                <w:lang w:val="en-GB"/>
              </w:rPr>
              <w:t>.</w:t>
            </w:r>
            <w:r w:rsidR="00821DA9" w:rsidRPr="00A17559">
              <w:rPr>
                <w:spacing w:val="-1"/>
                <w:lang w:val="en-GB"/>
              </w:rPr>
              <w:t xml:space="preserve"> to </w:t>
            </w:r>
            <w:r w:rsidR="00A113A4" w:rsidRPr="00A17559">
              <w:rPr>
                <w:spacing w:val="-1"/>
                <w:lang w:val="en-GB"/>
              </w:rPr>
              <w:t>1</w:t>
            </w:r>
            <w:r w:rsidR="00821DA9" w:rsidRPr="00A17559">
              <w:rPr>
                <w:spacing w:val="-1"/>
                <w:lang w:val="en-GB"/>
              </w:rPr>
              <w:t>.</w:t>
            </w:r>
            <w:r w:rsidR="00A113A4" w:rsidRPr="00A17559">
              <w:rPr>
                <w:spacing w:val="-1"/>
                <w:lang w:val="en-GB"/>
              </w:rPr>
              <w:t xml:space="preserve">43%. </w:t>
            </w:r>
            <w:r w:rsidR="00A0239B" w:rsidRPr="00A17559">
              <w:rPr>
                <w:spacing w:val="-1"/>
                <w:lang w:val="en-GB"/>
              </w:rPr>
              <w:t xml:space="preserve">Yield on long-term bonds decreased by </w:t>
            </w:r>
            <w:r w:rsidR="00A113A4" w:rsidRPr="00A17559">
              <w:rPr>
                <w:spacing w:val="-1"/>
                <w:lang w:val="en-GB"/>
              </w:rPr>
              <w:t>0</w:t>
            </w:r>
            <w:r w:rsidR="00A0239B" w:rsidRPr="00A17559">
              <w:rPr>
                <w:spacing w:val="-1"/>
                <w:lang w:val="en-GB"/>
              </w:rPr>
              <w:t>.</w:t>
            </w:r>
            <w:r w:rsidR="00A113A4" w:rsidRPr="00A17559">
              <w:rPr>
                <w:spacing w:val="-1"/>
                <w:lang w:val="en-GB"/>
              </w:rPr>
              <w:t>24</w:t>
            </w:r>
            <w:r w:rsidR="00403F57" w:rsidRPr="00A17559">
              <w:rPr>
                <w:spacing w:val="-1"/>
                <w:lang w:val="en-GB"/>
              </w:rPr>
              <w:t> p.</w:t>
            </w:r>
            <w:r w:rsidR="00A0239B" w:rsidRPr="00A17559">
              <w:rPr>
                <w:spacing w:val="-1"/>
                <w:lang w:val="en-GB"/>
              </w:rPr>
              <w:t>p</w:t>
            </w:r>
            <w:r w:rsidR="00403F57" w:rsidRPr="00A17559">
              <w:rPr>
                <w:spacing w:val="-1"/>
                <w:lang w:val="en-GB"/>
              </w:rPr>
              <w:t>.</w:t>
            </w:r>
            <w:r w:rsidR="00A113A4" w:rsidRPr="00A17559">
              <w:rPr>
                <w:spacing w:val="-1"/>
                <w:lang w:val="en-GB"/>
              </w:rPr>
              <w:t xml:space="preserve"> </w:t>
            </w:r>
            <w:r w:rsidR="00A0239B" w:rsidRPr="00A17559">
              <w:rPr>
                <w:spacing w:val="-1"/>
                <w:lang w:val="en-GB"/>
              </w:rPr>
              <w:t xml:space="preserve">to </w:t>
            </w:r>
            <w:r w:rsidR="00A113A4" w:rsidRPr="00A17559">
              <w:rPr>
                <w:spacing w:val="-1"/>
                <w:lang w:val="en-GB"/>
              </w:rPr>
              <w:t>1</w:t>
            </w:r>
            <w:r w:rsidR="00A0239B" w:rsidRPr="00A17559">
              <w:rPr>
                <w:spacing w:val="-1"/>
                <w:lang w:val="en-GB"/>
              </w:rPr>
              <w:t>.</w:t>
            </w:r>
            <w:r w:rsidR="00A113A4" w:rsidRPr="00A17559">
              <w:rPr>
                <w:spacing w:val="-1"/>
                <w:lang w:val="en-GB"/>
              </w:rPr>
              <w:t>58</w:t>
            </w:r>
            <w:r w:rsidR="00403F57" w:rsidRPr="00A17559">
              <w:rPr>
                <w:spacing w:val="-1"/>
                <w:lang w:val="en-GB"/>
              </w:rPr>
              <w:t>%</w:t>
            </w:r>
            <w:r w:rsidR="00A113A4" w:rsidRPr="00A17559">
              <w:rPr>
                <w:spacing w:val="-1"/>
                <w:lang w:val="en-GB"/>
              </w:rPr>
              <w:t>.</w:t>
            </w:r>
            <w:r w:rsidR="00A0239B" w:rsidRPr="00A17559">
              <w:rPr>
                <w:spacing w:val="-1"/>
                <w:lang w:val="en-GB"/>
              </w:rPr>
              <w:t xml:space="preserve"> Euro area bonds were also characterised by falling trend – the short term ones aimed deeper below the zero level </w:t>
            </w:r>
            <w:r w:rsidR="00A113A4" w:rsidRPr="00A17559">
              <w:rPr>
                <w:spacing w:val="-1"/>
                <w:lang w:val="en-GB"/>
              </w:rPr>
              <w:t>(</w:t>
            </w:r>
            <w:r w:rsidR="005C2B30" w:rsidRPr="00A17559">
              <w:rPr>
                <w:spacing w:val="-1"/>
                <w:lang w:val="en-GB"/>
              </w:rPr>
              <w:t>–</w:t>
            </w:r>
            <w:r w:rsidR="00A113A4" w:rsidRPr="00A17559">
              <w:rPr>
                <w:spacing w:val="-1"/>
                <w:lang w:val="en-GB"/>
              </w:rPr>
              <w:t>0</w:t>
            </w:r>
            <w:r w:rsidR="00A0239B" w:rsidRPr="00A17559">
              <w:rPr>
                <w:spacing w:val="-1"/>
                <w:lang w:val="en-GB"/>
              </w:rPr>
              <w:t>.</w:t>
            </w:r>
            <w:r w:rsidR="00A113A4" w:rsidRPr="00A17559">
              <w:rPr>
                <w:spacing w:val="-1"/>
                <w:lang w:val="en-GB"/>
              </w:rPr>
              <w:t>34</w:t>
            </w:r>
            <w:r w:rsidR="00403F57" w:rsidRPr="00A17559">
              <w:rPr>
                <w:spacing w:val="-1"/>
                <w:lang w:val="en-GB"/>
              </w:rPr>
              <w:t>%</w:t>
            </w:r>
            <w:r w:rsidR="00A0239B" w:rsidRPr="00A17559">
              <w:rPr>
                <w:spacing w:val="-1"/>
                <w:lang w:val="en-GB"/>
              </w:rPr>
              <w:t xml:space="preserve"> as of </w:t>
            </w:r>
            <w:r w:rsidR="00A113A4" w:rsidRPr="00A17559">
              <w:rPr>
                <w:spacing w:val="-1"/>
                <w:lang w:val="en-GB"/>
              </w:rPr>
              <w:t>3</w:t>
            </w:r>
            <w:r w:rsidR="004A5D4E" w:rsidRPr="00A17559">
              <w:rPr>
                <w:spacing w:val="-1"/>
                <w:lang w:val="en-GB"/>
              </w:rPr>
              <w:t>0.</w:t>
            </w:r>
            <w:r w:rsidR="00A113A4" w:rsidRPr="00A17559">
              <w:rPr>
                <w:spacing w:val="-1"/>
                <w:lang w:val="en-GB"/>
              </w:rPr>
              <w:t>6.).</w:t>
            </w:r>
          </w:p>
        </w:tc>
      </w:tr>
      <w:tr w:rsidR="00A113A4" w:rsidRPr="00A17559" w:rsidTr="00F23826">
        <w:trPr>
          <w:trHeight w:val="145"/>
        </w:trPr>
        <w:tc>
          <w:tcPr>
            <w:tcW w:w="1799" w:type="dxa"/>
            <w:shd w:val="clear" w:color="auto" w:fill="auto"/>
            <w:tcMar>
              <w:left w:w="0" w:type="dxa"/>
            </w:tcMar>
          </w:tcPr>
          <w:p w:rsidR="00A113A4" w:rsidRPr="00A17559" w:rsidRDefault="000A4A20" w:rsidP="000A4A20">
            <w:pPr>
              <w:pStyle w:val="Marginlie"/>
              <w:rPr>
                <w:lang w:val="en-GB"/>
              </w:rPr>
            </w:pPr>
            <w:r w:rsidRPr="00A17559">
              <w:rPr>
                <w:lang w:val="en-GB"/>
              </w:rPr>
              <w:t xml:space="preserve">Interest rates on deposits with agreed maturity continued to grow. </w:t>
            </w:r>
          </w:p>
        </w:tc>
        <w:tc>
          <w:tcPr>
            <w:tcW w:w="230" w:type="dxa"/>
            <w:shd w:val="clear" w:color="auto" w:fill="auto"/>
            <w:tcMar>
              <w:left w:w="0" w:type="dxa"/>
            </w:tcMar>
          </w:tcPr>
          <w:p w:rsidR="00A113A4" w:rsidRPr="00A17559" w:rsidRDefault="00A113A4" w:rsidP="00A113A4">
            <w:pPr>
              <w:pStyle w:val="Textpoznpodarou"/>
              <w:jc w:val="both"/>
              <w:rPr>
                <w:spacing w:val="-4"/>
                <w:lang w:val="en-GB"/>
              </w:rPr>
            </w:pPr>
          </w:p>
        </w:tc>
        <w:tc>
          <w:tcPr>
            <w:tcW w:w="7610" w:type="dxa"/>
            <w:shd w:val="clear" w:color="auto" w:fill="auto"/>
            <w:tcMar>
              <w:left w:w="0" w:type="dxa"/>
            </w:tcMar>
          </w:tcPr>
          <w:p w:rsidR="00A113A4" w:rsidRPr="00A17559" w:rsidRDefault="009716DE" w:rsidP="003D4A29">
            <w:pPr>
              <w:rPr>
                <w:spacing w:val="-4"/>
                <w:lang w:val="en-GB"/>
              </w:rPr>
            </w:pPr>
            <w:r w:rsidRPr="00A17559">
              <w:rPr>
                <w:spacing w:val="-3"/>
                <w:lang w:val="en-GB"/>
              </w:rPr>
              <w:t>Development of interest rates on client accounts did not divert from trends set in the last year. Interest rates on the current accounts of households remained practically unchange</w:t>
            </w:r>
            <w:r w:rsidR="00890C49" w:rsidRPr="00A17559">
              <w:rPr>
                <w:spacing w:val="-3"/>
                <w:lang w:val="en-GB"/>
              </w:rPr>
              <w:t>d</w:t>
            </w:r>
            <w:r w:rsidRPr="00A17559">
              <w:rPr>
                <w:spacing w:val="-3"/>
                <w:lang w:val="en-GB"/>
              </w:rPr>
              <w:t xml:space="preserve"> </w:t>
            </w:r>
            <w:r w:rsidR="00A113A4" w:rsidRPr="00A17559">
              <w:rPr>
                <w:spacing w:val="-3"/>
                <w:lang w:val="en-GB"/>
              </w:rPr>
              <w:t>(0</w:t>
            </w:r>
            <w:r w:rsidRPr="00A17559">
              <w:rPr>
                <w:spacing w:val="-3"/>
                <w:lang w:val="en-GB"/>
              </w:rPr>
              <w:t>.</w:t>
            </w:r>
            <w:r w:rsidR="00A113A4" w:rsidRPr="00A17559">
              <w:rPr>
                <w:spacing w:val="-3"/>
                <w:lang w:val="en-GB"/>
              </w:rPr>
              <w:t>05</w:t>
            </w:r>
            <w:r w:rsidR="00403F57" w:rsidRPr="00A17559">
              <w:rPr>
                <w:spacing w:val="-3"/>
                <w:lang w:val="en-GB"/>
              </w:rPr>
              <w:t>%</w:t>
            </w:r>
            <w:r w:rsidRPr="00A17559">
              <w:rPr>
                <w:spacing w:val="-3"/>
                <w:lang w:val="en-GB"/>
              </w:rPr>
              <w:t xml:space="preserve"> to </w:t>
            </w:r>
            <w:r w:rsidR="00A113A4" w:rsidRPr="00A17559">
              <w:rPr>
                <w:spacing w:val="-3"/>
                <w:lang w:val="en-GB"/>
              </w:rPr>
              <w:t>3</w:t>
            </w:r>
            <w:r w:rsidR="004A5D4E" w:rsidRPr="00A17559">
              <w:rPr>
                <w:spacing w:val="-3"/>
                <w:lang w:val="en-GB"/>
              </w:rPr>
              <w:t>0.</w:t>
            </w:r>
            <w:r w:rsidR="00A113A4" w:rsidRPr="00A17559">
              <w:rPr>
                <w:spacing w:val="-3"/>
                <w:lang w:val="en-GB"/>
              </w:rPr>
              <w:t xml:space="preserve">6.). </w:t>
            </w:r>
            <w:r w:rsidR="00FD67AF">
              <w:rPr>
                <w:spacing w:val="-3"/>
                <w:lang w:val="en-GB"/>
              </w:rPr>
              <w:t>On</w:t>
            </w:r>
            <w:r w:rsidR="00890C49" w:rsidRPr="00A17559">
              <w:rPr>
                <w:spacing w:val="-3"/>
                <w:lang w:val="en-GB"/>
              </w:rPr>
              <w:t xml:space="preserve"> the contrary, the interests on deposits with agreed maturity mildly rose</w:t>
            </w:r>
            <w:r w:rsidR="00A113A4" w:rsidRPr="00A17559">
              <w:rPr>
                <w:spacing w:val="-3"/>
                <w:lang w:val="en-GB"/>
              </w:rPr>
              <w:t xml:space="preserve"> (</w:t>
            </w:r>
            <w:r w:rsidR="00537B61" w:rsidRPr="00A17559">
              <w:rPr>
                <w:spacing w:val="-3"/>
                <w:lang w:val="en-GB"/>
              </w:rPr>
              <w:t xml:space="preserve">by </w:t>
            </w:r>
            <w:r w:rsidR="00A113A4" w:rsidRPr="00A17559">
              <w:rPr>
                <w:spacing w:val="-3"/>
                <w:lang w:val="en-GB"/>
              </w:rPr>
              <w:t>0</w:t>
            </w:r>
            <w:r w:rsidR="00537B61" w:rsidRPr="00A17559">
              <w:rPr>
                <w:spacing w:val="-3"/>
                <w:lang w:val="en-GB"/>
              </w:rPr>
              <w:t>.</w:t>
            </w:r>
            <w:r w:rsidR="00A113A4" w:rsidRPr="00A17559">
              <w:rPr>
                <w:spacing w:val="-3"/>
                <w:lang w:val="en-GB"/>
              </w:rPr>
              <w:t>08</w:t>
            </w:r>
            <w:r w:rsidR="00403F57" w:rsidRPr="00A17559">
              <w:rPr>
                <w:spacing w:val="-3"/>
                <w:lang w:val="en-GB"/>
              </w:rPr>
              <w:t> p.</w:t>
            </w:r>
            <w:r w:rsidR="00537B61" w:rsidRPr="00A17559">
              <w:rPr>
                <w:spacing w:val="-3"/>
                <w:lang w:val="en-GB"/>
              </w:rPr>
              <w:t>p</w:t>
            </w:r>
            <w:r w:rsidR="00403F57" w:rsidRPr="00A17559">
              <w:rPr>
                <w:spacing w:val="-3"/>
                <w:lang w:val="en-GB"/>
              </w:rPr>
              <w:t>.</w:t>
            </w:r>
            <w:r w:rsidR="00537B61" w:rsidRPr="00A17559">
              <w:rPr>
                <w:spacing w:val="-3"/>
                <w:lang w:val="en-GB"/>
              </w:rPr>
              <w:t xml:space="preserve"> to </w:t>
            </w:r>
            <w:r w:rsidR="00A113A4" w:rsidRPr="00A17559">
              <w:rPr>
                <w:spacing w:val="-3"/>
                <w:lang w:val="en-GB"/>
              </w:rPr>
              <w:t>1</w:t>
            </w:r>
            <w:r w:rsidR="00537B61" w:rsidRPr="00A17559">
              <w:rPr>
                <w:spacing w:val="-3"/>
                <w:lang w:val="en-GB"/>
              </w:rPr>
              <w:t>.</w:t>
            </w:r>
            <w:r w:rsidR="00A113A4" w:rsidRPr="00A17559">
              <w:rPr>
                <w:spacing w:val="-3"/>
                <w:lang w:val="en-GB"/>
              </w:rPr>
              <w:t>54</w:t>
            </w:r>
            <w:r w:rsidR="00403F57" w:rsidRPr="00A17559">
              <w:rPr>
                <w:spacing w:val="-3"/>
                <w:lang w:val="en-GB"/>
              </w:rPr>
              <w:t>%</w:t>
            </w:r>
            <w:r w:rsidR="00537B61" w:rsidRPr="00A17559">
              <w:rPr>
                <w:spacing w:val="-3"/>
                <w:lang w:val="en-GB"/>
              </w:rPr>
              <w:t xml:space="preserve"> as of </w:t>
            </w:r>
            <w:r w:rsidR="00A113A4" w:rsidRPr="00A17559">
              <w:rPr>
                <w:spacing w:val="-3"/>
                <w:lang w:val="en-GB"/>
              </w:rPr>
              <w:t>3</w:t>
            </w:r>
            <w:r w:rsidR="004A5D4E" w:rsidRPr="00A17559">
              <w:rPr>
                <w:spacing w:val="-3"/>
                <w:lang w:val="en-GB"/>
              </w:rPr>
              <w:t>0.</w:t>
            </w:r>
            <w:r w:rsidR="00A113A4" w:rsidRPr="00A17559">
              <w:rPr>
                <w:spacing w:val="-3"/>
                <w:lang w:val="en-GB"/>
              </w:rPr>
              <w:t>6.)</w:t>
            </w:r>
            <w:r w:rsidR="00890C49" w:rsidRPr="00A17559">
              <w:rPr>
                <w:spacing w:val="-3"/>
                <w:lang w:val="en-GB"/>
              </w:rPr>
              <w:t xml:space="preserve"> also in Q2</w:t>
            </w:r>
            <w:r w:rsidR="00A113A4" w:rsidRPr="00A17559">
              <w:rPr>
                <w:spacing w:val="-3"/>
                <w:lang w:val="en-GB"/>
              </w:rPr>
              <w:t>.</w:t>
            </w:r>
            <w:r w:rsidR="00537B61" w:rsidRPr="00A17559">
              <w:rPr>
                <w:spacing w:val="-3"/>
                <w:lang w:val="en-GB"/>
              </w:rPr>
              <w:t xml:space="preserve"> </w:t>
            </w:r>
            <w:r w:rsidR="00472177" w:rsidRPr="00A17559">
              <w:rPr>
                <w:spacing w:val="-3"/>
                <w:lang w:val="en-GB"/>
              </w:rPr>
              <w:t>Exclusively the rates on accounts with agreed maturity up to 1 year (inclusive)</w:t>
            </w:r>
            <w:r w:rsidR="00725611" w:rsidRPr="00A17559">
              <w:rPr>
                <w:spacing w:val="-3"/>
                <w:lang w:val="en-GB"/>
              </w:rPr>
              <w:t xml:space="preserve"> grew</w:t>
            </w:r>
            <w:r w:rsidR="00A113A4" w:rsidRPr="00A17559">
              <w:rPr>
                <w:spacing w:val="-3"/>
                <w:lang w:val="en-GB"/>
              </w:rPr>
              <w:t>, o</w:t>
            </w:r>
            <w:r w:rsidR="00537B61" w:rsidRPr="00A17559">
              <w:rPr>
                <w:spacing w:val="-3"/>
                <w:lang w:val="en-GB"/>
              </w:rPr>
              <w:t xml:space="preserve">ther maturities recorded </w:t>
            </w:r>
            <w:r w:rsidR="00890C49" w:rsidRPr="00A17559">
              <w:rPr>
                <w:spacing w:val="-3"/>
                <w:lang w:val="en-GB"/>
              </w:rPr>
              <w:t>a decrease in Q</w:t>
            </w:r>
            <w:r w:rsidR="004A5D4E" w:rsidRPr="00A17559">
              <w:rPr>
                <w:spacing w:val="-3"/>
                <w:lang w:val="en-GB"/>
              </w:rPr>
              <w:t>2.</w:t>
            </w:r>
            <w:r w:rsidR="00890C49" w:rsidRPr="00A17559">
              <w:rPr>
                <w:spacing w:val="-3"/>
                <w:lang w:val="en-GB"/>
              </w:rPr>
              <w:t xml:space="preserve"> </w:t>
            </w:r>
            <w:r w:rsidR="005F6D7C" w:rsidRPr="00A17559">
              <w:rPr>
                <w:spacing w:val="-3"/>
                <w:lang w:val="en-GB"/>
              </w:rPr>
              <w:t xml:space="preserve">Interest rates on current accounts of non-financial businesses followed a different path. </w:t>
            </w:r>
            <w:r w:rsidR="00A113A4" w:rsidRPr="00A17559">
              <w:rPr>
                <w:spacing w:val="-3"/>
                <w:lang w:val="en-GB"/>
              </w:rPr>
              <w:t>T</w:t>
            </w:r>
            <w:r w:rsidR="003D4A29" w:rsidRPr="00A17559">
              <w:rPr>
                <w:spacing w:val="-3"/>
                <w:lang w:val="en-GB"/>
              </w:rPr>
              <w:t xml:space="preserve">hey were rising five quarters in a row and attained on average 0.22% as of </w:t>
            </w:r>
            <w:r w:rsidR="00A113A4" w:rsidRPr="00A17559">
              <w:rPr>
                <w:spacing w:val="-3"/>
                <w:lang w:val="en-GB"/>
              </w:rPr>
              <w:t>3</w:t>
            </w:r>
            <w:r w:rsidR="004A5D4E" w:rsidRPr="00A17559">
              <w:rPr>
                <w:spacing w:val="-3"/>
                <w:lang w:val="en-GB"/>
              </w:rPr>
              <w:t>0.6.</w:t>
            </w:r>
            <w:r w:rsidR="003D4A29" w:rsidRPr="00A17559">
              <w:rPr>
                <w:spacing w:val="-3"/>
                <w:lang w:val="en-GB"/>
              </w:rPr>
              <w:t xml:space="preserve"> For non-financial businesses, interest rates also increased on deposits with agreed maturity </w:t>
            </w:r>
            <w:r w:rsidR="00A113A4" w:rsidRPr="00A17559">
              <w:rPr>
                <w:spacing w:val="-3"/>
                <w:lang w:val="en-GB"/>
              </w:rPr>
              <w:t>(</w:t>
            </w:r>
            <w:r w:rsidR="003D4A29" w:rsidRPr="00A17559">
              <w:rPr>
                <w:spacing w:val="-3"/>
                <w:lang w:val="en-GB"/>
              </w:rPr>
              <w:t xml:space="preserve">by </w:t>
            </w:r>
            <w:r w:rsidR="00A113A4" w:rsidRPr="00A17559">
              <w:rPr>
                <w:spacing w:val="-3"/>
                <w:lang w:val="en-GB"/>
              </w:rPr>
              <w:t>0</w:t>
            </w:r>
            <w:r w:rsidR="003D4A29" w:rsidRPr="00A17559">
              <w:rPr>
                <w:spacing w:val="-3"/>
                <w:lang w:val="en-GB"/>
              </w:rPr>
              <w:t>.</w:t>
            </w:r>
            <w:r w:rsidR="00A113A4" w:rsidRPr="00A17559">
              <w:rPr>
                <w:spacing w:val="-3"/>
                <w:lang w:val="en-GB"/>
              </w:rPr>
              <w:t>28</w:t>
            </w:r>
            <w:r w:rsidR="00403F57" w:rsidRPr="00A17559">
              <w:rPr>
                <w:spacing w:val="-3"/>
                <w:lang w:val="en-GB"/>
              </w:rPr>
              <w:t> p.</w:t>
            </w:r>
            <w:r w:rsidR="003D4A29" w:rsidRPr="00A17559">
              <w:rPr>
                <w:spacing w:val="-3"/>
                <w:lang w:val="en-GB"/>
              </w:rPr>
              <w:t>p</w:t>
            </w:r>
            <w:r w:rsidR="00403F57" w:rsidRPr="00A17559">
              <w:rPr>
                <w:spacing w:val="-3"/>
                <w:lang w:val="en-GB"/>
              </w:rPr>
              <w:t>.</w:t>
            </w:r>
            <w:r w:rsidR="003D4A29" w:rsidRPr="00A17559">
              <w:rPr>
                <w:spacing w:val="-3"/>
                <w:lang w:val="en-GB"/>
              </w:rPr>
              <w:t xml:space="preserve"> to </w:t>
            </w:r>
            <w:r w:rsidR="00A113A4" w:rsidRPr="00A17559">
              <w:rPr>
                <w:spacing w:val="-3"/>
                <w:lang w:val="en-GB"/>
              </w:rPr>
              <w:t>1</w:t>
            </w:r>
            <w:r w:rsidR="003D4A29" w:rsidRPr="00A17559">
              <w:rPr>
                <w:spacing w:val="-3"/>
                <w:lang w:val="en-GB"/>
              </w:rPr>
              <w:t>.</w:t>
            </w:r>
            <w:r w:rsidR="00A113A4" w:rsidRPr="00A17559">
              <w:rPr>
                <w:spacing w:val="-3"/>
                <w:lang w:val="en-GB"/>
              </w:rPr>
              <w:t>63</w:t>
            </w:r>
            <w:r w:rsidR="00403F57" w:rsidRPr="00A17559">
              <w:rPr>
                <w:spacing w:val="-3"/>
                <w:lang w:val="en-GB"/>
              </w:rPr>
              <w:t>%</w:t>
            </w:r>
            <w:r w:rsidR="003D4A29" w:rsidRPr="00A17559">
              <w:rPr>
                <w:spacing w:val="-3"/>
                <w:lang w:val="en-GB"/>
              </w:rPr>
              <w:t xml:space="preserve"> during Q2</w:t>
            </w:r>
            <w:r w:rsidR="00A113A4" w:rsidRPr="00A17559">
              <w:rPr>
                <w:spacing w:val="-3"/>
                <w:lang w:val="en-GB"/>
              </w:rPr>
              <w:t xml:space="preserve">) </w:t>
            </w:r>
            <w:r w:rsidR="003D4A29" w:rsidRPr="00A17559">
              <w:rPr>
                <w:spacing w:val="-3"/>
                <w:lang w:val="en-GB"/>
              </w:rPr>
              <w:t xml:space="preserve">as well as deposits redeemable at notice </w:t>
            </w:r>
            <w:r w:rsidR="00A113A4" w:rsidRPr="00A17559">
              <w:rPr>
                <w:spacing w:val="-3"/>
                <w:lang w:val="en-GB"/>
              </w:rPr>
              <w:t>(</w:t>
            </w:r>
            <w:r w:rsidR="003D4A29" w:rsidRPr="00A17559">
              <w:rPr>
                <w:spacing w:val="-3"/>
                <w:lang w:val="en-GB"/>
              </w:rPr>
              <w:t xml:space="preserve">by </w:t>
            </w:r>
            <w:r w:rsidR="00A113A4" w:rsidRPr="00A17559">
              <w:rPr>
                <w:spacing w:val="-3"/>
                <w:lang w:val="en-GB"/>
              </w:rPr>
              <w:t>0</w:t>
            </w:r>
            <w:r w:rsidR="003D4A29" w:rsidRPr="00A17559">
              <w:rPr>
                <w:spacing w:val="-3"/>
                <w:lang w:val="en-GB"/>
              </w:rPr>
              <w:t>.</w:t>
            </w:r>
            <w:r w:rsidR="00A113A4" w:rsidRPr="00A17559">
              <w:rPr>
                <w:spacing w:val="-3"/>
                <w:lang w:val="en-GB"/>
              </w:rPr>
              <w:t>1</w:t>
            </w:r>
            <w:r w:rsidR="00403F57" w:rsidRPr="00A17559">
              <w:rPr>
                <w:spacing w:val="-3"/>
                <w:lang w:val="en-GB"/>
              </w:rPr>
              <w:t> p.</w:t>
            </w:r>
            <w:r w:rsidR="003D4A29" w:rsidRPr="00A17559">
              <w:rPr>
                <w:spacing w:val="-3"/>
                <w:lang w:val="en-GB"/>
              </w:rPr>
              <w:t>p</w:t>
            </w:r>
            <w:r w:rsidR="00403F57" w:rsidRPr="00A17559">
              <w:rPr>
                <w:spacing w:val="-3"/>
                <w:lang w:val="en-GB"/>
              </w:rPr>
              <w:t>.</w:t>
            </w:r>
            <w:r w:rsidR="003D4A29" w:rsidRPr="00A17559">
              <w:rPr>
                <w:spacing w:val="-3"/>
                <w:lang w:val="en-GB"/>
              </w:rPr>
              <w:t xml:space="preserve"> to </w:t>
            </w:r>
            <w:r w:rsidR="00A113A4" w:rsidRPr="00A17559">
              <w:rPr>
                <w:spacing w:val="-3"/>
                <w:lang w:val="en-GB"/>
              </w:rPr>
              <w:t>1</w:t>
            </w:r>
            <w:r w:rsidR="003D4A29" w:rsidRPr="00A17559">
              <w:rPr>
                <w:spacing w:val="-3"/>
                <w:lang w:val="en-GB"/>
              </w:rPr>
              <w:t>.</w:t>
            </w:r>
            <w:r w:rsidR="00A113A4" w:rsidRPr="00A17559">
              <w:rPr>
                <w:spacing w:val="-3"/>
                <w:lang w:val="en-GB"/>
              </w:rPr>
              <w:t>35</w:t>
            </w:r>
            <w:r w:rsidR="00403F57" w:rsidRPr="00A17559">
              <w:rPr>
                <w:spacing w:val="-3"/>
                <w:lang w:val="en-GB"/>
              </w:rPr>
              <w:t>%</w:t>
            </w:r>
            <w:r w:rsidR="00A113A4" w:rsidRPr="00A17559">
              <w:rPr>
                <w:spacing w:val="-3"/>
                <w:lang w:val="en-GB"/>
              </w:rPr>
              <w:t>).</w:t>
            </w:r>
          </w:p>
        </w:tc>
      </w:tr>
      <w:tr w:rsidR="00A113A4" w:rsidRPr="00A17559" w:rsidTr="00F23826">
        <w:trPr>
          <w:trHeight w:val="145"/>
        </w:trPr>
        <w:tc>
          <w:tcPr>
            <w:tcW w:w="1799" w:type="dxa"/>
            <w:shd w:val="clear" w:color="auto" w:fill="auto"/>
            <w:tcMar>
              <w:left w:w="0" w:type="dxa"/>
            </w:tcMar>
          </w:tcPr>
          <w:p w:rsidR="00A113A4" w:rsidRPr="00A17559" w:rsidRDefault="000A4A20" w:rsidP="000A4A20">
            <w:pPr>
              <w:pStyle w:val="Marginlie"/>
              <w:rPr>
                <w:lang w:val="en-GB"/>
              </w:rPr>
            </w:pPr>
            <w:r w:rsidRPr="00A17559">
              <w:rPr>
                <w:lang w:val="en-GB"/>
              </w:rPr>
              <w:t xml:space="preserve">Volume of deposits expanded markedly in Q2 year-on-year, especially due to the deposits of government institutions. </w:t>
            </w:r>
          </w:p>
        </w:tc>
        <w:tc>
          <w:tcPr>
            <w:tcW w:w="230" w:type="dxa"/>
            <w:shd w:val="clear" w:color="auto" w:fill="auto"/>
            <w:tcMar>
              <w:left w:w="0" w:type="dxa"/>
            </w:tcMar>
          </w:tcPr>
          <w:p w:rsidR="00A113A4" w:rsidRPr="00A17559" w:rsidRDefault="00A113A4" w:rsidP="00A113A4">
            <w:pPr>
              <w:pStyle w:val="Textpoznpodarou"/>
              <w:jc w:val="both"/>
              <w:rPr>
                <w:spacing w:val="-4"/>
                <w:lang w:val="en-GB"/>
              </w:rPr>
            </w:pPr>
          </w:p>
        </w:tc>
        <w:tc>
          <w:tcPr>
            <w:tcW w:w="7610" w:type="dxa"/>
            <w:shd w:val="clear" w:color="auto" w:fill="auto"/>
            <w:tcMar>
              <w:left w:w="0" w:type="dxa"/>
            </w:tcMar>
          </w:tcPr>
          <w:p w:rsidR="00A113A4" w:rsidRPr="00A17559" w:rsidRDefault="00955C0E" w:rsidP="007424BA">
            <w:pPr>
              <w:rPr>
                <w:spacing w:val="-4"/>
                <w:lang w:val="en-GB"/>
              </w:rPr>
            </w:pPr>
            <w:r w:rsidRPr="00A17559">
              <w:rPr>
                <w:lang w:val="en-GB"/>
              </w:rPr>
              <w:t>Total volume of deposits expanded by 514.4 CZK bn year</w:t>
            </w:r>
            <w:r w:rsidR="000A4A20" w:rsidRPr="00A17559">
              <w:rPr>
                <w:lang w:val="en-GB"/>
              </w:rPr>
              <w:t>-</w:t>
            </w:r>
            <w:r w:rsidRPr="00A17559">
              <w:rPr>
                <w:lang w:val="en-GB"/>
              </w:rPr>
              <w:t>on-year in Q2</w:t>
            </w:r>
            <w:r w:rsidR="00A113A4" w:rsidRPr="00A17559">
              <w:rPr>
                <w:lang w:val="en-GB"/>
              </w:rPr>
              <w:t xml:space="preserve">. </w:t>
            </w:r>
            <w:r w:rsidR="003D4A29" w:rsidRPr="00A17559">
              <w:rPr>
                <w:lang w:val="en-GB"/>
              </w:rPr>
              <w:t>It</w:t>
            </w:r>
            <w:r w:rsidR="00725611" w:rsidRPr="00A17559">
              <w:rPr>
                <w:lang w:val="en-GB"/>
              </w:rPr>
              <w:t xml:space="preserve"> </w:t>
            </w:r>
            <w:r w:rsidR="003D4A29" w:rsidRPr="00A17559">
              <w:rPr>
                <w:lang w:val="en-GB"/>
              </w:rPr>
              <w:t>is the most since Q</w:t>
            </w:r>
            <w:r w:rsidR="004A5D4E" w:rsidRPr="00A17559">
              <w:rPr>
                <w:lang w:val="en-GB"/>
              </w:rPr>
              <w:t>3</w:t>
            </w:r>
            <w:r w:rsidR="003D4A29" w:rsidRPr="00A17559">
              <w:rPr>
                <w:lang w:val="en-GB"/>
              </w:rPr>
              <w:t xml:space="preserve"> </w:t>
            </w:r>
            <w:r w:rsidR="00A113A4" w:rsidRPr="00A17559">
              <w:rPr>
                <w:lang w:val="en-GB"/>
              </w:rPr>
              <w:t>201</w:t>
            </w:r>
            <w:r w:rsidR="004A5D4E" w:rsidRPr="00A17559">
              <w:rPr>
                <w:lang w:val="en-GB"/>
              </w:rPr>
              <w:t>7.</w:t>
            </w:r>
            <w:r w:rsidR="003D4A29" w:rsidRPr="00A17559">
              <w:rPr>
                <w:lang w:val="en-GB"/>
              </w:rPr>
              <w:t xml:space="preserve"> Deposits from residents expanded, on the contrary non-residents were withdrawing</w:t>
            </w:r>
            <w:r w:rsidR="00725611" w:rsidRPr="00A17559">
              <w:rPr>
                <w:lang w:val="en-GB"/>
              </w:rPr>
              <w:t xml:space="preserve"> their deposits</w:t>
            </w:r>
            <w:r w:rsidR="003D4A29" w:rsidRPr="00A17559">
              <w:rPr>
                <w:lang w:val="en-GB"/>
              </w:rPr>
              <w:t xml:space="preserve"> </w:t>
            </w:r>
            <w:r w:rsidR="00A113A4" w:rsidRPr="00A17559">
              <w:rPr>
                <w:lang w:val="en-GB"/>
              </w:rPr>
              <w:t>–</w:t>
            </w:r>
            <w:r w:rsidR="009F55BA" w:rsidRPr="00A17559">
              <w:rPr>
                <w:lang w:val="en-GB"/>
              </w:rPr>
              <w:t> </w:t>
            </w:r>
            <w:r w:rsidR="004113B9" w:rsidRPr="00A17559">
              <w:rPr>
                <w:lang w:val="en-GB"/>
              </w:rPr>
              <w:t xml:space="preserve">their volume shrank by 8.2 CZK bn year-on-year in Q2 </w:t>
            </w:r>
            <w:r w:rsidR="00A113A4" w:rsidRPr="00A17559">
              <w:rPr>
                <w:lang w:val="en-GB"/>
              </w:rPr>
              <w:t>(</w:t>
            </w:r>
            <w:r w:rsidR="004113B9" w:rsidRPr="00A17559">
              <w:rPr>
                <w:lang w:val="en-GB"/>
              </w:rPr>
              <w:t>total deposits of non-residents fell by 40.6 bn year-on-year during H</w:t>
            </w:r>
            <w:r w:rsidR="004A5D4E" w:rsidRPr="00A17559">
              <w:rPr>
                <w:lang w:val="en-GB"/>
              </w:rPr>
              <w:t>1</w:t>
            </w:r>
            <w:r w:rsidR="00A113A4" w:rsidRPr="00A17559">
              <w:rPr>
                <w:lang w:val="en-GB"/>
              </w:rPr>
              <w:t xml:space="preserve">). </w:t>
            </w:r>
            <w:r w:rsidR="004113B9" w:rsidRPr="00A17559">
              <w:rPr>
                <w:lang w:val="en-GB"/>
              </w:rPr>
              <w:t xml:space="preserve">Deposits of all sectors enlarged, government institutions however contributed the most to the year-on-year acceleration of dynamics. </w:t>
            </w:r>
            <w:r w:rsidR="00A113A4" w:rsidRPr="00A17559">
              <w:rPr>
                <w:lang w:val="en-GB"/>
              </w:rPr>
              <w:t>T</w:t>
            </w:r>
            <w:r w:rsidR="004113B9" w:rsidRPr="00A17559">
              <w:rPr>
                <w:lang w:val="en-GB"/>
              </w:rPr>
              <w:t xml:space="preserve">hese doubled their deposits to </w:t>
            </w:r>
            <w:r w:rsidR="00A113A4" w:rsidRPr="00A17559">
              <w:rPr>
                <w:lang w:val="en-GB"/>
              </w:rPr>
              <w:t>630</w:t>
            </w:r>
            <w:r w:rsidR="004113B9" w:rsidRPr="00A17559">
              <w:rPr>
                <w:lang w:val="en-GB"/>
              </w:rPr>
              <w:t>.</w:t>
            </w:r>
            <w:r w:rsidR="00A113A4" w:rsidRPr="00A17559">
              <w:rPr>
                <w:lang w:val="en-GB"/>
              </w:rPr>
              <w:t>8</w:t>
            </w:r>
            <w:r w:rsidR="004113B9" w:rsidRPr="00A17559">
              <w:rPr>
                <w:lang w:val="en-GB"/>
              </w:rPr>
              <w:t xml:space="preserve"> CZK bn between the end of year 2018 and 30</w:t>
            </w:r>
            <w:r w:rsidR="004113B9" w:rsidRPr="00A17559">
              <w:rPr>
                <w:vertAlign w:val="superscript"/>
                <w:lang w:val="en-GB"/>
              </w:rPr>
              <w:t>th</w:t>
            </w:r>
            <w:r w:rsidR="004113B9" w:rsidRPr="00A17559">
              <w:rPr>
                <w:lang w:val="en-GB"/>
              </w:rPr>
              <w:t xml:space="preserve"> June 2019. According to the time perspective, </w:t>
            </w:r>
            <w:r w:rsidR="008F48A3" w:rsidRPr="00A17559">
              <w:rPr>
                <w:lang w:val="en-GB"/>
              </w:rPr>
              <w:t>the year-on-year growth of the volume of term deposits accelerated in Q</w:t>
            </w:r>
            <w:r w:rsidR="00A113A4" w:rsidRPr="00A17559">
              <w:rPr>
                <w:lang w:val="en-GB"/>
              </w:rPr>
              <w:t>2,</w:t>
            </w:r>
            <w:r w:rsidR="008F48A3" w:rsidRPr="00A17559">
              <w:rPr>
                <w:lang w:val="en-GB"/>
              </w:rPr>
              <w:t xml:space="preserve"> even though part from the </w:t>
            </w:r>
            <w:r w:rsidR="00A113A4" w:rsidRPr="00A17559">
              <w:rPr>
                <w:lang w:val="en-GB"/>
              </w:rPr>
              <w:t>35</w:t>
            </w:r>
            <w:r w:rsidR="008F48A3" w:rsidRPr="00A17559">
              <w:rPr>
                <w:lang w:val="en-GB"/>
              </w:rPr>
              <w:t>.</w:t>
            </w:r>
            <w:r w:rsidR="00A113A4" w:rsidRPr="00A17559">
              <w:rPr>
                <w:lang w:val="en-GB"/>
              </w:rPr>
              <w:t>4%</w:t>
            </w:r>
            <w:r w:rsidR="008F48A3" w:rsidRPr="00A17559">
              <w:rPr>
                <w:lang w:val="en-GB"/>
              </w:rPr>
              <w:t xml:space="preserve"> increase can also be ascribed to the </w:t>
            </w:r>
            <w:r w:rsidR="008F48A3" w:rsidRPr="00A17559">
              <w:rPr>
                <w:lang w:val="en-GB"/>
              </w:rPr>
              <w:lastRenderedPageBreak/>
              <w:t>methodological changes</w:t>
            </w:r>
            <w:r w:rsidR="00A113A4" w:rsidRPr="00A17559">
              <w:rPr>
                <w:rStyle w:val="Znakapoznpodarou"/>
                <w:spacing w:val="-3"/>
                <w:lang w:val="en-GB"/>
              </w:rPr>
              <w:footnoteReference w:id="53"/>
            </w:r>
            <w:r w:rsidR="00A113A4" w:rsidRPr="00A17559">
              <w:rPr>
                <w:lang w:val="en-GB"/>
              </w:rPr>
              <w:t xml:space="preserve">. </w:t>
            </w:r>
            <w:r w:rsidR="004113B9" w:rsidRPr="00A17559">
              <w:rPr>
                <w:lang w:val="en-GB"/>
              </w:rPr>
              <w:t>The growth focal point la</w:t>
            </w:r>
            <w:r w:rsidR="00513857" w:rsidRPr="00A17559">
              <w:rPr>
                <w:lang w:val="en-GB"/>
              </w:rPr>
              <w:t>y</w:t>
            </w:r>
            <w:r w:rsidR="004113B9" w:rsidRPr="00A17559">
              <w:rPr>
                <w:lang w:val="en-GB"/>
              </w:rPr>
              <w:t xml:space="preserve"> mainly in the short-term deposits, which </w:t>
            </w:r>
            <w:r w:rsidR="00513857" w:rsidRPr="00A17559">
              <w:rPr>
                <w:lang w:val="en-GB"/>
              </w:rPr>
              <w:t xml:space="preserve">also </w:t>
            </w:r>
            <w:r w:rsidR="004113B9" w:rsidRPr="00A17559">
              <w:rPr>
                <w:lang w:val="en-GB"/>
              </w:rPr>
              <w:t>corresponds</w:t>
            </w:r>
            <w:r w:rsidR="00513857" w:rsidRPr="00A17559">
              <w:rPr>
                <w:lang w:val="en-GB"/>
              </w:rPr>
              <w:t xml:space="preserve"> </w:t>
            </w:r>
            <w:r w:rsidR="004113B9" w:rsidRPr="00A17559">
              <w:rPr>
                <w:lang w:val="en-GB"/>
              </w:rPr>
              <w:t xml:space="preserve">to the development of the interest rates. </w:t>
            </w:r>
          </w:p>
        </w:tc>
      </w:tr>
      <w:tr w:rsidR="00A113A4" w:rsidRPr="00A17559" w:rsidTr="00F23826">
        <w:trPr>
          <w:trHeight w:val="145"/>
        </w:trPr>
        <w:tc>
          <w:tcPr>
            <w:tcW w:w="1799" w:type="dxa"/>
            <w:shd w:val="clear" w:color="auto" w:fill="auto"/>
            <w:tcMar>
              <w:left w:w="0" w:type="dxa"/>
            </w:tcMar>
          </w:tcPr>
          <w:p w:rsidR="00A113A4" w:rsidRPr="00A17559" w:rsidRDefault="008F48A3" w:rsidP="008F48A3">
            <w:pPr>
              <w:pStyle w:val="Marginlie"/>
              <w:rPr>
                <w:lang w:val="en-GB"/>
              </w:rPr>
            </w:pPr>
            <w:r w:rsidRPr="00A17559">
              <w:rPr>
                <w:lang w:val="en-GB"/>
              </w:rPr>
              <w:lastRenderedPageBreak/>
              <w:t xml:space="preserve">Interests on credit to households again fell. </w:t>
            </w:r>
          </w:p>
        </w:tc>
        <w:tc>
          <w:tcPr>
            <w:tcW w:w="230" w:type="dxa"/>
            <w:shd w:val="clear" w:color="auto" w:fill="auto"/>
            <w:tcMar>
              <w:left w:w="0" w:type="dxa"/>
            </w:tcMar>
          </w:tcPr>
          <w:p w:rsidR="00A113A4" w:rsidRPr="00A17559" w:rsidRDefault="00A113A4" w:rsidP="00A113A4">
            <w:pPr>
              <w:pStyle w:val="Textpoznpodarou"/>
              <w:jc w:val="both"/>
              <w:rPr>
                <w:spacing w:val="-4"/>
                <w:lang w:val="en-GB"/>
              </w:rPr>
            </w:pPr>
          </w:p>
        </w:tc>
        <w:tc>
          <w:tcPr>
            <w:tcW w:w="7610" w:type="dxa"/>
            <w:shd w:val="clear" w:color="auto" w:fill="auto"/>
            <w:tcMar>
              <w:left w:w="0" w:type="dxa"/>
            </w:tcMar>
          </w:tcPr>
          <w:p w:rsidR="00A113A4" w:rsidRPr="00A17559" w:rsidRDefault="00951A15" w:rsidP="00D20FFB">
            <w:pPr>
              <w:spacing w:after="220"/>
              <w:rPr>
                <w:lang w:val="en-GB"/>
              </w:rPr>
            </w:pPr>
            <w:r w:rsidRPr="00A17559">
              <w:rPr>
                <w:lang w:val="en-GB"/>
              </w:rPr>
              <w:t>Following a short period of growth in Q</w:t>
            </w:r>
            <w:r w:rsidR="004A5D4E" w:rsidRPr="00A17559">
              <w:rPr>
                <w:lang w:val="en-GB"/>
              </w:rPr>
              <w:t>2</w:t>
            </w:r>
            <w:r w:rsidRPr="00A17559">
              <w:rPr>
                <w:lang w:val="en-GB"/>
              </w:rPr>
              <w:t xml:space="preserve"> to Q</w:t>
            </w:r>
            <w:r w:rsidR="00A113A4" w:rsidRPr="00A17559">
              <w:rPr>
                <w:lang w:val="en-GB"/>
              </w:rPr>
              <w:t>4</w:t>
            </w:r>
            <w:r w:rsidRPr="00A17559">
              <w:rPr>
                <w:lang w:val="en-GB"/>
              </w:rPr>
              <w:t xml:space="preserve"> la</w:t>
            </w:r>
            <w:r w:rsidR="008F48A3" w:rsidRPr="00A17559">
              <w:rPr>
                <w:lang w:val="en-GB"/>
              </w:rPr>
              <w:t>s</w:t>
            </w:r>
            <w:r w:rsidRPr="00A17559">
              <w:rPr>
                <w:lang w:val="en-GB"/>
              </w:rPr>
              <w:t>t year, the average interest on</w:t>
            </w:r>
            <w:r w:rsidR="008F48A3" w:rsidRPr="00A17559">
              <w:rPr>
                <w:lang w:val="en-GB"/>
              </w:rPr>
              <w:t xml:space="preserve"> credit to households was cut in </w:t>
            </w:r>
            <w:r w:rsidRPr="00A17559">
              <w:rPr>
                <w:lang w:val="en-GB"/>
              </w:rPr>
              <w:t>H</w:t>
            </w:r>
            <w:r w:rsidR="004A5D4E" w:rsidRPr="00A17559">
              <w:rPr>
                <w:lang w:val="en-GB"/>
              </w:rPr>
              <w:t>1.</w:t>
            </w:r>
            <w:r w:rsidR="008F48A3" w:rsidRPr="00A17559">
              <w:rPr>
                <w:lang w:val="en-GB"/>
              </w:rPr>
              <w:t xml:space="preserve"> Interests fell by </w:t>
            </w:r>
            <w:r w:rsidR="00A113A4" w:rsidRPr="00A17559">
              <w:rPr>
                <w:lang w:val="en-GB"/>
              </w:rPr>
              <w:t>0</w:t>
            </w:r>
            <w:r w:rsidR="008F48A3" w:rsidRPr="00A17559">
              <w:rPr>
                <w:lang w:val="en-GB"/>
              </w:rPr>
              <w:t>.</w:t>
            </w:r>
            <w:r w:rsidR="00A113A4" w:rsidRPr="00A17559">
              <w:rPr>
                <w:lang w:val="en-GB"/>
              </w:rPr>
              <w:t>23</w:t>
            </w:r>
            <w:r w:rsidR="00403F57" w:rsidRPr="00A17559">
              <w:rPr>
                <w:lang w:val="en-GB"/>
              </w:rPr>
              <w:t> p.</w:t>
            </w:r>
            <w:r w:rsidR="008F48A3" w:rsidRPr="00A17559">
              <w:rPr>
                <w:lang w:val="en-GB"/>
              </w:rPr>
              <w:t xml:space="preserve">p. to </w:t>
            </w:r>
            <w:r w:rsidR="00A113A4" w:rsidRPr="00A17559">
              <w:rPr>
                <w:lang w:val="en-GB"/>
              </w:rPr>
              <w:t>8</w:t>
            </w:r>
            <w:r w:rsidR="008F48A3" w:rsidRPr="00A17559">
              <w:rPr>
                <w:lang w:val="en-GB"/>
              </w:rPr>
              <w:t>.</w:t>
            </w:r>
            <w:r w:rsidR="00A113A4" w:rsidRPr="00A17559">
              <w:rPr>
                <w:lang w:val="en-GB"/>
              </w:rPr>
              <w:t>4</w:t>
            </w:r>
            <w:r w:rsidR="00403F57" w:rsidRPr="00A17559">
              <w:rPr>
                <w:lang w:val="en-GB"/>
              </w:rPr>
              <w:t>%</w:t>
            </w:r>
            <w:r w:rsidR="00A113A4" w:rsidRPr="00A17559">
              <w:rPr>
                <w:lang w:val="en-GB"/>
              </w:rPr>
              <w:t xml:space="preserve"> </w:t>
            </w:r>
            <w:r w:rsidR="008F48A3" w:rsidRPr="00A17559">
              <w:rPr>
                <w:lang w:val="en-GB"/>
              </w:rPr>
              <w:t xml:space="preserve">quarter-on-quarter in Q1 </w:t>
            </w:r>
            <w:r w:rsidR="002F1B09" w:rsidRPr="00A17559">
              <w:rPr>
                <w:lang w:val="en-GB"/>
              </w:rPr>
              <w:t>a</w:t>
            </w:r>
            <w:r w:rsidR="008F48A3" w:rsidRPr="00A17559">
              <w:rPr>
                <w:lang w:val="en-GB"/>
              </w:rPr>
              <w:t>nd</w:t>
            </w:r>
            <w:r w:rsidR="002F1B09" w:rsidRPr="00A17559">
              <w:rPr>
                <w:lang w:val="en-GB"/>
              </w:rPr>
              <w:t> </w:t>
            </w:r>
            <w:r w:rsidR="008F48A3" w:rsidRPr="00A17559">
              <w:rPr>
                <w:lang w:val="en-GB"/>
              </w:rPr>
              <w:t xml:space="preserve">further down to </w:t>
            </w:r>
            <w:r w:rsidR="00A113A4" w:rsidRPr="00A17559">
              <w:rPr>
                <w:lang w:val="en-GB"/>
              </w:rPr>
              <w:t>8</w:t>
            </w:r>
            <w:r w:rsidR="008F48A3" w:rsidRPr="00A17559">
              <w:rPr>
                <w:lang w:val="en-GB"/>
              </w:rPr>
              <w:t>.</w:t>
            </w:r>
            <w:r w:rsidR="00A113A4" w:rsidRPr="00A17559">
              <w:rPr>
                <w:lang w:val="en-GB"/>
              </w:rPr>
              <w:t>37</w:t>
            </w:r>
            <w:r w:rsidR="00403F57" w:rsidRPr="00A17559">
              <w:rPr>
                <w:lang w:val="en-GB"/>
              </w:rPr>
              <w:t>%</w:t>
            </w:r>
            <w:r w:rsidR="008F48A3" w:rsidRPr="00A17559">
              <w:rPr>
                <w:lang w:val="en-GB"/>
              </w:rPr>
              <w:t xml:space="preserve"> until 30.6</w:t>
            </w:r>
            <w:r w:rsidR="00A113A4" w:rsidRPr="00A17559">
              <w:rPr>
                <w:lang w:val="en-GB"/>
              </w:rPr>
              <w:t>.</w:t>
            </w:r>
            <w:r w:rsidR="008F48A3" w:rsidRPr="00A17559">
              <w:rPr>
                <w:lang w:val="en-GB"/>
              </w:rPr>
              <w:t xml:space="preserve"> Conditions of mortgages for households </w:t>
            </w:r>
            <w:r w:rsidR="00F97A39" w:rsidRPr="00A17559">
              <w:rPr>
                <w:lang w:val="en-GB"/>
              </w:rPr>
              <w:t xml:space="preserve">also </w:t>
            </w:r>
            <w:r w:rsidR="008F48A3" w:rsidRPr="00A17559">
              <w:rPr>
                <w:lang w:val="en-GB"/>
              </w:rPr>
              <w:t>became</w:t>
            </w:r>
            <w:r w:rsidR="00F97A39" w:rsidRPr="00A17559">
              <w:rPr>
                <w:lang w:val="en-GB"/>
              </w:rPr>
              <w:t xml:space="preserve"> </w:t>
            </w:r>
            <w:r w:rsidR="00CC519B" w:rsidRPr="00A17559">
              <w:rPr>
                <w:lang w:val="en-GB"/>
              </w:rPr>
              <w:t>slightly</w:t>
            </w:r>
            <w:r w:rsidR="00F97A39" w:rsidRPr="00A17559">
              <w:rPr>
                <w:lang w:val="en-GB"/>
              </w:rPr>
              <w:t xml:space="preserve"> more advantageous in Q2, the average interest fell by </w:t>
            </w:r>
            <w:r w:rsidR="00A113A4" w:rsidRPr="00A17559">
              <w:rPr>
                <w:lang w:val="en-GB"/>
              </w:rPr>
              <w:t>0</w:t>
            </w:r>
            <w:r w:rsidR="00F97A39" w:rsidRPr="00A17559">
              <w:rPr>
                <w:lang w:val="en-GB"/>
              </w:rPr>
              <w:t>.</w:t>
            </w:r>
            <w:r w:rsidR="00A113A4" w:rsidRPr="00A17559">
              <w:rPr>
                <w:lang w:val="en-GB"/>
              </w:rPr>
              <w:t>1</w:t>
            </w:r>
            <w:r w:rsidR="00403F57" w:rsidRPr="00A17559">
              <w:rPr>
                <w:lang w:val="en-GB"/>
              </w:rPr>
              <w:t> p.</w:t>
            </w:r>
            <w:r w:rsidR="00F97A39" w:rsidRPr="00A17559">
              <w:rPr>
                <w:lang w:val="en-GB"/>
              </w:rPr>
              <w:t>p</w:t>
            </w:r>
            <w:r w:rsidR="00403F57" w:rsidRPr="00A17559">
              <w:rPr>
                <w:lang w:val="en-GB"/>
              </w:rPr>
              <w:t>.</w:t>
            </w:r>
            <w:r w:rsidR="00F97A39" w:rsidRPr="00A17559">
              <w:rPr>
                <w:lang w:val="en-GB"/>
              </w:rPr>
              <w:t xml:space="preserve"> to </w:t>
            </w:r>
            <w:r w:rsidR="00A113A4" w:rsidRPr="00A17559">
              <w:rPr>
                <w:lang w:val="en-GB"/>
              </w:rPr>
              <w:t>2</w:t>
            </w:r>
            <w:r w:rsidR="00F97A39" w:rsidRPr="00A17559">
              <w:rPr>
                <w:lang w:val="en-GB"/>
              </w:rPr>
              <w:t>.</w:t>
            </w:r>
            <w:r w:rsidR="00A113A4" w:rsidRPr="00A17559">
              <w:rPr>
                <w:lang w:val="en-GB"/>
              </w:rPr>
              <w:t>87</w:t>
            </w:r>
            <w:r w:rsidR="00403F57" w:rsidRPr="00A17559">
              <w:rPr>
                <w:lang w:val="en-GB"/>
              </w:rPr>
              <w:t>%</w:t>
            </w:r>
            <w:r w:rsidR="00A113A4" w:rsidRPr="00A17559">
              <w:rPr>
                <w:lang w:val="en-GB"/>
              </w:rPr>
              <w:t>.</w:t>
            </w:r>
            <w:r w:rsidR="00F97A39" w:rsidRPr="00A17559">
              <w:rPr>
                <w:lang w:val="en-GB"/>
              </w:rPr>
              <w:t xml:space="preserve"> </w:t>
            </w:r>
            <w:r w:rsidR="00CC519B" w:rsidRPr="00A17559">
              <w:rPr>
                <w:lang w:val="en-GB"/>
              </w:rPr>
              <w:t xml:space="preserve">Especially prices of loans fixed for a medium term were cut </w:t>
            </w:r>
            <w:r w:rsidR="00A113A4" w:rsidRPr="00A17559">
              <w:rPr>
                <w:lang w:val="en-GB"/>
              </w:rPr>
              <w:t>–</w:t>
            </w:r>
            <w:r w:rsidR="007424BA">
              <w:rPr>
                <w:lang w:val="en-GB"/>
              </w:rPr>
              <w:t xml:space="preserve"> </w:t>
            </w:r>
            <w:r w:rsidR="00CC519B" w:rsidRPr="00A17559">
              <w:rPr>
                <w:lang w:val="en-GB"/>
              </w:rPr>
              <w:t xml:space="preserve">above </w:t>
            </w:r>
            <w:r w:rsidR="00403F57" w:rsidRPr="00A17559">
              <w:rPr>
                <w:lang w:val="en-GB"/>
              </w:rPr>
              <w:t>1 </w:t>
            </w:r>
            <w:r w:rsidR="00CC519B" w:rsidRPr="00A17559">
              <w:rPr>
                <w:lang w:val="en-GB"/>
              </w:rPr>
              <w:t xml:space="preserve">year up to and including </w:t>
            </w:r>
            <w:r w:rsidR="00403F57" w:rsidRPr="00A17559">
              <w:rPr>
                <w:lang w:val="en-GB"/>
              </w:rPr>
              <w:t>5</w:t>
            </w:r>
            <w:r w:rsidR="00CC519B" w:rsidRPr="00A17559">
              <w:rPr>
                <w:lang w:val="en-GB"/>
              </w:rPr>
              <w:t xml:space="preserve"> years by </w:t>
            </w:r>
            <w:r w:rsidR="00A113A4" w:rsidRPr="00A17559">
              <w:rPr>
                <w:lang w:val="en-GB"/>
              </w:rPr>
              <w:t>0</w:t>
            </w:r>
            <w:r w:rsidR="00CC519B" w:rsidRPr="00A17559">
              <w:rPr>
                <w:lang w:val="en-GB"/>
              </w:rPr>
              <w:t>.</w:t>
            </w:r>
            <w:r w:rsidR="00A113A4" w:rsidRPr="00A17559">
              <w:rPr>
                <w:lang w:val="en-GB"/>
              </w:rPr>
              <w:t>08</w:t>
            </w:r>
            <w:r w:rsidR="00403F57" w:rsidRPr="00A17559">
              <w:rPr>
                <w:lang w:val="en-GB"/>
              </w:rPr>
              <w:t> p.</w:t>
            </w:r>
            <w:r w:rsidR="00CC519B" w:rsidRPr="00A17559">
              <w:rPr>
                <w:lang w:val="en-GB"/>
              </w:rPr>
              <w:t>p</w:t>
            </w:r>
            <w:r w:rsidR="00403F57" w:rsidRPr="00A17559">
              <w:rPr>
                <w:lang w:val="en-GB"/>
              </w:rPr>
              <w:t>.</w:t>
            </w:r>
            <w:r w:rsidR="00CC519B" w:rsidRPr="00A17559">
              <w:rPr>
                <w:lang w:val="en-GB"/>
              </w:rPr>
              <w:t xml:space="preserve"> and above </w:t>
            </w:r>
            <w:r w:rsidR="00403F57" w:rsidRPr="00A17559">
              <w:rPr>
                <w:lang w:val="en-GB"/>
              </w:rPr>
              <w:t>5</w:t>
            </w:r>
            <w:r w:rsidR="00CC519B" w:rsidRPr="00A17559">
              <w:rPr>
                <w:lang w:val="en-GB"/>
              </w:rPr>
              <w:t xml:space="preserve"> years up to and including </w:t>
            </w:r>
            <w:r w:rsidR="00A113A4" w:rsidRPr="00A17559">
              <w:rPr>
                <w:lang w:val="en-GB"/>
              </w:rPr>
              <w:t>1</w:t>
            </w:r>
            <w:r w:rsidR="00403F57" w:rsidRPr="00A17559">
              <w:rPr>
                <w:lang w:val="en-GB"/>
              </w:rPr>
              <w:t>0 </w:t>
            </w:r>
            <w:r w:rsidR="00CC519B" w:rsidRPr="00A17559">
              <w:rPr>
                <w:lang w:val="en-GB"/>
              </w:rPr>
              <w:t xml:space="preserve">years by </w:t>
            </w:r>
            <w:r w:rsidR="00A113A4" w:rsidRPr="00A17559">
              <w:rPr>
                <w:lang w:val="en-GB"/>
              </w:rPr>
              <w:t>0</w:t>
            </w:r>
            <w:r w:rsidR="00CC519B" w:rsidRPr="00A17559">
              <w:rPr>
                <w:lang w:val="en-GB"/>
              </w:rPr>
              <w:t>.</w:t>
            </w:r>
            <w:r w:rsidR="00A113A4" w:rsidRPr="00A17559">
              <w:rPr>
                <w:lang w:val="en-GB"/>
              </w:rPr>
              <w:t>13</w:t>
            </w:r>
            <w:r w:rsidR="00403F57" w:rsidRPr="00A17559">
              <w:rPr>
                <w:lang w:val="en-GB"/>
              </w:rPr>
              <w:t> p.</w:t>
            </w:r>
            <w:r w:rsidR="00CC519B" w:rsidRPr="00A17559">
              <w:rPr>
                <w:lang w:val="en-GB"/>
              </w:rPr>
              <w:t>p</w:t>
            </w:r>
            <w:r w:rsidR="00403F57" w:rsidRPr="00A17559">
              <w:rPr>
                <w:lang w:val="en-GB"/>
              </w:rPr>
              <w:t>.</w:t>
            </w:r>
            <w:r w:rsidR="00CC519B" w:rsidRPr="00A17559">
              <w:rPr>
                <w:lang w:val="en-GB"/>
              </w:rPr>
              <w:t xml:space="preserve"> It was possible to observe similar development for interests rates on credit to non-financial businesses. They grew in the last year and attained their maximum on </w:t>
            </w:r>
            <w:r w:rsidR="00A113A4" w:rsidRPr="00A17559">
              <w:rPr>
                <w:lang w:val="en-GB"/>
              </w:rPr>
              <w:t>3</w:t>
            </w:r>
            <w:r w:rsidR="004A5D4E" w:rsidRPr="00A17559">
              <w:rPr>
                <w:lang w:val="en-GB"/>
              </w:rPr>
              <w:t>1</w:t>
            </w:r>
            <w:r w:rsidR="0048327B">
              <w:rPr>
                <w:lang w:val="en-GB"/>
              </w:rPr>
              <w:t>st March</w:t>
            </w:r>
            <w:r w:rsidR="004A5D4E" w:rsidRPr="00A17559">
              <w:rPr>
                <w:lang w:val="en-GB"/>
              </w:rPr>
              <w:t> </w:t>
            </w:r>
            <w:r w:rsidR="00A113A4" w:rsidRPr="00A17559">
              <w:rPr>
                <w:lang w:val="en-GB"/>
              </w:rPr>
              <w:t>201</w:t>
            </w:r>
            <w:r w:rsidR="004A5D4E" w:rsidRPr="00A17559">
              <w:rPr>
                <w:lang w:val="en-GB"/>
              </w:rPr>
              <w:t>9.</w:t>
            </w:r>
            <w:r w:rsidR="00CC519B" w:rsidRPr="00A17559">
              <w:rPr>
                <w:lang w:val="en-GB"/>
              </w:rPr>
              <w:t xml:space="preserve"> The average interest on credit to non-financial businesses however again fell in Q2, mainly under the influence of large loans </w:t>
            </w:r>
            <w:r w:rsidR="00A113A4" w:rsidRPr="00A17559">
              <w:rPr>
                <w:lang w:val="en-GB"/>
              </w:rPr>
              <w:t>(</w:t>
            </w:r>
            <w:r w:rsidR="00CC519B" w:rsidRPr="00A17559">
              <w:rPr>
                <w:lang w:val="en-GB"/>
              </w:rPr>
              <w:t>above 3</w:t>
            </w:r>
            <w:r w:rsidR="00403F57" w:rsidRPr="00A17559">
              <w:rPr>
                <w:lang w:val="en-GB"/>
              </w:rPr>
              <w:t>0 </w:t>
            </w:r>
            <w:r w:rsidR="00CC519B" w:rsidRPr="00A17559">
              <w:rPr>
                <w:lang w:val="en-GB"/>
              </w:rPr>
              <w:t>CZK mil</w:t>
            </w:r>
            <w:r w:rsidR="00A113A4" w:rsidRPr="00A17559">
              <w:rPr>
                <w:lang w:val="en-GB"/>
              </w:rPr>
              <w:t>).</w:t>
            </w:r>
            <w:r w:rsidR="00FD67AF">
              <w:rPr>
                <w:lang w:val="en-GB"/>
              </w:rPr>
              <w:t xml:space="preserve"> </w:t>
            </w:r>
            <w:r w:rsidR="00CC519B" w:rsidRPr="00A17559">
              <w:rPr>
                <w:lang w:val="en-GB"/>
              </w:rPr>
              <w:t>Their average interest rat</w:t>
            </w:r>
            <w:r w:rsidR="00D20FFB" w:rsidRPr="00A17559">
              <w:rPr>
                <w:lang w:val="en-GB"/>
              </w:rPr>
              <w:t>e</w:t>
            </w:r>
            <w:r w:rsidR="00CC519B" w:rsidRPr="00A17559">
              <w:rPr>
                <w:lang w:val="en-GB"/>
              </w:rPr>
              <w:t xml:space="preserve"> fell by </w:t>
            </w:r>
            <w:r w:rsidR="00A113A4" w:rsidRPr="00A17559">
              <w:rPr>
                <w:lang w:val="en-GB"/>
              </w:rPr>
              <w:t>0</w:t>
            </w:r>
            <w:r w:rsidR="00CC519B" w:rsidRPr="00A17559">
              <w:rPr>
                <w:lang w:val="en-GB"/>
              </w:rPr>
              <w:t>.</w:t>
            </w:r>
            <w:r w:rsidR="00A113A4" w:rsidRPr="00A17559">
              <w:rPr>
                <w:lang w:val="en-GB"/>
              </w:rPr>
              <w:t>12</w:t>
            </w:r>
            <w:r w:rsidR="00403F57" w:rsidRPr="00A17559">
              <w:rPr>
                <w:lang w:val="en-GB"/>
              </w:rPr>
              <w:t> p.</w:t>
            </w:r>
            <w:r w:rsidR="00CC519B" w:rsidRPr="00A17559">
              <w:rPr>
                <w:lang w:val="en-GB"/>
              </w:rPr>
              <w:t>p</w:t>
            </w:r>
            <w:r w:rsidR="00403F57" w:rsidRPr="00A17559">
              <w:rPr>
                <w:lang w:val="en-GB"/>
              </w:rPr>
              <w:t>.</w:t>
            </w:r>
            <w:r w:rsidR="00A113A4" w:rsidRPr="00A17559">
              <w:rPr>
                <w:lang w:val="en-GB"/>
              </w:rPr>
              <w:t xml:space="preserve"> </w:t>
            </w:r>
            <w:r w:rsidR="00D20FFB" w:rsidRPr="00A17559">
              <w:rPr>
                <w:lang w:val="en-GB"/>
              </w:rPr>
              <w:t xml:space="preserve">to </w:t>
            </w:r>
            <w:r w:rsidR="00A113A4" w:rsidRPr="00A17559">
              <w:rPr>
                <w:lang w:val="en-GB"/>
              </w:rPr>
              <w:t>3</w:t>
            </w:r>
            <w:r w:rsidR="00D20FFB" w:rsidRPr="00A17559">
              <w:rPr>
                <w:lang w:val="en-GB"/>
              </w:rPr>
              <w:t>.</w:t>
            </w:r>
            <w:r w:rsidR="00A113A4" w:rsidRPr="00A17559">
              <w:rPr>
                <w:lang w:val="en-GB"/>
              </w:rPr>
              <w:t>11</w:t>
            </w:r>
            <w:r w:rsidR="00403F57" w:rsidRPr="00A17559">
              <w:rPr>
                <w:lang w:val="en-GB"/>
              </w:rPr>
              <w:t>%</w:t>
            </w:r>
            <w:r w:rsidR="00D20FFB" w:rsidRPr="00A17559">
              <w:rPr>
                <w:lang w:val="en-GB"/>
              </w:rPr>
              <w:t xml:space="preserve"> during Q2</w:t>
            </w:r>
            <w:r w:rsidR="00A113A4" w:rsidRPr="00A17559">
              <w:rPr>
                <w:lang w:val="en-GB"/>
              </w:rPr>
              <w:t xml:space="preserve">. </w:t>
            </w:r>
            <w:r w:rsidR="00D20FFB" w:rsidRPr="00A17559">
              <w:rPr>
                <w:lang w:val="en-GB"/>
              </w:rPr>
              <w:t xml:space="preserve">Subtle decrease was also recorded in case of credit up to </w:t>
            </w:r>
            <w:r w:rsidR="00A113A4" w:rsidRPr="00A17559">
              <w:rPr>
                <w:lang w:val="en-GB"/>
              </w:rPr>
              <w:t>7</w:t>
            </w:r>
            <w:r w:rsidR="00D20FFB" w:rsidRPr="00A17559">
              <w:rPr>
                <w:lang w:val="en-GB"/>
              </w:rPr>
              <w:t>.</w:t>
            </w:r>
            <w:r w:rsidR="00403F57" w:rsidRPr="00A17559">
              <w:rPr>
                <w:lang w:val="en-GB"/>
              </w:rPr>
              <w:t>5 </w:t>
            </w:r>
            <w:r w:rsidR="00D20FFB" w:rsidRPr="00A17559">
              <w:rPr>
                <w:lang w:val="en-GB"/>
              </w:rPr>
              <w:t xml:space="preserve">CZK mil. The interest in contrast grew for other categories. </w:t>
            </w:r>
          </w:p>
        </w:tc>
      </w:tr>
      <w:tr w:rsidR="00F23826" w:rsidRPr="00A17559" w:rsidTr="00F23826">
        <w:trPr>
          <w:trHeight w:val="123"/>
        </w:trPr>
        <w:tc>
          <w:tcPr>
            <w:tcW w:w="1799" w:type="dxa"/>
            <w:vMerge w:val="restart"/>
            <w:shd w:val="clear" w:color="auto" w:fill="auto"/>
            <w:tcMar>
              <w:left w:w="0" w:type="dxa"/>
            </w:tcMar>
          </w:tcPr>
          <w:p w:rsidR="00F23826" w:rsidRPr="00A17559" w:rsidRDefault="00F23826" w:rsidP="001B086A">
            <w:pPr>
              <w:pStyle w:val="Marginlie"/>
              <w:rPr>
                <w:lang w:val="en-GB"/>
              </w:rPr>
            </w:pPr>
          </w:p>
        </w:tc>
        <w:tc>
          <w:tcPr>
            <w:tcW w:w="230" w:type="dxa"/>
            <w:vMerge w:val="restart"/>
            <w:shd w:val="clear" w:color="auto" w:fill="auto"/>
            <w:tcMar>
              <w:left w:w="0" w:type="dxa"/>
            </w:tcMar>
          </w:tcPr>
          <w:p w:rsidR="00F23826" w:rsidRPr="00A17559" w:rsidRDefault="00F23826" w:rsidP="00A113A4">
            <w:pPr>
              <w:pStyle w:val="Textpoznpodarou"/>
              <w:jc w:val="both"/>
              <w:rPr>
                <w:spacing w:val="-4"/>
                <w:lang w:val="en-GB"/>
              </w:rPr>
            </w:pPr>
          </w:p>
        </w:tc>
        <w:tc>
          <w:tcPr>
            <w:tcW w:w="7610" w:type="dxa"/>
            <w:shd w:val="clear" w:color="auto" w:fill="auto"/>
            <w:tcMar>
              <w:left w:w="0" w:type="dxa"/>
            </w:tcMar>
          </w:tcPr>
          <w:p w:rsidR="00F23826" w:rsidRPr="00A17559" w:rsidRDefault="00F23826" w:rsidP="00F23826">
            <w:pPr>
              <w:spacing w:after="0"/>
              <w:rPr>
                <w:lang w:val="en-GB"/>
              </w:rPr>
            </w:pPr>
            <w:r w:rsidRPr="00A6092A">
              <w:rPr>
                <w:rFonts w:cs="Arial"/>
                <w:b/>
                <w:bCs/>
                <w:color w:val="000000"/>
                <w:szCs w:val="20"/>
                <w:lang w:val="en-GB"/>
              </w:rPr>
              <w:t xml:space="preserve">Chart 16 </w:t>
            </w:r>
            <w:r w:rsidRPr="00A6092A">
              <w:rPr>
                <w:b/>
                <w:spacing w:val="-4"/>
                <w:szCs w:val="20"/>
                <w:lang w:val="en-GB"/>
              </w:rPr>
              <w:t xml:space="preserve">Market interest rates </w:t>
            </w:r>
            <w:r w:rsidRPr="00A6092A">
              <w:rPr>
                <w:spacing w:val="-4"/>
                <w:szCs w:val="20"/>
                <w:lang w:val="en-GB"/>
              </w:rPr>
              <w:t>(in %)</w:t>
            </w:r>
          </w:p>
        </w:tc>
      </w:tr>
      <w:tr w:rsidR="00F23826" w:rsidRPr="00A17559" w:rsidTr="00F23826">
        <w:trPr>
          <w:trHeight w:val="121"/>
        </w:trPr>
        <w:tc>
          <w:tcPr>
            <w:tcW w:w="1799" w:type="dxa"/>
            <w:vMerge/>
            <w:shd w:val="clear" w:color="auto" w:fill="auto"/>
            <w:tcMar>
              <w:left w:w="0" w:type="dxa"/>
            </w:tcMar>
          </w:tcPr>
          <w:p w:rsidR="00F23826" w:rsidRPr="00A17559" w:rsidRDefault="00F23826" w:rsidP="001B086A">
            <w:pPr>
              <w:pStyle w:val="Marginlie"/>
              <w:rPr>
                <w:lang w:val="en-GB"/>
              </w:rPr>
            </w:pPr>
          </w:p>
        </w:tc>
        <w:tc>
          <w:tcPr>
            <w:tcW w:w="230" w:type="dxa"/>
            <w:vMerge/>
            <w:shd w:val="clear" w:color="auto" w:fill="auto"/>
            <w:tcMar>
              <w:left w:w="0" w:type="dxa"/>
            </w:tcMar>
          </w:tcPr>
          <w:p w:rsidR="00F23826" w:rsidRPr="00A17559" w:rsidRDefault="00F23826" w:rsidP="00A113A4">
            <w:pPr>
              <w:pStyle w:val="Textpoznpodarou"/>
              <w:jc w:val="both"/>
              <w:rPr>
                <w:spacing w:val="-4"/>
                <w:lang w:val="en-GB"/>
              </w:rPr>
            </w:pPr>
          </w:p>
        </w:tc>
        <w:tc>
          <w:tcPr>
            <w:tcW w:w="7610" w:type="dxa"/>
            <w:shd w:val="clear" w:color="auto" w:fill="auto"/>
            <w:tcMar>
              <w:left w:w="0" w:type="dxa"/>
            </w:tcMar>
          </w:tcPr>
          <w:p w:rsidR="00F23826" w:rsidRPr="00A17559" w:rsidRDefault="00F23826" w:rsidP="00F23826">
            <w:pPr>
              <w:spacing w:after="0"/>
              <w:rPr>
                <w:lang w:val="en-GB"/>
              </w:rPr>
            </w:pPr>
            <w:r>
              <w:rPr>
                <w:noProof/>
              </w:rPr>
              <w:drawing>
                <wp:inline distT="0" distB="0" distL="0" distR="0" wp14:anchorId="157EB99A" wp14:editId="39A313E0">
                  <wp:extent cx="4737600" cy="3553200"/>
                  <wp:effectExtent l="0" t="0" r="6350" b="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F23826" w:rsidRPr="00A17559" w:rsidTr="00F23826">
        <w:trPr>
          <w:trHeight w:val="121"/>
        </w:trPr>
        <w:tc>
          <w:tcPr>
            <w:tcW w:w="1799" w:type="dxa"/>
            <w:vMerge/>
            <w:shd w:val="clear" w:color="auto" w:fill="auto"/>
            <w:tcMar>
              <w:left w:w="0" w:type="dxa"/>
            </w:tcMar>
          </w:tcPr>
          <w:p w:rsidR="00F23826" w:rsidRPr="00A17559" w:rsidRDefault="00F23826" w:rsidP="001B086A">
            <w:pPr>
              <w:pStyle w:val="Marginlie"/>
              <w:rPr>
                <w:lang w:val="en-GB"/>
              </w:rPr>
            </w:pPr>
          </w:p>
        </w:tc>
        <w:tc>
          <w:tcPr>
            <w:tcW w:w="230" w:type="dxa"/>
            <w:vMerge/>
            <w:shd w:val="clear" w:color="auto" w:fill="auto"/>
            <w:tcMar>
              <w:left w:w="0" w:type="dxa"/>
            </w:tcMar>
          </w:tcPr>
          <w:p w:rsidR="00F23826" w:rsidRPr="00A17559" w:rsidRDefault="00F23826" w:rsidP="00A113A4">
            <w:pPr>
              <w:pStyle w:val="Textpoznpodarou"/>
              <w:jc w:val="both"/>
              <w:rPr>
                <w:spacing w:val="-4"/>
                <w:lang w:val="en-GB"/>
              </w:rPr>
            </w:pPr>
          </w:p>
        </w:tc>
        <w:tc>
          <w:tcPr>
            <w:tcW w:w="7610" w:type="dxa"/>
            <w:shd w:val="clear" w:color="auto" w:fill="auto"/>
            <w:tcMar>
              <w:left w:w="0" w:type="dxa"/>
            </w:tcMar>
          </w:tcPr>
          <w:p w:rsidR="00F23826" w:rsidRPr="00A17559" w:rsidRDefault="00F23826" w:rsidP="00113B2C">
            <w:pPr>
              <w:rPr>
                <w:lang w:val="en-GB"/>
              </w:rPr>
            </w:pPr>
            <w:r w:rsidRPr="00A17559">
              <w:rPr>
                <w:sz w:val="14"/>
                <w:szCs w:val="14"/>
                <w:lang w:val="en-GB"/>
              </w:rPr>
              <w:t>Source: CNB</w:t>
            </w:r>
          </w:p>
        </w:tc>
      </w:tr>
      <w:tr w:rsidR="00F23826" w:rsidRPr="00A17559" w:rsidTr="00F23826">
        <w:trPr>
          <w:trHeight w:val="145"/>
        </w:trPr>
        <w:tc>
          <w:tcPr>
            <w:tcW w:w="1799" w:type="dxa"/>
            <w:shd w:val="clear" w:color="auto" w:fill="auto"/>
            <w:tcMar>
              <w:left w:w="0" w:type="dxa"/>
            </w:tcMar>
          </w:tcPr>
          <w:p w:rsidR="00F23826" w:rsidRPr="00A17559" w:rsidRDefault="00F23826" w:rsidP="00F23826">
            <w:pPr>
              <w:pStyle w:val="Marginlie"/>
              <w:rPr>
                <w:lang w:val="en-GB"/>
              </w:rPr>
            </w:pPr>
            <w:r w:rsidRPr="00A17559">
              <w:rPr>
                <w:lang w:val="en-GB"/>
              </w:rPr>
              <w:t xml:space="preserve">Growth of volume of provided consumer credit slackened. </w:t>
            </w:r>
          </w:p>
        </w:tc>
        <w:tc>
          <w:tcPr>
            <w:tcW w:w="230" w:type="dxa"/>
            <w:shd w:val="clear" w:color="auto" w:fill="auto"/>
            <w:tcMar>
              <w:left w:w="0" w:type="dxa"/>
            </w:tcMar>
          </w:tcPr>
          <w:p w:rsidR="00F23826" w:rsidRPr="00A17559" w:rsidRDefault="00F23826" w:rsidP="00F23826">
            <w:pPr>
              <w:pStyle w:val="Textpoznpodarou"/>
              <w:jc w:val="both"/>
              <w:rPr>
                <w:spacing w:val="-4"/>
                <w:lang w:val="en-GB"/>
              </w:rPr>
            </w:pPr>
          </w:p>
        </w:tc>
        <w:tc>
          <w:tcPr>
            <w:tcW w:w="7610" w:type="dxa"/>
            <w:shd w:val="clear" w:color="auto" w:fill="auto"/>
            <w:tcMar>
              <w:left w:w="0" w:type="dxa"/>
            </w:tcMar>
          </w:tcPr>
          <w:p w:rsidR="00F23826" w:rsidRPr="00A17559" w:rsidRDefault="00F23826" w:rsidP="00F23826">
            <w:pPr>
              <w:rPr>
                <w:lang w:val="en-GB"/>
              </w:rPr>
            </w:pPr>
            <w:r w:rsidRPr="00A17559">
              <w:rPr>
                <w:lang w:val="en-GB"/>
              </w:rPr>
              <w:t>Year-on-year growth of the total volume of credit provided to households remained at bay with 6.7% in Q2 (the pace fell below 7% for the first time since Q3 2016).  Growth of volume of provided consumer credit (to 7.7%) as well as credit for housing (7.5%, below 8% for the first time since Q1 2016) slowed. Development of mortgages is distorted due to the re-classification of part of the consumer credit for housing to mortgages</w:t>
            </w:r>
            <w:r w:rsidRPr="00A17559">
              <w:rPr>
                <w:rStyle w:val="Znakapoznpodarou"/>
                <w:lang w:val="en-GB"/>
              </w:rPr>
              <w:footnoteReference w:id="54"/>
            </w:r>
            <w:r w:rsidRPr="00A17559">
              <w:rPr>
                <w:lang w:val="en-GB"/>
              </w:rPr>
              <w:t xml:space="preserve">. Year-on-year growth of the volume of mortgages thus based on the CNB statistics reached 10.3% in Q2, if we however deduct approximately 20 bn, </w:t>
            </w:r>
            <w:r w:rsidRPr="00A17559">
              <w:rPr>
                <w:lang w:val="en-GB"/>
              </w:rPr>
              <w:lastRenderedPageBreak/>
              <w:t>which were transferred between individual types of credit on 1</w:t>
            </w:r>
            <w:r w:rsidRPr="00A17559">
              <w:rPr>
                <w:vertAlign w:val="superscript"/>
                <w:lang w:val="en-GB"/>
              </w:rPr>
              <w:t>st</w:t>
            </w:r>
            <w:r w:rsidRPr="00A17559">
              <w:rPr>
                <w:lang w:val="en-GB"/>
              </w:rPr>
              <w:t xml:space="preserve"> January, we get an approximate value of 8.5%, less than in the past year. 40.7 thousand mortgage contracts were closed in Q2, by 10.7 thousand less year-on-year. </w:t>
            </w:r>
          </w:p>
        </w:tc>
      </w:tr>
      <w:tr w:rsidR="00F23826" w:rsidRPr="00A17559" w:rsidTr="00F23826">
        <w:trPr>
          <w:trHeight w:val="145"/>
        </w:trPr>
        <w:tc>
          <w:tcPr>
            <w:tcW w:w="1799" w:type="dxa"/>
            <w:shd w:val="clear" w:color="auto" w:fill="auto"/>
            <w:tcMar>
              <w:left w:w="0" w:type="dxa"/>
            </w:tcMar>
          </w:tcPr>
          <w:p w:rsidR="00F23826" w:rsidRPr="00A17559" w:rsidRDefault="00F23826" w:rsidP="00F23826">
            <w:pPr>
              <w:pStyle w:val="Marginlie"/>
              <w:rPr>
                <w:lang w:val="en-GB"/>
              </w:rPr>
            </w:pPr>
            <w:r w:rsidRPr="00A17559">
              <w:rPr>
                <w:lang w:val="en-GB"/>
              </w:rPr>
              <w:lastRenderedPageBreak/>
              <w:t xml:space="preserve">Rate of growth of volume of credit to non-financial businesses markedly fell. </w:t>
            </w:r>
          </w:p>
        </w:tc>
        <w:tc>
          <w:tcPr>
            <w:tcW w:w="230" w:type="dxa"/>
            <w:shd w:val="clear" w:color="auto" w:fill="auto"/>
            <w:tcMar>
              <w:left w:w="0" w:type="dxa"/>
            </w:tcMar>
          </w:tcPr>
          <w:p w:rsidR="00F23826" w:rsidRPr="00A17559" w:rsidRDefault="00F23826" w:rsidP="00F23826">
            <w:pPr>
              <w:pStyle w:val="Textpoznpodarou"/>
              <w:jc w:val="both"/>
              <w:rPr>
                <w:spacing w:val="-4"/>
                <w:lang w:val="en-GB"/>
              </w:rPr>
            </w:pPr>
          </w:p>
        </w:tc>
        <w:tc>
          <w:tcPr>
            <w:tcW w:w="7610" w:type="dxa"/>
            <w:shd w:val="clear" w:color="auto" w:fill="auto"/>
            <w:tcMar>
              <w:left w:w="0" w:type="dxa"/>
            </w:tcMar>
          </w:tcPr>
          <w:p w:rsidR="00F23826" w:rsidRPr="00A17559" w:rsidRDefault="00F23826" w:rsidP="00F23826">
            <w:pPr>
              <w:rPr>
                <w:lang w:val="en-GB"/>
              </w:rPr>
            </w:pPr>
            <w:r w:rsidRPr="00A17559">
              <w:rPr>
                <w:lang w:val="en-GB"/>
              </w:rPr>
              <w:t>Volume of credit provided to non-financial businesses (both in CZK and foreign currency) increased in total by 3.5% year-on-year in Q2. Volume of credit in foreign currency again followed a more dynamic development, growing by 6.6%. However, the observed growth markedly narrowed compared to the preceding quarter (all credit grew by 6.2% in Q1, by 14.5% in foreign currency). Volume of credit denominated in CZK rose by 2.2%. Slower growth of the provided credit did not avoid manufacturing (from 6.4% in Q1 to 1.7% in Q2), construction (from 13.7% to 7.6%) or wholesale and retail, motor vehicle repairs and maintenance (from 4.6% to 1.4%). Information and communication kept a strong pace (13.7%).</w:t>
            </w:r>
          </w:p>
        </w:tc>
      </w:tr>
    </w:tbl>
    <w:p w:rsidR="00965797" w:rsidRPr="00A17559" w:rsidRDefault="004A5D4E" w:rsidP="00965797">
      <w:pPr>
        <w:pStyle w:val="Nadpis11"/>
        <w:rPr>
          <w:lang w:val="en-GB"/>
        </w:rPr>
      </w:pPr>
      <w:bookmarkStart w:id="13" w:name="_Toc19179087"/>
      <w:r w:rsidRPr="00A17559">
        <w:rPr>
          <w:lang w:val="en-GB"/>
        </w:rPr>
        <w:t>8. </w:t>
      </w:r>
      <w:r w:rsidR="00AE2BA8" w:rsidRPr="00A17559">
        <w:rPr>
          <w:lang w:val="en-GB"/>
        </w:rPr>
        <w:t>State Budget</w:t>
      </w:r>
      <w:bookmarkEnd w:id="13"/>
    </w:p>
    <w:tbl>
      <w:tblPr>
        <w:tblW w:w="96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32"/>
        <w:gridCol w:w="217"/>
        <w:gridCol w:w="7720"/>
      </w:tblGrid>
      <w:tr w:rsidR="00A45CED" w:rsidRPr="00A17559" w:rsidTr="000A3D9E">
        <w:trPr>
          <w:trHeight w:val="145"/>
        </w:trPr>
        <w:tc>
          <w:tcPr>
            <w:tcW w:w="1732" w:type="dxa"/>
            <w:tcBorders>
              <w:top w:val="nil"/>
              <w:left w:val="nil"/>
              <w:bottom w:val="nil"/>
              <w:right w:val="nil"/>
            </w:tcBorders>
            <w:shd w:val="clear" w:color="auto" w:fill="auto"/>
            <w:tcMar>
              <w:left w:w="0" w:type="dxa"/>
            </w:tcMar>
          </w:tcPr>
          <w:p w:rsidR="00A45CED" w:rsidRPr="00A17559" w:rsidRDefault="007641B8" w:rsidP="008337CB">
            <w:pPr>
              <w:pStyle w:val="Marginlie"/>
              <w:rPr>
                <w:lang w:val="en-GB"/>
              </w:rPr>
            </w:pPr>
            <w:r w:rsidRPr="00A17559">
              <w:rPr>
                <w:lang w:val="en-GB"/>
              </w:rPr>
              <w:t>State budget ended in deficit in H</w:t>
            </w:r>
            <w:r w:rsidR="00A45CED" w:rsidRPr="00A17559">
              <w:rPr>
                <w:lang w:val="en-GB"/>
              </w:rPr>
              <w:t>1</w:t>
            </w:r>
            <w:r w:rsidRPr="00A17559">
              <w:rPr>
                <w:lang w:val="en-GB"/>
              </w:rPr>
              <w:t xml:space="preserve">, which deepened year-on-year. </w:t>
            </w:r>
            <w:r w:rsidR="00291FE4" w:rsidRPr="00A17559">
              <w:rPr>
                <w:lang w:val="en-GB"/>
              </w:rPr>
              <w:t xml:space="preserve">Brisk growth of current as well as capital expenditures stood in the background, together with mild slowdown of economic growth. </w:t>
            </w:r>
          </w:p>
        </w:tc>
        <w:tc>
          <w:tcPr>
            <w:tcW w:w="217" w:type="dxa"/>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A45CED" w:rsidP="008337CB">
            <w:pPr>
              <w:spacing w:after="220"/>
              <w:rPr>
                <w:spacing w:val="-4"/>
                <w:lang w:val="en-GB"/>
              </w:rPr>
            </w:pPr>
            <w:r w:rsidRPr="00A17559">
              <w:rPr>
                <w:spacing w:val="-2"/>
                <w:lang w:val="en-GB"/>
              </w:rPr>
              <w:t>St</w:t>
            </w:r>
            <w:r w:rsidR="00AE2BA8" w:rsidRPr="00A17559">
              <w:rPr>
                <w:spacing w:val="-2"/>
                <w:lang w:val="en-GB"/>
              </w:rPr>
              <w:t xml:space="preserve">ate budget </w:t>
            </w:r>
            <w:r w:rsidRPr="00A17559">
              <w:rPr>
                <w:spacing w:val="-2"/>
                <w:lang w:val="en-GB"/>
              </w:rPr>
              <w:t>(S</w:t>
            </w:r>
            <w:r w:rsidR="00AE2BA8" w:rsidRPr="00A17559">
              <w:rPr>
                <w:spacing w:val="-2"/>
                <w:lang w:val="en-GB"/>
              </w:rPr>
              <w:t>B</w:t>
            </w:r>
            <w:r w:rsidRPr="00A17559">
              <w:rPr>
                <w:spacing w:val="-2"/>
                <w:lang w:val="en-GB"/>
              </w:rPr>
              <w:t>)</w:t>
            </w:r>
            <w:r w:rsidRPr="00A17559">
              <w:rPr>
                <w:rStyle w:val="Znakapoznpodarou"/>
                <w:spacing w:val="-2"/>
                <w:lang w:val="en-GB"/>
              </w:rPr>
              <w:footnoteReference w:id="55"/>
            </w:r>
            <w:r w:rsidRPr="00A17559">
              <w:rPr>
                <w:spacing w:val="-2"/>
                <w:lang w:val="en-GB"/>
              </w:rPr>
              <w:t xml:space="preserve"> </w:t>
            </w:r>
            <w:r w:rsidR="00291FE4" w:rsidRPr="00A17559">
              <w:rPr>
                <w:spacing w:val="-2"/>
                <w:lang w:val="en-GB"/>
              </w:rPr>
              <w:t xml:space="preserve">ended in deficit </w:t>
            </w:r>
            <w:r w:rsidR="005F42C7">
              <w:rPr>
                <w:spacing w:val="-2"/>
                <w:lang w:val="en-GB"/>
              </w:rPr>
              <w:t>of 20,7</w:t>
            </w:r>
            <w:r w:rsidR="00291FE4" w:rsidRPr="00A17559">
              <w:rPr>
                <w:spacing w:val="-2"/>
                <w:lang w:val="en-GB"/>
              </w:rPr>
              <w:t xml:space="preserve"> bn in H1 2019. Budget balance worsened year-on-year for the third time in a row and thus moved into deficit similarly to the last</w:t>
            </w:r>
            <w:r w:rsidR="00FD67AF">
              <w:rPr>
                <w:spacing w:val="-2"/>
                <w:lang w:val="en-GB"/>
              </w:rPr>
              <w:t xml:space="preserve"> year. While total SB revenues </w:t>
            </w:r>
            <w:r w:rsidR="00291FE4" w:rsidRPr="00A17559">
              <w:rPr>
                <w:spacing w:val="-2"/>
                <w:lang w:val="en-GB"/>
              </w:rPr>
              <w:t xml:space="preserve">strengthened by </w:t>
            </w:r>
            <w:r w:rsidRPr="00A17559">
              <w:rPr>
                <w:rFonts w:cs="Arial"/>
                <w:color w:val="0D0D0D" w:themeColor="text1" w:themeTint="F2"/>
                <w:spacing w:val="-2"/>
                <w:lang w:val="en-GB"/>
              </w:rPr>
              <w:t>8</w:t>
            </w:r>
            <w:r w:rsidR="00291FE4" w:rsidRPr="00A17559">
              <w:rPr>
                <w:rFonts w:cs="Arial"/>
                <w:color w:val="0D0D0D" w:themeColor="text1" w:themeTint="F2"/>
                <w:spacing w:val="-2"/>
                <w:lang w:val="en-GB"/>
              </w:rPr>
              <w:t>.</w:t>
            </w:r>
            <w:r w:rsidRPr="00A17559">
              <w:rPr>
                <w:rFonts w:cs="Arial"/>
                <w:color w:val="0D0D0D" w:themeColor="text1" w:themeTint="F2"/>
                <w:spacing w:val="-2"/>
                <w:lang w:val="en-GB"/>
              </w:rPr>
              <w:t>1</w:t>
            </w:r>
            <w:r w:rsidR="00403F57" w:rsidRPr="00A17559">
              <w:rPr>
                <w:rFonts w:cs="Arial"/>
                <w:color w:val="0D0D0D" w:themeColor="text1" w:themeTint="F2"/>
                <w:spacing w:val="-2"/>
                <w:lang w:val="en-GB"/>
              </w:rPr>
              <w:t>%</w:t>
            </w:r>
            <w:r w:rsidR="00291FE4" w:rsidRPr="00A17559">
              <w:rPr>
                <w:rFonts w:cs="Arial"/>
                <w:color w:val="0D0D0D" w:themeColor="text1" w:themeTint="F2"/>
                <w:spacing w:val="-2"/>
                <w:lang w:val="en-GB"/>
              </w:rPr>
              <w:t xml:space="preserve"> year-on-year and expenditures by </w:t>
            </w:r>
            <w:r w:rsidRPr="00A17559">
              <w:rPr>
                <w:rFonts w:cs="Arial"/>
                <w:color w:val="0D0D0D" w:themeColor="text1" w:themeTint="F2"/>
                <w:spacing w:val="-2"/>
                <w:lang w:val="en-GB"/>
              </w:rPr>
              <w:t>10</w:t>
            </w:r>
            <w:r w:rsidR="00291FE4" w:rsidRPr="00A17559">
              <w:rPr>
                <w:rFonts w:cs="Arial"/>
                <w:color w:val="0D0D0D" w:themeColor="text1" w:themeTint="F2"/>
                <w:spacing w:val="-2"/>
                <w:lang w:val="en-GB"/>
              </w:rPr>
              <w:t>.</w:t>
            </w:r>
            <w:r w:rsidRPr="00A17559">
              <w:rPr>
                <w:rFonts w:cs="Arial"/>
                <w:color w:val="0D0D0D" w:themeColor="text1" w:themeTint="F2"/>
                <w:spacing w:val="-2"/>
                <w:lang w:val="en-GB"/>
              </w:rPr>
              <w:t>2</w:t>
            </w:r>
            <w:r w:rsidR="00403F57" w:rsidRPr="00A17559">
              <w:rPr>
                <w:rFonts w:cs="Arial"/>
                <w:color w:val="0D0D0D" w:themeColor="text1" w:themeTint="F2"/>
                <w:spacing w:val="-2"/>
                <w:lang w:val="en-GB"/>
              </w:rPr>
              <w:t>%</w:t>
            </w:r>
            <w:r w:rsidRPr="00A17559">
              <w:rPr>
                <w:rFonts w:cs="Arial"/>
                <w:color w:val="0D0D0D" w:themeColor="text1" w:themeTint="F2"/>
                <w:spacing w:val="-2"/>
                <w:lang w:val="en-GB"/>
              </w:rPr>
              <w:t>,</w:t>
            </w:r>
            <w:r w:rsidR="00291FE4" w:rsidRPr="00A17559">
              <w:rPr>
                <w:rFonts w:cs="Arial"/>
                <w:color w:val="0D0D0D" w:themeColor="text1" w:themeTint="F2"/>
                <w:spacing w:val="-2"/>
                <w:lang w:val="en-GB"/>
              </w:rPr>
              <w:t xml:space="preserve"> their rates of growth perceptibly exceeded the annual budget anticipations. </w:t>
            </w:r>
            <w:r w:rsidR="00ED4604" w:rsidRPr="00A17559">
              <w:rPr>
                <w:rFonts w:cs="Arial"/>
                <w:color w:val="0D0D0D" w:themeColor="text1" w:themeTint="F2"/>
                <w:spacing w:val="-2"/>
                <w:lang w:val="en-GB"/>
              </w:rPr>
              <w:t xml:space="preserve">SB balance, which presents a dominant item of the budget deficit or surplus of the government institutions sector, </w:t>
            </w:r>
            <w:r w:rsidR="00655CDE" w:rsidRPr="00A17559">
              <w:rPr>
                <w:rFonts w:cs="Arial"/>
                <w:color w:val="0D0D0D" w:themeColor="text1" w:themeTint="F2"/>
                <w:spacing w:val="-2"/>
                <w:lang w:val="en-GB"/>
              </w:rPr>
              <w:t xml:space="preserve">attained </w:t>
            </w:r>
            <w:r w:rsidRPr="00A17559">
              <w:rPr>
                <w:rFonts w:cs="Arial"/>
                <w:color w:val="0D0D0D" w:themeColor="text1" w:themeTint="F2"/>
                <w:spacing w:val="-2"/>
                <w:lang w:val="en-GB"/>
              </w:rPr>
              <w:t>–</w:t>
            </w:r>
            <w:r w:rsidRPr="00A17559">
              <w:rPr>
                <w:rFonts w:cs="Arial"/>
                <w:color w:val="000000" w:themeColor="text1"/>
                <w:spacing w:val="-2"/>
                <w:lang w:val="en-GB"/>
              </w:rPr>
              <w:t>0</w:t>
            </w:r>
            <w:r w:rsidR="008337CB" w:rsidRPr="00A17559">
              <w:rPr>
                <w:rFonts w:cs="Arial"/>
                <w:color w:val="000000" w:themeColor="text1"/>
                <w:spacing w:val="-2"/>
                <w:lang w:val="en-GB"/>
              </w:rPr>
              <w:t>.</w:t>
            </w:r>
            <w:r w:rsidRPr="00A17559">
              <w:rPr>
                <w:rFonts w:cs="Arial"/>
                <w:color w:val="000000" w:themeColor="text1"/>
                <w:spacing w:val="-2"/>
                <w:lang w:val="en-GB"/>
              </w:rPr>
              <w:t>8%</w:t>
            </w:r>
            <w:r w:rsidR="00655CDE" w:rsidRPr="00A17559">
              <w:rPr>
                <w:rFonts w:cs="Arial"/>
                <w:color w:val="000000" w:themeColor="text1"/>
                <w:spacing w:val="-2"/>
                <w:lang w:val="en-GB"/>
              </w:rPr>
              <w:t xml:space="preserve"> in relation to the nominal GDP in H1</w:t>
            </w:r>
            <w:r w:rsidRPr="00A17559">
              <w:rPr>
                <w:rFonts w:cs="Arial"/>
                <w:color w:val="000000" w:themeColor="text1"/>
                <w:spacing w:val="-2"/>
                <w:lang w:val="en-GB"/>
              </w:rPr>
              <w:t xml:space="preserve"> (</w:t>
            </w:r>
            <w:r w:rsidRPr="00A17559">
              <w:rPr>
                <w:rFonts w:cs="Arial"/>
                <w:color w:val="0D0D0D" w:themeColor="text1" w:themeTint="F2"/>
                <w:spacing w:val="-2"/>
                <w:lang w:val="en-GB"/>
              </w:rPr>
              <w:t>–</w:t>
            </w:r>
            <w:r w:rsidRPr="00A17559">
              <w:rPr>
                <w:rFonts w:cs="Arial"/>
                <w:color w:val="000000" w:themeColor="text1"/>
                <w:spacing w:val="-2"/>
                <w:lang w:val="en-GB"/>
              </w:rPr>
              <w:t>0</w:t>
            </w:r>
            <w:r w:rsidR="00655CDE" w:rsidRPr="00A17559">
              <w:rPr>
                <w:rFonts w:cs="Arial"/>
                <w:color w:val="000000" w:themeColor="text1"/>
                <w:spacing w:val="-2"/>
                <w:lang w:val="en-GB"/>
              </w:rPr>
              <w:t>.</w:t>
            </w:r>
            <w:r w:rsidRPr="00A17559">
              <w:rPr>
                <w:rFonts w:cs="Arial"/>
                <w:color w:val="000000" w:themeColor="text1"/>
                <w:spacing w:val="-2"/>
                <w:lang w:val="en-GB"/>
              </w:rPr>
              <w:t>2</w:t>
            </w:r>
            <w:r w:rsidR="00403F57" w:rsidRPr="00A17559">
              <w:rPr>
                <w:rFonts w:cs="Arial"/>
                <w:color w:val="000000" w:themeColor="text1"/>
                <w:spacing w:val="-2"/>
                <w:lang w:val="en-GB"/>
              </w:rPr>
              <w:t>%</w:t>
            </w:r>
            <w:r w:rsidR="00655CDE" w:rsidRPr="00A17559">
              <w:rPr>
                <w:rFonts w:cs="Arial"/>
                <w:color w:val="000000" w:themeColor="text1"/>
                <w:spacing w:val="-2"/>
                <w:lang w:val="en-GB"/>
              </w:rPr>
              <w:t xml:space="preserve"> a year ago</w:t>
            </w:r>
            <w:r w:rsidRPr="00A17559">
              <w:rPr>
                <w:rFonts w:cs="Arial"/>
                <w:color w:val="000000" w:themeColor="text1"/>
                <w:spacing w:val="-2"/>
                <w:lang w:val="en-GB"/>
              </w:rPr>
              <w:t>).</w:t>
            </w:r>
            <w:r w:rsidR="00655CDE" w:rsidRPr="00A17559">
              <w:rPr>
                <w:rFonts w:cs="Arial"/>
                <w:color w:val="000000" w:themeColor="text1"/>
                <w:spacing w:val="-2"/>
                <w:lang w:val="en-GB"/>
              </w:rPr>
              <w:t xml:space="preserve"> Deeper deficit reflected this year´s brisk growth of weight significant current expenditures, as well as the acceleration of the investment activity. </w:t>
            </w:r>
            <w:r w:rsidR="00826265" w:rsidRPr="00A17559">
              <w:rPr>
                <w:rFonts w:cs="Arial"/>
                <w:color w:val="000000" w:themeColor="text1"/>
                <w:spacing w:val="-2"/>
                <w:lang w:val="en-GB"/>
              </w:rPr>
              <w:t xml:space="preserve">Moderate slowdown of the economic performance also played a role, since the dynamics of total tax incomes </w:t>
            </w:r>
            <w:r w:rsidRPr="00A17559">
              <w:rPr>
                <w:rFonts w:cs="Arial"/>
                <w:color w:val="000000" w:themeColor="text1"/>
                <w:spacing w:val="-2"/>
                <w:lang w:val="en-GB"/>
              </w:rPr>
              <w:t>(</w:t>
            </w:r>
            <w:r w:rsidR="00826265" w:rsidRPr="00A17559">
              <w:rPr>
                <w:rFonts w:cs="Arial"/>
                <w:color w:val="000000" w:themeColor="text1"/>
                <w:spacing w:val="-2"/>
                <w:lang w:val="en-GB"/>
              </w:rPr>
              <w:t>including insurance</w:t>
            </w:r>
            <w:r w:rsidRPr="00A17559">
              <w:rPr>
                <w:rFonts w:cs="Arial"/>
                <w:color w:val="000000" w:themeColor="text1"/>
                <w:spacing w:val="-2"/>
                <w:lang w:val="en-GB"/>
              </w:rPr>
              <w:t>)</w:t>
            </w:r>
            <w:r w:rsidR="00826265" w:rsidRPr="00A17559">
              <w:rPr>
                <w:rFonts w:cs="Arial"/>
                <w:color w:val="000000" w:themeColor="text1"/>
                <w:spacing w:val="-2"/>
                <w:lang w:val="en-GB"/>
              </w:rPr>
              <w:t xml:space="preserve"> eased its pace to the four-year minimum </w:t>
            </w:r>
            <w:r w:rsidRPr="00A17559">
              <w:rPr>
                <w:rFonts w:cs="Arial"/>
                <w:color w:val="000000" w:themeColor="text1"/>
                <w:spacing w:val="-2"/>
                <w:lang w:val="en-GB"/>
              </w:rPr>
              <w:t>(+5</w:t>
            </w:r>
            <w:r w:rsidR="00826265" w:rsidRPr="00A17559">
              <w:rPr>
                <w:rFonts w:cs="Arial"/>
                <w:color w:val="000000" w:themeColor="text1"/>
                <w:spacing w:val="-2"/>
                <w:lang w:val="en-GB"/>
              </w:rPr>
              <w:t>.</w:t>
            </w:r>
            <w:r w:rsidRPr="00A17559">
              <w:rPr>
                <w:rFonts w:cs="Arial"/>
                <w:color w:val="000000" w:themeColor="text1"/>
                <w:spacing w:val="-2"/>
                <w:lang w:val="en-GB"/>
              </w:rPr>
              <w:t>9</w:t>
            </w:r>
            <w:r w:rsidR="00403F57" w:rsidRPr="00A17559">
              <w:rPr>
                <w:rFonts w:cs="Arial"/>
                <w:color w:val="000000" w:themeColor="text1"/>
                <w:spacing w:val="-2"/>
                <w:lang w:val="en-GB"/>
              </w:rPr>
              <w:t>%</w:t>
            </w:r>
            <w:r w:rsidRPr="00A17559">
              <w:rPr>
                <w:rFonts w:cs="Arial"/>
                <w:color w:val="000000" w:themeColor="text1"/>
                <w:spacing w:val="-2"/>
                <w:lang w:val="en-GB"/>
              </w:rPr>
              <w:t>, +6</w:t>
            </w:r>
            <w:r w:rsidR="00826265" w:rsidRPr="00A17559">
              <w:rPr>
                <w:rFonts w:cs="Arial"/>
                <w:color w:val="000000" w:themeColor="text1"/>
                <w:spacing w:val="-2"/>
                <w:lang w:val="en-GB"/>
              </w:rPr>
              <w:t>.</w:t>
            </w:r>
            <w:r w:rsidRPr="00A17559">
              <w:rPr>
                <w:rFonts w:cs="Arial"/>
                <w:color w:val="000000" w:themeColor="text1"/>
                <w:spacing w:val="-2"/>
                <w:lang w:val="en-GB"/>
              </w:rPr>
              <w:t>2</w:t>
            </w:r>
            <w:r w:rsidR="00403F57" w:rsidRPr="00A17559">
              <w:rPr>
                <w:rFonts w:cs="Arial"/>
                <w:color w:val="000000" w:themeColor="text1"/>
                <w:spacing w:val="-2"/>
                <w:lang w:val="en-GB"/>
              </w:rPr>
              <w:t>%</w:t>
            </w:r>
            <w:r w:rsidR="00826265" w:rsidRPr="00A17559">
              <w:rPr>
                <w:rFonts w:cs="Arial"/>
                <w:color w:val="000000" w:themeColor="text1"/>
                <w:spacing w:val="-2"/>
                <w:lang w:val="en-GB"/>
              </w:rPr>
              <w:t xml:space="preserve"> a year ago</w:t>
            </w:r>
            <w:r w:rsidRPr="00A17559">
              <w:rPr>
                <w:rFonts w:cs="Arial"/>
                <w:color w:val="000000" w:themeColor="text1"/>
                <w:spacing w:val="-2"/>
                <w:lang w:val="en-GB"/>
              </w:rPr>
              <w:t>).</w:t>
            </w:r>
          </w:p>
        </w:tc>
      </w:tr>
      <w:tr w:rsidR="00A45CED" w:rsidRPr="00A17559" w:rsidTr="000A3D9E">
        <w:trPr>
          <w:trHeight w:val="145"/>
        </w:trPr>
        <w:tc>
          <w:tcPr>
            <w:tcW w:w="1732" w:type="dxa"/>
            <w:tcBorders>
              <w:top w:val="nil"/>
              <w:left w:val="nil"/>
              <w:bottom w:val="nil"/>
              <w:right w:val="nil"/>
            </w:tcBorders>
            <w:shd w:val="clear" w:color="auto" w:fill="auto"/>
            <w:tcMar>
              <w:left w:w="0" w:type="dxa"/>
            </w:tcMar>
          </w:tcPr>
          <w:p w:rsidR="00A45CED" w:rsidRPr="00A17559" w:rsidRDefault="002E7A3C" w:rsidP="002E7A3C">
            <w:pPr>
              <w:pStyle w:val="Marginlie"/>
              <w:rPr>
                <w:lang w:val="en-GB"/>
              </w:rPr>
            </w:pPr>
            <w:r w:rsidRPr="00A17559">
              <w:rPr>
                <w:lang w:val="en-GB"/>
              </w:rPr>
              <w:t>Insurance</w:t>
            </w:r>
            <w:r w:rsidR="00291FE4" w:rsidRPr="00A17559">
              <w:rPr>
                <w:lang w:val="en-GB"/>
              </w:rPr>
              <w:t xml:space="preserve"> receipts as well as higher tax collection positively affected the growth of total revenues, </w:t>
            </w:r>
            <w:r w:rsidRPr="00A17559">
              <w:rPr>
                <w:lang w:val="en-GB"/>
              </w:rPr>
              <w:t xml:space="preserve"> moderate decrease of revenues from the EU budget then negatively. </w:t>
            </w:r>
          </w:p>
        </w:tc>
        <w:tc>
          <w:tcPr>
            <w:tcW w:w="217" w:type="dxa"/>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5F42C7" w:rsidP="00891E07">
            <w:pPr>
              <w:spacing w:after="220"/>
              <w:rPr>
                <w:spacing w:val="-4"/>
                <w:lang w:val="en-GB"/>
              </w:rPr>
            </w:pPr>
            <w:r>
              <w:rPr>
                <w:spacing w:val="-4"/>
                <w:lang w:val="en-GB"/>
              </w:rPr>
              <w:t>Year-on-year growth of total</w:t>
            </w:r>
            <w:r w:rsidR="004A3CDE" w:rsidRPr="00A17559">
              <w:rPr>
                <w:spacing w:val="-4"/>
                <w:lang w:val="en-GB"/>
              </w:rPr>
              <w:t xml:space="preserve"> SB revenues </w:t>
            </w:r>
            <w:r w:rsidR="00A45CED" w:rsidRPr="00A17559">
              <w:rPr>
                <w:spacing w:val="-4"/>
                <w:lang w:val="en-GB"/>
              </w:rPr>
              <w:t>(</w:t>
            </w:r>
            <w:r w:rsidR="004A3CDE" w:rsidRPr="00A17559">
              <w:rPr>
                <w:spacing w:val="-4"/>
                <w:lang w:val="en-GB"/>
              </w:rPr>
              <w:t xml:space="preserve">by </w:t>
            </w:r>
            <w:r w:rsidR="00A45CED" w:rsidRPr="00A17559">
              <w:rPr>
                <w:spacing w:val="-4"/>
                <w:lang w:val="en-GB"/>
              </w:rPr>
              <w:t>55</w:t>
            </w:r>
            <w:r w:rsidR="004A3CDE" w:rsidRPr="00A17559">
              <w:rPr>
                <w:spacing w:val="-4"/>
                <w:lang w:val="en-GB"/>
              </w:rPr>
              <w:t>.</w:t>
            </w:r>
            <w:r w:rsidR="00A45CED" w:rsidRPr="00A17559">
              <w:rPr>
                <w:spacing w:val="-4"/>
                <w:lang w:val="en-GB"/>
              </w:rPr>
              <w:t>8</w:t>
            </w:r>
            <w:r w:rsidR="004A3CDE" w:rsidRPr="00A17559">
              <w:rPr>
                <w:spacing w:val="-4"/>
                <w:lang w:val="en-GB"/>
              </w:rPr>
              <w:t xml:space="preserve"> CZK bn</w:t>
            </w:r>
            <w:r w:rsidR="00A45CED" w:rsidRPr="00A17559">
              <w:rPr>
                <w:spacing w:val="-4"/>
                <w:lang w:val="en-GB"/>
              </w:rPr>
              <w:t xml:space="preserve">) </w:t>
            </w:r>
            <w:r w:rsidR="004A3CDE" w:rsidRPr="00A17559">
              <w:rPr>
                <w:spacing w:val="-4"/>
                <w:lang w:val="en-GB"/>
              </w:rPr>
              <w:t xml:space="preserve">was by nearly three </w:t>
            </w:r>
            <w:r w:rsidR="002E7A3C" w:rsidRPr="00A17559">
              <w:rPr>
                <w:spacing w:val="-4"/>
                <w:lang w:val="en-GB"/>
              </w:rPr>
              <w:t>quarters</w:t>
            </w:r>
            <w:r w:rsidR="004A3CDE" w:rsidRPr="00A17559">
              <w:rPr>
                <w:spacing w:val="-4"/>
                <w:lang w:val="en-GB"/>
              </w:rPr>
              <w:t xml:space="preserve"> pulled by </w:t>
            </w:r>
            <w:r w:rsidR="002E7A3C" w:rsidRPr="00A17559">
              <w:rPr>
                <w:spacing w:val="-4"/>
                <w:lang w:val="en-GB"/>
              </w:rPr>
              <w:t>higher</w:t>
            </w:r>
            <w:r w:rsidR="004A3CDE" w:rsidRPr="00A17559">
              <w:rPr>
                <w:spacing w:val="-4"/>
                <w:lang w:val="en-GB"/>
              </w:rPr>
              <w:t xml:space="preserve"> tax incomes </w:t>
            </w:r>
            <w:r w:rsidR="00A45CED" w:rsidRPr="00A17559">
              <w:rPr>
                <w:rFonts w:cs="Arial"/>
                <w:color w:val="000000" w:themeColor="text1"/>
                <w:spacing w:val="-2"/>
                <w:lang w:val="en-GB"/>
              </w:rPr>
              <w:t>(</w:t>
            </w:r>
            <w:r w:rsidR="004A3CDE" w:rsidRPr="00A17559">
              <w:rPr>
                <w:rFonts w:cs="Arial"/>
                <w:color w:val="000000" w:themeColor="text1"/>
                <w:spacing w:val="-2"/>
                <w:lang w:val="en-GB"/>
              </w:rPr>
              <w:t>including insurance</w:t>
            </w:r>
            <w:r w:rsidR="00A45CED" w:rsidRPr="00A17559">
              <w:rPr>
                <w:rFonts w:cs="Arial"/>
                <w:color w:val="000000" w:themeColor="text1"/>
                <w:spacing w:val="-2"/>
                <w:lang w:val="en-GB"/>
              </w:rPr>
              <w:t>)</w:t>
            </w:r>
            <w:r w:rsidR="00A45CED" w:rsidRPr="00A17559">
              <w:rPr>
                <w:spacing w:val="-4"/>
                <w:lang w:val="en-GB"/>
              </w:rPr>
              <w:t xml:space="preserve">. </w:t>
            </w:r>
            <w:r w:rsidR="002E7A3C" w:rsidRPr="00A17559">
              <w:rPr>
                <w:spacing w:val="-4"/>
                <w:lang w:val="en-GB"/>
              </w:rPr>
              <w:t xml:space="preserve">Non-tax and capital revenues also had a favourable impact </w:t>
            </w:r>
            <w:r w:rsidR="00A45CED" w:rsidRPr="00A17559">
              <w:rPr>
                <w:spacing w:val="-4"/>
                <w:lang w:val="en-GB"/>
              </w:rPr>
              <w:t>(</w:t>
            </w:r>
            <w:r w:rsidR="002E7A3C" w:rsidRPr="00A17559">
              <w:rPr>
                <w:spacing w:val="-4"/>
                <w:lang w:val="en-GB"/>
              </w:rPr>
              <w:t>by one sixth higher year-on-year</w:t>
            </w:r>
            <w:r w:rsidR="00A45CED" w:rsidRPr="00A17559">
              <w:rPr>
                <w:spacing w:val="-4"/>
                <w:lang w:val="en-GB"/>
              </w:rPr>
              <w:t>),</w:t>
            </w:r>
            <w:r w:rsidR="002E7A3C" w:rsidRPr="00A17559">
              <w:rPr>
                <w:spacing w:val="-4"/>
                <w:lang w:val="en-GB"/>
              </w:rPr>
              <w:t xml:space="preserve"> since the moderate decrease of revenues from the EU budget </w:t>
            </w:r>
            <w:r w:rsidR="00A45CED" w:rsidRPr="00A17559">
              <w:rPr>
                <w:spacing w:val="-4"/>
                <w:lang w:val="en-GB"/>
              </w:rPr>
              <w:t>(</w:t>
            </w:r>
            <w:r w:rsidR="002E7A3C" w:rsidRPr="00A17559">
              <w:rPr>
                <w:spacing w:val="-4"/>
                <w:lang w:val="en-GB"/>
              </w:rPr>
              <w:t>by one tenth</w:t>
            </w:r>
            <w:r w:rsidR="00A45CED" w:rsidRPr="00A17559">
              <w:rPr>
                <w:spacing w:val="-4"/>
                <w:lang w:val="en-GB"/>
              </w:rPr>
              <w:t>, resp. 6</w:t>
            </w:r>
            <w:r w:rsidR="002E7A3C" w:rsidRPr="00A17559">
              <w:rPr>
                <w:spacing w:val="-4"/>
                <w:lang w:val="en-GB"/>
              </w:rPr>
              <w:t>.</w:t>
            </w:r>
            <w:r w:rsidR="00A45CED" w:rsidRPr="00A17559">
              <w:rPr>
                <w:spacing w:val="-4"/>
                <w:lang w:val="en-GB"/>
              </w:rPr>
              <w:t>6</w:t>
            </w:r>
            <w:r w:rsidR="002E7A3C" w:rsidRPr="00A17559">
              <w:rPr>
                <w:spacing w:val="-4"/>
                <w:lang w:val="en-GB"/>
              </w:rPr>
              <w:t xml:space="preserve"> CZK bn</w:t>
            </w:r>
            <w:r w:rsidR="00A45CED" w:rsidRPr="00A17559">
              <w:rPr>
                <w:spacing w:val="-4"/>
                <w:lang w:val="en-GB"/>
              </w:rPr>
              <w:t>)</w:t>
            </w:r>
            <w:r w:rsidR="00A45CED" w:rsidRPr="00A17559">
              <w:rPr>
                <w:rStyle w:val="Znakapoznpodarou"/>
                <w:bCs/>
                <w:lang w:val="en-GB"/>
              </w:rPr>
              <w:footnoteReference w:id="56"/>
            </w:r>
            <w:r w:rsidR="002E7A3C" w:rsidRPr="00A17559">
              <w:rPr>
                <w:spacing w:val="-4"/>
                <w:lang w:val="en-GB"/>
              </w:rPr>
              <w:t xml:space="preserve"> was offset by a </w:t>
            </w:r>
            <w:r w:rsidR="00D464E4" w:rsidRPr="00A17559">
              <w:rPr>
                <w:spacing w:val="-4"/>
                <w:lang w:val="en-GB"/>
              </w:rPr>
              <w:t>onetime</w:t>
            </w:r>
            <w:r w:rsidR="002E7A3C" w:rsidRPr="00A17559">
              <w:rPr>
                <w:spacing w:val="-4"/>
                <w:lang w:val="en-GB"/>
              </w:rPr>
              <w:t xml:space="preserve"> transfer of </w:t>
            </w:r>
            <w:r w:rsidR="00A45CED" w:rsidRPr="00A17559">
              <w:rPr>
                <w:spacing w:val="-4"/>
                <w:lang w:val="en-GB"/>
              </w:rPr>
              <w:t>18</w:t>
            </w:r>
            <w:r w:rsidR="002E7A3C" w:rsidRPr="00A17559">
              <w:rPr>
                <w:spacing w:val="-4"/>
                <w:lang w:val="en-GB"/>
              </w:rPr>
              <w:t>.</w:t>
            </w:r>
            <w:r w:rsidR="00A45CED" w:rsidRPr="00A17559">
              <w:rPr>
                <w:spacing w:val="-4"/>
                <w:lang w:val="en-GB"/>
              </w:rPr>
              <w:t>0 </w:t>
            </w:r>
            <w:r w:rsidR="002E7A3C" w:rsidRPr="00A17559">
              <w:rPr>
                <w:spacing w:val="-4"/>
                <w:lang w:val="en-GB"/>
              </w:rPr>
              <w:t>CZK bn from the</w:t>
            </w:r>
            <w:r w:rsidR="008A76B8" w:rsidRPr="00A17559">
              <w:rPr>
                <w:spacing w:val="-4"/>
                <w:lang w:val="en-GB"/>
              </w:rPr>
              <w:t xml:space="preserve"> privatization account. </w:t>
            </w:r>
            <w:r w:rsidR="00D464E4" w:rsidRPr="00A17559">
              <w:rPr>
                <w:spacing w:val="-4"/>
                <w:lang w:val="en-GB"/>
              </w:rPr>
              <w:t xml:space="preserve">Mainly higher collection of insurance on social </w:t>
            </w:r>
            <w:r w:rsidR="00891E07" w:rsidRPr="00A17559">
              <w:rPr>
                <w:spacing w:val="-4"/>
                <w:lang w:val="en-GB"/>
              </w:rPr>
              <w:t>security</w:t>
            </w:r>
            <w:r w:rsidR="00D464E4" w:rsidRPr="00A17559">
              <w:rPr>
                <w:spacing w:val="-4"/>
                <w:lang w:val="en-GB"/>
              </w:rPr>
              <w:t xml:space="preserve"> (+20.8 CZK bn) </w:t>
            </w:r>
            <w:r w:rsidR="00891E07" w:rsidRPr="00A17559">
              <w:rPr>
                <w:spacing w:val="-4"/>
                <w:lang w:val="en-GB"/>
              </w:rPr>
              <w:t>contributed to the stronger all tax incomes (similarly to year 2018)</w:t>
            </w:r>
            <w:r w:rsidR="00A45CED" w:rsidRPr="00A17559">
              <w:rPr>
                <w:spacing w:val="-4"/>
                <w:lang w:val="en-GB"/>
              </w:rPr>
              <w:t xml:space="preserve">, </w:t>
            </w:r>
            <w:r w:rsidR="00D464E4" w:rsidRPr="00A17559">
              <w:rPr>
                <w:spacing w:val="-4"/>
                <w:lang w:val="en-GB"/>
              </w:rPr>
              <w:t xml:space="preserve">total tax collection enjoyed only slightly weaker effect. </w:t>
            </w:r>
          </w:p>
        </w:tc>
      </w:tr>
      <w:tr w:rsidR="00A45CED" w:rsidRPr="00A17559" w:rsidTr="000A3D9E">
        <w:trPr>
          <w:trHeight w:val="145"/>
        </w:trPr>
        <w:tc>
          <w:tcPr>
            <w:tcW w:w="1732" w:type="dxa"/>
            <w:tcBorders>
              <w:top w:val="nil"/>
              <w:left w:val="nil"/>
              <w:bottom w:val="nil"/>
              <w:right w:val="nil"/>
            </w:tcBorders>
            <w:shd w:val="clear" w:color="auto" w:fill="auto"/>
            <w:tcMar>
              <w:left w:w="0" w:type="dxa"/>
            </w:tcMar>
          </w:tcPr>
          <w:p w:rsidR="00A45CED" w:rsidRPr="00A17559" w:rsidRDefault="00EB1DE7" w:rsidP="00EB1DE7">
            <w:pPr>
              <w:pStyle w:val="Marginlie"/>
              <w:rPr>
                <w:lang w:val="en-GB"/>
              </w:rPr>
            </w:pPr>
            <w:r w:rsidRPr="00A17559">
              <w:rPr>
                <w:lang w:val="en-GB"/>
              </w:rPr>
              <w:t xml:space="preserve">Collection of VAT </w:t>
            </w:r>
            <w:r w:rsidR="00A012F7" w:rsidRPr="00A17559">
              <w:rPr>
                <w:lang w:val="en-GB"/>
              </w:rPr>
              <w:t>strengthened</w:t>
            </w:r>
            <w:r w:rsidRPr="00A17559">
              <w:rPr>
                <w:lang w:val="en-GB"/>
              </w:rPr>
              <w:t xml:space="preserve"> during the half-year, but lagged behind both the budget anticipations and final consumption dynamics of government as well as households. </w:t>
            </w:r>
          </w:p>
        </w:tc>
        <w:tc>
          <w:tcPr>
            <w:tcW w:w="217" w:type="dxa"/>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A012F7" w:rsidP="003D03B4">
            <w:pPr>
              <w:spacing w:after="220"/>
              <w:rPr>
                <w:spacing w:val="-4"/>
                <w:lang w:val="en-GB"/>
              </w:rPr>
            </w:pPr>
            <w:r w:rsidRPr="00A17559">
              <w:rPr>
                <w:spacing w:val="-4"/>
                <w:lang w:val="en-GB"/>
              </w:rPr>
              <w:t xml:space="preserve">SB raised on the weight dominant tax – VAT – by 3.0% </w:t>
            </w:r>
            <w:r w:rsidR="00153EC7" w:rsidRPr="00A17559">
              <w:rPr>
                <w:spacing w:val="-4"/>
                <w:lang w:val="en-GB"/>
              </w:rPr>
              <w:t xml:space="preserve">more </w:t>
            </w:r>
            <w:r w:rsidRPr="00A17559">
              <w:rPr>
                <w:spacing w:val="-4"/>
                <w:lang w:val="en-GB"/>
              </w:rPr>
              <w:t>year-on-year in H</w:t>
            </w:r>
            <w:r w:rsidR="004A5D4E" w:rsidRPr="00A17559">
              <w:rPr>
                <w:spacing w:val="-4"/>
                <w:lang w:val="en-GB"/>
              </w:rPr>
              <w:t>1</w:t>
            </w:r>
            <w:r w:rsidR="00153EC7" w:rsidRPr="00A17559">
              <w:rPr>
                <w:spacing w:val="-4"/>
                <w:lang w:val="en-GB"/>
              </w:rPr>
              <w:t>, and even though the growth rate strengthened during the year</w:t>
            </w:r>
            <w:r w:rsidR="00A45CED" w:rsidRPr="00A17559">
              <w:rPr>
                <w:rStyle w:val="Znakapoznpodarou"/>
                <w:spacing w:val="-2"/>
                <w:lang w:val="en-GB"/>
              </w:rPr>
              <w:footnoteReference w:id="57"/>
            </w:r>
            <w:r w:rsidR="00A45CED" w:rsidRPr="00A17559">
              <w:rPr>
                <w:spacing w:val="-4"/>
                <w:lang w:val="en-GB"/>
              </w:rPr>
              <w:t xml:space="preserve">, </w:t>
            </w:r>
            <w:r w:rsidR="00EB1DE7" w:rsidRPr="00A17559">
              <w:rPr>
                <w:spacing w:val="-4"/>
                <w:lang w:val="en-GB"/>
              </w:rPr>
              <w:t xml:space="preserve">it still lagged behind the budget anticipations. Pace of VAT collection was slowing already third year in a row and </w:t>
            </w:r>
            <w:r w:rsidR="00303939" w:rsidRPr="00A17559">
              <w:rPr>
                <w:spacing w:val="-4"/>
                <w:lang w:val="en-GB"/>
              </w:rPr>
              <w:t xml:space="preserve">did not approach the growth dynamics of final consumption expenditure of households </w:t>
            </w:r>
            <w:r w:rsidR="00A45CED" w:rsidRPr="00A17559">
              <w:rPr>
                <w:spacing w:val="-4"/>
                <w:lang w:val="en-GB"/>
              </w:rPr>
              <w:t>(5</w:t>
            </w:r>
            <w:r w:rsidR="00303939" w:rsidRPr="00A17559">
              <w:rPr>
                <w:spacing w:val="-4"/>
                <w:lang w:val="en-GB"/>
              </w:rPr>
              <w:t>.</w:t>
            </w:r>
            <w:r w:rsidR="00A45CED" w:rsidRPr="00A17559">
              <w:rPr>
                <w:spacing w:val="-4"/>
                <w:lang w:val="en-GB"/>
              </w:rPr>
              <w:t>7</w:t>
            </w:r>
            <w:r w:rsidR="00403F57" w:rsidRPr="00A17559">
              <w:rPr>
                <w:spacing w:val="-4"/>
                <w:lang w:val="en-GB"/>
              </w:rPr>
              <w:t>%</w:t>
            </w:r>
            <w:r w:rsidR="00A45CED" w:rsidRPr="00A17559">
              <w:rPr>
                <w:spacing w:val="-4"/>
                <w:lang w:val="en-GB"/>
              </w:rPr>
              <w:t>)</w:t>
            </w:r>
            <w:r w:rsidR="00303939" w:rsidRPr="00A17559">
              <w:rPr>
                <w:spacing w:val="-4"/>
                <w:lang w:val="en-GB"/>
              </w:rPr>
              <w:t xml:space="preserve"> or government institutions </w:t>
            </w:r>
            <w:r w:rsidR="00A45CED" w:rsidRPr="00A17559">
              <w:rPr>
                <w:spacing w:val="-4"/>
                <w:lang w:val="en-GB"/>
              </w:rPr>
              <w:t>(8</w:t>
            </w:r>
            <w:r w:rsidR="00303939" w:rsidRPr="00A17559">
              <w:rPr>
                <w:spacing w:val="-4"/>
                <w:lang w:val="en-GB"/>
              </w:rPr>
              <w:t>.</w:t>
            </w:r>
            <w:r w:rsidR="00A45CED" w:rsidRPr="00A17559">
              <w:rPr>
                <w:spacing w:val="-4"/>
                <w:lang w:val="en-GB"/>
              </w:rPr>
              <w:t>5</w:t>
            </w:r>
            <w:r w:rsidR="00403F57" w:rsidRPr="00A17559">
              <w:rPr>
                <w:spacing w:val="-4"/>
                <w:lang w:val="en-GB"/>
              </w:rPr>
              <w:t>%</w:t>
            </w:r>
            <w:r w:rsidR="00A45CED" w:rsidRPr="00A17559">
              <w:rPr>
                <w:spacing w:val="-4"/>
                <w:lang w:val="en-GB"/>
              </w:rPr>
              <w:t>)</w:t>
            </w:r>
            <w:r w:rsidR="00A45CED" w:rsidRPr="00A17559">
              <w:rPr>
                <w:rStyle w:val="Znakapoznpodarou"/>
                <w:spacing w:val="-2"/>
                <w:lang w:val="en-GB"/>
              </w:rPr>
              <w:footnoteReference w:id="58"/>
            </w:r>
            <w:r w:rsidR="00303939" w:rsidRPr="00A17559">
              <w:rPr>
                <w:spacing w:val="-4"/>
                <w:lang w:val="en-GB"/>
              </w:rPr>
              <w:t xml:space="preserve"> so far</w:t>
            </w:r>
            <w:r w:rsidR="00A45CED" w:rsidRPr="00A17559">
              <w:rPr>
                <w:spacing w:val="-4"/>
                <w:lang w:val="en-GB"/>
              </w:rPr>
              <w:t xml:space="preserve">. </w:t>
            </w:r>
            <w:r w:rsidR="00EB1DE7" w:rsidRPr="00A17559">
              <w:rPr>
                <w:spacing w:val="-4"/>
                <w:lang w:val="en-GB"/>
              </w:rPr>
              <w:t xml:space="preserve">Collection of all consumption taxes rose by </w:t>
            </w:r>
            <w:r w:rsidR="00A45CED" w:rsidRPr="00A17559">
              <w:rPr>
                <w:spacing w:val="-4"/>
                <w:lang w:val="en-GB"/>
              </w:rPr>
              <w:t>3</w:t>
            </w:r>
            <w:r w:rsidR="00EB1DE7" w:rsidRPr="00A17559">
              <w:rPr>
                <w:spacing w:val="-4"/>
                <w:lang w:val="en-GB"/>
              </w:rPr>
              <w:t>.</w:t>
            </w:r>
            <w:r w:rsidR="00A45CED" w:rsidRPr="00A17559">
              <w:rPr>
                <w:spacing w:val="-4"/>
                <w:lang w:val="en-GB"/>
              </w:rPr>
              <w:t>9</w:t>
            </w:r>
            <w:r w:rsidR="00403F57" w:rsidRPr="00A17559">
              <w:rPr>
                <w:spacing w:val="-4"/>
                <w:lang w:val="en-GB"/>
              </w:rPr>
              <w:t>%</w:t>
            </w:r>
            <w:r w:rsidR="00EB1DE7" w:rsidRPr="00A17559">
              <w:rPr>
                <w:spacing w:val="-4"/>
                <w:lang w:val="en-GB"/>
              </w:rPr>
              <w:t xml:space="preserve"> due to higher collection of all main types of tax. </w:t>
            </w:r>
            <w:r w:rsidR="00957300" w:rsidRPr="00A17559">
              <w:rPr>
                <w:spacing w:val="-4"/>
                <w:lang w:val="en-GB"/>
              </w:rPr>
              <w:t xml:space="preserve">For the most significant tax by volume on mineral oils, it strengthened by </w:t>
            </w:r>
            <w:r w:rsidR="00A45CED" w:rsidRPr="00A17559">
              <w:rPr>
                <w:iCs/>
                <w:spacing w:val="-4"/>
                <w:lang w:val="en-GB"/>
              </w:rPr>
              <w:t>2</w:t>
            </w:r>
            <w:r w:rsidR="00957300" w:rsidRPr="00A17559">
              <w:rPr>
                <w:iCs/>
                <w:spacing w:val="-4"/>
                <w:lang w:val="en-GB"/>
              </w:rPr>
              <w:t>.</w:t>
            </w:r>
            <w:r w:rsidR="00A45CED" w:rsidRPr="00A17559">
              <w:rPr>
                <w:iCs/>
                <w:spacing w:val="-4"/>
                <w:lang w:val="en-GB"/>
              </w:rPr>
              <w:t>3</w:t>
            </w:r>
            <w:r w:rsidR="00403F57" w:rsidRPr="00A17559">
              <w:rPr>
                <w:iCs/>
                <w:spacing w:val="-4"/>
                <w:lang w:val="en-GB"/>
              </w:rPr>
              <w:t>%</w:t>
            </w:r>
            <w:r w:rsidR="00A45CED" w:rsidRPr="00A17559">
              <w:rPr>
                <w:rStyle w:val="Znakapoznpodarou"/>
                <w:color w:val="000000" w:themeColor="text1"/>
                <w:spacing w:val="-4"/>
                <w:lang w:val="en-GB"/>
              </w:rPr>
              <w:footnoteReference w:id="59"/>
            </w:r>
            <w:r w:rsidR="00A45CED" w:rsidRPr="00A17559">
              <w:rPr>
                <w:iCs/>
                <w:spacing w:val="-4"/>
                <w:lang w:val="en-GB"/>
              </w:rPr>
              <w:t xml:space="preserve"> </w:t>
            </w:r>
            <w:r w:rsidR="002F1B09" w:rsidRPr="00A17559">
              <w:rPr>
                <w:iCs/>
                <w:spacing w:val="-4"/>
                <w:lang w:val="en-GB"/>
              </w:rPr>
              <w:t>a</w:t>
            </w:r>
            <w:r w:rsidR="00957300" w:rsidRPr="00A17559">
              <w:rPr>
                <w:iCs/>
                <w:spacing w:val="-4"/>
                <w:lang w:val="en-GB"/>
              </w:rPr>
              <w:t>nd manage</w:t>
            </w:r>
            <w:r w:rsidR="00BF064A" w:rsidRPr="00A17559">
              <w:rPr>
                <w:iCs/>
                <w:spacing w:val="-4"/>
                <w:lang w:val="en-GB"/>
              </w:rPr>
              <w:t>d</w:t>
            </w:r>
            <w:r w:rsidR="00957300" w:rsidRPr="00A17559">
              <w:rPr>
                <w:iCs/>
                <w:spacing w:val="-4"/>
                <w:lang w:val="en-GB"/>
              </w:rPr>
              <w:t xml:space="preserve"> to stay on the level of budget anticipations thanks to higher dynamics in Q2 itself. </w:t>
            </w:r>
            <w:r w:rsidR="003D03B4" w:rsidRPr="00A17559">
              <w:rPr>
                <w:iCs/>
                <w:spacing w:val="-4"/>
                <w:lang w:val="en-GB"/>
              </w:rPr>
              <w:t xml:space="preserve">Collection of tax on tobacco products </w:t>
            </w:r>
            <w:r w:rsidR="003D03B4" w:rsidRPr="00A17559">
              <w:rPr>
                <w:iCs/>
                <w:spacing w:val="-4"/>
                <w:lang w:val="en-GB"/>
              </w:rPr>
              <w:lastRenderedPageBreak/>
              <w:t xml:space="preserve">recorded higher rate of growth despite the fact, that the rates were not raised </w:t>
            </w:r>
            <w:r w:rsidR="003D03B4" w:rsidRPr="00A17559">
              <w:rPr>
                <w:lang w:val="en-GB"/>
              </w:rPr>
              <w:t>this year (for the first time since 2011)</w:t>
            </w:r>
            <w:r w:rsidR="00A45CED" w:rsidRPr="00A17559">
              <w:rPr>
                <w:lang w:val="en-GB"/>
              </w:rPr>
              <w:t>.</w:t>
            </w:r>
            <w:r w:rsidR="003D03B4" w:rsidRPr="00A17559">
              <w:rPr>
                <w:lang w:val="en-GB"/>
              </w:rPr>
              <w:t xml:space="preserve"> Its collection however fluctuates during the year, mainly for the reasons of frequent prestocking. </w:t>
            </w:r>
            <w:r w:rsidR="00957300" w:rsidRPr="00A17559">
              <w:rPr>
                <w:lang w:val="en-GB"/>
              </w:rPr>
              <w:t xml:space="preserve"> </w:t>
            </w:r>
          </w:p>
        </w:tc>
      </w:tr>
      <w:tr w:rsidR="00A45CED" w:rsidRPr="00A17559" w:rsidTr="000A3D9E">
        <w:trPr>
          <w:trHeight w:val="145"/>
        </w:trPr>
        <w:tc>
          <w:tcPr>
            <w:tcW w:w="1732" w:type="dxa"/>
            <w:tcBorders>
              <w:top w:val="nil"/>
              <w:left w:val="nil"/>
              <w:bottom w:val="nil"/>
              <w:right w:val="nil"/>
            </w:tcBorders>
            <w:shd w:val="clear" w:color="auto" w:fill="auto"/>
            <w:tcMar>
              <w:left w:w="0" w:type="dxa"/>
            </w:tcMar>
          </w:tcPr>
          <w:p w:rsidR="00A45CED" w:rsidRPr="00A17559" w:rsidRDefault="00957300" w:rsidP="003D03B4">
            <w:pPr>
              <w:pStyle w:val="Marginlie"/>
              <w:rPr>
                <w:lang w:val="en-GB"/>
              </w:rPr>
            </w:pPr>
            <w:r w:rsidRPr="00A17559">
              <w:rPr>
                <w:lang w:val="en-GB"/>
              </w:rPr>
              <w:lastRenderedPageBreak/>
              <w:t>Growth of income tax of natural persons from dependent activity</w:t>
            </w:r>
            <w:r w:rsidR="009F3210" w:rsidRPr="00A17559">
              <w:rPr>
                <w:lang w:val="en-GB"/>
              </w:rPr>
              <w:t xml:space="preserve"> </w:t>
            </w:r>
            <w:r w:rsidR="003D03B4" w:rsidRPr="00A17559">
              <w:rPr>
                <w:lang w:val="en-GB"/>
              </w:rPr>
              <w:t>stopped accelerating</w:t>
            </w:r>
            <w:r w:rsidR="00A45CED" w:rsidRPr="00A17559">
              <w:rPr>
                <w:lang w:val="en-GB"/>
              </w:rPr>
              <w:t xml:space="preserve">, </w:t>
            </w:r>
            <w:r w:rsidRPr="00A17559">
              <w:rPr>
                <w:lang w:val="en-GB"/>
              </w:rPr>
              <w:t xml:space="preserve">its pace still overtook the level of business cycle peak in the last decade. </w:t>
            </w:r>
          </w:p>
        </w:tc>
        <w:tc>
          <w:tcPr>
            <w:tcW w:w="217" w:type="dxa"/>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D46B51" w:rsidP="0098717C">
            <w:pPr>
              <w:spacing w:after="200"/>
              <w:rPr>
                <w:spacing w:val="-4"/>
                <w:lang w:val="en-GB"/>
              </w:rPr>
            </w:pPr>
            <w:r w:rsidRPr="00A17559">
              <w:rPr>
                <w:rFonts w:cs="Arial"/>
                <w:color w:val="000000" w:themeColor="text1"/>
                <w:spacing w:val="-4"/>
                <w:lang w:val="en-GB"/>
              </w:rPr>
              <w:t>Income tax of natural p</w:t>
            </w:r>
            <w:r w:rsidR="00B677A6">
              <w:rPr>
                <w:rFonts w:cs="Arial"/>
                <w:color w:val="000000" w:themeColor="text1"/>
                <w:spacing w:val="-4"/>
                <w:lang w:val="en-GB"/>
              </w:rPr>
              <w:t>ersons from dependent activity</w:t>
            </w:r>
            <w:r w:rsidRPr="00A17559">
              <w:rPr>
                <w:rFonts w:cs="Arial"/>
                <w:color w:val="000000" w:themeColor="text1"/>
                <w:spacing w:val="-4"/>
                <w:lang w:val="en-GB"/>
              </w:rPr>
              <w:t xml:space="preserve"> </w:t>
            </w:r>
            <w:r w:rsidR="00B677A6">
              <w:rPr>
                <w:rFonts w:cs="Arial"/>
                <w:color w:val="000000" w:themeColor="text1"/>
                <w:spacing w:val="-4"/>
                <w:lang w:val="en-GB"/>
              </w:rPr>
              <w:t xml:space="preserve">(employment) </w:t>
            </w:r>
            <w:r w:rsidRPr="00A17559">
              <w:rPr>
                <w:rFonts w:cs="Arial"/>
                <w:color w:val="000000" w:themeColor="text1"/>
                <w:spacing w:val="-4"/>
                <w:lang w:val="en-GB"/>
              </w:rPr>
              <w:t xml:space="preserve">further added the most to the growth of the </w:t>
            </w:r>
            <w:r w:rsidR="00941BC7" w:rsidRPr="00A17559">
              <w:rPr>
                <w:rFonts w:cs="Arial"/>
                <w:color w:val="000000" w:themeColor="text1"/>
                <w:spacing w:val="-4"/>
                <w:lang w:val="en-GB"/>
              </w:rPr>
              <w:t>state-wide</w:t>
            </w:r>
            <w:r w:rsidRPr="00A17559">
              <w:rPr>
                <w:rFonts w:cs="Arial"/>
                <w:color w:val="000000" w:themeColor="text1"/>
                <w:spacing w:val="-4"/>
                <w:lang w:val="en-GB"/>
              </w:rPr>
              <w:t xml:space="preserve"> collection of direct taxes. It </w:t>
            </w:r>
            <w:r w:rsidR="00941BC7" w:rsidRPr="00A17559">
              <w:rPr>
                <w:rFonts w:cs="Arial"/>
                <w:color w:val="000000" w:themeColor="text1"/>
                <w:spacing w:val="-4"/>
                <w:lang w:val="en-GB"/>
              </w:rPr>
              <w:t>strengthened</w:t>
            </w:r>
            <w:r w:rsidRPr="00A17559">
              <w:rPr>
                <w:rFonts w:cs="Arial"/>
                <w:color w:val="000000" w:themeColor="text1"/>
                <w:spacing w:val="-4"/>
                <w:lang w:val="en-GB"/>
              </w:rPr>
              <w:t xml:space="preserve"> by 13.3% year-on-year, slightly below the level of budget anticipations. </w:t>
            </w:r>
            <w:r w:rsidR="00223605" w:rsidRPr="00A17559">
              <w:rPr>
                <w:rFonts w:cs="Arial"/>
                <w:color w:val="000000" w:themeColor="text1"/>
                <w:spacing w:val="-4"/>
                <w:lang w:val="en-GB"/>
              </w:rPr>
              <w:t xml:space="preserve">Despite the pace of collection not strengthening any more in contrast to years </w:t>
            </w:r>
            <w:r w:rsidR="00A45CED" w:rsidRPr="00A17559">
              <w:rPr>
                <w:rFonts w:cs="Arial"/>
                <w:color w:val="0D0D0D" w:themeColor="text1" w:themeTint="F2"/>
                <w:spacing w:val="-4"/>
                <w:lang w:val="en-GB"/>
              </w:rPr>
              <w:t>2016</w:t>
            </w:r>
            <w:r w:rsidR="00223605" w:rsidRPr="00A17559">
              <w:rPr>
                <w:rFonts w:cs="Arial"/>
                <w:color w:val="0D0D0D" w:themeColor="text1" w:themeTint="F2"/>
                <w:spacing w:val="-4"/>
                <w:lang w:val="en-GB"/>
              </w:rPr>
              <w:t xml:space="preserve"> till </w:t>
            </w:r>
            <w:r w:rsidR="00A45CED" w:rsidRPr="00A17559">
              <w:rPr>
                <w:rFonts w:cs="Arial"/>
                <w:color w:val="0D0D0D" w:themeColor="text1" w:themeTint="F2"/>
                <w:spacing w:val="-4"/>
                <w:lang w:val="en-GB"/>
              </w:rPr>
              <w:t xml:space="preserve">2018, </w:t>
            </w:r>
            <w:r w:rsidR="000804D8" w:rsidRPr="00A17559">
              <w:rPr>
                <w:rFonts w:cs="Arial"/>
                <w:color w:val="0D0D0D" w:themeColor="text1" w:themeTint="F2"/>
                <w:spacing w:val="-4"/>
                <w:lang w:val="en-GB"/>
              </w:rPr>
              <w:t xml:space="preserve">it still exceeded the dynamics from the business cycle peak period in the last decade. </w:t>
            </w:r>
            <w:r w:rsidR="00EB2251" w:rsidRPr="00A17559">
              <w:rPr>
                <w:rFonts w:cs="Arial"/>
                <w:color w:val="0D0D0D" w:themeColor="text1" w:themeTint="F2"/>
                <w:spacing w:val="-4"/>
                <w:lang w:val="en-GB"/>
              </w:rPr>
              <w:t>Record number of working persons and further also the brisk growth of average earnings, especially in services was also instrumental in this</w:t>
            </w:r>
            <w:r w:rsidR="00A45CED" w:rsidRPr="00A17559">
              <w:rPr>
                <w:rFonts w:cs="Arial"/>
                <w:color w:val="0D0D0D" w:themeColor="text1" w:themeTint="F2"/>
                <w:spacing w:val="-4"/>
                <w:lang w:val="en-GB"/>
              </w:rPr>
              <w:t xml:space="preserve">. </w:t>
            </w:r>
            <w:r w:rsidR="00EB2251" w:rsidRPr="00A17559">
              <w:rPr>
                <w:rFonts w:cs="Arial"/>
                <w:color w:val="0D0D0D" w:themeColor="text1" w:themeTint="F2"/>
                <w:spacing w:val="-4"/>
                <w:lang w:val="en-GB"/>
              </w:rPr>
              <w:t xml:space="preserve">Tax on capital income also recorded a double-digit growth exceeding the budget anticipation. </w:t>
            </w:r>
            <w:r w:rsidR="001A15AF" w:rsidRPr="00A17559">
              <w:rPr>
                <w:rFonts w:cs="Arial"/>
                <w:color w:val="0D0D0D" w:themeColor="text1" w:themeTint="F2"/>
                <w:spacing w:val="-4"/>
                <w:lang w:val="en-GB"/>
              </w:rPr>
              <w:t xml:space="preserve">Collection of income tax of natural persons associated mainly with the volume of sales flowing from small businesses enlarged as well. </w:t>
            </w:r>
            <w:r w:rsidR="00F839D3" w:rsidRPr="00A17559">
              <w:rPr>
                <w:rFonts w:cs="Arial"/>
                <w:color w:val="0D0D0D" w:themeColor="text1" w:themeTint="F2"/>
                <w:spacing w:val="-4"/>
                <w:lang w:val="en-GB"/>
              </w:rPr>
              <w:t xml:space="preserve">The swift growth of the domestic demand was still evident here, widening of tax rebates and tax benefits (e.g. on children) had the opposite effect. </w:t>
            </w:r>
            <w:r w:rsidR="00083F87" w:rsidRPr="00A17559">
              <w:rPr>
                <w:rFonts w:cs="Arial"/>
                <w:color w:val="0D0D0D" w:themeColor="text1" w:themeTint="F2"/>
                <w:spacing w:val="-4"/>
                <w:lang w:val="en-GB"/>
              </w:rPr>
              <w:t>State-wide</w:t>
            </w:r>
            <w:r w:rsidR="00F839D3" w:rsidRPr="00A17559">
              <w:rPr>
                <w:rFonts w:cs="Arial"/>
                <w:color w:val="0D0D0D" w:themeColor="text1" w:themeTint="F2"/>
                <w:spacing w:val="-4"/>
                <w:lang w:val="en-GB"/>
              </w:rPr>
              <w:t xml:space="preserve"> collection of the corporate tax rose by </w:t>
            </w:r>
            <w:r w:rsidR="00A45CED" w:rsidRPr="00A17559">
              <w:rPr>
                <w:rFonts w:cs="Arial"/>
                <w:spacing w:val="-4"/>
                <w:lang w:val="en-GB"/>
              </w:rPr>
              <w:t>6</w:t>
            </w:r>
            <w:r w:rsidR="00F839D3" w:rsidRPr="00A17559">
              <w:rPr>
                <w:rFonts w:cs="Arial"/>
                <w:spacing w:val="-4"/>
                <w:lang w:val="en-GB"/>
              </w:rPr>
              <w:t>.</w:t>
            </w:r>
            <w:r w:rsidR="00A45CED" w:rsidRPr="00A17559">
              <w:rPr>
                <w:rFonts w:cs="Arial"/>
                <w:spacing w:val="-4"/>
                <w:lang w:val="en-GB"/>
              </w:rPr>
              <w:t>3%</w:t>
            </w:r>
            <w:r w:rsidR="00F839D3" w:rsidRPr="00A17559">
              <w:rPr>
                <w:rFonts w:cs="Arial"/>
                <w:spacing w:val="-4"/>
                <w:lang w:val="en-GB"/>
              </w:rPr>
              <w:t xml:space="preserve"> and reflected the decreasing profitability of businesses, mainly</w:t>
            </w:r>
            <w:r w:rsidR="00083F87" w:rsidRPr="00A17559">
              <w:rPr>
                <w:rFonts w:cs="Arial"/>
                <w:spacing w:val="-4"/>
                <w:lang w:val="en-GB"/>
              </w:rPr>
              <w:t xml:space="preserve"> because of intensifying wage costs</w:t>
            </w:r>
            <w:r w:rsidR="00A45CED" w:rsidRPr="00A17559">
              <w:rPr>
                <w:rFonts w:cs="Arial"/>
                <w:color w:val="0D0D0D" w:themeColor="text1" w:themeTint="F2"/>
                <w:spacing w:val="-4"/>
                <w:lang w:val="en-GB"/>
              </w:rPr>
              <w:t xml:space="preserve">, </w:t>
            </w:r>
            <w:r w:rsidR="00F839D3" w:rsidRPr="00A17559">
              <w:rPr>
                <w:rFonts w:cs="Arial"/>
                <w:color w:val="0D0D0D" w:themeColor="text1" w:themeTint="F2"/>
                <w:spacing w:val="-4"/>
                <w:lang w:val="en-GB"/>
              </w:rPr>
              <w:t xml:space="preserve">but </w:t>
            </w:r>
            <w:r w:rsidR="00083F87" w:rsidRPr="00A17559">
              <w:rPr>
                <w:rFonts w:cs="Arial"/>
                <w:color w:val="0D0D0D" w:themeColor="text1" w:themeTint="F2"/>
                <w:spacing w:val="-4"/>
                <w:lang w:val="en-GB"/>
              </w:rPr>
              <w:t xml:space="preserve">also relatively weaker last year´s basis of this tax. </w:t>
            </w:r>
          </w:p>
        </w:tc>
      </w:tr>
      <w:tr w:rsidR="00A45CED" w:rsidRPr="00A17559" w:rsidTr="000A3D9E">
        <w:trPr>
          <w:trHeight w:val="145"/>
        </w:trPr>
        <w:tc>
          <w:tcPr>
            <w:tcW w:w="1732" w:type="dxa"/>
            <w:tcBorders>
              <w:top w:val="nil"/>
              <w:left w:val="nil"/>
              <w:bottom w:val="nil"/>
              <w:right w:val="nil"/>
            </w:tcBorders>
            <w:shd w:val="clear" w:color="auto" w:fill="auto"/>
            <w:tcMar>
              <w:left w:w="0" w:type="dxa"/>
            </w:tcMar>
          </w:tcPr>
          <w:p w:rsidR="00A45CED" w:rsidRPr="00A17559" w:rsidRDefault="00083F87" w:rsidP="00083F87">
            <w:pPr>
              <w:pStyle w:val="Marginlie"/>
              <w:rPr>
                <w:lang w:val="en-GB"/>
              </w:rPr>
            </w:pPr>
            <w:r w:rsidRPr="00A17559">
              <w:rPr>
                <w:lang w:val="en-GB"/>
              </w:rPr>
              <w:t xml:space="preserve">Positive net position of the CR towards the EU budget hiked to the three year maximum in H1. </w:t>
            </w:r>
          </w:p>
        </w:tc>
        <w:tc>
          <w:tcPr>
            <w:tcW w:w="217" w:type="dxa"/>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083F87" w:rsidP="007C71B6">
            <w:pPr>
              <w:spacing w:after="220"/>
              <w:rPr>
                <w:spacing w:val="-4"/>
                <w:lang w:val="en-GB"/>
              </w:rPr>
            </w:pPr>
            <w:r w:rsidRPr="00A17559">
              <w:rPr>
                <w:spacing w:val="-4"/>
                <w:lang w:val="en-GB"/>
              </w:rPr>
              <w:t>Even though a moderate decrease of SB revenues from the EU budget occurred this year compared to H</w:t>
            </w:r>
            <w:r w:rsidR="004A5D4E" w:rsidRPr="00A17559">
              <w:rPr>
                <w:spacing w:val="-4"/>
                <w:lang w:val="en-GB"/>
              </w:rPr>
              <w:t>1</w:t>
            </w:r>
            <w:r w:rsidRPr="00A17559">
              <w:rPr>
                <w:spacing w:val="-4"/>
                <w:lang w:val="en-GB"/>
              </w:rPr>
              <w:t xml:space="preserve"> </w:t>
            </w:r>
            <w:r w:rsidR="00A45CED" w:rsidRPr="00A17559">
              <w:rPr>
                <w:spacing w:val="-4"/>
                <w:lang w:val="en-GB"/>
              </w:rPr>
              <w:t>2018</w:t>
            </w:r>
            <w:r w:rsidRPr="00A17559">
              <w:rPr>
                <w:spacing w:val="-4"/>
                <w:lang w:val="en-GB"/>
              </w:rPr>
              <w:t xml:space="preserve"> </w:t>
            </w:r>
            <w:r w:rsidR="00A45CED" w:rsidRPr="00A17559">
              <w:rPr>
                <w:spacing w:val="-4"/>
                <w:lang w:val="en-GB"/>
              </w:rPr>
              <w:t>(</w:t>
            </w:r>
            <w:r w:rsidR="00D46B51" w:rsidRPr="00A17559">
              <w:rPr>
                <w:spacing w:val="-4"/>
                <w:lang w:val="en-GB"/>
              </w:rPr>
              <w:t xml:space="preserve">including </w:t>
            </w:r>
            <w:r w:rsidR="00EB2251" w:rsidRPr="00A17559">
              <w:rPr>
                <w:spacing w:val="-4"/>
                <w:lang w:val="en-GB"/>
              </w:rPr>
              <w:t>f</w:t>
            </w:r>
            <w:r w:rsidR="00D46B51" w:rsidRPr="00A17559">
              <w:rPr>
                <w:spacing w:val="-4"/>
                <w:lang w:val="en-GB"/>
              </w:rPr>
              <w:t>inancial mechanisms</w:t>
            </w:r>
            <w:r w:rsidR="00A45CED" w:rsidRPr="00A17559">
              <w:rPr>
                <w:spacing w:val="-4"/>
                <w:lang w:val="en-GB"/>
              </w:rPr>
              <w:t>), t</w:t>
            </w:r>
            <w:r w:rsidR="00D46B51" w:rsidRPr="00A17559">
              <w:rPr>
                <w:spacing w:val="-4"/>
                <w:lang w:val="en-GB"/>
              </w:rPr>
              <w:t xml:space="preserve">his drop was not </w:t>
            </w:r>
            <w:r w:rsidRPr="00A17559">
              <w:rPr>
                <w:spacing w:val="-4"/>
                <w:lang w:val="en-GB"/>
              </w:rPr>
              <w:t>r</w:t>
            </w:r>
            <w:r w:rsidR="00D46B51" w:rsidRPr="00A17559">
              <w:rPr>
                <w:spacing w:val="-4"/>
                <w:lang w:val="en-GB"/>
              </w:rPr>
              <w:t xml:space="preserve">elated to the current programme period </w:t>
            </w:r>
            <w:r w:rsidR="00A45CED" w:rsidRPr="00A17559">
              <w:rPr>
                <w:spacing w:val="-4"/>
                <w:lang w:val="en-GB"/>
              </w:rPr>
              <w:t>(2014</w:t>
            </w:r>
            <w:r w:rsidR="00403F57" w:rsidRPr="00A17559">
              <w:rPr>
                <w:spacing w:val="-4"/>
                <w:lang w:val="en-GB"/>
              </w:rPr>
              <w:t>–</w:t>
            </w:r>
            <w:r w:rsidR="00A45CED" w:rsidRPr="00A17559">
              <w:rPr>
                <w:spacing w:val="-4"/>
                <w:lang w:val="en-GB"/>
              </w:rPr>
              <w:t>2020).</w:t>
            </w:r>
            <w:r w:rsidR="00D46B51" w:rsidRPr="00A17559">
              <w:rPr>
                <w:spacing w:val="-4"/>
                <w:lang w:val="en-GB"/>
              </w:rPr>
              <w:t xml:space="preserve"> It is</w:t>
            </w:r>
            <w:r w:rsidRPr="00A17559">
              <w:rPr>
                <w:spacing w:val="-4"/>
                <w:lang w:val="en-GB"/>
              </w:rPr>
              <w:t xml:space="preserve"> </w:t>
            </w:r>
            <w:r w:rsidR="00D46B51" w:rsidRPr="00A17559">
              <w:rPr>
                <w:spacing w:val="-4"/>
                <w:lang w:val="en-GB"/>
              </w:rPr>
              <w:t>also</w:t>
            </w:r>
            <w:r w:rsidRPr="00A17559">
              <w:rPr>
                <w:spacing w:val="-4"/>
                <w:lang w:val="en-GB"/>
              </w:rPr>
              <w:t xml:space="preserve"> </w:t>
            </w:r>
            <w:r w:rsidR="00D46B51" w:rsidRPr="00A17559">
              <w:rPr>
                <w:spacing w:val="-4"/>
                <w:lang w:val="en-GB"/>
              </w:rPr>
              <w:t xml:space="preserve">proved by the net position of the CR towards the EU budget. </w:t>
            </w:r>
            <w:r w:rsidRPr="00A17559">
              <w:rPr>
                <w:spacing w:val="-4"/>
                <w:lang w:val="en-GB"/>
              </w:rPr>
              <w:t xml:space="preserve">It attained </w:t>
            </w:r>
            <w:r w:rsidR="00A45CED" w:rsidRPr="00A17559">
              <w:rPr>
                <w:spacing w:val="-4"/>
                <w:lang w:val="en-GB"/>
              </w:rPr>
              <w:t>+24,4</w:t>
            </w:r>
            <w:r w:rsidR="00403F57" w:rsidRPr="00A17559">
              <w:rPr>
                <w:spacing w:val="-4"/>
                <w:lang w:val="en-GB"/>
              </w:rPr>
              <w:t> </w:t>
            </w:r>
            <w:r w:rsidRPr="00A17559">
              <w:rPr>
                <w:spacing w:val="-4"/>
                <w:lang w:val="en-GB"/>
              </w:rPr>
              <w:t xml:space="preserve">CZK bn in H1 and it was the highest for the last three years in this time period. </w:t>
            </w:r>
            <w:r w:rsidR="007C71B6" w:rsidRPr="00A17559">
              <w:rPr>
                <w:spacing w:val="-4"/>
                <w:lang w:val="en-GB"/>
              </w:rPr>
              <w:t xml:space="preserve">Considerable increase of revenues (from 32.9 to 53.9 CZK bn) was exclusively behind the strengthening of the net position this year. </w:t>
            </w:r>
            <w:r w:rsidR="00B772F3" w:rsidRPr="00A17559">
              <w:rPr>
                <w:spacing w:val="-4"/>
                <w:lang w:val="en-GB"/>
              </w:rPr>
              <w:t xml:space="preserve">Size of payments of the CR into the EU budget expanded year-on-year </w:t>
            </w:r>
            <w:r w:rsidR="00A45CED" w:rsidRPr="00A17559">
              <w:rPr>
                <w:spacing w:val="-4"/>
                <w:lang w:val="en-GB"/>
              </w:rPr>
              <w:t>(</w:t>
            </w:r>
            <w:r w:rsidR="00FE494D" w:rsidRPr="00A17559">
              <w:rPr>
                <w:spacing w:val="-4"/>
                <w:lang w:val="en-GB"/>
              </w:rPr>
              <w:t xml:space="preserve">by nearly one third to </w:t>
            </w:r>
            <w:r w:rsidR="00A45CED" w:rsidRPr="00A17559">
              <w:rPr>
                <w:spacing w:val="-4"/>
                <w:lang w:val="en-GB"/>
              </w:rPr>
              <w:t>29</w:t>
            </w:r>
            <w:r w:rsidR="00FE494D" w:rsidRPr="00A17559">
              <w:rPr>
                <w:spacing w:val="-4"/>
                <w:lang w:val="en-GB"/>
              </w:rPr>
              <w:t>.</w:t>
            </w:r>
            <w:r w:rsidR="00A45CED" w:rsidRPr="00A17559">
              <w:rPr>
                <w:spacing w:val="-4"/>
                <w:lang w:val="en-GB"/>
              </w:rPr>
              <w:t>6</w:t>
            </w:r>
            <w:r w:rsidR="00FE494D" w:rsidRPr="00A17559">
              <w:rPr>
                <w:spacing w:val="-4"/>
                <w:lang w:val="en-GB"/>
              </w:rPr>
              <w:t xml:space="preserve"> bn</w:t>
            </w:r>
            <w:r w:rsidR="00403F57" w:rsidRPr="00A17559">
              <w:rPr>
                <w:spacing w:val="-4"/>
                <w:lang w:val="en-GB"/>
              </w:rPr>
              <w:t>.</w:t>
            </w:r>
            <w:r w:rsidR="00A45CED" w:rsidRPr="00A17559">
              <w:rPr>
                <w:spacing w:val="-4"/>
                <w:lang w:val="en-GB"/>
              </w:rPr>
              <w:t>)</w:t>
            </w:r>
            <w:r w:rsidR="00A45CED" w:rsidRPr="00A17559">
              <w:rPr>
                <w:rStyle w:val="Znakapoznpodarou"/>
                <w:spacing w:val="-2"/>
                <w:lang w:val="en-GB"/>
              </w:rPr>
              <w:footnoteReference w:id="60"/>
            </w:r>
            <w:r w:rsidR="00A45CED" w:rsidRPr="00A17559">
              <w:rPr>
                <w:spacing w:val="-2"/>
                <w:lang w:val="en-GB"/>
              </w:rPr>
              <w:t xml:space="preserve">. </w:t>
            </w:r>
            <w:r w:rsidR="007C71B6" w:rsidRPr="00A17559">
              <w:rPr>
                <w:spacing w:val="-2"/>
                <w:lang w:val="en-GB"/>
              </w:rPr>
              <w:t xml:space="preserve">Stronger revenues mirrored faster drawing especially from structural and cohesion funds </w:t>
            </w:r>
            <w:r w:rsidR="00A45CED" w:rsidRPr="00A17559">
              <w:rPr>
                <w:spacing w:val="-2"/>
                <w:lang w:val="en-GB"/>
              </w:rPr>
              <w:t>(+17</w:t>
            </w:r>
            <w:r w:rsidR="007C71B6" w:rsidRPr="00A17559">
              <w:rPr>
                <w:spacing w:val="-2"/>
                <w:lang w:val="en-GB"/>
              </w:rPr>
              <w:t>.</w:t>
            </w:r>
            <w:r w:rsidR="00A45CED" w:rsidRPr="00A17559">
              <w:rPr>
                <w:spacing w:val="-2"/>
                <w:lang w:val="en-GB"/>
              </w:rPr>
              <w:t>5</w:t>
            </w:r>
            <w:r w:rsidR="00403F57" w:rsidRPr="00A17559">
              <w:rPr>
                <w:spacing w:val="-2"/>
                <w:lang w:val="en-GB"/>
              </w:rPr>
              <w:t> </w:t>
            </w:r>
            <w:r w:rsidR="007C71B6" w:rsidRPr="00A17559">
              <w:rPr>
                <w:spacing w:val="-2"/>
                <w:lang w:val="en-GB"/>
              </w:rPr>
              <w:t>CZK bn</w:t>
            </w:r>
            <w:r w:rsidR="00A45CED" w:rsidRPr="00A17559">
              <w:rPr>
                <w:spacing w:val="-2"/>
                <w:lang w:val="en-GB"/>
              </w:rPr>
              <w:t xml:space="preserve">) </w:t>
            </w:r>
            <w:r w:rsidR="002F1B09" w:rsidRPr="00A17559">
              <w:rPr>
                <w:spacing w:val="-2"/>
                <w:lang w:val="en-GB"/>
              </w:rPr>
              <w:t>a</w:t>
            </w:r>
            <w:r w:rsidR="007C71B6" w:rsidRPr="00A17559">
              <w:rPr>
                <w:spacing w:val="-2"/>
                <w:lang w:val="en-GB"/>
              </w:rPr>
              <w:t xml:space="preserve">nd also </w:t>
            </w:r>
            <w:r w:rsidR="00B677A6">
              <w:rPr>
                <w:spacing w:val="-2"/>
                <w:lang w:val="en-GB"/>
              </w:rPr>
              <w:t>in the programmes aimed at</w:t>
            </w:r>
            <w:r w:rsidR="007C71B6" w:rsidRPr="00A17559">
              <w:rPr>
                <w:spacing w:val="-2"/>
                <w:lang w:val="en-GB"/>
              </w:rPr>
              <w:t xml:space="preserve"> rural development. </w:t>
            </w:r>
          </w:p>
        </w:tc>
      </w:tr>
      <w:tr w:rsidR="00A45CED" w:rsidRPr="00A17559" w:rsidTr="000A3D9E">
        <w:trPr>
          <w:trHeight w:val="170"/>
        </w:trPr>
        <w:tc>
          <w:tcPr>
            <w:tcW w:w="1732" w:type="dxa"/>
            <w:vMerge w:val="restart"/>
            <w:tcBorders>
              <w:top w:val="nil"/>
              <w:left w:val="nil"/>
              <w:bottom w:val="nil"/>
              <w:right w:val="nil"/>
            </w:tcBorders>
            <w:shd w:val="clear" w:color="auto" w:fill="auto"/>
            <w:tcMar>
              <w:left w:w="0" w:type="dxa"/>
            </w:tcMar>
          </w:tcPr>
          <w:p w:rsidR="00A45CED" w:rsidRPr="00A17559" w:rsidRDefault="00A45CED" w:rsidP="00A45CED">
            <w:pPr>
              <w:pStyle w:val="Marginlie"/>
              <w:rPr>
                <w:lang w:val="en-GB"/>
              </w:rPr>
            </w:pPr>
          </w:p>
        </w:tc>
        <w:tc>
          <w:tcPr>
            <w:tcW w:w="217" w:type="dxa"/>
            <w:vMerge w:val="restart"/>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450AB0" w:rsidRPr="00A17559" w:rsidRDefault="00D46B51" w:rsidP="00A6092A">
            <w:pPr>
              <w:spacing w:after="0"/>
              <w:rPr>
                <w:rFonts w:cs="Arial"/>
                <w:bCs/>
                <w:lang w:val="en-GB"/>
              </w:rPr>
            </w:pPr>
            <w:r w:rsidRPr="00A17559">
              <w:rPr>
                <w:rFonts w:cs="Arial"/>
                <w:b/>
                <w:bCs/>
                <w:color w:val="000000"/>
                <w:szCs w:val="20"/>
                <w:lang w:val="en-GB"/>
              </w:rPr>
              <w:t xml:space="preserve">Chart </w:t>
            </w:r>
            <w:r w:rsidR="00A45CED" w:rsidRPr="00A17559">
              <w:rPr>
                <w:rFonts w:cs="Arial"/>
                <w:b/>
                <w:bCs/>
                <w:color w:val="000000"/>
                <w:szCs w:val="20"/>
                <w:lang w:val="en-GB"/>
              </w:rPr>
              <w:t>17</w:t>
            </w:r>
            <w:r w:rsidR="00A45CED" w:rsidRPr="00A17559">
              <w:rPr>
                <w:rFonts w:cs="Arial"/>
                <w:b/>
                <w:bCs/>
                <w:color w:val="000000"/>
                <w:sz w:val="18"/>
                <w:szCs w:val="18"/>
                <w:lang w:val="en-GB"/>
              </w:rPr>
              <w:t xml:space="preserve">  </w:t>
            </w:r>
            <w:r w:rsidR="00450AB0" w:rsidRPr="00A17559">
              <w:rPr>
                <w:rFonts w:cs="Arial"/>
                <w:b/>
                <w:bCs/>
                <w:lang w:val="en-GB"/>
              </w:rPr>
              <w:t xml:space="preserve">State wide collection of selected tax incomes </w:t>
            </w:r>
            <w:r w:rsidR="00450AB0" w:rsidRPr="00A17559">
              <w:rPr>
                <w:rFonts w:cs="Arial"/>
                <w:bCs/>
                <w:lang w:val="en-GB"/>
              </w:rPr>
              <w:t xml:space="preserve">(year-on-year in </w:t>
            </w:r>
            <w:r w:rsidR="00450AB0" w:rsidRPr="00A17559">
              <w:rPr>
                <w:bCs/>
                <w:spacing w:val="-2"/>
                <w:lang w:val="en-GB"/>
              </w:rPr>
              <w:t>%)</w:t>
            </w:r>
            <w:r w:rsidR="00450AB0" w:rsidRPr="00A17559">
              <w:rPr>
                <w:rFonts w:cs="Arial"/>
                <w:bCs/>
                <w:lang w:val="en-GB"/>
              </w:rPr>
              <w:t xml:space="preserve"> </w:t>
            </w:r>
          </w:p>
          <w:p w:rsidR="00A45CED" w:rsidRPr="00A17559" w:rsidRDefault="00450AB0" w:rsidP="00A6092A">
            <w:pPr>
              <w:spacing w:after="0"/>
              <w:rPr>
                <w:rFonts w:cs="Arial"/>
                <w:bCs/>
                <w:lang w:val="en-GB"/>
              </w:rPr>
            </w:pPr>
            <w:r w:rsidRPr="00A17559">
              <w:rPr>
                <w:rFonts w:cs="Arial"/>
                <w:b/>
                <w:bCs/>
                <w:lang w:val="en-GB"/>
              </w:rPr>
              <w:t xml:space="preserve">and state budget balance </w:t>
            </w:r>
            <w:r w:rsidRPr="00A17559">
              <w:rPr>
                <w:rFonts w:cs="Arial"/>
                <w:bCs/>
                <w:lang w:val="en-GB"/>
              </w:rPr>
              <w:t xml:space="preserve">(in CZK bn) </w:t>
            </w:r>
            <w:r w:rsidRPr="00A17559">
              <w:rPr>
                <w:rFonts w:cs="Arial"/>
                <w:b/>
                <w:bCs/>
                <w:lang w:val="en-GB"/>
              </w:rPr>
              <w:t>in H1</w:t>
            </w:r>
          </w:p>
        </w:tc>
      </w:tr>
      <w:tr w:rsidR="00A45CED" w:rsidRPr="00A17559" w:rsidTr="005A2FC3">
        <w:tblPrEx>
          <w:tblCellMar>
            <w:left w:w="70" w:type="dxa"/>
            <w:right w:w="70" w:type="dxa"/>
          </w:tblCellMar>
        </w:tblPrEx>
        <w:trPr>
          <w:trHeight w:val="170"/>
        </w:trPr>
        <w:tc>
          <w:tcPr>
            <w:tcW w:w="1732" w:type="dxa"/>
            <w:vMerge/>
            <w:tcBorders>
              <w:top w:val="nil"/>
              <w:left w:val="nil"/>
              <w:bottom w:val="nil"/>
              <w:right w:val="nil"/>
            </w:tcBorders>
            <w:shd w:val="clear" w:color="auto" w:fill="auto"/>
          </w:tcPr>
          <w:p w:rsidR="00A45CED" w:rsidRPr="00A17559" w:rsidRDefault="00A45CED" w:rsidP="00A45CED">
            <w:pPr>
              <w:pStyle w:val="Marginlie"/>
              <w:rPr>
                <w:lang w:val="en-GB"/>
              </w:rPr>
            </w:pPr>
          </w:p>
        </w:tc>
        <w:tc>
          <w:tcPr>
            <w:tcW w:w="217" w:type="dxa"/>
            <w:vMerge/>
            <w:tcBorders>
              <w:top w:val="nil"/>
              <w:left w:val="nil"/>
              <w:bottom w:val="nil"/>
              <w:right w:val="nil"/>
            </w:tcBorders>
            <w:shd w:val="clear" w:color="auto" w:fill="auto"/>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Pr>
          <w:p w:rsidR="00A45CED" w:rsidRPr="00A17559" w:rsidRDefault="005A2FC3" w:rsidP="00A45CED">
            <w:pPr>
              <w:spacing w:after="0"/>
              <w:rPr>
                <w:lang w:val="en-GB"/>
              </w:rPr>
            </w:pPr>
            <w:r>
              <w:rPr>
                <w:noProof/>
              </w:rPr>
              <w:drawing>
                <wp:inline distT="0" distB="0" distL="0" distR="0" wp14:anchorId="15414268" wp14:editId="1BE00696">
                  <wp:extent cx="4741545" cy="3462035"/>
                  <wp:effectExtent l="0" t="0" r="1905" b="508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A45CED" w:rsidRPr="00A17559" w:rsidTr="000A3D9E">
        <w:trPr>
          <w:trHeight w:val="170"/>
        </w:trPr>
        <w:tc>
          <w:tcPr>
            <w:tcW w:w="1732" w:type="dxa"/>
            <w:vMerge/>
            <w:tcBorders>
              <w:top w:val="nil"/>
              <w:left w:val="nil"/>
              <w:bottom w:val="nil"/>
              <w:right w:val="nil"/>
            </w:tcBorders>
            <w:shd w:val="clear" w:color="auto" w:fill="auto"/>
            <w:tcMar>
              <w:left w:w="0" w:type="dxa"/>
            </w:tcMar>
          </w:tcPr>
          <w:p w:rsidR="00A45CED" w:rsidRPr="00A17559" w:rsidRDefault="00A45CED" w:rsidP="00A45CED">
            <w:pPr>
              <w:pStyle w:val="Marginlie"/>
              <w:rPr>
                <w:lang w:val="en-GB"/>
              </w:rPr>
            </w:pPr>
          </w:p>
        </w:tc>
        <w:tc>
          <w:tcPr>
            <w:tcW w:w="217" w:type="dxa"/>
            <w:vMerge/>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C95774" w:rsidRPr="0098717C" w:rsidRDefault="00C95774" w:rsidP="0098717C">
            <w:pPr>
              <w:spacing w:after="200" w:line="240" w:lineRule="auto"/>
              <w:jc w:val="left"/>
              <w:rPr>
                <w:sz w:val="14"/>
                <w:szCs w:val="14"/>
                <w:lang w:val="en-GB"/>
              </w:rPr>
            </w:pPr>
            <w:r w:rsidRPr="00A17559">
              <w:rPr>
                <w:sz w:val="14"/>
                <w:szCs w:val="14"/>
                <w:lang w:val="en-GB"/>
              </w:rPr>
              <w:t>Source</w:t>
            </w:r>
            <w:r w:rsidR="00A45CED" w:rsidRPr="00A17559">
              <w:rPr>
                <w:sz w:val="14"/>
                <w:szCs w:val="14"/>
                <w:lang w:val="en-GB"/>
              </w:rPr>
              <w:t>: MF</w:t>
            </w:r>
            <w:r w:rsidR="00F13FDB" w:rsidRPr="00A17559">
              <w:rPr>
                <w:sz w:val="14"/>
                <w:szCs w:val="14"/>
                <w:lang w:val="en-GB"/>
              </w:rPr>
              <w:t> </w:t>
            </w:r>
            <w:r w:rsidRPr="00A17559">
              <w:rPr>
                <w:sz w:val="14"/>
                <w:szCs w:val="14"/>
                <w:lang w:val="en-GB"/>
              </w:rPr>
              <w:t>C</w:t>
            </w:r>
            <w:r w:rsidR="0098717C">
              <w:rPr>
                <w:sz w:val="14"/>
                <w:szCs w:val="14"/>
                <w:lang w:val="en-GB"/>
              </w:rPr>
              <w:t>R</w:t>
            </w:r>
          </w:p>
        </w:tc>
      </w:tr>
      <w:tr w:rsidR="00A45CED" w:rsidRPr="00A17559" w:rsidTr="000A3D9E">
        <w:trPr>
          <w:trHeight w:val="145"/>
        </w:trPr>
        <w:tc>
          <w:tcPr>
            <w:tcW w:w="1732" w:type="dxa"/>
            <w:tcBorders>
              <w:top w:val="nil"/>
              <w:left w:val="nil"/>
              <w:bottom w:val="nil"/>
              <w:right w:val="nil"/>
            </w:tcBorders>
            <w:shd w:val="clear" w:color="auto" w:fill="auto"/>
            <w:tcMar>
              <w:left w:w="0" w:type="dxa"/>
            </w:tcMar>
          </w:tcPr>
          <w:p w:rsidR="00A45CED" w:rsidRPr="00A17559" w:rsidRDefault="00553B25" w:rsidP="00553B25">
            <w:pPr>
              <w:pStyle w:val="Marginlie"/>
              <w:rPr>
                <w:lang w:val="en-GB"/>
              </w:rPr>
            </w:pPr>
            <w:r w:rsidRPr="00A17559">
              <w:rPr>
                <w:lang w:val="en-GB"/>
              </w:rPr>
              <w:lastRenderedPageBreak/>
              <w:t xml:space="preserve">Faster drawing of funds from the EU budget stood behind the </w:t>
            </w:r>
            <w:r w:rsidR="005C19E9" w:rsidRPr="00A17559">
              <w:rPr>
                <w:lang w:val="en-GB"/>
              </w:rPr>
              <w:t>strengthened</w:t>
            </w:r>
            <w:r w:rsidRPr="00A17559">
              <w:rPr>
                <w:lang w:val="en-GB"/>
              </w:rPr>
              <w:t xml:space="preserve"> investment activity of the state.  </w:t>
            </w:r>
          </w:p>
        </w:tc>
        <w:tc>
          <w:tcPr>
            <w:tcW w:w="217" w:type="dxa"/>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553B25" w:rsidP="006C3FFC">
            <w:pPr>
              <w:spacing w:after="220"/>
              <w:rPr>
                <w:lang w:val="en-GB"/>
              </w:rPr>
            </w:pPr>
            <w:r w:rsidRPr="00A17559">
              <w:rPr>
                <w:spacing w:val="-4"/>
                <w:lang w:val="en-GB"/>
              </w:rPr>
              <w:t xml:space="preserve">Total SB expenditures </w:t>
            </w:r>
            <w:r w:rsidR="00CF0257" w:rsidRPr="00A17559">
              <w:rPr>
                <w:spacing w:val="-4"/>
                <w:lang w:val="en-GB"/>
              </w:rPr>
              <w:t xml:space="preserve">increased by one tenth year-on-year in H1, similarly to the same period of year </w:t>
            </w:r>
            <w:r w:rsidR="00A45CED" w:rsidRPr="00A17559">
              <w:rPr>
                <w:spacing w:val="-4"/>
                <w:lang w:val="en-GB"/>
              </w:rPr>
              <w:t>201</w:t>
            </w:r>
            <w:r w:rsidR="004A5D4E" w:rsidRPr="00A17559">
              <w:rPr>
                <w:spacing w:val="-4"/>
                <w:lang w:val="en-GB"/>
              </w:rPr>
              <w:t>8.</w:t>
            </w:r>
            <w:r w:rsidR="00AE7269" w:rsidRPr="00A17559">
              <w:rPr>
                <w:spacing w:val="-4"/>
                <w:lang w:val="en-GB"/>
              </w:rPr>
              <w:t xml:space="preserve"> </w:t>
            </w:r>
            <w:r w:rsidR="00CF0257" w:rsidRPr="00A17559">
              <w:rPr>
                <w:spacing w:val="-4"/>
                <w:lang w:val="en-GB"/>
              </w:rPr>
              <w:t xml:space="preserve">Both current </w:t>
            </w:r>
            <w:r w:rsidR="00A45CED" w:rsidRPr="00A17559">
              <w:rPr>
                <w:spacing w:val="-4"/>
                <w:lang w:val="en-GB"/>
              </w:rPr>
              <w:t>(+58</w:t>
            </w:r>
            <w:r w:rsidR="00CF0257" w:rsidRPr="00A17559">
              <w:rPr>
                <w:spacing w:val="-4"/>
                <w:lang w:val="en-GB"/>
              </w:rPr>
              <w:t>.</w:t>
            </w:r>
            <w:r w:rsidR="00A45CED" w:rsidRPr="00A17559">
              <w:rPr>
                <w:spacing w:val="-4"/>
                <w:lang w:val="en-GB"/>
              </w:rPr>
              <w:t>1</w:t>
            </w:r>
            <w:r w:rsidR="00CF0257" w:rsidRPr="00A17559">
              <w:rPr>
                <w:spacing w:val="-4"/>
                <w:lang w:val="en-GB"/>
              </w:rPr>
              <w:t xml:space="preserve"> CZK bn) and capital expenditures </w:t>
            </w:r>
            <w:r w:rsidR="00A45CED" w:rsidRPr="00A17559">
              <w:rPr>
                <w:spacing w:val="-4"/>
                <w:lang w:val="en-GB"/>
              </w:rPr>
              <w:t>(+12</w:t>
            </w:r>
            <w:r w:rsidR="00CF0257" w:rsidRPr="00A17559">
              <w:rPr>
                <w:spacing w:val="-4"/>
                <w:lang w:val="en-GB"/>
              </w:rPr>
              <w:t>.</w:t>
            </w:r>
            <w:r w:rsidR="00A45CED" w:rsidRPr="00A17559">
              <w:rPr>
                <w:spacing w:val="-4"/>
                <w:lang w:val="en-GB"/>
              </w:rPr>
              <w:t>5</w:t>
            </w:r>
            <w:r w:rsidR="00CF0257" w:rsidRPr="00A17559">
              <w:rPr>
                <w:spacing w:val="-4"/>
                <w:lang w:val="en-GB"/>
              </w:rPr>
              <w:t xml:space="preserve"> bn</w:t>
            </w:r>
            <w:r w:rsidR="00A45CED" w:rsidRPr="00A17559">
              <w:rPr>
                <w:spacing w:val="-4"/>
                <w:lang w:val="en-GB"/>
              </w:rPr>
              <w:t>)</w:t>
            </w:r>
            <w:r w:rsidR="00CF0257" w:rsidRPr="00A17559">
              <w:rPr>
                <w:spacing w:val="-4"/>
                <w:lang w:val="en-GB"/>
              </w:rPr>
              <w:t xml:space="preserve"> added to the growth this year</w:t>
            </w:r>
            <w:r w:rsidR="00A45CED" w:rsidRPr="00A17559">
              <w:rPr>
                <w:spacing w:val="-4"/>
                <w:lang w:val="en-GB"/>
              </w:rPr>
              <w:t>.</w:t>
            </w:r>
            <w:r w:rsidR="00CF0257" w:rsidRPr="00A17559">
              <w:rPr>
                <w:spacing w:val="-4"/>
                <w:lang w:val="en-GB"/>
              </w:rPr>
              <w:t xml:space="preserve"> More than </w:t>
            </w:r>
            <w:r w:rsidR="00A45CED" w:rsidRPr="00A17559">
              <w:rPr>
                <w:spacing w:val="-4"/>
                <w:lang w:val="en-GB"/>
              </w:rPr>
              <w:t>70%</w:t>
            </w:r>
            <w:r w:rsidR="00CF0257" w:rsidRPr="00A17559">
              <w:rPr>
                <w:spacing w:val="-4"/>
                <w:lang w:val="en-GB"/>
              </w:rPr>
              <w:t xml:space="preserve"> of </w:t>
            </w:r>
            <w:r w:rsidR="00F37F05" w:rsidRPr="00A17559">
              <w:rPr>
                <w:spacing w:val="-4"/>
                <w:lang w:val="en-GB"/>
              </w:rPr>
              <w:t>investment was</w:t>
            </w:r>
            <w:r w:rsidR="00CF0257" w:rsidRPr="00A17559">
              <w:rPr>
                <w:spacing w:val="-4"/>
                <w:lang w:val="en-GB"/>
              </w:rPr>
              <w:t xml:space="preserve"> aimed at the common CR and EU projects</w:t>
            </w:r>
            <w:r w:rsidR="00A45CED" w:rsidRPr="00A17559">
              <w:rPr>
                <w:rStyle w:val="Znakapoznpodarou"/>
                <w:spacing w:val="-4"/>
                <w:lang w:val="en-GB"/>
              </w:rPr>
              <w:footnoteReference w:id="61"/>
            </w:r>
            <w:r w:rsidR="00A45CED" w:rsidRPr="00A17559">
              <w:rPr>
                <w:spacing w:val="-4"/>
                <w:lang w:val="en-GB"/>
              </w:rPr>
              <w:t xml:space="preserve">, </w:t>
            </w:r>
            <w:r w:rsidR="00CF0257" w:rsidRPr="00A17559">
              <w:rPr>
                <w:spacing w:val="-4"/>
                <w:lang w:val="en-GB"/>
              </w:rPr>
              <w:t xml:space="preserve">their volume expanded by nearly </w:t>
            </w:r>
            <w:r w:rsidR="00A45CED" w:rsidRPr="00A17559">
              <w:rPr>
                <w:spacing w:val="-4"/>
                <w:lang w:val="en-GB"/>
              </w:rPr>
              <w:t>10 </w:t>
            </w:r>
            <w:r w:rsidR="00CF0257" w:rsidRPr="00A17559">
              <w:rPr>
                <w:spacing w:val="-4"/>
                <w:lang w:val="en-GB"/>
              </w:rPr>
              <w:t>CZK bn year-on-year</w:t>
            </w:r>
            <w:r w:rsidR="00A45CED" w:rsidRPr="00A17559">
              <w:rPr>
                <w:spacing w:val="-4"/>
                <w:lang w:val="en-GB"/>
              </w:rPr>
              <w:t>.</w:t>
            </w:r>
            <w:r w:rsidR="00CF0257" w:rsidRPr="00A17559">
              <w:rPr>
                <w:spacing w:val="-4"/>
                <w:lang w:val="en-GB"/>
              </w:rPr>
              <w:t xml:space="preserve"> </w:t>
            </w:r>
            <w:r w:rsidR="00A45CED" w:rsidRPr="00A17559">
              <w:rPr>
                <w:spacing w:val="-4"/>
                <w:lang w:val="en-GB"/>
              </w:rPr>
              <w:t xml:space="preserve"> </w:t>
            </w:r>
            <w:r w:rsidR="00802CEF" w:rsidRPr="00A17559">
              <w:rPr>
                <w:spacing w:val="-4"/>
                <w:lang w:val="en-GB"/>
              </w:rPr>
              <w:t xml:space="preserve">Investment drawing has been only 36% of the annual </w:t>
            </w:r>
            <w:r w:rsidR="00E24DEF">
              <w:rPr>
                <w:spacing w:val="-4"/>
                <w:lang w:val="en-GB"/>
              </w:rPr>
              <w:t xml:space="preserve">planned </w:t>
            </w:r>
            <w:r w:rsidR="00802CEF" w:rsidRPr="00A17559">
              <w:rPr>
                <w:spacing w:val="-4"/>
                <w:lang w:val="en-GB"/>
              </w:rPr>
              <w:t>budgeted amount at the end of June this year (similarly to last year)</w:t>
            </w:r>
            <w:r w:rsidR="00A45CED" w:rsidRPr="00A17559">
              <w:rPr>
                <w:spacing w:val="-4"/>
                <w:lang w:val="en-GB"/>
              </w:rPr>
              <w:t>,</w:t>
            </w:r>
            <w:r w:rsidR="00802CEF" w:rsidRPr="00A17559">
              <w:rPr>
                <w:spacing w:val="-4"/>
                <w:lang w:val="en-GB"/>
              </w:rPr>
              <w:t xml:space="preserve"> mainly because of slower onset of solely national investment </w:t>
            </w:r>
            <w:r w:rsidR="00A45CED" w:rsidRPr="00A17559">
              <w:rPr>
                <w:spacing w:val="-4"/>
                <w:lang w:val="en-GB"/>
              </w:rPr>
              <w:t>(17</w:t>
            </w:r>
            <w:r w:rsidR="00403F57" w:rsidRPr="00A17559">
              <w:rPr>
                <w:spacing w:val="-4"/>
                <w:lang w:val="en-GB"/>
              </w:rPr>
              <w:t>%</w:t>
            </w:r>
            <w:r w:rsidR="00A45CED" w:rsidRPr="00A17559">
              <w:rPr>
                <w:spacing w:val="-4"/>
                <w:lang w:val="en-GB"/>
              </w:rPr>
              <w:t>).</w:t>
            </w:r>
            <w:r w:rsidR="00802CEF" w:rsidRPr="00A17559">
              <w:rPr>
                <w:spacing w:val="-4"/>
                <w:lang w:val="en-GB"/>
              </w:rPr>
              <w:t xml:space="preserve"> Proportion of investment on all SB expenditures was rising already second year in a row </w:t>
            </w:r>
            <w:r w:rsidR="002F1B09" w:rsidRPr="00A17559">
              <w:rPr>
                <w:spacing w:val="-4"/>
                <w:lang w:val="en-GB"/>
              </w:rPr>
              <w:t>a</w:t>
            </w:r>
            <w:r w:rsidR="00802CEF" w:rsidRPr="00A17559">
              <w:rPr>
                <w:spacing w:val="-4"/>
                <w:lang w:val="en-GB"/>
              </w:rPr>
              <w:t>nd</w:t>
            </w:r>
            <w:r w:rsidR="002F1B09" w:rsidRPr="00A17559">
              <w:rPr>
                <w:spacing w:val="-4"/>
                <w:lang w:val="en-GB"/>
              </w:rPr>
              <w:t> </w:t>
            </w:r>
            <w:r w:rsidR="00802CEF" w:rsidRPr="00A17559">
              <w:rPr>
                <w:spacing w:val="-4"/>
                <w:lang w:val="en-GB"/>
              </w:rPr>
              <w:t xml:space="preserve">amounted to </w:t>
            </w:r>
            <w:r w:rsidR="00A45CED" w:rsidRPr="00A17559">
              <w:rPr>
                <w:spacing w:val="-4"/>
                <w:lang w:val="en-GB"/>
              </w:rPr>
              <w:t>6</w:t>
            </w:r>
            <w:r w:rsidR="00802CEF" w:rsidRPr="00A17559">
              <w:rPr>
                <w:spacing w:val="-4"/>
                <w:lang w:val="en-GB"/>
              </w:rPr>
              <w:t>.</w:t>
            </w:r>
            <w:r w:rsidR="00A45CED" w:rsidRPr="00A17559">
              <w:rPr>
                <w:spacing w:val="-4"/>
                <w:lang w:val="en-GB"/>
              </w:rPr>
              <w:t>0% (</w:t>
            </w:r>
            <w:r w:rsidR="00802CEF" w:rsidRPr="00A17559">
              <w:rPr>
                <w:spacing w:val="-4"/>
                <w:lang w:val="en-GB"/>
              </w:rPr>
              <w:t>average for the whole decade</w:t>
            </w:r>
            <w:r w:rsidR="006C3FFC" w:rsidRPr="00A17559">
              <w:rPr>
                <w:spacing w:val="-4"/>
                <w:lang w:val="en-GB"/>
              </w:rPr>
              <w:t xml:space="preserve"> was </w:t>
            </w:r>
            <w:r w:rsidR="00A45CED" w:rsidRPr="00A17559">
              <w:rPr>
                <w:spacing w:val="-4"/>
                <w:lang w:val="en-GB"/>
              </w:rPr>
              <w:t>6</w:t>
            </w:r>
            <w:r w:rsidR="006C3FFC" w:rsidRPr="00A17559">
              <w:rPr>
                <w:spacing w:val="-4"/>
                <w:lang w:val="en-GB"/>
              </w:rPr>
              <w:t>.</w:t>
            </w:r>
            <w:r w:rsidR="00A45CED" w:rsidRPr="00A17559">
              <w:rPr>
                <w:spacing w:val="-4"/>
                <w:lang w:val="en-GB"/>
              </w:rPr>
              <w:t>6</w:t>
            </w:r>
            <w:r w:rsidR="00403F57" w:rsidRPr="00A17559">
              <w:rPr>
                <w:spacing w:val="-4"/>
                <w:lang w:val="en-GB"/>
              </w:rPr>
              <w:t>%</w:t>
            </w:r>
            <w:r w:rsidR="00A45CED" w:rsidRPr="00A17559">
              <w:rPr>
                <w:spacing w:val="-4"/>
                <w:lang w:val="en-GB"/>
              </w:rPr>
              <w:t>).</w:t>
            </w:r>
          </w:p>
        </w:tc>
      </w:tr>
      <w:tr w:rsidR="00A45CED" w:rsidRPr="00A17559" w:rsidTr="000A3D9E">
        <w:trPr>
          <w:trHeight w:val="145"/>
        </w:trPr>
        <w:tc>
          <w:tcPr>
            <w:tcW w:w="1732" w:type="dxa"/>
            <w:tcBorders>
              <w:top w:val="nil"/>
              <w:left w:val="nil"/>
              <w:bottom w:val="nil"/>
              <w:right w:val="nil"/>
            </w:tcBorders>
            <w:shd w:val="clear" w:color="auto" w:fill="auto"/>
            <w:tcMar>
              <w:left w:w="0" w:type="dxa"/>
            </w:tcMar>
          </w:tcPr>
          <w:p w:rsidR="00A45CED" w:rsidRPr="00A17559" w:rsidRDefault="00441755" w:rsidP="00A45CED">
            <w:pPr>
              <w:pStyle w:val="Marginlie"/>
              <w:rPr>
                <w:lang w:val="en-GB"/>
              </w:rPr>
            </w:pPr>
            <w:r w:rsidRPr="00A17559">
              <w:rPr>
                <w:lang w:val="en-GB"/>
              </w:rPr>
              <w:t xml:space="preserve">Growth of current SB expenditures accelerated mostly due to the effect of higher expenditures on pensions and wages of employees in the budget sphere. </w:t>
            </w:r>
          </w:p>
          <w:p w:rsidR="00A45CED" w:rsidRPr="00A17559" w:rsidRDefault="00A45CED" w:rsidP="00441755">
            <w:pPr>
              <w:pStyle w:val="Marginlie"/>
              <w:rPr>
                <w:lang w:val="en-GB"/>
              </w:rPr>
            </w:pPr>
          </w:p>
        </w:tc>
        <w:tc>
          <w:tcPr>
            <w:tcW w:w="217" w:type="dxa"/>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441755" w:rsidP="000E7DEA">
            <w:pPr>
              <w:spacing w:after="200"/>
              <w:rPr>
                <w:spacing w:val="-2"/>
                <w:lang w:val="en-GB"/>
              </w:rPr>
            </w:pPr>
            <w:r w:rsidRPr="00A17559">
              <w:rPr>
                <w:spacing w:val="-4"/>
                <w:lang w:val="en-GB"/>
              </w:rPr>
              <w:t xml:space="preserve">Rate of growth of current </w:t>
            </w:r>
            <w:r w:rsidR="00B6318A" w:rsidRPr="00A17559">
              <w:rPr>
                <w:spacing w:val="-4"/>
                <w:lang w:val="en-GB"/>
              </w:rPr>
              <w:t xml:space="preserve">SB expenditures </w:t>
            </w:r>
            <w:r w:rsidR="00F24FBC" w:rsidRPr="00A17559">
              <w:rPr>
                <w:spacing w:val="-4"/>
                <w:lang w:val="en-GB"/>
              </w:rPr>
              <w:t>strengthened</w:t>
            </w:r>
            <w:r w:rsidR="00B6318A" w:rsidRPr="00A17559">
              <w:rPr>
                <w:spacing w:val="-4"/>
                <w:lang w:val="en-GB"/>
              </w:rPr>
              <w:t xml:space="preserve"> within H</w:t>
            </w:r>
            <w:r w:rsidR="004A5D4E" w:rsidRPr="00A17559">
              <w:rPr>
                <w:spacing w:val="-4"/>
                <w:lang w:val="en-GB"/>
              </w:rPr>
              <w:t>1</w:t>
            </w:r>
            <w:r w:rsidR="00B6318A" w:rsidRPr="00A17559">
              <w:rPr>
                <w:spacing w:val="-4"/>
                <w:lang w:val="en-GB"/>
              </w:rPr>
              <w:t xml:space="preserve"> already third year in a row. It climbed to </w:t>
            </w:r>
            <w:r w:rsidR="00A45CED" w:rsidRPr="00A17559">
              <w:rPr>
                <w:spacing w:val="-4"/>
                <w:lang w:val="en-GB"/>
              </w:rPr>
              <w:t>8</w:t>
            </w:r>
            <w:r w:rsidR="00B6318A" w:rsidRPr="00A17559">
              <w:rPr>
                <w:spacing w:val="-4"/>
                <w:lang w:val="en-GB"/>
              </w:rPr>
              <w:t>.</w:t>
            </w:r>
            <w:r w:rsidR="00A45CED" w:rsidRPr="00A17559">
              <w:rPr>
                <w:spacing w:val="-4"/>
                <w:lang w:val="en-GB"/>
              </w:rPr>
              <w:t>8</w:t>
            </w:r>
            <w:r w:rsidR="00403F57" w:rsidRPr="00A17559">
              <w:rPr>
                <w:spacing w:val="-4"/>
                <w:lang w:val="en-GB"/>
              </w:rPr>
              <w:t>%</w:t>
            </w:r>
            <w:r w:rsidR="00B6318A" w:rsidRPr="00A17559">
              <w:rPr>
                <w:spacing w:val="-4"/>
                <w:lang w:val="en-GB"/>
              </w:rPr>
              <w:t xml:space="preserve"> this year</w:t>
            </w:r>
            <w:r w:rsidR="00A45CED" w:rsidRPr="00A17559">
              <w:rPr>
                <w:spacing w:val="-4"/>
                <w:lang w:val="en-GB"/>
              </w:rPr>
              <w:t xml:space="preserve">, </w:t>
            </w:r>
            <w:r w:rsidR="00B6318A" w:rsidRPr="00A17559">
              <w:rPr>
                <w:spacing w:val="-4"/>
                <w:lang w:val="en-GB"/>
              </w:rPr>
              <w:t>the most in the last thirteen years</w:t>
            </w:r>
            <w:r w:rsidR="00A45CED" w:rsidRPr="00A17559">
              <w:rPr>
                <w:spacing w:val="-4"/>
                <w:lang w:val="en-GB"/>
              </w:rPr>
              <w:t xml:space="preserve">. </w:t>
            </w:r>
            <w:r w:rsidR="00B3504B" w:rsidRPr="00A17559">
              <w:rPr>
                <w:spacing w:val="-4"/>
                <w:lang w:val="en-GB"/>
              </w:rPr>
              <w:t>Higher</w:t>
            </w:r>
            <w:r w:rsidR="00B6318A" w:rsidRPr="00A17559">
              <w:rPr>
                <w:spacing w:val="-4"/>
                <w:lang w:val="en-GB"/>
              </w:rPr>
              <w:t xml:space="preserve"> expenditures on social benefits shared </w:t>
            </w:r>
            <w:r w:rsidR="00306880" w:rsidRPr="00A17559">
              <w:rPr>
                <w:spacing w:val="-4"/>
                <w:lang w:val="en-GB"/>
              </w:rPr>
              <w:t xml:space="preserve">in </w:t>
            </w:r>
            <w:r w:rsidR="00B6318A" w:rsidRPr="00A17559">
              <w:rPr>
                <w:spacing w:val="-4"/>
                <w:lang w:val="en-GB"/>
              </w:rPr>
              <w:t xml:space="preserve">it by nearly one third </w:t>
            </w:r>
            <w:r w:rsidR="00A45CED" w:rsidRPr="00A17559">
              <w:rPr>
                <w:rFonts w:cs="Arial"/>
                <w:color w:val="0D0D0D" w:themeColor="text1" w:themeTint="F2"/>
                <w:spacing w:val="-4"/>
                <w:lang w:val="en-GB"/>
              </w:rPr>
              <w:t>(</w:t>
            </w:r>
            <w:r w:rsidR="00B6318A" w:rsidRPr="00A17559">
              <w:rPr>
                <w:rFonts w:cs="Arial"/>
                <w:color w:val="0D0D0D" w:themeColor="text1" w:themeTint="F2"/>
                <w:spacing w:val="-4"/>
                <w:lang w:val="en-GB"/>
              </w:rPr>
              <w:t xml:space="preserve">growth of </w:t>
            </w:r>
            <w:r w:rsidR="00A45CED" w:rsidRPr="00A17559">
              <w:rPr>
                <w:rFonts w:cs="Arial"/>
                <w:color w:val="0D0D0D" w:themeColor="text1" w:themeTint="F2"/>
                <w:spacing w:val="-4"/>
                <w:lang w:val="en-GB"/>
              </w:rPr>
              <w:t>22</w:t>
            </w:r>
            <w:r w:rsidR="00403F57" w:rsidRPr="00A17559">
              <w:rPr>
                <w:rFonts w:cs="Arial"/>
                <w:color w:val="0D0D0D" w:themeColor="text1" w:themeTint="F2"/>
                <w:spacing w:val="-4"/>
                <w:lang w:val="en-GB"/>
              </w:rPr>
              <w:t> </w:t>
            </w:r>
            <w:r w:rsidR="00B6318A" w:rsidRPr="00A17559">
              <w:rPr>
                <w:rFonts w:cs="Arial"/>
                <w:color w:val="0D0D0D" w:themeColor="text1" w:themeTint="F2"/>
                <w:spacing w:val="-4"/>
                <w:lang w:val="en-GB"/>
              </w:rPr>
              <w:t>CZK bn</w:t>
            </w:r>
            <w:r w:rsidR="00A45CED" w:rsidRPr="00A17559">
              <w:rPr>
                <w:rFonts w:cs="Arial"/>
                <w:color w:val="0D0D0D" w:themeColor="text1" w:themeTint="F2"/>
                <w:spacing w:val="-4"/>
                <w:lang w:val="en-GB"/>
              </w:rPr>
              <w:t xml:space="preserve">). </w:t>
            </w:r>
            <w:r w:rsidR="004057F8" w:rsidRPr="00A17559">
              <w:rPr>
                <w:rFonts w:cs="Arial"/>
                <w:color w:val="0D0D0D" w:themeColor="text1" w:themeTint="F2"/>
                <w:spacing w:val="-4"/>
                <w:lang w:val="en-GB"/>
              </w:rPr>
              <w:t>Expenditures</w:t>
            </w:r>
            <w:r w:rsidR="00B6318A" w:rsidRPr="00A17559">
              <w:rPr>
                <w:rFonts w:cs="Arial"/>
                <w:color w:val="0D0D0D" w:themeColor="text1" w:themeTint="F2"/>
                <w:spacing w:val="-4"/>
                <w:lang w:val="en-GB"/>
              </w:rPr>
              <w:t xml:space="preserve"> on wages in the regional education </w:t>
            </w:r>
            <w:r w:rsidR="00A45CED" w:rsidRPr="00A17559">
              <w:rPr>
                <w:rFonts w:cs="Arial"/>
                <w:color w:val="0D0D0D" w:themeColor="text1" w:themeTint="F2"/>
                <w:spacing w:val="-4"/>
                <w:lang w:val="en-GB"/>
              </w:rPr>
              <w:t>(+13</w:t>
            </w:r>
            <w:r w:rsidR="004057F8" w:rsidRPr="00A17559">
              <w:rPr>
                <w:rFonts w:cs="Arial"/>
                <w:color w:val="0D0D0D" w:themeColor="text1" w:themeTint="F2"/>
                <w:spacing w:val="-4"/>
                <w:lang w:val="en-GB"/>
              </w:rPr>
              <w:t>.</w:t>
            </w:r>
            <w:r w:rsidR="00A45CED" w:rsidRPr="00A17559">
              <w:rPr>
                <w:rFonts w:cs="Arial"/>
                <w:color w:val="0D0D0D" w:themeColor="text1" w:themeTint="F2"/>
                <w:spacing w:val="-4"/>
                <w:lang w:val="en-GB"/>
              </w:rPr>
              <w:t>7</w:t>
            </w:r>
            <w:r w:rsidR="00403F57" w:rsidRPr="00A17559">
              <w:rPr>
                <w:rFonts w:cs="Arial"/>
                <w:color w:val="0D0D0D" w:themeColor="text1" w:themeTint="F2"/>
                <w:spacing w:val="-4"/>
                <w:lang w:val="en-GB"/>
              </w:rPr>
              <w:t> </w:t>
            </w:r>
            <w:r w:rsidR="004057F8" w:rsidRPr="00A17559">
              <w:rPr>
                <w:rFonts w:cs="Arial"/>
                <w:color w:val="0D0D0D" w:themeColor="text1" w:themeTint="F2"/>
                <w:spacing w:val="-4"/>
                <w:lang w:val="en-GB"/>
              </w:rPr>
              <w:t>bn</w:t>
            </w:r>
            <w:r w:rsidR="00A45CED" w:rsidRPr="00A17559">
              <w:rPr>
                <w:rFonts w:cs="Arial"/>
                <w:color w:val="0D0D0D" w:themeColor="text1" w:themeTint="F2"/>
                <w:spacing w:val="-4"/>
                <w:lang w:val="en-GB"/>
              </w:rPr>
              <w:t>)</w:t>
            </w:r>
            <w:r w:rsidR="00B6318A" w:rsidRPr="00A17559">
              <w:rPr>
                <w:rFonts w:cs="Arial"/>
                <w:color w:val="0D0D0D" w:themeColor="text1" w:themeTint="F2"/>
                <w:spacing w:val="-4"/>
                <w:lang w:val="en-GB"/>
              </w:rPr>
              <w:t xml:space="preserve"> also added significantly as well as </w:t>
            </w:r>
            <w:r w:rsidR="004057F8" w:rsidRPr="00A17559">
              <w:rPr>
                <w:rFonts w:cs="Arial"/>
                <w:color w:val="0D0D0D" w:themeColor="text1" w:themeTint="F2"/>
                <w:spacing w:val="-4"/>
                <w:lang w:val="en-GB"/>
              </w:rPr>
              <w:t xml:space="preserve">the </w:t>
            </w:r>
            <w:r w:rsidR="00B6318A" w:rsidRPr="00A17559">
              <w:rPr>
                <w:rFonts w:cs="Arial"/>
                <w:color w:val="0D0D0D" w:themeColor="text1" w:themeTint="F2"/>
                <w:spacing w:val="-4"/>
                <w:lang w:val="en-GB"/>
              </w:rPr>
              <w:t>wages in the central government instituti</w:t>
            </w:r>
            <w:r w:rsidR="004057F8" w:rsidRPr="00A17559">
              <w:rPr>
                <w:rFonts w:cs="Arial"/>
                <w:color w:val="0D0D0D" w:themeColor="text1" w:themeTint="F2"/>
                <w:spacing w:val="-4"/>
                <w:lang w:val="en-GB"/>
              </w:rPr>
              <w:t>o</w:t>
            </w:r>
            <w:r w:rsidR="00B6318A" w:rsidRPr="00A17559">
              <w:rPr>
                <w:rFonts w:cs="Arial"/>
                <w:color w:val="0D0D0D" w:themeColor="text1" w:themeTint="F2"/>
                <w:spacing w:val="-4"/>
                <w:lang w:val="en-GB"/>
              </w:rPr>
              <w:t>ns including the armed</w:t>
            </w:r>
            <w:r w:rsidR="00E24DEF">
              <w:rPr>
                <w:rFonts w:cs="Arial"/>
                <w:color w:val="0D0D0D" w:themeColor="text1" w:themeTint="F2"/>
                <w:spacing w:val="-4"/>
                <w:lang w:val="en-GB"/>
              </w:rPr>
              <w:t xml:space="preserve"> a</w:t>
            </w:r>
            <w:r w:rsidR="009F3399">
              <w:rPr>
                <w:rFonts w:cs="Arial"/>
                <w:color w:val="0D0D0D" w:themeColor="text1" w:themeTint="F2"/>
                <w:spacing w:val="-4"/>
                <w:lang w:val="en-GB"/>
              </w:rPr>
              <w:t>nd</w:t>
            </w:r>
            <w:r w:rsidR="00E24DEF">
              <w:rPr>
                <w:rFonts w:cs="Arial"/>
                <w:color w:val="0D0D0D" w:themeColor="text1" w:themeTint="F2"/>
                <w:spacing w:val="-4"/>
                <w:lang w:val="en-GB"/>
              </w:rPr>
              <w:t xml:space="preserve"> police forces </w:t>
            </w:r>
            <w:r w:rsidR="00A45CED" w:rsidRPr="00A17559">
              <w:rPr>
                <w:rFonts w:cs="Arial"/>
                <w:color w:val="0D0D0D" w:themeColor="text1" w:themeTint="F2"/>
                <w:spacing w:val="-4"/>
                <w:lang w:val="en-GB"/>
              </w:rPr>
              <w:t>(+4</w:t>
            </w:r>
            <w:r w:rsidR="00B6318A" w:rsidRPr="00A17559">
              <w:rPr>
                <w:rFonts w:cs="Arial"/>
                <w:color w:val="0D0D0D" w:themeColor="text1" w:themeTint="F2"/>
                <w:spacing w:val="-4"/>
                <w:lang w:val="en-GB"/>
              </w:rPr>
              <w:t>.</w:t>
            </w:r>
            <w:r w:rsidR="00A45CED" w:rsidRPr="00A17559">
              <w:rPr>
                <w:rFonts w:cs="Arial"/>
                <w:color w:val="0D0D0D" w:themeColor="text1" w:themeTint="F2"/>
                <w:spacing w:val="-4"/>
                <w:lang w:val="en-GB"/>
              </w:rPr>
              <w:t>4</w:t>
            </w:r>
            <w:r w:rsidR="00403F57" w:rsidRPr="00A17559">
              <w:rPr>
                <w:rFonts w:cs="Arial"/>
                <w:color w:val="0D0D0D" w:themeColor="text1" w:themeTint="F2"/>
                <w:spacing w:val="-4"/>
                <w:lang w:val="en-GB"/>
              </w:rPr>
              <w:t> </w:t>
            </w:r>
            <w:r w:rsidR="00B6318A" w:rsidRPr="00A17559">
              <w:rPr>
                <w:rFonts w:cs="Arial"/>
                <w:color w:val="0D0D0D" w:themeColor="text1" w:themeTint="F2"/>
                <w:spacing w:val="-4"/>
                <w:lang w:val="en-GB"/>
              </w:rPr>
              <w:t>bn</w:t>
            </w:r>
            <w:r w:rsidR="00A45CED" w:rsidRPr="00A17559">
              <w:rPr>
                <w:rFonts w:cs="Arial"/>
                <w:color w:val="0D0D0D" w:themeColor="text1" w:themeTint="F2"/>
                <w:spacing w:val="-4"/>
                <w:lang w:val="en-GB"/>
              </w:rPr>
              <w:t xml:space="preserve">) </w:t>
            </w:r>
            <w:r w:rsidR="002F1B09" w:rsidRPr="00A17559">
              <w:rPr>
                <w:rFonts w:cs="Arial"/>
                <w:color w:val="0D0D0D" w:themeColor="text1" w:themeTint="F2"/>
                <w:spacing w:val="-4"/>
                <w:lang w:val="en-GB"/>
              </w:rPr>
              <w:t>a</w:t>
            </w:r>
            <w:r w:rsidR="00B6318A" w:rsidRPr="00A17559">
              <w:rPr>
                <w:rFonts w:cs="Arial"/>
                <w:color w:val="0D0D0D" w:themeColor="text1" w:themeTint="F2"/>
                <w:spacing w:val="-4"/>
                <w:lang w:val="en-GB"/>
              </w:rPr>
              <w:t>nd further th</w:t>
            </w:r>
            <w:r w:rsidR="004057F8" w:rsidRPr="00A17559">
              <w:rPr>
                <w:rFonts w:cs="Arial"/>
                <w:color w:val="0D0D0D" w:themeColor="text1" w:themeTint="F2"/>
                <w:spacing w:val="-4"/>
                <w:lang w:val="en-GB"/>
              </w:rPr>
              <w:t>e</w:t>
            </w:r>
            <w:r w:rsidR="00B6318A" w:rsidRPr="00A17559">
              <w:rPr>
                <w:rFonts w:cs="Arial"/>
                <w:color w:val="0D0D0D" w:themeColor="text1" w:themeTint="F2"/>
                <w:spacing w:val="-4"/>
                <w:lang w:val="en-GB"/>
              </w:rPr>
              <w:t xml:space="preserve">n the non-investment transfers to state funds as well as higher </w:t>
            </w:r>
            <w:r w:rsidR="004057F8" w:rsidRPr="00A17559">
              <w:rPr>
                <w:rFonts w:cs="Arial"/>
                <w:color w:val="0D0D0D" w:themeColor="text1" w:themeTint="F2"/>
                <w:spacing w:val="-4"/>
                <w:lang w:val="en-GB"/>
              </w:rPr>
              <w:t>compulsory</w:t>
            </w:r>
            <w:r w:rsidR="00B6318A" w:rsidRPr="00A17559">
              <w:rPr>
                <w:rFonts w:cs="Arial"/>
                <w:color w:val="0D0D0D" w:themeColor="text1" w:themeTint="F2"/>
                <w:spacing w:val="-4"/>
                <w:lang w:val="en-GB"/>
              </w:rPr>
              <w:t xml:space="preserve"> </w:t>
            </w:r>
            <w:r w:rsidR="00812154" w:rsidRPr="00A17559">
              <w:rPr>
                <w:rFonts w:cs="Arial"/>
                <w:color w:val="0D0D0D" w:themeColor="text1" w:themeTint="F2"/>
                <w:spacing w:val="-4"/>
                <w:lang w:val="en-GB"/>
              </w:rPr>
              <w:t xml:space="preserve">payments into the EU budget. </w:t>
            </w:r>
          </w:p>
        </w:tc>
      </w:tr>
      <w:tr w:rsidR="000E7DEA" w:rsidRPr="00A17559" w:rsidTr="000A3D9E">
        <w:trPr>
          <w:trHeight w:val="145"/>
        </w:trPr>
        <w:tc>
          <w:tcPr>
            <w:tcW w:w="1732" w:type="dxa"/>
            <w:tcBorders>
              <w:top w:val="nil"/>
              <w:left w:val="nil"/>
              <w:bottom w:val="nil"/>
              <w:right w:val="nil"/>
            </w:tcBorders>
            <w:shd w:val="clear" w:color="auto" w:fill="auto"/>
            <w:tcMar>
              <w:left w:w="0" w:type="dxa"/>
            </w:tcMar>
          </w:tcPr>
          <w:p w:rsidR="000E7DEA" w:rsidRPr="00A17559" w:rsidRDefault="000E7DEA" w:rsidP="00A45CED">
            <w:pPr>
              <w:pStyle w:val="Marginlie"/>
              <w:rPr>
                <w:lang w:val="en-GB"/>
              </w:rPr>
            </w:pPr>
            <w:r w:rsidRPr="00A17559">
              <w:rPr>
                <w:lang w:val="en-GB"/>
              </w:rPr>
              <w:t>Pension account balance slightly decreased, but remained in surplus.</w:t>
            </w:r>
          </w:p>
        </w:tc>
        <w:tc>
          <w:tcPr>
            <w:tcW w:w="217" w:type="dxa"/>
            <w:tcBorders>
              <w:top w:val="nil"/>
              <w:left w:val="nil"/>
              <w:bottom w:val="nil"/>
              <w:right w:val="nil"/>
            </w:tcBorders>
            <w:shd w:val="clear" w:color="auto" w:fill="auto"/>
            <w:tcMar>
              <w:left w:w="0" w:type="dxa"/>
            </w:tcMar>
          </w:tcPr>
          <w:p w:rsidR="000E7DEA" w:rsidRPr="00A17559" w:rsidRDefault="000E7DEA"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0E7DEA" w:rsidRPr="00A17559" w:rsidRDefault="000E7DEA" w:rsidP="00306880">
            <w:pPr>
              <w:spacing w:after="200"/>
              <w:rPr>
                <w:spacing w:val="-4"/>
                <w:lang w:val="en-GB"/>
              </w:rPr>
            </w:pPr>
            <w:r w:rsidRPr="00A17559">
              <w:rPr>
                <w:rFonts w:cs="Arial"/>
                <w:color w:val="0D0D0D" w:themeColor="text1" w:themeTint="F2"/>
                <w:spacing w:val="-4"/>
                <w:lang w:val="en-GB"/>
              </w:rPr>
              <w:t>Proportion of social benefits in all SB expenditures totalled 39.2% and it was falling for the second year in a row. Increase of the volume of social benefits was from 86% pulled by the resources on pensions. Their growth rate doubled compared to the beginning of the last year (to 8.8%) and reached a ten-year maximum at the same time. Given the stagnation of the number of persons receiving pensions, the effect of the legislative amendments fully showed</w:t>
            </w:r>
            <w:r w:rsidRPr="00A17559">
              <w:rPr>
                <w:rStyle w:val="Znakapoznpodarou"/>
                <w:spacing w:val="-4"/>
                <w:lang w:val="en-GB"/>
              </w:rPr>
              <w:footnoteReference w:id="62"/>
            </w:r>
            <w:r w:rsidRPr="00A17559">
              <w:rPr>
                <w:rFonts w:cs="Arial"/>
                <w:color w:val="0D0D0D" w:themeColor="text1" w:themeTint="F2"/>
                <w:spacing w:val="-4"/>
                <w:lang w:val="en-GB"/>
              </w:rPr>
              <w:t>. Expenditures on pensions overtook the rate of growth of the collected insurance (+7,8%)</w:t>
            </w:r>
            <w:r w:rsidRPr="00A17559">
              <w:rPr>
                <w:rStyle w:val="Znakapoznpodarou"/>
                <w:spacing w:val="-4"/>
                <w:lang w:val="en-GB"/>
              </w:rPr>
              <w:footnoteReference w:id="63"/>
            </w:r>
            <w:r w:rsidRPr="00A17559">
              <w:rPr>
                <w:rFonts w:cs="Arial"/>
                <w:color w:val="0D0D0D" w:themeColor="text1" w:themeTint="F2"/>
                <w:spacing w:val="-4"/>
                <w:lang w:val="en-GB"/>
              </w:rPr>
              <w:t xml:space="preserve"> for the first time since year 2013. Pension account balance</w:t>
            </w:r>
            <w:r w:rsidRPr="00A17559">
              <w:rPr>
                <w:rStyle w:val="Znakapoznpodarou"/>
                <w:color w:val="0D0D0D" w:themeColor="text1" w:themeTint="F2"/>
                <w:spacing w:val="-2"/>
                <w:lang w:val="en-GB"/>
              </w:rPr>
              <w:footnoteReference w:id="64"/>
            </w:r>
            <w:r w:rsidRPr="00A17559">
              <w:rPr>
                <w:rFonts w:cs="Arial"/>
                <w:color w:val="0D0D0D" w:themeColor="text1" w:themeTint="F2"/>
                <w:spacing w:val="-2"/>
                <w:lang w:val="en-GB"/>
              </w:rPr>
              <w:t xml:space="preserve"> thus mildly worsened, still it </w:t>
            </w:r>
            <w:r w:rsidR="00FD6CA9">
              <w:rPr>
                <w:rFonts w:cs="Arial"/>
                <w:color w:val="0D0D0D" w:themeColor="text1" w:themeTint="F2"/>
                <w:spacing w:val="-2"/>
                <w:lang w:val="en-GB"/>
              </w:rPr>
              <w:t xml:space="preserve">remained positive already second </w:t>
            </w:r>
            <w:r w:rsidRPr="00A17559">
              <w:rPr>
                <w:rFonts w:cs="Arial"/>
                <w:color w:val="0D0D0D" w:themeColor="text1" w:themeTint="F2"/>
                <w:spacing w:val="-2"/>
                <w:lang w:val="en-GB"/>
              </w:rPr>
              <w:t>year in a row (+7.7 CZK bn).</w:t>
            </w:r>
          </w:p>
        </w:tc>
      </w:tr>
      <w:tr w:rsidR="00A45CED" w:rsidRPr="00A17559" w:rsidTr="000A3D9E">
        <w:trPr>
          <w:trHeight w:val="145"/>
        </w:trPr>
        <w:tc>
          <w:tcPr>
            <w:tcW w:w="1732" w:type="dxa"/>
            <w:tcBorders>
              <w:top w:val="nil"/>
              <w:left w:val="nil"/>
              <w:bottom w:val="nil"/>
              <w:right w:val="nil"/>
            </w:tcBorders>
            <w:shd w:val="clear" w:color="auto" w:fill="auto"/>
            <w:tcMar>
              <w:left w:w="0" w:type="dxa"/>
            </w:tcMar>
          </w:tcPr>
          <w:p w:rsidR="00A45CED" w:rsidRPr="00A17559" w:rsidRDefault="000E7DEA" w:rsidP="00A45CED">
            <w:pPr>
              <w:pStyle w:val="Marginlie"/>
              <w:rPr>
                <w:lang w:val="en-GB"/>
              </w:rPr>
            </w:pPr>
            <w:r>
              <w:rPr>
                <w:lang w:val="en-GB"/>
              </w:rPr>
              <w:t>G</w:t>
            </w:r>
            <w:r w:rsidR="009F0B4B" w:rsidRPr="00A17559">
              <w:rPr>
                <w:lang w:val="en-GB"/>
              </w:rPr>
              <w:t>rowth of expenditures on non-pension</w:t>
            </w:r>
            <w:r w:rsidR="00161684" w:rsidRPr="00A17559">
              <w:rPr>
                <w:lang w:val="en-GB"/>
              </w:rPr>
              <w:t xml:space="preserve"> </w:t>
            </w:r>
            <w:r w:rsidR="009F0B4B" w:rsidRPr="00A17559">
              <w:rPr>
                <w:lang w:val="en-GB"/>
              </w:rPr>
              <w:t xml:space="preserve">social benefits was driven by higher drawing of sickness benefits. </w:t>
            </w:r>
          </w:p>
          <w:p w:rsidR="00A45CED" w:rsidRPr="00A17559" w:rsidRDefault="00A45CED" w:rsidP="00A45CED">
            <w:pPr>
              <w:pStyle w:val="Marginlie"/>
              <w:rPr>
                <w:lang w:val="en-GB"/>
              </w:rPr>
            </w:pPr>
          </w:p>
          <w:p w:rsidR="00A45CED" w:rsidRDefault="00A45CED" w:rsidP="00A45CED">
            <w:pPr>
              <w:pStyle w:val="Marginlie"/>
              <w:rPr>
                <w:lang w:val="en-GB"/>
              </w:rPr>
            </w:pPr>
          </w:p>
          <w:p w:rsidR="000E7DEA" w:rsidRPr="00A17559" w:rsidRDefault="000E7DEA" w:rsidP="00A45CED">
            <w:pPr>
              <w:pStyle w:val="Marginlie"/>
              <w:rPr>
                <w:lang w:val="en-GB"/>
              </w:rPr>
            </w:pPr>
          </w:p>
          <w:p w:rsidR="00A45CED" w:rsidRPr="00A17559" w:rsidRDefault="00A45CED" w:rsidP="00A45CED">
            <w:pPr>
              <w:pStyle w:val="Marginlie"/>
              <w:rPr>
                <w:lang w:val="en-GB"/>
              </w:rPr>
            </w:pPr>
          </w:p>
          <w:p w:rsidR="00A45CED" w:rsidRPr="00A17559" w:rsidRDefault="00951A15" w:rsidP="009F0B4B">
            <w:pPr>
              <w:pStyle w:val="Marginlie"/>
              <w:rPr>
                <w:lang w:val="en-GB"/>
              </w:rPr>
            </w:pPr>
            <w:r w:rsidRPr="00A17559">
              <w:rPr>
                <w:lang w:val="en-GB"/>
              </w:rPr>
              <w:t xml:space="preserve">Improvement of the </w:t>
            </w:r>
            <w:r w:rsidR="009F0B4B" w:rsidRPr="00A17559">
              <w:rPr>
                <w:lang w:val="en-GB"/>
              </w:rPr>
              <w:t>f</w:t>
            </w:r>
            <w:r w:rsidRPr="00A17559">
              <w:rPr>
                <w:lang w:val="en-GB"/>
              </w:rPr>
              <w:t xml:space="preserve">inancial situation of households was reflected in the lower SB expenditure on </w:t>
            </w:r>
            <w:r w:rsidR="009F0B4B" w:rsidRPr="00A17559">
              <w:rPr>
                <w:lang w:val="en-GB"/>
              </w:rPr>
              <w:t>both material deprivation</w:t>
            </w:r>
            <w:r w:rsidR="00720D7B" w:rsidRPr="00A17559">
              <w:rPr>
                <w:lang w:val="en-GB"/>
              </w:rPr>
              <w:t xml:space="preserve"> assistance</w:t>
            </w:r>
            <w:r w:rsidR="009F0B4B" w:rsidRPr="00A17559">
              <w:rPr>
                <w:lang w:val="en-GB"/>
              </w:rPr>
              <w:t xml:space="preserve"> benefits and state social support benefits. </w:t>
            </w:r>
          </w:p>
        </w:tc>
        <w:tc>
          <w:tcPr>
            <w:tcW w:w="217" w:type="dxa"/>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4D6FC5" w:rsidP="00161684">
            <w:pPr>
              <w:spacing w:after="220"/>
              <w:rPr>
                <w:spacing w:val="-4"/>
                <w:lang w:val="en-GB"/>
              </w:rPr>
            </w:pPr>
            <w:r w:rsidRPr="00A17559">
              <w:rPr>
                <w:spacing w:val="-4"/>
                <w:lang w:val="en-GB"/>
              </w:rPr>
              <w:t xml:space="preserve">Expenditures on other social benefits </w:t>
            </w:r>
            <w:r w:rsidR="00A45CED" w:rsidRPr="00A17559">
              <w:rPr>
                <w:spacing w:val="-4"/>
                <w:lang w:val="en-GB"/>
              </w:rPr>
              <w:t>(</w:t>
            </w:r>
            <w:r w:rsidR="008179FC" w:rsidRPr="00A17559">
              <w:rPr>
                <w:spacing w:val="-4"/>
                <w:lang w:val="en-GB"/>
              </w:rPr>
              <w:t>excluding pensions</w:t>
            </w:r>
            <w:r w:rsidR="00A45CED" w:rsidRPr="00A17559">
              <w:rPr>
                <w:spacing w:val="-4"/>
                <w:lang w:val="en-GB"/>
              </w:rPr>
              <w:t xml:space="preserve">) </w:t>
            </w:r>
            <w:r w:rsidR="008179FC" w:rsidRPr="00A17559">
              <w:rPr>
                <w:spacing w:val="-4"/>
                <w:lang w:val="en-GB"/>
              </w:rPr>
              <w:t xml:space="preserve">amounted to </w:t>
            </w:r>
            <w:r w:rsidR="00A45CED" w:rsidRPr="00A17559">
              <w:rPr>
                <w:spacing w:val="-4"/>
                <w:lang w:val="en-GB"/>
              </w:rPr>
              <w:t>64</w:t>
            </w:r>
            <w:r w:rsidR="008179FC" w:rsidRPr="00A17559">
              <w:rPr>
                <w:spacing w:val="-4"/>
                <w:lang w:val="en-GB"/>
              </w:rPr>
              <w:t>.</w:t>
            </w:r>
            <w:r w:rsidR="00A45CED" w:rsidRPr="00A17559">
              <w:rPr>
                <w:spacing w:val="-4"/>
                <w:lang w:val="en-GB"/>
              </w:rPr>
              <w:t>9</w:t>
            </w:r>
            <w:r w:rsidR="008179FC" w:rsidRPr="00A17559">
              <w:rPr>
                <w:spacing w:val="-4"/>
                <w:lang w:val="en-GB"/>
              </w:rPr>
              <w:t xml:space="preserve"> CZK bn in H1</w:t>
            </w:r>
            <w:r w:rsidR="00A45CED" w:rsidRPr="00A17559">
              <w:rPr>
                <w:spacing w:val="-4"/>
                <w:lang w:val="en-GB"/>
              </w:rPr>
              <w:t xml:space="preserve">, </w:t>
            </w:r>
            <w:r w:rsidRPr="00A17559">
              <w:rPr>
                <w:spacing w:val="-4"/>
                <w:lang w:val="en-GB"/>
              </w:rPr>
              <w:t xml:space="preserve">they increased by </w:t>
            </w:r>
            <w:r w:rsidR="00A45CED" w:rsidRPr="00A17559">
              <w:rPr>
                <w:spacing w:val="-4"/>
                <w:lang w:val="en-GB"/>
              </w:rPr>
              <w:t>4</w:t>
            </w:r>
            <w:r w:rsidRPr="00A17559">
              <w:rPr>
                <w:spacing w:val="-4"/>
                <w:lang w:val="en-GB"/>
              </w:rPr>
              <w:t>.</w:t>
            </w:r>
            <w:r w:rsidR="00A45CED" w:rsidRPr="00A17559">
              <w:rPr>
                <w:spacing w:val="-4"/>
                <w:lang w:val="en-GB"/>
              </w:rPr>
              <w:t>8</w:t>
            </w:r>
            <w:r w:rsidR="00403F57" w:rsidRPr="00A17559">
              <w:rPr>
                <w:spacing w:val="-4"/>
                <w:lang w:val="en-GB"/>
              </w:rPr>
              <w:t>%</w:t>
            </w:r>
            <w:r w:rsidRPr="00A17559">
              <w:rPr>
                <w:spacing w:val="-4"/>
                <w:lang w:val="en-GB"/>
              </w:rPr>
              <w:t xml:space="preserve"> year-on-year</w:t>
            </w:r>
            <w:r w:rsidR="00A45CED" w:rsidRPr="00A17559">
              <w:rPr>
                <w:spacing w:val="-4"/>
                <w:lang w:val="en-GB"/>
              </w:rPr>
              <w:t xml:space="preserve">. </w:t>
            </w:r>
            <w:r w:rsidRPr="00A17559">
              <w:rPr>
                <w:spacing w:val="-4"/>
                <w:lang w:val="en-GB"/>
              </w:rPr>
              <w:t xml:space="preserve">Their growth rate was expanding already fourth year in a row. </w:t>
            </w:r>
            <w:r w:rsidR="00A45CED" w:rsidRPr="00A17559">
              <w:rPr>
                <w:spacing w:val="-4"/>
                <w:lang w:val="en-GB"/>
              </w:rPr>
              <w:t>T</w:t>
            </w:r>
            <w:r w:rsidRPr="00A17559">
              <w:rPr>
                <w:spacing w:val="-4"/>
                <w:lang w:val="en-GB"/>
              </w:rPr>
              <w:t xml:space="preserve">his development was considerably affected by the sickness insurance benefits, whose drawing </w:t>
            </w:r>
            <w:r w:rsidR="00284287" w:rsidRPr="00A17559">
              <w:rPr>
                <w:spacing w:val="-4"/>
                <w:lang w:val="en-GB"/>
              </w:rPr>
              <w:t xml:space="preserve">deepened by </w:t>
            </w:r>
            <w:r w:rsidR="00A45CED" w:rsidRPr="00A17559">
              <w:rPr>
                <w:spacing w:val="-4"/>
                <w:lang w:val="en-GB"/>
              </w:rPr>
              <w:t>15</w:t>
            </w:r>
            <w:r w:rsidR="00284287" w:rsidRPr="00A17559">
              <w:rPr>
                <w:spacing w:val="-4"/>
                <w:lang w:val="en-GB"/>
              </w:rPr>
              <w:t>.</w:t>
            </w:r>
            <w:r w:rsidR="00A45CED" w:rsidRPr="00A17559">
              <w:rPr>
                <w:spacing w:val="-4"/>
                <w:lang w:val="en-GB"/>
              </w:rPr>
              <w:t>3</w:t>
            </w:r>
            <w:r w:rsidR="00403F57" w:rsidRPr="00A17559">
              <w:rPr>
                <w:spacing w:val="-4"/>
                <w:lang w:val="en-GB"/>
              </w:rPr>
              <w:t>%</w:t>
            </w:r>
            <w:r w:rsidR="00A45CED" w:rsidRPr="00A17559">
              <w:rPr>
                <w:rStyle w:val="Znakapoznpodarou"/>
                <w:color w:val="0D0D0D" w:themeColor="text1" w:themeTint="F2"/>
                <w:spacing w:val="-2"/>
                <w:lang w:val="en-GB"/>
              </w:rPr>
              <w:footnoteReference w:id="65"/>
            </w:r>
            <w:r w:rsidR="00A45CED" w:rsidRPr="00A17559">
              <w:rPr>
                <w:spacing w:val="-4"/>
                <w:lang w:val="en-GB"/>
              </w:rPr>
              <w:t xml:space="preserve"> </w:t>
            </w:r>
            <w:r w:rsidR="002F1B09" w:rsidRPr="00A17559">
              <w:rPr>
                <w:spacing w:val="-4"/>
                <w:lang w:val="en-GB"/>
              </w:rPr>
              <w:t>a</w:t>
            </w:r>
            <w:r w:rsidR="00284287" w:rsidRPr="00A17559">
              <w:rPr>
                <w:spacing w:val="-4"/>
                <w:lang w:val="en-GB"/>
              </w:rPr>
              <w:t xml:space="preserve">nd nearly doubled in the last seven years. </w:t>
            </w:r>
            <w:r w:rsidR="00A45CED" w:rsidRPr="00A17559">
              <w:rPr>
                <w:spacing w:val="-4"/>
                <w:lang w:val="en-GB"/>
              </w:rPr>
              <w:t xml:space="preserve"> </w:t>
            </w:r>
            <w:r w:rsidR="00720D7B" w:rsidRPr="00A17559">
              <w:rPr>
                <w:spacing w:val="-4"/>
                <w:lang w:val="en-GB"/>
              </w:rPr>
              <w:t xml:space="preserve">They thus became the most significant group of social benefits by weight for the first time after year </w:t>
            </w:r>
            <w:r w:rsidR="00A45CED" w:rsidRPr="00A17559">
              <w:rPr>
                <w:spacing w:val="-4"/>
                <w:lang w:val="en-GB"/>
              </w:rPr>
              <w:t>2008</w:t>
            </w:r>
            <w:r w:rsidR="00720D7B" w:rsidRPr="00A17559">
              <w:rPr>
                <w:spacing w:val="-4"/>
                <w:lang w:val="en-GB"/>
              </w:rPr>
              <w:t xml:space="preserve"> when they replaced the state social support benefits (SSS) in this role</w:t>
            </w:r>
            <w:r w:rsidR="00A45CED" w:rsidRPr="00A17559">
              <w:rPr>
                <w:spacing w:val="-4"/>
                <w:lang w:val="en-GB"/>
              </w:rPr>
              <w:t>.</w:t>
            </w:r>
            <w:r w:rsidR="00720D7B" w:rsidRPr="00A17559">
              <w:rPr>
                <w:spacing w:val="-4"/>
                <w:lang w:val="en-GB"/>
              </w:rPr>
              <w:t xml:space="preserve"> </w:t>
            </w:r>
            <w:r w:rsidR="00A45CED" w:rsidRPr="00A17559">
              <w:rPr>
                <w:spacing w:val="-4"/>
                <w:lang w:val="en-GB"/>
              </w:rPr>
              <w:t xml:space="preserve"> </w:t>
            </w:r>
            <w:r w:rsidR="00DF1FFF" w:rsidRPr="00A17559">
              <w:rPr>
                <w:spacing w:val="-4"/>
                <w:lang w:val="en-GB"/>
              </w:rPr>
              <w:t xml:space="preserve">Their drawing on the contrary decreased by </w:t>
            </w:r>
            <w:r w:rsidR="00A45CED" w:rsidRPr="00A17559">
              <w:rPr>
                <w:spacing w:val="-4"/>
                <w:lang w:val="en-GB"/>
              </w:rPr>
              <w:t>2</w:t>
            </w:r>
            <w:r w:rsidR="00DF1FFF" w:rsidRPr="00A17559">
              <w:rPr>
                <w:spacing w:val="-4"/>
                <w:lang w:val="en-GB"/>
              </w:rPr>
              <w:t>.</w:t>
            </w:r>
            <w:r w:rsidR="00A45CED" w:rsidRPr="00A17559">
              <w:rPr>
                <w:spacing w:val="-4"/>
                <w:lang w:val="en-GB"/>
              </w:rPr>
              <w:t>5</w:t>
            </w:r>
            <w:r w:rsidR="00403F57" w:rsidRPr="00A17559">
              <w:rPr>
                <w:spacing w:val="-4"/>
                <w:lang w:val="en-GB"/>
              </w:rPr>
              <w:t>%</w:t>
            </w:r>
            <w:r w:rsidR="00DF1FFF" w:rsidRPr="00A17559">
              <w:rPr>
                <w:spacing w:val="-4"/>
                <w:lang w:val="en-GB"/>
              </w:rPr>
              <w:t xml:space="preserve"> this year</w:t>
            </w:r>
            <w:r w:rsidR="00A45CED" w:rsidRPr="00A17559">
              <w:rPr>
                <w:spacing w:val="-4"/>
                <w:lang w:val="en-GB"/>
              </w:rPr>
              <w:t xml:space="preserve">, </w:t>
            </w:r>
            <w:r w:rsidR="00DF1FFF" w:rsidRPr="00A17559">
              <w:rPr>
                <w:spacing w:val="-4"/>
                <w:lang w:val="en-GB"/>
              </w:rPr>
              <w:t>the most in the last seven years.</w:t>
            </w:r>
            <w:r w:rsidR="00720D7B" w:rsidRPr="00A17559">
              <w:rPr>
                <w:spacing w:val="-4"/>
                <w:lang w:val="en-GB"/>
              </w:rPr>
              <w:t xml:space="preserve"> Among SSS </w:t>
            </w:r>
            <w:r w:rsidR="00161684" w:rsidRPr="00A17559">
              <w:rPr>
                <w:spacing w:val="-4"/>
                <w:lang w:val="en-GB"/>
              </w:rPr>
              <w:t>sub-</w:t>
            </w:r>
            <w:r w:rsidR="00720D7B" w:rsidRPr="00A17559">
              <w:rPr>
                <w:spacing w:val="-4"/>
                <w:lang w:val="en-GB"/>
              </w:rPr>
              <w:t xml:space="preserve">benefits, only foster care benefits strengthened. </w:t>
            </w:r>
            <w:r w:rsidR="003E3A1B" w:rsidRPr="00A17559">
              <w:rPr>
                <w:spacing w:val="-4"/>
                <w:lang w:val="en-GB"/>
              </w:rPr>
              <w:t xml:space="preserve">All income-tested benefits (e.g. child allowances) and weight dominant </w:t>
            </w:r>
            <w:r w:rsidR="00C43D8F" w:rsidRPr="00A17559">
              <w:rPr>
                <w:spacing w:val="-4"/>
                <w:lang w:val="en-GB"/>
              </w:rPr>
              <w:t xml:space="preserve">parental allowances </w:t>
            </w:r>
            <w:r w:rsidR="00A45CED" w:rsidRPr="00A17559">
              <w:rPr>
                <w:spacing w:val="-4"/>
                <w:lang w:val="en-GB"/>
              </w:rPr>
              <w:t>(</w:t>
            </w:r>
            <w:r w:rsidR="00A45CED" w:rsidRPr="00A17559">
              <w:rPr>
                <w:rFonts w:cs="Arial"/>
                <w:color w:val="0D0D0D" w:themeColor="text1" w:themeTint="F2"/>
                <w:spacing w:val="-2"/>
                <w:lang w:val="en-GB"/>
              </w:rPr>
              <w:t>–</w:t>
            </w:r>
            <w:r w:rsidR="00A45CED" w:rsidRPr="00A17559">
              <w:rPr>
                <w:spacing w:val="-4"/>
                <w:lang w:val="en-GB"/>
              </w:rPr>
              <w:t>0</w:t>
            </w:r>
            <w:r w:rsidR="00C43D8F" w:rsidRPr="00A17559">
              <w:rPr>
                <w:spacing w:val="-4"/>
                <w:lang w:val="en-GB"/>
              </w:rPr>
              <w:t>.</w:t>
            </w:r>
            <w:r w:rsidR="00A45CED" w:rsidRPr="00A17559">
              <w:rPr>
                <w:spacing w:val="-4"/>
                <w:lang w:val="en-GB"/>
              </w:rPr>
              <w:t>8</w:t>
            </w:r>
            <w:r w:rsidR="00403F57" w:rsidRPr="00A17559">
              <w:rPr>
                <w:spacing w:val="-4"/>
                <w:lang w:val="en-GB"/>
              </w:rPr>
              <w:t>%</w:t>
            </w:r>
            <w:r w:rsidR="00A45CED" w:rsidRPr="00A17559">
              <w:rPr>
                <w:spacing w:val="-4"/>
                <w:lang w:val="en-GB"/>
              </w:rPr>
              <w:t>)</w:t>
            </w:r>
            <w:r w:rsidR="003E3A1B" w:rsidRPr="00A17559">
              <w:rPr>
                <w:spacing w:val="-4"/>
                <w:lang w:val="en-GB"/>
              </w:rPr>
              <w:t xml:space="preserve"> went down</w:t>
            </w:r>
            <w:r w:rsidR="00A45CED" w:rsidRPr="00A17559">
              <w:rPr>
                <w:spacing w:val="-4"/>
                <w:lang w:val="en-GB"/>
              </w:rPr>
              <w:t xml:space="preserve">. </w:t>
            </w:r>
            <w:r w:rsidR="00C43D8F" w:rsidRPr="00A17559">
              <w:rPr>
                <w:spacing w:val="-4"/>
                <w:lang w:val="en-GB"/>
              </w:rPr>
              <w:t xml:space="preserve">Reduction of expenditures on material deprivation assistance benefits </w:t>
            </w:r>
            <w:r w:rsidR="00A45CED" w:rsidRPr="00A17559">
              <w:rPr>
                <w:spacing w:val="-4"/>
                <w:lang w:val="en-GB"/>
              </w:rPr>
              <w:t>(</w:t>
            </w:r>
            <w:r w:rsidR="00C43D8F" w:rsidRPr="00A17559">
              <w:rPr>
                <w:spacing w:val="-4"/>
                <w:lang w:val="en-GB"/>
              </w:rPr>
              <w:t xml:space="preserve">by </w:t>
            </w:r>
            <w:r w:rsidR="00A45CED" w:rsidRPr="00A17559">
              <w:rPr>
                <w:spacing w:val="-4"/>
                <w:lang w:val="en-GB"/>
              </w:rPr>
              <w:t>21</w:t>
            </w:r>
            <w:r w:rsidR="00403F57" w:rsidRPr="00A17559">
              <w:rPr>
                <w:spacing w:val="-4"/>
                <w:lang w:val="en-GB"/>
              </w:rPr>
              <w:t>%</w:t>
            </w:r>
            <w:r w:rsidR="00C43D8F" w:rsidRPr="00A17559">
              <w:rPr>
                <w:spacing w:val="-4"/>
                <w:lang w:val="en-GB"/>
              </w:rPr>
              <w:t xml:space="preserve"> year-on-year, by </w:t>
            </w:r>
            <w:r w:rsidR="00A45CED" w:rsidRPr="00A17559">
              <w:rPr>
                <w:spacing w:val="-4"/>
                <w:lang w:val="en-GB"/>
              </w:rPr>
              <w:t>60</w:t>
            </w:r>
            <w:r w:rsidR="00403F57" w:rsidRPr="00A17559">
              <w:rPr>
                <w:spacing w:val="-4"/>
                <w:lang w:val="en-GB"/>
              </w:rPr>
              <w:t>%</w:t>
            </w:r>
            <w:r w:rsidR="00C43D8F" w:rsidRPr="00A17559">
              <w:rPr>
                <w:spacing w:val="-4"/>
                <w:lang w:val="en-GB"/>
              </w:rPr>
              <w:t xml:space="preserve"> in five years</w:t>
            </w:r>
            <w:r w:rsidR="00A45CED" w:rsidRPr="00A17559">
              <w:rPr>
                <w:spacing w:val="-4"/>
                <w:lang w:val="en-GB"/>
              </w:rPr>
              <w:t>)</w:t>
            </w:r>
            <w:r w:rsidR="00C43D8F" w:rsidRPr="00A17559">
              <w:rPr>
                <w:spacing w:val="-4"/>
                <w:lang w:val="en-GB"/>
              </w:rPr>
              <w:t xml:space="preserve"> also emphasised more favourable </w:t>
            </w:r>
            <w:r w:rsidR="00633908">
              <w:rPr>
                <w:spacing w:val="-4"/>
                <w:lang w:val="en-GB"/>
              </w:rPr>
              <w:t xml:space="preserve">financial </w:t>
            </w:r>
            <w:r w:rsidR="00C43D8F" w:rsidRPr="00A17559">
              <w:rPr>
                <w:spacing w:val="-4"/>
                <w:lang w:val="en-GB"/>
              </w:rPr>
              <w:t>situation of households</w:t>
            </w:r>
            <w:r w:rsidR="00A45CED" w:rsidRPr="00A17559">
              <w:rPr>
                <w:spacing w:val="-4"/>
                <w:lang w:val="en-GB"/>
              </w:rPr>
              <w:t>.</w:t>
            </w:r>
            <w:r w:rsidR="00E31FEC" w:rsidRPr="00A17559">
              <w:rPr>
                <w:spacing w:val="-4"/>
                <w:lang w:val="en-GB"/>
              </w:rPr>
              <w:t xml:space="preserve"> The shrinking of expenditures on unemployment benefits on the contrary halted after five years</w:t>
            </w:r>
            <w:r w:rsidR="00A45CED" w:rsidRPr="00A17559">
              <w:rPr>
                <w:spacing w:val="-4"/>
                <w:lang w:val="en-GB"/>
              </w:rPr>
              <w:t xml:space="preserve">, </w:t>
            </w:r>
            <w:r w:rsidRPr="00A17559">
              <w:rPr>
                <w:spacing w:val="-4"/>
                <w:lang w:val="en-GB"/>
              </w:rPr>
              <w:t xml:space="preserve">besides other things also </w:t>
            </w:r>
            <w:r w:rsidR="00E31FEC" w:rsidRPr="00A17559">
              <w:rPr>
                <w:spacing w:val="-4"/>
                <w:lang w:val="en-GB"/>
              </w:rPr>
              <w:t>due to high proportion of its friction component and growth of the size of average monthly benefit (derived from previous job earnings of the job applicant</w:t>
            </w:r>
            <w:r w:rsidR="00A45CED" w:rsidRPr="00A17559">
              <w:rPr>
                <w:spacing w:val="-4"/>
                <w:lang w:val="en-GB"/>
              </w:rPr>
              <w:t>)</w:t>
            </w:r>
            <w:r w:rsidR="00A45CED" w:rsidRPr="00A17559">
              <w:rPr>
                <w:rStyle w:val="Znakapoznpodarou"/>
                <w:color w:val="0D0D0D" w:themeColor="text1" w:themeTint="F2"/>
                <w:spacing w:val="-2"/>
                <w:lang w:val="en-GB"/>
              </w:rPr>
              <w:footnoteReference w:id="66"/>
            </w:r>
            <w:r w:rsidR="00A45CED" w:rsidRPr="00A17559">
              <w:rPr>
                <w:spacing w:val="-4"/>
                <w:lang w:val="en-GB"/>
              </w:rPr>
              <w:t>.</w:t>
            </w:r>
          </w:p>
        </w:tc>
      </w:tr>
      <w:tr w:rsidR="00A45CED" w:rsidRPr="00A17559" w:rsidTr="000A3D9E">
        <w:trPr>
          <w:trHeight w:val="170"/>
        </w:trPr>
        <w:tc>
          <w:tcPr>
            <w:tcW w:w="1732" w:type="dxa"/>
            <w:vMerge w:val="restart"/>
            <w:tcBorders>
              <w:top w:val="nil"/>
              <w:left w:val="nil"/>
              <w:bottom w:val="nil"/>
              <w:right w:val="nil"/>
            </w:tcBorders>
            <w:shd w:val="clear" w:color="auto" w:fill="auto"/>
            <w:tcMar>
              <w:left w:w="0" w:type="dxa"/>
            </w:tcMar>
          </w:tcPr>
          <w:p w:rsidR="00A45CED" w:rsidRPr="00A17559" w:rsidRDefault="00A45CED" w:rsidP="00A45CED">
            <w:pPr>
              <w:pStyle w:val="Marginlie"/>
              <w:rPr>
                <w:lang w:val="en-GB"/>
              </w:rPr>
            </w:pPr>
          </w:p>
        </w:tc>
        <w:tc>
          <w:tcPr>
            <w:tcW w:w="217" w:type="dxa"/>
            <w:vMerge w:val="restart"/>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951A15" w:rsidP="00951A15">
            <w:pPr>
              <w:spacing w:after="40" w:line="240" w:lineRule="auto"/>
              <w:jc w:val="left"/>
              <w:rPr>
                <w:rFonts w:cs="Arial"/>
                <w:bCs/>
                <w:lang w:val="en-GB"/>
              </w:rPr>
            </w:pPr>
            <w:r w:rsidRPr="00A17559">
              <w:rPr>
                <w:b/>
                <w:spacing w:val="-2"/>
                <w:lang w:val="en-GB"/>
              </w:rPr>
              <w:t xml:space="preserve">Chart </w:t>
            </w:r>
            <w:r w:rsidR="00A45CED" w:rsidRPr="00A17559">
              <w:rPr>
                <w:b/>
                <w:spacing w:val="-2"/>
                <w:lang w:val="en-GB"/>
              </w:rPr>
              <w:t xml:space="preserve">18 </w:t>
            </w:r>
            <w:r w:rsidR="00DF77E4" w:rsidRPr="00A17559">
              <w:rPr>
                <w:b/>
                <w:spacing w:val="-2"/>
                <w:lang w:val="en-GB"/>
              </w:rPr>
              <w:t xml:space="preserve"> </w:t>
            </w:r>
            <w:r w:rsidR="00284287" w:rsidRPr="00A17559">
              <w:rPr>
                <w:b/>
                <w:spacing w:val="-2"/>
                <w:lang w:val="en-GB"/>
              </w:rPr>
              <w:t xml:space="preserve">Selected </w:t>
            </w:r>
            <w:r w:rsidR="00350879">
              <w:rPr>
                <w:b/>
                <w:spacing w:val="-2"/>
                <w:lang w:val="en-GB"/>
              </w:rPr>
              <w:t xml:space="preserve">half-year </w:t>
            </w:r>
            <w:r w:rsidR="00284287" w:rsidRPr="00A17559">
              <w:rPr>
                <w:b/>
                <w:spacing w:val="-2"/>
                <w:lang w:val="en-GB"/>
              </w:rPr>
              <w:t>stat</w:t>
            </w:r>
            <w:r w:rsidR="00350879">
              <w:rPr>
                <w:b/>
                <w:spacing w:val="-2"/>
                <w:lang w:val="en-GB"/>
              </w:rPr>
              <w:t>e budget expenditures</w:t>
            </w:r>
            <w:r w:rsidR="00284287" w:rsidRPr="00A17559">
              <w:rPr>
                <w:b/>
                <w:spacing w:val="-2"/>
                <w:lang w:val="en-GB"/>
              </w:rPr>
              <w:t xml:space="preserve"> </w:t>
            </w:r>
            <w:r w:rsidR="00284287" w:rsidRPr="00A17559">
              <w:rPr>
                <w:rFonts w:cs="Arial"/>
                <w:bCs/>
                <w:spacing w:val="-2"/>
                <w:lang w:val="en-GB"/>
              </w:rPr>
              <w:t>(in CZK bn)</w:t>
            </w:r>
          </w:p>
        </w:tc>
      </w:tr>
      <w:tr w:rsidR="00A45CED" w:rsidRPr="00A17559" w:rsidTr="00EB267D">
        <w:tblPrEx>
          <w:tblCellMar>
            <w:left w:w="70" w:type="dxa"/>
            <w:right w:w="70" w:type="dxa"/>
          </w:tblCellMar>
        </w:tblPrEx>
        <w:trPr>
          <w:trHeight w:val="170"/>
        </w:trPr>
        <w:tc>
          <w:tcPr>
            <w:tcW w:w="1732" w:type="dxa"/>
            <w:vMerge/>
            <w:tcBorders>
              <w:top w:val="nil"/>
              <w:left w:val="nil"/>
              <w:bottom w:val="nil"/>
              <w:right w:val="nil"/>
            </w:tcBorders>
            <w:shd w:val="clear" w:color="auto" w:fill="auto"/>
          </w:tcPr>
          <w:p w:rsidR="00A45CED" w:rsidRPr="00A17559" w:rsidRDefault="00A45CED" w:rsidP="00A45CED">
            <w:pPr>
              <w:pStyle w:val="Marginlie"/>
              <w:rPr>
                <w:lang w:val="en-GB"/>
              </w:rPr>
            </w:pPr>
          </w:p>
        </w:tc>
        <w:tc>
          <w:tcPr>
            <w:tcW w:w="217" w:type="dxa"/>
            <w:vMerge/>
            <w:tcBorders>
              <w:top w:val="nil"/>
              <w:left w:val="nil"/>
              <w:bottom w:val="nil"/>
              <w:right w:val="nil"/>
            </w:tcBorders>
            <w:shd w:val="clear" w:color="auto" w:fill="auto"/>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Pr>
          <w:p w:rsidR="00A45CED" w:rsidRPr="00A17559" w:rsidRDefault="00EB267D" w:rsidP="00A45CED">
            <w:pPr>
              <w:spacing w:after="0"/>
              <w:rPr>
                <w:lang w:val="en-GB"/>
              </w:rPr>
            </w:pPr>
            <w:r>
              <w:rPr>
                <w:noProof/>
              </w:rPr>
              <w:drawing>
                <wp:inline distT="0" distB="0" distL="0" distR="0" wp14:anchorId="5C69FE1C" wp14:editId="1BEE5B6C">
                  <wp:extent cx="4797477" cy="3534569"/>
                  <wp:effectExtent l="0" t="0" r="3175" b="889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A45CED" w:rsidRPr="00A17559" w:rsidTr="000A3D9E">
        <w:trPr>
          <w:trHeight w:val="170"/>
        </w:trPr>
        <w:tc>
          <w:tcPr>
            <w:tcW w:w="1732" w:type="dxa"/>
            <w:vMerge/>
            <w:tcBorders>
              <w:top w:val="nil"/>
              <w:left w:val="nil"/>
              <w:bottom w:val="nil"/>
              <w:right w:val="nil"/>
            </w:tcBorders>
            <w:shd w:val="clear" w:color="auto" w:fill="auto"/>
            <w:tcMar>
              <w:left w:w="0" w:type="dxa"/>
            </w:tcMar>
          </w:tcPr>
          <w:p w:rsidR="00A45CED" w:rsidRPr="00A17559" w:rsidRDefault="00A45CED" w:rsidP="00A45CED">
            <w:pPr>
              <w:pStyle w:val="Marginlie"/>
              <w:rPr>
                <w:lang w:val="en-GB"/>
              </w:rPr>
            </w:pPr>
          </w:p>
        </w:tc>
        <w:tc>
          <w:tcPr>
            <w:tcW w:w="217" w:type="dxa"/>
            <w:vMerge/>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A45CED" w:rsidP="00A45CED">
            <w:pPr>
              <w:pStyle w:val="Textpoznpodarou"/>
              <w:rPr>
                <w:sz w:val="14"/>
                <w:szCs w:val="14"/>
                <w:lang w:val="en-GB"/>
              </w:rPr>
            </w:pPr>
            <w:r w:rsidRPr="00A17559">
              <w:rPr>
                <w:sz w:val="14"/>
                <w:szCs w:val="14"/>
                <w:lang w:val="en-GB"/>
              </w:rPr>
              <w:t>*</w:t>
            </w:r>
            <w:r w:rsidR="008E550B" w:rsidRPr="00A17559">
              <w:rPr>
                <w:sz w:val="14"/>
                <w:szCs w:val="14"/>
                <w:lang w:val="en-GB"/>
              </w:rPr>
              <w:t>Cover expenditures on salaries in central government institutions</w:t>
            </w:r>
            <w:r w:rsidR="00E91301">
              <w:rPr>
                <w:sz w:val="14"/>
                <w:szCs w:val="14"/>
                <w:lang w:val="en-GB"/>
              </w:rPr>
              <w:t xml:space="preserve"> (including armed and police forces)</w:t>
            </w:r>
            <w:r w:rsidR="008E550B" w:rsidRPr="00A17559">
              <w:rPr>
                <w:sz w:val="14"/>
                <w:szCs w:val="14"/>
                <w:lang w:val="en-GB"/>
              </w:rPr>
              <w:t xml:space="preserve">. Do not include e.g. wage costs of regional education. </w:t>
            </w:r>
          </w:p>
          <w:p w:rsidR="00E91301" w:rsidRDefault="00A45CED" w:rsidP="008E550B">
            <w:pPr>
              <w:pStyle w:val="Textpoznpodarou"/>
              <w:rPr>
                <w:sz w:val="14"/>
                <w:szCs w:val="14"/>
                <w:lang w:val="en-GB"/>
              </w:rPr>
            </w:pPr>
            <w:r w:rsidRPr="00A17559">
              <w:rPr>
                <w:sz w:val="14"/>
                <w:szCs w:val="14"/>
                <w:lang w:val="en-GB"/>
              </w:rPr>
              <w:t>**</w:t>
            </w:r>
            <w:r w:rsidR="008E550B" w:rsidRPr="00A17559">
              <w:rPr>
                <w:sz w:val="14"/>
                <w:szCs w:val="14"/>
                <w:lang w:val="en-GB"/>
              </w:rPr>
              <w:t xml:space="preserve"> Also includes the foster care benefits.</w:t>
            </w:r>
            <w:r w:rsidRPr="00A17559">
              <w:rPr>
                <w:sz w:val="14"/>
                <w:szCs w:val="14"/>
                <w:lang w:val="en-GB"/>
              </w:rPr>
              <w:t xml:space="preserve"> </w:t>
            </w:r>
          </w:p>
          <w:p w:rsidR="008E550B" w:rsidRPr="00A17559" w:rsidRDefault="00A45CED" w:rsidP="008E550B">
            <w:pPr>
              <w:pStyle w:val="Textpoznpodarou"/>
              <w:rPr>
                <w:sz w:val="14"/>
                <w:szCs w:val="14"/>
                <w:lang w:val="en-GB"/>
              </w:rPr>
            </w:pPr>
            <w:r w:rsidRPr="00A17559">
              <w:rPr>
                <w:sz w:val="14"/>
                <w:szCs w:val="14"/>
                <w:lang w:val="en-GB"/>
              </w:rPr>
              <w:t>***</w:t>
            </w:r>
            <w:r w:rsidR="008E550B" w:rsidRPr="00A17559">
              <w:rPr>
                <w:sz w:val="14"/>
                <w:szCs w:val="14"/>
                <w:lang w:val="en-GB"/>
              </w:rPr>
              <w:t xml:space="preserve"> Includes Material deprivation assistance benefits, Benefits for people with disabilities, Care benefits (based on Act on State Social Support).</w:t>
            </w:r>
          </w:p>
          <w:p w:rsidR="00E91301" w:rsidRDefault="00A45CED" w:rsidP="00A45CED">
            <w:pPr>
              <w:pStyle w:val="Textpoznpodarou"/>
              <w:rPr>
                <w:sz w:val="14"/>
                <w:szCs w:val="14"/>
                <w:lang w:val="en-GB"/>
              </w:rPr>
            </w:pPr>
            <w:r w:rsidRPr="00A17559">
              <w:rPr>
                <w:sz w:val="14"/>
                <w:szCs w:val="14"/>
                <w:lang w:val="en-GB"/>
              </w:rPr>
              <w:t xml:space="preserve">**** </w:t>
            </w:r>
            <w:r w:rsidR="007C361B" w:rsidRPr="00A17559">
              <w:rPr>
                <w:sz w:val="14"/>
                <w:szCs w:val="14"/>
                <w:lang w:val="en-GB"/>
              </w:rPr>
              <w:t>Contain</w:t>
            </w:r>
            <w:r w:rsidR="00E91301">
              <w:rPr>
                <w:sz w:val="14"/>
                <w:szCs w:val="14"/>
                <w:lang w:val="en-GB"/>
              </w:rPr>
              <w:t>s</w:t>
            </w:r>
            <w:r w:rsidR="007C361B" w:rsidRPr="00A17559">
              <w:rPr>
                <w:sz w:val="14"/>
                <w:szCs w:val="14"/>
                <w:lang w:val="en-GB"/>
              </w:rPr>
              <w:t xml:space="preserve"> mainly expenditures on purchase of services, materials, energies or other services </w:t>
            </w:r>
            <w:r w:rsidRPr="00A17559">
              <w:rPr>
                <w:sz w:val="14"/>
                <w:szCs w:val="14"/>
                <w:lang w:val="en-GB"/>
              </w:rPr>
              <w:t>(</w:t>
            </w:r>
            <w:r w:rsidR="007C361B" w:rsidRPr="00A17559">
              <w:rPr>
                <w:sz w:val="14"/>
                <w:szCs w:val="14"/>
                <w:lang w:val="en-GB"/>
              </w:rPr>
              <w:t>e.g. expenditures on repairs and maintenance</w:t>
            </w:r>
            <w:r w:rsidRPr="00A17559">
              <w:rPr>
                <w:sz w:val="14"/>
                <w:szCs w:val="14"/>
                <w:lang w:val="en-GB"/>
              </w:rPr>
              <w:t xml:space="preserve">). </w:t>
            </w:r>
          </w:p>
          <w:p w:rsidR="00A45CED" w:rsidRPr="00A17559" w:rsidRDefault="00A45CED" w:rsidP="00A45CED">
            <w:pPr>
              <w:pStyle w:val="Textpoznpodarou"/>
              <w:rPr>
                <w:sz w:val="14"/>
                <w:szCs w:val="14"/>
                <w:lang w:val="en-GB"/>
              </w:rPr>
            </w:pPr>
            <w:r w:rsidRPr="00A17559">
              <w:rPr>
                <w:sz w:val="14"/>
                <w:szCs w:val="14"/>
                <w:lang w:val="en-GB"/>
              </w:rPr>
              <w:t>*****</w:t>
            </w:r>
            <w:r w:rsidR="008E550B" w:rsidRPr="00A17559">
              <w:rPr>
                <w:sz w:val="14"/>
                <w:szCs w:val="14"/>
                <w:lang w:val="en-GB"/>
              </w:rPr>
              <w:t xml:space="preserve">Corresponds to the balance of the budget chapter </w:t>
            </w:r>
            <w:r w:rsidR="0001719F">
              <w:rPr>
                <w:sz w:val="14"/>
                <w:szCs w:val="14"/>
                <w:lang w:val="en-GB"/>
              </w:rPr>
              <w:t>“</w:t>
            </w:r>
            <w:r w:rsidR="008E550B" w:rsidRPr="00A17559">
              <w:rPr>
                <w:sz w:val="14"/>
                <w:szCs w:val="14"/>
                <w:lang w:val="en-GB"/>
              </w:rPr>
              <w:t>State debt</w:t>
            </w:r>
            <w:r w:rsidR="0001719F">
              <w:rPr>
                <w:sz w:val="14"/>
                <w:szCs w:val="14"/>
                <w:lang w:val="en-GB"/>
              </w:rPr>
              <w:t>”</w:t>
            </w:r>
            <w:r w:rsidR="008E550B" w:rsidRPr="00A17559">
              <w:rPr>
                <w:sz w:val="14"/>
                <w:szCs w:val="14"/>
                <w:lang w:val="en-GB"/>
              </w:rPr>
              <w:t xml:space="preserve">. </w:t>
            </w:r>
          </w:p>
          <w:p w:rsidR="003E3A1B" w:rsidRPr="00EB267D" w:rsidRDefault="008E550B" w:rsidP="00A45CED">
            <w:pPr>
              <w:spacing w:after="220" w:line="240" w:lineRule="auto"/>
              <w:rPr>
                <w:sz w:val="14"/>
                <w:szCs w:val="14"/>
                <w:lang w:val="en-GB"/>
              </w:rPr>
            </w:pPr>
            <w:r w:rsidRPr="00A17559">
              <w:rPr>
                <w:sz w:val="14"/>
                <w:szCs w:val="14"/>
                <w:lang w:val="en-GB"/>
              </w:rPr>
              <w:t>Source</w:t>
            </w:r>
            <w:r w:rsidR="00A45CED" w:rsidRPr="00A17559">
              <w:rPr>
                <w:sz w:val="14"/>
                <w:szCs w:val="14"/>
                <w:lang w:val="en-GB"/>
              </w:rPr>
              <w:t>: MF</w:t>
            </w:r>
            <w:r w:rsidR="00DF77E4" w:rsidRPr="00A17559">
              <w:rPr>
                <w:sz w:val="14"/>
                <w:szCs w:val="14"/>
                <w:lang w:val="en-GB"/>
              </w:rPr>
              <w:t> </w:t>
            </w:r>
            <w:r w:rsidRPr="00A17559">
              <w:rPr>
                <w:sz w:val="14"/>
                <w:szCs w:val="14"/>
                <w:lang w:val="en-GB"/>
              </w:rPr>
              <w:t>C</w:t>
            </w:r>
            <w:r w:rsidR="00A45CED" w:rsidRPr="00A17559">
              <w:rPr>
                <w:sz w:val="14"/>
                <w:szCs w:val="14"/>
                <w:lang w:val="en-GB"/>
              </w:rPr>
              <w:t>R, M</w:t>
            </w:r>
            <w:r w:rsidRPr="00A17559">
              <w:rPr>
                <w:sz w:val="14"/>
                <w:szCs w:val="14"/>
                <w:lang w:val="en-GB"/>
              </w:rPr>
              <w:t>LSA</w:t>
            </w:r>
          </w:p>
        </w:tc>
      </w:tr>
      <w:tr w:rsidR="00A45CED" w:rsidRPr="00A17559" w:rsidTr="000A3D9E">
        <w:trPr>
          <w:trHeight w:val="145"/>
        </w:trPr>
        <w:tc>
          <w:tcPr>
            <w:tcW w:w="1732" w:type="dxa"/>
            <w:tcBorders>
              <w:top w:val="nil"/>
              <w:left w:val="nil"/>
              <w:bottom w:val="nil"/>
              <w:right w:val="nil"/>
            </w:tcBorders>
            <w:shd w:val="clear" w:color="auto" w:fill="auto"/>
            <w:tcMar>
              <w:left w:w="0" w:type="dxa"/>
            </w:tcMar>
          </w:tcPr>
          <w:p w:rsidR="00A45CED" w:rsidRPr="00A17559" w:rsidRDefault="00EF3C94" w:rsidP="00A45CED">
            <w:pPr>
              <w:pStyle w:val="Marginlie"/>
              <w:rPr>
                <w:lang w:val="en-GB"/>
              </w:rPr>
            </w:pPr>
            <w:r w:rsidRPr="00A17559">
              <w:rPr>
                <w:lang w:val="en-GB"/>
              </w:rPr>
              <w:t xml:space="preserve">Size of the state debt remained stable. Borrowing need was realised via issue of medium and long-term bonds on the domestic market. </w:t>
            </w:r>
          </w:p>
          <w:p w:rsidR="00A45CED" w:rsidRPr="00A17559" w:rsidRDefault="00A45CED" w:rsidP="00A45CED">
            <w:pPr>
              <w:pStyle w:val="Marginlie"/>
              <w:rPr>
                <w:lang w:val="en-GB"/>
              </w:rPr>
            </w:pPr>
          </w:p>
          <w:p w:rsidR="00A45CED" w:rsidRPr="00A17559" w:rsidRDefault="00A45CED" w:rsidP="00A45CED">
            <w:pPr>
              <w:pStyle w:val="Marginlie"/>
              <w:rPr>
                <w:lang w:val="en-GB"/>
              </w:rPr>
            </w:pPr>
          </w:p>
          <w:p w:rsidR="00A45CED" w:rsidRPr="00A17559" w:rsidRDefault="00EF3C94" w:rsidP="00EF3C94">
            <w:pPr>
              <w:pStyle w:val="Marginlie"/>
              <w:rPr>
                <w:lang w:val="en-GB"/>
              </w:rPr>
            </w:pPr>
            <w:r w:rsidRPr="00A17559">
              <w:rPr>
                <w:lang w:val="en-GB"/>
              </w:rPr>
              <w:t xml:space="preserve">Trend of decrease of net expenditures on state debt continued. </w:t>
            </w:r>
          </w:p>
        </w:tc>
        <w:tc>
          <w:tcPr>
            <w:tcW w:w="217" w:type="dxa"/>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A45CED" w:rsidP="00054796">
            <w:pPr>
              <w:pStyle w:val="Textpoznpodarou"/>
              <w:spacing w:after="200" w:line="276" w:lineRule="auto"/>
              <w:jc w:val="both"/>
              <w:rPr>
                <w:rFonts w:cs="Arial"/>
                <w:color w:val="0D0D0D" w:themeColor="text1" w:themeTint="F2"/>
                <w:spacing w:val="-4"/>
                <w:lang w:val="en-GB"/>
              </w:rPr>
            </w:pPr>
            <w:r w:rsidRPr="00A17559">
              <w:rPr>
                <w:rFonts w:cs="Arial"/>
                <w:color w:val="0D0D0D" w:themeColor="text1" w:themeTint="F2"/>
                <w:spacing w:val="-4"/>
                <w:lang w:val="en-GB"/>
              </w:rPr>
              <w:t>St</w:t>
            </w:r>
            <w:r w:rsidR="00EF3C94" w:rsidRPr="00A17559">
              <w:rPr>
                <w:rFonts w:cs="Arial"/>
                <w:color w:val="0D0D0D" w:themeColor="text1" w:themeTint="F2"/>
                <w:spacing w:val="-4"/>
                <w:lang w:val="en-GB"/>
              </w:rPr>
              <w:t xml:space="preserve">ate debt reached the size of </w:t>
            </w:r>
            <w:r w:rsidRPr="00A17559">
              <w:rPr>
                <w:rFonts w:cs="Arial"/>
                <w:color w:val="0D0D0D" w:themeColor="text1" w:themeTint="F2"/>
                <w:spacing w:val="-4"/>
                <w:lang w:val="en-GB"/>
              </w:rPr>
              <w:t>1</w:t>
            </w:r>
            <w:r w:rsidR="00EF3C94" w:rsidRPr="00A17559">
              <w:rPr>
                <w:rFonts w:cs="Arial"/>
                <w:color w:val="0D0D0D" w:themeColor="text1" w:themeTint="F2"/>
                <w:spacing w:val="-4"/>
                <w:lang w:val="en-GB"/>
              </w:rPr>
              <w:t> </w:t>
            </w:r>
            <w:r w:rsidR="008A394E" w:rsidRPr="00A17559">
              <w:rPr>
                <w:rFonts w:cs="Arial"/>
                <w:color w:val="0D0D0D" w:themeColor="text1" w:themeTint="F2"/>
                <w:spacing w:val="-4"/>
                <w:lang w:val="en-GB"/>
              </w:rPr>
              <w:t>712</w:t>
            </w:r>
            <w:r w:rsidR="00EF3C94" w:rsidRPr="00A17559">
              <w:rPr>
                <w:rFonts w:cs="Arial"/>
                <w:color w:val="0D0D0D" w:themeColor="text1" w:themeTint="F2"/>
                <w:spacing w:val="-4"/>
                <w:lang w:val="en-GB"/>
              </w:rPr>
              <w:t>.</w:t>
            </w:r>
            <w:r w:rsidR="008A394E" w:rsidRPr="00A17559">
              <w:rPr>
                <w:rFonts w:cs="Arial"/>
                <w:color w:val="0D0D0D" w:themeColor="text1" w:themeTint="F2"/>
                <w:spacing w:val="-4"/>
                <w:lang w:val="en-GB"/>
              </w:rPr>
              <w:t>6</w:t>
            </w:r>
            <w:r w:rsidR="00EF3C94" w:rsidRPr="00A17559">
              <w:rPr>
                <w:rFonts w:cs="Arial"/>
                <w:color w:val="0D0D0D" w:themeColor="text1" w:themeTint="F2"/>
                <w:spacing w:val="-4"/>
                <w:lang w:val="en-GB"/>
              </w:rPr>
              <w:t xml:space="preserve"> CZK bn at the end of June 2019. Year-on-year it nearly did not change, it </w:t>
            </w:r>
            <w:r w:rsidR="00072577" w:rsidRPr="00A17559">
              <w:rPr>
                <w:rFonts w:cs="Arial"/>
                <w:color w:val="0D0D0D" w:themeColor="text1" w:themeTint="F2"/>
                <w:spacing w:val="-4"/>
                <w:lang w:val="en-GB"/>
              </w:rPr>
              <w:t>mildly</w:t>
            </w:r>
            <w:r w:rsidR="00EF3C94" w:rsidRPr="00A17559">
              <w:rPr>
                <w:rFonts w:cs="Arial"/>
                <w:color w:val="0D0D0D" w:themeColor="text1" w:themeTint="F2"/>
                <w:spacing w:val="-4"/>
                <w:lang w:val="en-GB"/>
              </w:rPr>
              <w:t xml:space="preserve"> fell compared to the preceding quarter </w:t>
            </w:r>
            <w:r w:rsidRPr="00A17559">
              <w:rPr>
                <w:rFonts w:cs="Arial"/>
                <w:color w:val="0D0D0D" w:themeColor="text1" w:themeTint="F2"/>
                <w:spacing w:val="-4"/>
                <w:lang w:val="en-GB"/>
              </w:rPr>
              <w:t>(</w:t>
            </w:r>
            <w:r w:rsidR="00EF3C94" w:rsidRPr="00A17559">
              <w:rPr>
                <w:rFonts w:cs="Arial"/>
                <w:color w:val="0D0D0D" w:themeColor="text1" w:themeTint="F2"/>
                <w:spacing w:val="-4"/>
                <w:lang w:val="en-GB"/>
              </w:rPr>
              <w:t xml:space="preserve">by </w:t>
            </w:r>
            <w:r w:rsidRPr="00A17559">
              <w:rPr>
                <w:rFonts w:cs="Arial"/>
                <w:color w:val="0D0D0D" w:themeColor="text1" w:themeTint="F2"/>
                <w:spacing w:val="-4"/>
                <w:lang w:val="en-GB"/>
              </w:rPr>
              <w:t>1</w:t>
            </w:r>
            <w:r w:rsidR="00EF3C94" w:rsidRPr="00A17559">
              <w:rPr>
                <w:rFonts w:cs="Arial"/>
                <w:color w:val="0D0D0D" w:themeColor="text1" w:themeTint="F2"/>
                <w:spacing w:val="-4"/>
                <w:lang w:val="en-GB"/>
              </w:rPr>
              <w:t>.</w:t>
            </w:r>
            <w:r w:rsidRPr="00A17559">
              <w:rPr>
                <w:rFonts w:cs="Arial"/>
                <w:color w:val="0D0D0D" w:themeColor="text1" w:themeTint="F2"/>
                <w:spacing w:val="-4"/>
                <w:lang w:val="en-GB"/>
              </w:rPr>
              <w:t>1</w:t>
            </w:r>
            <w:r w:rsidR="00403F57" w:rsidRPr="00A17559">
              <w:rPr>
                <w:rFonts w:cs="Arial"/>
                <w:color w:val="0D0D0D" w:themeColor="text1" w:themeTint="F2"/>
                <w:spacing w:val="-4"/>
                <w:lang w:val="en-GB"/>
              </w:rPr>
              <w:t>%</w:t>
            </w:r>
            <w:r w:rsidR="00EF3C94" w:rsidRPr="00A17559">
              <w:rPr>
                <w:rFonts w:cs="Arial"/>
                <w:color w:val="0D0D0D" w:themeColor="text1" w:themeTint="F2"/>
                <w:spacing w:val="-4"/>
                <w:lang w:val="en-GB"/>
              </w:rPr>
              <w:t xml:space="preserve">). State kept realising its borrowing need exclusively on the domestic market. CZK value of the foreign debt thus narrowed year-o-year </w:t>
            </w:r>
            <w:r w:rsidRPr="00A17559">
              <w:rPr>
                <w:rFonts w:cs="Arial"/>
                <w:color w:val="0D0D0D" w:themeColor="text1" w:themeTint="F2"/>
                <w:spacing w:val="-4"/>
                <w:lang w:val="en-GB"/>
              </w:rPr>
              <w:t>(</w:t>
            </w:r>
            <w:r w:rsidR="00EF3C94" w:rsidRPr="00A17559">
              <w:rPr>
                <w:rFonts w:cs="Arial"/>
                <w:color w:val="0D0D0D" w:themeColor="text1" w:themeTint="F2"/>
                <w:spacing w:val="-4"/>
                <w:lang w:val="en-GB"/>
              </w:rPr>
              <w:t xml:space="preserve">by </w:t>
            </w:r>
            <w:r w:rsidRPr="00A17559">
              <w:rPr>
                <w:rFonts w:cs="Arial"/>
                <w:color w:val="0D0D0D" w:themeColor="text1" w:themeTint="F2"/>
                <w:spacing w:val="-4"/>
                <w:lang w:val="en-GB"/>
              </w:rPr>
              <w:t>38</w:t>
            </w:r>
            <w:r w:rsidR="00EF3C94" w:rsidRPr="00A17559">
              <w:rPr>
                <w:rFonts w:cs="Arial"/>
                <w:color w:val="0D0D0D" w:themeColor="text1" w:themeTint="F2"/>
                <w:spacing w:val="-4"/>
                <w:lang w:val="en-GB"/>
              </w:rPr>
              <w:t>.</w:t>
            </w:r>
            <w:r w:rsidRPr="00A17559">
              <w:rPr>
                <w:rFonts w:cs="Arial"/>
                <w:color w:val="0D0D0D" w:themeColor="text1" w:themeTint="F2"/>
                <w:spacing w:val="-4"/>
                <w:lang w:val="en-GB"/>
              </w:rPr>
              <w:t>6</w:t>
            </w:r>
            <w:r w:rsidR="00403F57" w:rsidRPr="00A17559">
              <w:rPr>
                <w:rFonts w:cs="Arial"/>
                <w:color w:val="0D0D0D" w:themeColor="text1" w:themeTint="F2"/>
                <w:spacing w:val="-4"/>
                <w:lang w:val="en-GB"/>
              </w:rPr>
              <w:t> </w:t>
            </w:r>
            <w:r w:rsidR="00EF3C94" w:rsidRPr="00A17559">
              <w:rPr>
                <w:rFonts w:cs="Arial"/>
                <w:color w:val="0D0D0D" w:themeColor="text1" w:themeTint="F2"/>
                <w:spacing w:val="-4"/>
                <w:lang w:val="en-GB"/>
              </w:rPr>
              <w:t>bn</w:t>
            </w:r>
            <w:r w:rsidRPr="00A17559">
              <w:rPr>
                <w:rFonts w:cs="Arial"/>
                <w:color w:val="0D0D0D" w:themeColor="text1" w:themeTint="F2"/>
                <w:spacing w:val="-4"/>
                <w:lang w:val="en-GB"/>
              </w:rPr>
              <w:t xml:space="preserve">) </w:t>
            </w:r>
            <w:r w:rsidR="002F1B09" w:rsidRPr="00A17559">
              <w:rPr>
                <w:rFonts w:cs="Arial"/>
                <w:color w:val="0D0D0D" w:themeColor="text1" w:themeTint="F2"/>
                <w:spacing w:val="-4"/>
                <w:lang w:val="en-GB"/>
              </w:rPr>
              <w:t>a</w:t>
            </w:r>
            <w:r w:rsidR="00EF3C94" w:rsidRPr="00A17559">
              <w:rPr>
                <w:rFonts w:cs="Arial"/>
                <w:color w:val="0D0D0D" w:themeColor="text1" w:themeTint="F2"/>
                <w:spacing w:val="-4"/>
                <w:lang w:val="en-GB"/>
              </w:rPr>
              <w:t xml:space="preserve">nd the share of external debt in total indebtedness arrived at </w:t>
            </w:r>
            <w:r w:rsidRPr="00A17559">
              <w:rPr>
                <w:rFonts w:cs="Arial"/>
                <w:color w:val="0D0D0D" w:themeColor="text1" w:themeTint="F2"/>
                <w:spacing w:val="-4"/>
                <w:lang w:val="en-GB"/>
              </w:rPr>
              <w:t>12</w:t>
            </w:r>
            <w:r w:rsidR="00EF3C94" w:rsidRPr="00A17559">
              <w:rPr>
                <w:rFonts w:cs="Arial"/>
                <w:color w:val="0D0D0D" w:themeColor="text1" w:themeTint="F2"/>
                <w:spacing w:val="-4"/>
                <w:lang w:val="en-GB"/>
              </w:rPr>
              <w:t>.</w:t>
            </w:r>
            <w:r w:rsidRPr="00A17559">
              <w:rPr>
                <w:rFonts w:cs="Arial"/>
                <w:color w:val="0D0D0D" w:themeColor="text1" w:themeTint="F2"/>
                <w:spacing w:val="-4"/>
                <w:lang w:val="en-GB"/>
              </w:rPr>
              <w:t>6</w:t>
            </w:r>
            <w:r w:rsidR="00403F57" w:rsidRPr="00A17559">
              <w:rPr>
                <w:rFonts w:cs="Arial"/>
                <w:color w:val="0D0D0D" w:themeColor="text1" w:themeTint="F2"/>
                <w:spacing w:val="-4"/>
                <w:lang w:val="en-GB"/>
              </w:rPr>
              <w:t>%</w:t>
            </w:r>
            <w:r w:rsidRPr="00A17559">
              <w:rPr>
                <w:rFonts w:cs="Arial"/>
                <w:color w:val="0D0D0D" w:themeColor="text1" w:themeTint="F2"/>
                <w:spacing w:val="-4"/>
                <w:lang w:val="en-GB"/>
              </w:rPr>
              <w:t>,</w:t>
            </w:r>
            <w:r w:rsidR="00EF3C94" w:rsidRPr="00A17559">
              <w:rPr>
                <w:rFonts w:cs="Arial"/>
                <w:color w:val="0D0D0D" w:themeColor="text1" w:themeTint="F2"/>
                <w:spacing w:val="-4"/>
                <w:lang w:val="en-GB"/>
              </w:rPr>
              <w:t xml:space="preserve"> which was the least since the end of 2</w:t>
            </w:r>
            <w:r w:rsidRPr="00A17559">
              <w:rPr>
                <w:rFonts w:cs="Arial"/>
                <w:color w:val="0D0D0D" w:themeColor="text1" w:themeTint="F2"/>
                <w:spacing w:val="-4"/>
                <w:lang w:val="en-GB"/>
              </w:rPr>
              <w:t>00</w:t>
            </w:r>
            <w:r w:rsidR="004A5D4E" w:rsidRPr="00A17559">
              <w:rPr>
                <w:rFonts w:cs="Arial"/>
                <w:color w:val="0D0D0D" w:themeColor="text1" w:themeTint="F2"/>
                <w:spacing w:val="-4"/>
                <w:lang w:val="en-GB"/>
              </w:rPr>
              <w:t>4.</w:t>
            </w:r>
            <w:r w:rsidR="008A1C59" w:rsidRPr="00A17559">
              <w:rPr>
                <w:rFonts w:cs="Arial"/>
                <w:color w:val="0D0D0D" w:themeColor="text1" w:themeTint="F2"/>
                <w:spacing w:val="-4"/>
                <w:lang w:val="en-GB"/>
              </w:rPr>
              <w:t xml:space="preserve"> </w:t>
            </w:r>
            <w:r w:rsidRPr="00A17559">
              <w:rPr>
                <w:rFonts w:cs="Arial"/>
                <w:color w:val="0D0D0D" w:themeColor="text1" w:themeTint="F2"/>
                <w:spacing w:val="-4"/>
                <w:lang w:val="en-GB"/>
              </w:rPr>
              <w:t>St</w:t>
            </w:r>
            <w:r w:rsidR="00F021DA" w:rsidRPr="00A17559">
              <w:rPr>
                <w:rFonts w:cs="Arial"/>
                <w:color w:val="0D0D0D" w:themeColor="text1" w:themeTint="F2"/>
                <w:spacing w:val="-4"/>
                <w:lang w:val="en-GB"/>
              </w:rPr>
              <w:t xml:space="preserve">ate issued medium- and </w:t>
            </w:r>
            <w:r w:rsidR="00072577" w:rsidRPr="00A17559">
              <w:rPr>
                <w:rFonts w:cs="Arial"/>
                <w:color w:val="0D0D0D" w:themeColor="text1" w:themeTint="F2"/>
                <w:spacing w:val="-4"/>
                <w:lang w:val="en-GB"/>
              </w:rPr>
              <w:t>long-t</w:t>
            </w:r>
            <w:r w:rsidR="00F021DA" w:rsidRPr="00A17559">
              <w:rPr>
                <w:rFonts w:cs="Arial"/>
                <w:color w:val="0D0D0D" w:themeColor="text1" w:themeTint="F2"/>
                <w:spacing w:val="-4"/>
                <w:lang w:val="en-GB"/>
              </w:rPr>
              <w:t>erm bonds in the amount of 200.6 C</w:t>
            </w:r>
            <w:r w:rsidR="00072577" w:rsidRPr="00A17559">
              <w:rPr>
                <w:rFonts w:cs="Arial"/>
                <w:color w:val="0D0D0D" w:themeColor="text1" w:themeTint="F2"/>
                <w:spacing w:val="-4"/>
                <w:lang w:val="en-GB"/>
              </w:rPr>
              <w:t>Z</w:t>
            </w:r>
            <w:r w:rsidR="00F021DA" w:rsidRPr="00A17559">
              <w:rPr>
                <w:rFonts w:cs="Arial"/>
                <w:color w:val="0D0D0D" w:themeColor="text1" w:themeTint="F2"/>
                <w:spacing w:val="-4"/>
                <w:lang w:val="en-GB"/>
              </w:rPr>
              <w:t>K bn during H</w:t>
            </w:r>
            <w:r w:rsidR="004A5D4E" w:rsidRPr="00A17559">
              <w:rPr>
                <w:rFonts w:cs="Arial"/>
                <w:color w:val="0D0D0D" w:themeColor="text1" w:themeTint="F2"/>
                <w:spacing w:val="-4"/>
                <w:lang w:val="en-GB"/>
              </w:rPr>
              <w:t>1</w:t>
            </w:r>
            <w:r w:rsidR="00095A4B">
              <w:rPr>
                <w:rFonts w:cs="Arial"/>
                <w:color w:val="0D0D0D" w:themeColor="text1" w:themeTint="F2"/>
                <w:spacing w:val="-4"/>
                <w:lang w:val="en-GB"/>
              </w:rPr>
              <w:t>, more than three fifths</w:t>
            </w:r>
            <w:r w:rsidR="00F021DA" w:rsidRPr="00A17559">
              <w:rPr>
                <w:rFonts w:cs="Arial"/>
                <w:color w:val="0D0D0D" w:themeColor="text1" w:themeTint="F2"/>
                <w:spacing w:val="-4"/>
                <w:lang w:val="en-GB"/>
              </w:rPr>
              <w:t xml:space="preserve"> </w:t>
            </w:r>
            <w:r w:rsidR="00D27F47">
              <w:rPr>
                <w:rFonts w:cs="Arial"/>
                <w:color w:val="0D0D0D" w:themeColor="text1" w:themeTint="F2"/>
                <w:spacing w:val="-4"/>
                <w:lang w:val="en-GB"/>
              </w:rPr>
              <w:t xml:space="preserve">of them </w:t>
            </w:r>
            <w:r w:rsidR="00F021DA" w:rsidRPr="00A17559">
              <w:rPr>
                <w:rFonts w:cs="Arial"/>
                <w:color w:val="0D0D0D" w:themeColor="text1" w:themeTint="F2"/>
                <w:spacing w:val="-4"/>
                <w:lang w:val="en-GB"/>
              </w:rPr>
              <w:t xml:space="preserve">had maturity above 10 years. </w:t>
            </w:r>
            <w:r w:rsidRPr="00A17559">
              <w:rPr>
                <w:rFonts w:cs="Arial"/>
                <w:color w:val="0D0D0D" w:themeColor="text1" w:themeTint="F2"/>
                <w:spacing w:val="-4"/>
                <w:lang w:val="en-GB"/>
              </w:rPr>
              <w:t>S</w:t>
            </w:r>
            <w:r w:rsidR="00FB6D71" w:rsidRPr="00A17559">
              <w:rPr>
                <w:rFonts w:cs="Arial"/>
                <w:color w:val="0D0D0D" w:themeColor="text1" w:themeTint="F2"/>
                <w:spacing w:val="-4"/>
                <w:lang w:val="en-GB"/>
              </w:rPr>
              <w:t xml:space="preserve">tate used the opportunity of favourable conditions on the domestic financial market </w:t>
            </w:r>
            <w:r w:rsidRPr="00A17559">
              <w:rPr>
                <w:rFonts w:cs="Arial"/>
                <w:color w:val="0D0D0D" w:themeColor="text1" w:themeTint="F2"/>
                <w:spacing w:val="-4"/>
                <w:lang w:val="en-GB"/>
              </w:rPr>
              <w:t>(</w:t>
            </w:r>
            <w:r w:rsidR="00FB6D71" w:rsidRPr="00A17559">
              <w:rPr>
                <w:rFonts w:cs="Arial"/>
                <w:color w:val="0D0D0D" w:themeColor="text1" w:themeTint="F2"/>
                <w:spacing w:val="-4"/>
                <w:lang w:val="en-GB"/>
              </w:rPr>
              <w:t xml:space="preserve">yield of state bonds </w:t>
            </w:r>
            <w:r w:rsidR="00054796" w:rsidRPr="00A17559">
              <w:rPr>
                <w:rFonts w:cs="Arial"/>
                <w:color w:val="0D0D0D" w:themeColor="text1" w:themeTint="F2"/>
                <w:spacing w:val="-4"/>
                <w:lang w:val="en-GB"/>
              </w:rPr>
              <w:t xml:space="preserve">along </w:t>
            </w:r>
            <w:r w:rsidR="00FB6D71" w:rsidRPr="00A17559">
              <w:rPr>
                <w:rFonts w:cs="Arial"/>
                <w:color w:val="0D0D0D" w:themeColor="text1" w:themeTint="F2"/>
                <w:spacing w:val="-4"/>
                <w:lang w:val="en-GB"/>
              </w:rPr>
              <w:t xml:space="preserve">the longer end of the yield curve hit the lowest level since the end of year </w:t>
            </w:r>
            <w:r w:rsidRPr="00A17559">
              <w:rPr>
                <w:rFonts w:cs="Arial"/>
                <w:color w:val="0D0D0D" w:themeColor="text1" w:themeTint="F2"/>
                <w:spacing w:val="-4"/>
                <w:lang w:val="en-GB"/>
              </w:rPr>
              <w:t xml:space="preserve">2017). </w:t>
            </w:r>
            <w:r w:rsidR="00054796" w:rsidRPr="00A17559">
              <w:rPr>
                <w:rFonts w:cs="Arial"/>
                <w:color w:val="0D0D0D" w:themeColor="text1" w:themeTint="F2"/>
                <w:spacing w:val="-4"/>
                <w:lang w:val="en-GB"/>
              </w:rPr>
              <w:t xml:space="preserve">Non-residents prevailed among the owners of CZK bonds </w:t>
            </w:r>
            <w:r w:rsidRPr="00A17559">
              <w:rPr>
                <w:rFonts w:cs="Arial"/>
                <w:color w:val="0D0D0D" w:themeColor="text1" w:themeTint="F2"/>
                <w:spacing w:val="-4"/>
                <w:lang w:val="en-GB"/>
              </w:rPr>
              <w:t>(42</w:t>
            </w:r>
            <w:r w:rsidR="00054796" w:rsidRPr="00A17559">
              <w:rPr>
                <w:rFonts w:cs="Arial"/>
                <w:color w:val="0D0D0D" w:themeColor="text1" w:themeTint="F2"/>
                <w:spacing w:val="-4"/>
                <w:lang w:val="en-GB"/>
              </w:rPr>
              <w:t>.</w:t>
            </w:r>
            <w:r w:rsidRPr="00A17559">
              <w:rPr>
                <w:rFonts w:cs="Arial"/>
                <w:color w:val="0D0D0D" w:themeColor="text1" w:themeTint="F2"/>
                <w:spacing w:val="-4"/>
                <w:lang w:val="en-GB"/>
              </w:rPr>
              <w:t>3</w:t>
            </w:r>
            <w:r w:rsidR="00403F57" w:rsidRPr="00A17559">
              <w:rPr>
                <w:rFonts w:cs="Arial"/>
                <w:color w:val="0D0D0D" w:themeColor="text1" w:themeTint="F2"/>
                <w:spacing w:val="-4"/>
                <w:lang w:val="en-GB"/>
              </w:rPr>
              <w:t>%</w:t>
            </w:r>
            <w:r w:rsidRPr="00A17559">
              <w:rPr>
                <w:rFonts w:cs="Arial"/>
                <w:color w:val="0D0D0D" w:themeColor="text1" w:themeTint="F2"/>
                <w:spacing w:val="-4"/>
                <w:lang w:val="en-GB"/>
              </w:rPr>
              <w:t xml:space="preserve">), </w:t>
            </w:r>
            <w:r w:rsidR="00054796" w:rsidRPr="00A17559">
              <w:rPr>
                <w:rFonts w:cs="Arial"/>
                <w:color w:val="0D0D0D" w:themeColor="text1" w:themeTint="F2"/>
                <w:spacing w:val="-4"/>
                <w:lang w:val="en-GB"/>
              </w:rPr>
              <w:t xml:space="preserve">their proportion mildly grew since the beginning of year </w:t>
            </w:r>
            <w:r w:rsidRPr="00A17559">
              <w:rPr>
                <w:rFonts w:cs="Arial"/>
                <w:color w:val="0D0D0D" w:themeColor="text1" w:themeTint="F2"/>
                <w:spacing w:val="-4"/>
                <w:lang w:val="en-GB"/>
              </w:rPr>
              <w:t xml:space="preserve">2018. </w:t>
            </w:r>
            <w:r w:rsidR="00054796" w:rsidRPr="00A17559">
              <w:rPr>
                <w:rFonts w:cs="Arial"/>
                <w:color w:val="0D0D0D" w:themeColor="text1" w:themeTint="F2"/>
                <w:spacing w:val="-4"/>
                <w:lang w:val="en-GB"/>
              </w:rPr>
              <w:t xml:space="preserve">Trend of cutting the net outlays on the state debt servicing continued. These costs were </w:t>
            </w:r>
            <w:r w:rsidRPr="00A17559">
              <w:rPr>
                <w:rFonts w:cs="Arial"/>
                <w:color w:val="0D0D0D" w:themeColor="text1" w:themeTint="F2"/>
                <w:spacing w:val="-4"/>
                <w:lang w:val="en-GB"/>
              </w:rPr>
              <w:t>16</w:t>
            </w:r>
            <w:r w:rsidR="00054796" w:rsidRPr="00A17559">
              <w:rPr>
                <w:rFonts w:cs="Arial"/>
                <w:color w:val="0D0D0D" w:themeColor="text1" w:themeTint="F2"/>
                <w:spacing w:val="-4"/>
                <w:lang w:val="en-GB"/>
              </w:rPr>
              <w:t>.</w:t>
            </w:r>
            <w:r w:rsidRPr="00A17559">
              <w:rPr>
                <w:rFonts w:cs="Arial"/>
                <w:color w:val="0D0D0D" w:themeColor="text1" w:themeTint="F2"/>
                <w:spacing w:val="-4"/>
                <w:lang w:val="en-GB"/>
              </w:rPr>
              <w:t>9</w:t>
            </w:r>
            <w:r w:rsidR="00054796" w:rsidRPr="00A17559">
              <w:rPr>
                <w:rFonts w:cs="Arial"/>
                <w:color w:val="0D0D0D" w:themeColor="text1" w:themeTint="F2"/>
                <w:spacing w:val="-4"/>
                <w:lang w:val="en-GB"/>
              </w:rPr>
              <w:t xml:space="preserve"> CZK bn for H1 and decreased by nearly one sixth year-on-year, by nearly one half in the last six years. </w:t>
            </w:r>
          </w:p>
        </w:tc>
      </w:tr>
      <w:tr w:rsidR="00A45CED" w:rsidRPr="00A17559" w:rsidTr="000A3D9E">
        <w:trPr>
          <w:trHeight w:val="145"/>
        </w:trPr>
        <w:tc>
          <w:tcPr>
            <w:tcW w:w="1732" w:type="dxa"/>
            <w:tcBorders>
              <w:top w:val="nil"/>
              <w:left w:val="nil"/>
              <w:bottom w:val="nil"/>
              <w:right w:val="nil"/>
            </w:tcBorders>
            <w:shd w:val="clear" w:color="auto" w:fill="auto"/>
            <w:tcMar>
              <w:left w:w="0" w:type="dxa"/>
            </w:tcMar>
          </w:tcPr>
          <w:p w:rsidR="00A45CED" w:rsidRPr="00A17559" w:rsidRDefault="001650C3" w:rsidP="001650C3">
            <w:pPr>
              <w:pStyle w:val="Marginlie"/>
              <w:rPr>
                <w:lang w:val="en-GB"/>
              </w:rPr>
            </w:pPr>
            <w:r w:rsidRPr="00A17559">
              <w:rPr>
                <w:spacing w:val="-3"/>
                <w:lang w:val="en-GB"/>
              </w:rPr>
              <w:t xml:space="preserve">Indebtedness rate of the government </w:t>
            </w:r>
            <w:r w:rsidR="00D83C22" w:rsidRPr="00A17559">
              <w:rPr>
                <w:spacing w:val="-3"/>
                <w:lang w:val="en-GB"/>
              </w:rPr>
              <w:t>institution</w:t>
            </w:r>
            <w:r w:rsidRPr="00A17559">
              <w:rPr>
                <w:spacing w:val="-3"/>
                <w:lang w:val="en-GB"/>
              </w:rPr>
              <w:t xml:space="preserve"> sector shrank year-on-year. Budget was in practice balanced, local government institutions attained surplus. </w:t>
            </w:r>
          </w:p>
        </w:tc>
        <w:tc>
          <w:tcPr>
            <w:tcW w:w="217" w:type="dxa"/>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1650C3" w:rsidP="007E20A0">
            <w:pPr>
              <w:pStyle w:val="Textpoznpodarou"/>
              <w:spacing w:after="200" w:line="276" w:lineRule="auto"/>
              <w:jc w:val="both"/>
              <w:rPr>
                <w:rFonts w:cs="Arial"/>
                <w:color w:val="0D0D0D" w:themeColor="text1" w:themeTint="F2"/>
                <w:spacing w:val="-4"/>
                <w:lang w:val="en-GB"/>
              </w:rPr>
            </w:pPr>
            <w:r w:rsidRPr="00A17559">
              <w:rPr>
                <w:color w:val="000000" w:themeColor="text1"/>
                <w:spacing w:val="-4"/>
                <w:lang w:val="en-GB"/>
              </w:rPr>
              <w:t>Consolidated debt of the whole government institutions sector</w:t>
            </w:r>
            <w:r w:rsidR="00A45CED" w:rsidRPr="00A17559">
              <w:rPr>
                <w:rStyle w:val="Znakapoznpodarou"/>
                <w:spacing w:val="-4"/>
                <w:lang w:val="en-GB"/>
              </w:rPr>
              <w:footnoteReference w:id="67"/>
            </w:r>
            <w:r w:rsidRPr="00A17559">
              <w:rPr>
                <w:color w:val="000000" w:themeColor="text1"/>
                <w:spacing w:val="-4"/>
                <w:lang w:val="en-GB"/>
              </w:rPr>
              <w:t xml:space="preserve"> </w:t>
            </w:r>
            <w:r w:rsidR="00432319" w:rsidRPr="00A17559">
              <w:rPr>
                <w:color w:val="000000" w:themeColor="text1"/>
                <w:spacing w:val="-4"/>
                <w:lang w:val="en-GB"/>
              </w:rPr>
              <w:t>totalled</w:t>
            </w:r>
            <w:r w:rsidRPr="00A17559">
              <w:rPr>
                <w:color w:val="000000" w:themeColor="text1"/>
                <w:spacing w:val="-4"/>
                <w:lang w:val="en-GB"/>
              </w:rPr>
              <w:t xml:space="preserve"> </w:t>
            </w:r>
            <w:r w:rsidR="00A45CED" w:rsidRPr="00A17559">
              <w:rPr>
                <w:color w:val="000000" w:themeColor="text1"/>
                <w:spacing w:val="-4"/>
                <w:lang w:val="en-GB"/>
              </w:rPr>
              <w:t>1 837 </w:t>
            </w:r>
            <w:r w:rsidRPr="00A17559">
              <w:rPr>
                <w:color w:val="000000" w:themeColor="text1"/>
                <w:spacing w:val="-4"/>
                <w:lang w:val="en-GB"/>
              </w:rPr>
              <w:t xml:space="preserve">CZK bn according to the CZSO data at the end of Q1 2019 and was raised quarter-on-quarter </w:t>
            </w:r>
            <w:r w:rsidR="00A45CED" w:rsidRPr="00A17559">
              <w:rPr>
                <w:color w:val="000000" w:themeColor="text1"/>
                <w:spacing w:val="-4"/>
                <w:lang w:val="en-GB"/>
              </w:rPr>
              <w:t>(+102</w:t>
            </w:r>
            <w:r w:rsidRPr="00A17559">
              <w:rPr>
                <w:color w:val="000000" w:themeColor="text1"/>
                <w:spacing w:val="-4"/>
                <w:lang w:val="en-GB"/>
              </w:rPr>
              <w:t xml:space="preserve"> CZK bn</w:t>
            </w:r>
            <w:r w:rsidR="00A45CED" w:rsidRPr="00A17559">
              <w:rPr>
                <w:color w:val="000000" w:themeColor="text1"/>
                <w:spacing w:val="-4"/>
                <w:lang w:val="en-GB"/>
              </w:rPr>
              <w:t>).</w:t>
            </w:r>
            <w:r w:rsidRPr="00A17559">
              <w:rPr>
                <w:color w:val="000000" w:themeColor="text1"/>
                <w:spacing w:val="-4"/>
                <w:lang w:val="en-GB"/>
              </w:rPr>
              <w:t xml:space="preserve"> Indebtedness rate </w:t>
            </w:r>
            <w:r w:rsidR="00432319" w:rsidRPr="00A17559">
              <w:rPr>
                <w:color w:val="000000" w:themeColor="text1"/>
                <w:spacing w:val="-4"/>
                <w:lang w:val="en-GB"/>
              </w:rPr>
              <w:t xml:space="preserve">was </w:t>
            </w:r>
            <w:r w:rsidR="00A45CED" w:rsidRPr="00A17559">
              <w:rPr>
                <w:color w:val="000000" w:themeColor="text1"/>
                <w:spacing w:val="-4"/>
                <w:lang w:val="en-GB"/>
              </w:rPr>
              <w:t>34</w:t>
            </w:r>
            <w:r w:rsidR="00432319" w:rsidRPr="00A17559">
              <w:rPr>
                <w:color w:val="000000" w:themeColor="text1"/>
                <w:spacing w:val="-4"/>
                <w:lang w:val="en-GB"/>
              </w:rPr>
              <w:t>.</w:t>
            </w:r>
            <w:r w:rsidR="00A45CED" w:rsidRPr="00A17559">
              <w:rPr>
                <w:color w:val="000000" w:themeColor="text1"/>
                <w:spacing w:val="-4"/>
                <w:lang w:val="en-GB"/>
              </w:rPr>
              <w:t>0</w:t>
            </w:r>
            <w:r w:rsidR="00403F57" w:rsidRPr="00A17559">
              <w:rPr>
                <w:color w:val="000000" w:themeColor="text1"/>
                <w:spacing w:val="-4"/>
                <w:lang w:val="en-GB"/>
              </w:rPr>
              <w:t>%</w:t>
            </w:r>
            <w:r w:rsidR="00432319" w:rsidRPr="00A17559">
              <w:rPr>
                <w:color w:val="000000" w:themeColor="text1"/>
                <w:spacing w:val="-4"/>
                <w:lang w:val="en-GB"/>
              </w:rPr>
              <w:t xml:space="preserve"> of GDP, it fell by </w:t>
            </w:r>
            <w:r w:rsidR="00A45CED" w:rsidRPr="00A17559">
              <w:rPr>
                <w:color w:val="000000" w:themeColor="text1"/>
                <w:spacing w:val="-4"/>
                <w:lang w:val="en-GB"/>
              </w:rPr>
              <w:t>1</w:t>
            </w:r>
            <w:r w:rsidR="00432319" w:rsidRPr="00A17559">
              <w:rPr>
                <w:color w:val="000000" w:themeColor="text1"/>
                <w:spacing w:val="-4"/>
                <w:lang w:val="en-GB"/>
              </w:rPr>
              <w:t>.</w:t>
            </w:r>
            <w:r w:rsidR="00A45CED" w:rsidRPr="00A17559">
              <w:rPr>
                <w:color w:val="000000" w:themeColor="text1"/>
                <w:spacing w:val="-4"/>
                <w:lang w:val="en-GB"/>
              </w:rPr>
              <w:t>8</w:t>
            </w:r>
            <w:r w:rsidR="00403F57" w:rsidRPr="00A17559">
              <w:rPr>
                <w:color w:val="000000" w:themeColor="text1"/>
                <w:spacing w:val="-4"/>
                <w:lang w:val="en-GB"/>
              </w:rPr>
              <w:t> p.</w:t>
            </w:r>
            <w:r w:rsidR="00432319" w:rsidRPr="00A17559">
              <w:rPr>
                <w:color w:val="000000" w:themeColor="text1"/>
                <w:spacing w:val="-4"/>
                <w:lang w:val="en-GB"/>
              </w:rPr>
              <w:t xml:space="preserve">p. year-on-year, solely thanks to the brisk growth of the nominal GDP. </w:t>
            </w:r>
            <w:r w:rsidR="004B6158" w:rsidRPr="00A17559">
              <w:rPr>
                <w:color w:val="000000" w:themeColor="text1"/>
                <w:spacing w:val="-4"/>
                <w:lang w:val="en-GB"/>
              </w:rPr>
              <w:t xml:space="preserve">Government institution sector attained a very mild budget deficit in the amount of </w:t>
            </w:r>
            <w:r w:rsidR="00A45CED" w:rsidRPr="00A17559">
              <w:rPr>
                <w:color w:val="000000" w:themeColor="text1"/>
                <w:spacing w:val="-4"/>
                <w:lang w:val="en-GB"/>
              </w:rPr>
              <w:t>2</w:t>
            </w:r>
            <w:r w:rsidR="004B6158" w:rsidRPr="00A17559">
              <w:rPr>
                <w:color w:val="000000" w:themeColor="text1"/>
                <w:spacing w:val="-4"/>
                <w:lang w:val="en-GB"/>
              </w:rPr>
              <w:t>.</w:t>
            </w:r>
            <w:r w:rsidR="00A45CED" w:rsidRPr="00A17559">
              <w:rPr>
                <w:color w:val="000000" w:themeColor="text1"/>
                <w:spacing w:val="-4"/>
                <w:lang w:val="en-GB"/>
              </w:rPr>
              <w:t>3</w:t>
            </w:r>
            <w:r w:rsidR="004B6158" w:rsidRPr="00A17559">
              <w:rPr>
                <w:color w:val="000000" w:themeColor="text1"/>
                <w:spacing w:val="-4"/>
                <w:lang w:val="en-GB"/>
              </w:rPr>
              <w:t xml:space="preserve"> CZK bn</w:t>
            </w:r>
            <w:r w:rsidR="00A45CED" w:rsidRPr="00A17559">
              <w:rPr>
                <w:rStyle w:val="Znakapoznpodarou"/>
                <w:color w:val="0D0D0D" w:themeColor="text1" w:themeTint="F2"/>
                <w:spacing w:val="-2"/>
                <w:lang w:val="en-GB"/>
              </w:rPr>
              <w:footnoteReference w:id="68"/>
            </w:r>
            <w:r w:rsidR="004B6158" w:rsidRPr="00A17559">
              <w:rPr>
                <w:color w:val="000000" w:themeColor="text1"/>
                <w:spacing w:val="-4"/>
                <w:lang w:val="en-GB"/>
              </w:rPr>
              <w:t xml:space="preserve"> in the CR in Q1</w:t>
            </w:r>
            <w:r w:rsidR="00A45CED" w:rsidRPr="00A17559">
              <w:rPr>
                <w:color w:val="000000" w:themeColor="text1"/>
                <w:spacing w:val="-4"/>
                <w:lang w:val="en-GB"/>
              </w:rPr>
              <w:t xml:space="preserve">, </w:t>
            </w:r>
            <w:r w:rsidR="004B6158" w:rsidRPr="00A17559">
              <w:rPr>
                <w:color w:val="000000" w:themeColor="text1"/>
                <w:spacing w:val="-4"/>
                <w:lang w:val="en-GB"/>
              </w:rPr>
              <w:t xml:space="preserve">it showed nearly balanced budget also in the same period of the last year. </w:t>
            </w:r>
            <w:r w:rsidR="002C4214" w:rsidRPr="00A17559">
              <w:rPr>
                <w:color w:val="000000" w:themeColor="text1"/>
                <w:spacing w:val="-4"/>
                <w:lang w:val="en-GB"/>
              </w:rPr>
              <w:t xml:space="preserve">Balance of central government institutions budget worsened by </w:t>
            </w:r>
            <w:r w:rsidR="00A45CED" w:rsidRPr="00A17559">
              <w:rPr>
                <w:color w:val="000000" w:themeColor="text1"/>
                <w:spacing w:val="-4"/>
                <w:lang w:val="en-GB"/>
              </w:rPr>
              <w:t>9</w:t>
            </w:r>
            <w:r w:rsidR="002C4214" w:rsidRPr="00A17559">
              <w:rPr>
                <w:color w:val="000000" w:themeColor="text1"/>
                <w:spacing w:val="-4"/>
                <w:lang w:val="en-GB"/>
              </w:rPr>
              <w:t>.</w:t>
            </w:r>
            <w:r w:rsidR="00A45CED" w:rsidRPr="00A17559">
              <w:rPr>
                <w:color w:val="000000" w:themeColor="text1"/>
                <w:spacing w:val="-4"/>
                <w:lang w:val="en-GB"/>
              </w:rPr>
              <w:t>6</w:t>
            </w:r>
            <w:r w:rsidR="002C4214" w:rsidRPr="00A17559">
              <w:rPr>
                <w:color w:val="000000" w:themeColor="text1"/>
                <w:spacing w:val="-4"/>
                <w:lang w:val="en-GB"/>
              </w:rPr>
              <w:t xml:space="preserve"> CZK bn year-on-year </w:t>
            </w:r>
            <w:r w:rsidR="002F1B09" w:rsidRPr="00A17559">
              <w:rPr>
                <w:color w:val="000000" w:themeColor="text1"/>
                <w:spacing w:val="-4"/>
                <w:lang w:val="en-GB"/>
              </w:rPr>
              <w:t>a</w:t>
            </w:r>
            <w:r w:rsidR="002C4214" w:rsidRPr="00A17559">
              <w:rPr>
                <w:color w:val="000000" w:themeColor="text1"/>
                <w:spacing w:val="-4"/>
                <w:lang w:val="en-GB"/>
              </w:rPr>
              <w:t xml:space="preserve">nd finished </w:t>
            </w:r>
            <w:r w:rsidR="002C4214" w:rsidRPr="00A17559">
              <w:rPr>
                <w:color w:val="000000" w:themeColor="text1"/>
                <w:spacing w:val="-4"/>
                <w:lang w:val="en-GB"/>
              </w:rPr>
              <w:lastRenderedPageBreak/>
              <w:t>in</w:t>
            </w:r>
            <w:r w:rsidR="002F1B09" w:rsidRPr="00A17559">
              <w:rPr>
                <w:color w:val="000000" w:themeColor="text1"/>
                <w:spacing w:val="-4"/>
                <w:lang w:val="en-GB"/>
              </w:rPr>
              <w:t> </w:t>
            </w:r>
            <w:r w:rsidR="00A45CED" w:rsidRPr="00A17559">
              <w:rPr>
                <w:color w:val="000000" w:themeColor="text1"/>
                <w:spacing w:val="-4"/>
                <w:lang w:val="en-GB"/>
              </w:rPr>
              <w:t>26</w:t>
            </w:r>
            <w:r w:rsidR="002C4214" w:rsidRPr="00A17559">
              <w:rPr>
                <w:color w:val="000000" w:themeColor="text1"/>
                <w:spacing w:val="-4"/>
                <w:lang w:val="en-GB"/>
              </w:rPr>
              <w:t>.</w:t>
            </w:r>
            <w:r w:rsidR="00A45CED" w:rsidRPr="00A17559">
              <w:rPr>
                <w:color w:val="000000" w:themeColor="text1"/>
                <w:spacing w:val="-4"/>
                <w:lang w:val="en-GB"/>
              </w:rPr>
              <w:t>1</w:t>
            </w:r>
            <w:r w:rsidR="00003FD3" w:rsidRPr="00A17559">
              <w:rPr>
                <w:color w:val="000000" w:themeColor="text1"/>
                <w:spacing w:val="-4"/>
                <w:lang w:val="en-GB"/>
              </w:rPr>
              <w:t> </w:t>
            </w:r>
            <w:r w:rsidR="00003FD3">
              <w:rPr>
                <w:color w:val="000000" w:themeColor="text1"/>
                <w:spacing w:val="-4"/>
                <w:lang w:val="en-GB"/>
              </w:rPr>
              <w:t>bn deficit, while the loc</w:t>
            </w:r>
            <w:r w:rsidR="002C4214" w:rsidRPr="00A17559">
              <w:rPr>
                <w:color w:val="000000" w:themeColor="text1"/>
                <w:spacing w:val="-4"/>
                <w:lang w:val="en-GB"/>
              </w:rPr>
              <w:t xml:space="preserve">al government institutions budgeted with a surplus of </w:t>
            </w:r>
            <w:r w:rsidR="00A45CED" w:rsidRPr="00A17559">
              <w:rPr>
                <w:color w:val="000000" w:themeColor="text1"/>
                <w:spacing w:val="-4"/>
                <w:lang w:val="en-GB"/>
              </w:rPr>
              <w:t>20</w:t>
            </w:r>
            <w:r w:rsidR="002C4214" w:rsidRPr="00A17559">
              <w:rPr>
                <w:color w:val="000000" w:themeColor="text1"/>
                <w:spacing w:val="-4"/>
                <w:lang w:val="en-GB"/>
              </w:rPr>
              <w:t>.</w:t>
            </w:r>
            <w:r w:rsidR="00A45CED" w:rsidRPr="00A17559">
              <w:rPr>
                <w:color w:val="000000" w:themeColor="text1"/>
                <w:spacing w:val="-4"/>
                <w:lang w:val="en-GB"/>
              </w:rPr>
              <w:t>4</w:t>
            </w:r>
            <w:r w:rsidR="002C4214" w:rsidRPr="00A17559">
              <w:rPr>
                <w:color w:val="000000" w:themeColor="text1"/>
                <w:spacing w:val="-4"/>
                <w:lang w:val="en-GB"/>
              </w:rPr>
              <w:t xml:space="preserve"> CZK bn </w:t>
            </w:r>
            <w:r w:rsidR="00A45CED" w:rsidRPr="00A17559">
              <w:rPr>
                <w:color w:val="000000" w:themeColor="text1"/>
                <w:spacing w:val="-4"/>
                <w:lang w:val="en-GB"/>
              </w:rPr>
              <w:t>(</w:t>
            </w:r>
            <w:r w:rsidR="002C4214" w:rsidRPr="00A17559">
              <w:rPr>
                <w:color w:val="000000" w:themeColor="text1"/>
                <w:spacing w:val="-4"/>
                <w:lang w:val="en-GB"/>
              </w:rPr>
              <w:t xml:space="preserve">higher by </w:t>
            </w:r>
            <w:r w:rsidR="00A45CED" w:rsidRPr="00A17559">
              <w:rPr>
                <w:color w:val="000000" w:themeColor="text1"/>
                <w:spacing w:val="-4"/>
                <w:lang w:val="en-GB"/>
              </w:rPr>
              <w:t>6</w:t>
            </w:r>
            <w:r w:rsidR="002C4214" w:rsidRPr="00A17559">
              <w:rPr>
                <w:color w:val="000000" w:themeColor="text1"/>
                <w:spacing w:val="-4"/>
                <w:lang w:val="en-GB"/>
              </w:rPr>
              <w:t>.</w:t>
            </w:r>
            <w:r w:rsidR="00A45CED" w:rsidRPr="00A17559">
              <w:rPr>
                <w:color w:val="000000" w:themeColor="text1"/>
                <w:spacing w:val="-4"/>
                <w:lang w:val="en-GB"/>
              </w:rPr>
              <w:t>0</w:t>
            </w:r>
            <w:r w:rsidR="00403F57" w:rsidRPr="00A17559">
              <w:rPr>
                <w:color w:val="000000" w:themeColor="text1"/>
                <w:spacing w:val="-4"/>
                <w:lang w:val="en-GB"/>
              </w:rPr>
              <w:t> </w:t>
            </w:r>
            <w:r w:rsidR="002C4214" w:rsidRPr="00A17559">
              <w:rPr>
                <w:color w:val="000000" w:themeColor="text1"/>
                <w:spacing w:val="-4"/>
                <w:lang w:val="en-GB"/>
              </w:rPr>
              <w:t>bn year-on-year</w:t>
            </w:r>
            <w:r w:rsidR="00A45CED" w:rsidRPr="00A17559">
              <w:rPr>
                <w:color w:val="000000" w:themeColor="text1"/>
                <w:spacing w:val="-4"/>
                <w:lang w:val="en-GB"/>
              </w:rPr>
              <w:t>).</w:t>
            </w:r>
            <w:r w:rsidR="007E20A0" w:rsidRPr="00A17559">
              <w:rPr>
                <w:color w:val="000000" w:themeColor="text1"/>
                <w:spacing w:val="-4"/>
                <w:lang w:val="en-GB"/>
              </w:rPr>
              <w:t xml:space="preserve"> Budget of the social security funds </w:t>
            </w:r>
            <w:r w:rsidR="00A45CED" w:rsidRPr="00A17559">
              <w:rPr>
                <w:color w:val="000000" w:themeColor="text1"/>
                <w:spacing w:val="-4"/>
                <w:lang w:val="en-GB"/>
              </w:rPr>
              <w:t>(</w:t>
            </w:r>
            <w:r w:rsidR="007E20A0" w:rsidRPr="00A17559">
              <w:rPr>
                <w:color w:val="000000" w:themeColor="text1"/>
                <w:spacing w:val="-4"/>
                <w:lang w:val="en-GB"/>
              </w:rPr>
              <w:t>health insurance companies</w:t>
            </w:r>
            <w:r w:rsidR="00A45CED" w:rsidRPr="00A17559">
              <w:rPr>
                <w:color w:val="000000" w:themeColor="text1"/>
                <w:spacing w:val="-4"/>
                <w:lang w:val="en-GB"/>
              </w:rPr>
              <w:t xml:space="preserve">) </w:t>
            </w:r>
            <w:r w:rsidR="007E20A0" w:rsidRPr="00A17559">
              <w:rPr>
                <w:color w:val="000000" w:themeColor="text1"/>
                <w:spacing w:val="-4"/>
                <w:lang w:val="en-GB"/>
              </w:rPr>
              <w:t xml:space="preserve">did not change year-on-year and reached a surplus of </w:t>
            </w:r>
            <w:r w:rsidR="00A45CED" w:rsidRPr="00A17559">
              <w:rPr>
                <w:color w:val="000000" w:themeColor="text1"/>
                <w:spacing w:val="-4"/>
                <w:lang w:val="en-GB"/>
              </w:rPr>
              <w:t>3</w:t>
            </w:r>
            <w:r w:rsidR="007E20A0" w:rsidRPr="00A17559">
              <w:rPr>
                <w:color w:val="000000" w:themeColor="text1"/>
                <w:spacing w:val="-4"/>
                <w:lang w:val="en-GB"/>
              </w:rPr>
              <w:t>.</w:t>
            </w:r>
            <w:r w:rsidR="00A45CED" w:rsidRPr="00A17559">
              <w:rPr>
                <w:color w:val="000000" w:themeColor="text1"/>
                <w:spacing w:val="-4"/>
                <w:lang w:val="en-GB"/>
              </w:rPr>
              <w:t>4</w:t>
            </w:r>
            <w:r w:rsidR="007E20A0" w:rsidRPr="00A17559">
              <w:rPr>
                <w:color w:val="000000" w:themeColor="text1"/>
                <w:spacing w:val="-4"/>
                <w:lang w:val="en-GB"/>
              </w:rPr>
              <w:t xml:space="preserve"> CZK bn</w:t>
            </w:r>
            <w:r w:rsidR="00E55E1A" w:rsidRPr="00A17559">
              <w:rPr>
                <w:color w:val="000000" w:themeColor="text1"/>
                <w:spacing w:val="-4"/>
                <w:lang w:val="en-GB"/>
              </w:rPr>
              <w:t>.</w:t>
            </w:r>
          </w:p>
        </w:tc>
      </w:tr>
      <w:tr w:rsidR="00A45CED" w:rsidRPr="00A17559" w:rsidTr="000A3D9E">
        <w:trPr>
          <w:trHeight w:val="145"/>
        </w:trPr>
        <w:tc>
          <w:tcPr>
            <w:tcW w:w="1732" w:type="dxa"/>
            <w:tcBorders>
              <w:top w:val="nil"/>
              <w:left w:val="nil"/>
              <w:bottom w:val="nil"/>
              <w:right w:val="nil"/>
            </w:tcBorders>
            <w:shd w:val="clear" w:color="auto" w:fill="auto"/>
            <w:tcMar>
              <w:left w:w="0" w:type="dxa"/>
            </w:tcMar>
          </w:tcPr>
          <w:p w:rsidR="00A45CED" w:rsidRPr="00A17559" w:rsidRDefault="00BD5C0F" w:rsidP="00A45CED">
            <w:pPr>
              <w:pStyle w:val="Marginlie"/>
              <w:rPr>
                <w:spacing w:val="-3"/>
                <w:lang w:val="en-GB"/>
              </w:rPr>
            </w:pPr>
            <w:r w:rsidRPr="00A17559">
              <w:rPr>
                <w:spacing w:val="-3"/>
                <w:lang w:val="en-GB"/>
              </w:rPr>
              <w:lastRenderedPageBreak/>
              <w:t>The CR still maintained the position of</w:t>
            </w:r>
            <w:r w:rsidR="007E20A0" w:rsidRPr="00A17559">
              <w:rPr>
                <w:spacing w:val="-3"/>
                <w:lang w:val="en-GB"/>
              </w:rPr>
              <w:t xml:space="preserve">  </w:t>
            </w:r>
            <w:r w:rsidRPr="00A17559">
              <w:rPr>
                <w:spacing w:val="-3"/>
                <w:lang w:val="en-GB"/>
              </w:rPr>
              <w:t xml:space="preserve">fourth relatively least indebted EU economy. </w:t>
            </w:r>
          </w:p>
          <w:p w:rsidR="00A45CED" w:rsidRPr="00A17559" w:rsidRDefault="00A45CED" w:rsidP="00A45CED">
            <w:pPr>
              <w:pStyle w:val="Marginlie"/>
              <w:rPr>
                <w:spacing w:val="-3"/>
                <w:lang w:val="en-GB"/>
              </w:rPr>
            </w:pPr>
          </w:p>
          <w:p w:rsidR="00A45CED" w:rsidRPr="00A17559" w:rsidRDefault="00A45CED" w:rsidP="00A45CED">
            <w:pPr>
              <w:pStyle w:val="Marginlie"/>
              <w:rPr>
                <w:spacing w:val="-3"/>
                <w:lang w:val="en-GB"/>
              </w:rPr>
            </w:pPr>
          </w:p>
          <w:p w:rsidR="00A45CED" w:rsidRPr="00A17559" w:rsidRDefault="00A45CED" w:rsidP="00A45CED">
            <w:pPr>
              <w:pStyle w:val="Marginlie"/>
              <w:rPr>
                <w:spacing w:val="-3"/>
                <w:lang w:val="en-GB"/>
              </w:rPr>
            </w:pPr>
          </w:p>
          <w:p w:rsidR="00A45CED" w:rsidRPr="00A17559" w:rsidRDefault="00A45CED" w:rsidP="00A45CED">
            <w:pPr>
              <w:pStyle w:val="Marginlie"/>
              <w:rPr>
                <w:spacing w:val="-3"/>
                <w:lang w:val="en-GB"/>
              </w:rPr>
            </w:pPr>
          </w:p>
          <w:p w:rsidR="00A45CED" w:rsidRPr="00A17559" w:rsidRDefault="00864A6C" w:rsidP="00864A6C">
            <w:pPr>
              <w:pStyle w:val="Marginlie"/>
              <w:rPr>
                <w:lang w:val="en-GB"/>
              </w:rPr>
            </w:pPr>
            <w:r w:rsidRPr="00A17559">
              <w:rPr>
                <w:spacing w:val="-3"/>
                <w:lang w:val="en-GB"/>
              </w:rPr>
              <w:t xml:space="preserve">Lowering of the indebtedness </w:t>
            </w:r>
            <w:r w:rsidR="00D57B8D">
              <w:rPr>
                <w:spacing w:val="-3"/>
                <w:lang w:val="en-GB"/>
              </w:rPr>
              <w:t>rate manifests only very slow</w:t>
            </w:r>
            <w:r w:rsidR="00C13D0B">
              <w:rPr>
                <w:spacing w:val="-3"/>
                <w:lang w:val="en-GB"/>
              </w:rPr>
              <w:t>ly in EU</w:t>
            </w:r>
            <w:r w:rsidRPr="00A17559">
              <w:rPr>
                <w:spacing w:val="-3"/>
                <w:lang w:val="en-GB"/>
              </w:rPr>
              <w:t xml:space="preserve">, </w:t>
            </w:r>
            <w:r w:rsidR="007E20A0" w:rsidRPr="00A17559">
              <w:rPr>
                <w:spacing w:val="-3"/>
                <w:lang w:val="en-GB"/>
              </w:rPr>
              <w:t xml:space="preserve">despite persisting economic growth as well as considerable reduction of budget deficit. </w:t>
            </w:r>
          </w:p>
        </w:tc>
        <w:tc>
          <w:tcPr>
            <w:tcW w:w="217" w:type="dxa"/>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951A15" w:rsidP="00EA29D4">
            <w:pPr>
              <w:pStyle w:val="Textpoznpodarou"/>
              <w:spacing w:after="200" w:line="276" w:lineRule="auto"/>
              <w:jc w:val="both"/>
              <w:rPr>
                <w:rFonts w:cs="Arial"/>
                <w:color w:val="0D0D0D" w:themeColor="text1" w:themeTint="F2"/>
                <w:spacing w:val="-4"/>
                <w:lang w:val="en-GB"/>
              </w:rPr>
            </w:pPr>
            <w:r w:rsidRPr="00A17559">
              <w:rPr>
                <w:color w:val="000000" w:themeColor="text1"/>
                <w:spacing w:val="-4"/>
                <w:lang w:val="en-GB"/>
              </w:rPr>
              <w:t xml:space="preserve">The Czech Republic </w:t>
            </w:r>
            <w:r w:rsidR="003C257A" w:rsidRPr="00A17559">
              <w:rPr>
                <w:color w:val="000000" w:themeColor="text1"/>
                <w:spacing w:val="-4"/>
                <w:lang w:val="en-GB"/>
              </w:rPr>
              <w:t xml:space="preserve">ranked </w:t>
            </w:r>
            <w:r w:rsidR="00EA29D4" w:rsidRPr="00A17559">
              <w:rPr>
                <w:color w:val="000000" w:themeColor="text1"/>
                <w:spacing w:val="-4"/>
                <w:lang w:val="en-GB"/>
              </w:rPr>
              <w:t xml:space="preserve">the </w:t>
            </w:r>
            <w:r w:rsidR="003C257A" w:rsidRPr="00A17559">
              <w:rPr>
                <w:color w:val="000000" w:themeColor="text1"/>
                <w:spacing w:val="-4"/>
                <w:lang w:val="en-GB"/>
              </w:rPr>
              <w:t>fourth relatively least indebted EU state at the end of Q</w:t>
            </w:r>
            <w:r w:rsidR="00A45CED" w:rsidRPr="00A17559">
              <w:rPr>
                <w:color w:val="000000" w:themeColor="text1"/>
                <w:spacing w:val="-4"/>
                <w:lang w:val="en-GB"/>
              </w:rPr>
              <w:t>1</w:t>
            </w:r>
            <w:r w:rsidR="003C257A" w:rsidRPr="00A17559">
              <w:rPr>
                <w:color w:val="000000" w:themeColor="text1"/>
                <w:spacing w:val="-4"/>
                <w:lang w:val="en-GB"/>
              </w:rPr>
              <w:t xml:space="preserve"> </w:t>
            </w:r>
            <w:r w:rsidR="00A45CED" w:rsidRPr="00A17559">
              <w:rPr>
                <w:color w:val="000000" w:themeColor="text1"/>
                <w:spacing w:val="-4"/>
                <w:lang w:val="en-GB"/>
              </w:rPr>
              <w:t>2019</w:t>
            </w:r>
            <w:r w:rsidR="003C257A" w:rsidRPr="00A17559">
              <w:rPr>
                <w:color w:val="000000" w:themeColor="text1"/>
                <w:spacing w:val="-4"/>
                <w:lang w:val="en-GB"/>
              </w:rPr>
              <w:t xml:space="preserve">. Only small economies of Estonia </w:t>
            </w:r>
            <w:r w:rsidR="00A45CED" w:rsidRPr="00A17559">
              <w:rPr>
                <w:color w:val="000000" w:themeColor="text1"/>
                <w:spacing w:val="-4"/>
                <w:lang w:val="en-GB"/>
              </w:rPr>
              <w:t>(8</w:t>
            </w:r>
            <w:r w:rsidR="00864A6C" w:rsidRPr="00A17559">
              <w:rPr>
                <w:color w:val="000000" w:themeColor="text1"/>
                <w:spacing w:val="-4"/>
                <w:lang w:val="en-GB"/>
              </w:rPr>
              <w:t>.</w:t>
            </w:r>
            <w:r w:rsidR="00A45CED" w:rsidRPr="00A17559">
              <w:rPr>
                <w:color w:val="000000" w:themeColor="text1"/>
                <w:spacing w:val="-4"/>
                <w:lang w:val="en-GB"/>
              </w:rPr>
              <w:t>1</w:t>
            </w:r>
            <w:r w:rsidR="00403F57" w:rsidRPr="00A17559">
              <w:rPr>
                <w:color w:val="000000" w:themeColor="text1"/>
                <w:spacing w:val="-4"/>
                <w:lang w:val="en-GB"/>
              </w:rPr>
              <w:t>%</w:t>
            </w:r>
            <w:r w:rsidR="00A45CED" w:rsidRPr="00A17559">
              <w:rPr>
                <w:color w:val="000000" w:themeColor="text1"/>
                <w:spacing w:val="-4"/>
                <w:lang w:val="en-GB"/>
              </w:rPr>
              <w:t>) a</w:t>
            </w:r>
            <w:r w:rsidR="00864A6C" w:rsidRPr="00A17559">
              <w:rPr>
                <w:color w:val="000000" w:themeColor="text1"/>
                <w:spacing w:val="-4"/>
                <w:lang w:val="en-GB"/>
              </w:rPr>
              <w:t xml:space="preserve">nd Luxembourg </w:t>
            </w:r>
            <w:r w:rsidR="00A45CED" w:rsidRPr="00A17559">
              <w:rPr>
                <w:color w:val="000000" w:themeColor="text1"/>
                <w:spacing w:val="-4"/>
                <w:lang w:val="en-GB"/>
              </w:rPr>
              <w:t>(21</w:t>
            </w:r>
            <w:r w:rsidR="00864A6C" w:rsidRPr="00A17559">
              <w:rPr>
                <w:color w:val="000000" w:themeColor="text1"/>
                <w:spacing w:val="-4"/>
                <w:lang w:val="en-GB"/>
              </w:rPr>
              <w:t>.</w:t>
            </w:r>
            <w:r w:rsidR="00A45CED" w:rsidRPr="00A17559">
              <w:rPr>
                <w:color w:val="000000" w:themeColor="text1"/>
                <w:spacing w:val="-4"/>
                <w:lang w:val="en-GB"/>
              </w:rPr>
              <w:t>3</w:t>
            </w:r>
            <w:r w:rsidR="00403F57" w:rsidRPr="00A17559">
              <w:rPr>
                <w:color w:val="000000" w:themeColor="text1"/>
                <w:spacing w:val="-4"/>
                <w:lang w:val="en-GB"/>
              </w:rPr>
              <w:t>%</w:t>
            </w:r>
            <w:r w:rsidR="00A45CED" w:rsidRPr="00A17559">
              <w:rPr>
                <w:color w:val="000000" w:themeColor="text1"/>
                <w:spacing w:val="-4"/>
                <w:lang w:val="en-GB"/>
              </w:rPr>
              <w:t>)</w:t>
            </w:r>
            <w:r w:rsidR="00237D82">
              <w:rPr>
                <w:color w:val="000000" w:themeColor="text1"/>
                <w:spacing w:val="-4"/>
                <w:lang w:val="en-GB"/>
              </w:rPr>
              <w:t xml:space="preserve"> recorded markedly</w:t>
            </w:r>
            <w:r w:rsidR="007D1D05">
              <w:rPr>
                <w:color w:val="000000" w:themeColor="text1"/>
                <w:spacing w:val="-4"/>
                <w:lang w:val="en-GB"/>
              </w:rPr>
              <w:t xml:space="preserve"> favourable figure</w:t>
            </w:r>
            <w:r w:rsidR="003C257A" w:rsidRPr="00A17559">
              <w:rPr>
                <w:color w:val="000000" w:themeColor="text1"/>
                <w:spacing w:val="-4"/>
                <w:lang w:val="en-GB"/>
              </w:rPr>
              <w:t>s.</w:t>
            </w:r>
            <w:r w:rsidR="00864A6C" w:rsidRPr="00A17559">
              <w:rPr>
                <w:color w:val="000000" w:themeColor="text1"/>
                <w:spacing w:val="-4"/>
                <w:lang w:val="en-GB"/>
              </w:rPr>
              <w:t xml:space="preserve"> </w:t>
            </w:r>
            <w:r w:rsidR="00C0636C" w:rsidRPr="00A17559">
              <w:rPr>
                <w:color w:val="000000" w:themeColor="text1"/>
                <w:spacing w:val="-4"/>
                <w:lang w:val="en-GB"/>
              </w:rPr>
              <w:t xml:space="preserve">Further five countries reached a similar indebtedness level as the CR. Indebtedness of the whole Union was </w:t>
            </w:r>
            <w:r w:rsidR="00A45CED" w:rsidRPr="00A17559">
              <w:rPr>
                <w:color w:val="000000" w:themeColor="text1"/>
                <w:spacing w:val="-4"/>
                <w:lang w:val="en-GB"/>
              </w:rPr>
              <w:t>80</w:t>
            </w:r>
            <w:r w:rsidR="00C0636C" w:rsidRPr="00A17559">
              <w:rPr>
                <w:color w:val="000000" w:themeColor="text1"/>
                <w:spacing w:val="-4"/>
                <w:lang w:val="en-GB"/>
              </w:rPr>
              <w:t>.</w:t>
            </w:r>
            <w:r w:rsidR="00A45CED" w:rsidRPr="00A17559">
              <w:rPr>
                <w:color w:val="000000" w:themeColor="text1"/>
                <w:spacing w:val="-4"/>
                <w:lang w:val="en-GB"/>
              </w:rPr>
              <w:t>7</w:t>
            </w:r>
            <w:r w:rsidR="00403F57" w:rsidRPr="00A17559">
              <w:rPr>
                <w:color w:val="000000" w:themeColor="text1"/>
                <w:spacing w:val="-4"/>
                <w:lang w:val="en-GB"/>
              </w:rPr>
              <w:t>%</w:t>
            </w:r>
            <w:r w:rsidR="00C0636C" w:rsidRPr="00A17559">
              <w:rPr>
                <w:color w:val="000000" w:themeColor="text1"/>
                <w:spacing w:val="-4"/>
                <w:lang w:val="en-GB"/>
              </w:rPr>
              <w:t xml:space="preserve"> of GDP and did not reduce quarter-on-quarter for the first time since the beginning of year 2</w:t>
            </w:r>
            <w:r w:rsidR="00A45CED" w:rsidRPr="00A17559">
              <w:rPr>
                <w:color w:val="000000" w:themeColor="text1"/>
                <w:spacing w:val="-4"/>
                <w:lang w:val="en-GB"/>
              </w:rPr>
              <w:t>017</w:t>
            </w:r>
            <w:r w:rsidR="00C0636C" w:rsidRPr="00A17559">
              <w:rPr>
                <w:color w:val="000000" w:themeColor="text1"/>
                <w:spacing w:val="-4"/>
                <w:lang w:val="en-GB"/>
              </w:rPr>
              <w:t xml:space="preserve">. Small positive shift at the level of the whole Union is the result of prevailing high indebtedness of the majority of significant EU economies </w:t>
            </w:r>
            <w:r w:rsidR="00A45CED" w:rsidRPr="00A17559">
              <w:rPr>
                <w:color w:val="000000" w:themeColor="text1"/>
                <w:spacing w:val="-4"/>
                <w:lang w:val="en-GB"/>
              </w:rPr>
              <w:t>(</w:t>
            </w:r>
            <w:r w:rsidR="00C0636C" w:rsidRPr="00A17559">
              <w:rPr>
                <w:color w:val="000000" w:themeColor="text1"/>
                <w:spacing w:val="-4"/>
                <w:lang w:val="en-GB"/>
              </w:rPr>
              <w:t>apart from Germany</w:t>
            </w:r>
            <w:r w:rsidR="00A45CED" w:rsidRPr="00A17559">
              <w:rPr>
                <w:color w:val="000000" w:themeColor="text1"/>
                <w:spacing w:val="-4"/>
                <w:lang w:val="en-GB"/>
              </w:rPr>
              <w:t xml:space="preserve">). </w:t>
            </w:r>
            <w:r w:rsidR="00C0636C" w:rsidRPr="00A17559">
              <w:rPr>
                <w:color w:val="000000" w:themeColor="text1"/>
                <w:spacing w:val="-4"/>
                <w:lang w:val="en-GB"/>
              </w:rPr>
              <w:t xml:space="preserve">Indebtedness slightly enlarged in five EU countries year-on-year, beside others in Italy </w:t>
            </w:r>
            <w:r w:rsidR="00A45CED" w:rsidRPr="00A17559">
              <w:rPr>
                <w:color w:val="000000" w:themeColor="text1"/>
                <w:spacing w:val="-4"/>
                <w:lang w:val="en-GB"/>
              </w:rPr>
              <w:t>(</w:t>
            </w:r>
            <w:r w:rsidR="00C0636C" w:rsidRPr="00A17559">
              <w:rPr>
                <w:color w:val="000000" w:themeColor="text1"/>
                <w:spacing w:val="-4"/>
                <w:lang w:val="en-GB"/>
              </w:rPr>
              <w:t>to 1</w:t>
            </w:r>
            <w:r w:rsidR="00A45CED" w:rsidRPr="00A17559">
              <w:rPr>
                <w:color w:val="000000" w:themeColor="text1"/>
                <w:spacing w:val="-4"/>
                <w:lang w:val="en-GB"/>
              </w:rPr>
              <w:t>34</w:t>
            </w:r>
            <w:r w:rsidR="00C0636C" w:rsidRPr="00A17559">
              <w:rPr>
                <w:color w:val="000000" w:themeColor="text1"/>
                <w:spacing w:val="-4"/>
                <w:lang w:val="en-GB"/>
              </w:rPr>
              <w:t>.</w:t>
            </w:r>
            <w:r w:rsidR="00A45CED" w:rsidRPr="00A17559">
              <w:rPr>
                <w:color w:val="000000" w:themeColor="text1"/>
                <w:spacing w:val="-4"/>
                <w:lang w:val="en-GB"/>
              </w:rPr>
              <w:t>0</w:t>
            </w:r>
            <w:r w:rsidR="00403F57" w:rsidRPr="00A17559">
              <w:rPr>
                <w:color w:val="000000" w:themeColor="text1"/>
                <w:spacing w:val="-4"/>
                <w:lang w:val="en-GB"/>
              </w:rPr>
              <w:t>%</w:t>
            </w:r>
            <w:r w:rsidR="00A45CED" w:rsidRPr="00A17559">
              <w:rPr>
                <w:color w:val="000000" w:themeColor="text1"/>
                <w:spacing w:val="-4"/>
                <w:lang w:val="en-GB"/>
              </w:rPr>
              <w:t>),</w:t>
            </w:r>
            <w:r w:rsidR="00C0636C" w:rsidRPr="00A17559">
              <w:rPr>
                <w:color w:val="000000" w:themeColor="text1"/>
                <w:spacing w:val="-4"/>
                <w:lang w:val="en-GB"/>
              </w:rPr>
              <w:t xml:space="preserve"> France </w:t>
            </w:r>
            <w:r w:rsidR="00A45CED" w:rsidRPr="00A17559">
              <w:rPr>
                <w:color w:val="000000" w:themeColor="text1"/>
                <w:spacing w:val="-4"/>
                <w:lang w:val="en-GB"/>
              </w:rPr>
              <w:t>(99</w:t>
            </w:r>
            <w:r w:rsidR="00C0636C" w:rsidRPr="00A17559">
              <w:rPr>
                <w:color w:val="000000" w:themeColor="text1"/>
                <w:spacing w:val="-4"/>
                <w:lang w:val="en-GB"/>
              </w:rPr>
              <w:t>.</w:t>
            </w:r>
            <w:r w:rsidR="00A45CED" w:rsidRPr="00A17559">
              <w:rPr>
                <w:color w:val="000000" w:themeColor="text1"/>
                <w:spacing w:val="-4"/>
                <w:lang w:val="en-GB"/>
              </w:rPr>
              <w:t>7</w:t>
            </w:r>
            <w:r w:rsidR="00403F57" w:rsidRPr="00A17559">
              <w:rPr>
                <w:color w:val="000000" w:themeColor="text1"/>
                <w:spacing w:val="-4"/>
                <w:lang w:val="en-GB"/>
              </w:rPr>
              <w:t>%</w:t>
            </w:r>
            <w:r w:rsidR="00A45CED" w:rsidRPr="00A17559">
              <w:rPr>
                <w:color w:val="000000" w:themeColor="text1"/>
                <w:spacing w:val="-4"/>
                <w:lang w:val="en-GB"/>
              </w:rPr>
              <w:t>)</w:t>
            </w:r>
            <w:r w:rsidR="00C0636C" w:rsidRPr="00A17559">
              <w:rPr>
                <w:color w:val="000000" w:themeColor="text1"/>
                <w:spacing w:val="-4"/>
                <w:lang w:val="en-GB"/>
              </w:rPr>
              <w:t xml:space="preserve"> and Greece </w:t>
            </w:r>
            <w:r w:rsidR="00A45CED" w:rsidRPr="00A17559">
              <w:rPr>
                <w:color w:val="000000" w:themeColor="text1"/>
                <w:spacing w:val="-4"/>
                <w:lang w:val="en-GB"/>
              </w:rPr>
              <w:t>(181</w:t>
            </w:r>
            <w:r w:rsidR="00C0636C" w:rsidRPr="00A17559">
              <w:rPr>
                <w:color w:val="000000" w:themeColor="text1"/>
                <w:spacing w:val="-4"/>
                <w:lang w:val="en-GB"/>
              </w:rPr>
              <w:t>.</w:t>
            </w:r>
            <w:r w:rsidR="00A45CED" w:rsidRPr="00A17559">
              <w:rPr>
                <w:color w:val="000000" w:themeColor="text1"/>
                <w:spacing w:val="-4"/>
                <w:lang w:val="en-GB"/>
              </w:rPr>
              <w:t>9</w:t>
            </w:r>
            <w:r w:rsidR="00403F57" w:rsidRPr="00A17559">
              <w:rPr>
                <w:color w:val="000000" w:themeColor="text1"/>
                <w:spacing w:val="-4"/>
                <w:lang w:val="en-GB"/>
              </w:rPr>
              <w:t>%</w:t>
            </w:r>
            <w:r w:rsidR="00A45CED" w:rsidRPr="00A17559">
              <w:rPr>
                <w:color w:val="000000" w:themeColor="text1"/>
                <w:spacing w:val="-4"/>
                <w:lang w:val="en-GB"/>
              </w:rPr>
              <w:t xml:space="preserve">). </w:t>
            </w:r>
            <w:r w:rsidR="0078260D" w:rsidRPr="00A17559">
              <w:rPr>
                <w:color w:val="000000" w:themeColor="text1"/>
                <w:spacing w:val="-4"/>
                <w:lang w:val="en-GB"/>
              </w:rPr>
              <w:t>Only</w:t>
            </w:r>
            <w:r w:rsidR="0078260D" w:rsidRPr="00A17559">
              <w:rPr>
                <w:rFonts w:cs="Arial"/>
                <w:color w:val="0D0D0D" w:themeColor="text1" w:themeTint="F2"/>
                <w:spacing w:val="-4"/>
                <w:lang w:val="en-GB"/>
              </w:rPr>
              <w:t xml:space="preserve"> less than half of the euro area members complied with the Maastricht deficit criterion at the level of 60% of GDP at the beginning of the year, only the Netherlands among the larger economies. </w:t>
            </w:r>
            <w:r w:rsidR="00332378" w:rsidRPr="00A17559">
              <w:rPr>
                <w:rFonts w:cs="Arial"/>
                <w:color w:val="0D0D0D" w:themeColor="text1" w:themeTint="F2"/>
                <w:spacing w:val="-4"/>
                <w:lang w:val="en-GB"/>
              </w:rPr>
              <w:t>Enduring economic growth was favourably reflected in the balance of the government institutions sector budget in the Union</w:t>
            </w:r>
            <w:r w:rsidR="00A45CED" w:rsidRPr="00A17559">
              <w:rPr>
                <w:rFonts w:cs="Arial"/>
                <w:color w:val="0D0D0D" w:themeColor="text1" w:themeTint="F2"/>
                <w:spacing w:val="-4"/>
                <w:lang w:val="en-GB"/>
              </w:rPr>
              <w:t xml:space="preserve">. </w:t>
            </w:r>
            <w:r w:rsidR="00332378" w:rsidRPr="00A17559">
              <w:rPr>
                <w:rFonts w:cs="Arial"/>
                <w:color w:val="0D0D0D" w:themeColor="text1" w:themeTint="F2"/>
                <w:spacing w:val="-4"/>
                <w:lang w:val="en-GB"/>
              </w:rPr>
              <w:t xml:space="preserve">It totalled </w:t>
            </w:r>
            <w:r w:rsidR="00A45CED" w:rsidRPr="00A17559">
              <w:rPr>
                <w:rFonts w:cs="Arial"/>
                <w:color w:val="0D0D0D" w:themeColor="text1" w:themeTint="F2"/>
                <w:spacing w:val="-4"/>
                <w:lang w:val="en-GB"/>
              </w:rPr>
              <w:t>(</w:t>
            </w:r>
            <w:r w:rsidR="00332378" w:rsidRPr="00A17559">
              <w:rPr>
                <w:rFonts w:cs="Arial"/>
                <w:color w:val="0D0D0D" w:themeColor="text1" w:themeTint="F2"/>
                <w:spacing w:val="-4"/>
                <w:lang w:val="en-GB"/>
              </w:rPr>
              <w:t>after adjustment for seasonal and calendar effects</w:t>
            </w:r>
            <w:r w:rsidR="00A45CED" w:rsidRPr="00A17559">
              <w:rPr>
                <w:rFonts w:cs="Arial"/>
                <w:color w:val="0D0D0D" w:themeColor="text1" w:themeTint="F2"/>
                <w:spacing w:val="-4"/>
                <w:lang w:val="en-GB"/>
              </w:rPr>
              <w:t>)</w:t>
            </w:r>
            <w:r w:rsidR="00332378" w:rsidRPr="00A17559">
              <w:rPr>
                <w:rFonts w:cs="Arial"/>
                <w:color w:val="0D0D0D" w:themeColor="text1" w:themeTint="F2"/>
                <w:spacing w:val="-4"/>
                <w:lang w:val="en-GB"/>
              </w:rPr>
              <w:t xml:space="preserve"> only a shallow deficit </w:t>
            </w:r>
            <w:r w:rsidR="00A45CED" w:rsidRPr="00A17559">
              <w:rPr>
                <w:rFonts w:cs="Arial"/>
                <w:color w:val="0D0D0D" w:themeColor="text1" w:themeTint="F2"/>
                <w:spacing w:val="-4"/>
                <w:lang w:val="en-GB"/>
              </w:rPr>
              <w:t>(</w:t>
            </w:r>
            <w:r w:rsidR="00DB7486" w:rsidRPr="00A17559">
              <w:rPr>
                <w:rFonts w:cs="Arial"/>
                <w:color w:val="0D0D0D" w:themeColor="text1" w:themeTint="F2"/>
                <w:spacing w:val="-2"/>
                <w:lang w:val="en-GB"/>
              </w:rPr>
              <w:t>–</w:t>
            </w:r>
            <w:r w:rsidR="00A45CED" w:rsidRPr="00A17559">
              <w:rPr>
                <w:rFonts w:cs="Arial"/>
                <w:color w:val="0D0D0D" w:themeColor="text1" w:themeTint="F2"/>
                <w:spacing w:val="-4"/>
                <w:lang w:val="en-GB"/>
              </w:rPr>
              <w:t>0</w:t>
            </w:r>
            <w:r w:rsidR="00332378" w:rsidRPr="00A17559">
              <w:rPr>
                <w:rFonts w:cs="Arial"/>
                <w:color w:val="0D0D0D" w:themeColor="text1" w:themeTint="F2"/>
                <w:spacing w:val="-4"/>
                <w:lang w:val="en-GB"/>
              </w:rPr>
              <w:t>.</w:t>
            </w:r>
            <w:r w:rsidR="00A45CED" w:rsidRPr="00A17559">
              <w:rPr>
                <w:rFonts w:cs="Arial"/>
                <w:color w:val="0D0D0D" w:themeColor="text1" w:themeTint="F2"/>
                <w:spacing w:val="-4"/>
                <w:lang w:val="en-GB"/>
              </w:rPr>
              <w:t>6</w:t>
            </w:r>
            <w:r w:rsidR="00403F57" w:rsidRPr="00A17559">
              <w:rPr>
                <w:rFonts w:cs="Arial"/>
                <w:color w:val="0D0D0D" w:themeColor="text1" w:themeTint="F2"/>
                <w:spacing w:val="-4"/>
                <w:lang w:val="en-GB"/>
              </w:rPr>
              <w:t>%</w:t>
            </w:r>
            <w:r w:rsidR="00332378" w:rsidRPr="00A17559">
              <w:rPr>
                <w:rFonts w:cs="Arial"/>
                <w:color w:val="0D0D0D" w:themeColor="text1" w:themeTint="F2"/>
                <w:spacing w:val="-4"/>
                <w:lang w:val="en-GB"/>
              </w:rPr>
              <w:t xml:space="preserve"> of GDP</w:t>
            </w:r>
            <w:r w:rsidR="00A45CED" w:rsidRPr="00A17559">
              <w:rPr>
                <w:rFonts w:cs="Arial"/>
                <w:color w:val="0D0D0D" w:themeColor="text1" w:themeTint="F2"/>
                <w:spacing w:val="-4"/>
                <w:lang w:val="en-GB"/>
              </w:rPr>
              <w:t>)</w:t>
            </w:r>
            <w:r w:rsidR="00332378" w:rsidRPr="00A17559">
              <w:rPr>
                <w:rFonts w:cs="Arial"/>
                <w:color w:val="0D0D0D" w:themeColor="text1" w:themeTint="F2"/>
                <w:spacing w:val="-4"/>
                <w:lang w:val="en-GB"/>
              </w:rPr>
              <w:t xml:space="preserve"> in Q1 and moved at the level of the business cycle peak from years 2007 and 2008 already second year in a row. </w:t>
            </w:r>
            <w:r w:rsidR="00E426FA" w:rsidRPr="00A17559">
              <w:rPr>
                <w:rFonts w:cs="Arial"/>
                <w:color w:val="0D0D0D" w:themeColor="text1" w:themeTint="F2"/>
                <w:spacing w:val="-4"/>
                <w:lang w:val="en-GB"/>
              </w:rPr>
              <w:t xml:space="preserve">Twelve union members reported surplus this year, five recorded deficit in the excess of 3% of GDP </w:t>
            </w:r>
            <w:r w:rsidR="00A45CED" w:rsidRPr="00A17559">
              <w:rPr>
                <w:rFonts w:cs="Arial"/>
                <w:color w:val="0D0D0D" w:themeColor="text1" w:themeTint="F2"/>
                <w:spacing w:val="-4"/>
                <w:lang w:val="en-GB"/>
              </w:rPr>
              <w:t>–</w:t>
            </w:r>
            <w:r w:rsidR="004E57BF" w:rsidRPr="00A17559">
              <w:rPr>
                <w:rFonts w:cs="Arial"/>
                <w:color w:val="0D0D0D" w:themeColor="text1" w:themeTint="F2"/>
                <w:spacing w:val="-4"/>
                <w:lang w:val="en-GB"/>
              </w:rPr>
              <w:t> </w:t>
            </w:r>
            <w:r w:rsidR="00A45CED" w:rsidRPr="00A17559">
              <w:rPr>
                <w:rFonts w:cs="Arial"/>
                <w:color w:val="0D0D0D" w:themeColor="text1" w:themeTint="F2"/>
                <w:spacing w:val="-4"/>
                <w:lang w:val="en-GB"/>
              </w:rPr>
              <w:t>It</w:t>
            </w:r>
            <w:r w:rsidR="00D02651" w:rsidRPr="00A17559">
              <w:rPr>
                <w:rFonts w:cs="Arial"/>
                <w:color w:val="0D0D0D" w:themeColor="text1" w:themeTint="F2"/>
                <w:spacing w:val="-4"/>
                <w:lang w:val="en-GB"/>
              </w:rPr>
              <w:t>aly, France, Belgium and</w:t>
            </w:r>
            <w:r w:rsidR="00E8209B">
              <w:rPr>
                <w:rFonts w:cs="Arial"/>
                <w:color w:val="0D0D0D" w:themeColor="text1" w:themeTint="F2"/>
                <w:spacing w:val="-4"/>
                <w:lang w:val="en-GB"/>
              </w:rPr>
              <w:t xml:space="preserve"> Romania like in the</w:t>
            </w:r>
            <w:r w:rsidR="00D02651" w:rsidRPr="00A17559">
              <w:rPr>
                <w:rFonts w:cs="Arial"/>
                <w:color w:val="0D0D0D" w:themeColor="text1" w:themeTint="F2"/>
                <w:spacing w:val="-4"/>
                <w:lang w:val="en-GB"/>
              </w:rPr>
              <w:t xml:space="preserve"> Q1</w:t>
            </w:r>
            <w:r w:rsidR="00E8209B">
              <w:rPr>
                <w:rFonts w:cs="Arial"/>
                <w:color w:val="0D0D0D" w:themeColor="text1" w:themeTint="F2"/>
                <w:spacing w:val="-4"/>
                <w:lang w:val="en-GB"/>
              </w:rPr>
              <w:t xml:space="preserve"> 2018</w:t>
            </w:r>
            <w:r w:rsidR="00880A0E" w:rsidRPr="00A17559">
              <w:rPr>
                <w:rFonts w:cs="Arial"/>
                <w:color w:val="0D0D0D" w:themeColor="text1" w:themeTint="F2"/>
                <w:spacing w:val="-4"/>
                <w:lang w:val="en-GB"/>
              </w:rPr>
              <w:t>,</w:t>
            </w:r>
            <w:r w:rsidR="00D02651" w:rsidRPr="00A17559">
              <w:rPr>
                <w:rFonts w:cs="Arial"/>
                <w:color w:val="0D0D0D" w:themeColor="text1" w:themeTint="F2"/>
                <w:spacing w:val="-4"/>
                <w:lang w:val="en-GB"/>
              </w:rPr>
              <w:t xml:space="preserve"> Greece also joined this year. </w:t>
            </w:r>
          </w:p>
        </w:tc>
      </w:tr>
    </w:tbl>
    <w:p w:rsidR="00A50D73" w:rsidRPr="00A17559" w:rsidRDefault="00A50D73" w:rsidP="00E1444C">
      <w:pPr>
        <w:rPr>
          <w:sz w:val="2"/>
          <w:szCs w:val="2"/>
          <w:lang w:val="en-GB"/>
        </w:rPr>
      </w:pPr>
    </w:p>
    <w:sectPr w:rsidR="00A50D73" w:rsidRPr="00A17559" w:rsidSect="00A03B10">
      <w:headerReference w:type="even" r:id="rId27"/>
      <w:headerReference w:type="default" r:id="rId28"/>
      <w:footerReference w:type="even" r:id="rId29"/>
      <w:footerReference w:type="default" r:id="rId30"/>
      <w:pgSz w:w="11906" w:h="16838" w:code="9"/>
      <w:pgMar w:top="1134" w:right="1134" w:bottom="1418" w:left="1134" w:header="680" w:footer="73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60E42" w16cid:durableId="211A8B45"/>
  <w16cid:commentId w16cid:paraId="0353E24E" w16cid:durableId="211BEE38"/>
  <w16cid:commentId w16cid:paraId="1C386A8F" w16cid:durableId="211A9076"/>
  <w16cid:commentId w16cid:paraId="2A0C002C" w16cid:durableId="211A973A"/>
  <w16cid:commentId w16cid:paraId="706065F0" w16cid:durableId="211A91DA"/>
  <w16cid:commentId w16cid:paraId="22EE5AE9" w16cid:durableId="211B6626"/>
  <w16cid:commentId w16cid:paraId="6884C1E2" w16cid:durableId="211B675E"/>
  <w16cid:commentId w16cid:paraId="6C0EBCAF" w16cid:durableId="211B7A37"/>
  <w16cid:commentId w16cid:paraId="2CEF0B27" w16cid:durableId="211B750B"/>
  <w16cid:commentId w16cid:paraId="3634956F" w16cid:durableId="211BCF1B"/>
  <w16cid:commentId w16cid:paraId="07C1F79B" w16cid:durableId="211BEA3A"/>
  <w16cid:commentId w16cid:paraId="0D4FABC8" w16cid:durableId="211CBB71"/>
  <w16cid:commentId w16cid:paraId="76EE34F0" w16cid:durableId="211CB0AE"/>
  <w16cid:commentId w16cid:paraId="3E708163" w16cid:durableId="211CB1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9EE" w:rsidRDefault="00CE29EE" w:rsidP="00E71A58">
      <w:r>
        <w:separator/>
      </w:r>
    </w:p>
  </w:endnote>
  <w:endnote w:type="continuationSeparator" w:id="0">
    <w:p w:rsidR="00CE29EE" w:rsidRDefault="00CE29EE"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60000287" w:usb1="00000001"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Pr="00932443" w:rsidRDefault="00665624" w:rsidP="00A418BC">
    <w:pPr>
      <w:pStyle w:val="Zpat"/>
      <w:rPr>
        <w:szCs w:val="16"/>
      </w:rPr>
    </w:pPr>
    <w:r>
      <w:rPr>
        <w:szCs w:val="16"/>
        <w:lang w:eastAsia="cs-CZ"/>
      </w:rPr>
      <w:drawing>
        <wp:anchor distT="0" distB="0" distL="114300" distR="114300" simplePos="0" relativeHeight="251667968" behindDoc="0" locked="0" layoutInCell="1" allowOverlap="1" wp14:anchorId="2E2F047C" wp14:editId="5CCBCB0F">
          <wp:simplePos x="0" y="0"/>
          <wp:positionH relativeFrom="column">
            <wp:align>right</wp:align>
          </wp:positionH>
          <wp:positionV relativeFrom="paragraph">
            <wp:posOffset>-64770</wp:posOffset>
          </wp:positionV>
          <wp:extent cx="428625" cy="201295"/>
          <wp:effectExtent l="0" t="0" r="3175" b="1905"/>
          <wp:wrapNone/>
          <wp:docPr id="4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8A0C39">
      <w:rPr>
        <w:szCs w:val="16"/>
      </w:rPr>
      <w:t>14</w:t>
    </w:r>
    <w:r w:rsidRPr="00932443">
      <w:rPr>
        <w:szCs w:val="16"/>
      </w:rPr>
      <w:fldChar w:fldCharType="end"/>
    </w:r>
    <w:r w:rsidRPr="00932443">
      <w:rPr>
        <w:szCs w:val="16"/>
      </w:rPr>
      <w:tab/>
    </w:r>
    <w:r>
      <w:rPr>
        <w:szCs w:val="16"/>
      </w:rPr>
      <w:t>First half of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Pr="00932443" w:rsidRDefault="00665624" w:rsidP="00FA6CB6">
    <w:pPr>
      <w:pStyle w:val="Zpat"/>
      <w:rPr>
        <w:szCs w:val="16"/>
      </w:rPr>
    </w:pPr>
    <w:r w:rsidRPr="00FA6CB6">
      <w:rPr>
        <w:szCs w:val="16"/>
      </w:rPr>
      <w:tab/>
    </w:r>
    <w:r>
      <w:rPr>
        <w:szCs w:val="16"/>
      </w:rPr>
      <w:t xml:space="preserve">First half of </w:t>
    </w:r>
    <w:r>
      <w:rPr>
        <w:szCs w:val="16"/>
        <w:lang w:eastAsia="cs-CZ"/>
      </w:rPr>
      <w:drawing>
        <wp:anchor distT="0" distB="0" distL="114300" distR="114300" simplePos="0" relativeHeight="251658752" behindDoc="0" locked="0" layoutInCell="1" allowOverlap="1" wp14:anchorId="78509EBE" wp14:editId="47E6E033">
          <wp:simplePos x="0" y="0"/>
          <wp:positionH relativeFrom="column">
            <wp:align>left</wp:align>
          </wp:positionH>
          <wp:positionV relativeFrom="paragraph">
            <wp:posOffset>-122555</wp:posOffset>
          </wp:positionV>
          <wp:extent cx="510540" cy="272415"/>
          <wp:effectExtent l="0" t="0" r="0" b="6985"/>
          <wp:wrapNone/>
          <wp:docPr id="45"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t>019</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8A0C39">
      <w:rPr>
        <w:rStyle w:val="ZpatChar"/>
        <w:szCs w:val="16"/>
      </w:rPr>
      <w:t>13</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9EE" w:rsidRDefault="00CE29EE" w:rsidP="00A21B4D">
      <w:pPr>
        <w:spacing w:after="0"/>
      </w:pPr>
      <w:r>
        <w:separator/>
      </w:r>
    </w:p>
  </w:footnote>
  <w:footnote w:type="continuationSeparator" w:id="0">
    <w:p w:rsidR="00CE29EE" w:rsidRDefault="00CE29EE" w:rsidP="00E71A58">
      <w:r>
        <w:continuationSeparator/>
      </w:r>
    </w:p>
  </w:footnote>
  <w:footnote w:id="1">
    <w:p w:rsidR="00665624" w:rsidRPr="0021507A" w:rsidRDefault="00665624" w:rsidP="00ED7D0E">
      <w:pPr>
        <w:pStyle w:val="Textpoznpodarou"/>
        <w:jc w:val="both"/>
        <w:rPr>
          <w:sz w:val="16"/>
          <w:szCs w:val="16"/>
        </w:rPr>
      </w:pPr>
      <w:r w:rsidRPr="0021507A">
        <w:rPr>
          <w:rStyle w:val="Znakapoznpodarou"/>
          <w:sz w:val="16"/>
          <w:szCs w:val="16"/>
        </w:rPr>
        <w:footnoteRef/>
      </w:r>
      <w:r w:rsidRPr="0021507A">
        <w:rPr>
          <w:sz w:val="16"/>
          <w:szCs w:val="16"/>
        </w:rPr>
        <w:t xml:space="preserve"> </w:t>
      </w:r>
      <w:r>
        <w:rPr>
          <w:sz w:val="16"/>
          <w:szCs w:val="16"/>
          <w:lang w:val="en-GB"/>
        </w:rPr>
        <w:t xml:space="preserve">Data regarding the GDP, gross value added and their components are expressed in constant prices and adjusted for seasonal and calendar effects.  </w:t>
      </w:r>
    </w:p>
  </w:footnote>
  <w:footnote w:id="2">
    <w:p w:rsidR="00665624" w:rsidRPr="00B4223A" w:rsidRDefault="00665624" w:rsidP="00ED7D0E">
      <w:pPr>
        <w:pStyle w:val="Textpoznpodarou"/>
        <w:jc w:val="both"/>
        <w:rPr>
          <w:sz w:val="16"/>
          <w:szCs w:val="16"/>
        </w:rPr>
      </w:pPr>
      <w:r w:rsidRPr="00B4223A">
        <w:rPr>
          <w:rStyle w:val="Znakapoznpodarou"/>
          <w:sz w:val="16"/>
          <w:szCs w:val="16"/>
        </w:rPr>
        <w:footnoteRef/>
      </w:r>
      <w:r w:rsidRPr="00B4223A">
        <w:rPr>
          <w:sz w:val="16"/>
          <w:szCs w:val="16"/>
        </w:rPr>
        <w:t xml:space="preserve"> </w:t>
      </w:r>
      <w:r>
        <w:rPr>
          <w:sz w:val="16"/>
          <w:szCs w:val="16"/>
          <w:lang w:val="en-GB"/>
        </w:rPr>
        <w:t>Employment data are in the national accounts conception adjusted for seasonal effects.</w:t>
      </w:r>
    </w:p>
  </w:footnote>
  <w:footnote w:id="3">
    <w:p w:rsidR="00665624" w:rsidRPr="003E68E3" w:rsidRDefault="00665624" w:rsidP="003E68E3">
      <w:pPr>
        <w:pStyle w:val="Textpoznpodarou"/>
        <w:jc w:val="both"/>
        <w:rPr>
          <w:sz w:val="16"/>
          <w:szCs w:val="16"/>
          <w:lang w:val="en-GB"/>
        </w:rPr>
      </w:pPr>
      <w:r w:rsidRPr="00EF1EE3">
        <w:rPr>
          <w:rStyle w:val="Znakapoznpodarou"/>
          <w:sz w:val="16"/>
          <w:szCs w:val="16"/>
        </w:rPr>
        <w:footnoteRef/>
      </w:r>
      <w:r w:rsidRPr="00EF1EE3">
        <w:rPr>
          <w:sz w:val="16"/>
          <w:szCs w:val="16"/>
        </w:rPr>
        <w:t xml:space="preserve"> </w:t>
      </w:r>
      <w:r w:rsidRPr="003E68E3">
        <w:rPr>
          <w:sz w:val="16"/>
          <w:szCs w:val="16"/>
          <w:lang w:val="en-GB"/>
        </w:rPr>
        <w:t xml:space="preserve">The development of the GDP, gross value added and their components is expressed with the help of the volume indices (i.e. adjusted for changes in prices) and adjusted for seasonal and calendar effects. Data are valid as of </w:t>
      </w:r>
      <w:r>
        <w:rPr>
          <w:sz w:val="16"/>
          <w:szCs w:val="16"/>
          <w:lang w:val="en-GB"/>
        </w:rPr>
        <w:t>30</w:t>
      </w:r>
      <w:r w:rsidRPr="00FD0F85">
        <w:rPr>
          <w:sz w:val="16"/>
          <w:szCs w:val="16"/>
          <w:lang w:val="en-GB"/>
        </w:rPr>
        <w:t>th</w:t>
      </w:r>
      <w:r>
        <w:rPr>
          <w:sz w:val="16"/>
          <w:szCs w:val="16"/>
          <w:lang w:val="en-GB"/>
        </w:rPr>
        <w:t xml:space="preserve"> August </w:t>
      </w:r>
      <w:r w:rsidRPr="003E68E3">
        <w:rPr>
          <w:sz w:val="16"/>
          <w:szCs w:val="16"/>
          <w:lang w:val="en-GB"/>
        </w:rPr>
        <w:t xml:space="preserve">2019. </w:t>
      </w:r>
    </w:p>
  </w:footnote>
  <w:footnote w:id="4">
    <w:p w:rsidR="00665624" w:rsidRPr="003E68E3" w:rsidRDefault="00665624" w:rsidP="003E68E3">
      <w:pPr>
        <w:pStyle w:val="Textpoznpodarou"/>
        <w:jc w:val="both"/>
        <w:rPr>
          <w:sz w:val="16"/>
          <w:szCs w:val="16"/>
          <w:lang w:val="en-GB"/>
        </w:rPr>
      </w:pPr>
      <w:r w:rsidRPr="003E68E3">
        <w:rPr>
          <w:rStyle w:val="Znakapoznpodarou"/>
          <w:sz w:val="16"/>
          <w:szCs w:val="16"/>
          <w:lang w:val="en-GB"/>
        </w:rPr>
        <w:footnoteRef/>
      </w:r>
      <w:r w:rsidRPr="003E68E3">
        <w:rPr>
          <w:sz w:val="16"/>
          <w:szCs w:val="16"/>
          <w:lang w:val="en-GB"/>
        </w:rPr>
        <w:t xml:space="preserve"> Additions to the GDP change after exclusion of imports for final use.</w:t>
      </w:r>
    </w:p>
  </w:footnote>
  <w:footnote w:id="5">
    <w:p w:rsidR="00665624" w:rsidRPr="00946F8B" w:rsidRDefault="00665624" w:rsidP="00946F8B">
      <w:pPr>
        <w:pStyle w:val="Textpoznpodarou"/>
        <w:jc w:val="both"/>
        <w:rPr>
          <w:sz w:val="16"/>
          <w:szCs w:val="16"/>
          <w:lang w:val="en-GB"/>
        </w:rPr>
      </w:pPr>
      <w:r w:rsidRPr="00AF6B7C">
        <w:rPr>
          <w:rStyle w:val="Znakapoznpodarou"/>
          <w:sz w:val="16"/>
          <w:szCs w:val="16"/>
        </w:rPr>
        <w:footnoteRef/>
      </w:r>
      <w:r w:rsidRPr="00AF6B7C">
        <w:rPr>
          <w:sz w:val="16"/>
          <w:szCs w:val="16"/>
        </w:rPr>
        <w:t xml:space="preserve"> </w:t>
      </w:r>
      <w:r w:rsidRPr="00946F8B">
        <w:rPr>
          <w:sz w:val="16"/>
          <w:szCs w:val="16"/>
          <w:lang w:val="en-GB"/>
        </w:rPr>
        <w:t xml:space="preserve">Data for Bulgaria, Ireland, Greece, Cyprus, Luxembourg and Malta not available. </w:t>
      </w:r>
      <w:r>
        <w:rPr>
          <w:sz w:val="16"/>
          <w:szCs w:val="16"/>
          <w:lang w:val="en-GB"/>
        </w:rPr>
        <w:t xml:space="preserve">Data for </w:t>
      </w:r>
      <w:r w:rsidRPr="00946F8B">
        <w:rPr>
          <w:sz w:val="16"/>
          <w:szCs w:val="16"/>
          <w:lang w:val="en-GB"/>
        </w:rPr>
        <w:t xml:space="preserve">Slovakia are not adjusted for calendar effects. </w:t>
      </w:r>
    </w:p>
  </w:footnote>
  <w:footnote w:id="6">
    <w:p w:rsidR="00665624" w:rsidRPr="000906C3" w:rsidRDefault="00665624" w:rsidP="000906C3">
      <w:pPr>
        <w:pStyle w:val="Textpoznpodarou"/>
        <w:jc w:val="both"/>
        <w:rPr>
          <w:sz w:val="16"/>
          <w:szCs w:val="16"/>
          <w:lang w:val="en-GB"/>
        </w:rPr>
      </w:pPr>
      <w:r w:rsidRPr="00954992">
        <w:rPr>
          <w:rStyle w:val="Znakapoznpodarou"/>
          <w:sz w:val="16"/>
          <w:szCs w:val="16"/>
        </w:rPr>
        <w:footnoteRef/>
      </w:r>
      <w:r>
        <w:rPr>
          <w:sz w:val="16"/>
          <w:szCs w:val="16"/>
        </w:rPr>
        <w:t xml:space="preserve"> </w:t>
      </w:r>
      <w:r w:rsidRPr="000906C3">
        <w:rPr>
          <w:sz w:val="16"/>
          <w:szCs w:val="16"/>
          <w:lang w:val="en-GB"/>
        </w:rPr>
        <w:t xml:space="preserve">Data </w:t>
      </w:r>
      <w:r>
        <w:rPr>
          <w:sz w:val="16"/>
          <w:szCs w:val="16"/>
          <w:lang w:val="en-GB"/>
        </w:rPr>
        <w:t>r</w:t>
      </w:r>
      <w:r w:rsidRPr="000906C3">
        <w:rPr>
          <w:sz w:val="16"/>
          <w:szCs w:val="16"/>
          <w:lang w:val="en-GB"/>
        </w:rPr>
        <w:t>elated to consumption according to durability are in the domestic conception and not seasonally a</w:t>
      </w:r>
      <w:r>
        <w:rPr>
          <w:sz w:val="16"/>
          <w:szCs w:val="16"/>
          <w:lang w:val="en-GB"/>
        </w:rPr>
        <w:t>dj</w:t>
      </w:r>
      <w:r w:rsidRPr="000906C3">
        <w:rPr>
          <w:sz w:val="16"/>
          <w:szCs w:val="16"/>
          <w:lang w:val="en-GB"/>
        </w:rPr>
        <w:t xml:space="preserve">usted. </w:t>
      </w:r>
    </w:p>
  </w:footnote>
  <w:footnote w:id="7">
    <w:p w:rsidR="00665624" w:rsidRPr="000906C3" w:rsidRDefault="00665624" w:rsidP="000906C3">
      <w:pPr>
        <w:pStyle w:val="Textpoznpodarou"/>
        <w:jc w:val="both"/>
        <w:rPr>
          <w:lang w:val="en-GB"/>
        </w:rPr>
      </w:pPr>
      <w:r w:rsidRPr="000906C3">
        <w:rPr>
          <w:rStyle w:val="Znakapoznpodarou"/>
          <w:sz w:val="16"/>
          <w:szCs w:val="16"/>
          <w:lang w:val="en-GB"/>
        </w:rPr>
        <w:footnoteRef/>
      </w:r>
      <w:r w:rsidRPr="000906C3">
        <w:rPr>
          <w:sz w:val="16"/>
          <w:szCs w:val="16"/>
          <w:lang w:val="en-GB"/>
        </w:rPr>
        <w:t xml:space="preserve"> Employment in the national accounts conception, figure seasonally adjusted. </w:t>
      </w:r>
    </w:p>
  </w:footnote>
  <w:footnote w:id="8">
    <w:p w:rsidR="00665624" w:rsidRPr="000906C3" w:rsidRDefault="00665624" w:rsidP="000906C3">
      <w:pPr>
        <w:pStyle w:val="Textpoznpodarou"/>
        <w:jc w:val="both"/>
        <w:rPr>
          <w:sz w:val="16"/>
          <w:szCs w:val="16"/>
          <w:lang w:val="en-GB"/>
        </w:rPr>
      </w:pPr>
      <w:r w:rsidRPr="000906C3">
        <w:rPr>
          <w:rStyle w:val="Znakapoznpodarou"/>
          <w:sz w:val="16"/>
          <w:szCs w:val="16"/>
          <w:lang w:val="en-GB"/>
        </w:rPr>
        <w:footnoteRef/>
      </w:r>
      <w:r w:rsidRPr="000906C3">
        <w:rPr>
          <w:sz w:val="16"/>
          <w:szCs w:val="16"/>
          <w:lang w:val="en-GB"/>
        </w:rPr>
        <w:t xml:space="preserve"> Converted into the real expression using the deflator of final consumption expenditure of households.</w:t>
      </w:r>
    </w:p>
  </w:footnote>
  <w:footnote w:id="9">
    <w:p w:rsidR="00665624" w:rsidRPr="00F20FCA" w:rsidRDefault="00665624" w:rsidP="00F20FCA">
      <w:pPr>
        <w:pStyle w:val="Textpoznpodarou"/>
        <w:jc w:val="both"/>
        <w:rPr>
          <w:sz w:val="16"/>
          <w:szCs w:val="16"/>
          <w:lang w:val="en-GB"/>
        </w:rPr>
      </w:pPr>
      <w:r w:rsidRPr="0021552C">
        <w:rPr>
          <w:rStyle w:val="Znakapoznpodarou"/>
          <w:sz w:val="16"/>
          <w:szCs w:val="16"/>
        </w:rPr>
        <w:footnoteRef/>
      </w:r>
      <w:r w:rsidRPr="0021552C">
        <w:rPr>
          <w:sz w:val="16"/>
          <w:szCs w:val="16"/>
        </w:rPr>
        <w:t xml:space="preserve"> </w:t>
      </w:r>
      <w:r w:rsidRPr="00F20FCA">
        <w:rPr>
          <w:rFonts w:cs="Arial"/>
          <w:sz w:val="16"/>
          <w:szCs w:val="16"/>
          <w:lang w:val="en-GB"/>
        </w:rPr>
        <w:t xml:space="preserve">Data regarding the type classification of gross fixed capital formation are not seasonally adjusted. </w:t>
      </w:r>
    </w:p>
  </w:footnote>
  <w:footnote w:id="10">
    <w:p w:rsidR="00665624" w:rsidRPr="00F20FCA" w:rsidRDefault="00665624" w:rsidP="00F20FCA">
      <w:pPr>
        <w:pStyle w:val="Textpoznpodarou"/>
        <w:jc w:val="both"/>
        <w:rPr>
          <w:sz w:val="16"/>
          <w:szCs w:val="16"/>
          <w:lang w:val="en-GB"/>
        </w:rPr>
      </w:pPr>
      <w:r w:rsidRPr="00F20FCA">
        <w:rPr>
          <w:rStyle w:val="Znakapoznpodarou"/>
          <w:sz w:val="16"/>
          <w:szCs w:val="16"/>
          <w:lang w:val="en-GB"/>
        </w:rPr>
        <w:footnoteRef/>
      </w:r>
      <w:r w:rsidRPr="00F20FCA">
        <w:rPr>
          <w:sz w:val="16"/>
          <w:szCs w:val="16"/>
          <w:lang w:val="en-GB"/>
        </w:rPr>
        <w:t xml:space="preserve"> According to the methodology of quarterly national accounts (import and export in FOB/FOB prices).</w:t>
      </w:r>
    </w:p>
  </w:footnote>
  <w:footnote w:id="11">
    <w:p w:rsidR="00665624" w:rsidRPr="005D1511" w:rsidRDefault="00665624" w:rsidP="005D1511">
      <w:pPr>
        <w:pStyle w:val="Textpoznpodarou"/>
        <w:jc w:val="both"/>
        <w:rPr>
          <w:sz w:val="16"/>
          <w:szCs w:val="16"/>
          <w:lang w:val="en-GB"/>
        </w:rPr>
      </w:pPr>
      <w:r w:rsidRPr="00771972">
        <w:rPr>
          <w:rStyle w:val="Znakapoznpodarou"/>
          <w:sz w:val="16"/>
          <w:szCs w:val="16"/>
        </w:rPr>
        <w:footnoteRef/>
      </w:r>
      <w:r w:rsidRPr="00771972">
        <w:rPr>
          <w:sz w:val="16"/>
          <w:szCs w:val="16"/>
        </w:rPr>
        <w:t xml:space="preserve"> </w:t>
      </w:r>
      <w:r w:rsidRPr="005D1511">
        <w:rPr>
          <w:sz w:val="16"/>
          <w:szCs w:val="16"/>
          <w:lang w:val="en-GB"/>
        </w:rPr>
        <w:t xml:space="preserve">Public administration and defence, education, health and social work. </w:t>
      </w:r>
    </w:p>
  </w:footnote>
  <w:footnote w:id="12">
    <w:p w:rsidR="00665624" w:rsidRPr="00BB4E54" w:rsidRDefault="00665624" w:rsidP="00BB4E54">
      <w:pPr>
        <w:pStyle w:val="Textpoznpodarou"/>
        <w:jc w:val="both"/>
        <w:rPr>
          <w:rFonts w:cs="Arial"/>
          <w:color w:val="0D0D0D" w:themeColor="text1" w:themeTint="F2"/>
          <w:spacing w:val="-2"/>
          <w:sz w:val="16"/>
          <w:szCs w:val="16"/>
          <w:lang w:val="en-GB"/>
        </w:rPr>
      </w:pPr>
      <w:r w:rsidRPr="00FB58F4">
        <w:rPr>
          <w:rStyle w:val="Znakapoznpodarou"/>
          <w:rFonts w:cs="Arial"/>
          <w:color w:val="0D0D0D" w:themeColor="text1" w:themeTint="F2"/>
          <w:spacing w:val="-2"/>
          <w:sz w:val="16"/>
          <w:szCs w:val="16"/>
        </w:rPr>
        <w:footnoteRef/>
      </w:r>
      <w:r w:rsidRPr="00FB58F4">
        <w:rPr>
          <w:rFonts w:cs="Arial"/>
          <w:color w:val="0D0D0D" w:themeColor="text1" w:themeTint="F2"/>
          <w:spacing w:val="-2"/>
          <w:sz w:val="16"/>
          <w:szCs w:val="16"/>
        </w:rPr>
        <w:t xml:space="preserve"> </w:t>
      </w:r>
      <w:r w:rsidRPr="00BB4E54">
        <w:rPr>
          <w:rFonts w:cs="Arial"/>
          <w:color w:val="0D0D0D" w:themeColor="text1" w:themeTint="F2"/>
          <w:spacing w:val="-2"/>
          <w:sz w:val="16"/>
          <w:szCs w:val="16"/>
          <w:lang w:val="en-GB"/>
        </w:rPr>
        <w:t xml:space="preserve">GVA data are expressed in constant prices and adjusted for seasonal and calendar effects. </w:t>
      </w:r>
    </w:p>
  </w:footnote>
  <w:footnote w:id="13">
    <w:p w:rsidR="00665624" w:rsidRPr="00BB4E54" w:rsidRDefault="00665624" w:rsidP="00BB4E54">
      <w:pPr>
        <w:pStyle w:val="Textpoznpodarou"/>
        <w:jc w:val="both"/>
        <w:rPr>
          <w:rFonts w:cs="Arial"/>
          <w:color w:val="0D0D0D" w:themeColor="text1" w:themeTint="F2"/>
          <w:spacing w:val="-2"/>
          <w:sz w:val="16"/>
          <w:szCs w:val="16"/>
          <w:lang w:val="en-GB"/>
        </w:rPr>
      </w:pPr>
      <w:r w:rsidRPr="00BB4E54">
        <w:rPr>
          <w:rStyle w:val="Znakapoznpodarou"/>
          <w:rFonts w:cs="Arial"/>
          <w:color w:val="0D0D0D" w:themeColor="text1" w:themeTint="F2"/>
          <w:spacing w:val="-2"/>
          <w:sz w:val="16"/>
          <w:szCs w:val="16"/>
          <w:lang w:val="en-GB"/>
        </w:rPr>
        <w:footnoteRef/>
      </w:r>
      <w:r w:rsidRPr="00BB4E54">
        <w:rPr>
          <w:rFonts w:cs="Arial"/>
          <w:color w:val="0D0D0D" w:themeColor="text1" w:themeTint="F2"/>
          <w:spacing w:val="-2"/>
          <w:sz w:val="16"/>
          <w:szCs w:val="16"/>
          <w:lang w:val="en-GB"/>
        </w:rPr>
        <w:t xml:space="preserve"> Growth of total value added in these groupings notably slowed already during the whole l</w:t>
      </w:r>
      <w:r>
        <w:rPr>
          <w:rFonts w:cs="Arial"/>
          <w:color w:val="0D0D0D" w:themeColor="text1" w:themeTint="F2"/>
          <w:spacing w:val="-2"/>
          <w:sz w:val="16"/>
          <w:szCs w:val="16"/>
          <w:lang w:val="en-GB"/>
        </w:rPr>
        <w:t>ast year. I</w:t>
      </w:r>
      <w:r w:rsidRPr="00BB4E54">
        <w:rPr>
          <w:rFonts w:cs="Arial"/>
          <w:color w:val="0D0D0D" w:themeColor="text1" w:themeTint="F2"/>
          <w:spacing w:val="-2"/>
          <w:sz w:val="16"/>
          <w:szCs w:val="16"/>
          <w:lang w:val="en-GB"/>
        </w:rPr>
        <w:t xml:space="preserve">t achieved weak 1.2% in the euro area countries in its last quarter, even 0.5% only in Germany. The similar rates fell to 1.1%, resp. 0.3% in Q2 2019, worse </w:t>
      </w:r>
      <w:r>
        <w:rPr>
          <w:rFonts w:cs="Arial"/>
          <w:color w:val="0D0D0D" w:themeColor="text1" w:themeTint="F2"/>
          <w:spacing w:val="-2"/>
          <w:sz w:val="16"/>
          <w:szCs w:val="16"/>
          <w:lang w:val="en-GB"/>
        </w:rPr>
        <w:t>results were reached</w:t>
      </w:r>
      <w:r w:rsidRPr="00BB4E54">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lastly </w:t>
      </w:r>
      <w:r w:rsidRPr="00BB4E54">
        <w:rPr>
          <w:rFonts w:cs="Arial"/>
          <w:color w:val="0D0D0D" w:themeColor="text1" w:themeTint="F2"/>
          <w:spacing w:val="-2"/>
          <w:sz w:val="16"/>
          <w:szCs w:val="16"/>
          <w:lang w:val="en-GB"/>
        </w:rPr>
        <w:t>in year 2013.</w:t>
      </w:r>
    </w:p>
  </w:footnote>
  <w:footnote w:id="14">
    <w:p w:rsidR="00665624" w:rsidRPr="00B90B7C" w:rsidRDefault="00665624" w:rsidP="008402AD">
      <w:pPr>
        <w:pStyle w:val="Textpoznpodarou"/>
        <w:jc w:val="both"/>
        <w:rPr>
          <w:rFonts w:cs="Arial"/>
          <w:color w:val="0D0D0D" w:themeColor="text1" w:themeTint="F2"/>
          <w:spacing w:val="-2"/>
          <w:sz w:val="16"/>
          <w:szCs w:val="16"/>
          <w:lang w:val="en-GB"/>
        </w:rPr>
      </w:pPr>
      <w:r w:rsidRPr="00FB58F4">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w:t>
      </w:r>
      <w:r w:rsidRPr="00B90B7C">
        <w:rPr>
          <w:rFonts w:cs="Arial"/>
          <w:color w:val="0D0D0D" w:themeColor="text1" w:themeTint="F2"/>
          <w:spacing w:val="-2"/>
          <w:sz w:val="16"/>
          <w:szCs w:val="16"/>
          <w:lang w:val="en-GB"/>
        </w:rPr>
        <w:t xml:space="preserve">According to the July CZSO harvest estimates, the production of the first harvested cereal (winter barley) increased by 21% year-on-year this year. The sowing area expanded by 5%, estimate of the per hectare yield was 5.74 t/ha (year-on-year +15%, +13% against the ten year average). Winter barely comprised below 8% of the total harvest of basic cereals in the CR last year. </w:t>
      </w:r>
      <w:r>
        <w:rPr>
          <w:rFonts w:cs="Arial"/>
          <w:color w:val="0D0D0D" w:themeColor="text1" w:themeTint="F2"/>
          <w:spacing w:val="-2"/>
          <w:sz w:val="16"/>
          <w:szCs w:val="16"/>
          <w:lang w:val="en-GB"/>
        </w:rPr>
        <w:t xml:space="preserve">According to the operative report of the Ministry of Agriculture, </w:t>
      </w:r>
      <w:r w:rsidRPr="00B90B7C">
        <w:rPr>
          <w:rFonts w:cs="Arial"/>
          <w:color w:val="0D0D0D" w:themeColor="text1" w:themeTint="F2"/>
          <w:spacing w:val="-2"/>
          <w:sz w:val="16"/>
          <w:szCs w:val="16"/>
          <w:lang w:val="en-GB"/>
        </w:rPr>
        <w:t>36%</w:t>
      </w:r>
      <w:r>
        <w:rPr>
          <w:rFonts w:cs="Arial"/>
          <w:color w:val="0D0D0D" w:themeColor="text1" w:themeTint="F2"/>
          <w:spacing w:val="-2"/>
          <w:sz w:val="16"/>
          <w:szCs w:val="16"/>
          <w:lang w:val="en-GB"/>
        </w:rPr>
        <w:t xml:space="preserve"> of this crop was harvested at the end of the first July week. Harvests started slightly later this year in comparison to the last year. </w:t>
      </w:r>
    </w:p>
  </w:footnote>
  <w:footnote w:id="15">
    <w:p w:rsidR="00665624" w:rsidRPr="004D5EEF" w:rsidRDefault="00665624" w:rsidP="008402AD">
      <w:pPr>
        <w:pStyle w:val="Textpoznpodarou"/>
        <w:jc w:val="both"/>
        <w:rPr>
          <w:rFonts w:cs="Arial"/>
          <w:color w:val="0D0D0D" w:themeColor="text1" w:themeTint="F2"/>
          <w:spacing w:val="-2"/>
          <w:sz w:val="16"/>
          <w:szCs w:val="16"/>
          <w:lang w:val="en-GB"/>
        </w:rPr>
      </w:pPr>
      <w:r w:rsidRPr="00FB58F4">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w:t>
      </w:r>
      <w:r w:rsidRPr="00B403C5">
        <w:rPr>
          <w:rFonts w:cs="Arial"/>
          <w:color w:val="0D0D0D" w:themeColor="text1" w:themeTint="F2"/>
          <w:spacing w:val="-2"/>
          <w:sz w:val="16"/>
          <w:szCs w:val="16"/>
          <w:lang w:val="en-GB"/>
        </w:rPr>
        <w:t>Industrial businesses realised nearly 60% of their sales through direct export in the CR in H1 2019 (for some branches – manufacture of transport vehicles, electrical equipment or manu</w:t>
      </w:r>
      <w:r>
        <w:rPr>
          <w:rFonts w:cs="Arial"/>
          <w:color w:val="0D0D0D" w:themeColor="text1" w:themeTint="F2"/>
          <w:spacing w:val="-2"/>
          <w:sz w:val="16"/>
          <w:szCs w:val="16"/>
          <w:lang w:val="en-GB"/>
        </w:rPr>
        <w:t>facturing of computers, electronic</w:t>
      </w:r>
      <w:r w:rsidRPr="00B403C5">
        <w:rPr>
          <w:rFonts w:cs="Arial"/>
          <w:color w:val="0D0D0D" w:themeColor="text1" w:themeTint="F2"/>
          <w:spacing w:val="-2"/>
          <w:sz w:val="16"/>
          <w:szCs w:val="16"/>
          <w:lang w:val="en-GB"/>
        </w:rPr>
        <w:t xml:space="preserve"> and optical equipment – it was three quarters, even over</w:t>
      </w:r>
      <w:r>
        <w:rPr>
          <w:rFonts w:cs="Arial"/>
          <w:color w:val="0D0D0D" w:themeColor="text1" w:themeTint="F2"/>
          <w:spacing w:val="-2"/>
          <w:sz w:val="16"/>
          <w:szCs w:val="16"/>
        </w:rPr>
        <w:t xml:space="preserve"> </w:t>
      </w:r>
      <w:r w:rsidRPr="004D5EEF">
        <w:rPr>
          <w:rFonts w:cs="Arial"/>
          <w:color w:val="0D0D0D" w:themeColor="text1" w:themeTint="F2"/>
          <w:spacing w:val="-2"/>
          <w:sz w:val="16"/>
          <w:szCs w:val="16"/>
          <w:lang w:val="en-GB"/>
        </w:rPr>
        <w:t>80% in pharmaceutical or leather manufacturing). Further part of sales was also associated with the foreign deman</w:t>
      </w:r>
      <w:r>
        <w:rPr>
          <w:rFonts w:cs="Arial"/>
          <w:color w:val="0D0D0D" w:themeColor="text1" w:themeTint="F2"/>
          <w:spacing w:val="-2"/>
          <w:sz w:val="16"/>
          <w:szCs w:val="16"/>
          <w:lang w:val="en-GB"/>
        </w:rPr>
        <w:t>d</w:t>
      </w:r>
      <w:r w:rsidRPr="004D5EEF">
        <w:rPr>
          <w:rFonts w:cs="Arial"/>
          <w:color w:val="0D0D0D" w:themeColor="text1" w:themeTint="F2"/>
          <w:spacing w:val="-2"/>
          <w:sz w:val="16"/>
          <w:szCs w:val="16"/>
          <w:lang w:val="en-GB"/>
        </w:rPr>
        <w:t xml:space="preserve"> and realised in the form of indirect exports. </w:t>
      </w:r>
    </w:p>
  </w:footnote>
  <w:footnote w:id="16">
    <w:p w:rsidR="00665624" w:rsidRPr="006139DE" w:rsidRDefault="00665624" w:rsidP="008402AD">
      <w:pPr>
        <w:pStyle w:val="Textpoznpodarou"/>
        <w:jc w:val="both"/>
        <w:rPr>
          <w:rFonts w:cs="Arial"/>
          <w:color w:val="0D0D0D" w:themeColor="text1" w:themeTint="F2"/>
          <w:spacing w:val="-2"/>
          <w:sz w:val="16"/>
          <w:szCs w:val="16"/>
          <w:lang w:val="en-GB"/>
        </w:rPr>
      </w:pPr>
      <w:r w:rsidRPr="006139DE">
        <w:rPr>
          <w:rStyle w:val="Znakapoznpodarou"/>
          <w:rFonts w:cs="Arial"/>
          <w:color w:val="0D0D0D" w:themeColor="text1" w:themeTint="F2"/>
          <w:spacing w:val="-2"/>
          <w:sz w:val="16"/>
          <w:szCs w:val="16"/>
          <w:lang w:val="en-GB"/>
        </w:rPr>
        <w:footnoteRef/>
      </w:r>
      <w:r w:rsidRPr="006139DE">
        <w:rPr>
          <w:rFonts w:cs="Arial"/>
          <w:color w:val="0D0D0D" w:themeColor="text1" w:themeTint="F2"/>
          <w:spacing w:val="-2"/>
          <w:sz w:val="16"/>
          <w:szCs w:val="16"/>
          <w:lang w:val="en-GB"/>
        </w:rPr>
        <w:t xml:space="preserve"> According to the national conception of the foreign trade, 31.4% of the whole goods export (</w:t>
      </w:r>
      <w:r>
        <w:rPr>
          <w:rFonts w:cs="Arial"/>
          <w:color w:val="0D0D0D" w:themeColor="text1" w:themeTint="F2"/>
          <w:spacing w:val="-2"/>
          <w:sz w:val="16"/>
          <w:szCs w:val="16"/>
          <w:lang w:val="en-GB"/>
        </w:rPr>
        <w:t>comprised in overwhelming majority by industrial products</w:t>
      </w:r>
      <w:r w:rsidRPr="006139DE">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was directed </w:t>
      </w:r>
      <w:r w:rsidRPr="006139DE">
        <w:rPr>
          <w:rFonts w:cs="Arial"/>
          <w:color w:val="0D0D0D" w:themeColor="text1" w:themeTint="F2"/>
          <w:spacing w:val="-2"/>
          <w:sz w:val="16"/>
          <w:szCs w:val="16"/>
          <w:lang w:val="en-GB"/>
        </w:rPr>
        <w:t>to Germany in H1</w:t>
      </w:r>
      <w:r>
        <w:rPr>
          <w:rFonts w:cs="Arial"/>
          <w:color w:val="0D0D0D" w:themeColor="text1" w:themeTint="F2"/>
          <w:spacing w:val="-2"/>
          <w:sz w:val="16"/>
          <w:szCs w:val="16"/>
          <w:lang w:val="en-GB"/>
        </w:rPr>
        <w:t xml:space="preserve"> 2019</w:t>
      </w:r>
      <w:r w:rsidRPr="006139DE">
        <w:rPr>
          <w:rFonts w:cs="Arial"/>
          <w:color w:val="0D0D0D" w:themeColor="text1" w:themeTint="F2"/>
          <w:spacing w:val="-2"/>
          <w:sz w:val="16"/>
          <w:szCs w:val="16"/>
          <w:lang w:val="en-GB"/>
        </w:rPr>
        <w:t xml:space="preserve">, even 65.7% to euro area countries. Both shares remain relatively stable in the current decade. </w:t>
      </w:r>
    </w:p>
  </w:footnote>
  <w:footnote w:id="17">
    <w:p w:rsidR="00665624" w:rsidRPr="006139DE" w:rsidRDefault="00665624" w:rsidP="008402AD">
      <w:pPr>
        <w:pStyle w:val="Textpoznpodarou"/>
        <w:jc w:val="both"/>
        <w:rPr>
          <w:rFonts w:cs="Arial"/>
          <w:color w:val="0D0D0D" w:themeColor="text1" w:themeTint="F2"/>
          <w:spacing w:val="-2"/>
          <w:sz w:val="16"/>
          <w:szCs w:val="16"/>
          <w:lang w:val="en-GB"/>
        </w:rPr>
      </w:pPr>
      <w:r w:rsidRPr="006139DE">
        <w:rPr>
          <w:rStyle w:val="Znakapoznpodarou"/>
          <w:rFonts w:cs="Arial"/>
          <w:color w:val="0D0D0D" w:themeColor="text1" w:themeTint="F2"/>
          <w:spacing w:val="-2"/>
          <w:sz w:val="16"/>
          <w:szCs w:val="16"/>
          <w:lang w:val="en-GB"/>
        </w:rPr>
        <w:footnoteRef/>
      </w:r>
      <w:r w:rsidRPr="006139DE">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Includes branches of Mining and quarrying, Manufacturing and also Energetics </w:t>
      </w:r>
      <w:r w:rsidRPr="006139DE">
        <w:rPr>
          <w:rFonts w:cs="Arial"/>
          <w:color w:val="0D0D0D" w:themeColor="text1" w:themeTint="F2"/>
          <w:spacing w:val="-2"/>
          <w:sz w:val="16"/>
          <w:szCs w:val="16"/>
          <w:lang w:val="en-GB"/>
        </w:rPr>
        <w:t>(</w:t>
      </w:r>
      <w:r>
        <w:rPr>
          <w:rFonts w:cs="Arial"/>
          <w:color w:val="0D0D0D" w:themeColor="text1" w:themeTint="F2"/>
          <w:spacing w:val="-2"/>
          <w:sz w:val="16"/>
          <w:szCs w:val="16"/>
          <w:lang w:val="en-GB"/>
        </w:rPr>
        <w:t>here assumed as a branch of manufacturing and distribution of electricity, gas, heat and air conditioning)</w:t>
      </w:r>
      <w:r w:rsidRPr="006139DE">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All year-on-year rates of growth of output </w:t>
      </w:r>
      <w:r w:rsidRPr="006139DE">
        <w:rPr>
          <w:rFonts w:cs="Arial"/>
          <w:color w:val="0D0D0D" w:themeColor="text1" w:themeTint="F2"/>
          <w:spacing w:val="-2"/>
          <w:sz w:val="16"/>
          <w:szCs w:val="16"/>
          <w:lang w:val="en-GB"/>
        </w:rPr>
        <w:t>(</w:t>
      </w:r>
      <w:r>
        <w:rPr>
          <w:rFonts w:cs="Arial"/>
          <w:color w:val="0D0D0D" w:themeColor="text1" w:themeTint="F2"/>
          <w:spacing w:val="-2"/>
          <w:sz w:val="16"/>
          <w:szCs w:val="16"/>
          <w:lang w:val="en-GB"/>
        </w:rPr>
        <w:t>at the level of both the branch sections and divisions</w:t>
      </w:r>
      <w:r w:rsidRPr="006139DE">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are adjusted for calendar effects, quarter-on-quarter rates are then also seasonally adjusted. </w:t>
      </w:r>
    </w:p>
  </w:footnote>
  <w:footnote w:id="18">
    <w:p w:rsidR="00665624" w:rsidRPr="006139DE" w:rsidRDefault="00665624" w:rsidP="008402AD">
      <w:pPr>
        <w:pStyle w:val="Textpoznpodarou"/>
        <w:jc w:val="both"/>
        <w:rPr>
          <w:rFonts w:cs="Arial"/>
          <w:color w:val="0D0D0D" w:themeColor="text1" w:themeTint="F2"/>
          <w:spacing w:val="-2"/>
          <w:sz w:val="16"/>
          <w:szCs w:val="16"/>
          <w:lang w:val="en-GB"/>
        </w:rPr>
      </w:pPr>
      <w:r w:rsidRPr="006139DE">
        <w:rPr>
          <w:rStyle w:val="Znakapoznpodarou"/>
          <w:rFonts w:cs="Arial"/>
          <w:color w:val="0D0D0D" w:themeColor="text1" w:themeTint="F2"/>
          <w:spacing w:val="-2"/>
          <w:sz w:val="16"/>
          <w:szCs w:val="16"/>
          <w:lang w:val="en-GB"/>
        </w:rPr>
        <w:footnoteRef/>
      </w:r>
      <w:r w:rsidRPr="006139DE">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Businesses thus reacted with a lag on the situation in the euro area</w:t>
      </w:r>
      <w:r w:rsidRPr="006139DE">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where the industrial production index in the quarter-on-quarter expression halted already at the beginning of year </w:t>
      </w:r>
      <w:r w:rsidRPr="006139DE">
        <w:rPr>
          <w:rFonts w:cs="Arial"/>
          <w:color w:val="0D0D0D" w:themeColor="text1" w:themeTint="F2"/>
          <w:spacing w:val="-2"/>
          <w:sz w:val="16"/>
          <w:szCs w:val="16"/>
          <w:lang w:val="en-GB"/>
        </w:rPr>
        <w:t>2018 a</w:t>
      </w:r>
      <w:r>
        <w:rPr>
          <w:rFonts w:cs="Arial"/>
          <w:color w:val="0D0D0D" w:themeColor="text1" w:themeTint="F2"/>
          <w:spacing w:val="-2"/>
          <w:sz w:val="16"/>
          <w:szCs w:val="16"/>
          <w:lang w:val="en-GB"/>
        </w:rPr>
        <w:t>nd also did not revive as the year progressed. On the contrary, the output decrease deepened in Q</w:t>
      </w:r>
      <w:r w:rsidRPr="006139DE">
        <w:rPr>
          <w:rFonts w:cs="Arial"/>
          <w:color w:val="0D0D0D" w:themeColor="text1" w:themeTint="F2"/>
          <w:spacing w:val="-2"/>
          <w:sz w:val="16"/>
          <w:szCs w:val="16"/>
          <w:lang w:val="en-GB"/>
        </w:rPr>
        <w:t>4</w:t>
      </w:r>
      <w:r>
        <w:rPr>
          <w:rFonts w:cs="Arial"/>
          <w:color w:val="0D0D0D" w:themeColor="text1" w:themeTint="F2"/>
          <w:spacing w:val="-2"/>
          <w:sz w:val="16"/>
          <w:szCs w:val="16"/>
          <w:lang w:val="en-GB"/>
        </w:rPr>
        <w:t xml:space="preserve"> </w:t>
      </w:r>
      <w:r w:rsidRPr="006139DE">
        <w:rPr>
          <w:rFonts w:cs="Arial"/>
          <w:color w:val="0D0D0D" w:themeColor="text1" w:themeTint="F2"/>
          <w:spacing w:val="-2"/>
          <w:sz w:val="16"/>
          <w:szCs w:val="16"/>
          <w:lang w:val="en-GB"/>
        </w:rPr>
        <w:t>(</w:t>
      </w:r>
      <w:r>
        <w:rPr>
          <w:rFonts w:cs="Arial"/>
          <w:color w:val="0D0D0D" w:themeColor="text1" w:themeTint="F2"/>
          <w:spacing w:val="-2"/>
          <w:sz w:val="16"/>
          <w:szCs w:val="16"/>
          <w:lang w:val="en-GB"/>
        </w:rPr>
        <w:t xml:space="preserve">to </w:t>
      </w:r>
      <w:r w:rsidRPr="006139DE">
        <w:rPr>
          <w:rFonts w:cs="Arial"/>
          <w:color w:val="0D0D0D" w:themeColor="text1" w:themeTint="F2"/>
          <w:spacing w:val="-2"/>
          <w:sz w:val="16"/>
          <w:szCs w:val="16"/>
          <w:lang w:val="en-GB"/>
        </w:rPr>
        <w:t>1</w:t>
      </w:r>
      <w:r>
        <w:rPr>
          <w:rFonts w:cs="Arial"/>
          <w:color w:val="0D0D0D" w:themeColor="text1" w:themeTint="F2"/>
          <w:spacing w:val="-2"/>
          <w:sz w:val="16"/>
          <w:szCs w:val="16"/>
          <w:lang w:val="en-GB"/>
        </w:rPr>
        <w:t>.</w:t>
      </w:r>
      <w:r w:rsidRPr="006139DE">
        <w:rPr>
          <w:rFonts w:cs="Arial"/>
          <w:color w:val="0D0D0D" w:themeColor="text1" w:themeTint="F2"/>
          <w:spacing w:val="-2"/>
          <w:sz w:val="16"/>
          <w:szCs w:val="16"/>
          <w:lang w:val="en-GB"/>
        </w:rPr>
        <w:t>1%) a</w:t>
      </w:r>
      <w:r>
        <w:rPr>
          <w:rFonts w:cs="Arial"/>
          <w:color w:val="0D0D0D" w:themeColor="text1" w:themeTint="F2"/>
          <w:spacing w:val="-2"/>
          <w:sz w:val="16"/>
          <w:szCs w:val="16"/>
          <w:lang w:val="en-GB"/>
        </w:rPr>
        <w:t xml:space="preserve">nd featured a year-on-year fall as well for the first time since last recession period </w:t>
      </w:r>
      <w:r w:rsidRPr="006139DE">
        <w:rPr>
          <w:rFonts w:cs="Arial"/>
          <w:color w:val="0D0D0D" w:themeColor="text1" w:themeTint="F2"/>
          <w:spacing w:val="-2"/>
          <w:sz w:val="16"/>
          <w:szCs w:val="16"/>
          <w:lang w:val="en-GB"/>
        </w:rPr>
        <w:t>(</w:t>
      </w:r>
      <w:r>
        <w:rPr>
          <w:rFonts w:cs="Arial"/>
          <w:color w:val="0D0D0D" w:themeColor="text1" w:themeTint="F2"/>
          <w:spacing w:val="-2"/>
          <w:sz w:val="16"/>
          <w:szCs w:val="16"/>
          <w:lang w:val="en-GB"/>
        </w:rPr>
        <w:t xml:space="preserve">by </w:t>
      </w:r>
      <w:r w:rsidRPr="006139DE">
        <w:rPr>
          <w:rFonts w:cs="Arial"/>
          <w:color w:val="0D0D0D" w:themeColor="text1" w:themeTint="F2"/>
          <w:spacing w:val="-2"/>
          <w:sz w:val="16"/>
          <w:szCs w:val="16"/>
          <w:lang w:val="en-GB"/>
        </w:rPr>
        <w:t>1</w:t>
      </w:r>
      <w:r>
        <w:rPr>
          <w:rFonts w:cs="Arial"/>
          <w:color w:val="0D0D0D" w:themeColor="text1" w:themeTint="F2"/>
          <w:spacing w:val="-2"/>
          <w:sz w:val="16"/>
          <w:szCs w:val="16"/>
          <w:lang w:val="en-GB"/>
        </w:rPr>
        <w:t>.</w:t>
      </w:r>
      <w:r w:rsidRPr="006139DE">
        <w:rPr>
          <w:rFonts w:cs="Arial"/>
          <w:color w:val="0D0D0D" w:themeColor="text1" w:themeTint="F2"/>
          <w:spacing w:val="-2"/>
          <w:sz w:val="16"/>
          <w:szCs w:val="16"/>
          <w:lang w:val="en-GB"/>
        </w:rPr>
        <w:t xml:space="preserve">9%). </w:t>
      </w:r>
      <w:r>
        <w:rPr>
          <w:rFonts w:cs="Arial"/>
          <w:color w:val="0D0D0D" w:themeColor="text1" w:themeTint="F2"/>
          <w:spacing w:val="-2"/>
          <w:sz w:val="16"/>
          <w:szCs w:val="16"/>
          <w:lang w:val="en-GB"/>
        </w:rPr>
        <w:t xml:space="preserve">Lowering of output occurred simultaneously also in all five largest EU economies </w:t>
      </w:r>
      <w:r w:rsidRPr="006139DE">
        <w:rPr>
          <w:rFonts w:cs="Arial"/>
          <w:color w:val="0D0D0D" w:themeColor="text1" w:themeTint="F2"/>
          <w:spacing w:val="-2"/>
          <w:sz w:val="16"/>
          <w:szCs w:val="16"/>
          <w:lang w:val="en-GB"/>
        </w:rPr>
        <w:t>(</w:t>
      </w:r>
      <w:r>
        <w:rPr>
          <w:rFonts w:cs="Arial"/>
          <w:color w:val="0D0D0D" w:themeColor="text1" w:themeTint="F2"/>
          <w:spacing w:val="-2"/>
          <w:sz w:val="16"/>
          <w:szCs w:val="16"/>
          <w:lang w:val="en-GB"/>
        </w:rPr>
        <w:t>year-on-year as well as quarter-on-quarter</w:t>
      </w:r>
      <w:r w:rsidRPr="006139DE">
        <w:rPr>
          <w:rFonts w:cs="Arial"/>
          <w:color w:val="0D0D0D" w:themeColor="text1" w:themeTint="F2"/>
          <w:spacing w:val="-2"/>
          <w:sz w:val="16"/>
          <w:szCs w:val="16"/>
          <w:lang w:val="en-GB"/>
        </w:rPr>
        <w:t>).</w:t>
      </w:r>
    </w:p>
  </w:footnote>
  <w:footnote w:id="19">
    <w:p w:rsidR="00665624" w:rsidRPr="00393CDD" w:rsidRDefault="00665624" w:rsidP="008402AD">
      <w:pPr>
        <w:pStyle w:val="Textpoznpodarou"/>
        <w:jc w:val="both"/>
        <w:rPr>
          <w:sz w:val="16"/>
          <w:szCs w:val="16"/>
          <w:lang w:val="en-GB"/>
        </w:rPr>
      </w:pPr>
      <w:r w:rsidRPr="00393CDD">
        <w:rPr>
          <w:rStyle w:val="Znakapoznpodarou"/>
          <w:sz w:val="16"/>
          <w:szCs w:val="16"/>
          <w:lang w:val="en-GB"/>
        </w:rPr>
        <w:footnoteRef/>
      </w:r>
      <w:r w:rsidRPr="00393CDD">
        <w:rPr>
          <w:sz w:val="16"/>
          <w:szCs w:val="16"/>
          <w:lang w:val="en-GB"/>
        </w:rPr>
        <w:t xml:space="preserve"> In the last six years (resp. against H1 2013), the production here increased in total by 61%, only manufacture of motor vehicles recorded a faster pace (+70%). Growth arrived at 28% in total industry. Only energetics (</w:t>
      </w:r>
      <w:r w:rsidRPr="00393CDD">
        <w:rPr>
          <w:spacing w:val="-4"/>
          <w:sz w:val="16"/>
          <w:szCs w:val="16"/>
          <w:lang w:val="en-GB"/>
        </w:rPr>
        <w:t>–</w:t>
      </w:r>
      <w:r w:rsidRPr="00393CDD">
        <w:rPr>
          <w:sz w:val="16"/>
          <w:szCs w:val="16"/>
          <w:lang w:val="en-GB"/>
        </w:rPr>
        <w:t>1%), wood industry (</w:t>
      </w:r>
      <w:r w:rsidRPr="00393CDD">
        <w:rPr>
          <w:spacing w:val="-4"/>
          <w:sz w:val="16"/>
          <w:szCs w:val="16"/>
          <w:lang w:val="en-GB"/>
        </w:rPr>
        <w:t>–</w:t>
      </w:r>
      <w:r w:rsidRPr="00393CDD">
        <w:rPr>
          <w:sz w:val="16"/>
          <w:szCs w:val="16"/>
          <w:lang w:val="en-GB"/>
        </w:rPr>
        <w:t>4%), mining and quarrying (</w:t>
      </w:r>
      <w:r w:rsidRPr="00393CDD">
        <w:rPr>
          <w:spacing w:val="-4"/>
          <w:sz w:val="16"/>
          <w:szCs w:val="16"/>
          <w:lang w:val="en-GB"/>
        </w:rPr>
        <w:t>–</w:t>
      </w:r>
      <w:r w:rsidRPr="00393CDD">
        <w:rPr>
          <w:sz w:val="16"/>
          <w:szCs w:val="16"/>
          <w:lang w:val="en-GB"/>
        </w:rPr>
        <w:t>18%) and manufacture of leather products (</w:t>
      </w:r>
      <w:r w:rsidRPr="00393CDD">
        <w:rPr>
          <w:spacing w:val="-4"/>
          <w:sz w:val="16"/>
          <w:szCs w:val="16"/>
          <w:lang w:val="en-GB"/>
        </w:rPr>
        <w:t>–</w:t>
      </w:r>
      <w:r w:rsidRPr="00393CDD">
        <w:rPr>
          <w:sz w:val="16"/>
          <w:szCs w:val="16"/>
          <w:lang w:val="en-GB"/>
        </w:rPr>
        <w:t>23%) stayed below the level of year 2013.</w:t>
      </w:r>
    </w:p>
  </w:footnote>
  <w:footnote w:id="20">
    <w:p w:rsidR="00665624" w:rsidRPr="00393CDD" w:rsidRDefault="00665624" w:rsidP="008402AD">
      <w:pPr>
        <w:pStyle w:val="Textpoznpodarou"/>
        <w:jc w:val="both"/>
        <w:rPr>
          <w:sz w:val="16"/>
          <w:szCs w:val="16"/>
          <w:lang w:val="en-GB"/>
        </w:rPr>
      </w:pPr>
      <w:r w:rsidRPr="00393CDD">
        <w:rPr>
          <w:rStyle w:val="Znakapoznpodarou"/>
          <w:rFonts w:cs="Arial"/>
          <w:color w:val="0D0D0D" w:themeColor="text1" w:themeTint="F2"/>
          <w:sz w:val="16"/>
          <w:szCs w:val="16"/>
          <w:lang w:val="en-GB"/>
        </w:rPr>
        <w:footnoteRef/>
      </w:r>
      <w:r w:rsidRPr="00393CDD">
        <w:rPr>
          <w:rFonts w:cs="Arial"/>
          <w:color w:val="0D0D0D" w:themeColor="text1" w:themeTint="F2"/>
          <w:sz w:val="16"/>
          <w:szCs w:val="16"/>
          <w:lang w:val="en-GB"/>
        </w:rPr>
        <w:t xml:space="preserve"> </w:t>
      </w:r>
      <w:r w:rsidRPr="00A76DD3">
        <w:rPr>
          <w:rFonts w:cs="Arial"/>
          <w:color w:val="0D0D0D" w:themeColor="text1" w:themeTint="F2"/>
          <w:sz w:val="16"/>
          <w:szCs w:val="16"/>
          <w:lang w:val="en-GB"/>
        </w:rPr>
        <w:t xml:space="preserve">Based on data from the Automotive Industry Association, </w:t>
      </w:r>
      <w:r>
        <w:rPr>
          <w:rFonts w:cs="Arial"/>
          <w:color w:val="0D0D0D" w:themeColor="text1" w:themeTint="F2"/>
          <w:sz w:val="16"/>
          <w:szCs w:val="16"/>
          <w:lang w:val="en-GB"/>
        </w:rPr>
        <w:t xml:space="preserve">there was 747 thousand passenger cars manufactured in the CR in H1 2019, and the production by 1.5% lagged behind the last year´s record number. Manufacture of other parts and accessories for other types of motor vehicles (eg. busses) on the contrary mildly increased. </w:t>
      </w:r>
    </w:p>
  </w:footnote>
  <w:footnote w:id="21">
    <w:p w:rsidR="00665624" w:rsidRPr="00393CDD" w:rsidRDefault="00665624" w:rsidP="008402AD">
      <w:pPr>
        <w:pStyle w:val="Textpoznpodarou"/>
        <w:jc w:val="both"/>
        <w:rPr>
          <w:sz w:val="16"/>
          <w:szCs w:val="16"/>
          <w:lang w:val="en-GB"/>
        </w:rPr>
      </w:pPr>
      <w:r w:rsidRPr="00393CDD">
        <w:rPr>
          <w:rStyle w:val="Znakapoznpodarou"/>
          <w:sz w:val="16"/>
          <w:szCs w:val="16"/>
          <w:lang w:val="en-GB"/>
        </w:rPr>
        <w:footnoteRef/>
      </w:r>
      <w:r w:rsidRPr="00393CDD">
        <w:rPr>
          <w:sz w:val="16"/>
          <w:szCs w:val="16"/>
          <w:lang w:val="en-GB"/>
        </w:rPr>
        <w:t xml:space="preserve"> </w:t>
      </w:r>
      <w:r>
        <w:rPr>
          <w:sz w:val="16"/>
          <w:szCs w:val="16"/>
          <w:lang w:val="en-GB"/>
        </w:rPr>
        <w:t xml:space="preserve">In contrast in other, so far by weight peripheral segment of mining and quarrying activities – quarrying of building materials (especially stone, sand and clay) – production have grown briskly already third year in a row. </w:t>
      </w:r>
    </w:p>
  </w:footnote>
  <w:footnote w:id="22">
    <w:p w:rsidR="00665624" w:rsidRPr="00CB5F3F" w:rsidRDefault="00665624" w:rsidP="008402AD">
      <w:pPr>
        <w:pStyle w:val="Textpoznpodarou"/>
        <w:jc w:val="both"/>
        <w:rPr>
          <w:rFonts w:cs="Arial"/>
          <w:color w:val="0D0D0D" w:themeColor="text1" w:themeTint="F2"/>
          <w:spacing w:val="-2"/>
          <w:sz w:val="16"/>
          <w:szCs w:val="16"/>
          <w:lang w:val="en-GB"/>
        </w:rPr>
      </w:pPr>
      <w:r w:rsidRPr="007A20EB">
        <w:rPr>
          <w:rStyle w:val="Znakapoznpodarou"/>
          <w:rFonts w:cs="Arial"/>
          <w:color w:val="0D0D0D" w:themeColor="text1" w:themeTint="F2"/>
          <w:spacing w:val="-2"/>
          <w:sz w:val="16"/>
          <w:szCs w:val="16"/>
        </w:rPr>
        <w:footnoteRef/>
      </w:r>
      <w:r w:rsidRPr="007A20EB">
        <w:rPr>
          <w:rFonts w:cs="Arial"/>
          <w:color w:val="0D0D0D" w:themeColor="text1" w:themeTint="F2"/>
          <w:spacing w:val="-2"/>
          <w:sz w:val="16"/>
          <w:szCs w:val="16"/>
        </w:rPr>
        <w:t xml:space="preserve"> </w:t>
      </w:r>
      <w:r>
        <w:rPr>
          <w:rFonts w:cs="Arial"/>
          <w:color w:val="0D0D0D" w:themeColor="text1" w:themeTint="F2"/>
          <w:spacing w:val="-2"/>
          <w:sz w:val="16"/>
          <w:szCs w:val="16"/>
          <w:lang w:val="en-GB"/>
        </w:rPr>
        <w:t>New orders are surveyed</w:t>
      </w:r>
      <w:r w:rsidRPr="00CB5F3F">
        <w:rPr>
          <w:rFonts w:cs="Arial"/>
          <w:color w:val="0D0D0D" w:themeColor="text1" w:themeTint="F2"/>
          <w:spacing w:val="-2"/>
          <w:sz w:val="16"/>
          <w:szCs w:val="16"/>
          <w:lang w:val="en-GB"/>
        </w:rPr>
        <w:t xml:space="preserve"> only in selected CZ-N</w:t>
      </w:r>
      <w:r w:rsidRPr="00CB5F3F">
        <w:rPr>
          <w:rFonts w:cs="Arial"/>
          <w:color w:val="0D0D0D" w:themeColor="text1" w:themeTint="F2"/>
          <w:sz w:val="16"/>
          <w:szCs w:val="16"/>
          <w:lang w:val="en-GB"/>
        </w:rPr>
        <w:t xml:space="preserve">ACE sections (13, 14, 17, 20, 21, 24, 25, 26, 27, 28, 29, 30), which manufacture mostly custom-made products, with longer production cycle and larger stocks of orders. </w:t>
      </w:r>
    </w:p>
  </w:footnote>
  <w:footnote w:id="23">
    <w:p w:rsidR="00665624" w:rsidRPr="00CB5F3F" w:rsidRDefault="00665624" w:rsidP="008402AD">
      <w:pPr>
        <w:pStyle w:val="Textpoznpodarou"/>
        <w:jc w:val="both"/>
        <w:rPr>
          <w:rFonts w:cs="Arial"/>
          <w:color w:val="0D0D0D" w:themeColor="text1" w:themeTint="F2"/>
          <w:spacing w:val="-2"/>
          <w:sz w:val="16"/>
          <w:szCs w:val="16"/>
          <w:lang w:val="en-GB"/>
        </w:rPr>
      </w:pPr>
      <w:r w:rsidRPr="00CB5F3F">
        <w:rPr>
          <w:rStyle w:val="Znakapoznpodarou"/>
          <w:rFonts w:cs="Arial"/>
          <w:color w:val="0D0D0D" w:themeColor="text1" w:themeTint="F2"/>
          <w:spacing w:val="-2"/>
          <w:sz w:val="16"/>
          <w:szCs w:val="16"/>
          <w:lang w:val="en-GB"/>
        </w:rPr>
        <w:footnoteRef/>
      </w:r>
      <w:r w:rsidRPr="00CB5F3F">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July 2019 showed more favourable outlook, when new orders strengthened in total by one tenth year-on-year and by one sixth in the motor vehicle industry. </w:t>
      </w:r>
    </w:p>
  </w:footnote>
  <w:footnote w:id="24">
    <w:p w:rsidR="00665624" w:rsidRPr="00CB5F3F" w:rsidRDefault="00665624" w:rsidP="008402AD">
      <w:pPr>
        <w:pStyle w:val="Textpoznpodarou"/>
        <w:jc w:val="both"/>
        <w:rPr>
          <w:rFonts w:cs="Arial"/>
          <w:color w:val="0D0D0D" w:themeColor="text1" w:themeTint="F2"/>
          <w:spacing w:val="-2"/>
          <w:sz w:val="16"/>
          <w:szCs w:val="16"/>
          <w:lang w:val="en-GB"/>
        </w:rPr>
      </w:pPr>
      <w:r w:rsidRPr="00CB5F3F">
        <w:rPr>
          <w:rStyle w:val="Znakapoznpodarou"/>
          <w:rFonts w:cs="Arial"/>
          <w:color w:val="0D0D0D" w:themeColor="text1" w:themeTint="F2"/>
          <w:spacing w:val="-2"/>
          <w:sz w:val="16"/>
          <w:szCs w:val="16"/>
          <w:lang w:val="en-GB"/>
        </w:rPr>
        <w:footnoteRef/>
      </w:r>
      <w:r w:rsidRPr="00CB5F3F">
        <w:rPr>
          <w:rFonts w:cs="Arial"/>
          <w:color w:val="0D0D0D" w:themeColor="text1" w:themeTint="F2"/>
          <w:spacing w:val="-2"/>
          <w:sz w:val="16"/>
          <w:szCs w:val="16"/>
          <w:lang w:val="en-GB"/>
        </w:rPr>
        <w:t xml:space="preserve"> Growth of registered number of employees of industrial businesses halted this year. It was by 0.</w:t>
      </w:r>
      <w:r>
        <w:rPr>
          <w:rFonts w:cs="Arial"/>
          <w:color w:val="0D0D0D" w:themeColor="text1" w:themeTint="F2"/>
          <w:spacing w:val="-2"/>
          <w:sz w:val="16"/>
          <w:szCs w:val="16"/>
          <w:lang w:val="en-GB"/>
        </w:rPr>
        <w:t>5</w:t>
      </w:r>
      <w:r w:rsidRPr="00CB5F3F">
        <w:rPr>
          <w:rFonts w:cs="Arial"/>
          <w:color w:val="0D0D0D" w:themeColor="text1" w:themeTint="F2"/>
          <w:spacing w:val="-2"/>
          <w:sz w:val="16"/>
          <w:szCs w:val="16"/>
          <w:lang w:val="en-GB"/>
        </w:rPr>
        <w:t xml:space="preserve">% lower year-on-year in Q2. </w:t>
      </w:r>
    </w:p>
  </w:footnote>
  <w:footnote w:id="25">
    <w:p w:rsidR="00665624" w:rsidRPr="00CB5F3F" w:rsidRDefault="00665624" w:rsidP="008402AD">
      <w:pPr>
        <w:pStyle w:val="Textpoznpodarou"/>
        <w:jc w:val="both"/>
        <w:rPr>
          <w:spacing w:val="-4"/>
          <w:sz w:val="16"/>
          <w:szCs w:val="16"/>
          <w:lang w:val="en-GB"/>
        </w:rPr>
      </w:pPr>
      <w:r w:rsidRPr="00CB5F3F">
        <w:rPr>
          <w:rStyle w:val="Znakapoznpodarou"/>
          <w:rFonts w:cs="Arial"/>
          <w:color w:val="0D0D0D" w:themeColor="text1" w:themeTint="F2"/>
          <w:spacing w:val="-2"/>
          <w:sz w:val="16"/>
          <w:szCs w:val="16"/>
          <w:lang w:val="en-GB"/>
        </w:rPr>
        <w:footnoteRef/>
      </w:r>
      <w:r w:rsidRPr="00CB5F3F">
        <w:rPr>
          <w:rFonts w:cs="Arial"/>
          <w:color w:val="0D0D0D" w:themeColor="text1" w:themeTint="F2"/>
          <w:spacing w:val="-2"/>
          <w:sz w:val="16"/>
          <w:szCs w:val="16"/>
          <w:lang w:val="en-GB"/>
        </w:rPr>
        <w:t xml:space="preserve"> All year-on-year data regarding the construction output are adjusted for calendar effects, quarter-on-quarter rates of growth also for the seasonality effect. </w:t>
      </w:r>
    </w:p>
  </w:footnote>
  <w:footnote w:id="26">
    <w:p w:rsidR="00665624" w:rsidRPr="00D85B50" w:rsidRDefault="00665624" w:rsidP="008402AD">
      <w:pPr>
        <w:pStyle w:val="Textpoznpodarou"/>
        <w:jc w:val="both"/>
        <w:rPr>
          <w:spacing w:val="-4"/>
          <w:sz w:val="16"/>
          <w:szCs w:val="16"/>
        </w:rPr>
      </w:pPr>
      <w:r w:rsidRPr="005813A9">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w:t>
      </w:r>
      <w:r w:rsidRPr="002A490D">
        <w:rPr>
          <w:rFonts w:cs="Arial"/>
          <w:color w:val="0D0D0D" w:themeColor="text1" w:themeTint="F2"/>
          <w:spacing w:val="-2"/>
          <w:sz w:val="16"/>
          <w:szCs w:val="16"/>
          <w:lang w:val="en-GB"/>
        </w:rPr>
        <w:t>Output growth followed a similar pace also in the whole EU. There, construction boom was unde</w:t>
      </w:r>
      <w:r>
        <w:rPr>
          <w:rFonts w:cs="Arial"/>
          <w:color w:val="0D0D0D" w:themeColor="text1" w:themeTint="F2"/>
          <w:spacing w:val="-2"/>
          <w:sz w:val="16"/>
          <w:szCs w:val="16"/>
          <w:lang w:val="en-GB"/>
        </w:rPr>
        <w:t>r way in Romania (+23%) and especially</w:t>
      </w:r>
      <w:r w:rsidRPr="002A490D">
        <w:rPr>
          <w:rFonts w:cs="Arial"/>
          <w:color w:val="0D0D0D" w:themeColor="text1" w:themeTint="F2"/>
          <w:spacing w:val="-2"/>
          <w:sz w:val="16"/>
          <w:szCs w:val="16"/>
          <w:lang w:val="en-GB"/>
        </w:rPr>
        <w:t xml:space="preserve"> in Hungary (+35%), where the steep growth lasted already three years in a row. Nearly all Union countries registered growth in H1, construction growth supported some economies balancing </w:t>
      </w:r>
      <w:r>
        <w:rPr>
          <w:rFonts w:cs="Arial"/>
          <w:color w:val="0D0D0D" w:themeColor="text1" w:themeTint="F2"/>
          <w:spacing w:val="-2"/>
          <w:sz w:val="16"/>
          <w:szCs w:val="16"/>
          <w:lang w:val="en-GB"/>
        </w:rPr>
        <w:t>o</w:t>
      </w:r>
      <w:r w:rsidRPr="002A490D">
        <w:rPr>
          <w:rFonts w:cs="Arial"/>
          <w:color w:val="0D0D0D" w:themeColor="text1" w:themeTint="F2"/>
          <w:spacing w:val="-2"/>
          <w:sz w:val="16"/>
          <w:szCs w:val="16"/>
          <w:lang w:val="en-GB"/>
        </w:rPr>
        <w:t>n the edge of recession, e.g. Germany (+3.8%) or Italy (+4.0%).</w:t>
      </w:r>
    </w:p>
  </w:footnote>
  <w:footnote w:id="27">
    <w:p w:rsidR="00665624" w:rsidRPr="0028578A" w:rsidRDefault="00665624" w:rsidP="008402AD">
      <w:pPr>
        <w:pStyle w:val="Textpoznpodarou"/>
        <w:jc w:val="both"/>
        <w:rPr>
          <w:rFonts w:cs="Arial"/>
          <w:color w:val="0D0D0D" w:themeColor="text1" w:themeTint="F2"/>
          <w:spacing w:val="-3"/>
          <w:sz w:val="16"/>
          <w:szCs w:val="16"/>
          <w:lang w:val="en-GB"/>
        </w:rPr>
      </w:pPr>
      <w:r w:rsidRPr="00DE063B">
        <w:rPr>
          <w:rStyle w:val="Znakapoznpodarou"/>
          <w:rFonts w:cs="Arial"/>
          <w:color w:val="0D0D0D" w:themeColor="text1" w:themeTint="F2"/>
          <w:spacing w:val="-3"/>
          <w:sz w:val="16"/>
          <w:szCs w:val="16"/>
        </w:rPr>
        <w:footnoteRef/>
      </w:r>
      <w:r w:rsidRPr="00DE063B">
        <w:rPr>
          <w:rFonts w:cs="Arial"/>
          <w:color w:val="0D0D0D" w:themeColor="text1" w:themeTint="F2"/>
          <w:spacing w:val="-3"/>
          <w:sz w:val="16"/>
          <w:szCs w:val="16"/>
        </w:rPr>
        <w:t xml:space="preserve"> </w:t>
      </w:r>
      <w:r w:rsidRPr="0028578A">
        <w:rPr>
          <w:rFonts w:cs="Arial"/>
          <w:color w:val="0D0D0D" w:themeColor="text1" w:themeTint="F2"/>
          <w:spacing w:val="-3"/>
          <w:sz w:val="16"/>
          <w:szCs w:val="16"/>
          <w:lang w:val="en-GB"/>
        </w:rPr>
        <w:t>„</w:t>
      </w:r>
      <w:r>
        <w:rPr>
          <w:rFonts w:cs="Arial"/>
          <w:color w:val="0D0D0D" w:themeColor="text1" w:themeTint="F2"/>
          <w:spacing w:val="-3"/>
          <w:sz w:val="16"/>
          <w:szCs w:val="16"/>
          <w:lang w:val="en-GB"/>
        </w:rPr>
        <w:t>Popularity</w:t>
      </w:r>
      <w:r w:rsidRPr="0028578A">
        <w:rPr>
          <w:rFonts w:cs="Arial"/>
          <w:color w:val="0D0D0D" w:themeColor="text1" w:themeTint="F2"/>
          <w:spacing w:val="-3"/>
          <w:sz w:val="16"/>
          <w:szCs w:val="16"/>
          <w:lang w:val="en-GB"/>
        </w:rPr>
        <w:t xml:space="preserve">“ </w:t>
      </w:r>
      <w:r>
        <w:rPr>
          <w:rFonts w:cs="Arial"/>
          <w:color w:val="0D0D0D" w:themeColor="text1" w:themeTint="F2"/>
          <w:spacing w:val="-3"/>
          <w:sz w:val="16"/>
          <w:szCs w:val="16"/>
          <w:lang w:val="en-GB"/>
        </w:rPr>
        <w:t xml:space="preserve">of dwellings originating from reconstructed non-residential premises however grows in the last five years. </w:t>
      </w:r>
      <w:r w:rsidRPr="0028578A">
        <w:rPr>
          <w:rFonts w:cs="Arial"/>
          <w:color w:val="0D0D0D" w:themeColor="text1" w:themeTint="F2"/>
          <w:spacing w:val="-3"/>
          <w:sz w:val="16"/>
          <w:szCs w:val="16"/>
          <w:lang w:val="en-GB"/>
        </w:rPr>
        <w:t>1 140 </w:t>
      </w:r>
      <w:r>
        <w:rPr>
          <w:rFonts w:cs="Arial"/>
          <w:color w:val="0D0D0D" w:themeColor="text1" w:themeTint="F2"/>
          <w:spacing w:val="-3"/>
          <w:sz w:val="16"/>
          <w:szCs w:val="16"/>
          <w:lang w:val="en-GB"/>
        </w:rPr>
        <w:t>dwellings were created here for the whole last year</w:t>
      </w:r>
      <w:r w:rsidRPr="0028578A">
        <w:rPr>
          <w:rFonts w:cs="Arial"/>
          <w:color w:val="0D0D0D" w:themeColor="text1" w:themeTint="F2"/>
          <w:spacing w:val="-3"/>
          <w:sz w:val="16"/>
          <w:szCs w:val="16"/>
          <w:lang w:val="en-GB"/>
        </w:rPr>
        <w:t xml:space="preserve">, </w:t>
      </w:r>
      <w:r>
        <w:rPr>
          <w:rFonts w:cs="Arial"/>
          <w:color w:val="0D0D0D" w:themeColor="text1" w:themeTint="F2"/>
          <w:spacing w:val="-3"/>
          <w:sz w:val="16"/>
          <w:szCs w:val="16"/>
          <w:lang w:val="en-GB"/>
        </w:rPr>
        <w:t xml:space="preserve">the most after year </w:t>
      </w:r>
      <w:r w:rsidRPr="0028578A">
        <w:rPr>
          <w:rFonts w:cs="Arial"/>
          <w:color w:val="0D0D0D" w:themeColor="text1" w:themeTint="F2"/>
          <w:spacing w:val="-3"/>
          <w:sz w:val="16"/>
          <w:szCs w:val="16"/>
          <w:lang w:val="en-GB"/>
        </w:rPr>
        <w:t xml:space="preserve">2005. </w:t>
      </w:r>
      <w:r>
        <w:rPr>
          <w:rFonts w:cs="Arial"/>
          <w:color w:val="0D0D0D" w:themeColor="text1" w:themeTint="F2"/>
          <w:spacing w:val="-3"/>
          <w:sz w:val="16"/>
          <w:szCs w:val="16"/>
          <w:lang w:val="en-GB"/>
        </w:rPr>
        <w:t xml:space="preserve">More than one half of these were located in Central Bohemia and Ustecky region in year </w:t>
      </w:r>
      <w:r w:rsidRPr="0028578A">
        <w:rPr>
          <w:rFonts w:cs="Arial"/>
          <w:color w:val="0D0D0D" w:themeColor="text1" w:themeTint="F2"/>
          <w:spacing w:val="-3"/>
          <w:sz w:val="16"/>
          <w:szCs w:val="16"/>
          <w:lang w:val="en-GB"/>
        </w:rPr>
        <w:t>2018</w:t>
      </w:r>
      <w:r>
        <w:rPr>
          <w:rFonts w:cs="Arial"/>
          <w:color w:val="0D0D0D" w:themeColor="text1" w:themeTint="F2"/>
          <w:spacing w:val="-3"/>
          <w:sz w:val="16"/>
          <w:szCs w:val="16"/>
          <w:lang w:val="en-GB"/>
        </w:rPr>
        <w:t xml:space="preserve">. Frequency of dwellings completed in the extensions to residential buildings also grows – </w:t>
      </w:r>
      <w:r w:rsidRPr="0028578A">
        <w:rPr>
          <w:rFonts w:cs="Arial"/>
          <w:color w:val="0D0D0D" w:themeColor="text1" w:themeTint="F2"/>
          <w:spacing w:val="-3"/>
          <w:sz w:val="16"/>
          <w:szCs w:val="16"/>
          <w:lang w:val="en-GB"/>
        </w:rPr>
        <w:t>1</w:t>
      </w:r>
      <w:r>
        <w:rPr>
          <w:rFonts w:cs="Arial"/>
          <w:color w:val="0D0D0D" w:themeColor="text1" w:themeTint="F2"/>
          <w:spacing w:val="-3"/>
          <w:sz w:val="16"/>
          <w:szCs w:val="16"/>
          <w:lang w:val="en-GB"/>
        </w:rPr>
        <w:t> </w:t>
      </w:r>
      <w:r w:rsidRPr="0028578A">
        <w:rPr>
          <w:rFonts w:cs="Arial"/>
          <w:color w:val="0D0D0D" w:themeColor="text1" w:themeTint="F2"/>
          <w:spacing w:val="-3"/>
          <w:sz w:val="16"/>
          <w:szCs w:val="16"/>
          <w:lang w:val="en-GB"/>
        </w:rPr>
        <w:t>025</w:t>
      </w:r>
      <w:r>
        <w:rPr>
          <w:rFonts w:cs="Arial"/>
          <w:color w:val="0D0D0D" w:themeColor="text1" w:themeTint="F2"/>
          <w:spacing w:val="-3"/>
          <w:sz w:val="16"/>
          <w:szCs w:val="16"/>
          <w:lang w:val="en-GB"/>
        </w:rPr>
        <w:t xml:space="preserve"> dwellings were completed this way in H1 2019, which presented the largest half-yearly sum after year </w:t>
      </w:r>
      <w:r w:rsidRPr="0028578A">
        <w:rPr>
          <w:rFonts w:cs="Arial"/>
          <w:color w:val="0D0D0D" w:themeColor="text1" w:themeTint="F2"/>
          <w:spacing w:val="-3"/>
          <w:sz w:val="16"/>
          <w:szCs w:val="16"/>
          <w:lang w:val="en-GB"/>
        </w:rPr>
        <w:t>2006.</w:t>
      </w:r>
      <w:r>
        <w:rPr>
          <w:rFonts w:cs="Arial"/>
          <w:color w:val="0D0D0D" w:themeColor="text1" w:themeTint="F2"/>
          <w:spacing w:val="-3"/>
          <w:sz w:val="16"/>
          <w:szCs w:val="16"/>
          <w:lang w:val="en-GB"/>
        </w:rPr>
        <w:t xml:space="preserve"> It can constitute an interesting alternative with respect to time and finances to significantly predominating construction of new residential buildings especially in the largest cities. </w:t>
      </w:r>
    </w:p>
  </w:footnote>
  <w:footnote w:id="28">
    <w:p w:rsidR="00665624" w:rsidRPr="008C6F26" w:rsidRDefault="00665624" w:rsidP="008402AD">
      <w:pPr>
        <w:pStyle w:val="Textpoznpodarou"/>
        <w:jc w:val="both"/>
        <w:rPr>
          <w:rFonts w:cs="Arial"/>
          <w:color w:val="0D0D0D" w:themeColor="text1" w:themeTint="F2"/>
          <w:spacing w:val="-4"/>
          <w:sz w:val="16"/>
          <w:szCs w:val="16"/>
          <w:lang w:val="en-GB"/>
        </w:rPr>
      </w:pPr>
      <w:r w:rsidRPr="008C6F26">
        <w:rPr>
          <w:rStyle w:val="Znakapoznpodarou"/>
          <w:rFonts w:cs="Arial"/>
          <w:color w:val="0D0D0D" w:themeColor="text1" w:themeTint="F2"/>
          <w:spacing w:val="-4"/>
          <w:sz w:val="16"/>
          <w:szCs w:val="16"/>
          <w:lang w:val="en-GB"/>
        </w:rPr>
        <w:footnoteRef/>
      </w:r>
      <w:r w:rsidRPr="008C6F26">
        <w:rPr>
          <w:rFonts w:cs="Arial"/>
          <w:color w:val="0D0D0D" w:themeColor="text1" w:themeTint="F2"/>
          <w:spacing w:val="-4"/>
          <w:sz w:val="16"/>
          <w:szCs w:val="16"/>
          <w:lang w:val="en-GB"/>
        </w:rPr>
        <w:t xml:space="preserve"> New orders hiked up to 71.3 CZK bn in Q2 2018. Their size as well as year-on-year pace (+33%) counted among the highest in the CR era. </w:t>
      </w:r>
    </w:p>
  </w:footnote>
  <w:footnote w:id="29">
    <w:p w:rsidR="00665624" w:rsidRPr="008C6F26" w:rsidRDefault="00665624" w:rsidP="008402AD">
      <w:pPr>
        <w:pStyle w:val="Textpoznpodarou"/>
        <w:jc w:val="both"/>
        <w:rPr>
          <w:rFonts w:cs="Arial"/>
          <w:color w:val="0D0D0D" w:themeColor="text1" w:themeTint="F2"/>
          <w:spacing w:val="-4"/>
          <w:sz w:val="16"/>
          <w:szCs w:val="16"/>
          <w:lang w:val="en-GB"/>
        </w:rPr>
      </w:pPr>
      <w:r w:rsidRPr="008C6F26">
        <w:rPr>
          <w:rStyle w:val="Znakapoznpodarou"/>
          <w:rFonts w:cs="Arial"/>
          <w:color w:val="0D0D0D" w:themeColor="text1" w:themeTint="F2"/>
          <w:spacing w:val="-4"/>
          <w:sz w:val="16"/>
          <w:szCs w:val="16"/>
          <w:lang w:val="en-GB"/>
        </w:rPr>
        <w:footnoteRef/>
      </w:r>
      <w:r w:rsidRPr="008C6F26">
        <w:rPr>
          <w:rFonts w:cs="Arial"/>
          <w:color w:val="0D0D0D" w:themeColor="text1" w:themeTint="F2"/>
          <w:spacing w:val="-4"/>
          <w:sz w:val="16"/>
          <w:szCs w:val="16"/>
          <w:lang w:val="en-GB"/>
        </w:rPr>
        <w:t xml:space="preserve"> The approximate value per one building permit also increased (it was 4.7 CZK mil in H1 2019, 4.2 mil a year ago). It grew the fastest for new construction year-on-year (both residential and non-residential buildings). Total value of buildings permits strengthened by 19% year-on-year. </w:t>
      </w:r>
    </w:p>
  </w:footnote>
  <w:footnote w:id="30">
    <w:p w:rsidR="00665624" w:rsidRPr="0028578A" w:rsidRDefault="00665624" w:rsidP="008402AD">
      <w:pPr>
        <w:pStyle w:val="Textpoznpodarou"/>
        <w:jc w:val="both"/>
        <w:rPr>
          <w:rFonts w:cs="Arial"/>
          <w:color w:val="0D0D0D" w:themeColor="text1" w:themeTint="F2"/>
          <w:spacing w:val="-3"/>
          <w:sz w:val="16"/>
          <w:szCs w:val="16"/>
          <w:lang w:val="en-GB"/>
        </w:rPr>
      </w:pPr>
      <w:r w:rsidRPr="008C6F26">
        <w:rPr>
          <w:rStyle w:val="Znakapoznpodarou"/>
          <w:rFonts w:cs="Arial"/>
          <w:color w:val="0D0D0D" w:themeColor="text1" w:themeTint="F2"/>
          <w:spacing w:val="-4"/>
          <w:sz w:val="16"/>
          <w:szCs w:val="16"/>
          <w:lang w:val="en-GB"/>
        </w:rPr>
        <w:footnoteRef/>
      </w:r>
      <w:r w:rsidRPr="008C6F26">
        <w:rPr>
          <w:rFonts w:cs="Arial"/>
          <w:color w:val="0D0D0D" w:themeColor="text1" w:themeTint="F2"/>
          <w:spacing w:val="-4"/>
          <w:sz w:val="16"/>
          <w:szCs w:val="16"/>
          <w:lang w:val="en-GB"/>
        </w:rPr>
        <w:t xml:space="preserve"> Total stock of orders provided construction firms with work for on average further 10.5 months in Q2 („only“ for 9.2 months in the same period of year 2018). Capacity of construction businesses in the CR is thus very stretched not only historically, but also in the international view. </w:t>
      </w:r>
      <w:r>
        <w:rPr>
          <w:rFonts w:cs="Arial"/>
          <w:color w:val="0D0D0D" w:themeColor="text1" w:themeTint="F2"/>
          <w:spacing w:val="-4"/>
          <w:sz w:val="16"/>
          <w:szCs w:val="16"/>
          <w:lang w:val="en-GB"/>
        </w:rPr>
        <w:t>Within EU members, o</w:t>
      </w:r>
      <w:r w:rsidRPr="008C6F26">
        <w:rPr>
          <w:rFonts w:cs="Arial"/>
          <w:color w:val="0D0D0D" w:themeColor="text1" w:themeTint="F2"/>
          <w:spacing w:val="-4"/>
          <w:sz w:val="16"/>
          <w:szCs w:val="16"/>
          <w:lang w:val="en-GB"/>
        </w:rPr>
        <w:t>nly businesses in Spain (16.8 months) and Italy (12.8) were busier this year. Slovakia (9.8) and Poland (9.6) also recorded high values.</w:t>
      </w:r>
    </w:p>
  </w:footnote>
  <w:footnote w:id="31">
    <w:p w:rsidR="00665624" w:rsidRPr="0028578A" w:rsidRDefault="00665624" w:rsidP="008402AD">
      <w:pPr>
        <w:pStyle w:val="Textpoznpodarou"/>
        <w:jc w:val="both"/>
        <w:rPr>
          <w:rFonts w:cs="Arial"/>
          <w:color w:val="0D0D0D" w:themeColor="text1" w:themeTint="F2"/>
          <w:spacing w:val="-4"/>
          <w:sz w:val="16"/>
          <w:szCs w:val="16"/>
          <w:lang w:val="en-GB"/>
        </w:rPr>
      </w:pPr>
      <w:r w:rsidRPr="0028578A">
        <w:rPr>
          <w:rStyle w:val="Znakapoznpodarou"/>
          <w:rFonts w:cs="Arial"/>
          <w:color w:val="0D0D0D" w:themeColor="text1" w:themeTint="F2"/>
          <w:spacing w:val="-4"/>
          <w:sz w:val="16"/>
          <w:szCs w:val="16"/>
          <w:lang w:val="en-GB"/>
        </w:rPr>
        <w:footnoteRef/>
      </w:r>
      <w:r w:rsidRPr="0028578A">
        <w:rPr>
          <w:rFonts w:cs="Arial"/>
          <w:color w:val="0D0D0D" w:themeColor="text1" w:themeTint="F2"/>
          <w:spacing w:val="-4"/>
          <w:sz w:val="16"/>
          <w:szCs w:val="16"/>
          <w:lang w:val="en-GB"/>
        </w:rPr>
        <w:t xml:space="preserve"> </w:t>
      </w:r>
      <w:r>
        <w:rPr>
          <w:rFonts w:cs="Arial"/>
          <w:color w:val="0D0D0D" w:themeColor="text1" w:themeTint="F2"/>
          <w:spacing w:val="-4"/>
          <w:sz w:val="16"/>
          <w:szCs w:val="16"/>
          <w:lang w:val="en-GB"/>
        </w:rPr>
        <w:t>If the inadequate demand troubled one half of construction businesses and shortage of workers one fifth of them in Q</w:t>
      </w:r>
      <w:r w:rsidRPr="0028578A">
        <w:rPr>
          <w:rFonts w:cs="Arial"/>
          <w:color w:val="0D0D0D" w:themeColor="text1" w:themeTint="F2"/>
          <w:spacing w:val="-4"/>
          <w:sz w:val="16"/>
          <w:szCs w:val="16"/>
          <w:lang w:val="en-GB"/>
        </w:rPr>
        <w:t>3</w:t>
      </w:r>
      <w:r>
        <w:rPr>
          <w:rFonts w:cs="Arial"/>
          <w:color w:val="0D0D0D" w:themeColor="text1" w:themeTint="F2"/>
          <w:spacing w:val="-4"/>
          <w:sz w:val="16"/>
          <w:szCs w:val="16"/>
          <w:lang w:val="en-GB"/>
        </w:rPr>
        <w:t xml:space="preserve"> </w:t>
      </w:r>
      <w:r w:rsidRPr="0028578A">
        <w:rPr>
          <w:rFonts w:cs="Arial"/>
          <w:color w:val="0D0D0D" w:themeColor="text1" w:themeTint="F2"/>
          <w:spacing w:val="-4"/>
          <w:sz w:val="16"/>
          <w:szCs w:val="16"/>
          <w:lang w:val="en-GB"/>
        </w:rPr>
        <w:t xml:space="preserve">2017, these relations nearly turned two years later. Construction thus experienced a similar situation </w:t>
      </w:r>
      <w:r>
        <w:rPr>
          <w:rFonts w:cs="Arial"/>
          <w:color w:val="0D0D0D" w:themeColor="text1" w:themeTint="F2"/>
          <w:spacing w:val="-4"/>
          <w:sz w:val="16"/>
          <w:szCs w:val="16"/>
          <w:lang w:val="en-GB"/>
        </w:rPr>
        <w:t>(</w:t>
      </w:r>
      <w:r w:rsidRPr="0028578A">
        <w:rPr>
          <w:rFonts w:cs="Arial"/>
          <w:color w:val="0D0D0D" w:themeColor="text1" w:themeTint="F2"/>
          <w:spacing w:val="-4"/>
          <w:sz w:val="16"/>
          <w:szCs w:val="16"/>
          <w:lang w:val="en-GB"/>
        </w:rPr>
        <w:t xml:space="preserve">in </w:t>
      </w:r>
      <w:r>
        <w:rPr>
          <w:rFonts w:cs="Arial"/>
          <w:color w:val="0D0D0D" w:themeColor="text1" w:themeTint="F2"/>
          <w:spacing w:val="-4"/>
          <w:sz w:val="16"/>
          <w:szCs w:val="16"/>
          <w:lang w:val="en-GB"/>
        </w:rPr>
        <w:t xml:space="preserve">slightly </w:t>
      </w:r>
      <w:r w:rsidRPr="0028578A">
        <w:rPr>
          <w:rFonts w:cs="Arial"/>
          <w:color w:val="0D0D0D" w:themeColor="text1" w:themeTint="F2"/>
          <w:spacing w:val="-4"/>
          <w:sz w:val="16"/>
          <w:szCs w:val="16"/>
          <w:lang w:val="en-GB"/>
        </w:rPr>
        <w:t>accentuated form</w:t>
      </w:r>
      <w:r>
        <w:rPr>
          <w:rFonts w:cs="Arial"/>
          <w:color w:val="0D0D0D" w:themeColor="text1" w:themeTint="F2"/>
          <w:spacing w:val="-4"/>
          <w:sz w:val="16"/>
          <w:szCs w:val="16"/>
          <w:lang w:val="en-GB"/>
        </w:rPr>
        <w:t>)</w:t>
      </w:r>
      <w:r w:rsidRPr="0028578A">
        <w:rPr>
          <w:rFonts w:cs="Arial"/>
          <w:color w:val="0D0D0D" w:themeColor="text1" w:themeTint="F2"/>
          <w:spacing w:val="-4"/>
          <w:sz w:val="16"/>
          <w:szCs w:val="16"/>
          <w:lang w:val="en-GB"/>
        </w:rPr>
        <w:t xml:space="preserve">, which occurred in industry </w:t>
      </w:r>
      <w:r>
        <w:rPr>
          <w:rFonts w:cs="Arial"/>
          <w:color w:val="0D0D0D" w:themeColor="text1" w:themeTint="F2"/>
          <w:spacing w:val="-4"/>
          <w:sz w:val="16"/>
          <w:szCs w:val="16"/>
          <w:lang w:val="en-GB"/>
        </w:rPr>
        <w:t>dur</w:t>
      </w:r>
      <w:r w:rsidRPr="0028578A">
        <w:rPr>
          <w:rFonts w:cs="Arial"/>
          <w:color w:val="0D0D0D" w:themeColor="text1" w:themeTint="F2"/>
          <w:spacing w:val="-4"/>
          <w:sz w:val="16"/>
          <w:szCs w:val="16"/>
          <w:lang w:val="en-GB"/>
        </w:rPr>
        <w:t>in</w:t>
      </w:r>
      <w:r>
        <w:rPr>
          <w:rFonts w:cs="Arial"/>
          <w:color w:val="0D0D0D" w:themeColor="text1" w:themeTint="F2"/>
          <w:spacing w:val="-4"/>
          <w:sz w:val="16"/>
          <w:szCs w:val="16"/>
          <w:lang w:val="en-GB"/>
        </w:rPr>
        <w:t>g</w:t>
      </w:r>
      <w:r w:rsidRPr="0028578A">
        <w:rPr>
          <w:rFonts w:cs="Arial"/>
          <w:color w:val="0D0D0D" w:themeColor="text1" w:themeTint="F2"/>
          <w:spacing w:val="-4"/>
          <w:sz w:val="16"/>
          <w:szCs w:val="16"/>
          <w:lang w:val="en-GB"/>
        </w:rPr>
        <w:t xml:space="preserve"> years 2016 and 2017.</w:t>
      </w:r>
    </w:p>
  </w:footnote>
  <w:footnote w:id="32">
    <w:p w:rsidR="00665624" w:rsidRPr="0028578A" w:rsidRDefault="00665624" w:rsidP="008402AD">
      <w:pPr>
        <w:spacing w:after="0" w:line="240" w:lineRule="auto"/>
        <w:rPr>
          <w:lang w:val="en-GB"/>
        </w:rPr>
      </w:pPr>
      <w:r w:rsidRPr="0028578A">
        <w:rPr>
          <w:rStyle w:val="Znakapoznpodarou"/>
          <w:color w:val="0D0D0D" w:themeColor="text1" w:themeTint="F2"/>
          <w:sz w:val="16"/>
          <w:szCs w:val="16"/>
          <w:lang w:val="en-GB"/>
        </w:rPr>
        <w:footnoteRef/>
      </w:r>
      <w:r w:rsidRPr="0028578A">
        <w:rPr>
          <w:color w:val="0D0D0D" w:themeColor="text1" w:themeTint="F2"/>
          <w:sz w:val="16"/>
          <w:szCs w:val="16"/>
          <w:lang w:val="en-GB"/>
        </w:rPr>
        <w:t xml:space="preserve"> Excluding trade, financial and</w:t>
      </w:r>
      <w:r>
        <w:rPr>
          <w:color w:val="0D0D0D" w:themeColor="text1" w:themeTint="F2"/>
          <w:sz w:val="16"/>
          <w:szCs w:val="16"/>
          <w:lang w:val="en-GB"/>
        </w:rPr>
        <w:t xml:space="preserve"> insurance activities, </w:t>
      </w:r>
      <w:r w:rsidRPr="0028578A">
        <w:rPr>
          <w:color w:val="0D0D0D" w:themeColor="text1" w:themeTint="F2"/>
          <w:sz w:val="16"/>
          <w:szCs w:val="16"/>
          <w:lang w:val="en-GB"/>
        </w:rPr>
        <w:t xml:space="preserve">research </w:t>
      </w:r>
      <w:r>
        <w:rPr>
          <w:color w:val="0D0D0D" w:themeColor="text1" w:themeTint="F2"/>
          <w:sz w:val="16"/>
          <w:szCs w:val="16"/>
          <w:lang w:val="en-GB"/>
        </w:rPr>
        <w:t xml:space="preserve">and development, </w:t>
      </w:r>
      <w:r w:rsidRPr="0028578A">
        <w:rPr>
          <w:color w:val="0D0D0D" w:themeColor="text1" w:themeTint="F2"/>
          <w:sz w:val="16"/>
          <w:szCs w:val="16"/>
          <w:lang w:val="en-GB"/>
        </w:rPr>
        <w:t xml:space="preserve">and </w:t>
      </w:r>
      <w:r>
        <w:rPr>
          <w:color w:val="0D0D0D" w:themeColor="text1" w:themeTint="F2"/>
          <w:sz w:val="16"/>
          <w:szCs w:val="16"/>
          <w:lang w:val="en-GB"/>
        </w:rPr>
        <w:t xml:space="preserve">also </w:t>
      </w:r>
      <w:r w:rsidRPr="0028578A">
        <w:rPr>
          <w:color w:val="0D0D0D" w:themeColor="text1" w:themeTint="F2"/>
          <w:sz w:val="16"/>
          <w:szCs w:val="16"/>
          <w:lang w:val="en-GB"/>
        </w:rPr>
        <w:t>public services. All data for services are in constant prices, year-on-year data are adjusted for calendar effects, quarter-on-quarter data are adjusted for seasonal effects (including the effect of the</w:t>
      </w:r>
      <w:r>
        <w:rPr>
          <w:color w:val="0D0D0D" w:themeColor="text1" w:themeTint="F2"/>
          <w:sz w:val="16"/>
          <w:szCs w:val="16"/>
          <w:lang w:val="en-GB"/>
        </w:rPr>
        <w:t xml:space="preserve"> different</w:t>
      </w:r>
      <w:r w:rsidRPr="0028578A">
        <w:rPr>
          <w:color w:val="0D0D0D" w:themeColor="text1" w:themeTint="F2"/>
          <w:sz w:val="16"/>
          <w:szCs w:val="16"/>
          <w:lang w:val="en-GB"/>
        </w:rPr>
        <w:t xml:space="preserve"> number of working days).</w:t>
      </w:r>
    </w:p>
  </w:footnote>
  <w:footnote w:id="33">
    <w:p w:rsidR="00665624" w:rsidRPr="0028578A" w:rsidRDefault="00665624" w:rsidP="008402AD">
      <w:pPr>
        <w:spacing w:after="0" w:line="240" w:lineRule="auto"/>
        <w:rPr>
          <w:lang w:val="en-GB"/>
        </w:rPr>
      </w:pPr>
      <w:r w:rsidRPr="0028578A">
        <w:rPr>
          <w:rStyle w:val="Znakapoznpodarou"/>
          <w:color w:val="0D0D0D" w:themeColor="text1" w:themeTint="F2"/>
          <w:sz w:val="16"/>
          <w:szCs w:val="16"/>
          <w:lang w:val="en-GB"/>
        </w:rPr>
        <w:footnoteRef/>
      </w:r>
      <w:r w:rsidRPr="0028578A">
        <w:rPr>
          <w:color w:val="0D0D0D" w:themeColor="text1" w:themeTint="F2"/>
          <w:sz w:val="16"/>
          <w:szCs w:val="16"/>
          <w:lang w:val="en-GB"/>
        </w:rPr>
        <w:t xml:space="preserve"> Sales in the more significant segment </w:t>
      </w:r>
      <w:r>
        <w:rPr>
          <w:color w:val="0D0D0D" w:themeColor="text1" w:themeTint="F2"/>
          <w:sz w:val="16"/>
          <w:szCs w:val="16"/>
          <w:lang w:val="en-GB"/>
        </w:rPr>
        <w:t>(</w:t>
      </w:r>
      <w:r w:rsidRPr="0028578A">
        <w:rPr>
          <w:color w:val="0D0D0D" w:themeColor="text1" w:themeTint="F2"/>
          <w:sz w:val="16"/>
          <w:szCs w:val="16"/>
          <w:lang w:val="en-GB"/>
        </w:rPr>
        <w:t>by weight</w:t>
      </w:r>
      <w:r>
        <w:rPr>
          <w:color w:val="0D0D0D" w:themeColor="text1" w:themeTint="F2"/>
          <w:sz w:val="16"/>
          <w:szCs w:val="16"/>
          <w:lang w:val="en-GB"/>
        </w:rPr>
        <w:t>)</w:t>
      </w:r>
      <w:r w:rsidRPr="0028578A">
        <w:rPr>
          <w:color w:val="0D0D0D" w:themeColor="text1" w:themeTint="F2"/>
          <w:sz w:val="16"/>
          <w:szCs w:val="16"/>
          <w:lang w:val="en-GB"/>
        </w:rPr>
        <w:t xml:space="preserve"> </w:t>
      </w:r>
      <w:r>
        <w:rPr>
          <w:color w:val="0D0D0D" w:themeColor="text1" w:themeTint="F2"/>
          <w:sz w:val="16"/>
          <w:szCs w:val="16"/>
          <w:lang w:val="en-GB"/>
        </w:rPr>
        <w:t>“</w:t>
      </w:r>
      <w:r w:rsidRPr="0028578A">
        <w:rPr>
          <w:color w:val="0D0D0D" w:themeColor="text1" w:themeTint="F2"/>
          <w:sz w:val="16"/>
          <w:szCs w:val="16"/>
          <w:lang w:val="en-GB"/>
        </w:rPr>
        <w:t>the sale and renting of real estate</w:t>
      </w:r>
      <w:r>
        <w:rPr>
          <w:color w:val="0D0D0D" w:themeColor="text1" w:themeTint="F2"/>
          <w:sz w:val="16"/>
          <w:szCs w:val="16"/>
          <w:lang w:val="en-GB"/>
        </w:rPr>
        <w:t>” remained stable</w:t>
      </w:r>
      <w:r w:rsidRPr="0028578A">
        <w:rPr>
          <w:color w:val="0D0D0D" w:themeColor="text1" w:themeTint="F2"/>
          <w:sz w:val="16"/>
          <w:szCs w:val="16"/>
          <w:lang w:val="en-GB"/>
        </w:rPr>
        <w:t xml:space="preserve"> year-on-year. </w:t>
      </w:r>
    </w:p>
  </w:footnote>
  <w:footnote w:id="34">
    <w:p w:rsidR="00665624" w:rsidRPr="004A2D6B" w:rsidRDefault="00665624" w:rsidP="008402AD">
      <w:pPr>
        <w:pStyle w:val="Textpoznpodarou"/>
        <w:jc w:val="both"/>
        <w:rPr>
          <w:spacing w:val="-4"/>
          <w:sz w:val="16"/>
          <w:szCs w:val="16"/>
          <w:lang w:val="en-GB"/>
        </w:rPr>
      </w:pPr>
      <w:r w:rsidRPr="005813A9">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w:t>
      </w:r>
      <w:r w:rsidRPr="004A2D6B">
        <w:rPr>
          <w:rFonts w:cs="Arial"/>
          <w:color w:val="0D0D0D" w:themeColor="text1" w:themeTint="F2"/>
          <w:spacing w:val="-2"/>
          <w:sz w:val="16"/>
          <w:szCs w:val="16"/>
          <w:lang w:val="en-GB"/>
        </w:rPr>
        <w:t xml:space="preserve">The segment of motion picture distribution itself also thrived. </w:t>
      </w:r>
      <w:r w:rsidRPr="004A2D6B">
        <w:rPr>
          <w:sz w:val="16"/>
          <w:szCs w:val="16"/>
          <w:lang w:val="en-GB"/>
        </w:rPr>
        <w:t xml:space="preserve">According to the Union of motion picture distributors, the sales from entrance fees in cinemas </w:t>
      </w:r>
      <w:r>
        <w:rPr>
          <w:sz w:val="16"/>
          <w:szCs w:val="16"/>
          <w:lang w:val="en-GB"/>
        </w:rPr>
        <w:t xml:space="preserve">in the CR </w:t>
      </w:r>
      <w:r w:rsidRPr="004A2D6B">
        <w:rPr>
          <w:sz w:val="16"/>
          <w:szCs w:val="16"/>
          <w:lang w:val="en-GB"/>
        </w:rPr>
        <w:t>increased by one quarter year-on-year and number of visitors reached 8.8 mil</w:t>
      </w:r>
      <w:r>
        <w:rPr>
          <w:sz w:val="16"/>
          <w:szCs w:val="16"/>
          <w:lang w:val="en-GB"/>
        </w:rPr>
        <w:t>. in H1 2019</w:t>
      </w:r>
      <w:r w:rsidRPr="004A2D6B">
        <w:rPr>
          <w:sz w:val="16"/>
          <w:szCs w:val="16"/>
          <w:lang w:val="en-GB"/>
        </w:rPr>
        <w:t xml:space="preserve"> – the largest amount within first half-years in the history of independent CR.  </w:t>
      </w:r>
    </w:p>
  </w:footnote>
  <w:footnote w:id="35">
    <w:p w:rsidR="00665624" w:rsidRPr="004A2D6B" w:rsidRDefault="00665624" w:rsidP="00E343C7">
      <w:pPr>
        <w:spacing w:after="0" w:line="240" w:lineRule="auto"/>
        <w:rPr>
          <w:spacing w:val="-2"/>
          <w:lang w:val="en-GB"/>
        </w:rPr>
      </w:pPr>
      <w:r w:rsidRPr="004A2D6B">
        <w:rPr>
          <w:rStyle w:val="Znakapoznpodarou"/>
          <w:color w:val="0D0D0D" w:themeColor="text1" w:themeTint="F2"/>
          <w:spacing w:val="-2"/>
          <w:sz w:val="16"/>
          <w:szCs w:val="16"/>
          <w:lang w:val="en-GB"/>
        </w:rPr>
        <w:footnoteRef/>
      </w:r>
      <w:r w:rsidRPr="004A2D6B">
        <w:rPr>
          <w:spacing w:val="-2"/>
          <w:sz w:val="16"/>
          <w:szCs w:val="16"/>
          <w:lang w:val="en-GB"/>
        </w:rPr>
        <w:t xml:space="preserve"> </w:t>
      </w:r>
      <w:r>
        <w:rPr>
          <w:spacing w:val="-2"/>
          <w:sz w:val="16"/>
          <w:szCs w:val="16"/>
          <w:lang w:val="en-GB"/>
        </w:rPr>
        <w:t xml:space="preserve">It was the most among all branch sections of services. </w:t>
      </w:r>
      <w:r w:rsidRPr="004A2D6B">
        <w:rPr>
          <w:spacing w:val="-2"/>
          <w:sz w:val="16"/>
          <w:szCs w:val="16"/>
          <w:lang w:val="en-GB"/>
        </w:rPr>
        <w:t xml:space="preserve">Growth arrived at 25% in information and communication. </w:t>
      </w:r>
    </w:p>
  </w:footnote>
  <w:footnote w:id="36">
    <w:p w:rsidR="00665624" w:rsidRPr="004A2D6B" w:rsidRDefault="00665624" w:rsidP="00E343C7">
      <w:pPr>
        <w:spacing w:after="0" w:line="240" w:lineRule="auto"/>
        <w:rPr>
          <w:spacing w:val="-3"/>
          <w:lang w:val="en-GB"/>
        </w:rPr>
      </w:pPr>
      <w:r w:rsidRPr="004A2D6B">
        <w:rPr>
          <w:rStyle w:val="Znakapoznpodarou"/>
          <w:color w:val="0D0D0D" w:themeColor="text1" w:themeTint="F2"/>
          <w:spacing w:val="-3"/>
          <w:sz w:val="16"/>
          <w:szCs w:val="16"/>
          <w:lang w:val="en-GB"/>
        </w:rPr>
        <w:footnoteRef/>
      </w:r>
      <w:r w:rsidRPr="004A2D6B">
        <w:rPr>
          <w:color w:val="0D0D0D" w:themeColor="text1" w:themeTint="F2"/>
          <w:spacing w:val="-3"/>
          <w:sz w:val="16"/>
          <w:szCs w:val="16"/>
          <w:lang w:val="en-GB"/>
        </w:rPr>
        <w:t xml:space="preserve"> </w:t>
      </w:r>
      <w:r>
        <w:rPr>
          <w:color w:val="0D0D0D" w:themeColor="text1" w:themeTint="F2"/>
          <w:spacing w:val="-3"/>
          <w:sz w:val="16"/>
          <w:szCs w:val="16"/>
          <w:lang w:val="en-GB"/>
        </w:rPr>
        <w:t>It grew by 2.5% year-on-year in H</w:t>
      </w:r>
      <w:r w:rsidRPr="004A2D6B">
        <w:rPr>
          <w:color w:val="0D0D0D" w:themeColor="text1" w:themeTint="F2"/>
          <w:spacing w:val="-3"/>
          <w:sz w:val="16"/>
          <w:szCs w:val="16"/>
          <w:lang w:val="en-GB"/>
        </w:rPr>
        <w:t>1</w:t>
      </w:r>
      <w:r>
        <w:rPr>
          <w:color w:val="0D0D0D" w:themeColor="text1" w:themeTint="F2"/>
          <w:spacing w:val="-3"/>
          <w:sz w:val="16"/>
          <w:szCs w:val="16"/>
          <w:lang w:val="en-GB"/>
        </w:rPr>
        <w:t xml:space="preserve"> </w:t>
      </w:r>
      <w:r w:rsidRPr="004A2D6B">
        <w:rPr>
          <w:color w:val="0D0D0D" w:themeColor="text1" w:themeTint="F2"/>
          <w:spacing w:val="-3"/>
          <w:sz w:val="16"/>
          <w:szCs w:val="16"/>
          <w:lang w:val="en-GB"/>
        </w:rPr>
        <w:t xml:space="preserve">2019, </w:t>
      </w:r>
      <w:r>
        <w:rPr>
          <w:color w:val="0D0D0D" w:themeColor="text1" w:themeTint="F2"/>
          <w:spacing w:val="-3"/>
          <w:sz w:val="16"/>
          <w:szCs w:val="16"/>
          <w:lang w:val="en-GB"/>
        </w:rPr>
        <w:t xml:space="preserve">for the most part thanks to domestic visitors </w:t>
      </w:r>
      <w:r w:rsidRPr="004A2D6B">
        <w:rPr>
          <w:color w:val="0D0D0D" w:themeColor="text1" w:themeTint="F2"/>
          <w:spacing w:val="-3"/>
          <w:sz w:val="16"/>
          <w:szCs w:val="16"/>
          <w:lang w:val="en-GB"/>
        </w:rPr>
        <w:t>(+4</w:t>
      </w:r>
      <w:r>
        <w:rPr>
          <w:color w:val="0D0D0D" w:themeColor="text1" w:themeTint="F2"/>
          <w:spacing w:val="-3"/>
          <w:sz w:val="16"/>
          <w:szCs w:val="16"/>
          <w:lang w:val="en-GB"/>
        </w:rPr>
        <w:t>.</w:t>
      </w:r>
      <w:r w:rsidRPr="004A2D6B">
        <w:rPr>
          <w:color w:val="0D0D0D" w:themeColor="text1" w:themeTint="F2"/>
          <w:spacing w:val="-3"/>
          <w:sz w:val="16"/>
          <w:szCs w:val="16"/>
          <w:lang w:val="en-GB"/>
        </w:rPr>
        <w:t xml:space="preserve">0%). </w:t>
      </w:r>
      <w:r>
        <w:rPr>
          <w:color w:val="0D0D0D" w:themeColor="text1" w:themeTint="F2"/>
          <w:spacing w:val="-3"/>
          <w:sz w:val="16"/>
          <w:szCs w:val="16"/>
          <w:lang w:val="en-GB"/>
        </w:rPr>
        <w:t xml:space="preserve">Visitors from Germany, other neighbouring countries of the CR and also from the USA contributed the most to the slight increase of number of overnight stays of non-residents. Decrease was on the contrary observed for visitors from Russia </w:t>
      </w:r>
      <w:r w:rsidRPr="004A2D6B">
        <w:rPr>
          <w:color w:val="0D0D0D" w:themeColor="text1" w:themeTint="F2"/>
          <w:spacing w:val="-3"/>
          <w:sz w:val="16"/>
          <w:szCs w:val="16"/>
          <w:lang w:val="en-GB"/>
        </w:rPr>
        <w:t>(</w:t>
      </w:r>
      <w:r>
        <w:rPr>
          <w:color w:val="0D0D0D" w:themeColor="text1" w:themeTint="F2"/>
          <w:spacing w:val="-3"/>
          <w:sz w:val="16"/>
          <w:szCs w:val="16"/>
          <w:lang w:val="en-GB"/>
        </w:rPr>
        <w:t>visitors</w:t>
      </w:r>
      <w:r w:rsidRPr="004A2D6B">
        <w:rPr>
          <w:color w:val="0D0D0D" w:themeColor="text1" w:themeTint="F2"/>
          <w:spacing w:val="-3"/>
          <w:sz w:val="16"/>
          <w:szCs w:val="16"/>
          <w:lang w:val="en-GB"/>
        </w:rPr>
        <w:t>: –1</w:t>
      </w:r>
      <w:r>
        <w:rPr>
          <w:color w:val="0D0D0D" w:themeColor="text1" w:themeTint="F2"/>
          <w:spacing w:val="-3"/>
          <w:sz w:val="16"/>
          <w:szCs w:val="16"/>
          <w:lang w:val="en-GB"/>
        </w:rPr>
        <w:t>.6</w:t>
      </w:r>
      <w:r w:rsidRPr="004A2D6B">
        <w:rPr>
          <w:color w:val="0D0D0D" w:themeColor="text1" w:themeTint="F2"/>
          <w:spacing w:val="-3"/>
          <w:sz w:val="16"/>
          <w:szCs w:val="16"/>
          <w:lang w:val="en-GB"/>
        </w:rPr>
        <w:t xml:space="preserve">%, </w:t>
      </w:r>
      <w:r>
        <w:rPr>
          <w:color w:val="0D0D0D" w:themeColor="text1" w:themeTint="F2"/>
          <w:spacing w:val="-3"/>
          <w:sz w:val="16"/>
          <w:szCs w:val="16"/>
          <w:lang w:val="en-GB"/>
        </w:rPr>
        <w:t>overnight stays</w:t>
      </w:r>
      <w:r w:rsidRPr="004A2D6B">
        <w:rPr>
          <w:color w:val="0D0D0D" w:themeColor="text1" w:themeTint="F2"/>
          <w:spacing w:val="-3"/>
          <w:sz w:val="16"/>
          <w:szCs w:val="16"/>
          <w:lang w:val="en-GB"/>
        </w:rPr>
        <w:t>: –7</w:t>
      </w:r>
      <w:r>
        <w:rPr>
          <w:color w:val="0D0D0D" w:themeColor="text1" w:themeTint="F2"/>
          <w:spacing w:val="-3"/>
          <w:sz w:val="16"/>
          <w:szCs w:val="16"/>
          <w:lang w:val="en-GB"/>
        </w:rPr>
        <w:t>.</w:t>
      </w:r>
      <w:r w:rsidRPr="004A2D6B">
        <w:rPr>
          <w:color w:val="0D0D0D" w:themeColor="text1" w:themeTint="F2"/>
          <w:spacing w:val="-3"/>
          <w:sz w:val="16"/>
          <w:szCs w:val="16"/>
          <w:lang w:val="en-GB"/>
        </w:rPr>
        <w:t xml:space="preserve">8%). </w:t>
      </w:r>
      <w:r>
        <w:rPr>
          <w:color w:val="0D0D0D" w:themeColor="text1" w:themeTint="F2"/>
          <w:spacing w:val="-3"/>
          <w:sz w:val="16"/>
          <w:szCs w:val="16"/>
          <w:lang w:val="en-GB"/>
        </w:rPr>
        <w:t>All regions of the CR except for Zlinsky region (</w:t>
      </w:r>
      <w:r w:rsidRPr="004A2D6B">
        <w:rPr>
          <w:color w:val="0D0D0D" w:themeColor="text1" w:themeTint="F2"/>
          <w:spacing w:val="-3"/>
          <w:sz w:val="16"/>
          <w:szCs w:val="16"/>
          <w:lang w:val="en-GB"/>
        </w:rPr>
        <w:t>–</w:t>
      </w:r>
      <w:r>
        <w:rPr>
          <w:color w:val="0D0D0D" w:themeColor="text1" w:themeTint="F2"/>
          <w:spacing w:val="-3"/>
          <w:sz w:val="16"/>
          <w:szCs w:val="16"/>
          <w:lang w:val="en-GB"/>
        </w:rPr>
        <w:t xml:space="preserve">1.2%) recorded an increase of overnight stays of visitors, rates of growth were weaker in Prague </w:t>
      </w:r>
      <w:r w:rsidRPr="004A2D6B">
        <w:rPr>
          <w:color w:val="0D0D0D" w:themeColor="text1" w:themeTint="F2"/>
          <w:spacing w:val="-3"/>
          <w:sz w:val="16"/>
          <w:szCs w:val="16"/>
          <w:lang w:val="en-GB"/>
        </w:rPr>
        <w:t>(+0</w:t>
      </w:r>
      <w:r>
        <w:rPr>
          <w:color w:val="0D0D0D" w:themeColor="text1" w:themeTint="F2"/>
          <w:spacing w:val="-3"/>
          <w:sz w:val="16"/>
          <w:szCs w:val="16"/>
          <w:lang w:val="en-GB"/>
        </w:rPr>
        <w:t>.</w:t>
      </w:r>
      <w:r w:rsidRPr="004A2D6B">
        <w:rPr>
          <w:color w:val="0D0D0D" w:themeColor="text1" w:themeTint="F2"/>
          <w:spacing w:val="-3"/>
          <w:sz w:val="16"/>
          <w:szCs w:val="16"/>
          <w:lang w:val="en-GB"/>
        </w:rPr>
        <w:t>6%).</w:t>
      </w:r>
    </w:p>
  </w:footnote>
  <w:footnote w:id="37">
    <w:p w:rsidR="00665624" w:rsidRPr="002D0394" w:rsidRDefault="00665624" w:rsidP="002D0394">
      <w:pPr>
        <w:spacing w:after="0" w:line="240" w:lineRule="auto"/>
        <w:rPr>
          <w:lang w:val="en-GB"/>
        </w:rPr>
      </w:pPr>
      <w:r w:rsidRPr="00A85D8E">
        <w:rPr>
          <w:rStyle w:val="Znakapoznpodarou"/>
          <w:sz w:val="16"/>
          <w:szCs w:val="16"/>
        </w:rPr>
        <w:footnoteRef/>
      </w:r>
      <w:r>
        <w:rPr>
          <w:sz w:val="16"/>
          <w:szCs w:val="16"/>
        </w:rPr>
        <w:t xml:space="preserve"> </w:t>
      </w:r>
      <w:r w:rsidRPr="002D0394">
        <w:rPr>
          <w:sz w:val="16"/>
          <w:szCs w:val="16"/>
          <w:lang w:val="en-GB"/>
        </w:rPr>
        <w:t xml:space="preserve">All year-on-year rates of growth of retail sales are given in constant prices and adjusted for calendar effects, quarter-on-quarter rates are adjusted for seasonal effects (including the effect of </w:t>
      </w:r>
      <w:r>
        <w:rPr>
          <w:sz w:val="16"/>
          <w:szCs w:val="16"/>
          <w:lang w:val="en-GB"/>
        </w:rPr>
        <w:t xml:space="preserve">different </w:t>
      </w:r>
      <w:r w:rsidRPr="002D0394">
        <w:rPr>
          <w:sz w:val="16"/>
          <w:szCs w:val="16"/>
          <w:lang w:val="en-GB"/>
        </w:rPr>
        <w:t xml:space="preserve">number of working days). </w:t>
      </w:r>
    </w:p>
  </w:footnote>
  <w:footnote w:id="38">
    <w:p w:rsidR="00665624" w:rsidRPr="002D0394" w:rsidRDefault="00665624" w:rsidP="002D0394">
      <w:pPr>
        <w:pStyle w:val="Textpoznpodarou"/>
        <w:jc w:val="both"/>
        <w:rPr>
          <w:sz w:val="16"/>
          <w:szCs w:val="16"/>
          <w:lang w:val="en-GB"/>
        </w:rPr>
      </w:pPr>
      <w:r w:rsidRPr="002D0394">
        <w:rPr>
          <w:rStyle w:val="Znakapoznpodarou"/>
          <w:sz w:val="16"/>
          <w:szCs w:val="16"/>
          <w:lang w:val="en-GB"/>
        </w:rPr>
        <w:footnoteRef/>
      </w:r>
      <w:r w:rsidRPr="002D0394">
        <w:rPr>
          <w:sz w:val="16"/>
          <w:szCs w:val="16"/>
          <w:lang w:val="en-GB"/>
        </w:rPr>
        <w:t xml:space="preserve"> </w:t>
      </w:r>
      <w:r>
        <w:rPr>
          <w:sz w:val="16"/>
          <w:szCs w:val="16"/>
          <w:lang w:val="en-GB"/>
        </w:rPr>
        <w:t>Statistical data of the foreign trade in the national conception in the nominal terms including only the trade with goods. The value of exports is captured in the FOB prices, i.e. including the costs connected with the transport to the CR boundaries. Import depicted lower in this chapter is in CIF prices, i.e. including costs associated with the transportation abroad, up all the way to the CR boundaries. Data valid as of 6</w:t>
      </w:r>
      <w:r w:rsidRPr="002E0587">
        <w:rPr>
          <w:sz w:val="16"/>
          <w:szCs w:val="16"/>
          <w:lang w:val="en-GB"/>
        </w:rPr>
        <w:t>th</w:t>
      </w:r>
      <w:r>
        <w:rPr>
          <w:sz w:val="16"/>
          <w:szCs w:val="16"/>
          <w:lang w:val="en-GB"/>
        </w:rPr>
        <w:t xml:space="preserve"> September 2019. </w:t>
      </w:r>
      <w:r w:rsidRPr="002D0394">
        <w:rPr>
          <w:sz w:val="16"/>
          <w:szCs w:val="16"/>
          <w:lang w:val="en-GB"/>
        </w:rPr>
        <w:t xml:space="preserve"> </w:t>
      </w:r>
    </w:p>
  </w:footnote>
  <w:footnote w:id="39">
    <w:p w:rsidR="00665624" w:rsidRPr="008829C4" w:rsidRDefault="00665624">
      <w:pPr>
        <w:pStyle w:val="Textpoznpodarou"/>
        <w:rPr>
          <w:sz w:val="16"/>
          <w:szCs w:val="16"/>
          <w:lang w:val="en-GB"/>
        </w:rPr>
      </w:pPr>
      <w:r w:rsidRPr="0011038E">
        <w:rPr>
          <w:rStyle w:val="Znakapoznpodarou"/>
          <w:sz w:val="16"/>
          <w:szCs w:val="16"/>
        </w:rPr>
        <w:footnoteRef/>
      </w:r>
      <w:r w:rsidRPr="0011038E">
        <w:rPr>
          <w:sz w:val="16"/>
          <w:szCs w:val="16"/>
        </w:rPr>
        <w:t xml:space="preserve"> </w:t>
      </w:r>
      <w:r w:rsidRPr="008829C4">
        <w:rPr>
          <w:sz w:val="16"/>
          <w:szCs w:val="16"/>
          <w:lang w:val="en-GB"/>
        </w:rPr>
        <w:t>According to the national accounts data</w:t>
      </w:r>
    </w:p>
  </w:footnote>
  <w:footnote w:id="40">
    <w:p w:rsidR="00665624" w:rsidRPr="0075158E" w:rsidRDefault="00665624">
      <w:pPr>
        <w:pStyle w:val="Textpoznpodarou"/>
        <w:rPr>
          <w:sz w:val="16"/>
          <w:szCs w:val="16"/>
          <w:lang w:val="en-GB"/>
        </w:rPr>
      </w:pPr>
      <w:r w:rsidRPr="00B911BE">
        <w:rPr>
          <w:rStyle w:val="Znakapoznpodarou"/>
          <w:sz w:val="16"/>
          <w:szCs w:val="16"/>
        </w:rPr>
        <w:footnoteRef/>
      </w:r>
      <w:r w:rsidRPr="00B911BE">
        <w:rPr>
          <w:sz w:val="16"/>
          <w:szCs w:val="16"/>
        </w:rPr>
        <w:t xml:space="preserve"> </w:t>
      </w:r>
      <w:r w:rsidRPr="0075158E">
        <w:rPr>
          <w:sz w:val="16"/>
          <w:szCs w:val="16"/>
          <w:lang w:val="en-GB"/>
        </w:rPr>
        <w:t>Section D – manufacture of electricity, gas, steam and air conditioning supply</w:t>
      </w:r>
    </w:p>
  </w:footnote>
  <w:footnote w:id="41">
    <w:p w:rsidR="00665624" w:rsidRPr="00DD18CA" w:rsidRDefault="00665624" w:rsidP="00DD18CA">
      <w:pPr>
        <w:pStyle w:val="Textpoznpodarou"/>
        <w:jc w:val="both"/>
        <w:rPr>
          <w:sz w:val="16"/>
          <w:szCs w:val="16"/>
          <w:lang w:val="en-GB"/>
        </w:rPr>
      </w:pPr>
      <w:r w:rsidRPr="00596C8B">
        <w:rPr>
          <w:rStyle w:val="Znakapoznpodarou"/>
          <w:sz w:val="16"/>
          <w:szCs w:val="16"/>
        </w:rPr>
        <w:footnoteRef/>
      </w:r>
      <w:r w:rsidRPr="00596C8B">
        <w:rPr>
          <w:sz w:val="16"/>
          <w:szCs w:val="16"/>
        </w:rPr>
        <w:t xml:space="preserve"> </w:t>
      </w:r>
      <w:r w:rsidRPr="00DD18CA">
        <w:rPr>
          <w:sz w:val="16"/>
          <w:szCs w:val="16"/>
          <w:lang w:val="en-GB"/>
        </w:rPr>
        <w:t xml:space="preserve">African swine fever, which afflicted China, but also some European countries. According to the State Veterinary Administration, occurrence is currently reported (July 2019) from 9 EU member states: Belgium, Bulgaria, Estonia, Italy (presence only on Sardinia), Lithuania, Latvia, Hungary, Poland and Romania. </w:t>
      </w:r>
    </w:p>
  </w:footnote>
  <w:footnote w:id="42">
    <w:p w:rsidR="00665624" w:rsidRPr="00DD18CA" w:rsidRDefault="00665624" w:rsidP="00DD18CA">
      <w:pPr>
        <w:pStyle w:val="Textpoznpodarou"/>
        <w:jc w:val="both"/>
        <w:rPr>
          <w:sz w:val="16"/>
          <w:szCs w:val="16"/>
          <w:lang w:val="en-GB"/>
        </w:rPr>
      </w:pPr>
      <w:r w:rsidRPr="00DD18CA">
        <w:rPr>
          <w:rStyle w:val="Znakapoznpodarou"/>
          <w:sz w:val="16"/>
          <w:szCs w:val="16"/>
          <w:lang w:val="en-GB"/>
        </w:rPr>
        <w:footnoteRef/>
      </w:r>
      <w:r w:rsidRPr="00DD18CA">
        <w:rPr>
          <w:sz w:val="16"/>
          <w:szCs w:val="16"/>
          <w:lang w:val="en-GB"/>
        </w:rPr>
        <w:t xml:space="preserve"> Inedible raw materials, except for fuels.</w:t>
      </w:r>
    </w:p>
  </w:footnote>
  <w:footnote w:id="43">
    <w:p w:rsidR="00665624" w:rsidRPr="00DD18CA" w:rsidRDefault="00665624" w:rsidP="00DD18CA">
      <w:pPr>
        <w:pStyle w:val="Textpoznpodarou"/>
        <w:jc w:val="both"/>
        <w:rPr>
          <w:sz w:val="16"/>
          <w:szCs w:val="16"/>
          <w:lang w:val="en-GB"/>
        </w:rPr>
      </w:pPr>
      <w:r w:rsidRPr="00DD18CA">
        <w:rPr>
          <w:rStyle w:val="Znakapoznpodarou"/>
          <w:sz w:val="16"/>
          <w:szCs w:val="16"/>
          <w:lang w:val="en-GB"/>
        </w:rPr>
        <w:footnoteRef/>
      </w:r>
      <w:r w:rsidRPr="00DD18CA">
        <w:rPr>
          <w:sz w:val="16"/>
          <w:szCs w:val="16"/>
          <w:lang w:val="en-GB"/>
        </w:rPr>
        <w:t xml:space="preserve"> </w:t>
      </w:r>
      <w:r>
        <w:rPr>
          <w:sz w:val="16"/>
          <w:szCs w:val="16"/>
          <w:lang w:val="en-GB"/>
        </w:rPr>
        <w:t>Assorted m</w:t>
      </w:r>
      <w:r w:rsidRPr="00DD18CA">
        <w:rPr>
          <w:sz w:val="16"/>
          <w:szCs w:val="16"/>
          <w:lang w:val="en-GB"/>
        </w:rPr>
        <w:t>arket goods</w:t>
      </w:r>
      <w:r>
        <w:rPr>
          <w:sz w:val="16"/>
          <w:szCs w:val="16"/>
          <w:lang w:val="en-GB"/>
        </w:rPr>
        <w:t xml:space="preserve"> </w:t>
      </w:r>
      <w:r w:rsidRPr="00DD18CA">
        <w:rPr>
          <w:sz w:val="16"/>
          <w:szCs w:val="16"/>
          <w:lang w:val="en-GB"/>
        </w:rPr>
        <w:t>mainly</w:t>
      </w:r>
      <w:r>
        <w:rPr>
          <w:sz w:val="16"/>
          <w:szCs w:val="16"/>
          <w:lang w:val="en-GB"/>
        </w:rPr>
        <w:t xml:space="preserve"> </w:t>
      </w:r>
      <w:r w:rsidRPr="00DD18CA">
        <w:rPr>
          <w:sz w:val="16"/>
          <w:szCs w:val="16"/>
          <w:lang w:val="en-GB"/>
        </w:rPr>
        <w:t xml:space="preserve">based on material. </w:t>
      </w:r>
    </w:p>
  </w:footnote>
  <w:footnote w:id="44">
    <w:p w:rsidR="00665624" w:rsidRPr="00B61B92" w:rsidRDefault="00665624" w:rsidP="00511F3B">
      <w:pPr>
        <w:pStyle w:val="Textpoznpodarou"/>
        <w:jc w:val="both"/>
        <w:rPr>
          <w:spacing w:val="-2"/>
          <w:sz w:val="16"/>
          <w:szCs w:val="16"/>
          <w:lang w:val="en-GB"/>
        </w:rPr>
      </w:pPr>
      <w:r w:rsidRPr="006A4CF3">
        <w:rPr>
          <w:rStyle w:val="Znakapoznpodarou"/>
          <w:spacing w:val="-2"/>
          <w:sz w:val="16"/>
          <w:szCs w:val="16"/>
        </w:rPr>
        <w:footnoteRef/>
      </w:r>
      <w:r w:rsidRPr="006A4CF3">
        <w:rPr>
          <w:spacing w:val="-2"/>
          <w:sz w:val="16"/>
          <w:szCs w:val="16"/>
        </w:rPr>
        <w:t xml:space="preserve"> </w:t>
      </w:r>
      <w:r w:rsidRPr="00B61B92">
        <w:rPr>
          <w:spacing w:val="-2"/>
          <w:sz w:val="16"/>
          <w:szCs w:val="16"/>
          <w:lang w:val="en-GB"/>
        </w:rPr>
        <w:t xml:space="preserve">Increase of quota for qualified workers from Ukraine occurred for instance during the year </w:t>
      </w:r>
      <w:r w:rsidRPr="00B61B92">
        <w:rPr>
          <w:rFonts w:cs="Arial"/>
          <w:spacing w:val="-2"/>
          <w:sz w:val="16"/>
          <w:szCs w:val="16"/>
          <w:lang w:val="en-GB"/>
        </w:rPr>
        <w:t>2018 (from 9.6 thousand to 19.6 thousand). The scope of countries, whose citizens can enter the schemas as well as projects targeted at qualified workers, also widened (for India, the Phil</w:t>
      </w:r>
      <w:r w:rsidR="00B55040">
        <w:rPr>
          <w:rFonts w:cs="Arial"/>
          <w:spacing w:val="-2"/>
          <w:sz w:val="16"/>
          <w:szCs w:val="16"/>
          <w:lang w:val="en-GB"/>
        </w:rPr>
        <w:t xml:space="preserve">ippines, Mongolia and Serbia). </w:t>
      </w:r>
      <w:r w:rsidRPr="00B61B92">
        <w:rPr>
          <w:rFonts w:cs="Arial"/>
          <w:spacing w:val="-2"/>
          <w:sz w:val="16"/>
          <w:szCs w:val="16"/>
          <w:lang w:val="en-GB"/>
        </w:rPr>
        <w:t>Further increase of quota for workers from Ukraine came into force during the summer time of 2019 (to 40 thousand).</w:t>
      </w:r>
    </w:p>
  </w:footnote>
  <w:footnote w:id="45">
    <w:p w:rsidR="00665624" w:rsidRPr="000103C8" w:rsidRDefault="00665624" w:rsidP="00511F3B">
      <w:pPr>
        <w:pStyle w:val="Textpoznpodarou"/>
        <w:jc w:val="both"/>
        <w:rPr>
          <w:spacing w:val="-2"/>
          <w:sz w:val="16"/>
          <w:szCs w:val="16"/>
          <w:lang w:val="en-GB"/>
        </w:rPr>
      </w:pPr>
      <w:r w:rsidRPr="006A4CF3">
        <w:rPr>
          <w:rStyle w:val="Znakapoznpodarou"/>
          <w:spacing w:val="-2"/>
          <w:sz w:val="16"/>
          <w:szCs w:val="16"/>
        </w:rPr>
        <w:footnoteRef/>
      </w:r>
      <w:r w:rsidRPr="006A4CF3">
        <w:rPr>
          <w:spacing w:val="-2"/>
          <w:sz w:val="16"/>
          <w:szCs w:val="16"/>
        </w:rPr>
        <w:t xml:space="preserve"> </w:t>
      </w:r>
      <w:r w:rsidRPr="000103C8">
        <w:rPr>
          <w:rFonts w:cs="Arial"/>
          <w:spacing w:val="-2"/>
          <w:sz w:val="16"/>
          <w:szCs w:val="16"/>
          <w:lang w:val="en-GB"/>
        </w:rPr>
        <w:t>659 thousand of citizens with foreign citizenship were employed according to the data of MLSA and MIT (Ministry of Industry and Trade) in the CR at the end of year 2018. T</w:t>
      </w:r>
      <w:r>
        <w:rPr>
          <w:rFonts w:cs="Arial"/>
          <w:spacing w:val="-2"/>
          <w:sz w:val="16"/>
          <w:szCs w:val="16"/>
          <w:lang w:val="en-GB"/>
        </w:rPr>
        <w:t xml:space="preserve">hey already comprised one eight of all workers on the labour market. Their number was further increased during the first half of year </w:t>
      </w:r>
      <w:r w:rsidRPr="000103C8">
        <w:rPr>
          <w:rFonts w:cs="Arial"/>
          <w:spacing w:val="-2"/>
          <w:sz w:val="16"/>
          <w:szCs w:val="16"/>
          <w:lang w:val="en-GB"/>
        </w:rPr>
        <w:t>2019</w:t>
      </w:r>
      <w:r>
        <w:rPr>
          <w:rFonts w:cs="Arial"/>
          <w:spacing w:val="-2"/>
          <w:sz w:val="16"/>
          <w:szCs w:val="16"/>
          <w:lang w:val="en-GB"/>
        </w:rPr>
        <w:t xml:space="preserve">, as indirectly evidenced by </w:t>
      </w:r>
      <w:r w:rsidR="00274D2C">
        <w:rPr>
          <w:rFonts w:cs="Arial"/>
          <w:spacing w:val="-2"/>
          <w:sz w:val="16"/>
          <w:szCs w:val="16"/>
          <w:lang w:val="en-GB"/>
        </w:rPr>
        <w:t xml:space="preserve">demographic statistics – </w:t>
      </w:r>
      <w:r>
        <w:rPr>
          <w:rFonts w:cs="Arial"/>
          <w:spacing w:val="-2"/>
          <w:sz w:val="16"/>
          <w:szCs w:val="16"/>
          <w:lang w:val="en-GB"/>
        </w:rPr>
        <w:t xml:space="preserve">the positive balance of total foreign migration </w:t>
      </w:r>
      <w:r w:rsidR="00A307C2">
        <w:rPr>
          <w:rFonts w:cs="Arial"/>
          <w:spacing w:val="-2"/>
          <w:sz w:val="16"/>
          <w:szCs w:val="16"/>
          <w:lang w:val="en-GB"/>
        </w:rPr>
        <w:t>(20</w:t>
      </w:r>
      <w:r>
        <w:rPr>
          <w:rFonts w:cs="Arial"/>
          <w:spacing w:val="-2"/>
          <w:sz w:val="16"/>
          <w:szCs w:val="16"/>
          <w:lang w:val="en-GB"/>
        </w:rPr>
        <w:t>.</w:t>
      </w:r>
      <w:r w:rsidR="00A307C2">
        <w:rPr>
          <w:rFonts w:cs="Arial"/>
          <w:spacing w:val="-2"/>
          <w:sz w:val="16"/>
          <w:szCs w:val="16"/>
          <w:lang w:val="en-GB"/>
        </w:rPr>
        <w:t>9</w:t>
      </w:r>
      <w:r w:rsidRPr="000103C8">
        <w:rPr>
          <w:rFonts w:cs="Arial"/>
          <w:spacing w:val="-2"/>
          <w:sz w:val="16"/>
          <w:szCs w:val="16"/>
          <w:lang w:val="en-GB"/>
        </w:rPr>
        <w:t> </w:t>
      </w:r>
      <w:r w:rsidR="00A307C2">
        <w:rPr>
          <w:rFonts w:cs="Arial"/>
          <w:spacing w:val="-2"/>
          <w:sz w:val="16"/>
          <w:szCs w:val="16"/>
          <w:lang w:val="en-GB"/>
        </w:rPr>
        <w:t>thousand persons in H</w:t>
      </w:r>
      <w:r>
        <w:rPr>
          <w:rFonts w:cs="Arial"/>
          <w:spacing w:val="-2"/>
          <w:sz w:val="16"/>
          <w:szCs w:val="16"/>
          <w:lang w:val="en-GB"/>
        </w:rPr>
        <w:t>1</w:t>
      </w:r>
      <w:r w:rsidRPr="000103C8">
        <w:rPr>
          <w:rFonts w:cs="Arial"/>
          <w:spacing w:val="-2"/>
          <w:sz w:val="16"/>
          <w:szCs w:val="16"/>
          <w:lang w:val="en-GB"/>
        </w:rPr>
        <w:t>)</w:t>
      </w:r>
      <w:r>
        <w:rPr>
          <w:rFonts w:cs="Arial"/>
          <w:spacing w:val="-2"/>
          <w:sz w:val="16"/>
          <w:szCs w:val="16"/>
          <w:lang w:val="en-GB"/>
        </w:rPr>
        <w:t xml:space="preserve"> as well as the increase of the number of all registered foreigners </w:t>
      </w:r>
      <w:r w:rsidRPr="000103C8">
        <w:rPr>
          <w:rFonts w:cs="Arial"/>
          <w:spacing w:val="-2"/>
          <w:sz w:val="16"/>
          <w:szCs w:val="16"/>
          <w:lang w:val="en-GB"/>
        </w:rPr>
        <w:t>(by 8.4 thousand according to the Foreign Police Directorate since the beginning of year 2019). Similarly to the whole last year, Ukrainians contributed the most</w:t>
      </w:r>
      <w:r>
        <w:rPr>
          <w:rFonts w:cs="Arial"/>
          <w:spacing w:val="-2"/>
          <w:sz w:val="16"/>
          <w:szCs w:val="16"/>
          <w:lang w:val="en-GB"/>
        </w:rPr>
        <w:t xml:space="preserve"> </w:t>
      </w:r>
      <w:r w:rsidRPr="000103C8">
        <w:rPr>
          <w:rFonts w:cs="Arial"/>
          <w:spacing w:val="-2"/>
          <w:sz w:val="16"/>
          <w:szCs w:val="16"/>
          <w:lang w:val="en-GB"/>
        </w:rPr>
        <w:t xml:space="preserve">to the higher number of all working foreigners. </w:t>
      </w:r>
    </w:p>
  </w:footnote>
  <w:footnote w:id="46">
    <w:p w:rsidR="00665624" w:rsidRPr="000103C8" w:rsidRDefault="00665624" w:rsidP="00DD1A3F">
      <w:pPr>
        <w:pStyle w:val="Textpoznpodarou"/>
        <w:jc w:val="both"/>
        <w:rPr>
          <w:spacing w:val="-2"/>
          <w:sz w:val="16"/>
          <w:szCs w:val="16"/>
          <w:lang w:val="en-GB"/>
        </w:rPr>
      </w:pPr>
      <w:r w:rsidRPr="000103C8">
        <w:rPr>
          <w:rStyle w:val="Znakapoznpodarou"/>
          <w:spacing w:val="-2"/>
          <w:sz w:val="16"/>
          <w:szCs w:val="16"/>
          <w:lang w:val="en-GB"/>
        </w:rPr>
        <w:footnoteRef/>
      </w:r>
      <w:r w:rsidRPr="000103C8">
        <w:rPr>
          <w:spacing w:val="-2"/>
          <w:sz w:val="16"/>
          <w:szCs w:val="16"/>
          <w:lang w:val="en-GB"/>
        </w:rPr>
        <w:t xml:space="preserve"> </w:t>
      </w:r>
      <w:r w:rsidRPr="00422D1A">
        <w:rPr>
          <w:spacing w:val="-4"/>
          <w:sz w:val="16"/>
          <w:szCs w:val="16"/>
          <w:lang w:val="en-GB"/>
        </w:rPr>
        <w:t>Unless stated otherwise, data regarding employment are stated in the national accounts conception adjusted for seasonal effects in this chapter.</w:t>
      </w:r>
      <w:r w:rsidRPr="000103C8">
        <w:rPr>
          <w:spacing w:val="-2"/>
          <w:sz w:val="16"/>
          <w:szCs w:val="16"/>
          <w:lang w:val="en-GB"/>
        </w:rPr>
        <w:t xml:space="preserve"> </w:t>
      </w:r>
    </w:p>
  </w:footnote>
  <w:footnote w:id="47">
    <w:p w:rsidR="00665624" w:rsidRPr="001539F9" w:rsidRDefault="00665624" w:rsidP="00DD1A3F">
      <w:pPr>
        <w:pStyle w:val="Textpoznpodarou"/>
        <w:jc w:val="both"/>
        <w:rPr>
          <w:spacing w:val="-2"/>
          <w:sz w:val="16"/>
          <w:szCs w:val="16"/>
          <w:lang w:val="en-GB"/>
        </w:rPr>
      </w:pPr>
      <w:r w:rsidRPr="006A4CF3">
        <w:rPr>
          <w:rStyle w:val="Znakapoznpodarou"/>
          <w:spacing w:val="-2"/>
          <w:sz w:val="16"/>
          <w:szCs w:val="16"/>
        </w:rPr>
        <w:footnoteRef/>
      </w:r>
      <w:r>
        <w:rPr>
          <w:spacing w:val="-2"/>
          <w:sz w:val="16"/>
          <w:szCs w:val="16"/>
        </w:rPr>
        <w:t xml:space="preserve"> </w:t>
      </w:r>
      <w:r w:rsidRPr="001539F9">
        <w:rPr>
          <w:spacing w:val="-2"/>
          <w:sz w:val="16"/>
          <w:szCs w:val="16"/>
          <w:lang w:val="en-GB"/>
        </w:rPr>
        <w:t xml:space="preserve">Expressed according to the seasonally adjusted data from the business cycle surveys as the difference </w:t>
      </w:r>
      <w:r w:rsidRPr="001539F9">
        <w:rPr>
          <w:spacing w:val="-4"/>
          <w:sz w:val="16"/>
          <w:szCs w:val="16"/>
          <w:lang w:val="en-GB"/>
        </w:rPr>
        <w:t xml:space="preserve">(in p.p.) between the proportion of businesses expecting employment growth in the next three months and businesses on the other hand anticipating decline of their levels of employees. </w:t>
      </w:r>
    </w:p>
  </w:footnote>
  <w:footnote w:id="48">
    <w:p w:rsidR="00665624" w:rsidRPr="00212F5D" w:rsidRDefault="00665624" w:rsidP="00E343C7">
      <w:pPr>
        <w:pStyle w:val="Textpoznpodarou"/>
        <w:jc w:val="both"/>
        <w:rPr>
          <w:spacing w:val="-2"/>
          <w:sz w:val="16"/>
          <w:szCs w:val="16"/>
          <w:lang w:val="en-GB"/>
        </w:rPr>
      </w:pPr>
      <w:r w:rsidRPr="006A4CF3">
        <w:rPr>
          <w:rStyle w:val="Znakapoznpodarou"/>
          <w:spacing w:val="-2"/>
          <w:sz w:val="16"/>
          <w:szCs w:val="16"/>
        </w:rPr>
        <w:footnoteRef/>
      </w:r>
      <w:r>
        <w:rPr>
          <w:spacing w:val="-2"/>
          <w:sz w:val="16"/>
          <w:szCs w:val="16"/>
        </w:rPr>
        <w:t xml:space="preserve"> </w:t>
      </w:r>
      <w:r w:rsidRPr="00212F5D">
        <w:rPr>
          <w:spacing w:val="-2"/>
          <w:sz w:val="16"/>
          <w:szCs w:val="16"/>
          <w:lang w:val="en-GB"/>
        </w:rPr>
        <w:t>Balance of short-term expectations in the area of employment reached</w:t>
      </w:r>
      <w:r>
        <w:rPr>
          <w:spacing w:val="-2"/>
          <w:sz w:val="16"/>
          <w:szCs w:val="16"/>
          <w:lang w:val="en-GB"/>
        </w:rPr>
        <w:t xml:space="preserve"> </w:t>
      </w:r>
      <w:r w:rsidRPr="00212F5D">
        <w:rPr>
          <w:spacing w:val="-2"/>
          <w:sz w:val="16"/>
          <w:szCs w:val="16"/>
          <w:lang w:val="en-GB"/>
        </w:rPr>
        <w:t>+15 </w:t>
      </w:r>
      <w:r>
        <w:rPr>
          <w:spacing w:val="-2"/>
          <w:sz w:val="16"/>
          <w:szCs w:val="16"/>
          <w:lang w:val="en-GB"/>
        </w:rPr>
        <w:t>points</w:t>
      </w:r>
      <w:r w:rsidRPr="00212F5D">
        <w:rPr>
          <w:spacing w:val="-2"/>
          <w:sz w:val="16"/>
          <w:szCs w:val="16"/>
          <w:lang w:val="en-GB"/>
        </w:rPr>
        <w:t xml:space="preserve"> in both construction and trade in June 2019. It was similarly –2 points in industry and market services. Situation differed according to sub-branches. Within manufacturing, the lar</w:t>
      </w:r>
      <w:r>
        <w:rPr>
          <w:spacing w:val="-2"/>
          <w:sz w:val="16"/>
          <w:szCs w:val="16"/>
          <w:lang w:val="en-GB"/>
        </w:rPr>
        <w:t>gest share of businesses expecting</w:t>
      </w:r>
      <w:r w:rsidRPr="00212F5D">
        <w:rPr>
          <w:spacing w:val="-2"/>
          <w:sz w:val="16"/>
          <w:szCs w:val="16"/>
          <w:lang w:val="en-GB"/>
        </w:rPr>
        <w:t xml:space="preserve"> reduction of their number of workers was in manufacture of </w:t>
      </w:r>
      <w:r w:rsidR="00E03DEA">
        <w:rPr>
          <w:spacing w:val="-2"/>
          <w:sz w:val="16"/>
          <w:szCs w:val="16"/>
          <w:lang w:val="en-GB"/>
        </w:rPr>
        <w:t xml:space="preserve">fabricated </w:t>
      </w:r>
      <w:r w:rsidRPr="00212F5D">
        <w:rPr>
          <w:spacing w:val="-2"/>
          <w:sz w:val="16"/>
          <w:szCs w:val="16"/>
          <w:lang w:val="en-GB"/>
        </w:rPr>
        <w:t>metal products, machiner</w:t>
      </w:r>
      <w:r>
        <w:rPr>
          <w:spacing w:val="-2"/>
          <w:sz w:val="16"/>
          <w:szCs w:val="16"/>
          <w:lang w:val="en-GB"/>
        </w:rPr>
        <w:t>y</w:t>
      </w:r>
      <w:r w:rsidRPr="00212F5D">
        <w:rPr>
          <w:spacing w:val="-2"/>
          <w:sz w:val="16"/>
          <w:szCs w:val="16"/>
          <w:lang w:val="en-GB"/>
        </w:rPr>
        <w:t xml:space="preserve"> and manufacture of wea</w:t>
      </w:r>
      <w:r w:rsidR="004B33C6">
        <w:rPr>
          <w:spacing w:val="-2"/>
          <w:sz w:val="16"/>
          <w:szCs w:val="16"/>
          <w:lang w:val="en-GB"/>
        </w:rPr>
        <w:t>ring apparel. O</w:t>
      </w:r>
      <w:r w:rsidRPr="00212F5D">
        <w:rPr>
          <w:spacing w:val="-2"/>
          <w:sz w:val="16"/>
          <w:szCs w:val="16"/>
          <w:lang w:val="en-GB"/>
        </w:rPr>
        <w:t>n the oth</w:t>
      </w:r>
      <w:r w:rsidR="004B33C6">
        <w:rPr>
          <w:spacing w:val="-2"/>
          <w:sz w:val="16"/>
          <w:szCs w:val="16"/>
          <w:lang w:val="en-GB"/>
        </w:rPr>
        <w:t>er hand, positive outlook</w:t>
      </w:r>
      <w:r w:rsidRPr="00212F5D">
        <w:rPr>
          <w:spacing w:val="-2"/>
          <w:sz w:val="16"/>
          <w:szCs w:val="16"/>
          <w:lang w:val="en-GB"/>
        </w:rPr>
        <w:t xml:space="preserve"> prevailed mainly in manufacture of computers, electronic and optical products, in chemical, pharmaceutical and wood industry. </w:t>
      </w:r>
      <w:r w:rsidR="00E03DEA">
        <w:rPr>
          <w:spacing w:val="-2"/>
          <w:sz w:val="16"/>
          <w:szCs w:val="16"/>
          <w:lang w:val="en-GB"/>
        </w:rPr>
        <w:t>Among market services</w:t>
      </w:r>
      <w:r>
        <w:rPr>
          <w:spacing w:val="-2"/>
          <w:sz w:val="16"/>
          <w:szCs w:val="16"/>
          <w:lang w:val="en-GB"/>
        </w:rPr>
        <w:t xml:space="preserve">, mainly businesses in information and communication, in professional, scientific and technical activities and further also in sub-branches storage or restaurants signalled growth. On the contrary, businesses in transportation, postal and courier activities, financial activities </w:t>
      </w:r>
      <w:r w:rsidRPr="00212F5D">
        <w:rPr>
          <w:spacing w:val="-2"/>
          <w:sz w:val="16"/>
          <w:szCs w:val="16"/>
          <w:lang w:val="en-GB"/>
        </w:rPr>
        <w:t>(</w:t>
      </w:r>
      <w:r>
        <w:rPr>
          <w:spacing w:val="-2"/>
          <w:sz w:val="16"/>
          <w:szCs w:val="16"/>
          <w:lang w:val="en-GB"/>
        </w:rPr>
        <w:t>except for insurance and pension funding</w:t>
      </w:r>
      <w:r w:rsidRPr="00212F5D">
        <w:rPr>
          <w:spacing w:val="-2"/>
          <w:sz w:val="16"/>
          <w:szCs w:val="16"/>
          <w:lang w:val="en-GB"/>
        </w:rPr>
        <w:t>),</w:t>
      </w:r>
      <w:r>
        <w:rPr>
          <w:spacing w:val="-2"/>
          <w:sz w:val="16"/>
          <w:szCs w:val="16"/>
          <w:lang w:val="en-GB"/>
        </w:rPr>
        <w:t xml:space="preserve"> travel agencies and also security and investigative activities were more inclined to the reduction of number of workers</w:t>
      </w:r>
      <w:r w:rsidRPr="00212F5D">
        <w:rPr>
          <w:spacing w:val="-2"/>
          <w:sz w:val="16"/>
          <w:szCs w:val="16"/>
          <w:lang w:val="en-GB"/>
        </w:rPr>
        <w:t>.</w:t>
      </w:r>
    </w:p>
  </w:footnote>
  <w:footnote w:id="49">
    <w:p w:rsidR="00665624" w:rsidRPr="00362E29" w:rsidRDefault="00665624" w:rsidP="007302FF">
      <w:pPr>
        <w:pStyle w:val="Textpoznpodarou"/>
        <w:jc w:val="both"/>
        <w:rPr>
          <w:spacing w:val="-2"/>
          <w:sz w:val="16"/>
          <w:szCs w:val="16"/>
          <w:lang w:val="en-GB"/>
        </w:rPr>
      </w:pPr>
      <w:r w:rsidRPr="006A4CF3">
        <w:rPr>
          <w:rStyle w:val="Znakapoznpodarou"/>
          <w:spacing w:val="-2"/>
          <w:sz w:val="16"/>
          <w:szCs w:val="16"/>
        </w:rPr>
        <w:footnoteRef/>
      </w:r>
      <w:r>
        <w:rPr>
          <w:spacing w:val="-2"/>
          <w:sz w:val="16"/>
          <w:szCs w:val="16"/>
        </w:rPr>
        <w:t xml:space="preserve"> </w:t>
      </w:r>
      <w:r w:rsidR="00AC4883">
        <w:rPr>
          <w:spacing w:val="-2"/>
          <w:sz w:val="16"/>
          <w:szCs w:val="16"/>
          <w:lang w:val="en-GB"/>
        </w:rPr>
        <w:t>According to the business</w:t>
      </w:r>
      <w:r w:rsidRPr="00362E29">
        <w:rPr>
          <w:spacing w:val="-2"/>
          <w:sz w:val="16"/>
          <w:szCs w:val="16"/>
          <w:lang w:val="en-GB"/>
        </w:rPr>
        <w:t xml:space="preserve"> statistical data, the number of employees even mildly fell (by 0.3%) in industry in H1. </w:t>
      </w:r>
      <w:r>
        <w:rPr>
          <w:spacing w:val="-2"/>
          <w:sz w:val="16"/>
          <w:szCs w:val="16"/>
          <w:lang w:val="en-GB"/>
        </w:rPr>
        <w:t xml:space="preserve">In this conception however agency workers are not included in the industry and the effect of the shadow economy is also not allowed for. </w:t>
      </w:r>
    </w:p>
  </w:footnote>
  <w:footnote w:id="50">
    <w:p w:rsidR="00665624" w:rsidRPr="007C2106" w:rsidRDefault="00665624" w:rsidP="00F215AC">
      <w:pPr>
        <w:pStyle w:val="Textpoznpodarou"/>
        <w:jc w:val="both"/>
        <w:rPr>
          <w:spacing w:val="-2"/>
          <w:sz w:val="16"/>
          <w:szCs w:val="16"/>
          <w:lang w:val="en-GB"/>
        </w:rPr>
      </w:pPr>
      <w:r w:rsidRPr="006A4CF3">
        <w:rPr>
          <w:rStyle w:val="Znakapoznpodarou"/>
          <w:spacing w:val="-2"/>
          <w:sz w:val="16"/>
          <w:szCs w:val="16"/>
        </w:rPr>
        <w:footnoteRef/>
      </w:r>
      <w:r>
        <w:rPr>
          <w:spacing w:val="-2"/>
          <w:sz w:val="16"/>
          <w:szCs w:val="16"/>
        </w:rPr>
        <w:t xml:space="preserve"> </w:t>
      </w:r>
      <w:r w:rsidRPr="007C2106">
        <w:rPr>
          <w:spacing w:val="-2"/>
          <w:sz w:val="16"/>
          <w:szCs w:val="16"/>
          <w:lang w:val="en-GB"/>
        </w:rPr>
        <w:t xml:space="preserve">Persons not in employment, not seeking work (thus not fulfilling a condition to be </w:t>
      </w:r>
      <w:r>
        <w:rPr>
          <w:spacing w:val="-2"/>
          <w:sz w:val="16"/>
          <w:szCs w:val="16"/>
          <w:lang w:val="en-GB"/>
        </w:rPr>
        <w:t>p</w:t>
      </w:r>
      <w:r w:rsidRPr="007C2106">
        <w:rPr>
          <w:spacing w:val="-2"/>
          <w:sz w:val="16"/>
          <w:szCs w:val="16"/>
          <w:lang w:val="en-GB"/>
        </w:rPr>
        <w:t>ut among</w:t>
      </w:r>
      <w:r>
        <w:rPr>
          <w:spacing w:val="-2"/>
          <w:sz w:val="16"/>
          <w:szCs w:val="16"/>
          <w:lang w:val="en-GB"/>
        </w:rPr>
        <w:t xml:space="preserve"> </w:t>
      </w:r>
      <w:r w:rsidRPr="007C2106">
        <w:rPr>
          <w:spacing w:val="-2"/>
          <w:sz w:val="16"/>
          <w:szCs w:val="16"/>
          <w:lang w:val="en-GB"/>
        </w:rPr>
        <w:t xml:space="preserve">unemployed), but expressing the willingness to work (regardless </w:t>
      </w:r>
      <w:r>
        <w:rPr>
          <w:spacing w:val="-2"/>
          <w:sz w:val="16"/>
          <w:szCs w:val="16"/>
          <w:lang w:val="en-GB"/>
        </w:rPr>
        <w:t xml:space="preserve">of </w:t>
      </w:r>
      <w:r w:rsidRPr="007C2106">
        <w:rPr>
          <w:spacing w:val="-2"/>
          <w:sz w:val="16"/>
          <w:szCs w:val="16"/>
          <w:lang w:val="en-GB"/>
        </w:rPr>
        <w:t xml:space="preserve">the ability to join new employment fast). There were 105 thousand </w:t>
      </w:r>
      <w:r w:rsidR="00AE12DC">
        <w:rPr>
          <w:spacing w:val="-2"/>
          <w:sz w:val="16"/>
          <w:szCs w:val="16"/>
          <w:lang w:val="en-GB"/>
        </w:rPr>
        <w:t>of them</w:t>
      </w:r>
      <w:r w:rsidRPr="007C2106">
        <w:rPr>
          <w:spacing w:val="-2"/>
          <w:sz w:val="16"/>
          <w:szCs w:val="16"/>
          <w:lang w:val="en-GB"/>
        </w:rPr>
        <w:t xml:space="preserve"> in Q2 2019, nearly by one half less compared to years 2010 and 2011, when the labour market was hit by the aftermath of the economic recession. </w:t>
      </w:r>
    </w:p>
  </w:footnote>
  <w:footnote w:id="51">
    <w:p w:rsidR="00665624" w:rsidRPr="007C2106" w:rsidRDefault="00665624" w:rsidP="00DD1A3F">
      <w:pPr>
        <w:pStyle w:val="Textpoznpodarou"/>
        <w:jc w:val="both"/>
        <w:rPr>
          <w:spacing w:val="-2"/>
          <w:sz w:val="16"/>
          <w:szCs w:val="16"/>
          <w:lang w:val="en-GB"/>
        </w:rPr>
      </w:pPr>
      <w:r w:rsidRPr="007C2106">
        <w:rPr>
          <w:rStyle w:val="Znakapoznpodarou"/>
          <w:spacing w:val="-2"/>
          <w:sz w:val="16"/>
          <w:szCs w:val="16"/>
          <w:lang w:val="en-GB"/>
        </w:rPr>
        <w:footnoteRef/>
      </w:r>
      <w:r w:rsidRPr="007C2106">
        <w:rPr>
          <w:spacing w:val="-2"/>
          <w:sz w:val="16"/>
          <w:szCs w:val="16"/>
          <w:lang w:val="en-GB"/>
        </w:rPr>
        <w:t xml:space="preserve"> </w:t>
      </w:r>
      <w:r w:rsidR="00CC5DBF">
        <w:rPr>
          <w:spacing w:val="-2"/>
          <w:sz w:val="16"/>
          <w:szCs w:val="16"/>
          <w:lang w:val="en-GB"/>
        </w:rPr>
        <w:t>Only women in Baltic countries</w:t>
      </w:r>
      <w:r>
        <w:rPr>
          <w:spacing w:val="-2"/>
          <w:sz w:val="16"/>
          <w:szCs w:val="16"/>
          <w:lang w:val="en-GB"/>
        </w:rPr>
        <w:t xml:space="preserve"> attained a higher employment rate </w:t>
      </w:r>
      <w:r w:rsidRPr="007C2106">
        <w:rPr>
          <w:spacing w:val="-2"/>
          <w:sz w:val="16"/>
          <w:szCs w:val="16"/>
          <w:lang w:val="en-GB"/>
        </w:rPr>
        <w:t xml:space="preserve">(70 </w:t>
      </w:r>
      <w:r>
        <w:rPr>
          <w:spacing w:val="-2"/>
          <w:sz w:val="16"/>
          <w:szCs w:val="16"/>
          <w:lang w:val="en-GB"/>
        </w:rPr>
        <w:t>to</w:t>
      </w:r>
      <w:r w:rsidRPr="007C2106">
        <w:rPr>
          <w:spacing w:val="-2"/>
          <w:sz w:val="16"/>
          <w:szCs w:val="16"/>
          <w:lang w:val="en-GB"/>
        </w:rPr>
        <w:t xml:space="preserve"> 72%) </w:t>
      </w:r>
      <w:r>
        <w:rPr>
          <w:spacing w:val="-2"/>
          <w:sz w:val="16"/>
          <w:szCs w:val="16"/>
          <w:lang w:val="en-GB"/>
        </w:rPr>
        <w:t xml:space="preserve">among states that accessed the EU after year </w:t>
      </w:r>
      <w:r w:rsidRPr="007C2106">
        <w:rPr>
          <w:spacing w:val="-2"/>
          <w:sz w:val="16"/>
          <w:szCs w:val="16"/>
          <w:lang w:val="en-GB"/>
        </w:rPr>
        <w:t xml:space="preserve">2000, mainly </w:t>
      </w:r>
      <w:r>
        <w:rPr>
          <w:spacing w:val="-2"/>
          <w:sz w:val="16"/>
          <w:szCs w:val="16"/>
          <w:lang w:val="en-GB"/>
        </w:rPr>
        <w:t xml:space="preserve">due </w:t>
      </w:r>
      <w:r w:rsidRPr="007C2106">
        <w:rPr>
          <w:spacing w:val="-2"/>
          <w:sz w:val="16"/>
          <w:szCs w:val="16"/>
          <w:lang w:val="en-GB"/>
        </w:rPr>
        <w:t xml:space="preserve">to the </w:t>
      </w:r>
      <w:r w:rsidR="00CC5DBF">
        <w:rPr>
          <w:spacing w:val="-2"/>
          <w:sz w:val="16"/>
          <w:szCs w:val="16"/>
          <w:lang w:val="en-GB"/>
        </w:rPr>
        <w:t xml:space="preserve">higher </w:t>
      </w:r>
      <w:r w:rsidRPr="007C2106">
        <w:rPr>
          <w:spacing w:val="-2"/>
          <w:sz w:val="16"/>
          <w:szCs w:val="16"/>
          <w:lang w:val="en-GB"/>
        </w:rPr>
        <w:t>legal retirement age.</w:t>
      </w:r>
    </w:p>
  </w:footnote>
  <w:footnote w:id="52">
    <w:p w:rsidR="00665624" w:rsidRPr="000A4A20" w:rsidRDefault="00665624" w:rsidP="000A4A20">
      <w:pPr>
        <w:pStyle w:val="Textpoznpodarou"/>
        <w:jc w:val="both"/>
        <w:rPr>
          <w:sz w:val="16"/>
          <w:szCs w:val="16"/>
          <w:lang w:val="en-GB"/>
        </w:rPr>
      </w:pPr>
      <w:r w:rsidRPr="004470E6">
        <w:rPr>
          <w:rStyle w:val="Znakapoznpodarou"/>
          <w:sz w:val="16"/>
          <w:szCs w:val="16"/>
        </w:rPr>
        <w:footnoteRef/>
      </w:r>
      <w:r w:rsidRPr="004470E6">
        <w:rPr>
          <w:sz w:val="16"/>
          <w:szCs w:val="16"/>
        </w:rPr>
        <w:t xml:space="preserve"> </w:t>
      </w:r>
      <w:r w:rsidRPr="000A4A20">
        <w:rPr>
          <w:sz w:val="16"/>
          <w:szCs w:val="16"/>
          <w:lang w:val="en-GB"/>
        </w:rPr>
        <w:t xml:space="preserve">Unless stated otherwise, public database ARAD of the Czech National Bank is the source of data in this chapter. </w:t>
      </w:r>
    </w:p>
  </w:footnote>
  <w:footnote w:id="53">
    <w:p w:rsidR="00665624" w:rsidRPr="004F103E" w:rsidRDefault="00665624" w:rsidP="004F103E">
      <w:pPr>
        <w:pStyle w:val="Textpoznpodarou"/>
        <w:jc w:val="both"/>
        <w:rPr>
          <w:sz w:val="16"/>
          <w:szCs w:val="16"/>
          <w:lang w:val="en-GB"/>
        </w:rPr>
      </w:pPr>
      <w:r w:rsidRPr="00113954">
        <w:rPr>
          <w:rStyle w:val="Znakapoznpodarou"/>
          <w:sz w:val="16"/>
          <w:szCs w:val="16"/>
        </w:rPr>
        <w:footnoteRef/>
      </w:r>
      <w:r w:rsidRPr="00113954">
        <w:rPr>
          <w:sz w:val="16"/>
          <w:szCs w:val="16"/>
        </w:rPr>
        <w:t xml:space="preserve"> </w:t>
      </w:r>
      <w:r w:rsidRPr="004F103E">
        <w:rPr>
          <w:sz w:val="16"/>
          <w:szCs w:val="16"/>
          <w:lang w:val="en-GB"/>
        </w:rPr>
        <w:t xml:space="preserve">According to the CNB commentary, a decrease of credit balances on the current accounts occurred in the bank statistics in January 2019 compared to December 2018, mainly in the household sector. This fluctuation was caused by the one-off re-classification on the part of the reporting </w:t>
      </w:r>
      <w:r>
        <w:rPr>
          <w:sz w:val="16"/>
          <w:szCs w:val="16"/>
          <w:lang w:val="en-GB"/>
        </w:rPr>
        <w:t>e</w:t>
      </w:r>
      <w:r w:rsidRPr="004F103E">
        <w:rPr>
          <w:sz w:val="16"/>
          <w:szCs w:val="16"/>
          <w:lang w:val="en-GB"/>
        </w:rPr>
        <w:t xml:space="preserve">ntities into savings deposits redeemable on notice. </w:t>
      </w:r>
    </w:p>
  </w:footnote>
  <w:footnote w:id="54">
    <w:p w:rsidR="00665624" w:rsidRPr="004F103E" w:rsidRDefault="00665624" w:rsidP="004F103E">
      <w:pPr>
        <w:rPr>
          <w:sz w:val="16"/>
          <w:szCs w:val="16"/>
          <w:lang w:val="en-GB"/>
        </w:rPr>
      </w:pPr>
      <w:r w:rsidRPr="004F103E">
        <w:rPr>
          <w:rStyle w:val="Znakapoznpodarou"/>
          <w:sz w:val="16"/>
          <w:szCs w:val="16"/>
          <w:lang w:val="en-GB"/>
        </w:rPr>
        <w:footnoteRef/>
      </w:r>
      <w:r w:rsidRPr="004F103E">
        <w:rPr>
          <w:sz w:val="16"/>
          <w:szCs w:val="16"/>
          <w:lang w:val="en-GB"/>
        </w:rPr>
        <w:t xml:space="preserve"> </w:t>
      </w:r>
      <w:r>
        <w:rPr>
          <w:sz w:val="16"/>
          <w:szCs w:val="16"/>
          <w:lang w:val="en-GB"/>
        </w:rPr>
        <w:t xml:space="preserve">As a result of modification of the mortgage definition in the amendment to the Act No. </w:t>
      </w:r>
      <w:r w:rsidRPr="004F103E">
        <w:rPr>
          <w:sz w:val="16"/>
          <w:szCs w:val="16"/>
          <w:lang w:val="en-GB"/>
        </w:rPr>
        <w:t>190/2004 </w:t>
      </w:r>
      <w:r>
        <w:rPr>
          <w:sz w:val="16"/>
          <w:szCs w:val="16"/>
          <w:lang w:val="en-GB"/>
        </w:rPr>
        <w:t>Col</w:t>
      </w:r>
      <w:r w:rsidRPr="004F103E">
        <w:rPr>
          <w:sz w:val="16"/>
          <w:szCs w:val="16"/>
          <w:lang w:val="en-GB"/>
        </w:rPr>
        <w:t>.,</w:t>
      </w:r>
      <w:r>
        <w:rPr>
          <w:sz w:val="16"/>
          <w:szCs w:val="16"/>
          <w:lang w:val="en-GB"/>
        </w:rPr>
        <w:t xml:space="preserve"> on </w:t>
      </w:r>
      <w:r w:rsidRPr="004F103E">
        <w:rPr>
          <w:sz w:val="16"/>
          <w:szCs w:val="16"/>
          <w:lang w:val="en-GB"/>
        </w:rPr>
        <w:t xml:space="preserve">Bonds, </w:t>
      </w:r>
      <w:r>
        <w:rPr>
          <w:sz w:val="16"/>
          <w:szCs w:val="16"/>
          <w:lang w:val="en-GB"/>
        </w:rPr>
        <w:t>effective as of 4th</w:t>
      </w:r>
      <w:r w:rsidRPr="004F103E">
        <w:rPr>
          <w:sz w:val="16"/>
          <w:szCs w:val="16"/>
          <w:lang w:val="en-GB"/>
        </w:rPr>
        <w:t> </w:t>
      </w:r>
      <w:r>
        <w:rPr>
          <w:sz w:val="16"/>
          <w:szCs w:val="16"/>
          <w:lang w:val="en-GB"/>
        </w:rPr>
        <w:t>January</w:t>
      </w:r>
      <w:r w:rsidRPr="004F103E">
        <w:rPr>
          <w:sz w:val="16"/>
          <w:szCs w:val="16"/>
          <w:lang w:val="en-GB"/>
        </w:rPr>
        <w:t> 2019.</w:t>
      </w:r>
    </w:p>
  </w:footnote>
  <w:footnote w:id="55">
    <w:p w:rsidR="00665624" w:rsidRPr="00513A72" w:rsidRDefault="00665624" w:rsidP="00513A72">
      <w:pPr>
        <w:pStyle w:val="Textpoznpodarou"/>
        <w:jc w:val="both"/>
        <w:rPr>
          <w:sz w:val="16"/>
          <w:szCs w:val="16"/>
          <w:lang w:val="en-GB"/>
        </w:rPr>
      </w:pPr>
      <w:r w:rsidRPr="007F5302">
        <w:rPr>
          <w:rStyle w:val="Znakapoznpodarou"/>
          <w:sz w:val="16"/>
          <w:szCs w:val="16"/>
        </w:rPr>
        <w:footnoteRef/>
      </w:r>
      <w:r w:rsidRPr="007F5302">
        <w:rPr>
          <w:sz w:val="16"/>
          <w:szCs w:val="16"/>
        </w:rPr>
        <w:t xml:space="preserve"> </w:t>
      </w:r>
      <w:r w:rsidRPr="00513A72">
        <w:rPr>
          <w:sz w:val="16"/>
          <w:szCs w:val="16"/>
          <w:lang w:val="en-GB"/>
        </w:rPr>
        <w:t xml:space="preserve">Unless stated otherwise, all data related to the state budget stem from the data of the Ministry of Finance regarding the cash fulfilment. </w:t>
      </w:r>
    </w:p>
  </w:footnote>
  <w:footnote w:id="56">
    <w:p w:rsidR="00665624" w:rsidRPr="00513A72" w:rsidRDefault="00665624" w:rsidP="00513A72">
      <w:pPr>
        <w:pStyle w:val="Textpoznpodarou"/>
        <w:jc w:val="both"/>
        <w:rPr>
          <w:sz w:val="16"/>
          <w:szCs w:val="16"/>
          <w:lang w:val="en-GB"/>
        </w:rPr>
      </w:pPr>
      <w:r w:rsidRPr="00513A72">
        <w:rPr>
          <w:rStyle w:val="Znakapoznpodarou"/>
          <w:sz w:val="16"/>
          <w:szCs w:val="16"/>
          <w:lang w:val="en-GB"/>
        </w:rPr>
        <w:footnoteRef/>
      </w:r>
      <w:r w:rsidRPr="00513A72">
        <w:rPr>
          <w:sz w:val="16"/>
          <w:szCs w:val="16"/>
          <w:lang w:val="en-GB"/>
        </w:rPr>
        <w:t xml:space="preserve"> These revenues also contain the revenues from so called Financial mechanisms </w:t>
      </w:r>
      <w:r w:rsidRPr="00513A72">
        <w:rPr>
          <w:rStyle w:val="Zdraznn"/>
          <w:color w:val="0D0D0D" w:themeColor="text1" w:themeTint="F2"/>
          <w:sz w:val="16"/>
          <w:szCs w:val="16"/>
          <w:lang w:val="en-GB"/>
        </w:rPr>
        <w:t xml:space="preserve">(EEA and Norway Funds, Swiss – Czech Cooperation Programme). </w:t>
      </w:r>
      <w:r w:rsidR="005F42C7">
        <w:rPr>
          <w:sz w:val="16"/>
          <w:szCs w:val="16"/>
          <w:lang w:val="en-GB"/>
        </w:rPr>
        <w:t xml:space="preserve">Their </w:t>
      </w:r>
      <w:r w:rsidRPr="00513A72">
        <w:rPr>
          <w:sz w:val="16"/>
          <w:szCs w:val="16"/>
          <w:lang w:val="en-GB"/>
        </w:rPr>
        <w:t xml:space="preserve">decrease </w:t>
      </w:r>
      <w:r w:rsidR="005F42C7">
        <w:rPr>
          <w:sz w:val="16"/>
          <w:szCs w:val="16"/>
          <w:lang w:val="en-GB"/>
        </w:rPr>
        <w:t xml:space="preserve">in H1 2019 </w:t>
      </w:r>
      <w:r w:rsidRPr="00513A72">
        <w:rPr>
          <w:sz w:val="16"/>
          <w:szCs w:val="16"/>
          <w:lang w:val="en-GB"/>
        </w:rPr>
        <w:t>was affected by exceptionally high last year basis – S</w:t>
      </w:r>
      <w:r>
        <w:rPr>
          <w:sz w:val="16"/>
          <w:szCs w:val="16"/>
          <w:lang w:val="en-GB"/>
        </w:rPr>
        <w:t xml:space="preserve">B </w:t>
      </w:r>
      <w:r w:rsidRPr="00513A72">
        <w:rPr>
          <w:sz w:val="16"/>
          <w:szCs w:val="16"/>
          <w:lang w:val="en-GB"/>
        </w:rPr>
        <w:t>a</w:t>
      </w:r>
      <w:r>
        <w:rPr>
          <w:sz w:val="16"/>
          <w:szCs w:val="16"/>
          <w:lang w:val="en-GB"/>
        </w:rPr>
        <w:t>cquired part of final payments rel</w:t>
      </w:r>
      <w:r w:rsidRPr="00513A72">
        <w:rPr>
          <w:sz w:val="16"/>
          <w:szCs w:val="16"/>
          <w:lang w:val="en-GB"/>
        </w:rPr>
        <w:t>ated to the already concluded programme period 2007 t</w:t>
      </w:r>
      <w:r>
        <w:rPr>
          <w:sz w:val="16"/>
          <w:szCs w:val="16"/>
          <w:lang w:val="en-GB"/>
        </w:rPr>
        <w:t>o</w:t>
      </w:r>
      <w:r w:rsidRPr="00513A72">
        <w:rPr>
          <w:sz w:val="16"/>
          <w:szCs w:val="16"/>
          <w:lang w:val="en-GB"/>
        </w:rPr>
        <w:t xml:space="preserve"> 2013 (in the amount of 20</w:t>
      </w:r>
      <w:r>
        <w:rPr>
          <w:sz w:val="16"/>
          <w:szCs w:val="16"/>
          <w:lang w:val="en-GB"/>
        </w:rPr>
        <w:t>.</w:t>
      </w:r>
      <w:r w:rsidRPr="00513A72">
        <w:rPr>
          <w:sz w:val="16"/>
          <w:szCs w:val="16"/>
          <w:lang w:val="en-GB"/>
        </w:rPr>
        <w:t>4 CZK bn) in H1 2018.</w:t>
      </w:r>
    </w:p>
  </w:footnote>
  <w:footnote w:id="57">
    <w:p w:rsidR="00665624" w:rsidRPr="007C71B6" w:rsidRDefault="00665624" w:rsidP="002F5285">
      <w:pPr>
        <w:pStyle w:val="Textpoznpodarou"/>
        <w:jc w:val="both"/>
        <w:rPr>
          <w:sz w:val="16"/>
          <w:szCs w:val="16"/>
          <w:lang w:val="en-GB"/>
        </w:rPr>
      </w:pPr>
      <w:r w:rsidRPr="007F5302">
        <w:rPr>
          <w:rStyle w:val="Znakapoznpodarou"/>
          <w:sz w:val="16"/>
          <w:szCs w:val="16"/>
        </w:rPr>
        <w:footnoteRef/>
      </w:r>
      <w:r w:rsidRPr="007F5302">
        <w:rPr>
          <w:sz w:val="16"/>
          <w:szCs w:val="16"/>
        </w:rPr>
        <w:t xml:space="preserve"> </w:t>
      </w:r>
      <w:r w:rsidRPr="007C71B6">
        <w:rPr>
          <w:sz w:val="16"/>
          <w:szCs w:val="16"/>
          <w:lang w:val="en-GB"/>
        </w:rPr>
        <w:t>Volume of VAT collection stagnated year-on-year in Q</w:t>
      </w:r>
      <w:r w:rsidRPr="007C71B6">
        <w:rPr>
          <w:color w:val="0D0D0D" w:themeColor="text1" w:themeTint="F2"/>
          <w:sz w:val="16"/>
          <w:szCs w:val="16"/>
          <w:lang w:val="en-GB"/>
        </w:rPr>
        <w:t>1 2019, it grew by 5.9% in Q2. Slower pace was partially also connected to the year-on-year lower volume of</w:t>
      </w:r>
      <w:r>
        <w:rPr>
          <w:color w:val="0D0D0D" w:themeColor="text1" w:themeTint="F2"/>
          <w:sz w:val="16"/>
          <w:szCs w:val="16"/>
          <w:lang w:val="en-GB"/>
        </w:rPr>
        <w:t xml:space="preserve"> retained</w:t>
      </w:r>
      <w:r w:rsidRPr="007C71B6">
        <w:rPr>
          <w:color w:val="0D0D0D" w:themeColor="text1" w:themeTint="F2"/>
          <w:sz w:val="16"/>
          <w:szCs w:val="16"/>
          <w:lang w:val="en-GB"/>
        </w:rPr>
        <w:t xml:space="preserve"> </w:t>
      </w:r>
      <w:r>
        <w:rPr>
          <w:color w:val="0D0D0D" w:themeColor="text1" w:themeTint="F2"/>
          <w:sz w:val="16"/>
          <w:szCs w:val="16"/>
          <w:lang w:val="en-GB"/>
        </w:rPr>
        <w:t>excessive deductions by Financial Administration</w:t>
      </w:r>
      <w:r w:rsidRPr="007C71B6">
        <w:rPr>
          <w:color w:val="0D0D0D" w:themeColor="text1" w:themeTint="F2"/>
          <w:sz w:val="16"/>
          <w:szCs w:val="16"/>
          <w:lang w:val="en-GB"/>
        </w:rPr>
        <w:t xml:space="preserve"> at the beginning of the year. The most up-to-date data so far also proved the dynamism of the VAT collection during this year – VAT collection strengthen</w:t>
      </w:r>
      <w:r>
        <w:rPr>
          <w:color w:val="0D0D0D" w:themeColor="text1" w:themeTint="F2"/>
          <w:sz w:val="16"/>
          <w:szCs w:val="16"/>
          <w:lang w:val="en-GB"/>
        </w:rPr>
        <w:t>ed</w:t>
      </w:r>
      <w:r w:rsidRPr="007C71B6">
        <w:rPr>
          <w:color w:val="0D0D0D" w:themeColor="text1" w:themeTint="F2"/>
          <w:sz w:val="16"/>
          <w:szCs w:val="16"/>
          <w:lang w:val="en-GB"/>
        </w:rPr>
        <w:t xml:space="preserve"> in t</w:t>
      </w:r>
      <w:r>
        <w:rPr>
          <w:color w:val="0D0D0D" w:themeColor="text1" w:themeTint="F2"/>
          <w:sz w:val="16"/>
          <w:szCs w:val="16"/>
          <w:lang w:val="en-GB"/>
        </w:rPr>
        <w:t>otal</w:t>
      </w:r>
      <w:r w:rsidRPr="007C71B6">
        <w:rPr>
          <w:color w:val="0D0D0D" w:themeColor="text1" w:themeTint="F2"/>
          <w:sz w:val="16"/>
          <w:szCs w:val="16"/>
          <w:lang w:val="en-GB"/>
        </w:rPr>
        <w:t xml:space="preserve"> for the first eight months of the year by 5.2% year-on-year.</w:t>
      </w:r>
    </w:p>
  </w:footnote>
  <w:footnote w:id="58">
    <w:p w:rsidR="00665624" w:rsidRPr="007C71B6" w:rsidRDefault="00665624" w:rsidP="002F5285">
      <w:pPr>
        <w:pStyle w:val="Textpoznpodarou"/>
        <w:jc w:val="both"/>
        <w:rPr>
          <w:sz w:val="16"/>
          <w:szCs w:val="16"/>
          <w:lang w:val="en-GB"/>
        </w:rPr>
      </w:pPr>
      <w:r w:rsidRPr="007C71B6">
        <w:rPr>
          <w:rStyle w:val="Znakapoznpodarou"/>
          <w:sz w:val="16"/>
          <w:szCs w:val="16"/>
          <w:lang w:val="en-GB"/>
        </w:rPr>
        <w:footnoteRef/>
      </w:r>
      <w:r w:rsidRPr="007C71B6">
        <w:rPr>
          <w:sz w:val="16"/>
          <w:szCs w:val="16"/>
          <w:lang w:val="en-GB"/>
        </w:rPr>
        <w:t xml:space="preserve"> </w:t>
      </w:r>
      <w:r>
        <w:rPr>
          <w:sz w:val="16"/>
          <w:szCs w:val="16"/>
          <w:lang w:val="en-GB"/>
        </w:rPr>
        <w:t xml:space="preserve">Both values express the year-on-year rate of growth of the nominal not-seasonally adjusted consumption for H1 </w:t>
      </w:r>
      <w:r w:rsidRPr="007C71B6">
        <w:rPr>
          <w:color w:val="0D0D0D" w:themeColor="text1" w:themeTint="F2"/>
          <w:sz w:val="16"/>
          <w:szCs w:val="16"/>
          <w:lang w:val="en-GB"/>
        </w:rPr>
        <w:t>2019.</w:t>
      </w:r>
    </w:p>
  </w:footnote>
  <w:footnote w:id="59">
    <w:p w:rsidR="00665624" w:rsidRPr="007C71B6" w:rsidRDefault="00665624" w:rsidP="002F5285">
      <w:pPr>
        <w:pStyle w:val="Textpoznpodarou"/>
        <w:jc w:val="both"/>
        <w:rPr>
          <w:lang w:val="en-GB"/>
        </w:rPr>
      </w:pPr>
      <w:r w:rsidRPr="007C71B6">
        <w:rPr>
          <w:rStyle w:val="Znakapoznpodarou"/>
          <w:sz w:val="16"/>
          <w:szCs w:val="16"/>
          <w:lang w:val="en-GB"/>
        </w:rPr>
        <w:footnoteRef/>
      </w:r>
      <w:r w:rsidRPr="007C71B6">
        <w:rPr>
          <w:sz w:val="16"/>
          <w:szCs w:val="16"/>
          <w:lang w:val="en-GB"/>
        </w:rPr>
        <w:t xml:space="preserve"> </w:t>
      </w:r>
      <w:r>
        <w:rPr>
          <w:sz w:val="16"/>
          <w:szCs w:val="16"/>
          <w:lang w:val="en-GB"/>
        </w:rPr>
        <w:t xml:space="preserve">It also corresponds to the more detailed CZSO data related to the natural consumption of oil products. Consumption of diesel fuel </w:t>
      </w:r>
      <w:r w:rsidRPr="007C71B6">
        <w:rPr>
          <w:sz w:val="16"/>
          <w:szCs w:val="16"/>
          <w:lang w:val="en-GB"/>
        </w:rPr>
        <w:t>(+2</w:t>
      </w:r>
      <w:r>
        <w:rPr>
          <w:sz w:val="16"/>
          <w:szCs w:val="16"/>
          <w:lang w:val="en-GB"/>
        </w:rPr>
        <w:t>.</w:t>
      </w:r>
      <w:r w:rsidRPr="007C71B6">
        <w:rPr>
          <w:sz w:val="16"/>
          <w:szCs w:val="16"/>
          <w:lang w:val="en-GB"/>
        </w:rPr>
        <w:t>4%)</w:t>
      </w:r>
      <w:r>
        <w:rPr>
          <w:sz w:val="16"/>
          <w:szCs w:val="16"/>
          <w:lang w:val="en-GB"/>
        </w:rPr>
        <w:t xml:space="preserve"> as well as kerosene </w:t>
      </w:r>
      <w:r w:rsidRPr="007C71B6">
        <w:rPr>
          <w:sz w:val="16"/>
          <w:szCs w:val="16"/>
          <w:lang w:val="en-GB"/>
        </w:rPr>
        <w:t>(+3</w:t>
      </w:r>
      <w:r>
        <w:rPr>
          <w:sz w:val="16"/>
          <w:szCs w:val="16"/>
          <w:lang w:val="en-GB"/>
        </w:rPr>
        <w:t>.</w:t>
      </w:r>
      <w:r w:rsidRPr="007C71B6">
        <w:rPr>
          <w:sz w:val="16"/>
          <w:szCs w:val="16"/>
          <w:lang w:val="en-GB"/>
        </w:rPr>
        <w:t>6%</w:t>
      </w:r>
      <w:r>
        <w:rPr>
          <w:sz w:val="16"/>
          <w:szCs w:val="16"/>
          <w:lang w:val="en-GB"/>
        </w:rPr>
        <w:t>) increased year-on-year</w:t>
      </w:r>
      <w:r w:rsidRPr="007C71B6">
        <w:rPr>
          <w:sz w:val="16"/>
          <w:szCs w:val="16"/>
          <w:lang w:val="en-GB"/>
        </w:rPr>
        <w:t xml:space="preserve">, </w:t>
      </w:r>
      <w:r>
        <w:rPr>
          <w:sz w:val="16"/>
          <w:szCs w:val="16"/>
          <w:lang w:val="en-GB"/>
        </w:rPr>
        <w:t xml:space="preserve">decrease occurred on the contrary for petrol </w:t>
      </w:r>
      <w:r w:rsidRPr="007C71B6">
        <w:rPr>
          <w:sz w:val="16"/>
          <w:szCs w:val="16"/>
          <w:lang w:val="en-GB"/>
        </w:rPr>
        <w:t>(–0</w:t>
      </w:r>
      <w:r>
        <w:rPr>
          <w:sz w:val="16"/>
          <w:szCs w:val="16"/>
          <w:lang w:val="en-GB"/>
        </w:rPr>
        <w:t>.</w:t>
      </w:r>
      <w:r w:rsidRPr="007C71B6">
        <w:rPr>
          <w:sz w:val="16"/>
          <w:szCs w:val="16"/>
          <w:lang w:val="en-GB"/>
        </w:rPr>
        <w:t>2%)</w:t>
      </w:r>
      <w:r>
        <w:rPr>
          <w:sz w:val="16"/>
          <w:szCs w:val="16"/>
          <w:lang w:val="en-GB"/>
        </w:rPr>
        <w:t xml:space="preserve"> during the first five months of year 2019. </w:t>
      </w:r>
    </w:p>
  </w:footnote>
  <w:footnote w:id="60">
    <w:p w:rsidR="00665624" w:rsidRPr="007C71B6" w:rsidRDefault="00665624" w:rsidP="002F5285">
      <w:pPr>
        <w:pStyle w:val="Textpoznpodarou"/>
        <w:jc w:val="both"/>
        <w:rPr>
          <w:spacing w:val="-2"/>
          <w:sz w:val="16"/>
          <w:szCs w:val="16"/>
          <w:lang w:val="en-GB"/>
        </w:rPr>
      </w:pPr>
      <w:r w:rsidRPr="007C71B6">
        <w:rPr>
          <w:rStyle w:val="Znakapoznpodarou"/>
          <w:spacing w:val="-2"/>
          <w:sz w:val="16"/>
          <w:szCs w:val="16"/>
          <w:lang w:val="en-GB"/>
        </w:rPr>
        <w:footnoteRef/>
      </w:r>
      <w:r w:rsidRPr="007C71B6">
        <w:rPr>
          <w:spacing w:val="-2"/>
          <w:sz w:val="16"/>
          <w:szCs w:val="16"/>
          <w:lang w:val="en-GB"/>
        </w:rPr>
        <w:t xml:space="preserve"> </w:t>
      </w:r>
      <w:r>
        <w:rPr>
          <w:spacing w:val="-2"/>
          <w:sz w:val="16"/>
          <w:szCs w:val="16"/>
          <w:lang w:val="en-GB"/>
        </w:rPr>
        <w:t xml:space="preserve">For the most part a varying timing of mandatory payments of the CR within this year stood behind this development, which was connected to the prepared exit of the Great Britain from the EU. </w:t>
      </w:r>
    </w:p>
  </w:footnote>
  <w:footnote w:id="61">
    <w:p w:rsidR="00665624" w:rsidRPr="00F24FBC" w:rsidRDefault="00665624" w:rsidP="002F5285">
      <w:pPr>
        <w:pStyle w:val="Textpoznpodarou"/>
        <w:jc w:val="both"/>
        <w:rPr>
          <w:sz w:val="16"/>
          <w:szCs w:val="16"/>
          <w:lang w:val="en-GB"/>
        </w:rPr>
      </w:pPr>
      <w:r w:rsidRPr="006D61C4">
        <w:rPr>
          <w:rStyle w:val="Znakapoznpodarou"/>
          <w:sz w:val="16"/>
          <w:szCs w:val="16"/>
        </w:rPr>
        <w:footnoteRef/>
      </w:r>
      <w:r w:rsidRPr="006D61C4">
        <w:rPr>
          <w:sz w:val="16"/>
          <w:szCs w:val="16"/>
        </w:rPr>
        <w:t xml:space="preserve"> </w:t>
      </w:r>
      <w:r w:rsidRPr="00F24FBC">
        <w:rPr>
          <w:sz w:val="16"/>
          <w:szCs w:val="16"/>
          <w:lang w:val="en-GB"/>
        </w:rPr>
        <w:t xml:space="preserve">Total expenditures </w:t>
      </w:r>
      <w:r w:rsidRPr="00F24FBC">
        <w:rPr>
          <w:color w:val="0D0D0D" w:themeColor="text1" w:themeTint="F2"/>
          <w:spacing w:val="-2"/>
          <w:sz w:val="16"/>
          <w:szCs w:val="16"/>
          <w:lang w:val="en-GB"/>
        </w:rPr>
        <w:t xml:space="preserve">(incl. current) to finance common EU and CR programmes summed </w:t>
      </w:r>
      <w:r w:rsidRPr="00F24FBC">
        <w:rPr>
          <w:spacing w:val="-2"/>
          <w:sz w:val="16"/>
          <w:szCs w:val="16"/>
          <w:lang w:val="en-GB"/>
        </w:rPr>
        <w:t>65.8 CZK bn in H1, by 15.2 CZK bn more year-on-year.</w:t>
      </w:r>
    </w:p>
  </w:footnote>
  <w:footnote w:id="62">
    <w:p w:rsidR="00665624" w:rsidRPr="006D61C4" w:rsidRDefault="00665624" w:rsidP="000E7DEA">
      <w:pPr>
        <w:pStyle w:val="Textpoznpodarou"/>
        <w:jc w:val="both"/>
        <w:rPr>
          <w:sz w:val="16"/>
          <w:szCs w:val="16"/>
        </w:rPr>
      </w:pPr>
      <w:r w:rsidRPr="00F24FBC">
        <w:rPr>
          <w:rStyle w:val="Znakapoznpodarou"/>
          <w:sz w:val="16"/>
          <w:szCs w:val="16"/>
          <w:lang w:val="en-GB"/>
        </w:rPr>
        <w:footnoteRef/>
      </w:r>
      <w:r w:rsidRPr="00F24FBC">
        <w:rPr>
          <w:sz w:val="16"/>
          <w:szCs w:val="16"/>
          <w:lang w:val="en-GB"/>
        </w:rPr>
        <w:t xml:space="preserve"> </w:t>
      </w:r>
      <w:r>
        <w:rPr>
          <w:sz w:val="16"/>
          <w:szCs w:val="16"/>
          <w:lang w:val="en-GB"/>
        </w:rPr>
        <w:t xml:space="preserve">It included the increase of the basic pension assessment from </w:t>
      </w:r>
      <w:r w:rsidRPr="00F24FBC">
        <w:rPr>
          <w:color w:val="0D0D0D" w:themeColor="text1" w:themeTint="F2"/>
          <w:spacing w:val="-2"/>
          <w:sz w:val="16"/>
          <w:szCs w:val="16"/>
          <w:lang w:val="en-GB"/>
        </w:rPr>
        <w:t>9%</w:t>
      </w:r>
      <w:r>
        <w:rPr>
          <w:color w:val="0D0D0D" w:themeColor="text1" w:themeTint="F2"/>
          <w:spacing w:val="-2"/>
          <w:sz w:val="16"/>
          <w:szCs w:val="16"/>
          <w:lang w:val="en-GB"/>
        </w:rPr>
        <w:t xml:space="preserve"> to </w:t>
      </w:r>
      <w:r w:rsidRPr="00F24FBC">
        <w:rPr>
          <w:color w:val="0D0D0D" w:themeColor="text1" w:themeTint="F2"/>
          <w:spacing w:val="-2"/>
          <w:sz w:val="16"/>
          <w:szCs w:val="16"/>
          <w:lang w:val="en-GB"/>
        </w:rPr>
        <w:t>10%</w:t>
      </w:r>
      <w:r>
        <w:rPr>
          <w:color w:val="0D0D0D" w:themeColor="text1" w:themeTint="F2"/>
          <w:spacing w:val="-2"/>
          <w:sz w:val="16"/>
          <w:szCs w:val="16"/>
          <w:lang w:val="en-GB"/>
        </w:rPr>
        <w:t xml:space="preserve"> of the average wage, percentage pension assessment by </w:t>
      </w:r>
      <w:r w:rsidRPr="00F24FBC">
        <w:rPr>
          <w:color w:val="0D0D0D" w:themeColor="text1" w:themeTint="F2"/>
          <w:spacing w:val="-2"/>
          <w:sz w:val="16"/>
          <w:szCs w:val="16"/>
          <w:lang w:val="en-GB"/>
        </w:rPr>
        <w:t>3</w:t>
      </w:r>
      <w:r>
        <w:rPr>
          <w:color w:val="0D0D0D" w:themeColor="text1" w:themeTint="F2"/>
          <w:spacing w:val="-2"/>
          <w:sz w:val="16"/>
          <w:szCs w:val="16"/>
          <w:lang w:val="en-GB"/>
        </w:rPr>
        <w:t>.</w:t>
      </w:r>
      <w:r w:rsidRPr="00F24FBC">
        <w:rPr>
          <w:color w:val="0D0D0D" w:themeColor="text1" w:themeTint="F2"/>
          <w:spacing w:val="-2"/>
          <w:sz w:val="16"/>
          <w:szCs w:val="16"/>
          <w:lang w:val="en-GB"/>
        </w:rPr>
        <w:t>4% a</w:t>
      </w:r>
      <w:r>
        <w:rPr>
          <w:color w:val="0D0D0D" w:themeColor="text1" w:themeTint="F2"/>
          <w:spacing w:val="-2"/>
          <w:sz w:val="16"/>
          <w:szCs w:val="16"/>
          <w:lang w:val="en-GB"/>
        </w:rPr>
        <w:t xml:space="preserve">nd further the increase of </w:t>
      </w:r>
      <w:r w:rsidRPr="00F24FBC">
        <w:rPr>
          <w:color w:val="0D0D0D" w:themeColor="text1" w:themeTint="F2"/>
          <w:spacing w:val="-2"/>
          <w:sz w:val="16"/>
          <w:szCs w:val="16"/>
          <w:lang w:val="en-GB"/>
        </w:rPr>
        <w:t>1 000</w:t>
      </w:r>
      <w:r w:rsidRPr="00F24FBC">
        <w:rPr>
          <w:spacing w:val="-2"/>
          <w:sz w:val="16"/>
          <w:szCs w:val="16"/>
          <w:lang w:val="en-GB"/>
        </w:rPr>
        <w:t> </w:t>
      </w:r>
      <w:r>
        <w:rPr>
          <w:spacing w:val="-2"/>
          <w:sz w:val="16"/>
          <w:szCs w:val="16"/>
          <w:lang w:val="en-GB"/>
        </w:rPr>
        <w:t>CZK for pension recipients</w:t>
      </w:r>
      <w:r w:rsidRPr="00F24FBC">
        <w:rPr>
          <w:color w:val="0D0D0D" w:themeColor="text1" w:themeTint="F2"/>
          <w:spacing w:val="-2"/>
          <w:sz w:val="16"/>
          <w:szCs w:val="16"/>
          <w:lang w:val="en-GB"/>
        </w:rPr>
        <w:t xml:space="preserve">, </w:t>
      </w:r>
      <w:r>
        <w:rPr>
          <w:color w:val="0D0D0D" w:themeColor="text1" w:themeTint="F2"/>
          <w:spacing w:val="-2"/>
          <w:sz w:val="16"/>
          <w:szCs w:val="16"/>
          <w:lang w:val="en-GB"/>
        </w:rPr>
        <w:t>who reach</w:t>
      </w:r>
      <w:r w:rsidR="00164788">
        <w:rPr>
          <w:color w:val="0D0D0D" w:themeColor="text1" w:themeTint="F2"/>
          <w:spacing w:val="-2"/>
          <w:sz w:val="16"/>
          <w:szCs w:val="16"/>
          <w:lang w:val="en-GB"/>
        </w:rPr>
        <w:t>ed</w:t>
      </w:r>
      <w:r>
        <w:rPr>
          <w:color w:val="0D0D0D" w:themeColor="text1" w:themeTint="F2"/>
          <w:spacing w:val="-2"/>
          <w:sz w:val="16"/>
          <w:szCs w:val="16"/>
          <w:lang w:val="en-GB"/>
        </w:rPr>
        <w:t xml:space="preserve"> the age of </w:t>
      </w:r>
      <w:r w:rsidRPr="00F24FBC">
        <w:rPr>
          <w:color w:val="0D0D0D" w:themeColor="text1" w:themeTint="F2"/>
          <w:spacing w:val="-2"/>
          <w:sz w:val="16"/>
          <w:szCs w:val="16"/>
          <w:lang w:val="en-GB"/>
        </w:rPr>
        <w:t>85</w:t>
      </w:r>
      <w:r>
        <w:rPr>
          <w:color w:val="0D0D0D" w:themeColor="text1" w:themeTint="F2"/>
          <w:spacing w:val="-2"/>
          <w:sz w:val="16"/>
          <w:szCs w:val="16"/>
          <w:lang w:val="en-GB"/>
        </w:rPr>
        <w:t xml:space="preserve"> years. Pension adjustment mechanism further fully reflects the impact of the consumer price growth </w:t>
      </w:r>
      <w:r w:rsidRPr="00F24FBC">
        <w:rPr>
          <w:color w:val="0D0D0D" w:themeColor="text1" w:themeTint="F2"/>
          <w:spacing w:val="-2"/>
          <w:sz w:val="16"/>
          <w:szCs w:val="16"/>
          <w:lang w:val="en-GB"/>
        </w:rPr>
        <w:t>(</w:t>
      </w:r>
      <w:r>
        <w:rPr>
          <w:color w:val="0D0D0D" w:themeColor="text1" w:themeTint="F2"/>
          <w:spacing w:val="-2"/>
          <w:sz w:val="16"/>
          <w:szCs w:val="16"/>
          <w:lang w:val="en-GB"/>
        </w:rPr>
        <w:t>altern. the growth of the living costs of pensioners</w:t>
      </w:r>
      <w:r w:rsidRPr="00F24FBC">
        <w:rPr>
          <w:color w:val="0D0D0D" w:themeColor="text1" w:themeTint="F2"/>
          <w:spacing w:val="-2"/>
          <w:sz w:val="16"/>
          <w:szCs w:val="16"/>
          <w:lang w:val="en-GB"/>
        </w:rPr>
        <w:t xml:space="preserve">) </w:t>
      </w:r>
      <w:r>
        <w:rPr>
          <w:color w:val="0D0D0D" w:themeColor="text1" w:themeTint="F2"/>
          <w:spacing w:val="-2"/>
          <w:sz w:val="16"/>
          <w:szCs w:val="16"/>
          <w:lang w:val="en-GB"/>
        </w:rPr>
        <w:t xml:space="preserve">since year 2018 </w:t>
      </w:r>
      <w:r w:rsidRPr="00F24FBC">
        <w:rPr>
          <w:color w:val="0D0D0D" w:themeColor="text1" w:themeTint="F2"/>
          <w:spacing w:val="-2"/>
          <w:sz w:val="16"/>
          <w:szCs w:val="16"/>
          <w:lang w:val="en-GB"/>
        </w:rPr>
        <w:t>a</w:t>
      </w:r>
      <w:r>
        <w:rPr>
          <w:color w:val="0D0D0D" w:themeColor="text1" w:themeTint="F2"/>
          <w:spacing w:val="-2"/>
          <w:sz w:val="16"/>
          <w:szCs w:val="16"/>
          <w:lang w:val="en-GB"/>
        </w:rPr>
        <w:t xml:space="preserve">nd one half of the growth of real wages in the economy is also taken into account. </w:t>
      </w:r>
      <w:r w:rsidRPr="00F24FBC">
        <w:rPr>
          <w:color w:val="0D0D0D" w:themeColor="text1" w:themeTint="F2"/>
          <w:spacing w:val="-2"/>
          <w:sz w:val="16"/>
          <w:szCs w:val="16"/>
          <w:lang w:val="en-GB"/>
        </w:rPr>
        <w:t> </w:t>
      </w:r>
    </w:p>
  </w:footnote>
  <w:footnote w:id="63">
    <w:p w:rsidR="00665624" w:rsidRPr="00736841" w:rsidRDefault="00665624" w:rsidP="000E7DEA">
      <w:pPr>
        <w:pStyle w:val="Textpoznpodarou"/>
        <w:jc w:val="both"/>
        <w:rPr>
          <w:sz w:val="16"/>
          <w:szCs w:val="16"/>
          <w:lang w:val="en-GB"/>
        </w:rPr>
      </w:pPr>
      <w:r w:rsidRPr="006D61C4">
        <w:rPr>
          <w:rStyle w:val="Znakapoznpodarou"/>
          <w:sz w:val="16"/>
          <w:szCs w:val="16"/>
        </w:rPr>
        <w:footnoteRef/>
      </w:r>
      <w:r>
        <w:rPr>
          <w:sz w:val="16"/>
          <w:szCs w:val="16"/>
        </w:rPr>
        <w:t xml:space="preserve"> </w:t>
      </w:r>
      <w:r w:rsidRPr="00736841">
        <w:rPr>
          <w:sz w:val="16"/>
          <w:szCs w:val="16"/>
          <w:lang w:val="en-GB"/>
        </w:rPr>
        <w:t xml:space="preserve">Rate of year-on-year growth of levied insurance on pensions slowed this year for the first time after five preceding years. It jumped to record </w:t>
      </w:r>
      <w:r w:rsidR="00633908">
        <w:rPr>
          <w:sz w:val="16"/>
          <w:szCs w:val="16"/>
          <w:lang w:val="en-GB"/>
        </w:rPr>
        <w:t>+</w:t>
      </w:r>
      <w:r w:rsidRPr="00736841">
        <w:rPr>
          <w:sz w:val="16"/>
          <w:szCs w:val="16"/>
          <w:lang w:val="en-GB"/>
        </w:rPr>
        <w:t xml:space="preserve">10.7% in H1 2018. This development corresponded to the moderate slowdown of employment growth in the economy as well as likely peak of average wage dynamics achieved last year.  </w:t>
      </w:r>
    </w:p>
  </w:footnote>
  <w:footnote w:id="64">
    <w:p w:rsidR="00665624" w:rsidRPr="00736841" w:rsidRDefault="00665624" w:rsidP="000E7DEA">
      <w:pPr>
        <w:pStyle w:val="Textpoznpodarou"/>
        <w:jc w:val="both"/>
        <w:rPr>
          <w:lang w:val="en-GB"/>
        </w:rPr>
      </w:pPr>
      <w:r w:rsidRPr="00736841">
        <w:rPr>
          <w:rStyle w:val="Znakapoznpodarou"/>
          <w:sz w:val="16"/>
          <w:szCs w:val="16"/>
          <w:lang w:val="en-GB"/>
        </w:rPr>
        <w:footnoteRef/>
      </w:r>
      <w:r w:rsidRPr="00736841">
        <w:rPr>
          <w:sz w:val="16"/>
          <w:szCs w:val="16"/>
          <w:lang w:val="en-GB"/>
        </w:rPr>
        <w:t xml:space="preserve"> </w:t>
      </w:r>
      <w:r>
        <w:rPr>
          <w:sz w:val="16"/>
          <w:szCs w:val="16"/>
          <w:lang w:val="en-GB"/>
        </w:rPr>
        <w:t xml:space="preserve">Expressed as the difference between revenues and expenditures on pensions from the SB. </w:t>
      </w:r>
      <w:r>
        <w:rPr>
          <w:rFonts w:cs="Arial"/>
          <w:color w:val="000000" w:themeColor="text1"/>
          <w:spacing w:val="-4"/>
          <w:sz w:val="16"/>
          <w:szCs w:val="16"/>
          <w:lang w:val="en-GB"/>
        </w:rPr>
        <w:t xml:space="preserve">Expenditures on administration of the pension insurance system are not included (they arrived at 6.4 CZK bn according to the MF data for the whole year </w:t>
      </w:r>
      <w:r w:rsidRPr="00736841">
        <w:rPr>
          <w:rFonts w:cs="Arial"/>
          <w:color w:val="000000" w:themeColor="text1"/>
          <w:spacing w:val="-4"/>
          <w:sz w:val="16"/>
          <w:szCs w:val="16"/>
          <w:lang w:val="en-GB"/>
        </w:rPr>
        <w:t>2018).</w:t>
      </w:r>
    </w:p>
  </w:footnote>
  <w:footnote w:id="65">
    <w:p w:rsidR="00665624" w:rsidRPr="00736841" w:rsidRDefault="00665624" w:rsidP="002F5285">
      <w:pPr>
        <w:pStyle w:val="Textpoznpodarou"/>
        <w:jc w:val="both"/>
        <w:rPr>
          <w:lang w:val="en-GB"/>
        </w:rPr>
      </w:pPr>
      <w:r w:rsidRPr="00736841">
        <w:rPr>
          <w:rStyle w:val="Znakapoznpodarou"/>
          <w:sz w:val="16"/>
          <w:szCs w:val="16"/>
          <w:lang w:val="en-GB"/>
        </w:rPr>
        <w:footnoteRef/>
      </w:r>
      <w:r w:rsidRPr="00736841">
        <w:rPr>
          <w:sz w:val="16"/>
          <w:szCs w:val="16"/>
          <w:lang w:val="en-GB"/>
        </w:rPr>
        <w:t xml:space="preserve"> </w:t>
      </w:r>
      <w:r>
        <w:rPr>
          <w:sz w:val="16"/>
          <w:szCs w:val="16"/>
          <w:lang w:val="en-GB"/>
        </w:rPr>
        <w:t xml:space="preserve">Continuing growth of the temporary incapacity for work stood behind it </w:t>
      </w:r>
      <w:r w:rsidRPr="00736841">
        <w:rPr>
          <w:sz w:val="16"/>
          <w:szCs w:val="16"/>
          <w:lang w:val="en-GB"/>
        </w:rPr>
        <w:t>(</w:t>
      </w:r>
      <w:r>
        <w:rPr>
          <w:sz w:val="16"/>
          <w:szCs w:val="16"/>
          <w:lang w:val="en-GB"/>
        </w:rPr>
        <w:t>based on the MLSA data, the number of reimbursed days of sickness leaves increased by 6.7% in H</w:t>
      </w:r>
      <w:r w:rsidRPr="00736841">
        <w:rPr>
          <w:sz w:val="16"/>
          <w:szCs w:val="16"/>
          <w:lang w:val="en-GB"/>
        </w:rPr>
        <w:t>1).</w:t>
      </w:r>
      <w:r>
        <w:rPr>
          <w:sz w:val="16"/>
          <w:szCs w:val="16"/>
          <w:lang w:val="en-GB"/>
        </w:rPr>
        <w:t xml:space="preserve"> Daily assessment basis of this benefit also increased </w:t>
      </w:r>
      <w:r w:rsidRPr="00736841">
        <w:rPr>
          <w:sz w:val="16"/>
          <w:szCs w:val="16"/>
          <w:lang w:val="en-GB"/>
        </w:rPr>
        <w:t>(</w:t>
      </w:r>
      <w:r>
        <w:rPr>
          <w:sz w:val="16"/>
          <w:szCs w:val="16"/>
          <w:lang w:val="en-GB"/>
        </w:rPr>
        <w:t>derived among other things from the size of previous earnings</w:t>
      </w:r>
      <w:r w:rsidRPr="00736841">
        <w:rPr>
          <w:sz w:val="16"/>
          <w:szCs w:val="16"/>
          <w:lang w:val="en-GB"/>
        </w:rPr>
        <w:t>).</w:t>
      </w:r>
      <w:r>
        <w:rPr>
          <w:sz w:val="16"/>
          <w:szCs w:val="16"/>
          <w:lang w:val="en-GB"/>
        </w:rPr>
        <w:t xml:space="preserve"> Growth of the volume of paid out sickness benefits was also affected by higher drawing of maternity benefits</w:t>
      </w:r>
      <w:r w:rsidRPr="00736841">
        <w:rPr>
          <w:sz w:val="16"/>
          <w:szCs w:val="16"/>
          <w:lang w:val="en-GB"/>
        </w:rPr>
        <w:t xml:space="preserve"> (+7</w:t>
      </w:r>
      <w:r>
        <w:rPr>
          <w:sz w:val="16"/>
          <w:szCs w:val="16"/>
          <w:lang w:val="en-GB"/>
        </w:rPr>
        <w:t>.</w:t>
      </w:r>
      <w:r w:rsidRPr="00736841">
        <w:rPr>
          <w:sz w:val="16"/>
          <w:szCs w:val="16"/>
          <w:lang w:val="en-GB"/>
        </w:rPr>
        <w:t>5%).</w:t>
      </w:r>
    </w:p>
  </w:footnote>
  <w:footnote w:id="66">
    <w:p w:rsidR="00665624" w:rsidRPr="00736841" w:rsidRDefault="00665624" w:rsidP="002F5285">
      <w:pPr>
        <w:pStyle w:val="Textpoznpodarou"/>
        <w:jc w:val="both"/>
        <w:rPr>
          <w:lang w:val="en-GB"/>
        </w:rPr>
      </w:pPr>
      <w:r w:rsidRPr="00736841">
        <w:rPr>
          <w:rStyle w:val="Znakapoznpodarou"/>
          <w:sz w:val="16"/>
          <w:szCs w:val="16"/>
          <w:lang w:val="en-GB"/>
        </w:rPr>
        <w:footnoteRef/>
      </w:r>
      <w:r w:rsidRPr="00736841">
        <w:rPr>
          <w:sz w:val="16"/>
          <w:szCs w:val="16"/>
          <w:lang w:val="en-GB"/>
        </w:rPr>
        <w:t xml:space="preserve"> 34</w:t>
      </w:r>
      <w:r>
        <w:rPr>
          <w:sz w:val="16"/>
          <w:szCs w:val="16"/>
          <w:lang w:val="en-GB"/>
        </w:rPr>
        <w:t>.</w:t>
      </w:r>
      <w:r w:rsidRPr="00736841">
        <w:rPr>
          <w:sz w:val="16"/>
          <w:szCs w:val="16"/>
          <w:lang w:val="en-GB"/>
        </w:rPr>
        <w:t>7%</w:t>
      </w:r>
      <w:r>
        <w:rPr>
          <w:sz w:val="16"/>
          <w:szCs w:val="16"/>
          <w:lang w:val="en-GB"/>
        </w:rPr>
        <w:t xml:space="preserve"> of all registered job applicants were eligible for the unemployment benefits at the end of June 2019, </w:t>
      </w:r>
      <w:r w:rsidRPr="00736841">
        <w:rPr>
          <w:sz w:val="16"/>
          <w:szCs w:val="16"/>
          <w:lang w:val="en-GB"/>
        </w:rPr>
        <w:t>29</w:t>
      </w:r>
      <w:r>
        <w:rPr>
          <w:sz w:val="16"/>
          <w:szCs w:val="16"/>
          <w:lang w:val="en-GB"/>
        </w:rPr>
        <w:t>.</w:t>
      </w:r>
      <w:r w:rsidRPr="00736841">
        <w:rPr>
          <w:sz w:val="16"/>
          <w:szCs w:val="16"/>
          <w:lang w:val="en-GB"/>
        </w:rPr>
        <w:t>7%</w:t>
      </w:r>
      <w:r>
        <w:rPr>
          <w:sz w:val="16"/>
          <w:szCs w:val="16"/>
          <w:lang w:val="en-GB"/>
        </w:rPr>
        <w:t xml:space="preserve"> the year before</w:t>
      </w:r>
      <w:r w:rsidRPr="00736841">
        <w:rPr>
          <w:sz w:val="16"/>
          <w:szCs w:val="16"/>
          <w:lang w:val="en-GB"/>
        </w:rPr>
        <w:t xml:space="preserve">. </w:t>
      </w:r>
      <w:r>
        <w:rPr>
          <w:sz w:val="16"/>
          <w:szCs w:val="16"/>
          <w:lang w:val="en-GB"/>
        </w:rPr>
        <w:t xml:space="preserve">The average monthly size of the benefit amounted to </w:t>
      </w:r>
      <w:r w:rsidRPr="00736841">
        <w:rPr>
          <w:sz w:val="16"/>
          <w:szCs w:val="16"/>
          <w:lang w:val="en-GB"/>
        </w:rPr>
        <w:t xml:space="preserve">8 011 </w:t>
      </w:r>
      <w:r>
        <w:rPr>
          <w:sz w:val="16"/>
          <w:szCs w:val="16"/>
          <w:lang w:val="en-GB"/>
        </w:rPr>
        <w:t>CZK in June 019</w:t>
      </w:r>
      <w:r w:rsidRPr="00736841">
        <w:rPr>
          <w:sz w:val="16"/>
          <w:szCs w:val="16"/>
          <w:lang w:val="en-GB"/>
        </w:rPr>
        <w:t>,</w:t>
      </w:r>
      <w:r>
        <w:rPr>
          <w:sz w:val="16"/>
          <w:szCs w:val="16"/>
          <w:lang w:val="en-GB"/>
        </w:rPr>
        <w:t xml:space="preserve"> </w:t>
      </w:r>
      <w:r w:rsidRPr="00736841">
        <w:rPr>
          <w:sz w:val="16"/>
          <w:szCs w:val="16"/>
          <w:lang w:val="en-GB"/>
        </w:rPr>
        <w:t xml:space="preserve">7 382 </w:t>
      </w:r>
      <w:r>
        <w:rPr>
          <w:sz w:val="16"/>
          <w:szCs w:val="16"/>
          <w:lang w:val="en-GB"/>
        </w:rPr>
        <w:t xml:space="preserve">CZK in the same time period of the last year. </w:t>
      </w:r>
    </w:p>
  </w:footnote>
  <w:footnote w:id="67">
    <w:p w:rsidR="00665624" w:rsidRPr="00DB7F95" w:rsidRDefault="00665624" w:rsidP="00891E07">
      <w:pPr>
        <w:pStyle w:val="Textpoznpodarou"/>
        <w:jc w:val="both"/>
        <w:rPr>
          <w:spacing w:val="-4"/>
          <w:sz w:val="16"/>
          <w:szCs w:val="16"/>
          <w:lang w:val="en-GB"/>
        </w:rPr>
      </w:pPr>
      <w:r w:rsidRPr="00117474">
        <w:rPr>
          <w:rStyle w:val="Znakapoznpodarou"/>
          <w:spacing w:val="-4"/>
          <w:sz w:val="16"/>
          <w:szCs w:val="16"/>
        </w:rPr>
        <w:footnoteRef/>
      </w:r>
      <w:r w:rsidRPr="00117474">
        <w:rPr>
          <w:spacing w:val="-4"/>
          <w:sz w:val="16"/>
          <w:szCs w:val="16"/>
        </w:rPr>
        <w:t xml:space="preserve"> </w:t>
      </w:r>
      <w:r w:rsidRPr="00DB7F95">
        <w:rPr>
          <w:color w:val="0D0D0D" w:themeColor="text1" w:themeTint="F2"/>
          <w:spacing w:val="-2"/>
          <w:sz w:val="16"/>
          <w:szCs w:val="16"/>
          <w:lang w:val="en-GB"/>
        </w:rPr>
        <w:t>Preliminary data regarding the debt and deficit of the government institution sector for Q2 2019 will be published by CZSO on 2</w:t>
      </w:r>
      <w:r w:rsidRPr="00DB7F95">
        <w:rPr>
          <w:color w:val="0D0D0D" w:themeColor="text1" w:themeTint="F2"/>
          <w:spacing w:val="-2"/>
          <w:sz w:val="16"/>
          <w:szCs w:val="16"/>
          <w:vertAlign w:val="superscript"/>
          <w:lang w:val="en-GB"/>
        </w:rPr>
        <w:t>nd</w:t>
      </w:r>
      <w:r w:rsidRPr="00DB7F95">
        <w:rPr>
          <w:color w:val="0D0D0D" w:themeColor="text1" w:themeTint="F2"/>
          <w:spacing w:val="-2"/>
          <w:sz w:val="16"/>
          <w:szCs w:val="16"/>
          <w:lang w:val="en-GB"/>
        </w:rPr>
        <w:t xml:space="preserve"> October 2019, </w:t>
      </w:r>
      <w:r>
        <w:rPr>
          <w:color w:val="0D0D0D" w:themeColor="text1" w:themeTint="F2"/>
          <w:spacing w:val="-2"/>
          <w:sz w:val="16"/>
          <w:szCs w:val="16"/>
          <w:lang w:val="en-GB"/>
        </w:rPr>
        <w:t>b</w:t>
      </w:r>
      <w:r>
        <w:rPr>
          <w:color w:val="0D0D0D" w:themeColor="text1" w:themeTint="F2"/>
          <w:spacing w:val="-2"/>
          <w:sz w:val="16"/>
          <w:szCs w:val="16"/>
        </w:rPr>
        <w:t xml:space="preserve">y </w:t>
      </w:r>
      <w:r w:rsidRPr="00DB7F95">
        <w:rPr>
          <w:color w:val="0D0D0D" w:themeColor="text1" w:themeTint="F2"/>
          <w:spacing w:val="-2"/>
          <w:sz w:val="16"/>
          <w:szCs w:val="16"/>
          <w:lang w:val="en-GB"/>
        </w:rPr>
        <w:t>Eurostat then on 22</w:t>
      </w:r>
      <w:r w:rsidRPr="00DB7F95">
        <w:rPr>
          <w:color w:val="0D0D0D" w:themeColor="text1" w:themeTint="F2"/>
          <w:spacing w:val="-2"/>
          <w:sz w:val="16"/>
          <w:szCs w:val="16"/>
          <w:vertAlign w:val="superscript"/>
          <w:lang w:val="en-GB"/>
        </w:rPr>
        <w:t>nd</w:t>
      </w:r>
      <w:r w:rsidRPr="00DB7F95">
        <w:rPr>
          <w:color w:val="0D0D0D" w:themeColor="text1" w:themeTint="F2"/>
          <w:spacing w:val="-2"/>
          <w:sz w:val="16"/>
          <w:szCs w:val="16"/>
          <w:lang w:val="en-GB"/>
        </w:rPr>
        <w:t xml:space="preserve"> October 2019.</w:t>
      </w:r>
    </w:p>
  </w:footnote>
  <w:footnote w:id="68">
    <w:p w:rsidR="00665624" w:rsidRPr="00DB7F95" w:rsidRDefault="00665624" w:rsidP="002F5285">
      <w:pPr>
        <w:pStyle w:val="Textpoznpodarou"/>
        <w:jc w:val="both"/>
        <w:rPr>
          <w:color w:val="000000" w:themeColor="text1"/>
          <w:spacing w:val="-4"/>
          <w:sz w:val="16"/>
          <w:szCs w:val="16"/>
          <w:lang w:val="en-GB"/>
        </w:rPr>
      </w:pPr>
      <w:r w:rsidRPr="00DB7F95">
        <w:rPr>
          <w:rStyle w:val="Znakapoznpodarou"/>
          <w:sz w:val="16"/>
          <w:szCs w:val="16"/>
          <w:lang w:val="en-GB"/>
        </w:rPr>
        <w:footnoteRef/>
      </w:r>
      <w:r w:rsidRPr="00DB7F95">
        <w:rPr>
          <w:sz w:val="16"/>
          <w:szCs w:val="16"/>
          <w:lang w:val="en-GB"/>
        </w:rPr>
        <w:t xml:space="preserve"> Balance of budget of government institutions adjusted for seasonal and calendar effects finished in surplus of </w:t>
      </w:r>
      <w:r w:rsidRPr="00DB7F95">
        <w:rPr>
          <w:color w:val="0D0D0D" w:themeColor="text1" w:themeTint="F2"/>
          <w:spacing w:val="-4"/>
          <w:sz w:val="16"/>
          <w:szCs w:val="16"/>
          <w:lang w:val="en-GB"/>
        </w:rPr>
        <w:t>15</w:t>
      </w:r>
      <w:r>
        <w:rPr>
          <w:color w:val="0D0D0D" w:themeColor="text1" w:themeTint="F2"/>
          <w:spacing w:val="-4"/>
          <w:sz w:val="16"/>
          <w:szCs w:val="16"/>
          <w:lang w:val="en-GB"/>
        </w:rPr>
        <w:t>.</w:t>
      </w:r>
      <w:r w:rsidRPr="00DB7F95">
        <w:rPr>
          <w:color w:val="0D0D0D" w:themeColor="text1" w:themeTint="F2"/>
          <w:spacing w:val="-4"/>
          <w:sz w:val="16"/>
          <w:szCs w:val="16"/>
          <w:lang w:val="en-GB"/>
        </w:rPr>
        <w:t>7</w:t>
      </w:r>
      <w:r>
        <w:rPr>
          <w:color w:val="0D0D0D" w:themeColor="text1" w:themeTint="F2"/>
          <w:spacing w:val="-4"/>
          <w:sz w:val="16"/>
          <w:szCs w:val="16"/>
          <w:lang w:val="en-GB"/>
        </w:rPr>
        <w:t xml:space="preserve"> CZK bn </w:t>
      </w:r>
      <w:r w:rsidRPr="00DB7F95">
        <w:rPr>
          <w:color w:val="0D0D0D" w:themeColor="text1" w:themeTint="F2"/>
          <w:spacing w:val="-4"/>
          <w:sz w:val="16"/>
          <w:szCs w:val="16"/>
          <w:lang w:val="en-GB"/>
        </w:rPr>
        <w:t xml:space="preserve">for Q1, which constituted 1.1% of GDP. </w:t>
      </w:r>
      <w:r>
        <w:rPr>
          <w:color w:val="0D0D0D" w:themeColor="text1" w:themeTint="F2"/>
          <w:spacing w:val="-4"/>
          <w:sz w:val="16"/>
          <w:szCs w:val="16"/>
          <w:lang w:val="en-GB"/>
        </w:rPr>
        <w:t xml:space="preserve">The adjusted surplus increased by 4.2 CZK bn against Q4 of the last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Default="00665624" w:rsidP="00937AE2">
    <w:pPr>
      <w:pStyle w:val="Zhlav"/>
    </w:pPr>
    <w:r>
      <w:t>The Czech Economy Development</w:t>
    </w:r>
  </w:p>
  <w:p w:rsidR="00665624" w:rsidRPr="006F5416" w:rsidRDefault="00665624"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Default="00665624" w:rsidP="00937AE2">
    <w:pPr>
      <w:pStyle w:val="Zhlav"/>
    </w:pPr>
    <w:r>
      <w:t>The Czech Economy Development</w:t>
    </w:r>
  </w:p>
  <w:p w:rsidR="00665624" w:rsidRPr="006F5416" w:rsidRDefault="00665624"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8FC7F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4"/>
  </w:num>
  <w:num w:numId="14">
    <w:abstractNumId w:val="12"/>
  </w:num>
  <w:num w:numId="15">
    <w:abstractNumId w:val="18"/>
  </w:num>
  <w:num w:numId="16">
    <w:abstractNumId w:val="14"/>
  </w:num>
  <w:num w:numId="17">
    <w:abstractNumId w:val="25"/>
  </w:num>
  <w:num w:numId="18">
    <w:abstractNumId w:val="19"/>
  </w:num>
  <w:num w:numId="19">
    <w:abstractNumId w:val="26"/>
  </w:num>
  <w:num w:numId="20">
    <w:abstractNumId w:val="27"/>
  </w:num>
  <w:num w:numId="21">
    <w:abstractNumId w:val="23"/>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28"/>
    <w:rsid w:val="000005AF"/>
    <w:rsid w:val="00000B55"/>
    <w:rsid w:val="00000DA2"/>
    <w:rsid w:val="00000E05"/>
    <w:rsid w:val="0000209D"/>
    <w:rsid w:val="00002315"/>
    <w:rsid w:val="00003849"/>
    <w:rsid w:val="00003F5C"/>
    <w:rsid w:val="00003FD3"/>
    <w:rsid w:val="00004D5A"/>
    <w:rsid w:val="000056D5"/>
    <w:rsid w:val="00005D9E"/>
    <w:rsid w:val="000063D5"/>
    <w:rsid w:val="00006625"/>
    <w:rsid w:val="000066B6"/>
    <w:rsid w:val="00006ABD"/>
    <w:rsid w:val="00006B67"/>
    <w:rsid w:val="00006C0B"/>
    <w:rsid w:val="000073A0"/>
    <w:rsid w:val="0000767A"/>
    <w:rsid w:val="00007ABE"/>
    <w:rsid w:val="00010256"/>
    <w:rsid w:val="000103C8"/>
    <w:rsid w:val="00010702"/>
    <w:rsid w:val="0001128E"/>
    <w:rsid w:val="00011912"/>
    <w:rsid w:val="0001387D"/>
    <w:rsid w:val="0001448F"/>
    <w:rsid w:val="000162C4"/>
    <w:rsid w:val="00016420"/>
    <w:rsid w:val="0001719F"/>
    <w:rsid w:val="00017B01"/>
    <w:rsid w:val="00017F00"/>
    <w:rsid w:val="00020F22"/>
    <w:rsid w:val="0002195D"/>
    <w:rsid w:val="000221E5"/>
    <w:rsid w:val="000228AE"/>
    <w:rsid w:val="000233D1"/>
    <w:rsid w:val="0002345D"/>
    <w:rsid w:val="000234D6"/>
    <w:rsid w:val="00023D29"/>
    <w:rsid w:val="00024348"/>
    <w:rsid w:val="00025D65"/>
    <w:rsid w:val="00026389"/>
    <w:rsid w:val="000274E3"/>
    <w:rsid w:val="00031AE0"/>
    <w:rsid w:val="00031BB2"/>
    <w:rsid w:val="000322EF"/>
    <w:rsid w:val="00033FCD"/>
    <w:rsid w:val="00034DF7"/>
    <w:rsid w:val="00034E68"/>
    <w:rsid w:val="00034F5B"/>
    <w:rsid w:val="000350C8"/>
    <w:rsid w:val="00036195"/>
    <w:rsid w:val="00037270"/>
    <w:rsid w:val="000374B2"/>
    <w:rsid w:val="000376C0"/>
    <w:rsid w:val="000403A7"/>
    <w:rsid w:val="00040632"/>
    <w:rsid w:val="00041028"/>
    <w:rsid w:val="00041CEC"/>
    <w:rsid w:val="00044183"/>
    <w:rsid w:val="0004694F"/>
    <w:rsid w:val="0004752C"/>
    <w:rsid w:val="00047D54"/>
    <w:rsid w:val="000522E4"/>
    <w:rsid w:val="00053713"/>
    <w:rsid w:val="000537E1"/>
    <w:rsid w:val="00054136"/>
    <w:rsid w:val="0005434E"/>
    <w:rsid w:val="00054796"/>
    <w:rsid w:val="00055CB6"/>
    <w:rsid w:val="000572DD"/>
    <w:rsid w:val="00057B1E"/>
    <w:rsid w:val="00057F99"/>
    <w:rsid w:val="000610E1"/>
    <w:rsid w:val="000616AD"/>
    <w:rsid w:val="000622A6"/>
    <w:rsid w:val="00062EC5"/>
    <w:rsid w:val="00062F22"/>
    <w:rsid w:val="00063975"/>
    <w:rsid w:val="00063CEA"/>
    <w:rsid w:val="000645FC"/>
    <w:rsid w:val="0006533F"/>
    <w:rsid w:val="00065348"/>
    <w:rsid w:val="00065892"/>
    <w:rsid w:val="00065A75"/>
    <w:rsid w:val="00066558"/>
    <w:rsid w:val="00070A87"/>
    <w:rsid w:val="000712B3"/>
    <w:rsid w:val="00072191"/>
    <w:rsid w:val="00072577"/>
    <w:rsid w:val="00072A4A"/>
    <w:rsid w:val="00072FF5"/>
    <w:rsid w:val="0007474E"/>
    <w:rsid w:val="0007512B"/>
    <w:rsid w:val="00075551"/>
    <w:rsid w:val="00076079"/>
    <w:rsid w:val="00076D90"/>
    <w:rsid w:val="00077FF0"/>
    <w:rsid w:val="000804D8"/>
    <w:rsid w:val="00081A55"/>
    <w:rsid w:val="0008263E"/>
    <w:rsid w:val="00082C19"/>
    <w:rsid w:val="000837CD"/>
    <w:rsid w:val="00083F87"/>
    <w:rsid w:val="00084492"/>
    <w:rsid w:val="00084BFF"/>
    <w:rsid w:val="00084C4C"/>
    <w:rsid w:val="00085395"/>
    <w:rsid w:val="0008688B"/>
    <w:rsid w:val="00086896"/>
    <w:rsid w:val="00086AC1"/>
    <w:rsid w:val="00086D19"/>
    <w:rsid w:val="00087634"/>
    <w:rsid w:val="00087F2B"/>
    <w:rsid w:val="00090694"/>
    <w:rsid w:val="000906C3"/>
    <w:rsid w:val="000912BE"/>
    <w:rsid w:val="000913B1"/>
    <w:rsid w:val="00091483"/>
    <w:rsid w:val="00093241"/>
    <w:rsid w:val="00094A84"/>
    <w:rsid w:val="00095025"/>
    <w:rsid w:val="00095135"/>
    <w:rsid w:val="00095A4B"/>
    <w:rsid w:val="00095AFE"/>
    <w:rsid w:val="0009626E"/>
    <w:rsid w:val="00097191"/>
    <w:rsid w:val="000974D1"/>
    <w:rsid w:val="0009799E"/>
    <w:rsid w:val="000A0BC0"/>
    <w:rsid w:val="000A1183"/>
    <w:rsid w:val="000A212B"/>
    <w:rsid w:val="000A256D"/>
    <w:rsid w:val="000A3A2C"/>
    <w:rsid w:val="000A3D9E"/>
    <w:rsid w:val="000A4A20"/>
    <w:rsid w:val="000A4A54"/>
    <w:rsid w:val="000A4ED9"/>
    <w:rsid w:val="000A6F9F"/>
    <w:rsid w:val="000A7377"/>
    <w:rsid w:val="000B03CC"/>
    <w:rsid w:val="000B4212"/>
    <w:rsid w:val="000B7A9D"/>
    <w:rsid w:val="000C0EA8"/>
    <w:rsid w:val="000C13A2"/>
    <w:rsid w:val="000C23EC"/>
    <w:rsid w:val="000C30C3"/>
    <w:rsid w:val="000C3408"/>
    <w:rsid w:val="000C35AB"/>
    <w:rsid w:val="000C3F7B"/>
    <w:rsid w:val="000C4769"/>
    <w:rsid w:val="000C4D56"/>
    <w:rsid w:val="000C5DFA"/>
    <w:rsid w:val="000C6AFD"/>
    <w:rsid w:val="000C6C90"/>
    <w:rsid w:val="000D0A26"/>
    <w:rsid w:val="000D3058"/>
    <w:rsid w:val="000D310A"/>
    <w:rsid w:val="000D3EF4"/>
    <w:rsid w:val="000D5637"/>
    <w:rsid w:val="000D6F4E"/>
    <w:rsid w:val="000E0E96"/>
    <w:rsid w:val="000E298B"/>
    <w:rsid w:val="000E2C7D"/>
    <w:rsid w:val="000E440D"/>
    <w:rsid w:val="000E44FB"/>
    <w:rsid w:val="000E4AC5"/>
    <w:rsid w:val="000E4DDC"/>
    <w:rsid w:val="000E6253"/>
    <w:rsid w:val="000E6E4D"/>
    <w:rsid w:val="000E6FBD"/>
    <w:rsid w:val="000E6FCB"/>
    <w:rsid w:val="000E7DEA"/>
    <w:rsid w:val="000F090B"/>
    <w:rsid w:val="000F253E"/>
    <w:rsid w:val="000F3F3B"/>
    <w:rsid w:val="000F47E8"/>
    <w:rsid w:val="000F70E4"/>
    <w:rsid w:val="00100F5C"/>
    <w:rsid w:val="00101CDA"/>
    <w:rsid w:val="00102037"/>
    <w:rsid w:val="00103DCB"/>
    <w:rsid w:val="00104C4C"/>
    <w:rsid w:val="00105015"/>
    <w:rsid w:val="00105238"/>
    <w:rsid w:val="001057C2"/>
    <w:rsid w:val="00105F9B"/>
    <w:rsid w:val="00105FF8"/>
    <w:rsid w:val="0011038E"/>
    <w:rsid w:val="001116E7"/>
    <w:rsid w:val="001125EF"/>
    <w:rsid w:val="00112CAB"/>
    <w:rsid w:val="00113B2C"/>
    <w:rsid w:val="001143E0"/>
    <w:rsid w:val="00114F02"/>
    <w:rsid w:val="00115469"/>
    <w:rsid w:val="00116D3F"/>
    <w:rsid w:val="00117474"/>
    <w:rsid w:val="00117623"/>
    <w:rsid w:val="00117FEA"/>
    <w:rsid w:val="001200CF"/>
    <w:rsid w:val="001208E3"/>
    <w:rsid w:val="0012192F"/>
    <w:rsid w:val="00121AAB"/>
    <w:rsid w:val="00122994"/>
    <w:rsid w:val="00124B46"/>
    <w:rsid w:val="001257E0"/>
    <w:rsid w:val="00125D69"/>
    <w:rsid w:val="0012799C"/>
    <w:rsid w:val="00127E15"/>
    <w:rsid w:val="00130ADC"/>
    <w:rsid w:val="00130D9F"/>
    <w:rsid w:val="00132C4D"/>
    <w:rsid w:val="00133FC1"/>
    <w:rsid w:val="00134659"/>
    <w:rsid w:val="001370B7"/>
    <w:rsid w:val="001405FA"/>
    <w:rsid w:val="00140D1A"/>
    <w:rsid w:val="00141315"/>
    <w:rsid w:val="00141AA0"/>
    <w:rsid w:val="001425C3"/>
    <w:rsid w:val="0014262D"/>
    <w:rsid w:val="00144588"/>
    <w:rsid w:val="001447DD"/>
    <w:rsid w:val="001459BC"/>
    <w:rsid w:val="0014675A"/>
    <w:rsid w:val="0015136D"/>
    <w:rsid w:val="001524CE"/>
    <w:rsid w:val="00152F4F"/>
    <w:rsid w:val="001539F9"/>
    <w:rsid w:val="00153C26"/>
    <w:rsid w:val="00153EC7"/>
    <w:rsid w:val="001544A1"/>
    <w:rsid w:val="001548E1"/>
    <w:rsid w:val="001553B8"/>
    <w:rsid w:val="001554C2"/>
    <w:rsid w:val="00155B6D"/>
    <w:rsid w:val="001571C0"/>
    <w:rsid w:val="0015753D"/>
    <w:rsid w:val="00157CC9"/>
    <w:rsid w:val="00157E3F"/>
    <w:rsid w:val="00160C21"/>
    <w:rsid w:val="00161223"/>
    <w:rsid w:val="001612F4"/>
    <w:rsid w:val="00161553"/>
    <w:rsid w:val="00161684"/>
    <w:rsid w:val="0016256B"/>
    <w:rsid w:val="00162F81"/>
    <w:rsid w:val="00163793"/>
    <w:rsid w:val="0016467D"/>
    <w:rsid w:val="00164788"/>
    <w:rsid w:val="001650C3"/>
    <w:rsid w:val="00166875"/>
    <w:rsid w:val="00167485"/>
    <w:rsid w:val="00167CB9"/>
    <w:rsid w:val="00167DD8"/>
    <w:rsid w:val="001705AD"/>
    <w:rsid w:val="001706D6"/>
    <w:rsid w:val="001714F2"/>
    <w:rsid w:val="00171FEA"/>
    <w:rsid w:val="00172622"/>
    <w:rsid w:val="001750A3"/>
    <w:rsid w:val="00175B9F"/>
    <w:rsid w:val="001762F4"/>
    <w:rsid w:val="001807EF"/>
    <w:rsid w:val="00181BBC"/>
    <w:rsid w:val="0018385F"/>
    <w:rsid w:val="00183928"/>
    <w:rsid w:val="00184017"/>
    <w:rsid w:val="00184B08"/>
    <w:rsid w:val="00185010"/>
    <w:rsid w:val="00185C22"/>
    <w:rsid w:val="00185E52"/>
    <w:rsid w:val="00186BA9"/>
    <w:rsid w:val="0019196C"/>
    <w:rsid w:val="00192F05"/>
    <w:rsid w:val="0019447D"/>
    <w:rsid w:val="00194729"/>
    <w:rsid w:val="00194850"/>
    <w:rsid w:val="00195234"/>
    <w:rsid w:val="00195C85"/>
    <w:rsid w:val="00196016"/>
    <w:rsid w:val="00197A70"/>
    <w:rsid w:val="00197C0F"/>
    <w:rsid w:val="001A0487"/>
    <w:rsid w:val="001A15AF"/>
    <w:rsid w:val="001A1716"/>
    <w:rsid w:val="001A1F68"/>
    <w:rsid w:val="001A21FA"/>
    <w:rsid w:val="001A2AD0"/>
    <w:rsid w:val="001A4EF0"/>
    <w:rsid w:val="001A552F"/>
    <w:rsid w:val="001B086A"/>
    <w:rsid w:val="001B2CA9"/>
    <w:rsid w:val="001B3110"/>
    <w:rsid w:val="001B352E"/>
    <w:rsid w:val="001B3E38"/>
    <w:rsid w:val="001B40F5"/>
    <w:rsid w:val="001B4729"/>
    <w:rsid w:val="001B4F0E"/>
    <w:rsid w:val="001B6310"/>
    <w:rsid w:val="001B6C09"/>
    <w:rsid w:val="001C05CD"/>
    <w:rsid w:val="001C0F17"/>
    <w:rsid w:val="001C1B66"/>
    <w:rsid w:val="001C1B6C"/>
    <w:rsid w:val="001C2B88"/>
    <w:rsid w:val="001C31A2"/>
    <w:rsid w:val="001C369F"/>
    <w:rsid w:val="001C4BB8"/>
    <w:rsid w:val="001C5E46"/>
    <w:rsid w:val="001C60B7"/>
    <w:rsid w:val="001C6B3B"/>
    <w:rsid w:val="001C6C7D"/>
    <w:rsid w:val="001C7E3F"/>
    <w:rsid w:val="001D0EF1"/>
    <w:rsid w:val="001D22C2"/>
    <w:rsid w:val="001D2C99"/>
    <w:rsid w:val="001D452E"/>
    <w:rsid w:val="001D54C1"/>
    <w:rsid w:val="001D556E"/>
    <w:rsid w:val="001D5DF2"/>
    <w:rsid w:val="001D68B2"/>
    <w:rsid w:val="001D6E96"/>
    <w:rsid w:val="001D74DD"/>
    <w:rsid w:val="001D7EFD"/>
    <w:rsid w:val="001D7F60"/>
    <w:rsid w:val="001E09E1"/>
    <w:rsid w:val="001E504C"/>
    <w:rsid w:val="001E59DF"/>
    <w:rsid w:val="001E5A17"/>
    <w:rsid w:val="001E74C5"/>
    <w:rsid w:val="001F1236"/>
    <w:rsid w:val="001F2F90"/>
    <w:rsid w:val="001F4597"/>
    <w:rsid w:val="001F4826"/>
    <w:rsid w:val="001F5EAA"/>
    <w:rsid w:val="001F7CE0"/>
    <w:rsid w:val="00200085"/>
    <w:rsid w:val="00203332"/>
    <w:rsid w:val="00203CD5"/>
    <w:rsid w:val="00203D8F"/>
    <w:rsid w:val="00203DA4"/>
    <w:rsid w:val="00205186"/>
    <w:rsid w:val="00205932"/>
    <w:rsid w:val="00206516"/>
    <w:rsid w:val="002071D5"/>
    <w:rsid w:val="002111E5"/>
    <w:rsid w:val="00211433"/>
    <w:rsid w:val="002118B9"/>
    <w:rsid w:val="00212F5D"/>
    <w:rsid w:val="002142C0"/>
    <w:rsid w:val="00217C5B"/>
    <w:rsid w:val="00220A43"/>
    <w:rsid w:val="0022139E"/>
    <w:rsid w:val="00222729"/>
    <w:rsid w:val="002233D6"/>
    <w:rsid w:val="00223605"/>
    <w:rsid w:val="0022441D"/>
    <w:rsid w:val="00224574"/>
    <w:rsid w:val="00224E3F"/>
    <w:rsid w:val="00225292"/>
    <w:rsid w:val="002252E0"/>
    <w:rsid w:val="002255F6"/>
    <w:rsid w:val="00226032"/>
    <w:rsid w:val="0022738D"/>
    <w:rsid w:val="00227605"/>
    <w:rsid w:val="00227850"/>
    <w:rsid w:val="00227A53"/>
    <w:rsid w:val="00227E2E"/>
    <w:rsid w:val="00227F53"/>
    <w:rsid w:val="00230C6E"/>
    <w:rsid w:val="00230E21"/>
    <w:rsid w:val="002316A8"/>
    <w:rsid w:val="0023288F"/>
    <w:rsid w:val="00233603"/>
    <w:rsid w:val="00233FDA"/>
    <w:rsid w:val="002340EF"/>
    <w:rsid w:val="00234B82"/>
    <w:rsid w:val="00236443"/>
    <w:rsid w:val="00236700"/>
    <w:rsid w:val="00237D82"/>
    <w:rsid w:val="00240ADA"/>
    <w:rsid w:val="00240AF3"/>
    <w:rsid w:val="00240DA6"/>
    <w:rsid w:val="0024106F"/>
    <w:rsid w:val="002418D5"/>
    <w:rsid w:val="00241B06"/>
    <w:rsid w:val="002436BA"/>
    <w:rsid w:val="0024448D"/>
    <w:rsid w:val="00244A15"/>
    <w:rsid w:val="002452D9"/>
    <w:rsid w:val="00247319"/>
    <w:rsid w:val="0024799E"/>
    <w:rsid w:val="00247E60"/>
    <w:rsid w:val="00251771"/>
    <w:rsid w:val="00251C53"/>
    <w:rsid w:val="00252AB9"/>
    <w:rsid w:val="00253C0F"/>
    <w:rsid w:val="002558C1"/>
    <w:rsid w:val="00256207"/>
    <w:rsid w:val="002575F3"/>
    <w:rsid w:val="002603E1"/>
    <w:rsid w:val="0026120E"/>
    <w:rsid w:val="00262141"/>
    <w:rsid w:val="002624BC"/>
    <w:rsid w:val="00262582"/>
    <w:rsid w:val="0026291D"/>
    <w:rsid w:val="00264309"/>
    <w:rsid w:val="0026564B"/>
    <w:rsid w:val="00265E85"/>
    <w:rsid w:val="00266E39"/>
    <w:rsid w:val="00266F0A"/>
    <w:rsid w:val="00267B49"/>
    <w:rsid w:val="002700D9"/>
    <w:rsid w:val="0027025F"/>
    <w:rsid w:val="002709CC"/>
    <w:rsid w:val="00271022"/>
    <w:rsid w:val="00271465"/>
    <w:rsid w:val="002721F5"/>
    <w:rsid w:val="00272DF4"/>
    <w:rsid w:val="00273681"/>
    <w:rsid w:val="00274D2C"/>
    <w:rsid w:val="0027583D"/>
    <w:rsid w:val="00275DEF"/>
    <w:rsid w:val="002763A2"/>
    <w:rsid w:val="00276B33"/>
    <w:rsid w:val="00281155"/>
    <w:rsid w:val="002812E3"/>
    <w:rsid w:val="00281560"/>
    <w:rsid w:val="0028341F"/>
    <w:rsid w:val="002837AE"/>
    <w:rsid w:val="00283C13"/>
    <w:rsid w:val="00284287"/>
    <w:rsid w:val="002849D0"/>
    <w:rsid w:val="002853FA"/>
    <w:rsid w:val="00285412"/>
    <w:rsid w:val="0028578A"/>
    <w:rsid w:val="00286220"/>
    <w:rsid w:val="002904EA"/>
    <w:rsid w:val="00291640"/>
    <w:rsid w:val="00291F92"/>
    <w:rsid w:val="00291FE4"/>
    <w:rsid w:val="0029237E"/>
    <w:rsid w:val="00292997"/>
    <w:rsid w:val="00293D24"/>
    <w:rsid w:val="0029509B"/>
    <w:rsid w:val="0029588F"/>
    <w:rsid w:val="00297256"/>
    <w:rsid w:val="00297A5C"/>
    <w:rsid w:val="00297BD9"/>
    <w:rsid w:val="00297D51"/>
    <w:rsid w:val="002A0122"/>
    <w:rsid w:val="002A016B"/>
    <w:rsid w:val="002A16D4"/>
    <w:rsid w:val="002A1E4F"/>
    <w:rsid w:val="002A230C"/>
    <w:rsid w:val="002A2AF7"/>
    <w:rsid w:val="002A3EA2"/>
    <w:rsid w:val="002A490D"/>
    <w:rsid w:val="002A512F"/>
    <w:rsid w:val="002A51AC"/>
    <w:rsid w:val="002A532A"/>
    <w:rsid w:val="002A5846"/>
    <w:rsid w:val="002A5D97"/>
    <w:rsid w:val="002A5E26"/>
    <w:rsid w:val="002A603E"/>
    <w:rsid w:val="002A63B9"/>
    <w:rsid w:val="002B3178"/>
    <w:rsid w:val="002B3EF4"/>
    <w:rsid w:val="002B4845"/>
    <w:rsid w:val="002B5567"/>
    <w:rsid w:val="002B72AA"/>
    <w:rsid w:val="002C1F09"/>
    <w:rsid w:val="002C22A4"/>
    <w:rsid w:val="002C260B"/>
    <w:rsid w:val="002C27A6"/>
    <w:rsid w:val="002C398D"/>
    <w:rsid w:val="002C40D2"/>
    <w:rsid w:val="002C4214"/>
    <w:rsid w:val="002C43BD"/>
    <w:rsid w:val="002C5245"/>
    <w:rsid w:val="002C59D8"/>
    <w:rsid w:val="002D0394"/>
    <w:rsid w:val="002D05CB"/>
    <w:rsid w:val="002D0E59"/>
    <w:rsid w:val="002D13AD"/>
    <w:rsid w:val="002D1C72"/>
    <w:rsid w:val="002D455C"/>
    <w:rsid w:val="002D5087"/>
    <w:rsid w:val="002E02A1"/>
    <w:rsid w:val="002E0587"/>
    <w:rsid w:val="002E196A"/>
    <w:rsid w:val="002E20C7"/>
    <w:rsid w:val="002E20CD"/>
    <w:rsid w:val="002E222E"/>
    <w:rsid w:val="002E26A6"/>
    <w:rsid w:val="002E28D8"/>
    <w:rsid w:val="002E37D1"/>
    <w:rsid w:val="002E3BEE"/>
    <w:rsid w:val="002E4E4C"/>
    <w:rsid w:val="002E4EA7"/>
    <w:rsid w:val="002E5846"/>
    <w:rsid w:val="002E792B"/>
    <w:rsid w:val="002E7A3C"/>
    <w:rsid w:val="002F0840"/>
    <w:rsid w:val="002F19BF"/>
    <w:rsid w:val="002F1B09"/>
    <w:rsid w:val="002F1DCB"/>
    <w:rsid w:val="002F1DE4"/>
    <w:rsid w:val="002F333D"/>
    <w:rsid w:val="002F351A"/>
    <w:rsid w:val="002F46D6"/>
    <w:rsid w:val="002F498A"/>
    <w:rsid w:val="002F4AD8"/>
    <w:rsid w:val="002F5285"/>
    <w:rsid w:val="002F5820"/>
    <w:rsid w:val="002F600E"/>
    <w:rsid w:val="00300C31"/>
    <w:rsid w:val="003019B0"/>
    <w:rsid w:val="00303939"/>
    <w:rsid w:val="00304771"/>
    <w:rsid w:val="003052D4"/>
    <w:rsid w:val="00306880"/>
    <w:rsid w:val="00306C5B"/>
    <w:rsid w:val="00307529"/>
    <w:rsid w:val="00307DB3"/>
    <w:rsid w:val="00307ED2"/>
    <w:rsid w:val="0031076D"/>
    <w:rsid w:val="00310FA6"/>
    <w:rsid w:val="00311AA6"/>
    <w:rsid w:val="00311C4D"/>
    <w:rsid w:val="003121AB"/>
    <w:rsid w:val="003153C8"/>
    <w:rsid w:val="00315524"/>
    <w:rsid w:val="00315BD8"/>
    <w:rsid w:val="0032058C"/>
    <w:rsid w:val="003208D0"/>
    <w:rsid w:val="003209D6"/>
    <w:rsid w:val="003217B9"/>
    <w:rsid w:val="00321924"/>
    <w:rsid w:val="00321EB6"/>
    <w:rsid w:val="003220A5"/>
    <w:rsid w:val="00323A1C"/>
    <w:rsid w:val="00324B59"/>
    <w:rsid w:val="0032656E"/>
    <w:rsid w:val="0032788F"/>
    <w:rsid w:val="00330DF5"/>
    <w:rsid w:val="00332190"/>
    <w:rsid w:val="00332378"/>
    <w:rsid w:val="003332CE"/>
    <w:rsid w:val="00333CD0"/>
    <w:rsid w:val="0033448D"/>
    <w:rsid w:val="00334AD2"/>
    <w:rsid w:val="0033709C"/>
    <w:rsid w:val="003370B1"/>
    <w:rsid w:val="003370C5"/>
    <w:rsid w:val="0034095D"/>
    <w:rsid w:val="00340BF3"/>
    <w:rsid w:val="00340FD2"/>
    <w:rsid w:val="00341D26"/>
    <w:rsid w:val="00341F05"/>
    <w:rsid w:val="0034335E"/>
    <w:rsid w:val="00343428"/>
    <w:rsid w:val="00344668"/>
    <w:rsid w:val="003462D9"/>
    <w:rsid w:val="00347247"/>
    <w:rsid w:val="00347BDC"/>
    <w:rsid w:val="00347DD4"/>
    <w:rsid w:val="00350879"/>
    <w:rsid w:val="00352B43"/>
    <w:rsid w:val="00352C28"/>
    <w:rsid w:val="0036077F"/>
    <w:rsid w:val="00360811"/>
    <w:rsid w:val="00360C86"/>
    <w:rsid w:val="00360F7A"/>
    <w:rsid w:val="00360FBC"/>
    <w:rsid w:val="00361537"/>
    <w:rsid w:val="0036242A"/>
    <w:rsid w:val="00362C23"/>
    <w:rsid w:val="00362E29"/>
    <w:rsid w:val="00362E90"/>
    <w:rsid w:val="00364FA0"/>
    <w:rsid w:val="003657F3"/>
    <w:rsid w:val="00365844"/>
    <w:rsid w:val="00367F84"/>
    <w:rsid w:val="003712BC"/>
    <w:rsid w:val="00372164"/>
    <w:rsid w:val="003738BD"/>
    <w:rsid w:val="00373973"/>
    <w:rsid w:val="00374263"/>
    <w:rsid w:val="003746F0"/>
    <w:rsid w:val="00374A20"/>
    <w:rsid w:val="00374B68"/>
    <w:rsid w:val="00374E21"/>
    <w:rsid w:val="003810F0"/>
    <w:rsid w:val="003813A8"/>
    <w:rsid w:val="003818DC"/>
    <w:rsid w:val="00382513"/>
    <w:rsid w:val="003830D4"/>
    <w:rsid w:val="00383388"/>
    <w:rsid w:val="003834F8"/>
    <w:rsid w:val="003838D0"/>
    <w:rsid w:val="003840C2"/>
    <w:rsid w:val="00384327"/>
    <w:rsid w:val="00384A89"/>
    <w:rsid w:val="00385086"/>
    <w:rsid w:val="00385D98"/>
    <w:rsid w:val="00386127"/>
    <w:rsid w:val="003868BC"/>
    <w:rsid w:val="00390306"/>
    <w:rsid w:val="003908A6"/>
    <w:rsid w:val="00391989"/>
    <w:rsid w:val="003927F6"/>
    <w:rsid w:val="00393CDD"/>
    <w:rsid w:val="00396739"/>
    <w:rsid w:val="003A04F6"/>
    <w:rsid w:val="003A0837"/>
    <w:rsid w:val="003A2B4D"/>
    <w:rsid w:val="003A2D12"/>
    <w:rsid w:val="003A2EBA"/>
    <w:rsid w:val="003A45E3"/>
    <w:rsid w:val="003A478C"/>
    <w:rsid w:val="003A50AC"/>
    <w:rsid w:val="003A5525"/>
    <w:rsid w:val="003A5889"/>
    <w:rsid w:val="003A6B38"/>
    <w:rsid w:val="003A6B83"/>
    <w:rsid w:val="003A6C97"/>
    <w:rsid w:val="003A722F"/>
    <w:rsid w:val="003A7373"/>
    <w:rsid w:val="003A7E9D"/>
    <w:rsid w:val="003B039F"/>
    <w:rsid w:val="003B0DF4"/>
    <w:rsid w:val="003B1F9D"/>
    <w:rsid w:val="003B2AD1"/>
    <w:rsid w:val="003B2D2E"/>
    <w:rsid w:val="003B461F"/>
    <w:rsid w:val="003B483F"/>
    <w:rsid w:val="003B4998"/>
    <w:rsid w:val="003B5A32"/>
    <w:rsid w:val="003B5C49"/>
    <w:rsid w:val="003B6762"/>
    <w:rsid w:val="003B7B50"/>
    <w:rsid w:val="003C0B07"/>
    <w:rsid w:val="003C176C"/>
    <w:rsid w:val="003C257A"/>
    <w:rsid w:val="003C2CE7"/>
    <w:rsid w:val="003C3490"/>
    <w:rsid w:val="003C3608"/>
    <w:rsid w:val="003C3D2C"/>
    <w:rsid w:val="003C4E13"/>
    <w:rsid w:val="003C6221"/>
    <w:rsid w:val="003C6548"/>
    <w:rsid w:val="003C68CC"/>
    <w:rsid w:val="003C71B9"/>
    <w:rsid w:val="003C7E62"/>
    <w:rsid w:val="003D03B4"/>
    <w:rsid w:val="003D12B9"/>
    <w:rsid w:val="003D242B"/>
    <w:rsid w:val="003D2492"/>
    <w:rsid w:val="003D29AA"/>
    <w:rsid w:val="003D2A99"/>
    <w:rsid w:val="003D4A29"/>
    <w:rsid w:val="003D6920"/>
    <w:rsid w:val="003E016B"/>
    <w:rsid w:val="003E1EF8"/>
    <w:rsid w:val="003E2840"/>
    <w:rsid w:val="003E3A1B"/>
    <w:rsid w:val="003E4C91"/>
    <w:rsid w:val="003E52D8"/>
    <w:rsid w:val="003E62F1"/>
    <w:rsid w:val="003E68E3"/>
    <w:rsid w:val="003E6DE1"/>
    <w:rsid w:val="003F313C"/>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51"/>
    <w:rsid w:val="00403F57"/>
    <w:rsid w:val="004045A7"/>
    <w:rsid w:val="00405318"/>
    <w:rsid w:val="004057F8"/>
    <w:rsid w:val="004059D2"/>
    <w:rsid w:val="00406C2E"/>
    <w:rsid w:val="00406EB0"/>
    <w:rsid w:val="00407711"/>
    <w:rsid w:val="00407C13"/>
    <w:rsid w:val="00407C53"/>
    <w:rsid w:val="004103F6"/>
    <w:rsid w:val="00410638"/>
    <w:rsid w:val="004113B9"/>
    <w:rsid w:val="00412511"/>
    <w:rsid w:val="004125C2"/>
    <w:rsid w:val="00412DFA"/>
    <w:rsid w:val="00413465"/>
    <w:rsid w:val="0041501E"/>
    <w:rsid w:val="00415452"/>
    <w:rsid w:val="004159C3"/>
    <w:rsid w:val="00415A57"/>
    <w:rsid w:val="00416DAC"/>
    <w:rsid w:val="00420880"/>
    <w:rsid w:val="00421179"/>
    <w:rsid w:val="00422629"/>
    <w:rsid w:val="00422D1A"/>
    <w:rsid w:val="00423F00"/>
    <w:rsid w:val="004260C4"/>
    <w:rsid w:val="004314AC"/>
    <w:rsid w:val="00431BFF"/>
    <w:rsid w:val="00432319"/>
    <w:rsid w:val="00432A58"/>
    <w:rsid w:val="004331C3"/>
    <w:rsid w:val="00434617"/>
    <w:rsid w:val="00435051"/>
    <w:rsid w:val="00435C69"/>
    <w:rsid w:val="004360FB"/>
    <w:rsid w:val="00437CED"/>
    <w:rsid w:val="00440900"/>
    <w:rsid w:val="0044121D"/>
    <w:rsid w:val="00441755"/>
    <w:rsid w:val="00441BF6"/>
    <w:rsid w:val="00441D2B"/>
    <w:rsid w:val="004441A0"/>
    <w:rsid w:val="00445861"/>
    <w:rsid w:val="00445A8E"/>
    <w:rsid w:val="00446D44"/>
    <w:rsid w:val="0045078A"/>
    <w:rsid w:val="0045086D"/>
    <w:rsid w:val="00450AB0"/>
    <w:rsid w:val="004511E6"/>
    <w:rsid w:val="00451EF1"/>
    <w:rsid w:val="00452E60"/>
    <w:rsid w:val="0045321B"/>
    <w:rsid w:val="0045332A"/>
    <w:rsid w:val="00453CD8"/>
    <w:rsid w:val="00455C25"/>
    <w:rsid w:val="00456FE5"/>
    <w:rsid w:val="00457490"/>
    <w:rsid w:val="00457953"/>
    <w:rsid w:val="00460656"/>
    <w:rsid w:val="00460FB3"/>
    <w:rsid w:val="00461404"/>
    <w:rsid w:val="00461F95"/>
    <w:rsid w:val="00463700"/>
    <w:rsid w:val="00464851"/>
    <w:rsid w:val="0046746A"/>
    <w:rsid w:val="00467B14"/>
    <w:rsid w:val="004705F1"/>
    <w:rsid w:val="004707FE"/>
    <w:rsid w:val="00471DAE"/>
    <w:rsid w:val="00472177"/>
    <w:rsid w:val="0047276D"/>
    <w:rsid w:val="00472AF6"/>
    <w:rsid w:val="00473482"/>
    <w:rsid w:val="00473572"/>
    <w:rsid w:val="00473DFA"/>
    <w:rsid w:val="00474A04"/>
    <w:rsid w:val="00475A1F"/>
    <w:rsid w:val="00476240"/>
    <w:rsid w:val="00476439"/>
    <w:rsid w:val="004769E1"/>
    <w:rsid w:val="0047735C"/>
    <w:rsid w:val="004776BC"/>
    <w:rsid w:val="00477820"/>
    <w:rsid w:val="00477B96"/>
    <w:rsid w:val="00480BAE"/>
    <w:rsid w:val="0048139F"/>
    <w:rsid w:val="00481E40"/>
    <w:rsid w:val="00482405"/>
    <w:rsid w:val="004826A7"/>
    <w:rsid w:val="0048327B"/>
    <w:rsid w:val="0048368C"/>
    <w:rsid w:val="00484ECE"/>
    <w:rsid w:val="00486132"/>
    <w:rsid w:val="0048686D"/>
    <w:rsid w:val="00486A4D"/>
    <w:rsid w:val="004915CB"/>
    <w:rsid w:val="00491B06"/>
    <w:rsid w:val="004924DC"/>
    <w:rsid w:val="00492879"/>
    <w:rsid w:val="00495709"/>
    <w:rsid w:val="004979A5"/>
    <w:rsid w:val="004A036E"/>
    <w:rsid w:val="004A14E4"/>
    <w:rsid w:val="004A204E"/>
    <w:rsid w:val="004A208B"/>
    <w:rsid w:val="004A26A5"/>
    <w:rsid w:val="004A27F0"/>
    <w:rsid w:val="004A2D6B"/>
    <w:rsid w:val="004A3212"/>
    <w:rsid w:val="004A37CD"/>
    <w:rsid w:val="004A3CDE"/>
    <w:rsid w:val="004A40D9"/>
    <w:rsid w:val="004A4F8A"/>
    <w:rsid w:val="004A5494"/>
    <w:rsid w:val="004A5D4E"/>
    <w:rsid w:val="004A61C5"/>
    <w:rsid w:val="004A62A0"/>
    <w:rsid w:val="004A77DF"/>
    <w:rsid w:val="004B1417"/>
    <w:rsid w:val="004B305C"/>
    <w:rsid w:val="004B339A"/>
    <w:rsid w:val="004B33C6"/>
    <w:rsid w:val="004B55B7"/>
    <w:rsid w:val="004B6158"/>
    <w:rsid w:val="004B6468"/>
    <w:rsid w:val="004B6EF8"/>
    <w:rsid w:val="004B7125"/>
    <w:rsid w:val="004B756A"/>
    <w:rsid w:val="004B7FB1"/>
    <w:rsid w:val="004C0B3F"/>
    <w:rsid w:val="004C128A"/>
    <w:rsid w:val="004C13C0"/>
    <w:rsid w:val="004C2794"/>
    <w:rsid w:val="004C2BB6"/>
    <w:rsid w:val="004C2C2D"/>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3296"/>
    <w:rsid w:val="004D4E52"/>
    <w:rsid w:val="004D5B0F"/>
    <w:rsid w:val="004D5EEF"/>
    <w:rsid w:val="004D6FC5"/>
    <w:rsid w:val="004D7626"/>
    <w:rsid w:val="004E1095"/>
    <w:rsid w:val="004E1A40"/>
    <w:rsid w:val="004E200A"/>
    <w:rsid w:val="004E23FC"/>
    <w:rsid w:val="004E2409"/>
    <w:rsid w:val="004E261D"/>
    <w:rsid w:val="004E430C"/>
    <w:rsid w:val="004E57BF"/>
    <w:rsid w:val="004E5F41"/>
    <w:rsid w:val="004E62D0"/>
    <w:rsid w:val="004E6DE6"/>
    <w:rsid w:val="004E723A"/>
    <w:rsid w:val="004E765E"/>
    <w:rsid w:val="004E7815"/>
    <w:rsid w:val="004F06F5"/>
    <w:rsid w:val="004F103E"/>
    <w:rsid w:val="004F12A4"/>
    <w:rsid w:val="004F253F"/>
    <w:rsid w:val="004F33A0"/>
    <w:rsid w:val="004F3BD2"/>
    <w:rsid w:val="004F46ED"/>
    <w:rsid w:val="004F47F2"/>
    <w:rsid w:val="004F56FE"/>
    <w:rsid w:val="004F681B"/>
    <w:rsid w:val="004F7BC6"/>
    <w:rsid w:val="00502709"/>
    <w:rsid w:val="00503D54"/>
    <w:rsid w:val="005048E2"/>
    <w:rsid w:val="00506603"/>
    <w:rsid w:val="0050689D"/>
    <w:rsid w:val="005076CC"/>
    <w:rsid w:val="005077F5"/>
    <w:rsid w:val="005108C0"/>
    <w:rsid w:val="0051094F"/>
    <w:rsid w:val="00511873"/>
    <w:rsid w:val="00511F3B"/>
    <w:rsid w:val="00512461"/>
    <w:rsid w:val="00512A2F"/>
    <w:rsid w:val="00513857"/>
    <w:rsid w:val="00513A72"/>
    <w:rsid w:val="00513B7E"/>
    <w:rsid w:val="00513E9D"/>
    <w:rsid w:val="0051475D"/>
    <w:rsid w:val="00514A2C"/>
    <w:rsid w:val="00514B11"/>
    <w:rsid w:val="00515485"/>
    <w:rsid w:val="00515BE9"/>
    <w:rsid w:val="00515C74"/>
    <w:rsid w:val="0051630F"/>
    <w:rsid w:val="00516789"/>
    <w:rsid w:val="00517113"/>
    <w:rsid w:val="005173F3"/>
    <w:rsid w:val="0052007E"/>
    <w:rsid w:val="00520E83"/>
    <w:rsid w:val="00521CAD"/>
    <w:rsid w:val="0052200D"/>
    <w:rsid w:val="005220B4"/>
    <w:rsid w:val="00522E01"/>
    <w:rsid w:val="0052337A"/>
    <w:rsid w:val="00524385"/>
    <w:rsid w:val="005246BE"/>
    <w:rsid w:val="00525137"/>
    <w:rsid w:val="005251DD"/>
    <w:rsid w:val="0053012B"/>
    <w:rsid w:val="005301A6"/>
    <w:rsid w:val="00530A68"/>
    <w:rsid w:val="00530A88"/>
    <w:rsid w:val="00530AD4"/>
    <w:rsid w:val="00531C5A"/>
    <w:rsid w:val="00532CE7"/>
    <w:rsid w:val="00532D8B"/>
    <w:rsid w:val="0053324C"/>
    <w:rsid w:val="00534A28"/>
    <w:rsid w:val="00535018"/>
    <w:rsid w:val="0053595E"/>
    <w:rsid w:val="00537571"/>
    <w:rsid w:val="00537B61"/>
    <w:rsid w:val="00540056"/>
    <w:rsid w:val="00540BE5"/>
    <w:rsid w:val="005410E2"/>
    <w:rsid w:val="00541508"/>
    <w:rsid w:val="005419C0"/>
    <w:rsid w:val="00541AE3"/>
    <w:rsid w:val="00543498"/>
    <w:rsid w:val="00544011"/>
    <w:rsid w:val="00544BE5"/>
    <w:rsid w:val="005455F6"/>
    <w:rsid w:val="005457C3"/>
    <w:rsid w:val="005500F9"/>
    <w:rsid w:val="00550160"/>
    <w:rsid w:val="00551CBF"/>
    <w:rsid w:val="005523A8"/>
    <w:rsid w:val="00552F2C"/>
    <w:rsid w:val="00553A25"/>
    <w:rsid w:val="00553B25"/>
    <w:rsid w:val="005547EB"/>
    <w:rsid w:val="005555E0"/>
    <w:rsid w:val="0055599F"/>
    <w:rsid w:val="00556807"/>
    <w:rsid w:val="005568FA"/>
    <w:rsid w:val="005569BC"/>
    <w:rsid w:val="00556D68"/>
    <w:rsid w:val="005570D6"/>
    <w:rsid w:val="00557E45"/>
    <w:rsid w:val="00557E7E"/>
    <w:rsid w:val="00561F44"/>
    <w:rsid w:val="00562B4D"/>
    <w:rsid w:val="00563EB8"/>
    <w:rsid w:val="005647BF"/>
    <w:rsid w:val="00564AF1"/>
    <w:rsid w:val="005655DB"/>
    <w:rsid w:val="00566B6A"/>
    <w:rsid w:val="00570270"/>
    <w:rsid w:val="00570BC3"/>
    <w:rsid w:val="0057182A"/>
    <w:rsid w:val="00571E59"/>
    <w:rsid w:val="00572079"/>
    <w:rsid w:val="00572900"/>
    <w:rsid w:val="00573602"/>
    <w:rsid w:val="0057364B"/>
    <w:rsid w:val="00574773"/>
    <w:rsid w:val="005761EC"/>
    <w:rsid w:val="00577C07"/>
    <w:rsid w:val="00577DB1"/>
    <w:rsid w:val="00580AD3"/>
    <w:rsid w:val="00580DE7"/>
    <w:rsid w:val="00583E52"/>
    <w:rsid w:val="00583FFD"/>
    <w:rsid w:val="005845BB"/>
    <w:rsid w:val="0058519A"/>
    <w:rsid w:val="005856BD"/>
    <w:rsid w:val="005862D9"/>
    <w:rsid w:val="00586BCA"/>
    <w:rsid w:val="00590B28"/>
    <w:rsid w:val="00591067"/>
    <w:rsid w:val="005911BE"/>
    <w:rsid w:val="00591273"/>
    <w:rsid w:val="00591E9E"/>
    <w:rsid w:val="005927A4"/>
    <w:rsid w:val="00593152"/>
    <w:rsid w:val="005956A3"/>
    <w:rsid w:val="00595958"/>
    <w:rsid w:val="00595CAB"/>
    <w:rsid w:val="00597BBF"/>
    <w:rsid w:val="005A0948"/>
    <w:rsid w:val="005A10F2"/>
    <w:rsid w:val="005A21E0"/>
    <w:rsid w:val="005A28FF"/>
    <w:rsid w:val="005A2C09"/>
    <w:rsid w:val="005A2E7F"/>
    <w:rsid w:val="005A2FC3"/>
    <w:rsid w:val="005A3778"/>
    <w:rsid w:val="005A3DF8"/>
    <w:rsid w:val="005A5549"/>
    <w:rsid w:val="005A7CF8"/>
    <w:rsid w:val="005B0EDA"/>
    <w:rsid w:val="005B121D"/>
    <w:rsid w:val="005B1680"/>
    <w:rsid w:val="005B41C9"/>
    <w:rsid w:val="005B423D"/>
    <w:rsid w:val="005B4853"/>
    <w:rsid w:val="005B4DBA"/>
    <w:rsid w:val="005B62C3"/>
    <w:rsid w:val="005B6CA1"/>
    <w:rsid w:val="005B770C"/>
    <w:rsid w:val="005C02A8"/>
    <w:rsid w:val="005C06ED"/>
    <w:rsid w:val="005C11B8"/>
    <w:rsid w:val="005C19E9"/>
    <w:rsid w:val="005C2609"/>
    <w:rsid w:val="005C2B30"/>
    <w:rsid w:val="005C412B"/>
    <w:rsid w:val="005C43EC"/>
    <w:rsid w:val="005C45DD"/>
    <w:rsid w:val="005C5460"/>
    <w:rsid w:val="005D1511"/>
    <w:rsid w:val="005D34AB"/>
    <w:rsid w:val="005D3F06"/>
    <w:rsid w:val="005D4B73"/>
    <w:rsid w:val="005D5802"/>
    <w:rsid w:val="005D5AA9"/>
    <w:rsid w:val="005D66E6"/>
    <w:rsid w:val="005D7119"/>
    <w:rsid w:val="005D76C8"/>
    <w:rsid w:val="005D7890"/>
    <w:rsid w:val="005E0AEA"/>
    <w:rsid w:val="005E19C1"/>
    <w:rsid w:val="005E2194"/>
    <w:rsid w:val="005E24F0"/>
    <w:rsid w:val="005E36FE"/>
    <w:rsid w:val="005E490F"/>
    <w:rsid w:val="005E4BC9"/>
    <w:rsid w:val="005E5314"/>
    <w:rsid w:val="005E7C78"/>
    <w:rsid w:val="005F04A7"/>
    <w:rsid w:val="005F114F"/>
    <w:rsid w:val="005F17D6"/>
    <w:rsid w:val="005F18C5"/>
    <w:rsid w:val="005F28E2"/>
    <w:rsid w:val="005F2A08"/>
    <w:rsid w:val="005F2EB5"/>
    <w:rsid w:val="005F36CC"/>
    <w:rsid w:val="005F3EB1"/>
    <w:rsid w:val="005F413E"/>
    <w:rsid w:val="005F42C7"/>
    <w:rsid w:val="005F466B"/>
    <w:rsid w:val="005F46D8"/>
    <w:rsid w:val="005F480F"/>
    <w:rsid w:val="005F5469"/>
    <w:rsid w:val="005F63F3"/>
    <w:rsid w:val="005F6D7C"/>
    <w:rsid w:val="005F6D7F"/>
    <w:rsid w:val="005F7174"/>
    <w:rsid w:val="00600AB5"/>
    <w:rsid w:val="00601EEF"/>
    <w:rsid w:val="00601F7B"/>
    <w:rsid w:val="0060255A"/>
    <w:rsid w:val="006032E5"/>
    <w:rsid w:val="00604307"/>
    <w:rsid w:val="0060487F"/>
    <w:rsid w:val="00604EAD"/>
    <w:rsid w:val="0060513F"/>
    <w:rsid w:val="0060694B"/>
    <w:rsid w:val="006075B2"/>
    <w:rsid w:val="006104FB"/>
    <w:rsid w:val="0061176D"/>
    <w:rsid w:val="0061200F"/>
    <w:rsid w:val="006121C7"/>
    <w:rsid w:val="00612756"/>
    <w:rsid w:val="00612A2F"/>
    <w:rsid w:val="00612AAE"/>
    <w:rsid w:val="00612FD9"/>
    <w:rsid w:val="006139DE"/>
    <w:rsid w:val="006139E0"/>
    <w:rsid w:val="00614D35"/>
    <w:rsid w:val="006156B4"/>
    <w:rsid w:val="00615DAF"/>
    <w:rsid w:val="00616E05"/>
    <w:rsid w:val="00617985"/>
    <w:rsid w:val="00620B77"/>
    <w:rsid w:val="0062131B"/>
    <w:rsid w:val="00621E26"/>
    <w:rsid w:val="0062263A"/>
    <w:rsid w:val="006227DF"/>
    <w:rsid w:val="006236C8"/>
    <w:rsid w:val="00624093"/>
    <w:rsid w:val="00625A84"/>
    <w:rsid w:val="00625BCC"/>
    <w:rsid w:val="00626079"/>
    <w:rsid w:val="00631698"/>
    <w:rsid w:val="00631E44"/>
    <w:rsid w:val="00633908"/>
    <w:rsid w:val="00634C57"/>
    <w:rsid w:val="00634CE7"/>
    <w:rsid w:val="006350D5"/>
    <w:rsid w:val="0063642C"/>
    <w:rsid w:val="00637858"/>
    <w:rsid w:val="006404A7"/>
    <w:rsid w:val="00640A38"/>
    <w:rsid w:val="00641787"/>
    <w:rsid w:val="0064179B"/>
    <w:rsid w:val="006420CF"/>
    <w:rsid w:val="00642489"/>
    <w:rsid w:val="00644055"/>
    <w:rsid w:val="00644137"/>
    <w:rsid w:val="0064478C"/>
    <w:rsid w:val="00645160"/>
    <w:rsid w:val="006451E4"/>
    <w:rsid w:val="00645B33"/>
    <w:rsid w:val="006503D1"/>
    <w:rsid w:val="006516CB"/>
    <w:rsid w:val="00653BD0"/>
    <w:rsid w:val="00654110"/>
    <w:rsid w:val="00655CDE"/>
    <w:rsid w:val="00656C5D"/>
    <w:rsid w:val="00656CFB"/>
    <w:rsid w:val="00657E87"/>
    <w:rsid w:val="00660D2D"/>
    <w:rsid w:val="00661EC9"/>
    <w:rsid w:val="00661EFC"/>
    <w:rsid w:val="00662469"/>
    <w:rsid w:val="00664205"/>
    <w:rsid w:val="00664449"/>
    <w:rsid w:val="00664647"/>
    <w:rsid w:val="00664803"/>
    <w:rsid w:val="00665624"/>
    <w:rsid w:val="00665982"/>
    <w:rsid w:val="00665BA4"/>
    <w:rsid w:val="00667856"/>
    <w:rsid w:val="00667AF2"/>
    <w:rsid w:val="00670489"/>
    <w:rsid w:val="00670D0A"/>
    <w:rsid w:val="006710C9"/>
    <w:rsid w:val="00672F35"/>
    <w:rsid w:val="006741CD"/>
    <w:rsid w:val="00674D89"/>
    <w:rsid w:val="00675E37"/>
    <w:rsid w:val="00676736"/>
    <w:rsid w:val="006769A4"/>
    <w:rsid w:val="00676D76"/>
    <w:rsid w:val="00676F9F"/>
    <w:rsid w:val="00677591"/>
    <w:rsid w:val="00677594"/>
    <w:rsid w:val="0068032F"/>
    <w:rsid w:val="00680C60"/>
    <w:rsid w:val="00680D37"/>
    <w:rsid w:val="0068174E"/>
    <w:rsid w:val="00681DCE"/>
    <w:rsid w:val="006820E4"/>
    <w:rsid w:val="0068260E"/>
    <w:rsid w:val="006846B3"/>
    <w:rsid w:val="00684D59"/>
    <w:rsid w:val="00684E25"/>
    <w:rsid w:val="006858A4"/>
    <w:rsid w:val="00686718"/>
    <w:rsid w:val="00686BFA"/>
    <w:rsid w:val="00686DED"/>
    <w:rsid w:val="006875A0"/>
    <w:rsid w:val="00687D27"/>
    <w:rsid w:val="00691943"/>
    <w:rsid w:val="00691F0D"/>
    <w:rsid w:val="00693550"/>
    <w:rsid w:val="00695065"/>
    <w:rsid w:val="00695BEF"/>
    <w:rsid w:val="006965F5"/>
    <w:rsid w:val="006966C7"/>
    <w:rsid w:val="006968C1"/>
    <w:rsid w:val="006977F6"/>
    <w:rsid w:val="00697A13"/>
    <w:rsid w:val="006A109C"/>
    <w:rsid w:val="006A3F54"/>
    <w:rsid w:val="006A6565"/>
    <w:rsid w:val="006A65B5"/>
    <w:rsid w:val="006A7691"/>
    <w:rsid w:val="006A7EE2"/>
    <w:rsid w:val="006B0514"/>
    <w:rsid w:val="006B0F92"/>
    <w:rsid w:val="006B16EF"/>
    <w:rsid w:val="006B1B9B"/>
    <w:rsid w:val="006B238C"/>
    <w:rsid w:val="006B2785"/>
    <w:rsid w:val="006B344A"/>
    <w:rsid w:val="006B3A36"/>
    <w:rsid w:val="006B58C9"/>
    <w:rsid w:val="006B60ED"/>
    <w:rsid w:val="006B65DA"/>
    <w:rsid w:val="006B6CC5"/>
    <w:rsid w:val="006B74AC"/>
    <w:rsid w:val="006B78D8"/>
    <w:rsid w:val="006B79EA"/>
    <w:rsid w:val="006C09FA"/>
    <w:rsid w:val="006C0C5D"/>
    <w:rsid w:val="006C113F"/>
    <w:rsid w:val="006C123E"/>
    <w:rsid w:val="006C15A1"/>
    <w:rsid w:val="006C1752"/>
    <w:rsid w:val="006C28CA"/>
    <w:rsid w:val="006C2BBF"/>
    <w:rsid w:val="006C2FBD"/>
    <w:rsid w:val="006C3FFC"/>
    <w:rsid w:val="006C4355"/>
    <w:rsid w:val="006C440F"/>
    <w:rsid w:val="006C469D"/>
    <w:rsid w:val="006C46B5"/>
    <w:rsid w:val="006C484F"/>
    <w:rsid w:val="006C4CDD"/>
    <w:rsid w:val="006C52EC"/>
    <w:rsid w:val="006C56D4"/>
    <w:rsid w:val="006C5838"/>
    <w:rsid w:val="006C6681"/>
    <w:rsid w:val="006C683C"/>
    <w:rsid w:val="006C6924"/>
    <w:rsid w:val="006C6C1E"/>
    <w:rsid w:val="006C7076"/>
    <w:rsid w:val="006C7CA6"/>
    <w:rsid w:val="006D18B3"/>
    <w:rsid w:val="006D1E89"/>
    <w:rsid w:val="006D317E"/>
    <w:rsid w:val="006D3E8A"/>
    <w:rsid w:val="006D4F0A"/>
    <w:rsid w:val="006D61F6"/>
    <w:rsid w:val="006E1332"/>
    <w:rsid w:val="006E279A"/>
    <w:rsid w:val="006E313B"/>
    <w:rsid w:val="006E3420"/>
    <w:rsid w:val="006E3A45"/>
    <w:rsid w:val="006E4078"/>
    <w:rsid w:val="006E45D2"/>
    <w:rsid w:val="006E5161"/>
    <w:rsid w:val="006E53AD"/>
    <w:rsid w:val="006E58CB"/>
    <w:rsid w:val="006E6BA2"/>
    <w:rsid w:val="006E7227"/>
    <w:rsid w:val="006E7E74"/>
    <w:rsid w:val="006F0741"/>
    <w:rsid w:val="006F1C27"/>
    <w:rsid w:val="006F2A65"/>
    <w:rsid w:val="006F33B2"/>
    <w:rsid w:val="006F40DF"/>
    <w:rsid w:val="006F42BB"/>
    <w:rsid w:val="006F438E"/>
    <w:rsid w:val="006F440B"/>
    <w:rsid w:val="006F4866"/>
    <w:rsid w:val="006F48A3"/>
    <w:rsid w:val="006F5416"/>
    <w:rsid w:val="006F624B"/>
    <w:rsid w:val="006F6D87"/>
    <w:rsid w:val="006F7559"/>
    <w:rsid w:val="0070398A"/>
    <w:rsid w:val="00703DCB"/>
    <w:rsid w:val="00705242"/>
    <w:rsid w:val="007055E0"/>
    <w:rsid w:val="007056ED"/>
    <w:rsid w:val="007065C5"/>
    <w:rsid w:val="00706AA0"/>
    <w:rsid w:val="00706AD4"/>
    <w:rsid w:val="00707150"/>
    <w:rsid w:val="0070798D"/>
    <w:rsid w:val="007124D7"/>
    <w:rsid w:val="007129A5"/>
    <w:rsid w:val="00712C20"/>
    <w:rsid w:val="00713549"/>
    <w:rsid w:val="007140BE"/>
    <w:rsid w:val="00714224"/>
    <w:rsid w:val="00715502"/>
    <w:rsid w:val="00715E4D"/>
    <w:rsid w:val="00716F48"/>
    <w:rsid w:val="00717114"/>
    <w:rsid w:val="0071779F"/>
    <w:rsid w:val="00720D7B"/>
    <w:rsid w:val="007211F5"/>
    <w:rsid w:val="00722777"/>
    <w:rsid w:val="00723435"/>
    <w:rsid w:val="00723436"/>
    <w:rsid w:val="007240E2"/>
    <w:rsid w:val="007251D4"/>
    <w:rsid w:val="00725611"/>
    <w:rsid w:val="0072583E"/>
    <w:rsid w:val="00725BB5"/>
    <w:rsid w:val="00727C02"/>
    <w:rsid w:val="007302FF"/>
    <w:rsid w:val="00730AE8"/>
    <w:rsid w:val="00730F1B"/>
    <w:rsid w:val="0073186D"/>
    <w:rsid w:val="00732DEC"/>
    <w:rsid w:val="0073333D"/>
    <w:rsid w:val="007343D9"/>
    <w:rsid w:val="007351C8"/>
    <w:rsid w:val="00735448"/>
    <w:rsid w:val="00736841"/>
    <w:rsid w:val="00737DEC"/>
    <w:rsid w:val="0074004D"/>
    <w:rsid w:val="00741493"/>
    <w:rsid w:val="007424BA"/>
    <w:rsid w:val="007434E5"/>
    <w:rsid w:val="0074499B"/>
    <w:rsid w:val="007450BF"/>
    <w:rsid w:val="007471A1"/>
    <w:rsid w:val="007477BD"/>
    <w:rsid w:val="00747EE9"/>
    <w:rsid w:val="00750362"/>
    <w:rsid w:val="00750A71"/>
    <w:rsid w:val="0075158E"/>
    <w:rsid w:val="00752180"/>
    <w:rsid w:val="00752323"/>
    <w:rsid w:val="007532B7"/>
    <w:rsid w:val="00753CAB"/>
    <w:rsid w:val="00754A70"/>
    <w:rsid w:val="00754BC9"/>
    <w:rsid w:val="00755202"/>
    <w:rsid w:val="00755D3A"/>
    <w:rsid w:val="0075751D"/>
    <w:rsid w:val="007578D3"/>
    <w:rsid w:val="007602CF"/>
    <w:rsid w:val="00760391"/>
    <w:rsid w:val="007609C6"/>
    <w:rsid w:val="007615F3"/>
    <w:rsid w:val="0076175D"/>
    <w:rsid w:val="00761CB5"/>
    <w:rsid w:val="007622A9"/>
    <w:rsid w:val="0076264F"/>
    <w:rsid w:val="007629D5"/>
    <w:rsid w:val="007635F8"/>
    <w:rsid w:val="00763B85"/>
    <w:rsid w:val="007641B8"/>
    <w:rsid w:val="00764974"/>
    <w:rsid w:val="00764D18"/>
    <w:rsid w:val="0076521E"/>
    <w:rsid w:val="007661E9"/>
    <w:rsid w:val="00766460"/>
    <w:rsid w:val="00767062"/>
    <w:rsid w:val="00767777"/>
    <w:rsid w:val="00771972"/>
    <w:rsid w:val="00772279"/>
    <w:rsid w:val="00772DAB"/>
    <w:rsid w:val="00774D2C"/>
    <w:rsid w:val="007752BF"/>
    <w:rsid w:val="0077605B"/>
    <w:rsid w:val="00776169"/>
    <w:rsid w:val="00776527"/>
    <w:rsid w:val="00776618"/>
    <w:rsid w:val="00777040"/>
    <w:rsid w:val="007779DD"/>
    <w:rsid w:val="00777CE6"/>
    <w:rsid w:val="00780790"/>
    <w:rsid w:val="00780EF1"/>
    <w:rsid w:val="00781A91"/>
    <w:rsid w:val="0078260D"/>
    <w:rsid w:val="00785311"/>
    <w:rsid w:val="00785778"/>
    <w:rsid w:val="00786C87"/>
    <w:rsid w:val="00786D27"/>
    <w:rsid w:val="0078755E"/>
    <w:rsid w:val="007877C9"/>
    <w:rsid w:val="00790764"/>
    <w:rsid w:val="0079085F"/>
    <w:rsid w:val="00790E96"/>
    <w:rsid w:val="00791005"/>
    <w:rsid w:val="00793D78"/>
    <w:rsid w:val="0079453C"/>
    <w:rsid w:val="00794677"/>
    <w:rsid w:val="00795CC8"/>
    <w:rsid w:val="0079747A"/>
    <w:rsid w:val="007A0770"/>
    <w:rsid w:val="007A170B"/>
    <w:rsid w:val="007A20EB"/>
    <w:rsid w:val="007A282C"/>
    <w:rsid w:val="007A2A3A"/>
    <w:rsid w:val="007A33E2"/>
    <w:rsid w:val="007A3554"/>
    <w:rsid w:val="007A3CAF"/>
    <w:rsid w:val="007A4782"/>
    <w:rsid w:val="007A4E06"/>
    <w:rsid w:val="007A516D"/>
    <w:rsid w:val="007A5E65"/>
    <w:rsid w:val="007A65E1"/>
    <w:rsid w:val="007A71DE"/>
    <w:rsid w:val="007A7502"/>
    <w:rsid w:val="007A775D"/>
    <w:rsid w:val="007B0834"/>
    <w:rsid w:val="007B0CCA"/>
    <w:rsid w:val="007B0E83"/>
    <w:rsid w:val="007B11FA"/>
    <w:rsid w:val="007B1396"/>
    <w:rsid w:val="007B16D6"/>
    <w:rsid w:val="007B2011"/>
    <w:rsid w:val="007B27AE"/>
    <w:rsid w:val="007B2CFE"/>
    <w:rsid w:val="007B309B"/>
    <w:rsid w:val="007B3D5E"/>
    <w:rsid w:val="007B3DCB"/>
    <w:rsid w:val="007B3F31"/>
    <w:rsid w:val="007B5725"/>
    <w:rsid w:val="007B6689"/>
    <w:rsid w:val="007B6747"/>
    <w:rsid w:val="007B6F72"/>
    <w:rsid w:val="007C1F0C"/>
    <w:rsid w:val="007C1FFB"/>
    <w:rsid w:val="007C2106"/>
    <w:rsid w:val="007C2D94"/>
    <w:rsid w:val="007C361B"/>
    <w:rsid w:val="007C5F92"/>
    <w:rsid w:val="007C6227"/>
    <w:rsid w:val="007C682A"/>
    <w:rsid w:val="007C6BBD"/>
    <w:rsid w:val="007C6D89"/>
    <w:rsid w:val="007C6F5E"/>
    <w:rsid w:val="007C71B6"/>
    <w:rsid w:val="007D0382"/>
    <w:rsid w:val="007D1A1F"/>
    <w:rsid w:val="007D1D05"/>
    <w:rsid w:val="007D2E18"/>
    <w:rsid w:val="007D40DF"/>
    <w:rsid w:val="007D42E5"/>
    <w:rsid w:val="007D4458"/>
    <w:rsid w:val="007D50F3"/>
    <w:rsid w:val="007D5BC6"/>
    <w:rsid w:val="007D78E6"/>
    <w:rsid w:val="007E0535"/>
    <w:rsid w:val="007E0557"/>
    <w:rsid w:val="007E0D4A"/>
    <w:rsid w:val="007E1788"/>
    <w:rsid w:val="007E1B40"/>
    <w:rsid w:val="007E1EE3"/>
    <w:rsid w:val="007E20A0"/>
    <w:rsid w:val="007E2467"/>
    <w:rsid w:val="007E29B4"/>
    <w:rsid w:val="007E2F12"/>
    <w:rsid w:val="007E435A"/>
    <w:rsid w:val="007E49F7"/>
    <w:rsid w:val="007E4C70"/>
    <w:rsid w:val="007E576D"/>
    <w:rsid w:val="007E78B6"/>
    <w:rsid w:val="007E7E61"/>
    <w:rsid w:val="007F0845"/>
    <w:rsid w:val="007F20F3"/>
    <w:rsid w:val="007F2353"/>
    <w:rsid w:val="007F2390"/>
    <w:rsid w:val="007F2CAC"/>
    <w:rsid w:val="007F4740"/>
    <w:rsid w:val="007F595A"/>
    <w:rsid w:val="007F708D"/>
    <w:rsid w:val="008006B3"/>
    <w:rsid w:val="0080158A"/>
    <w:rsid w:val="00801E13"/>
    <w:rsid w:val="00802371"/>
    <w:rsid w:val="00802ABF"/>
    <w:rsid w:val="00802CEF"/>
    <w:rsid w:val="00803008"/>
    <w:rsid w:val="00803069"/>
    <w:rsid w:val="008062A6"/>
    <w:rsid w:val="0080717D"/>
    <w:rsid w:val="0080734C"/>
    <w:rsid w:val="0080780F"/>
    <w:rsid w:val="00807C82"/>
    <w:rsid w:val="008117CC"/>
    <w:rsid w:val="00812154"/>
    <w:rsid w:val="00813D58"/>
    <w:rsid w:val="00813DCA"/>
    <w:rsid w:val="008161A6"/>
    <w:rsid w:val="008165B8"/>
    <w:rsid w:val="00816905"/>
    <w:rsid w:val="00816D98"/>
    <w:rsid w:val="008179FC"/>
    <w:rsid w:val="00817A17"/>
    <w:rsid w:val="00817EC1"/>
    <w:rsid w:val="0082112D"/>
    <w:rsid w:val="00821DA9"/>
    <w:rsid w:val="00821FF6"/>
    <w:rsid w:val="00822574"/>
    <w:rsid w:val="00822F08"/>
    <w:rsid w:val="00825C4D"/>
    <w:rsid w:val="00826265"/>
    <w:rsid w:val="00826A08"/>
    <w:rsid w:val="00826AC0"/>
    <w:rsid w:val="00827186"/>
    <w:rsid w:val="00827C8E"/>
    <w:rsid w:val="00830569"/>
    <w:rsid w:val="00830AEA"/>
    <w:rsid w:val="00830E86"/>
    <w:rsid w:val="0083143E"/>
    <w:rsid w:val="008315D5"/>
    <w:rsid w:val="00831CDE"/>
    <w:rsid w:val="008337CB"/>
    <w:rsid w:val="00834304"/>
    <w:rsid w:val="00834FAA"/>
    <w:rsid w:val="008354FB"/>
    <w:rsid w:val="00836086"/>
    <w:rsid w:val="0083630F"/>
    <w:rsid w:val="00836A06"/>
    <w:rsid w:val="008374BC"/>
    <w:rsid w:val="00837E48"/>
    <w:rsid w:val="00840293"/>
    <w:rsid w:val="008402AD"/>
    <w:rsid w:val="008408D4"/>
    <w:rsid w:val="008417B5"/>
    <w:rsid w:val="00841901"/>
    <w:rsid w:val="00841FC4"/>
    <w:rsid w:val="00843541"/>
    <w:rsid w:val="008458BD"/>
    <w:rsid w:val="00846121"/>
    <w:rsid w:val="008461C2"/>
    <w:rsid w:val="008466C6"/>
    <w:rsid w:val="0084708F"/>
    <w:rsid w:val="008477C8"/>
    <w:rsid w:val="008478A6"/>
    <w:rsid w:val="008502F6"/>
    <w:rsid w:val="0085114D"/>
    <w:rsid w:val="008520A8"/>
    <w:rsid w:val="00852217"/>
    <w:rsid w:val="00852DB1"/>
    <w:rsid w:val="00853282"/>
    <w:rsid w:val="00854647"/>
    <w:rsid w:val="00855408"/>
    <w:rsid w:val="00856D65"/>
    <w:rsid w:val="008614E4"/>
    <w:rsid w:val="00861B41"/>
    <w:rsid w:val="00861B9F"/>
    <w:rsid w:val="00861BE3"/>
    <w:rsid w:val="008625D3"/>
    <w:rsid w:val="00863434"/>
    <w:rsid w:val="0086344F"/>
    <w:rsid w:val="008641AC"/>
    <w:rsid w:val="008641EA"/>
    <w:rsid w:val="00864A6C"/>
    <w:rsid w:val="00865E4C"/>
    <w:rsid w:val="0086796D"/>
    <w:rsid w:val="00867C6C"/>
    <w:rsid w:val="00867DAB"/>
    <w:rsid w:val="0087000B"/>
    <w:rsid w:val="008701E4"/>
    <w:rsid w:val="008704E9"/>
    <w:rsid w:val="00870ECD"/>
    <w:rsid w:val="0087347C"/>
    <w:rsid w:val="008734E7"/>
    <w:rsid w:val="0087368D"/>
    <w:rsid w:val="008740CC"/>
    <w:rsid w:val="00874FE8"/>
    <w:rsid w:val="00875305"/>
    <w:rsid w:val="00875A32"/>
    <w:rsid w:val="00876086"/>
    <w:rsid w:val="00876E83"/>
    <w:rsid w:val="008772BC"/>
    <w:rsid w:val="00880A0E"/>
    <w:rsid w:val="00881A67"/>
    <w:rsid w:val="00881CD7"/>
    <w:rsid w:val="00882911"/>
    <w:rsid w:val="008829C4"/>
    <w:rsid w:val="00885D40"/>
    <w:rsid w:val="00885EE2"/>
    <w:rsid w:val="008873D4"/>
    <w:rsid w:val="00887B96"/>
    <w:rsid w:val="00890C49"/>
    <w:rsid w:val="00891CEA"/>
    <w:rsid w:val="00891E07"/>
    <w:rsid w:val="00891EDF"/>
    <w:rsid w:val="00892872"/>
    <w:rsid w:val="0089296D"/>
    <w:rsid w:val="00893E85"/>
    <w:rsid w:val="00893EBE"/>
    <w:rsid w:val="00894031"/>
    <w:rsid w:val="00894327"/>
    <w:rsid w:val="00894C5D"/>
    <w:rsid w:val="00895508"/>
    <w:rsid w:val="008967E9"/>
    <w:rsid w:val="00896A5C"/>
    <w:rsid w:val="008972D2"/>
    <w:rsid w:val="0089754C"/>
    <w:rsid w:val="008A0ADD"/>
    <w:rsid w:val="008A0C39"/>
    <w:rsid w:val="008A0D27"/>
    <w:rsid w:val="008A1C59"/>
    <w:rsid w:val="008A1FBA"/>
    <w:rsid w:val="008A2105"/>
    <w:rsid w:val="008A2E4C"/>
    <w:rsid w:val="008A37E2"/>
    <w:rsid w:val="008A388E"/>
    <w:rsid w:val="008A394E"/>
    <w:rsid w:val="008A3CBA"/>
    <w:rsid w:val="008A48EB"/>
    <w:rsid w:val="008A4A76"/>
    <w:rsid w:val="008A4B59"/>
    <w:rsid w:val="008A539C"/>
    <w:rsid w:val="008A63E1"/>
    <w:rsid w:val="008A66B7"/>
    <w:rsid w:val="008A68BB"/>
    <w:rsid w:val="008A7127"/>
    <w:rsid w:val="008A76B8"/>
    <w:rsid w:val="008B3A80"/>
    <w:rsid w:val="008B3C07"/>
    <w:rsid w:val="008B3F7B"/>
    <w:rsid w:val="008B4895"/>
    <w:rsid w:val="008B6106"/>
    <w:rsid w:val="008B7C02"/>
    <w:rsid w:val="008B7D2B"/>
    <w:rsid w:val="008B7EF9"/>
    <w:rsid w:val="008C0049"/>
    <w:rsid w:val="008C0E88"/>
    <w:rsid w:val="008C1717"/>
    <w:rsid w:val="008C3D6B"/>
    <w:rsid w:val="008C4B50"/>
    <w:rsid w:val="008C6F26"/>
    <w:rsid w:val="008C7569"/>
    <w:rsid w:val="008D0DBD"/>
    <w:rsid w:val="008D117E"/>
    <w:rsid w:val="008D127E"/>
    <w:rsid w:val="008D1CA8"/>
    <w:rsid w:val="008D1E6A"/>
    <w:rsid w:val="008D2A16"/>
    <w:rsid w:val="008D33F5"/>
    <w:rsid w:val="008D35E4"/>
    <w:rsid w:val="008D4E52"/>
    <w:rsid w:val="008D6C3A"/>
    <w:rsid w:val="008E0001"/>
    <w:rsid w:val="008E1268"/>
    <w:rsid w:val="008E292B"/>
    <w:rsid w:val="008E2C57"/>
    <w:rsid w:val="008E31FF"/>
    <w:rsid w:val="008E3287"/>
    <w:rsid w:val="008E550B"/>
    <w:rsid w:val="008E6DCB"/>
    <w:rsid w:val="008E6F06"/>
    <w:rsid w:val="008E7B8E"/>
    <w:rsid w:val="008E7FC9"/>
    <w:rsid w:val="008F029B"/>
    <w:rsid w:val="008F0D42"/>
    <w:rsid w:val="008F2A5D"/>
    <w:rsid w:val="008F3636"/>
    <w:rsid w:val="008F3FC9"/>
    <w:rsid w:val="008F48A3"/>
    <w:rsid w:val="008F5383"/>
    <w:rsid w:val="008F585B"/>
    <w:rsid w:val="008F609D"/>
    <w:rsid w:val="008F7D34"/>
    <w:rsid w:val="009003A8"/>
    <w:rsid w:val="00900977"/>
    <w:rsid w:val="009021DA"/>
    <w:rsid w:val="00902500"/>
    <w:rsid w:val="00902A83"/>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2437"/>
    <w:rsid w:val="00912A92"/>
    <w:rsid w:val="00915D07"/>
    <w:rsid w:val="00916286"/>
    <w:rsid w:val="009162AE"/>
    <w:rsid w:val="00917251"/>
    <w:rsid w:val="0091728D"/>
    <w:rsid w:val="009203CC"/>
    <w:rsid w:val="00920EC4"/>
    <w:rsid w:val="0092180B"/>
    <w:rsid w:val="00921F14"/>
    <w:rsid w:val="00923CB0"/>
    <w:rsid w:val="00923D8C"/>
    <w:rsid w:val="00924871"/>
    <w:rsid w:val="00924AC8"/>
    <w:rsid w:val="0092508F"/>
    <w:rsid w:val="00925429"/>
    <w:rsid w:val="0092597A"/>
    <w:rsid w:val="00926520"/>
    <w:rsid w:val="00926CF0"/>
    <w:rsid w:val="009273A9"/>
    <w:rsid w:val="0093033E"/>
    <w:rsid w:val="009305FC"/>
    <w:rsid w:val="00930FB1"/>
    <w:rsid w:val="0093139F"/>
    <w:rsid w:val="00931E5F"/>
    <w:rsid w:val="00932443"/>
    <w:rsid w:val="00932B32"/>
    <w:rsid w:val="00933F4A"/>
    <w:rsid w:val="009341F1"/>
    <w:rsid w:val="0093475A"/>
    <w:rsid w:val="00934FF2"/>
    <w:rsid w:val="00935BD4"/>
    <w:rsid w:val="00935DFE"/>
    <w:rsid w:val="00935FC6"/>
    <w:rsid w:val="009373B2"/>
    <w:rsid w:val="00937AE2"/>
    <w:rsid w:val="0094061F"/>
    <w:rsid w:val="00940F0F"/>
    <w:rsid w:val="00941BC7"/>
    <w:rsid w:val="00941D6E"/>
    <w:rsid w:val="0094416B"/>
    <w:rsid w:val="0094427A"/>
    <w:rsid w:val="00944C7C"/>
    <w:rsid w:val="00945245"/>
    <w:rsid w:val="00945523"/>
    <w:rsid w:val="00946F8B"/>
    <w:rsid w:val="009474EF"/>
    <w:rsid w:val="00950921"/>
    <w:rsid w:val="00951A15"/>
    <w:rsid w:val="00951D68"/>
    <w:rsid w:val="00952B7B"/>
    <w:rsid w:val="00954F39"/>
    <w:rsid w:val="00955C0E"/>
    <w:rsid w:val="0095664B"/>
    <w:rsid w:val="009568DC"/>
    <w:rsid w:val="00957300"/>
    <w:rsid w:val="00957445"/>
    <w:rsid w:val="0095759C"/>
    <w:rsid w:val="0096108D"/>
    <w:rsid w:val="009618EE"/>
    <w:rsid w:val="009624D2"/>
    <w:rsid w:val="009628D9"/>
    <w:rsid w:val="00962BAE"/>
    <w:rsid w:val="009633D9"/>
    <w:rsid w:val="009637AE"/>
    <w:rsid w:val="009640F6"/>
    <w:rsid w:val="00964776"/>
    <w:rsid w:val="00964A4E"/>
    <w:rsid w:val="00964B35"/>
    <w:rsid w:val="009651C7"/>
    <w:rsid w:val="00965797"/>
    <w:rsid w:val="00965A10"/>
    <w:rsid w:val="009670A3"/>
    <w:rsid w:val="009674BE"/>
    <w:rsid w:val="00970EFF"/>
    <w:rsid w:val="00970FB5"/>
    <w:rsid w:val="009716DE"/>
    <w:rsid w:val="00971710"/>
    <w:rsid w:val="00971B87"/>
    <w:rsid w:val="00971C77"/>
    <w:rsid w:val="00972FCD"/>
    <w:rsid w:val="009741AE"/>
    <w:rsid w:val="009741FC"/>
    <w:rsid w:val="00974422"/>
    <w:rsid w:val="00974923"/>
    <w:rsid w:val="00975909"/>
    <w:rsid w:val="009773D6"/>
    <w:rsid w:val="00977C3D"/>
    <w:rsid w:val="00980A5D"/>
    <w:rsid w:val="00980D3D"/>
    <w:rsid w:val="0098103E"/>
    <w:rsid w:val="009823BF"/>
    <w:rsid w:val="00983101"/>
    <w:rsid w:val="00983E41"/>
    <w:rsid w:val="00985D9D"/>
    <w:rsid w:val="00986246"/>
    <w:rsid w:val="00986B72"/>
    <w:rsid w:val="0098717C"/>
    <w:rsid w:val="00987A30"/>
    <w:rsid w:val="00990312"/>
    <w:rsid w:val="009912E7"/>
    <w:rsid w:val="0099182E"/>
    <w:rsid w:val="00992CF3"/>
    <w:rsid w:val="00993194"/>
    <w:rsid w:val="0099321E"/>
    <w:rsid w:val="00993DA6"/>
    <w:rsid w:val="00994868"/>
    <w:rsid w:val="00994D28"/>
    <w:rsid w:val="00994F2C"/>
    <w:rsid w:val="009957CC"/>
    <w:rsid w:val="009968D6"/>
    <w:rsid w:val="00997953"/>
    <w:rsid w:val="009A0BFF"/>
    <w:rsid w:val="009A10A0"/>
    <w:rsid w:val="009A1CAB"/>
    <w:rsid w:val="009A2359"/>
    <w:rsid w:val="009A2440"/>
    <w:rsid w:val="009A24F1"/>
    <w:rsid w:val="009A4D57"/>
    <w:rsid w:val="009A5121"/>
    <w:rsid w:val="009A51A5"/>
    <w:rsid w:val="009A60D1"/>
    <w:rsid w:val="009A6225"/>
    <w:rsid w:val="009A64F5"/>
    <w:rsid w:val="009B00D2"/>
    <w:rsid w:val="009B05B3"/>
    <w:rsid w:val="009B284F"/>
    <w:rsid w:val="009B3764"/>
    <w:rsid w:val="009B52AC"/>
    <w:rsid w:val="009B59EA"/>
    <w:rsid w:val="009B66CE"/>
    <w:rsid w:val="009B6FD3"/>
    <w:rsid w:val="009B7257"/>
    <w:rsid w:val="009B7DB2"/>
    <w:rsid w:val="009C15A4"/>
    <w:rsid w:val="009C1750"/>
    <w:rsid w:val="009C2E29"/>
    <w:rsid w:val="009C3CDE"/>
    <w:rsid w:val="009C3E8F"/>
    <w:rsid w:val="009C554B"/>
    <w:rsid w:val="009C7126"/>
    <w:rsid w:val="009C719E"/>
    <w:rsid w:val="009C7799"/>
    <w:rsid w:val="009D07A9"/>
    <w:rsid w:val="009D0AE2"/>
    <w:rsid w:val="009D0EBB"/>
    <w:rsid w:val="009D3483"/>
    <w:rsid w:val="009D3ACD"/>
    <w:rsid w:val="009D4F21"/>
    <w:rsid w:val="009D587D"/>
    <w:rsid w:val="009D7731"/>
    <w:rsid w:val="009E1120"/>
    <w:rsid w:val="009E1393"/>
    <w:rsid w:val="009E1922"/>
    <w:rsid w:val="009E1A3D"/>
    <w:rsid w:val="009E3646"/>
    <w:rsid w:val="009E4715"/>
    <w:rsid w:val="009E4FEF"/>
    <w:rsid w:val="009E5273"/>
    <w:rsid w:val="009E57A8"/>
    <w:rsid w:val="009E5B85"/>
    <w:rsid w:val="009E5DDB"/>
    <w:rsid w:val="009E6140"/>
    <w:rsid w:val="009F0B4B"/>
    <w:rsid w:val="009F2921"/>
    <w:rsid w:val="009F3210"/>
    <w:rsid w:val="009F3399"/>
    <w:rsid w:val="009F38F8"/>
    <w:rsid w:val="009F4982"/>
    <w:rsid w:val="009F4CA7"/>
    <w:rsid w:val="009F5461"/>
    <w:rsid w:val="009F55BA"/>
    <w:rsid w:val="009F6257"/>
    <w:rsid w:val="009F7D36"/>
    <w:rsid w:val="00A00E71"/>
    <w:rsid w:val="00A012F7"/>
    <w:rsid w:val="00A0239B"/>
    <w:rsid w:val="00A0306F"/>
    <w:rsid w:val="00A0363E"/>
    <w:rsid w:val="00A03B10"/>
    <w:rsid w:val="00A03E2E"/>
    <w:rsid w:val="00A04616"/>
    <w:rsid w:val="00A04717"/>
    <w:rsid w:val="00A0495F"/>
    <w:rsid w:val="00A05EE4"/>
    <w:rsid w:val="00A06F99"/>
    <w:rsid w:val="00A10D66"/>
    <w:rsid w:val="00A113A4"/>
    <w:rsid w:val="00A1145C"/>
    <w:rsid w:val="00A120EA"/>
    <w:rsid w:val="00A14114"/>
    <w:rsid w:val="00A16413"/>
    <w:rsid w:val="00A16520"/>
    <w:rsid w:val="00A16545"/>
    <w:rsid w:val="00A16AED"/>
    <w:rsid w:val="00A16C37"/>
    <w:rsid w:val="00A16E1D"/>
    <w:rsid w:val="00A171D5"/>
    <w:rsid w:val="00A17559"/>
    <w:rsid w:val="00A17A15"/>
    <w:rsid w:val="00A17D5B"/>
    <w:rsid w:val="00A201E1"/>
    <w:rsid w:val="00A20FE1"/>
    <w:rsid w:val="00A21B4D"/>
    <w:rsid w:val="00A21C5E"/>
    <w:rsid w:val="00A23E43"/>
    <w:rsid w:val="00A2445C"/>
    <w:rsid w:val="00A24ED9"/>
    <w:rsid w:val="00A25216"/>
    <w:rsid w:val="00A2597D"/>
    <w:rsid w:val="00A2628E"/>
    <w:rsid w:val="00A266BF"/>
    <w:rsid w:val="00A2731E"/>
    <w:rsid w:val="00A307C2"/>
    <w:rsid w:val="00A309AC"/>
    <w:rsid w:val="00A30F65"/>
    <w:rsid w:val="00A3279E"/>
    <w:rsid w:val="00A35900"/>
    <w:rsid w:val="00A370BF"/>
    <w:rsid w:val="00A37556"/>
    <w:rsid w:val="00A40C06"/>
    <w:rsid w:val="00A40EAC"/>
    <w:rsid w:val="00A418BC"/>
    <w:rsid w:val="00A41FCF"/>
    <w:rsid w:val="00A42936"/>
    <w:rsid w:val="00A43CF8"/>
    <w:rsid w:val="00A43DF2"/>
    <w:rsid w:val="00A43DF7"/>
    <w:rsid w:val="00A445A8"/>
    <w:rsid w:val="00A44B0D"/>
    <w:rsid w:val="00A44D21"/>
    <w:rsid w:val="00A45087"/>
    <w:rsid w:val="00A45489"/>
    <w:rsid w:val="00A45CED"/>
    <w:rsid w:val="00A465E9"/>
    <w:rsid w:val="00A468E7"/>
    <w:rsid w:val="00A46DE0"/>
    <w:rsid w:val="00A5064D"/>
    <w:rsid w:val="00A50D73"/>
    <w:rsid w:val="00A5162C"/>
    <w:rsid w:val="00A52A88"/>
    <w:rsid w:val="00A52CAD"/>
    <w:rsid w:val="00A53918"/>
    <w:rsid w:val="00A53FC7"/>
    <w:rsid w:val="00A54974"/>
    <w:rsid w:val="00A55569"/>
    <w:rsid w:val="00A6092A"/>
    <w:rsid w:val="00A60AC1"/>
    <w:rsid w:val="00A615E5"/>
    <w:rsid w:val="00A623DF"/>
    <w:rsid w:val="00A626FF"/>
    <w:rsid w:val="00A62CE1"/>
    <w:rsid w:val="00A65469"/>
    <w:rsid w:val="00A65528"/>
    <w:rsid w:val="00A655D3"/>
    <w:rsid w:val="00A65711"/>
    <w:rsid w:val="00A662D9"/>
    <w:rsid w:val="00A6636F"/>
    <w:rsid w:val="00A6741E"/>
    <w:rsid w:val="00A6764C"/>
    <w:rsid w:val="00A7016A"/>
    <w:rsid w:val="00A7018D"/>
    <w:rsid w:val="00A7191D"/>
    <w:rsid w:val="00A722F9"/>
    <w:rsid w:val="00A72CD8"/>
    <w:rsid w:val="00A72D42"/>
    <w:rsid w:val="00A74C2A"/>
    <w:rsid w:val="00A75A21"/>
    <w:rsid w:val="00A75E40"/>
    <w:rsid w:val="00A77D1D"/>
    <w:rsid w:val="00A80911"/>
    <w:rsid w:val="00A80BD2"/>
    <w:rsid w:val="00A81652"/>
    <w:rsid w:val="00A83150"/>
    <w:rsid w:val="00A83398"/>
    <w:rsid w:val="00A83D6E"/>
    <w:rsid w:val="00A83F43"/>
    <w:rsid w:val="00A8521A"/>
    <w:rsid w:val="00A857C0"/>
    <w:rsid w:val="00A90F2C"/>
    <w:rsid w:val="00A90FED"/>
    <w:rsid w:val="00A9189D"/>
    <w:rsid w:val="00A91E71"/>
    <w:rsid w:val="00A925B1"/>
    <w:rsid w:val="00A934F9"/>
    <w:rsid w:val="00A93D06"/>
    <w:rsid w:val="00A940E3"/>
    <w:rsid w:val="00A95F1A"/>
    <w:rsid w:val="00A96116"/>
    <w:rsid w:val="00A9614E"/>
    <w:rsid w:val="00A96C0F"/>
    <w:rsid w:val="00AA0E80"/>
    <w:rsid w:val="00AA17CD"/>
    <w:rsid w:val="00AA212F"/>
    <w:rsid w:val="00AA2996"/>
    <w:rsid w:val="00AA2AF4"/>
    <w:rsid w:val="00AA2C80"/>
    <w:rsid w:val="00AA4282"/>
    <w:rsid w:val="00AA52BF"/>
    <w:rsid w:val="00AA559A"/>
    <w:rsid w:val="00AA58ED"/>
    <w:rsid w:val="00AA6C31"/>
    <w:rsid w:val="00AA7752"/>
    <w:rsid w:val="00AA7CE8"/>
    <w:rsid w:val="00AB1457"/>
    <w:rsid w:val="00AB22B9"/>
    <w:rsid w:val="00AB2AF1"/>
    <w:rsid w:val="00AB3EC7"/>
    <w:rsid w:val="00AB3FFA"/>
    <w:rsid w:val="00AB56A1"/>
    <w:rsid w:val="00AB5A64"/>
    <w:rsid w:val="00AB5CA1"/>
    <w:rsid w:val="00AB6456"/>
    <w:rsid w:val="00AB686D"/>
    <w:rsid w:val="00AC044E"/>
    <w:rsid w:val="00AC2118"/>
    <w:rsid w:val="00AC2395"/>
    <w:rsid w:val="00AC2960"/>
    <w:rsid w:val="00AC2AC4"/>
    <w:rsid w:val="00AC4284"/>
    <w:rsid w:val="00AC45BD"/>
    <w:rsid w:val="00AC4883"/>
    <w:rsid w:val="00AC4920"/>
    <w:rsid w:val="00AC50BB"/>
    <w:rsid w:val="00AC51CC"/>
    <w:rsid w:val="00AC6CAB"/>
    <w:rsid w:val="00AD0EE7"/>
    <w:rsid w:val="00AD168E"/>
    <w:rsid w:val="00AD306C"/>
    <w:rsid w:val="00AD44CD"/>
    <w:rsid w:val="00AD4C32"/>
    <w:rsid w:val="00AD5AD2"/>
    <w:rsid w:val="00AD6462"/>
    <w:rsid w:val="00AD66C5"/>
    <w:rsid w:val="00AD68C4"/>
    <w:rsid w:val="00AD71F9"/>
    <w:rsid w:val="00AE09B3"/>
    <w:rsid w:val="00AE12DC"/>
    <w:rsid w:val="00AE1A83"/>
    <w:rsid w:val="00AE2BA8"/>
    <w:rsid w:val="00AE30BE"/>
    <w:rsid w:val="00AE3222"/>
    <w:rsid w:val="00AE3E6A"/>
    <w:rsid w:val="00AE467A"/>
    <w:rsid w:val="00AE7269"/>
    <w:rsid w:val="00AE797C"/>
    <w:rsid w:val="00AE7CE7"/>
    <w:rsid w:val="00AE7FAB"/>
    <w:rsid w:val="00AF0DE4"/>
    <w:rsid w:val="00AF1E87"/>
    <w:rsid w:val="00AF206B"/>
    <w:rsid w:val="00AF436B"/>
    <w:rsid w:val="00AF5179"/>
    <w:rsid w:val="00AF5CC2"/>
    <w:rsid w:val="00AF6776"/>
    <w:rsid w:val="00AF6F98"/>
    <w:rsid w:val="00B00913"/>
    <w:rsid w:val="00B01593"/>
    <w:rsid w:val="00B01FF9"/>
    <w:rsid w:val="00B023F2"/>
    <w:rsid w:val="00B038CA"/>
    <w:rsid w:val="00B03FB8"/>
    <w:rsid w:val="00B05AE3"/>
    <w:rsid w:val="00B05F62"/>
    <w:rsid w:val="00B06DB4"/>
    <w:rsid w:val="00B0799C"/>
    <w:rsid w:val="00B10A4D"/>
    <w:rsid w:val="00B10C90"/>
    <w:rsid w:val="00B11002"/>
    <w:rsid w:val="00B110D0"/>
    <w:rsid w:val="00B121B2"/>
    <w:rsid w:val="00B141B6"/>
    <w:rsid w:val="00B14BC1"/>
    <w:rsid w:val="00B16DD1"/>
    <w:rsid w:val="00B16EB8"/>
    <w:rsid w:val="00B17E71"/>
    <w:rsid w:val="00B17FDE"/>
    <w:rsid w:val="00B20632"/>
    <w:rsid w:val="00B2379C"/>
    <w:rsid w:val="00B23D5D"/>
    <w:rsid w:val="00B2687D"/>
    <w:rsid w:val="00B3108D"/>
    <w:rsid w:val="00B3211D"/>
    <w:rsid w:val="00B32DDB"/>
    <w:rsid w:val="00B32F57"/>
    <w:rsid w:val="00B3345C"/>
    <w:rsid w:val="00B34528"/>
    <w:rsid w:val="00B34CC9"/>
    <w:rsid w:val="00B3504B"/>
    <w:rsid w:val="00B3563B"/>
    <w:rsid w:val="00B36BDC"/>
    <w:rsid w:val="00B37D3A"/>
    <w:rsid w:val="00B402FC"/>
    <w:rsid w:val="00B403C5"/>
    <w:rsid w:val="00B422E2"/>
    <w:rsid w:val="00B42D5F"/>
    <w:rsid w:val="00B43216"/>
    <w:rsid w:val="00B439DA"/>
    <w:rsid w:val="00B4411A"/>
    <w:rsid w:val="00B46604"/>
    <w:rsid w:val="00B47089"/>
    <w:rsid w:val="00B47587"/>
    <w:rsid w:val="00B47DD4"/>
    <w:rsid w:val="00B52151"/>
    <w:rsid w:val="00B52D70"/>
    <w:rsid w:val="00B530CD"/>
    <w:rsid w:val="00B53538"/>
    <w:rsid w:val="00B5365B"/>
    <w:rsid w:val="00B53C7D"/>
    <w:rsid w:val="00B53E56"/>
    <w:rsid w:val="00B55040"/>
    <w:rsid w:val="00B55A97"/>
    <w:rsid w:val="00B55F5E"/>
    <w:rsid w:val="00B5642C"/>
    <w:rsid w:val="00B56B6F"/>
    <w:rsid w:val="00B5752E"/>
    <w:rsid w:val="00B60AC1"/>
    <w:rsid w:val="00B61B92"/>
    <w:rsid w:val="00B61FF6"/>
    <w:rsid w:val="00B62316"/>
    <w:rsid w:val="00B6318A"/>
    <w:rsid w:val="00B63A11"/>
    <w:rsid w:val="00B63F4C"/>
    <w:rsid w:val="00B64425"/>
    <w:rsid w:val="00B64C24"/>
    <w:rsid w:val="00B65CEF"/>
    <w:rsid w:val="00B65E6B"/>
    <w:rsid w:val="00B6608F"/>
    <w:rsid w:val="00B66F84"/>
    <w:rsid w:val="00B677A6"/>
    <w:rsid w:val="00B679FB"/>
    <w:rsid w:val="00B70083"/>
    <w:rsid w:val="00B71FBF"/>
    <w:rsid w:val="00B72F87"/>
    <w:rsid w:val="00B734A0"/>
    <w:rsid w:val="00B73A14"/>
    <w:rsid w:val="00B748BD"/>
    <w:rsid w:val="00B75B39"/>
    <w:rsid w:val="00B7680F"/>
    <w:rsid w:val="00B76A3F"/>
    <w:rsid w:val="00B76D1E"/>
    <w:rsid w:val="00B772F3"/>
    <w:rsid w:val="00B77543"/>
    <w:rsid w:val="00B77584"/>
    <w:rsid w:val="00B80EC6"/>
    <w:rsid w:val="00B81288"/>
    <w:rsid w:val="00B8177E"/>
    <w:rsid w:val="00B81D70"/>
    <w:rsid w:val="00B833B9"/>
    <w:rsid w:val="00B83D4C"/>
    <w:rsid w:val="00B83E07"/>
    <w:rsid w:val="00B84CF6"/>
    <w:rsid w:val="00B85016"/>
    <w:rsid w:val="00B8561A"/>
    <w:rsid w:val="00B86643"/>
    <w:rsid w:val="00B868F7"/>
    <w:rsid w:val="00B876D2"/>
    <w:rsid w:val="00B87AED"/>
    <w:rsid w:val="00B90131"/>
    <w:rsid w:val="00B90B7C"/>
    <w:rsid w:val="00B92951"/>
    <w:rsid w:val="00B92D1D"/>
    <w:rsid w:val="00B92D7E"/>
    <w:rsid w:val="00B930CE"/>
    <w:rsid w:val="00B938C5"/>
    <w:rsid w:val="00B940A8"/>
    <w:rsid w:val="00B9554A"/>
    <w:rsid w:val="00B95940"/>
    <w:rsid w:val="00B95ACA"/>
    <w:rsid w:val="00B97ACC"/>
    <w:rsid w:val="00B97FE2"/>
    <w:rsid w:val="00BA1CF8"/>
    <w:rsid w:val="00BA3787"/>
    <w:rsid w:val="00BA433F"/>
    <w:rsid w:val="00BA46E8"/>
    <w:rsid w:val="00BA49E6"/>
    <w:rsid w:val="00BA4E19"/>
    <w:rsid w:val="00BA4E41"/>
    <w:rsid w:val="00BA6436"/>
    <w:rsid w:val="00BA684E"/>
    <w:rsid w:val="00BA6C2B"/>
    <w:rsid w:val="00BA7B64"/>
    <w:rsid w:val="00BB02A3"/>
    <w:rsid w:val="00BB0351"/>
    <w:rsid w:val="00BB15C3"/>
    <w:rsid w:val="00BB1AF4"/>
    <w:rsid w:val="00BB2202"/>
    <w:rsid w:val="00BB37D7"/>
    <w:rsid w:val="00BB3C6B"/>
    <w:rsid w:val="00BB3FD6"/>
    <w:rsid w:val="00BB453F"/>
    <w:rsid w:val="00BB46F3"/>
    <w:rsid w:val="00BB4A71"/>
    <w:rsid w:val="00BB4CB1"/>
    <w:rsid w:val="00BB4E54"/>
    <w:rsid w:val="00BB4F98"/>
    <w:rsid w:val="00BB5AB2"/>
    <w:rsid w:val="00BB5ABF"/>
    <w:rsid w:val="00BB6EA2"/>
    <w:rsid w:val="00BB7B5B"/>
    <w:rsid w:val="00BB7EB1"/>
    <w:rsid w:val="00BC003F"/>
    <w:rsid w:val="00BC00B3"/>
    <w:rsid w:val="00BC10AD"/>
    <w:rsid w:val="00BC19EB"/>
    <w:rsid w:val="00BC1DF4"/>
    <w:rsid w:val="00BC297E"/>
    <w:rsid w:val="00BC327F"/>
    <w:rsid w:val="00BC3512"/>
    <w:rsid w:val="00BC43D7"/>
    <w:rsid w:val="00BC50BE"/>
    <w:rsid w:val="00BC5332"/>
    <w:rsid w:val="00BC5715"/>
    <w:rsid w:val="00BC5C12"/>
    <w:rsid w:val="00BC7154"/>
    <w:rsid w:val="00BC731E"/>
    <w:rsid w:val="00BC7614"/>
    <w:rsid w:val="00BD25BB"/>
    <w:rsid w:val="00BD2AF8"/>
    <w:rsid w:val="00BD366B"/>
    <w:rsid w:val="00BD410B"/>
    <w:rsid w:val="00BD4A73"/>
    <w:rsid w:val="00BD4ED5"/>
    <w:rsid w:val="00BD5C0F"/>
    <w:rsid w:val="00BD6C75"/>
    <w:rsid w:val="00BD6D50"/>
    <w:rsid w:val="00BD73D2"/>
    <w:rsid w:val="00BD7B86"/>
    <w:rsid w:val="00BE0088"/>
    <w:rsid w:val="00BE0AD1"/>
    <w:rsid w:val="00BE0EF9"/>
    <w:rsid w:val="00BE10A1"/>
    <w:rsid w:val="00BE18B9"/>
    <w:rsid w:val="00BE190A"/>
    <w:rsid w:val="00BE2495"/>
    <w:rsid w:val="00BE24DD"/>
    <w:rsid w:val="00BE2527"/>
    <w:rsid w:val="00BE386D"/>
    <w:rsid w:val="00BE557B"/>
    <w:rsid w:val="00BE6E15"/>
    <w:rsid w:val="00BE7F5F"/>
    <w:rsid w:val="00BF02C8"/>
    <w:rsid w:val="00BF064A"/>
    <w:rsid w:val="00BF1578"/>
    <w:rsid w:val="00BF15CA"/>
    <w:rsid w:val="00BF1D12"/>
    <w:rsid w:val="00BF1D3A"/>
    <w:rsid w:val="00BF2B5B"/>
    <w:rsid w:val="00BF2D41"/>
    <w:rsid w:val="00BF32DC"/>
    <w:rsid w:val="00BF4329"/>
    <w:rsid w:val="00BF4E43"/>
    <w:rsid w:val="00BF5C4C"/>
    <w:rsid w:val="00C006D6"/>
    <w:rsid w:val="00C00BD7"/>
    <w:rsid w:val="00C01410"/>
    <w:rsid w:val="00C042D4"/>
    <w:rsid w:val="00C04B78"/>
    <w:rsid w:val="00C05287"/>
    <w:rsid w:val="00C052AA"/>
    <w:rsid w:val="00C058F5"/>
    <w:rsid w:val="00C05DF8"/>
    <w:rsid w:val="00C0636C"/>
    <w:rsid w:val="00C06EE3"/>
    <w:rsid w:val="00C07749"/>
    <w:rsid w:val="00C11244"/>
    <w:rsid w:val="00C11D48"/>
    <w:rsid w:val="00C13D0B"/>
    <w:rsid w:val="00C1493E"/>
    <w:rsid w:val="00C15DBD"/>
    <w:rsid w:val="00C16B15"/>
    <w:rsid w:val="00C2010D"/>
    <w:rsid w:val="00C20CB5"/>
    <w:rsid w:val="00C21430"/>
    <w:rsid w:val="00C21E61"/>
    <w:rsid w:val="00C21F94"/>
    <w:rsid w:val="00C234DB"/>
    <w:rsid w:val="00C2479A"/>
    <w:rsid w:val="00C24903"/>
    <w:rsid w:val="00C2590D"/>
    <w:rsid w:val="00C25D9C"/>
    <w:rsid w:val="00C27913"/>
    <w:rsid w:val="00C300E2"/>
    <w:rsid w:val="00C31F21"/>
    <w:rsid w:val="00C32631"/>
    <w:rsid w:val="00C33301"/>
    <w:rsid w:val="00C33311"/>
    <w:rsid w:val="00C3386C"/>
    <w:rsid w:val="00C33B68"/>
    <w:rsid w:val="00C35570"/>
    <w:rsid w:val="00C35A2A"/>
    <w:rsid w:val="00C36A79"/>
    <w:rsid w:val="00C36E37"/>
    <w:rsid w:val="00C401A9"/>
    <w:rsid w:val="00C401D2"/>
    <w:rsid w:val="00C4031A"/>
    <w:rsid w:val="00C405D4"/>
    <w:rsid w:val="00C4072D"/>
    <w:rsid w:val="00C407CF"/>
    <w:rsid w:val="00C40D33"/>
    <w:rsid w:val="00C416B3"/>
    <w:rsid w:val="00C419D5"/>
    <w:rsid w:val="00C41E3C"/>
    <w:rsid w:val="00C43D8F"/>
    <w:rsid w:val="00C4513B"/>
    <w:rsid w:val="00C475E8"/>
    <w:rsid w:val="00C476B8"/>
    <w:rsid w:val="00C479B8"/>
    <w:rsid w:val="00C50E79"/>
    <w:rsid w:val="00C525FB"/>
    <w:rsid w:val="00C5390B"/>
    <w:rsid w:val="00C54257"/>
    <w:rsid w:val="00C54697"/>
    <w:rsid w:val="00C550CE"/>
    <w:rsid w:val="00C553A5"/>
    <w:rsid w:val="00C55402"/>
    <w:rsid w:val="00C5603B"/>
    <w:rsid w:val="00C61F47"/>
    <w:rsid w:val="00C62828"/>
    <w:rsid w:val="00C64139"/>
    <w:rsid w:val="00C719A3"/>
    <w:rsid w:val="00C71D2F"/>
    <w:rsid w:val="00C72984"/>
    <w:rsid w:val="00C73885"/>
    <w:rsid w:val="00C73AE4"/>
    <w:rsid w:val="00C73C93"/>
    <w:rsid w:val="00C7435A"/>
    <w:rsid w:val="00C747B1"/>
    <w:rsid w:val="00C755F9"/>
    <w:rsid w:val="00C80FE0"/>
    <w:rsid w:val="00C815EF"/>
    <w:rsid w:val="00C8174E"/>
    <w:rsid w:val="00C81E37"/>
    <w:rsid w:val="00C82191"/>
    <w:rsid w:val="00C83134"/>
    <w:rsid w:val="00C832F3"/>
    <w:rsid w:val="00C845A4"/>
    <w:rsid w:val="00C85545"/>
    <w:rsid w:val="00C855B5"/>
    <w:rsid w:val="00C85F0E"/>
    <w:rsid w:val="00C90107"/>
    <w:rsid w:val="00C90CF4"/>
    <w:rsid w:val="00C92144"/>
    <w:rsid w:val="00C922DE"/>
    <w:rsid w:val="00C92843"/>
    <w:rsid w:val="00C9295C"/>
    <w:rsid w:val="00C92EB6"/>
    <w:rsid w:val="00C93389"/>
    <w:rsid w:val="00C94CDD"/>
    <w:rsid w:val="00C95774"/>
    <w:rsid w:val="00C97B65"/>
    <w:rsid w:val="00CA0346"/>
    <w:rsid w:val="00CA09B7"/>
    <w:rsid w:val="00CA1BD6"/>
    <w:rsid w:val="00CA2441"/>
    <w:rsid w:val="00CA37FF"/>
    <w:rsid w:val="00CA423A"/>
    <w:rsid w:val="00CA47BC"/>
    <w:rsid w:val="00CA6AB4"/>
    <w:rsid w:val="00CA7255"/>
    <w:rsid w:val="00CA7432"/>
    <w:rsid w:val="00CB2351"/>
    <w:rsid w:val="00CB3C4F"/>
    <w:rsid w:val="00CB4930"/>
    <w:rsid w:val="00CB4C63"/>
    <w:rsid w:val="00CB5599"/>
    <w:rsid w:val="00CB5A48"/>
    <w:rsid w:val="00CB5E10"/>
    <w:rsid w:val="00CB5F3F"/>
    <w:rsid w:val="00CB613B"/>
    <w:rsid w:val="00CB6152"/>
    <w:rsid w:val="00CB64E1"/>
    <w:rsid w:val="00CC0834"/>
    <w:rsid w:val="00CC20FE"/>
    <w:rsid w:val="00CC2E7D"/>
    <w:rsid w:val="00CC32A4"/>
    <w:rsid w:val="00CC519B"/>
    <w:rsid w:val="00CC5BF7"/>
    <w:rsid w:val="00CC5DBF"/>
    <w:rsid w:val="00CC612B"/>
    <w:rsid w:val="00CC655F"/>
    <w:rsid w:val="00CC6FE5"/>
    <w:rsid w:val="00CC72D7"/>
    <w:rsid w:val="00CC7458"/>
    <w:rsid w:val="00CC76BD"/>
    <w:rsid w:val="00CC7A87"/>
    <w:rsid w:val="00CD07BE"/>
    <w:rsid w:val="00CD1084"/>
    <w:rsid w:val="00CD10A5"/>
    <w:rsid w:val="00CD1129"/>
    <w:rsid w:val="00CD1A80"/>
    <w:rsid w:val="00CD1CB5"/>
    <w:rsid w:val="00CD2076"/>
    <w:rsid w:val="00CD24CE"/>
    <w:rsid w:val="00CD29B5"/>
    <w:rsid w:val="00CD2B78"/>
    <w:rsid w:val="00CD3D73"/>
    <w:rsid w:val="00CD3FAB"/>
    <w:rsid w:val="00CD5434"/>
    <w:rsid w:val="00CD5456"/>
    <w:rsid w:val="00CD5C3E"/>
    <w:rsid w:val="00CD6331"/>
    <w:rsid w:val="00CE0217"/>
    <w:rsid w:val="00CE14BE"/>
    <w:rsid w:val="00CE164F"/>
    <w:rsid w:val="00CE17A4"/>
    <w:rsid w:val="00CE1BA9"/>
    <w:rsid w:val="00CE29EE"/>
    <w:rsid w:val="00CE2D8F"/>
    <w:rsid w:val="00CE3E48"/>
    <w:rsid w:val="00CE47B8"/>
    <w:rsid w:val="00CE4B4F"/>
    <w:rsid w:val="00CE62FA"/>
    <w:rsid w:val="00CE670B"/>
    <w:rsid w:val="00CE6833"/>
    <w:rsid w:val="00CF0257"/>
    <w:rsid w:val="00CF03A8"/>
    <w:rsid w:val="00CF2E4D"/>
    <w:rsid w:val="00CF4205"/>
    <w:rsid w:val="00CF4908"/>
    <w:rsid w:val="00CF51EC"/>
    <w:rsid w:val="00CF521C"/>
    <w:rsid w:val="00CF545D"/>
    <w:rsid w:val="00CF5873"/>
    <w:rsid w:val="00CF73AE"/>
    <w:rsid w:val="00D0085A"/>
    <w:rsid w:val="00D0242D"/>
    <w:rsid w:val="00D02651"/>
    <w:rsid w:val="00D02716"/>
    <w:rsid w:val="00D0332D"/>
    <w:rsid w:val="00D03A72"/>
    <w:rsid w:val="00D040DD"/>
    <w:rsid w:val="00D04134"/>
    <w:rsid w:val="00D05C65"/>
    <w:rsid w:val="00D065FC"/>
    <w:rsid w:val="00D06B56"/>
    <w:rsid w:val="00D06D68"/>
    <w:rsid w:val="00D075BE"/>
    <w:rsid w:val="00D107EE"/>
    <w:rsid w:val="00D10C15"/>
    <w:rsid w:val="00D11476"/>
    <w:rsid w:val="00D12C25"/>
    <w:rsid w:val="00D133B4"/>
    <w:rsid w:val="00D13986"/>
    <w:rsid w:val="00D14C5B"/>
    <w:rsid w:val="00D15FED"/>
    <w:rsid w:val="00D16712"/>
    <w:rsid w:val="00D208FD"/>
    <w:rsid w:val="00D20FFB"/>
    <w:rsid w:val="00D214EF"/>
    <w:rsid w:val="00D215B0"/>
    <w:rsid w:val="00D218B6"/>
    <w:rsid w:val="00D21A0D"/>
    <w:rsid w:val="00D21D6D"/>
    <w:rsid w:val="00D21D83"/>
    <w:rsid w:val="00D22142"/>
    <w:rsid w:val="00D235B7"/>
    <w:rsid w:val="00D23FAE"/>
    <w:rsid w:val="00D24853"/>
    <w:rsid w:val="00D25098"/>
    <w:rsid w:val="00D2554F"/>
    <w:rsid w:val="00D25F28"/>
    <w:rsid w:val="00D26071"/>
    <w:rsid w:val="00D269B9"/>
    <w:rsid w:val="00D27973"/>
    <w:rsid w:val="00D27F47"/>
    <w:rsid w:val="00D31537"/>
    <w:rsid w:val="00D31E1E"/>
    <w:rsid w:val="00D3222A"/>
    <w:rsid w:val="00D322A0"/>
    <w:rsid w:val="00D32824"/>
    <w:rsid w:val="00D334E2"/>
    <w:rsid w:val="00D35AD6"/>
    <w:rsid w:val="00D35BBB"/>
    <w:rsid w:val="00D35E1A"/>
    <w:rsid w:val="00D36DFB"/>
    <w:rsid w:val="00D36E1C"/>
    <w:rsid w:val="00D373AF"/>
    <w:rsid w:val="00D40556"/>
    <w:rsid w:val="00D419C9"/>
    <w:rsid w:val="00D41F74"/>
    <w:rsid w:val="00D42FF0"/>
    <w:rsid w:val="00D43ED2"/>
    <w:rsid w:val="00D442B3"/>
    <w:rsid w:val="00D44896"/>
    <w:rsid w:val="00D464E4"/>
    <w:rsid w:val="00D46B51"/>
    <w:rsid w:val="00D478B9"/>
    <w:rsid w:val="00D50F46"/>
    <w:rsid w:val="00D5238B"/>
    <w:rsid w:val="00D5384E"/>
    <w:rsid w:val="00D544E7"/>
    <w:rsid w:val="00D5560A"/>
    <w:rsid w:val="00D56FBF"/>
    <w:rsid w:val="00D57677"/>
    <w:rsid w:val="00D57B8D"/>
    <w:rsid w:val="00D60415"/>
    <w:rsid w:val="00D60516"/>
    <w:rsid w:val="00D60E3C"/>
    <w:rsid w:val="00D63BE5"/>
    <w:rsid w:val="00D6475F"/>
    <w:rsid w:val="00D653A0"/>
    <w:rsid w:val="00D66223"/>
    <w:rsid w:val="00D667B8"/>
    <w:rsid w:val="00D70289"/>
    <w:rsid w:val="00D70822"/>
    <w:rsid w:val="00D70A58"/>
    <w:rsid w:val="00D72076"/>
    <w:rsid w:val="00D726A9"/>
    <w:rsid w:val="00D743E0"/>
    <w:rsid w:val="00D75AC1"/>
    <w:rsid w:val="00D77252"/>
    <w:rsid w:val="00D77807"/>
    <w:rsid w:val="00D8084C"/>
    <w:rsid w:val="00D81809"/>
    <w:rsid w:val="00D82435"/>
    <w:rsid w:val="00D82EF1"/>
    <w:rsid w:val="00D83C22"/>
    <w:rsid w:val="00D84F43"/>
    <w:rsid w:val="00D85114"/>
    <w:rsid w:val="00D85821"/>
    <w:rsid w:val="00D8598C"/>
    <w:rsid w:val="00D87C06"/>
    <w:rsid w:val="00D915EA"/>
    <w:rsid w:val="00D919ED"/>
    <w:rsid w:val="00D922A1"/>
    <w:rsid w:val="00D928BE"/>
    <w:rsid w:val="00D95302"/>
    <w:rsid w:val="00D95C5D"/>
    <w:rsid w:val="00D97D00"/>
    <w:rsid w:val="00DA096C"/>
    <w:rsid w:val="00DA0FE3"/>
    <w:rsid w:val="00DA1AB6"/>
    <w:rsid w:val="00DA544C"/>
    <w:rsid w:val="00DA5F8E"/>
    <w:rsid w:val="00DA6364"/>
    <w:rsid w:val="00DA7114"/>
    <w:rsid w:val="00DA7C0C"/>
    <w:rsid w:val="00DB08A9"/>
    <w:rsid w:val="00DB2DFA"/>
    <w:rsid w:val="00DB2EC8"/>
    <w:rsid w:val="00DB3419"/>
    <w:rsid w:val="00DB459B"/>
    <w:rsid w:val="00DB47FD"/>
    <w:rsid w:val="00DB5E9A"/>
    <w:rsid w:val="00DB657E"/>
    <w:rsid w:val="00DB6DFF"/>
    <w:rsid w:val="00DB7342"/>
    <w:rsid w:val="00DB7486"/>
    <w:rsid w:val="00DB7F95"/>
    <w:rsid w:val="00DC17D0"/>
    <w:rsid w:val="00DC2390"/>
    <w:rsid w:val="00DC2B41"/>
    <w:rsid w:val="00DC435B"/>
    <w:rsid w:val="00DC53D8"/>
    <w:rsid w:val="00DC56FE"/>
    <w:rsid w:val="00DC5B3B"/>
    <w:rsid w:val="00DC6C2D"/>
    <w:rsid w:val="00DC75F3"/>
    <w:rsid w:val="00DC7B1A"/>
    <w:rsid w:val="00DD04B0"/>
    <w:rsid w:val="00DD07EC"/>
    <w:rsid w:val="00DD129F"/>
    <w:rsid w:val="00DD18CA"/>
    <w:rsid w:val="00DD1A3F"/>
    <w:rsid w:val="00DD29B5"/>
    <w:rsid w:val="00DD32DD"/>
    <w:rsid w:val="00DD5287"/>
    <w:rsid w:val="00DD7944"/>
    <w:rsid w:val="00DE0D8B"/>
    <w:rsid w:val="00DE1237"/>
    <w:rsid w:val="00DE140F"/>
    <w:rsid w:val="00DE2491"/>
    <w:rsid w:val="00DE586E"/>
    <w:rsid w:val="00DE7AC8"/>
    <w:rsid w:val="00DF1FFF"/>
    <w:rsid w:val="00DF2C5D"/>
    <w:rsid w:val="00DF3643"/>
    <w:rsid w:val="00DF42FF"/>
    <w:rsid w:val="00DF4369"/>
    <w:rsid w:val="00DF4423"/>
    <w:rsid w:val="00DF4ADF"/>
    <w:rsid w:val="00DF5D1E"/>
    <w:rsid w:val="00DF6CA7"/>
    <w:rsid w:val="00DF77E4"/>
    <w:rsid w:val="00DF7F88"/>
    <w:rsid w:val="00E01C0E"/>
    <w:rsid w:val="00E0368F"/>
    <w:rsid w:val="00E03D73"/>
    <w:rsid w:val="00E03DEA"/>
    <w:rsid w:val="00E03F9A"/>
    <w:rsid w:val="00E04694"/>
    <w:rsid w:val="00E04EE2"/>
    <w:rsid w:val="00E129E7"/>
    <w:rsid w:val="00E12ABE"/>
    <w:rsid w:val="00E12B1E"/>
    <w:rsid w:val="00E12C45"/>
    <w:rsid w:val="00E1444C"/>
    <w:rsid w:val="00E17262"/>
    <w:rsid w:val="00E17D21"/>
    <w:rsid w:val="00E20016"/>
    <w:rsid w:val="00E2009B"/>
    <w:rsid w:val="00E20BB9"/>
    <w:rsid w:val="00E20BCC"/>
    <w:rsid w:val="00E2207E"/>
    <w:rsid w:val="00E2251C"/>
    <w:rsid w:val="00E22D9E"/>
    <w:rsid w:val="00E2363D"/>
    <w:rsid w:val="00E23C6A"/>
    <w:rsid w:val="00E24DEF"/>
    <w:rsid w:val="00E253A2"/>
    <w:rsid w:val="00E25809"/>
    <w:rsid w:val="00E260F6"/>
    <w:rsid w:val="00E27127"/>
    <w:rsid w:val="00E27233"/>
    <w:rsid w:val="00E31771"/>
    <w:rsid w:val="00E31A3E"/>
    <w:rsid w:val="00E31FEC"/>
    <w:rsid w:val="00E32080"/>
    <w:rsid w:val="00E32D52"/>
    <w:rsid w:val="00E3309D"/>
    <w:rsid w:val="00E343C7"/>
    <w:rsid w:val="00E3724A"/>
    <w:rsid w:val="00E375EC"/>
    <w:rsid w:val="00E378B1"/>
    <w:rsid w:val="00E404B9"/>
    <w:rsid w:val="00E404FD"/>
    <w:rsid w:val="00E417BE"/>
    <w:rsid w:val="00E4186B"/>
    <w:rsid w:val="00E41CD5"/>
    <w:rsid w:val="00E426FA"/>
    <w:rsid w:val="00E43133"/>
    <w:rsid w:val="00E4372D"/>
    <w:rsid w:val="00E43A9E"/>
    <w:rsid w:val="00E453F9"/>
    <w:rsid w:val="00E45D7D"/>
    <w:rsid w:val="00E4623F"/>
    <w:rsid w:val="00E4665D"/>
    <w:rsid w:val="00E47854"/>
    <w:rsid w:val="00E47EBA"/>
    <w:rsid w:val="00E50156"/>
    <w:rsid w:val="00E5076C"/>
    <w:rsid w:val="00E50D2E"/>
    <w:rsid w:val="00E53470"/>
    <w:rsid w:val="00E539F6"/>
    <w:rsid w:val="00E54698"/>
    <w:rsid w:val="00E54FB4"/>
    <w:rsid w:val="00E55791"/>
    <w:rsid w:val="00E55E1A"/>
    <w:rsid w:val="00E578A2"/>
    <w:rsid w:val="00E60043"/>
    <w:rsid w:val="00E601BA"/>
    <w:rsid w:val="00E61740"/>
    <w:rsid w:val="00E61EB5"/>
    <w:rsid w:val="00E6324D"/>
    <w:rsid w:val="00E64F0C"/>
    <w:rsid w:val="00E65084"/>
    <w:rsid w:val="00E6519D"/>
    <w:rsid w:val="00E66062"/>
    <w:rsid w:val="00E6660E"/>
    <w:rsid w:val="00E66F7C"/>
    <w:rsid w:val="00E67305"/>
    <w:rsid w:val="00E67696"/>
    <w:rsid w:val="00E702BD"/>
    <w:rsid w:val="00E71A58"/>
    <w:rsid w:val="00E71C23"/>
    <w:rsid w:val="00E72A26"/>
    <w:rsid w:val="00E72A7A"/>
    <w:rsid w:val="00E7335A"/>
    <w:rsid w:val="00E747DC"/>
    <w:rsid w:val="00E74A2D"/>
    <w:rsid w:val="00E75C94"/>
    <w:rsid w:val="00E76B9B"/>
    <w:rsid w:val="00E76E61"/>
    <w:rsid w:val="00E80CA3"/>
    <w:rsid w:val="00E8209B"/>
    <w:rsid w:val="00E82618"/>
    <w:rsid w:val="00E845C1"/>
    <w:rsid w:val="00E84A1C"/>
    <w:rsid w:val="00E84E09"/>
    <w:rsid w:val="00E90CA8"/>
    <w:rsid w:val="00E90FF9"/>
    <w:rsid w:val="00E91301"/>
    <w:rsid w:val="00E930A1"/>
    <w:rsid w:val="00E93820"/>
    <w:rsid w:val="00E94A86"/>
    <w:rsid w:val="00E953F6"/>
    <w:rsid w:val="00E96143"/>
    <w:rsid w:val="00E96833"/>
    <w:rsid w:val="00E97506"/>
    <w:rsid w:val="00EA0C68"/>
    <w:rsid w:val="00EA1D0E"/>
    <w:rsid w:val="00EA2841"/>
    <w:rsid w:val="00EA29D4"/>
    <w:rsid w:val="00EA32BC"/>
    <w:rsid w:val="00EA35A7"/>
    <w:rsid w:val="00EA3868"/>
    <w:rsid w:val="00EA3B32"/>
    <w:rsid w:val="00EA3D05"/>
    <w:rsid w:val="00EA4402"/>
    <w:rsid w:val="00EA4B8D"/>
    <w:rsid w:val="00EA513E"/>
    <w:rsid w:val="00EA7419"/>
    <w:rsid w:val="00EB0E32"/>
    <w:rsid w:val="00EB1DE7"/>
    <w:rsid w:val="00EB1E61"/>
    <w:rsid w:val="00EB2251"/>
    <w:rsid w:val="00EB267D"/>
    <w:rsid w:val="00EB4511"/>
    <w:rsid w:val="00EB48D7"/>
    <w:rsid w:val="00EB4A8E"/>
    <w:rsid w:val="00EB4ABD"/>
    <w:rsid w:val="00EB4BC5"/>
    <w:rsid w:val="00EB5BF7"/>
    <w:rsid w:val="00EB5E79"/>
    <w:rsid w:val="00EB663E"/>
    <w:rsid w:val="00EB6FAC"/>
    <w:rsid w:val="00EB7BAC"/>
    <w:rsid w:val="00EC03D7"/>
    <w:rsid w:val="00EC13A7"/>
    <w:rsid w:val="00EC2EB6"/>
    <w:rsid w:val="00ED0EF0"/>
    <w:rsid w:val="00ED12B9"/>
    <w:rsid w:val="00ED16B8"/>
    <w:rsid w:val="00ED19F0"/>
    <w:rsid w:val="00ED1BDE"/>
    <w:rsid w:val="00ED1DF0"/>
    <w:rsid w:val="00ED2386"/>
    <w:rsid w:val="00ED2EA1"/>
    <w:rsid w:val="00ED3F10"/>
    <w:rsid w:val="00ED4604"/>
    <w:rsid w:val="00ED4D04"/>
    <w:rsid w:val="00ED5907"/>
    <w:rsid w:val="00ED5F5B"/>
    <w:rsid w:val="00ED62C6"/>
    <w:rsid w:val="00ED64C1"/>
    <w:rsid w:val="00ED7A13"/>
    <w:rsid w:val="00ED7D0E"/>
    <w:rsid w:val="00EE1D34"/>
    <w:rsid w:val="00EE3446"/>
    <w:rsid w:val="00EE3E78"/>
    <w:rsid w:val="00EE41FD"/>
    <w:rsid w:val="00EE460E"/>
    <w:rsid w:val="00EE46FE"/>
    <w:rsid w:val="00EE4B1B"/>
    <w:rsid w:val="00EE5FBA"/>
    <w:rsid w:val="00EE6648"/>
    <w:rsid w:val="00EE6E06"/>
    <w:rsid w:val="00EE7179"/>
    <w:rsid w:val="00EF0626"/>
    <w:rsid w:val="00EF150D"/>
    <w:rsid w:val="00EF1F5A"/>
    <w:rsid w:val="00EF3C94"/>
    <w:rsid w:val="00EF47BF"/>
    <w:rsid w:val="00EF59B1"/>
    <w:rsid w:val="00EF5A13"/>
    <w:rsid w:val="00EF5FF9"/>
    <w:rsid w:val="00EF7CC7"/>
    <w:rsid w:val="00F00866"/>
    <w:rsid w:val="00F0160B"/>
    <w:rsid w:val="00F0193E"/>
    <w:rsid w:val="00F021DA"/>
    <w:rsid w:val="00F0293D"/>
    <w:rsid w:val="00F03F8D"/>
    <w:rsid w:val="00F04811"/>
    <w:rsid w:val="00F0488C"/>
    <w:rsid w:val="00F073ED"/>
    <w:rsid w:val="00F07C4C"/>
    <w:rsid w:val="00F10F11"/>
    <w:rsid w:val="00F11159"/>
    <w:rsid w:val="00F12CFB"/>
    <w:rsid w:val="00F13FDB"/>
    <w:rsid w:val="00F15AAA"/>
    <w:rsid w:val="00F15BEF"/>
    <w:rsid w:val="00F17898"/>
    <w:rsid w:val="00F2079F"/>
    <w:rsid w:val="00F207C2"/>
    <w:rsid w:val="00F20FCA"/>
    <w:rsid w:val="00F21337"/>
    <w:rsid w:val="00F215AC"/>
    <w:rsid w:val="00F219A1"/>
    <w:rsid w:val="00F231DB"/>
    <w:rsid w:val="00F23826"/>
    <w:rsid w:val="00F23E20"/>
    <w:rsid w:val="00F24407"/>
    <w:rsid w:val="00F24CDD"/>
    <w:rsid w:val="00F24FAA"/>
    <w:rsid w:val="00F24FBC"/>
    <w:rsid w:val="00F25040"/>
    <w:rsid w:val="00F27071"/>
    <w:rsid w:val="00F27331"/>
    <w:rsid w:val="00F27797"/>
    <w:rsid w:val="00F27EE5"/>
    <w:rsid w:val="00F307CB"/>
    <w:rsid w:val="00F30C65"/>
    <w:rsid w:val="00F32649"/>
    <w:rsid w:val="00F33523"/>
    <w:rsid w:val="00F3364D"/>
    <w:rsid w:val="00F349BF"/>
    <w:rsid w:val="00F34DDC"/>
    <w:rsid w:val="00F36596"/>
    <w:rsid w:val="00F37A39"/>
    <w:rsid w:val="00F37EDC"/>
    <w:rsid w:val="00F37F05"/>
    <w:rsid w:val="00F414BC"/>
    <w:rsid w:val="00F421A3"/>
    <w:rsid w:val="00F437CC"/>
    <w:rsid w:val="00F44537"/>
    <w:rsid w:val="00F46185"/>
    <w:rsid w:val="00F46423"/>
    <w:rsid w:val="00F4696A"/>
    <w:rsid w:val="00F47067"/>
    <w:rsid w:val="00F51B5B"/>
    <w:rsid w:val="00F525EB"/>
    <w:rsid w:val="00F52CB5"/>
    <w:rsid w:val="00F52E3F"/>
    <w:rsid w:val="00F53652"/>
    <w:rsid w:val="00F53A68"/>
    <w:rsid w:val="00F54330"/>
    <w:rsid w:val="00F5487D"/>
    <w:rsid w:val="00F54934"/>
    <w:rsid w:val="00F55890"/>
    <w:rsid w:val="00F55A92"/>
    <w:rsid w:val="00F62BFF"/>
    <w:rsid w:val="00F6393F"/>
    <w:rsid w:val="00F63AAE"/>
    <w:rsid w:val="00F63D70"/>
    <w:rsid w:val="00F63DDE"/>
    <w:rsid w:val="00F63FB7"/>
    <w:rsid w:val="00F6421B"/>
    <w:rsid w:val="00F647F1"/>
    <w:rsid w:val="00F649D2"/>
    <w:rsid w:val="00F6602B"/>
    <w:rsid w:val="00F67C31"/>
    <w:rsid w:val="00F7150B"/>
    <w:rsid w:val="00F717E4"/>
    <w:rsid w:val="00F71DE6"/>
    <w:rsid w:val="00F72D71"/>
    <w:rsid w:val="00F7381C"/>
    <w:rsid w:val="00F73A0C"/>
    <w:rsid w:val="00F7549F"/>
    <w:rsid w:val="00F756DB"/>
    <w:rsid w:val="00F767A8"/>
    <w:rsid w:val="00F839D3"/>
    <w:rsid w:val="00F84E7D"/>
    <w:rsid w:val="00F85066"/>
    <w:rsid w:val="00F8565E"/>
    <w:rsid w:val="00F86333"/>
    <w:rsid w:val="00F87A4D"/>
    <w:rsid w:val="00F90CF1"/>
    <w:rsid w:val="00F910B3"/>
    <w:rsid w:val="00F9354B"/>
    <w:rsid w:val="00F93688"/>
    <w:rsid w:val="00F939F3"/>
    <w:rsid w:val="00F9644E"/>
    <w:rsid w:val="00F97A39"/>
    <w:rsid w:val="00FA0105"/>
    <w:rsid w:val="00FA05A0"/>
    <w:rsid w:val="00FA17CC"/>
    <w:rsid w:val="00FA1F01"/>
    <w:rsid w:val="00FA26DF"/>
    <w:rsid w:val="00FA32BC"/>
    <w:rsid w:val="00FA4CB7"/>
    <w:rsid w:val="00FA5112"/>
    <w:rsid w:val="00FA523B"/>
    <w:rsid w:val="00FA5526"/>
    <w:rsid w:val="00FA5D4D"/>
    <w:rsid w:val="00FA6489"/>
    <w:rsid w:val="00FA6CB6"/>
    <w:rsid w:val="00FA70D3"/>
    <w:rsid w:val="00FA7AEC"/>
    <w:rsid w:val="00FB01A3"/>
    <w:rsid w:val="00FB0AEA"/>
    <w:rsid w:val="00FB0EE2"/>
    <w:rsid w:val="00FB1A79"/>
    <w:rsid w:val="00FB208B"/>
    <w:rsid w:val="00FB2B2D"/>
    <w:rsid w:val="00FB542E"/>
    <w:rsid w:val="00FB564F"/>
    <w:rsid w:val="00FB6D71"/>
    <w:rsid w:val="00FB7DBB"/>
    <w:rsid w:val="00FC05F8"/>
    <w:rsid w:val="00FC0E5F"/>
    <w:rsid w:val="00FC1266"/>
    <w:rsid w:val="00FC1A95"/>
    <w:rsid w:val="00FC1ED4"/>
    <w:rsid w:val="00FC2C40"/>
    <w:rsid w:val="00FC3BEC"/>
    <w:rsid w:val="00FC440B"/>
    <w:rsid w:val="00FC56DE"/>
    <w:rsid w:val="00FC64DE"/>
    <w:rsid w:val="00FC684B"/>
    <w:rsid w:val="00FC7D98"/>
    <w:rsid w:val="00FD025C"/>
    <w:rsid w:val="00FD0F85"/>
    <w:rsid w:val="00FD1135"/>
    <w:rsid w:val="00FD3265"/>
    <w:rsid w:val="00FD3CF7"/>
    <w:rsid w:val="00FD4916"/>
    <w:rsid w:val="00FD4D12"/>
    <w:rsid w:val="00FD4F73"/>
    <w:rsid w:val="00FD595E"/>
    <w:rsid w:val="00FD67AF"/>
    <w:rsid w:val="00FD6CA9"/>
    <w:rsid w:val="00FE27C7"/>
    <w:rsid w:val="00FE2C7E"/>
    <w:rsid w:val="00FE2F78"/>
    <w:rsid w:val="00FE3137"/>
    <w:rsid w:val="00FE346B"/>
    <w:rsid w:val="00FE48E4"/>
    <w:rsid w:val="00FE494D"/>
    <w:rsid w:val="00FE634C"/>
    <w:rsid w:val="00FE6E69"/>
    <w:rsid w:val="00FE6F59"/>
    <w:rsid w:val="00FF1136"/>
    <w:rsid w:val="00FF3D76"/>
    <w:rsid w:val="00FF3F14"/>
    <w:rsid w:val="00FF5B8C"/>
    <w:rsid w:val="00FF63E6"/>
    <w:rsid w:val="00FF7B0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4AD56707-B834-43C7-B213-46CC73DE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character" w:customStyle="1" w:styleId="tlid-translation">
    <w:name w:val="tlid-translation"/>
    <w:basedOn w:val="Standardnpsmoodstavce"/>
    <w:rsid w:val="00166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4427001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967394828">
      <w:bodyDiv w:val="1"/>
      <w:marLeft w:val="0"/>
      <w:marRight w:val="0"/>
      <w:marTop w:val="0"/>
      <w:marBottom w:val="0"/>
      <w:divBdr>
        <w:top w:val="none" w:sz="0" w:space="0" w:color="auto"/>
        <w:left w:val="none" w:sz="0" w:space="0" w:color="auto"/>
        <w:bottom w:val="none" w:sz="0" w:space="0" w:color="auto"/>
        <w:right w:val="none" w:sz="0" w:space="0" w:color="auto"/>
      </w:divBdr>
    </w:div>
    <w:div w:id="111845364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33796159">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6055724">
      <w:bodyDiv w:val="1"/>
      <w:marLeft w:val="0"/>
      <w:marRight w:val="0"/>
      <w:marTop w:val="0"/>
      <w:marBottom w:val="0"/>
      <w:divBdr>
        <w:top w:val="none" w:sz="0" w:space="0" w:color="auto"/>
        <w:left w:val="none" w:sz="0" w:space="0" w:color="auto"/>
        <w:bottom w:val="none" w:sz="0" w:space="0" w:color="auto"/>
        <w:right w:val="none" w:sz="0" w:space="0" w:color="auto"/>
      </w:divBdr>
    </w:div>
    <w:div w:id="1467579904">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35038106">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numbering" Target="numbering.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eader" Target="header2.xml"/><Relationship Id="rId36" Type="http://schemas.microsoft.com/office/2016/09/relationships/commentsIds" Target="commentsIds.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Anal&#253;za\Q\2019Q2\eng\Makroanal&#253;za%20grafy_eng.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okumenty\Anal&#253;za\Q\2019Q2\eng\Makroanal&#253;za%20grafy_eng.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Dokumenty\Anal&#253;za\Q\2019Q2\eng\Makroanal&#253;za%20grafy_eng.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Dokumenty\Anal&#253;za\Q\2019Q2\eng\Makroanal&#253;za%20grafy_eng.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JKAM%20CSU\PUBLIKACE\PUBLIKACE\2019\QMakro\1.pololet&#237;%202019\ENGL-verze-1.pol\Grafy-trh%20pr&#225;ce-rok-2019-1.pol-ENG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JKAM%20CSU\PUBLIKACE\PUBLIKACE\2019\QMakro\1.pololet&#237;%202019\ENGL-verze-1.pol\Grafy-trh%20pr&#225;ce-rok-2019-1.pol-ENG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JKAM%20CSU\PUBLIKACE\PUBLIKACE\2019\QMakro\1.pololet&#237;%202019\ENGL-verze-1.pol\Grafy-trh%20pr&#225;ce-rok-2019-1.pol-ENG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Dokumenty\Anal&#253;za\Q\2019Q2\eng\Makroanal&#253;za%20grafy_eng.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JKAM%20CSU\PUBLIKACE\PUBLIKACE\2019\QMakro\1.pololet&#237;%202019\ENGL-verze-1.pol\Grafy-st&#225;tn&#237;%20rozpo&#269;et-rok-1-pol-2019-ENG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JKAM%20CSU\PUBLIKACE\PUBLIKACE\2019\QMakro\1.pololet&#237;%202019\ENGL-verze-1.pol\Grafy-st&#225;tn&#237;%20rozpo&#269;et-rok-1-pol-2019-ENG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Anal&#253;za\Q\2019Q2\eng\Makroanal&#253;za%20grafy_e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kumenty\Anal&#253;za\Q\2019Q2\eng\Makroanal&#253;za%20grafy_e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kumenty\Anal&#253;za\Q\2019Q2\eng\Makroanal&#253;za%20grafy_eng.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JKAM%20CSU\PUBLIKACE\PUBLIKACE\2019\QMakro\1.pololet&#237;%202019\ENGL-verze-1.pol\Odv&#283;tv&#237;%20grafy-1-pol-2019-ENG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JKAM%20CSU\PUBLIKACE\PUBLIKACE\2019\QMakro\1.pololet&#237;%202019\ENGL-verze-1.pol\Odv&#283;tv&#237;%20grafy-1-pol-2019-ENGL.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JKAM%20CSU\PUBLIKACE\PUBLIKACE\2019\QMakro\1.pololet&#237;%202019\ENGL-verze-1.pol\Odv&#283;tv&#237;%20grafy-1-pol-2019-ENG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JKAM%20CSU\PUBLIKACE\PUBLIKACE\2019\QMakro\1.pololet&#237;%202019\ENGL-verze-1.pol\Odv&#283;tv&#237;%20grafy-1-pol-2019-ENG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okumenty\Anal&#253;za\Q\2019Q2\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240163796014418E-2"/>
          <c:y val="2.3046636085626952E-2"/>
          <c:w val="0.93617042384329663"/>
          <c:h val="0.74192840256670856"/>
        </c:manualLayout>
      </c:layout>
      <c:barChart>
        <c:barDir val="col"/>
        <c:grouping val="clustered"/>
        <c:varyColors val="0"/>
        <c:ser>
          <c:idx val="0"/>
          <c:order val="0"/>
          <c:tx>
            <c:strRef>
              <c:f>'souhrnná výkonnost 1'!$C$4</c:f>
              <c:strCache>
                <c:ptCount val="1"/>
                <c:pt idx="0">
                  <c:v>CR year-on-year change</c:v>
                </c:pt>
              </c:strCache>
            </c:strRef>
          </c:tx>
          <c:spPr>
            <a:solidFill>
              <a:schemeClr val="bg1">
                <a:lumMod val="65000"/>
              </a:schemeClr>
            </a:solidFill>
            <a:ln>
              <a:noFill/>
            </a:ln>
          </c:spPr>
          <c:invertIfNegative val="0"/>
          <c:cat>
            <c:multiLvlStrRef>
              <c:f>'souhrnná výkonnost 1'!$A$13:$B$34</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2014</c:v>
                  </c:pt>
                  <c:pt idx="4">
                    <c:v>2015</c:v>
                  </c:pt>
                  <c:pt idx="8">
                    <c:v>2016</c:v>
                  </c:pt>
                  <c:pt idx="12">
                    <c:v>2017</c:v>
                  </c:pt>
                  <c:pt idx="16">
                    <c:v>2018</c:v>
                  </c:pt>
                  <c:pt idx="20">
                    <c:v>2019</c:v>
                  </c:pt>
                </c:lvl>
              </c:multiLvlStrCache>
            </c:multiLvlStrRef>
          </c:cat>
          <c:val>
            <c:numRef>
              <c:f>'souhrnná výkonnost 1'!$C$13:$C$34</c:f>
              <c:numCache>
                <c:formatCode>#\ ##0.0</c:formatCode>
                <c:ptCount val="22"/>
                <c:pt idx="0">
                  <c:v>1.5996926444218076</c:v>
                </c:pt>
                <c:pt idx="1">
                  <c:v>2.4019552100365473</c:v>
                </c:pt>
                <c:pt idx="2">
                  <c:v>3.4030564515715724</c:v>
                </c:pt>
                <c:pt idx="3">
                  <c:v>3.4380052076485867</c:v>
                </c:pt>
                <c:pt idx="4">
                  <c:v>5.2550726107844667</c:v>
                </c:pt>
                <c:pt idx="5">
                  <c:v>5.7987847820089087</c:v>
                </c:pt>
                <c:pt idx="6">
                  <c:v>5.5707669225332381</c:v>
                </c:pt>
                <c:pt idx="7">
                  <c:v>4.9148252973919995</c:v>
                </c:pt>
                <c:pt idx="8">
                  <c:v>3.5397876725335777</c:v>
                </c:pt>
                <c:pt idx="9">
                  <c:v>2.3880974325794</c:v>
                </c:pt>
                <c:pt idx="10">
                  <c:v>1.7456220336081003</c:v>
                </c:pt>
                <c:pt idx="11">
                  <c:v>1.7908390550106787</c:v>
                </c:pt>
                <c:pt idx="12">
                  <c:v>2.9314543599314931</c:v>
                </c:pt>
                <c:pt idx="13">
                  <c:v>5.0765771064926923</c:v>
                </c:pt>
                <c:pt idx="14">
                  <c:v>5.1042926824662658</c:v>
                </c:pt>
                <c:pt idx="15">
                  <c:v>5.0625427043875106</c:v>
                </c:pt>
                <c:pt idx="16">
                  <c:v>4.22483883313663</c:v>
                </c:pt>
                <c:pt idx="17" formatCode="General">
                  <c:v>2.3828601900949735</c:v>
                </c:pt>
                <c:pt idx="18" formatCode="General">
                  <c:v>2.4575548921913253</c:v>
                </c:pt>
                <c:pt idx="19">
                  <c:v>2.7217885634296834</c:v>
                </c:pt>
                <c:pt idx="20">
                  <c:v>2.721241279896347</c:v>
                </c:pt>
                <c:pt idx="21" formatCode="General">
                  <c:v>2.7413440229468762</c:v>
                </c:pt>
              </c:numCache>
            </c:numRef>
          </c:val>
          <c:extLst>
            <c:ext xmlns:c16="http://schemas.microsoft.com/office/drawing/2014/chart" uri="{C3380CC4-5D6E-409C-BE32-E72D297353CC}">
              <c16:uniqueId val="{00000000-B5D1-43E7-B769-0AADBCE81AF0}"/>
            </c:ext>
          </c:extLst>
        </c:ser>
        <c:ser>
          <c:idx val="1"/>
          <c:order val="1"/>
          <c:tx>
            <c:strRef>
              <c:f>'souhrnná výkonnost 1'!$D$4</c:f>
              <c:strCache>
                <c:ptCount val="1"/>
                <c:pt idx="0">
                  <c:v>EU28 year-on-year change</c:v>
                </c:pt>
              </c:strCache>
            </c:strRef>
          </c:tx>
          <c:spPr>
            <a:solidFill>
              <a:schemeClr val="bg1">
                <a:lumMod val="50000"/>
              </a:schemeClr>
            </a:solidFill>
            <a:ln>
              <a:noFill/>
            </a:ln>
          </c:spPr>
          <c:invertIfNegative val="0"/>
          <c:cat>
            <c:multiLvlStrRef>
              <c:f>'souhrnná výkonnost 1'!$A$13:$B$34</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2014</c:v>
                  </c:pt>
                  <c:pt idx="4">
                    <c:v>2015</c:v>
                  </c:pt>
                  <c:pt idx="8">
                    <c:v>2016</c:v>
                  </c:pt>
                  <c:pt idx="12">
                    <c:v>2017</c:v>
                  </c:pt>
                  <c:pt idx="16">
                    <c:v>2018</c:v>
                  </c:pt>
                  <c:pt idx="20">
                    <c:v>2019</c:v>
                  </c:pt>
                </c:lvl>
              </c:multiLvlStrCache>
            </c:multiLvlStrRef>
          </c:cat>
          <c:val>
            <c:numRef>
              <c:f>'souhrnná výkonnost 1'!$D$13:$D$34</c:f>
              <c:numCache>
                <c:formatCode>#\ ##0.0</c:formatCode>
                <c:ptCount val="22"/>
                <c:pt idx="0">
                  <c:v>1.8</c:v>
                </c:pt>
                <c:pt idx="1">
                  <c:v>1.6</c:v>
                </c:pt>
                <c:pt idx="2">
                  <c:v>1.7</c:v>
                </c:pt>
                <c:pt idx="3">
                  <c:v>1.9</c:v>
                </c:pt>
                <c:pt idx="4">
                  <c:v>2.2000000000000002</c:v>
                </c:pt>
                <c:pt idx="5">
                  <c:v>2.2999999999999998</c:v>
                </c:pt>
                <c:pt idx="6">
                  <c:v>2.2000000000000002</c:v>
                </c:pt>
                <c:pt idx="7">
                  <c:v>2.2000000000000002</c:v>
                </c:pt>
                <c:pt idx="8">
                  <c:v>2</c:v>
                </c:pt>
                <c:pt idx="9">
                  <c:v>1.9</c:v>
                </c:pt>
                <c:pt idx="10">
                  <c:v>1.8</c:v>
                </c:pt>
                <c:pt idx="11">
                  <c:v>2.1</c:v>
                </c:pt>
                <c:pt idx="12">
                  <c:v>2.2999999999999998</c:v>
                </c:pt>
                <c:pt idx="13">
                  <c:v>2.6</c:v>
                </c:pt>
                <c:pt idx="14">
                  <c:v>2.8</c:v>
                </c:pt>
                <c:pt idx="15">
                  <c:v>2.7</c:v>
                </c:pt>
                <c:pt idx="16">
                  <c:v>2.4</c:v>
                </c:pt>
                <c:pt idx="17">
                  <c:v>2.2000000000000002</c:v>
                </c:pt>
                <c:pt idx="18">
                  <c:v>1.9</c:v>
                </c:pt>
                <c:pt idx="19">
                  <c:v>1.5</c:v>
                </c:pt>
                <c:pt idx="20">
                  <c:v>1.6</c:v>
                </c:pt>
                <c:pt idx="21">
                  <c:v>1.3</c:v>
                </c:pt>
              </c:numCache>
            </c:numRef>
          </c:val>
          <c:extLst>
            <c:ext xmlns:c16="http://schemas.microsoft.com/office/drawing/2014/chart" uri="{C3380CC4-5D6E-409C-BE32-E72D297353CC}">
              <c16:uniqueId val="{00000001-B5D1-43E7-B769-0AADBCE81AF0}"/>
            </c:ext>
          </c:extLst>
        </c:ser>
        <c:dLbls>
          <c:showLegendKey val="0"/>
          <c:showVal val="0"/>
          <c:showCatName val="0"/>
          <c:showSerName val="0"/>
          <c:showPercent val="0"/>
          <c:showBubbleSize val="0"/>
        </c:dLbls>
        <c:gapWidth val="100"/>
        <c:axId val="115054080"/>
        <c:axId val="115056000"/>
      </c:barChart>
      <c:lineChart>
        <c:grouping val="standard"/>
        <c:varyColors val="0"/>
        <c:ser>
          <c:idx val="2"/>
          <c:order val="2"/>
          <c:tx>
            <c:strRef>
              <c:f>'souhrnná výkonnost 1'!$E$4</c:f>
              <c:strCache>
                <c:ptCount val="1"/>
                <c:pt idx="0">
                  <c:v>ČR quarter-on-quarter change</c:v>
                </c:pt>
              </c:strCache>
            </c:strRef>
          </c:tx>
          <c:spPr>
            <a:ln w="19050">
              <a:noFill/>
            </a:ln>
          </c:spPr>
          <c:marker>
            <c:symbol val="dash"/>
            <c:size val="8"/>
            <c:spPr>
              <a:solidFill>
                <a:schemeClr val="accent1"/>
              </a:solidFill>
              <a:ln>
                <a:noFill/>
              </a:ln>
            </c:spPr>
          </c:marker>
          <c:cat>
            <c:multiLvlStrRef>
              <c:f>'souhrnná výkonnost 1'!$A$13:$B$34</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2014</c:v>
                  </c:pt>
                  <c:pt idx="4">
                    <c:v>2015</c:v>
                  </c:pt>
                  <c:pt idx="8">
                    <c:v>2016</c:v>
                  </c:pt>
                  <c:pt idx="12">
                    <c:v>2017</c:v>
                  </c:pt>
                  <c:pt idx="16">
                    <c:v>2018</c:v>
                  </c:pt>
                  <c:pt idx="20">
                    <c:v>2019</c:v>
                  </c:pt>
                </c:lvl>
              </c:multiLvlStrCache>
            </c:multiLvlStrRef>
          </c:cat>
          <c:val>
            <c:numRef>
              <c:f>'souhrnná výkonnost 1'!$E$13:$E$34</c:f>
              <c:numCache>
                <c:formatCode>#\ ##0.0</c:formatCode>
                <c:ptCount val="22"/>
                <c:pt idx="0">
                  <c:v>-0.15199361076162177</c:v>
                </c:pt>
                <c:pt idx="1">
                  <c:v>0.94354943170505123</c:v>
                </c:pt>
                <c:pt idx="2">
                  <c:v>1.300826710614885</c:v>
                </c:pt>
                <c:pt idx="3">
                  <c:v>1.3092680104703618</c:v>
                </c:pt>
                <c:pt idx="4">
                  <c:v>1.6020092561128081</c:v>
                </c:pt>
                <c:pt idx="5">
                  <c:v>1.4649897297471739</c:v>
                </c:pt>
                <c:pt idx="6">
                  <c:v>1.0825028639160621</c:v>
                </c:pt>
                <c:pt idx="7">
                  <c:v>0.67980430723308416</c:v>
                </c:pt>
                <c:pt idx="8">
                  <c:v>0.29227937532607484</c:v>
                </c:pt>
                <c:pt idx="9">
                  <c:v>0.4</c:v>
                </c:pt>
                <c:pt idx="10">
                  <c:v>0.5</c:v>
                </c:pt>
                <c:pt idx="11">
                  <c:v>0.7</c:v>
                </c:pt>
                <c:pt idx="12">
                  <c:v>1.4086957434134035</c:v>
                </c:pt>
                <c:pt idx="13">
                  <c:v>2.4435411317384563</c:v>
                </c:pt>
                <c:pt idx="14">
                  <c:v>0.49270833333332575</c:v>
                </c:pt>
                <c:pt idx="15">
                  <c:v>0.63604882673431007</c:v>
                </c:pt>
                <c:pt idx="16">
                  <c:v>0.60012539268639387</c:v>
                </c:pt>
                <c:pt idx="17">
                  <c:v>0.63304358628937507</c:v>
                </c:pt>
                <c:pt idx="18">
                  <c:v>0.56602405139275902</c:v>
                </c:pt>
                <c:pt idx="19">
                  <c:v>0.89558491139287355</c:v>
                </c:pt>
                <c:pt idx="20">
                  <c:v>0.59958941299942126</c:v>
                </c:pt>
                <c:pt idx="21" formatCode="General">
                  <c:v>0.65273766506412301</c:v>
                </c:pt>
              </c:numCache>
            </c:numRef>
          </c:val>
          <c:smooth val="0"/>
          <c:extLst>
            <c:ext xmlns:c16="http://schemas.microsoft.com/office/drawing/2014/chart" uri="{C3380CC4-5D6E-409C-BE32-E72D297353CC}">
              <c16:uniqueId val="{00000002-B5D1-43E7-B769-0AADBCE81AF0}"/>
            </c:ext>
          </c:extLst>
        </c:ser>
        <c:ser>
          <c:idx val="3"/>
          <c:order val="3"/>
          <c:tx>
            <c:strRef>
              <c:f>'souhrnná výkonnost 1'!$F$4</c:f>
              <c:strCache>
                <c:ptCount val="1"/>
                <c:pt idx="0">
                  <c:v>EU28 quarter-on-quarter change</c:v>
                </c:pt>
              </c:strCache>
            </c:strRef>
          </c:tx>
          <c:spPr>
            <a:ln w="19050">
              <a:noFill/>
            </a:ln>
          </c:spPr>
          <c:marker>
            <c:symbol val="dash"/>
            <c:size val="8"/>
            <c:spPr>
              <a:solidFill>
                <a:schemeClr val="accent2"/>
              </a:solidFill>
              <a:ln>
                <a:noFill/>
              </a:ln>
            </c:spPr>
          </c:marker>
          <c:cat>
            <c:multiLvlStrRef>
              <c:f>'souhrnná výkonnost 1'!$A$13:$B$34</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2014</c:v>
                  </c:pt>
                  <c:pt idx="4">
                    <c:v>2015</c:v>
                  </c:pt>
                  <c:pt idx="8">
                    <c:v>2016</c:v>
                  </c:pt>
                  <c:pt idx="12">
                    <c:v>2017</c:v>
                  </c:pt>
                  <c:pt idx="16">
                    <c:v>2018</c:v>
                  </c:pt>
                  <c:pt idx="20">
                    <c:v>2019</c:v>
                  </c:pt>
                </c:lvl>
              </c:multiLvlStrCache>
            </c:multiLvlStrRef>
          </c:cat>
          <c:val>
            <c:numRef>
              <c:f>'souhrnná výkonnost 1'!$F$13:$F$34</c:f>
              <c:numCache>
                <c:formatCode>#\ ##0.0</c:formatCode>
                <c:ptCount val="22"/>
                <c:pt idx="0">
                  <c:v>0.5</c:v>
                </c:pt>
                <c:pt idx="1">
                  <c:v>0.3</c:v>
                </c:pt>
                <c:pt idx="2">
                  <c:v>0.5</c:v>
                </c:pt>
                <c:pt idx="3">
                  <c:v>0.5</c:v>
                </c:pt>
                <c:pt idx="4">
                  <c:v>0.8</c:v>
                </c:pt>
                <c:pt idx="5">
                  <c:v>0.4</c:v>
                </c:pt>
                <c:pt idx="6">
                  <c:v>0.5</c:v>
                </c:pt>
                <c:pt idx="7">
                  <c:v>0.5</c:v>
                </c:pt>
                <c:pt idx="8">
                  <c:v>0.5</c:v>
                </c:pt>
                <c:pt idx="9">
                  <c:v>0.3</c:v>
                </c:pt>
                <c:pt idx="10">
                  <c:v>0.4</c:v>
                </c:pt>
                <c:pt idx="11">
                  <c:v>0.8</c:v>
                </c:pt>
                <c:pt idx="12">
                  <c:v>0.7</c:v>
                </c:pt>
                <c:pt idx="13">
                  <c:v>0.6</c:v>
                </c:pt>
                <c:pt idx="14">
                  <c:v>0.7</c:v>
                </c:pt>
                <c:pt idx="15">
                  <c:v>0.7</c:v>
                </c:pt>
                <c:pt idx="16">
                  <c:v>0.4</c:v>
                </c:pt>
                <c:pt idx="17">
                  <c:v>0.4</c:v>
                </c:pt>
                <c:pt idx="18">
                  <c:v>0.3</c:v>
                </c:pt>
                <c:pt idx="19">
                  <c:v>0.3</c:v>
                </c:pt>
                <c:pt idx="20">
                  <c:v>0.5</c:v>
                </c:pt>
                <c:pt idx="21">
                  <c:v>0.2</c:v>
                </c:pt>
              </c:numCache>
            </c:numRef>
          </c:val>
          <c:smooth val="0"/>
          <c:extLst>
            <c:ext xmlns:c16="http://schemas.microsoft.com/office/drawing/2014/chart" uri="{C3380CC4-5D6E-409C-BE32-E72D297353CC}">
              <c16:uniqueId val="{00000003-B5D1-43E7-B769-0AADBCE81AF0}"/>
            </c:ext>
          </c:extLst>
        </c:ser>
        <c:dLbls>
          <c:showLegendKey val="0"/>
          <c:showVal val="0"/>
          <c:showCatName val="0"/>
          <c:showSerName val="0"/>
          <c:showPercent val="0"/>
          <c:showBubbleSize val="0"/>
        </c:dLbls>
        <c:marker val="1"/>
        <c:smooth val="0"/>
        <c:axId val="115054080"/>
        <c:axId val="115056000"/>
      </c:lineChart>
      <c:catAx>
        <c:axId val="11505408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15056000"/>
        <c:crosses val="autoZero"/>
        <c:auto val="1"/>
        <c:lblAlgn val="ctr"/>
        <c:lblOffset val="100"/>
        <c:noMultiLvlLbl val="0"/>
      </c:catAx>
      <c:valAx>
        <c:axId val="115056000"/>
        <c:scaling>
          <c:orientation val="minMax"/>
          <c:max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054080"/>
        <c:crosses val="autoZero"/>
        <c:crossBetween val="between"/>
      </c:valAx>
      <c:spPr>
        <a:ln>
          <a:solidFill>
            <a:schemeClr val="tx1"/>
          </a:solidFill>
        </a:ln>
      </c:spPr>
    </c:plotArea>
    <c:legend>
      <c:legendPos val="b"/>
      <c:layout>
        <c:manualLayout>
          <c:xMode val="edge"/>
          <c:yMode val="edge"/>
          <c:x val="3.9667131036811888E-2"/>
          <c:y val="0.89437255125717996"/>
          <c:w val="0.93714918946301962"/>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568840579710145E-2"/>
          <c:y val="2.1811315924219865E-2"/>
          <c:w val="0.92237743255066085"/>
          <c:h val="0.73318107621299466"/>
        </c:manualLayout>
      </c:layout>
      <c:barChart>
        <c:barDir val="col"/>
        <c:grouping val="clustered"/>
        <c:varyColors val="0"/>
        <c:ser>
          <c:idx val="0"/>
          <c:order val="0"/>
          <c:tx>
            <c:strRef>
              <c:f>'Ceny 2'!$C$5</c:f>
              <c:strCache>
                <c:ptCount val="1"/>
                <c:pt idx="0">
                  <c:v>Total</c:v>
                </c:pt>
              </c:strCache>
            </c:strRef>
          </c:tx>
          <c:spPr>
            <a:solidFill>
              <a:schemeClr val="bg1">
                <a:lumMod val="65000"/>
              </a:schemeClr>
            </a:solidFill>
            <a:ln w="19050">
              <a:noFill/>
            </a:ln>
          </c:spPr>
          <c:invertIfNegative val="0"/>
          <c:cat>
            <c:multiLvlStrRef>
              <c:f>'Ceny 2'!$A$14:$B$35</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2014</c:v>
                  </c:pt>
                  <c:pt idx="4">
                    <c:v>2015</c:v>
                  </c:pt>
                  <c:pt idx="8">
                    <c:v>2016</c:v>
                  </c:pt>
                  <c:pt idx="12">
                    <c:v>2017</c:v>
                  </c:pt>
                  <c:pt idx="16">
                    <c:v>2018</c:v>
                  </c:pt>
                  <c:pt idx="20">
                    <c:v>2019</c:v>
                  </c:pt>
                </c:lvl>
              </c:multiLvlStrCache>
            </c:multiLvlStrRef>
          </c:cat>
          <c:val>
            <c:numRef>
              <c:f>'Ceny 2'!$C$14:$C$35</c:f>
              <c:numCache>
                <c:formatCode>0.0</c:formatCode>
                <c:ptCount val="22"/>
                <c:pt idx="0">
                  <c:v>0.20000000000000284</c:v>
                </c:pt>
                <c:pt idx="1">
                  <c:v>0.20000000000000284</c:v>
                </c:pt>
                <c:pt idx="2">
                  <c:v>0.59999999999999432</c:v>
                </c:pt>
                <c:pt idx="3">
                  <c:v>0.5</c:v>
                </c:pt>
                <c:pt idx="4">
                  <c:v>9.9999999999994316E-2</c:v>
                </c:pt>
                <c:pt idx="5">
                  <c:v>0.70000000000000284</c:v>
                </c:pt>
                <c:pt idx="6">
                  <c:v>0.40000000000000568</c:v>
                </c:pt>
                <c:pt idx="7">
                  <c:v>9.9999999999994316E-2</c:v>
                </c:pt>
                <c:pt idx="8">
                  <c:v>0.5</c:v>
                </c:pt>
                <c:pt idx="9">
                  <c:v>0.20000000000000284</c:v>
                </c:pt>
                <c:pt idx="10">
                  <c:v>0.5</c:v>
                </c:pt>
                <c:pt idx="11">
                  <c:v>1.4000000000000057</c:v>
                </c:pt>
                <c:pt idx="12" formatCode="General">
                  <c:v>2.4000000000000057</c:v>
                </c:pt>
                <c:pt idx="13" formatCode="General">
                  <c:v>2.2000000000000028</c:v>
                </c:pt>
                <c:pt idx="14">
                  <c:v>2.5</c:v>
                </c:pt>
                <c:pt idx="15">
                  <c:v>2.6</c:v>
                </c:pt>
                <c:pt idx="16">
                  <c:v>1.9</c:v>
                </c:pt>
                <c:pt idx="17">
                  <c:v>2.2999999999999998</c:v>
                </c:pt>
                <c:pt idx="18">
                  <c:v>2.4</c:v>
                </c:pt>
                <c:pt idx="19">
                  <c:v>2.1</c:v>
                </c:pt>
                <c:pt idx="20">
                  <c:v>2.7</c:v>
                </c:pt>
                <c:pt idx="21">
                  <c:v>2.8</c:v>
                </c:pt>
              </c:numCache>
            </c:numRef>
          </c:val>
          <c:extLst>
            <c:ext xmlns:c16="http://schemas.microsoft.com/office/drawing/2014/chart" uri="{C3380CC4-5D6E-409C-BE32-E72D297353CC}">
              <c16:uniqueId val="{00000000-32A5-4428-8895-A198A6F5BEBA}"/>
            </c:ext>
          </c:extLst>
        </c:ser>
        <c:dLbls>
          <c:showLegendKey val="0"/>
          <c:showVal val="0"/>
          <c:showCatName val="0"/>
          <c:showSerName val="0"/>
          <c:showPercent val="0"/>
          <c:showBubbleSize val="0"/>
        </c:dLbls>
        <c:gapWidth val="95"/>
        <c:axId val="130513536"/>
        <c:axId val="130531712"/>
      </c:barChart>
      <c:lineChart>
        <c:grouping val="standard"/>
        <c:varyColors val="0"/>
        <c:ser>
          <c:idx val="1"/>
          <c:order val="1"/>
          <c:tx>
            <c:strRef>
              <c:f>'Ceny 2'!$D$5</c:f>
              <c:strCache>
                <c:ptCount val="1"/>
                <c:pt idx="0">
                  <c:v>Food</c:v>
                </c:pt>
              </c:strCache>
            </c:strRef>
          </c:tx>
          <c:spPr>
            <a:ln w="19050">
              <a:solidFill>
                <a:srgbClr val="0071BC"/>
              </a:solidFill>
            </a:ln>
          </c:spPr>
          <c:marker>
            <c:symbol val="none"/>
          </c:marker>
          <c:cat>
            <c:multiLvlStrRef>
              <c:f>'Ceny 2'!$A$14:$B$35</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2014</c:v>
                  </c:pt>
                  <c:pt idx="4">
                    <c:v>2015</c:v>
                  </c:pt>
                  <c:pt idx="8">
                    <c:v>2016</c:v>
                  </c:pt>
                  <c:pt idx="12">
                    <c:v>2017</c:v>
                  </c:pt>
                  <c:pt idx="16">
                    <c:v>2018</c:v>
                  </c:pt>
                  <c:pt idx="20">
                    <c:v>2019</c:v>
                  </c:pt>
                </c:lvl>
              </c:multiLvlStrCache>
            </c:multiLvlStrRef>
          </c:cat>
          <c:val>
            <c:numRef>
              <c:f>'Ceny 2'!$D$14:$D$35</c:f>
              <c:numCache>
                <c:formatCode>0.0</c:formatCode>
                <c:ptCount val="22"/>
                <c:pt idx="0">
                  <c:v>3.9000000000000057</c:v>
                </c:pt>
                <c:pt idx="1">
                  <c:v>1.5</c:v>
                </c:pt>
                <c:pt idx="2">
                  <c:v>1.4000000000000057</c:v>
                </c:pt>
                <c:pt idx="3">
                  <c:v>1.2000000000000028</c:v>
                </c:pt>
                <c:pt idx="4">
                  <c:v>-1.5999999999999943</c:v>
                </c:pt>
                <c:pt idx="5">
                  <c:v>-9.9999999999994316E-2</c:v>
                </c:pt>
                <c:pt idx="6">
                  <c:v>-0.90000000000000568</c:v>
                </c:pt>
                <c:pt idx="7">
                  <c:v>-1.5999999999999943</c:v>
                </c:pt>
                <c:pt idx="8">
                  <c:v>-1.7000000000000028</c:v>
                </c:pt>
                <c:pt idx="9">
                  <c:v>-2.4000000000000057</c:v>
                </c:pt>
                <c:pt idx="10">
                  <c:v>-0.79999999999999716</c:v>
                </c:pt>
                <c:pt idx="11">
                  <c:v>1.2000000000000028</c:v>
                </c:pt>
                <c:pt idx="12" formatCode="General">
                  <c:v>4.2000000000000028</c:v>
                </c:pt>
                <c:pt idx="13" formatCode="General">
                  <c:v>4.5</c:v>
                </c:pt>
                <c:pt idx="14">
                  <c:v>5.7</c:v>
                </c:pt>
                <c:pt idx="15">
                  <c:v>6.3</c:v>
                </c:pt>
                <c:pt idx="16">
                  <c:v>2.9</c:v>
                </c:pt>
                <c:pt idx="17" formatCode="#\ ##0.0_ ;\-#\ ##0.0\ ">
                  <c:v>2.2999999999999998</c:v>
                </c:pt>
                <c:pt idx="18">
                  <c:v>0.6</c:v>
                </c:pt>
                <c:pt idx="19">
                  <c:v>-0.5</c:v>
                </c:pt>
                <c:pt idx="20">
                  <c:v>1</c:v>
                </c:pt>
                <c:pt idx="21">
                  <c:v>2.5</c:v>
                </c:pt>
              </c:numCache>
            </c:numRef>
          </c:val>
          <c:smooth val="0"/>
          <c:extLst>
            <c:ext xmlns:c16="http://schemas.microsoft.com/office/drawing/2014/chart" uri="{C3380CC4-5D6E-409C-BE32-E72D297353CC}">
              <c16:uniqueId val="{00000001-32A5-4428-8895-A198A6F5BEBA}"/>
            </c:ext>
          </c:extLst>
        </c:ser>
        <c:ser>
          <c:idx val="3"/>
          <c:order val="2"/>
          <c:tx>
            <c:strRef>
              <c:f>'Ceny 2'!$F$5</c:f>
              <c:strCache>
                <c:ptCount val="1"/>
                <c:pt idx="0">
                  <c:v>Housing and energy</c:v>
                </c:pt>
              </c:strCache>
            </c:strRef>
          </c:tx>
          <c:spPr>
            <a:ln w="19050">
              <a:solidFill>
                <a:srgbClr val="7DBB2D"/>
              </a:solidFill>
            </a:ln>
          </c:spPr>
          <c:marker>
            <c:symbol val="none"/>
          </c:marker>
          <c:cat>
            <c:multiLvlStrRef>
              <c:f>'Ceny 2'!$A$14:$B$35</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2014</c:v>
                  </c:pt>
                  <c:pt idx="4">
                    <c:v>2015</c:v>
                  </c:pt>
                  <c:pt idx="8">
                    <c:v>2016</c:v>
                  </c:pt>
                  <c:pt idx="12">
                    <c:v>2017</c:v>
                  </c:pt>
                  <c:pt idx="16">
                    <c:v>2018</c:v>
                  </c:pt>
                  <c:pt idx="20">
                    <c:v>2019</c:v>
                  </c:pt>
                </c:lvl>
              </c:multiLvlStrCache>
            </c:multiLvlStrRef>
          </c:cat>
          <c:val>
            <c:numRef>
              <c:f>'Ceny 2'!$F$14:$F$35</c:f>
              <c:numCache>
                <c:formatCode>0.0</c:formatCode>
                <c:ptCount val="22"/>
                <c:pt idx="0">
                  <c:v>-2.4000000000000057</c:v>
                </c:pt>
                <c:pt idx="1">
                  <c:v>-1.7000000000000028</c:v>
                </c:pt>
                <c:pt idx="2">
                  <c:v>-0.70000000000000284</c:v>
                </c:pt>
                <c:pt idx="3">
                  <c:v>-0.59999999999999432</c:v>
                </c:pt>
                <c:pt idx="4">
                  <c:v>1.0999999999999943</c:v>
                </c:pt>
                <c:pt idx="5">
                  <c:v>1.2000000000000028</c:v>
                </c:pt>
                <c:pt idx="6">
                  <c:v>0.79999999999999716</c:v>
                </c:pt>
                <c:pt idx="7">
                  <c:v>0.90000000000000568</c:v>
                </c:pt>
                <c:pt idx="8">
                  <c:v>0.90000000000000568</c:v>
                </c:pt>
                <c:pt idx="9">
                  <c:v>0.5</c:v>
                </c:pt>
                <c:pt idx="10">
                  <c:v>0.40000000000000568</c:v>
                </c:pt>
                <c:pt idx="11">
                  <c:v>0.59999999999999432</c:v>
                </c:pt>
                <c:pt idx="12" formatCode="General">
                  <c:v>0.79999999999999716</c:v>
                </c:pt>
                <c:pt idx="13" formatCode="General">
                  <c:v>1.5</c:v>
                </c:pt>
                <c:pt idx="14">
                  <c:v>2.1</c:v>
                </c:pt>
                <c:pt idx="15">
                  <c:v>2.2000000000000002</c:v>
                </c:pt>
                <c:pt idx="16">
                  <c:v>2.2999999999999998</c:v>
                </c:pt>
                <c:pt idx="17">
                  <c:v>2.6</c:v>
                </c:pt>
                <c:pt idx="18">
                  <c:v>3.2</c:v>
                </c:pt>
                <c:pt idx="19">
                  <c:v>3.8</c:v>
                </c:pt>
                <c:pt idx="20">
                  <c:v>5.4</c:v>
                </c:pt>
                <c:pt idx="21">
                  <c:v>5.7</c:v>
                </c:pt>
              </c:numCache>
            </c:numRef>
          </c:val>
          <c:smooth val="0"/>
          <c:extLst>
            <c:ext xmlns:c16="http://schemas.microsoft.com/office/drawing/2014/chart" uri="{C3380CC4-5D6E-409C-BE32-E72D297353CC}">
              <c16:uniqueId val="{00000002-32A5-4428-8895-A198A6F5BEBA}"/>
            </c:ext>
          </c:extLst>
        </c:ser>
        <c:ser>
          <c:idx val="4"/>
          <c:order val="3"/>
          <c:tx>
            <c:strRef>
              <c:f>'Ceny 2'!$G$5</c:f>
              <c:strCache>
                <c:ptCount val="1"/>
                <c:pt idx="0">
                  <c:v>Transportation</c:v>
                </c:pt>
              </c:strCache>
            </c:strRef>
          </c:tx>
          <c:spPr>
            <a:ln w="19050">
              <a:solidFill>
                <a:srgbClr val="FFC000"/>
              </a:solidFill>
            </a:ln>
          </c:spPr>
          <c:marker>
            <c:symbol val="none"/>
          </c:marker>
          <c:cat>
            <c:multiLvlStrRef>
              <c:f>'Ceny 2'!$A$14:$B$35</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2014</c:v>
                  </c:pt>
                  <c:pt idx="4">
                    <c:v>2015</c:v>
                  </c:pt>
                  <c:pt idx="8">
                    <c:v>2016</c:v>
                  </c:pt>
                  <c:pt idx="12">
                    <c:v>2017</c:v>
                  </c:pt>
                  <c:pt idx="16">
                    <c:v>2018</c:v>
                  </c:pt>
                  <c:pt idx="20">
                    <c:v>2019</c:v>
                  </c:pt>
                </c:lvl>
              </c:multiLvlStrCache>
            </c:multiLvlStrRef>
          </c:cat>
          <c:val>
            <c:numRef>
              <c:f>'Ceny 2'!$G$14:$G$35</c:f>
              <c:numCache>
                <c:formatCode>General</c:formatCode>
                <c:ptCount val="22"/>
                <c:pt idx="0">
                  <c:v>9.9999999999994316E-2</c:v>
                </c:pt>
                <c:pt idx="1">
                  <c:v>0.29999999999999716</c:v>
                </c:pt>
                <c:pt idx="2">
                  <c:v>0.5</c:v>
                </c:pt>
                <c:pt idx="3">
                  <c:v>0</c:v>
                </c:pt>
                <c:pt idx="4">
                  <c:v>-4.9000000000000057</c:v>
                </c:pt>
                <c:pt idx="5">
                  <c:v>-3.2999999999999972</c:v>
                </c:pt>
                <c:pt idx="6">
                  <c:v>-3.7999999999999972</c:v>
                </c:pt>
                <c:pt idx="7">
                  <c:v>-4.7000000000000028</c:v>
                </c:pt>
                <c:pt idx="8">
                  <c:v>-2.7000000000000028</c:v>
                </c:pt>
                <c:pt idx="9">
                  <c:v>-2.9000000000000057</c:v>
                </c:pt>
                <c:pt idx="10">
                  <c:v>-2.2999999999999972</c:v>
                </c:pt>
                <c:pt idx="11">
                  <c:v>1.0999999999999943</c:v>
                </c:pt>
                <c:pt idx="12">
                  <c:v>6</c:v>
                </c:pt>
                <c:pt idx="13">
                  <c:v>3.9000000000000057</c:v>
                </c:pt>
                <c:pt idx="14" formatCode="0.0">
                  <c:v>2.5</c:v>
                </c:pt>
                <c:pt idx="15" formatCode="0.0">
                  <c:v>2.5</c:v>
                </c:pt>
                <c:pt idx="16" formatCode="0.0">
                  <c:v>1</c:v>
                </c:pt>
                <c:pt idx="17" formatCode="0.0">
                  <c:v>3</c:v>
                </c:pt>
                <c:pt idx="18" formatCode="0.0">
                  <c:v>4.5</c:v>
                </c:pt>
                <c:pt idx="19" formatCode="0.0">
                  <c:v>2.6</c:v>
                </c:pt>
                <c:pt idx="20" formatCode="0.0">
                  <c:v>0.6</c:v>
                </c:pt>
                <c:pt idx="21" formatCode="0.0">
                  <c:v>0.8</c:v>
                </c:pt>
              </c:numCache>
            </c:numRef>
          </c:val>
          <c:smooth val="0"/>
          <c:extLst>
            <c:ext xmlns:c16="http://schemas.microsoft.com/office/drawing/2014/chart" uri="{C3380CC4-5D6E-409C-BE32-E72D297353CC}">
              <c16:uniqueId val="{00000003-32A5-4428-8895-A198A6F5BEBA}"/>
            </c:ext>
          </c:extLst>
        </c:ser>
        <c:ser>
          <c:idx val="5"/>
          <c:order val="5"/>
          <c:tx>
            <c:strRef>
              <c:f>'Ceny 2'!$E$5</c:f>
              <c:strCache>
                <c:ptCount val="1"/>
                <c:pt idx="0">
                  <c:v>Alcoholic beverages and tobacco</c:v>
                </c:pt>
              </c:strCache>
            </c:strRef>
          </c:tx>
          <c:spPr>
            <a:ln w="22225">
              <a:solidFill>
                <a:schemeClr val="accent2"/>
              </a:solidFill>
            </a:ln>
          </c:spPr>
          <c:marker>
            <c:symbol val="none"/>
          </c:marker>
          <c:val>
            <c:numRef>
              <c:f>'Ceny 2'!$E$14:$E$35</c:f>
              <c:numCache>
                <c:formatCode>0.0</c:formatCode>
                <c:ptCount val="22"/>
                <c:pt idx="0">
                  <c:v>4.0999999999999943</c:v>
                </c:pt>
                <c:pt idx="1">
                  <c:v>2.9000000000000057</c:v>
                </c:pt>
                <c:pt idx="2">
                  <c:v>2.7000000000000028</c:v>
                </c:pt>
                <c:pt idx="3">
                  <c:v>1.4000000000000057</c:v>
                </c:pt>
                <c:pt idx="4">
                  <c:v>3.4000000000000057</c:v>
                </c:pt>
                <c:pt idx="5">
                  <c:v>5.4000000000000057</c:v>
                </c:pt>
                <c:pt idx="6">
                  <c:v>5.2000000000000028</c:v>
                </c:pt>
                <c:pt idx="7">
                  <c:v>4.7000000000000028</c:v>
                </c:pt>
                <c:pt idx="8">
                  <c:v>3.5</c:v>
                </c:pt>
                <c:pt idx="9">
                  <c:v>4.4000000000000057</c:v>
                </c:pt>
                <c:pt idx="10">
                  <c:v>4.5</c:v>
                </c:pt>
                <c:pt idx="11">
                  <c:v>5.2000000000000028</c:v>
                </c:pt>
                <c:pt idx="12" formatCode="General">
                  <c:v>3.4000000000000057</c:v>
                </c:pt>
                <c:pt idx="13" formatCode="General">
                  <c:v>0.79999999999999716</c:v>
                </c:pt>
                <c:pt idx="14">
                  <c:v>1.3</c:v>
                </c:pt>
                <c:pt idx="15">
                  <c:v>1.5</c:v>
                </c:pt>
                <c:pt idx="16">
                  <c:v>2.5</c:v>
                </c:pt>
                <c:pt idx="17">
                  <c:v>3.6</c:v>
                </c:pt>
                <c:pt idx="18">
                  <c:v>2.8</c:v>
                </c:pt>
                <c:pt idx="19">
                  <c:v>3.1</c:v>
                </c:pt>
                <c:pt idx="20">
                  <c:v>3.3</c:v>
                </c:pt>
                <c:pt idx="21">
                  <c:v>1.7</c:v>
                </c:pt>
              </c:numCache>
            </c:numRef>
          </c:val>
          <c:smooth val="0"/>
          <c:extLst>
            <c:ext xmlns:c16="http://schemas.microsoft.com/office/drawing/2014/chart" uri="{C3380CC4-5D6E-409C-BE32-E72D297353CC}">
              <c16:uniqueId val="{00000004-32A5-4428-8895-A198A6F5BEBA}"/>
            </c:ext>
          </c:extLst>
        </c:ser>
        <c:dLbls>
          <c:showLegendKey val="0"/>
          <c:showVal val="0"/>
          <c:showCatName val="0"/>
          <c:showSerName val="0"/>
          <c:showPercent val="0"/>
          <c:showBubbleSize val="0"/>
        </c:dLbls>
        <c:marker val="1"/>
        <c:smooth val="0"/>
        <c:axId val="130513536"/>
        <c:axId val="130531712"/>
        <c:extLst>
          <c:ext xmlns:c15="http://schemas.microsoft.com/office/drawing/2012/chart" uri="{02D57815-91ED-43cb-92C2-25804820EDAC}">
            <c15:filteredLineSeries>
              <c15:ser>
                <c:idx val="2"/>
                <c:order val="4"/>
                <c:tx>
                  <c:strRef>
                    <c:extLst>
                      <c:ext uri="{02D57815-91ED-43cb-92C2-25804820EDAC}">
                        <c15:formulaRef>
                          <c15:sqref>'Ceny 2'!$H$5</c15:sqref>
                        </c15:formulaRef>
                      </c:ext>
                    </c:extLst>
                    <c:strCache>
                      <c:ptCount val="1"/>
                      <c:pt idx="0">
                        <c:v>Restaurants and hotels</c:v>
                      </c:pt>
                    </c:strCache>
                  </c:strRef>
                </c:tx>
                <c:spPr>
                  <a:ln w="19050">
                    <a:solidFill>
                      <a:schemeClr val="accent2"/>
                    </a:solidFill>
                  </a:ln>
                </c:spPr>
                <c:marker>
                  <c:symbol val="none"/>
                </c:marker>
                <c:cat>
                  <c:multiLvlStrRef>
                    <c:extLst>
                      <c:ext uri="{02D57815-91ED-43cb-92C2-25804820EDAC}">
                        <c15:formulaRef>
                          <c15:sqref>'Ceny 2'!$A$14:$B$35</c15:sqref>
                        </c15:formulaRef>
                      </c:ext>
                    </c:extLst>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2014</c:v>
                        </c:pt>
                        <c:pt idx="4">
                          <c:v>2015</c:v>
                        </c:pt>
                        <c:pt idx="8">
                          <c:v>2016</c:v>
                        </c:pt>
                        <c:pt idx="12">
                          <c:v>2017</c:v>
                        </c:pt>
                        <c:pt idx="16">
                          <c:v>2018</c:v>
                        </c:pt>
                        <c:pt idx="20">
                          <c:v>2019</c:v>
                        </c:pt>
                      </c:lvl>
                    </c:multiLvlStrCache>
                  </c:multiLvlStrRef>
                </c:cat>
                <c:val>
                  <c:numRef>
                    <c:extLst>
                      <c:ext uri="{02D57815-91ED-43cb-92C2-25804820EDAC}">
                        <c15:formulaRef>
                          <c15:sqref>'Ceny 2'!$H$14:$H$35</c15:sqref>
                        </c15:formulaRef>
                      </c:ext>
                    </c:extLst>
                    <c:numCache>
                      <c:formatCode>###\ ###\ ##0.0</c:formatCode>
                      <c:ptCount val="22"/>
                      <c:pt idx="0">
                        <c:v>1.5999999999999943</c:v>
                      </c:pt>
                      <c:pt idx="1">
                        <c:v>1.7000000000000028</c:v>
                      </c:pt>
                      <c:pt idx="2">
                        <c:v>1.7000000000000028</c:v>
                      </c:pt>
                      <c:pt idx="3">
                        <c:v>1.7000000000000028</c:v>
                      </c:pt>
                      <c:pt idx="4">
                        <c:v>1.7000000000000028</c:v>
                      </c:pt>
                      <c:pt idx="5">
                        <c:v>1.5999999999999943</c:v>
                      </c:pt>
                      <c:pt idx="6">
                        <c:v>1.4000000000000057</c:v>
                      </c:pt>
                      <c:pt idx="7">
                        <c:v>1.2999999999999972</c:v>
                      </c:pt>
                      <c:pt idx="8">
                        <c:v>1.2000000000000028</c:v>
                      </c:pt>
                      <c:pt idx="9">
                        <c:v>1.0999999999999943</c:v>
                      </c:pt>
                      <c:pt idx="10">
                        <c:v>1.2000000000000028</c:v>
                      </c:pt>
                      <c:pt idx="11">
                        <c:v>2.7000000000000028</c:v>
                      </c:pt>
                      <c:pt idx="12">
                        <c:v>5.2000000000000028</c:v>
                      </c:pt>
                      <c:pt idx="13">
                        <c:v>5.7999999999999972</c:v>
                      </c:pt>
                      <c:pt idx="14">
                        <c:v>6.2999999999999972</c:v>
                      </c:pt>
                      <c:pt idx="15" formatCode="0.0">
                        <c:v>5.6</c:v>
                      </c:pt>
                      <c:pt idx="16" formatCode="0.0">
                        <c:v>3.5</c:v>
                      </c:pt>
                      <c:pt idx="17" formatCode="0.0">
                        <c:v>3.6</c:v>
                      </c:pt>
                      <c:pt idx="18" formatCode="0.0">
                        <c:v>3.5</c:v>
                      </c:pt>
                      <c:pt idx="19" formatCode="0.0">
                        <c:v>3.7</c:v>
                      </c:pt>
                      <c:pt idx="20" formatCode="0.0">
                        <c:v>3.8</c:v>
                      </c:pt>
                      <c:pt idx="21" formatCode="0.0">
                        <c:v>4</c:v>
                      </c:pt>
                    </c:numCache>
                  </c:numRef>
                </c:val>
                <c:smooth val="0"/>
                <c:extLst>
                  <c:ext xmlns:c16="http://schemas.microsoft.com/office/drawing/2014/chart" uri="{C3380CC4-5D6E-409C-BE32-E72D297353CC}">
                    <c16:uniqueId val="{00000005-32A5-4428-8895-A198A6F5BEBA}"/>
                  </c:ext>
                </c:extLst>
              </c15:ser>
            </c15:filteredLineSeries>
          </c:ext>
        </c:extLst>
      </c:lineChart>
      <c:catAx>
        <c:axId val="13051353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30531712"/>
        <c:crosses val="autoZero"/>
        <c:auto val="1"/>
        <c:lblAlgn val="ctr"/>
        <c:lblOffset val="100"/>
        <c:noMultiLvlLbl val="0"/>
      </c:catAx>
      <c:valAx>
        <c:axId val="130531712"/>
        <c:scaling>
          <c:orientation val="minMax"/>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0513536"/>
        <c:crosses val="autoZero"/>
        <c:crossBetween val="between"/>
        <c:majorUnit val="1"/>
      </c:valAx>
      <c:spPr>
        <a:ln>
          <a:solidFill>
            <a:schemeClr val="tx1"/>
          </a:solidFill>
        </a:ln>
      </c:spPr>
    </c:plotArea>
    <c:legend>
      <c:legendPos val="b"/>
      <c:layout>
        <c:manualLayout>
          <c:xMode val="edge"/>
          <c:yMode val="edge"/>
          <c:x val="5.6562816616008108E-2"/>
          <c:y val="0.87970674321738151"/>
          <c:w val="0.92175447483958117"/>
          <c:h val="0.1095705279747833"/>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258203189717562E-2"/>
          <c:y val="2.9569886214146503E-2"/>
          <c:w val="0.92637856314472322"/>
          <c:h val="0.73556653157716956"/>
        </c:manualLayout>
      </c:layout>
      <c:barChart>
        <c:barDir val="col"/>
        <c:grouping val="clustered"/>
        <c:varyColors val="0"/>
        <c:ser>
          <c:idx val="0"/>
          <c:order val="0"/>
          <c:tx>
            <c:strRef>
              <c:f>'Ceny 1'!$C$5</c:f>
              <c:strCache>
                <c:ptCount val="1"/>
                <c:pt idx="0">
                  <c:v>Realised prices of older flats, the CR</c:v>
                </c:pt>
              </c:strCache>
            </c:strRef>
          </c:tx>
          <c:spPr>
            <a:solidFill>
              <a:schemeClr val="bg1">
                <a:lumMod val="65000"/>
              </a:schemeClr>
            </a:solidFill>
            <a:ln w="19050">
              <a:noFill/>
            </a:ln>
          </c:spPr>
          <c:invertIfNegative val="0"/>
          <c:cat>
            <c:multiLvlStrRef>
              <c:f>'Ceny 1'!$A$14:$B$35</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2014</c:v>
                  </c:pt>
                  <c:pt idx="4">
                    <c:v>2015</c:v>
                  </c:pt>
                  <c:pt idx="8">
                    <c:v>2016</c:v>
                  </c:pt>
                  <c:pt idx="12">
                    <c:v>2017</c:v>
                  </c:pt>
                  <c:pt idx="16">
                    <c:v>2018</c:v>
                  </c:pt>
                  <c:pt idx="20">
                    <c:v>2019</c:v>
                  </c:pt>
                </c:lvl>
              </c:multiLvlStrCache>
            </c:multiLvlStrRef>
          </c:cat>
          <c:val>
            <c:numRef>
              <c:f>'Ceny 1'!$C$14:$C$35</c:f>
              <c:numCache>
                <c:formatCode>General</c:formatCode>
                <c:ptCount val="22"/>
                <c:pt idx="0">
                  <c:v>1.2000000000000028</c:v>
                </c:pt>
                <c:pt idx="1">
                  <c:v>2.5</c:v>
                </c:pt>
                <c:pt idx="2">
                  <c:v>4.5</c:v>
                </c:pt>
                <c:pt idx="3">
                  <c:v>5.7000000000000028</c:v>
                </c:pt>
                <c:pt idx="4">
                  <c:v>4.2999999999999972</c:v>
                </c:pt>
                <c:pt idx="5">
                  <c:v>4.9000000000000057</c:v>
                </c:pt>
                <c:pt idx="6">
                  <c:v>6</c:v>
                </c:pt>
                <c:pt idx="7">
                  <c:v>6.7999999999999972</c:v>
                </c:pt>
                <c:pt idx="8">
                  <c:v>8.9000000000000057</c:v>
                </c:pt>
                <c:pt idx="9">
                  <c:v>10.299999999999997</c:v>
                </c:pt>
                <c:pt idx="10">
                  <c:v>12.299999999999997</c:v>
                </c:pt>
                <c:pt idx="11">
                  <c:v>14.599999999999994</c:v>
                </c:pt>
                <c:pt idx="12">
                  <c:v>17.200000000000003</c:v>
                </c:pt>
                <c:pt idx="13">
                  <c:v>18.700000000000003</c:v>
                </c:pt>
                <c:pt idx="14">
                  <c:v>15.799999999999997</c:v>
                </c:pt>
                <c:pt idx="15">
                  <c:v>12</c:v>
                </c:pt>
                <c:pt idx="16">
                  <c:v>9.2000000000000028</c:v>
                </c:pt>
                <c:pt idx="17">
                  <c:v>8</c:v>
                </c:pt>
                <c:pt idx="18">
                  <c:v>9.4000000000000057</c:v>
                </c:pt>
                <c:pt idx="19">
                  <c:v>11.400000000000006</c:v>
                </c:pt>
                <c:pt idx="20">
                  <c:v>11.299999999999997</c:v>
                </c:pt>
                <c:pt idx="21">
                  <c:v>10.299999999999997</c:v>
                </c:pt>
              </c:numCache>
            </c:numRef>
          </c:val>
          <c:extLst>
            <c:ext xmlns:c16="http://schemas.microsoft.com/office/drawing/2014/chart" uri="{C3380CC4-5D6E-409C-BE32-E72D297353CC}">
              <c16:uniqueId val="{00000000-C5FA-4403-8A55-45C597D8FEC3}"/>
            </c:ext>
          </c:extLst>
        </c:ser>
        <c:ser>
          <c:idx val="1"/>
          <c:order val="1"/>
          <c:tx>
            <c:strRef>
              <c:f>'Ceny 1'!$D$5</c:f>
              <c:strCache>
                <c:ptCount val="1"/>
                <c:pt idx="0">
                  <c:v>Realised prices of older flats, Prague</c:v>
                </c:pt>
              </c:strCache>
            </c:strRef>
          </c:tx>
          <c:spPr>
            <a:solidFill>
              <a:prstClr val="black">
                <a:lumMod val="50000"/>
                <a:lumOff val="50000"/>
              </a:prstClr>
            </a:solidFill>
            <a:ln w="19050">
              <a:noFill/>
            </a:ln>
          </c:spPr>
          <c:invertIfNegative val="0"/>
          <c:cat>
            <c:multiLvlStrRef>
              <c:f>'Ceny 1'!$A$14:$B$35</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2014</c:v>
                  </c:pt>
                  <c:pt idx="4">
                    <c:v>2015</c:v>
                  </c:pt>
                  <c:pt idx="8">
                    <c:v>2016</c:v>
                  </c:pt>
                  <c:pt idx="12">
                    <c:v>2017</c:v>
                  </c:pt>
                  <c:pt idx="16">
                    <c:v>2018</c:v>
                  </c:pt>
                  <c:pt idx="20">
                    <c:v>2019</c:v>
                  </c:pt>
                </c:lvl>
              </c:multiLvlStrCache>
            </c:multiLvlStrRef>
          </c:cat>
          <c:val>
            <c:numRef>
              <c:f>'Ceny 1'!$D$14:$D$35</c:f>
              <c:numCache>
                <c:formatCode>General</c:formatCode>
                <c:ptCount val="22"/>
                <c:pt idx="0">
                  <c:v>2</c:v>
                </c:pt>
                <c:pt idx="1">
                  <c:v>2.0999999999999943</c:v>
                </c:pt>
                <c:pt idx="2">
                  <c:v>3.2000000000000028</c:v>
                </c:pt>
                <c:pt idx="3">
                  <c:v>5.2000000000000028</c:v>
                </c:pt>
                <c:pt idx="4">
                  <c:v>5</c:v>
                </c:pt>
                <c:pt idx="5">
                  <c:v>5.9000000000000057</c:v>
                </c:pt>
                <c:pt idx="6">
                  <c:v>5.5999999999999943</c:v>
                </c:pt>
                <c:pt idx="7">
                  <c:v>4.5999999999999943</c:v>
                </c:pt>
                <c:pt idx="8">
                  <c:v>5.7999999999999972</c:v>
                </c:pt>
                <c:pt idx="9">
                  <c:v>7.5</c:v>
                </c:pt>
                <c:pt idx="10">
                  <c:v>9.4000000000000057</c:v>
                </c:pt>
                <c:pt idx="11">
                  <c:v>13.900000000000006</c:v>
                </c:pt>
                <c:pt idx="12">
                  <c:v>16.200000000000003</c:v>
                </c:pt>
                <c:pt idx="13">
                  <c:v>19</c:v>
                </c:pt>
                <c:pt idx="14">
                  <c:v>16.400000000000006</c:v>
                </c:pt>
                <c:pt idx="15">
                  <c:v>11.099999999999994</c:v>
                </c:pt>
                <c:pt idx="16">
                  <c:v>8.2999999999999972</c:v>
                </c:pt>
                <c:pt idx="17">
                  <c:v>4</c:v>
                </c:pt>
                <c:pt idx="18">
                  <c:v>6</c:v>
                </c:pt>
                <c:pt idx="19">
                  <c:v>8.7000000000000028</c:v>
                </c:pt>
                <c:pt idx="20">
                  <c:v>9.4000000000000057</c:v>
                </c:pt>
                <c:pt idx="21">
                  <c:v>8.2000000000000028</c:v>
                </c:pt>
              </c:numCache>
            </c:numRef>
          </c:val>
          <c:extLst>
            <c:ext xmlns:c16="http://schemas.microsoft.com/office/drawing/2014/chart" uri="{C3380CC4-5D6E-409C-BE32-E72D297353CC}">
              <c16:uniqueId val="{00000001-C5FA-4403-8A55-45C597D8FEC3}"/>
            </c:ext>
          </c:extLst>
        </c:ser>
        <c:dLbls>
          <c:showLegendKey val="0"/>
          <c:showVal val="0"/>
          <c:showCatName val="0"/>
          <c:showSerName val="0"/>
          <c:showPercent val="0"/>
          <c:showBubbleSize val="0"/>
        </c:dLbls>
        <c:gapWidth val="95"/>
        <c:axId val="130418560"/>
        <c:axId val="130420096"/>
      </c:barChart>
      <c:lineChart>
        <c:grouping val="standard"/>
        <c:varyColors val="0"/>
        <c:ser>
          <c:idx val="2"/>
          <c:order val="2"/>
          <c:tx>
            <c:strRef>
              <c:f>'Ceny 1'!$E$5</c:f>
              <c:strCache>
                <c:ptCount val="1"/>
                <c:pt idx="0">
                  <c:v>Catalogue prices of flats, the CR</c:v>
                </c:pt>
              </c:strCache>
            </c:strRef>
          </c:tx>
          <c:spPr>
            <a:ln w="19050">
              <a:solidFill>
                <a:schemeClr val="accent2"/>
              </a:solidFill>
            </a:ln>
          </c:spPr>
          <c:marker>
            <c:symbol val="none"/>
          </c:marker>
          <c:cat>
            <c:multiLvlStrRef>
              <c:f>'Ceny 1'!$A$14:$B$35</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2014</c:v>
                  </c:pt>
                  <c:pt idx="4">
                    <c:v>2015</c:v>
                  </c:pt>
                  <c:pt idx="8">
                    <c:v>2016</c:v>
                  </c:pt>
                  <c:pt idx="12">
                    <c:v>2017</c:v>
                  </c:pt>
                  <c:pt idx="16">
                    <c:v>2018</c:v>
                  </c:pt>
                  <c:pt idx="20">
                    <c:v>2019</c:v>
                  </c:pt>
                </c:lvl>
              </c:multiLvlStrCache>
            </c:multiLvlStrRef>
          </c:cat>
          <c:val>
            <c:numRef>
              <c:f>'Ceny 1'!$E$14:$E$35</c:f>
              <c:numCache>
                <c:formatCode>0.0</c:formatCode>
                <c:ptCount val="22"/>
                <c:pt idx="0">
                  <c:v>3.0082987551867131</c:v>
                </c:pt>
                <c:pt idx="1">
                  <c:v>4.1407867494824018</c:v>
                </c:pt>
                <c:pt idx="2">
                  <c:v>4.6201232032854209</c:v>
                </c:pt>
                <c:pt idx="3">
                  <c:v>2.7411167512690384</c:v>
                </c:pt>
                <c:pt idx="4">
                  <c:v>3.6253776435045406</c:v>
                </c:pt>
                <c:pt idx="5">
                  <c:v>4.9701789264413518</c:v>
                </c:pt>
                <c:pt idx="6">
                  <c:v>6.0843964671246207</c:v>
                </c:pt>
                <c:pt idx="7">
                  <c:v>9.5849802371541539</c:v>
                </c:pt>
                <c:pt idx="8">
                  <c:v>10.204081632653059</c:v>
                </c:pt>
                <c:pt idx="9">
                  <c:v>10.321969696969703</c:v>
                </c:pt>
                <c:pt idx="10">
                  <c:v>9.8982423681776162</c:v>
                </c:pt>
                <c:pt idx="11">
                  <c:v>9.9188458070333638</c:v>
                </c:pt>
                <c:pt idx="12">
                  <c:v>9.5238095238095202</c:v>
                </c:pt>
                <c:pt idx="13" formatCode="General">
                  <c:v>9.5278969957081507</c:v>
                </c:pt>
                <c:pt idx="14" formatCode="General">
                  <c:v>12.542087542087534</c:v>
                </c:pt>
                <c:pt idx="15" formatCode="General">
                  <c:v>12.469237079573411</c:v>
                </c:pt>
                <c:pt idx="16" formatCode="General">
                  <c:v>12.801932367149751</c:v>
                </c:pt>
                <c:pt idx="17" formatCode="General">
                  <c:v>12.2257053291536</c:v>
                </c:pt>
                <c:pt idx="18" formatCode="General">
                  <c:v>9.4988780852655328</c:v>
                </c:pt>
                <c:pt idx="19" formatCode="General">
                  <c:v>8.4609773887673203</c:v>
                </c:pt>
                <c:pt idx="20" formatCode="General">
                  <c:v>7.4232690935046435</c:v>
                </c:pt>
                <c:pt idx="21" formatCode="General">
                  <c:v>5.7262569832402361</c:v>
                </c:pt>
              </c:numCache>
            </c:numRef>
          </c:val>
          <c:smooth val="0"/>
          <c:extLst>
            <c:ext xmlns:c16="http://schemas.microsoft.com/office/drawing/2014/chart" uri="{C3380CC4-5D6E-409C-BE32-E72D297353CC}">
              <c16:uniqueId val="{00000002-C5FA-4403-8A55-45C597D8FEC3}"/>
            </c:ext>
          </c:extLst>
        </c:ser>
        <c:ser>
          <c:idx val="3"/>
          <c:order val="3"/>
          <c:tx>
            <c:strRef>
              <c:f>'Ceny 1'!$F$5</c:f>
              <c:strCache>
                <c:ptCount val="1"/>
                <c:pt idx="0">
                  <c:v>Catalogue prices of flats, Prague</c:v>
                </c:pt>
              </c:strCache>
            </c:strRef>
          </c:tx>
          <c:spPr>
            <a:ln>
              <a:solidFill>
                <a:schemeClr val="accent1"/>
              </a:solidFill>
            </a:ln>
          </c:spPr>
          <c:marker>
            <c:symbol val="none"/>
          </c:marker>
          <c:cat>
            <c:multiLvlStrRef>
              <c:f>'Ceny 1'!$A$14:$B$35</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2014</c:v>
                  </c:pt>
                  <c:pt idx="4">
                    <c:v>2015</c:v>
                  </c:pt>
                  <c:pt idx="8">
                    <c:v>2016</c:v>
                  </c:pt>
                  <c:pt idx="12">
                    <c:v>2017</c:v>
                  </c:pt>
                  <c:pt idx="16">
                    <c:v>2018</c:v>
                  </c:pt>
                  <c:pt idx="20">
                    <c:v>2019</c:v>
                  </c:pt>
                </c:lvl>
              </c:multiLvlStrCache>
            </c:multiLvlStrRef>
          </c:cat>
          <c:val>
            <c:numRef>
              <c:f>'Ceny 1'!$F$14:$F$35</c:f>
              <c:numCache>
                <c:formatCode>0.0</c:formatCode>
                <c:ptCount val="22"/>
                <c:pt idx="0">
                  <c:v>3.8310412573673931</c:v>
                </c:pt>
                <c:pt idx="1">
                  <c:v>5.2785923753665749</c:v>
                </c:pt>
                <c:pt idx="2">
                  <c:v>6.6731141199226212</c:v>
                </c:pt>
                <c:pt idx="3">
                  <c:v>5.1428571428571486</c:v>
                </c:pt>
                <c:pt idx="4">
                  <c:v>5.7710501419110631</c:v>
                </c:pt>
                <c:pt idx="5">
                  <c:v>6.4995357474466111</c:v>
                </c:pt>
                <c:pt idx="6">
                  <c:v>6.7089755213055353</c:v>
                </c:pt>
                <c:pt idx="7">
                  <c:v>8.7862318840579601</c:v>
                </c:pt>
                <c:pt idx="8">
                  <c:v>10.196779964221831</c:v>
                </c:pt>
                <c:pt idx="9">
                  <c:v>10.549258936355706</c:v>
                </c:pt>
                <c:pt idx="10">
                  <c:v>9.7706032285471416</c:v>
                </c:pt>
                <c:pt idx="11">
                  <c:v>11.323896752706073</c:v>
                </c:pt>
                <c:pt idx="12">
                  <c:v>13.636363636363633</c:v>
                </c:pt>
                <c:pt idx="13" formatCode="General">
                  <c:v>14.589905362776037</c:v>
                </c:pt>
                <c:pt idx="14" formatCode="General">
                  <c:v>18.266253869969059</c:v>
                </c:pt>
                <c:pt idx="15" formatCode="General">
                  <c:v>18.773373223635023</c:v>
                </c:pt>
                <c:pt idx="16" formatCode="General">
                  <c:v>15.071428571428566</c:v>
                </c:pt>
                <c:pt idx="17" formatCode="General">
                  <c:v>14.246386785960075</c:v>
                </c:pt>
                <c:pt idx="18" formatCode="General">
                  <c:v>10.732984293193702</c:v>
                </c:pt>
                <c:pt idx="19" formatCode="General">
                  <c:v>8.7531486146095574</c:v>
                </c:pt>
                <c:pt idx="20" formatCode="General">
                  <c:v>8.3178150217256395</c:v>
                </c:pt>
                <c:pt idx="21" formatCode="General">
                  <c:v>4.9397590361445713</c:v>
                </c:pt>
              </c:numCache>
            </c:numRef>
          </c:val>
          <c:smooth val="0"/>
          <c:extLst>
            <c:ext xmlns:c16="http://schemas.microsoft.com/office/drawing/2014/chart" uri="{C3380CC4-5D6E-409C-BE32-E72D297353CC}">
              <c16:uniqueId val="{00000003-C5FA-4403-8A55-45C597D8FEC3}"/>
            </c:ext>
          </c:extLst>
        </c:ser>
        <c:dLbls>
          <c:showLegendKey val="0"/>
          <c:showVal val="0"/>
          <c:showCatName val="0"/>
          <c:showSerName val="0"/>
          <c:showPercent val="0"/>
          <c:showBubbleSize val="0"/>
        </c:dLbls>
        <c:marker val="1"/>
        <c:smooth val="0"/>
        <c:axId val="130418560"/>
        <c:axId val="130420096"/>
      </c:lineChart>
      <c:catAx>
        <c:axId val="13041856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30420096"/>
        <c:crosses val="autoZero"/>
        <c:auto val="1"/>
        <c:lblAlgn val="ctr"/>
        <c:lblOffset val="100"/>
        <c:noMultiLvlLbl val="0"/>
      </c:catAx>
      <c:valAx>
        <c:axId val="130420096"/>
        <c:scaling>
          <c:orientation val="minMax"/>
          <c:min val="-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0418560"/>
        <c:crosses val="autoZero"/>
        <c:crossBetween val="between"/>
        <c:majorUnit val="2"/>
      </c:valAx>
      <c:spPr>
        <a:ln>
          <a:solidFill>
            <a:schemeClr val="tx1"/>
          </a:solidFill>
        </a:ln>
      </c:spPr>
    </c:plotArea>
    <c:legend>
      <c:legendPos val="b"/>
      <c:layout>
        <c:manualLayout>
          <c:xMode val="edge"/>
          <c:yMode val="edge"/>
          <c:x val="4.6528021206651497E-2"/>
          <c:y val="0.88817854328492629"/>
          <c:w val="0.9267997314289258"/>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707738197712412E-2"/>
          <c:y val="2.1811315924219993E-2"/>
          <c:w val="0.89142432050272657"/>
          <c:h val="0.69518453624932275"/>
        </c:manualLayout>
      </c:layout>
      <c:barChart>
        <c:barDir val="col"/>
        <c:grouping val="clustered"/>
        <c:varyColors val="0"/>
        <c:ser>
          <c:idx val="0"/>
          <c:order val="0"/>
          <c:tx>
            <c:strRef>
              <c:f>'Ceny 4'!$C$5</c:f>
              <c:strCache>
                <c:ptCount val="1"/>
                <c:pt idx="0">
                  <c:v>Total</c:v>
                </c:pt>
              </c:strCache>
            </c:strRef>
          </c:tx>
          <c:spPr>
            <a:solidFill>
              <a:schemeClr val="bg1">
                <a:lumMod val="65000"/>
              </a:schemeClr>
            </a:solidFill>
            <a:ln w="19050">
              <a:noFill/>
            </a:ln>
          </c:spPr>
          <c:invertIfNegative val="0"/>
          <c:cat>
            <c:multiLvlStrRef>
              <c:f>'Ceny 4'!$A$18:$B$83</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2014</c:v>
                  </c:pt>
                  <c:pt idx="12">
                    <c:v>2015</c:v>
                  </c:pt>
                  <c:pt idx="24">
                    <c:v>2016</c:v>
                  </c:pt>
                  <c:pt idx="36">
                    <c:v>2017</c:v>
                  </c:pt>
                  <c:pt idx="48">
                    <c:v>2018</c:v>
                  </c:pt>
                  <c:pt idx="60">
                    <c:v>2019</c:v>
                  </c:pt>
                </c:lvl>
              </c:multiLvlStrCache>
            </c:multiLvlStrRef>
          </c:cat>
          <c:val>
            <c:numRef>
              <c:f>'Ceny 4'!$C$18:$C$83</c:f>
              <c:numCache>
                <c:formatCode>0.0</c:formatCode>
                <c:ptCount val="66"/>
                <c:pt idx="0">
                  <c:v>-0.70000000000000284</c:v>
                </c:pt>
                <c:pt idx="1">
                  <c:v>-0.70000000000000284</c:v>
                </c:pt>
                <c:pt idx="2">
                  <c:v>-0.79999999999999716</c:v>
                </c:pt>
                <c:pt idx="3">
                  <c:v>-0.29999999999999716</c:v>
                </c:pt>
                <c:pt idx="4">
                  <c:v>-9.9999999999994316E-2</c:v>
                </c:pt>
                <c:pt idx="5">
                  <c:v>-0.20000000000000284</c:v>
                </c:pt>
                <c:pt idx="6">
                  <c:v>-9.9999999999994316E-2</c:v>
                </c:pt>
                <c:pt idx="7">
                  <c:v>0</c:v>
                </c:pt>
                <c:pt idx="8">
                  <c:v>-0.29999999999999716</c:v>
                </c:pt>
                <c:pt idx="9">
                  <c:v>-0.29999999999999716</c:v>
                </c:pt>
                <c:pt idx="10">
                  <c:v>-1.7000000000000028</c:v>
                </c:pt>
                <c:pt idx="11">
                  <c:v>-3.7000000000000028</c:v>
                </c:pt>
                <c:pt idx="12">
                  <c:v>-3.5</c:v>
                </c:pt>
                <c:pt idx="13">
                  <c:v>-3.5999999999999943</c:v>
                </c:pt>
                <c:pt idx="14">
                  <c:v>-2.9000000000000057</c:v>
                </c:pt>
                <c:pt idx="15">
                  <c:v>-2.5999999999999943</c:v>
                </c:pt>
                <c:pt idx="16">
                  <c:v>-2.0999999999999943</c:v>
                </c:pt>
                <c:pt idx="17">
                  <c:v>-2.2999999999999972</c:v>
                </c:pt>
                <c:pt idx="18">
                  <c:v>-3</c:v>
                </c:pt>
                <c:pt idx="19">
                  <c:v>-3.7000000000000028</c:v>
                </c:pt>
                <c:pt idx="20">
                  <c:v>-4.2000000000000028</c:v>
                </c:pt>
                <c:pt idx="21">
                  <c:v>-3.9000000000000057</c:v>
                </c:pt>
                <c:pt idx="22">
                  <c:v>-3.7000000000000028</c:v>
                </c:pt>
                <c:pt idx="23">
                  <c:v>-2.9000000000000057</c:v>
                </c:pt>
                <c:pt idx="24">
                  <c:v>-3.4000000000000057</c:v>
                </c:pt>
                <c:pt idx="25">
                  <c:v>-4</c:v>
                </c:pt>
                <c:pt idx="26">
                  <c:v>-4.5</c:v>
                </c:pt>
                <c:pt idx="27">
                  <c:v>-4.7000000000000028</c:v>
                </c:pt>
                <c:pt idx="28">
                  <c:v>-4.7999999999999972</c:v>
                </c:pt>
                <c:pt idx="29">
                  <c:v>-4.4000000000000057</c:v>
                </c:pt>
                <c:pt idx="30">
                  <c:v>-4</c:v>
                </c:pt>
                <c:pt idx="31">
                  <c:v>-3.4000000000000057</c:v>
                </c:pt>
                <c:pt idx="32">
                  <c:v>-2.4000000000000057</c:v>
                </c:pt>
                <c:pt idx="33">
                  <c:v>-1.7000000000000028</c:v>
                </c:pt>
                <c:pt idx="34">
                  <c:v>-1.2999999999999972</c:v>
                </c:pt>
                <c:pt idx="35">
                  <c:v>-0.40000000000000568</c:v>
                </c:pt>
                <c:pt idx="36" formatCode="General">
                  <c:v>2.0999999999999943</c:v>
                </c:pt>
                <c:pt idx="37" formatCode="General">
                  <c:v>3.0999999999999943</c:v>
                </c:pt>
                <c:pt idx="38">
                  <c:v>3</c:v>
                </c:pt>
                <c:pt idx="39">
                  <c:v>3.2000000000000028</c:v>
                </c:pt>
                <c:pt idx="40" formatCode="General">
                  <c:v>2.2999999999999972</c:v>
                </c:pt>
                <c:pt idx="41" formatCode="General">
                  <c:v>1.2999999999999972</c:v>
                </c:pt>
                <c:pt idx="42" formatCode="General">
                  <c:v>1.1000000000000001</c:v>
                </c:pt>
                <c:pt idx="43" formatCode="General">
                  <c:v>1.4</c:v>
                </c:pt>
                <c:pt idx="44" formatCode="General">
                  <c:v>1.7</c:v>
                </c:pt>
                <c:pt idx="45" formatCode="General">
                  <c:v>1.1000000000000001</c:v>
                </c:pt>
                <c:pt idx="46" formatCode="General">
                  <c:v>0.9</c:v>
                </c:pt>
                <c:pt idx="47" formatCode="General">
                  <c:v>0.7</c:v>
                </c:pt>
                <c:pt idx="48" formatCode="General">
                  <c:v>0.5</c:v>
                </c:pt>
                <c:pt idx="49" formatCode="General">
                  <c:v>-0.3</c:v>
                </c:pt>
                <c:pt idx="50" formatCode="General">
                  <c:v>0.1</c:v>
                </c:pt>
                <c:pt idx="51" formatCode="General">
                  <c:v>0</c:v>
                </c:pt>
                <c:pt idx="52" formatCode="General">
                  <c:v>1.5</c:v>
                </c:pt>
                <c:pt idx="53" formatCode="General">
                  <c:v>2.9</c:v>
                </c:pt>
                <c:pt idx="54" formatCode="General">
                  <c:v>3.4</c:v>
                </c:pt>
                <c:pt idx="55" formatCode="General">
                  <c:v>3.3</c:v>
                </c:pt>
                <c:pt idx="56" formatCode="General">
                  <c:v>3.2</c:v>
                </c:pt>
                <c:pt idx="57" formatCode="General">
                  <c:v>3.9</c:v>
                </c:pt>
                <c:pt idx="58" formatCode="General">
                  <c:v>3.9</c:v>
                </c:pt>
                <c:pt idx="59" formatCode="General">
                  <c:v>2.4</c:v>
                </c:pt>
                <c:pt idx="60" formatCode="General">
                  <c:v>2.9</c:v>
                </c:pt>
                <c:pt idx="61" formatCode="General">
                  <c:v>3.6</c:v>
                </c:pt>
                <c:pt idx="62" formatCode="General">
                  <c:v>3.8</c:v>
                </c:pt>
                <c:pt idx="63" formatCode="General">
                  <c:v>4.3</c:v>
                </c:pt>
                <c:pt idx="64" formatCode="General">
                  <c:v>3.8</c:v>
                </c:pt>
                <c:pt idx="65" formatCode="General">
                  <c:v>2.5</c:v>
                </c:pt>
              </c:numCache>
            </c:numRef>
          </c:val>
          <c:extLst>
            <c:ext xmlns:c16="http://schemas.microsoft.com/office/drawing/2014/chart" uri="{C3380CC4-5D6E-409C-BE32-E72D297353CC}">
              <c16:uniqueId val="{00000000-86CC-4A73-9259-C1A15AC44CA6}"/>
            </c:ext>
          </c:extLst>
        </c:ser>
        <c:dLbls>
          <c:showLegendKey val="0"/>
          <c:showVal val="0"/>
          <c:showCatName val="0"/>
          <c:showSerName val="0"/>
          <c:showPercent val="0"/>
          <c:showBubbleSize val="0"/>
        </c:dLbls>
        <c:gapWidth val="96"/>
        <c:axId val="119381376"/>
        <c:axId val="130745472"/>
      </c:barChart>
      <c:lineChart>
        <c:grouping val="standard"/>
        <c:varyColors val="0"/>
        <c:ser>
          <c:idx val="1"/>
          <c:order val="1"/>
          <c:tx>
            <c:strRef>
              <c:f>'Ceny 4'!$D$5</c:f>
              <c:strCache>
                <c:ptCount val="1"/>
                <c:pt idx="0">
                  <c:v>Mining and quarrying,</c:v>
                </c:pt>
              </c:strCache>
            </c:strRef>
          </c:tx>
          <c:spPr>
            <a:ln w="19050">
              <a:solidFill>
                <a:srgbClr val="7DBB2D"/>
              </a:solidFill>
            </a:ln>
          </c:spPr>
          <c:marker>
            <c:symbol val="none"/>
          </c:marker>
          <c:cat>
            <c:multiLvlStrRef>
              <c:f>'Ceny 4'!$A$18:$B$83</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2014</c:v>
                  </c:pt>
                  <c:pt idx="12">
                    <c:v>2015</c:v>
                  </c:pt>
                  <c:pt idx="24">
                    <c:v>2016</c:v>
                  </c:pt>
                  <c:pt idx="36">
                    <c:v>2017</c:v>
                  </c:pt>
                  <c:pt idx="48">
                    <c:v>2018</c:v>
                  </c:pt>
                  <c:pt idx="60">
                    <c:v>2019</c:v>
                  </c:pt>
                </c:lvl>
              </c:multiLvlStrCache>
            </c:multiLvlStrRef>
          </c:cat>
          <c:val>
            <c:numRef>
              <c:f>'Ceny 4'!$D$18:$D$83</c:f>
              <c:numCache>
                <c:formatCode>0.0</c:formatCode>
                <c:ptCount val="66"/>
                <c:pt idx="0">
                  <c:v>-3</c:v>
                </c:pt>
                <c:pt idx="1">
                  <c:v>-3.0999999999999943</c:v>
                </c:pt>
                <c:pt idx="2">
                  <c:v>-4</c:v>
                </c:pt>
                <c:pt idx="3">
                  <c:v>-4.0999999999999943</c:v>
                </c:pt>
                <c:pt idx="4">
                  <c:v>-4.5999999999999943</c:v>
                </c:pt>
                <c:pt idx="5">
                  <c:v>-4.7999999999999972</c:v>
                </c:pt>
                <c:pt idx="6">
                  <c:v>-3</c:v>
                </c:pt>
                <c:pt idx="7">
                  <c:v>-3.5999999999999943</c:v>
                </c:pt>
                <c:pt idx="8">
                  <c:v>-1.9000000000000057</c:v>
                </c:pt>
                <c:pt idx="9">
                  <c:v>-2.0999999999999943</c:v>
                </c:pt>
                <c:pt idx="10">
                  <c:v>-2.2999999999999972</c:v>
                </c:pt>
                <c:pt idx="11">
                  <c:v>-2.7999999999999972</c:v>
                </c:pt>
                <c:pt idx="12">
                  <c:v>-0.90000000000000568</c:v>
                </c:pt>
                <c:pt idx="13">
                  <c:v>-1.5</c:v>
                </c:pt>
                <c:pt idx="14">
                  <c:v>-0.90000000000000568</c:v>
                </c:pt>
                <c:pt idx="15">
                  <c:v>-0.90000000000000568</c:v>
                </c:pt>
                <c:pt idx="16">
                  <c:v>0.29999999999999716</c:v>
                </c:pt>
                <c:pt idx="17">
                  <c:v>0.59999999999999432</c:v>
                </c:pt>
                <c:pt idx="18">
                  <c:v>0.40000000000000568</c:v>
                </c:pt>
                <c:pt idx="19">
                  <c:v>-0.29999999999999716</c:v>
                </c:pt>
                <c:pt idx="20">
                  <c:v>-1.7000000000000028</c:v>
                </c:pt>
                <c:pt idx="21">
                  <c:v>-1.4000000000000057</c:v>
                </c:pt>
                <c:pt idx="22">
                  <c:v>-0.59999999999999432</c:v>
                </c:pt>
                <c:pt idx="23">
                  <c:v>-0.5</c:v>
                </c:pt>
                <c:pt idx="24">
                  <c:v>-6.5999999999999943</c:v>
                </c:pt>
                <c:pt idx="25">
                  <c:v>-6.0999999999999943</c:v>
                </c:pt>
                <c:pt idx="26">
                  <c:v>-6.5</c:v>
                </c:pt>
                <c:pt idx="27">
                  <c:v>-7</c:v>
                </c:pt>
                <c:pt idx="28">
                  <c:v>-7.0999999999999943</c:v>
                </c:pt>
                <c:pt idx="29">
                  <c:v>-7.2999999999999972</c:v>
                </c:pt>
                <c:pt idx="30">
                  <c:v>-6.5999999999999943</c:v>
                </c:pt>
                <c:pt idx="31">
                  <c:v>-6</c:v>
                </c:pt>
                <c:pt idx="32">
                  <c:v>-4.9000000000000057</c:v>
                </c:pt>
                <c:pt idx="33">
                  <c:v>-5.2000000000000028</c:v>
                </c:pt>
                <c:pt idx="34">
                  <c:v>-5.2999999999999972</c:v>
                </c:pt>
                <c:pt idx="35">
                  <c:v>-5.0999999999999943</c:v>
                </c:pt>
                <c:pt idx="36" formatCode="General">
                  <c:v>2.2999999999999972</c:v>
                </c:pt>
                <c:pt idx="37" formatCode="General">
                  <c:v>5.7999999999999972</c:v>
                </c:pt>
                <c:pt idx="38">
                  <c:v>6.2000000000000028</c:v>
                </c:pt>
                <c:pt idx="39">
                  <c:v>6.4000000000000057</c:v>
                </c:pt>
                <c:pt idx="40" formatCode="General">
                  <c:v>4.2999999999999972</c:v>
                </c:pt>
                <c:pt idx="41" formatCode="General">
                  <c:v>4.0999999999999943</c:v>
                </c:pt>
                <c:pt idx="42" formatCode="General">
                  <c:v>2.9</c:v>
                </c:pt>
                <c:pt idx="43" formatCode="General">
                  <c:v>1.7</c:v>
                </c:pt>
                <c:pt idx="44" formatCode="General">
                  <c:v>1.9</c:v>
                </c:pt>
                <c:pt idx="45" formatCode="General">
                  <c:v>3.4</c:v>
                </c:pt>
                <c:pt idx="46" formatCode="General">
                  <c:v>3.3</c:v>
                </c:pt>
                <c:pt idx="47" formatCode="General">
                  <c:v>3.6</c:v>
                </c:pt>
                <c:pt idx="48" formatCode="General">
                  <c:v>6.7</c:v>
                </c:pt>
                <c:pt idx="49" formatCode="General">
                  <c:v>5</c:v>
                </c:pt>
                <c:pt idx="50" formatCode="General">
                  <c:v>4.3</c:v>
                </c:pt>
                <c:pt idx="51" formatCode="General">
                  <c:v>4.5999999999999996</c:v>
                </c:pt>
                <c:pt idx="52" formatCode="General">
                  <c:v>7.4</c:v>
                </c:pt>
                <c:pt idx="53" formatCode="General">
                  <c:v>8</c:v>
                </c:pt>
                <c:pt idx="54" formatCode="General">
                  <c:v>8.4</c:v>
                </c:pt>
                <c:pt idx="55" formatCode="General">
                  <c:v>10.1</c:v>
                </c:pt>
                <c:pt idx="56" formatCode="General">
                  <c:v>9.9</c:v>
                </c:pt>
                <c:pt idx="57" formatCode="General">
                  <c:v>9</c:v>
                </c:pt>
                <c:pt idx="58" formatCode="General">
                  <c:v>9.1999999999999993</c:v>
                </c:pt>
                <c:pt idx="59" formatCode="General">
                  <c:v>8.3000000000000007</c:v>
                </c:pt>
                <c:pt idx="60" formatCode="General">
                  <c:v>7.9</c:v>
                </c:pt>
                <c:pt idx="61" formatCode="General">
                  <c:v>7.4</c:v>
                </c:pt>
                <c:pt idx="62" formatCode="General">
                  <c:v>8</c:v>
                </c:pt>
                <c:pt idx="63" formatCode="General">
                  <c:v>8.4</c:v>
                </c:pt>
                <c:pt idx="64" formatCode="General">
                  <c:v>7.5</c:v>
                </c:pt>
                <c:pt idx="65" formatCode="General">
                  <c:v>7.1</c:v>
                </c:pt>
              </c:numCache>
            </c:numRef>
          </c:val>
          <c:smooth val="0"/>
          <c:extLst>
            <c:ext xmlns:c16="http://schemas.microsoft.com/office/drawing/2014/chart" uri="{C3380CC4-5D6E-409C-BE32-E72D297353CC}">
              <c16:uniqueId val="{00000001-86CC-4A73-9259-C1A15AC44CA6}"/>
            </c:ext>
          </c:extLst>
        </c:ser>
        <c:ser>
          <c:idx val="2"/>
          <c:order val="2"/>
          <c:tx>
            <c:strRef>
              <c:f>'Ceny 4'!$E$5</c:f>
              <c:strCache>
                <c:ptCount val="1"/>
                <c:pt idx="0">
                  <c:v>Manufacturing</c:v>
                </c:pt>
              </c:strCache>
            </c:strRef>
          </c:tx>
          <c:spPr>
            <a:ln w="19050">
              <a:solidFill>
                <a:srgbClr val="BD1B21"/>
              </a:solidFill>
            </a:ln>
          </c:spPr>
          <c:marker>
            <c:symbol val="none"/>
          </c:marker>
          <c:cat>
            <c:multiLvlStrRef>
              <c:f>'Ceny 4'!$A$18:$B$83</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2014</c:v>
                  </c:pt>
                  <c:pt idx="12">
                    <c:v>2015</c:v>
                  </c:pt>
                  <c:pt idx="24">
                    <c:v>2016</c:v>
                  </c:pt>
                  <c:pt idx="36">
                    <c:v>2017</c:v>
                  </c:pt>
                  <c:pt idx="48">
                    <c:v>2018</c:v>
                  </c:pt>
                  <c:pt idx="60">
                    <c:v>2019</c:v>
                  </c:pt>
                </c:lvl>
              </c:multiLvlStrCache>
            </c:multiLvlStrRef>
          </c:cat>
          <c:val>
            <c:numRef>
              <c:f>'Ceny 4'!$E$18:$E$83</c:f>
              <c:numCache>
                <c:formatCode>0.0</c:formatCode>
                <c:ptCount val="66"/>
                <c:pt idx="0">
                  <c:v>1.0999999999999943</c:v>
                </c:pt>
                <c:pt idx="1">
                  <c:v>1.2000000000000028</c:v>
                </c:pt>
                <c:pt idx="2">
                  <c:v>1</c:v>
                </c:pt>
                <c:pt idx="3">
                  <c:v>1.5999999999999943</c:v>
                </c:pt>
                <c:pt idx="4">
                  <c:v>1.9000000000000057</c:v>
                </c:pt>
                <c:pt idx="5">
                  <c:v>1.9000000000000057</c:v>
                </c:pt>
                <c:pt idx="6">
                  <c:v>1.7999999999999972</c:v>
                </c:pt>
                <c:pt idx="7">
                  <c:v>2.0999999999999943</c:v>
                </c:pt>
                <c:pt idx="8">
                  <c:v>1.5</c:v>
                </c:pt>
                <c:pt idx="9">
                  <c:v>1.5</c:v>
                </c:pt>
                <c:pt idx="10">
                  <c:v>-9.9999999999994316E-2</c:v>
                </c:pt>
                <c:pt idx="11">
                  <c:v>-2.7999999999999972</c:v>
                </c:pt>
                <c:pt idx="12">
                  <c:v>-4.2999999999999972</c:v>
                </c:pt>
                <c:pt idx="13">
                  <c:v>-4.4000000000000057</c:v>
                </c:pt>
                <c:pt idx="14">
                  <c:v>-3.5</c:v>
                </c:pt>
                <c:pt idx="15">
                  <c:v>-3.0999999999999943</c:v>
                </c:pt>
                <c:pt idx="16">
                  <c:v>-2.7000000000000028</c:v>
                </c:pt>
                <c:pt idx="17">
                  <c:v>-2.7999999999999972</c:v>
                </c:pt>
                <c:pt idx="18">
                  <c:v>-3.5999999999999943</c:v>
                </c:pt>
                <c:pt idx="19">
                  <c:v>-4.7000000000000028</c:v>
                </c:pt>
                <c:pt idx="20">
                  <c:v>-5.2000000000000028</c:v>
                </c:pt>
                <c:pt idx="21">
                  <c:v>-4.9000000000000057</c:v>
                </c:pt>
                <c:pt idx="22">
                  <c:v>-4.5999999999999943</c:v>
                </c:pt>
                <c:pt idx="23">
                  <c:v>-3.5</c:v>
                </c:pt>
                <c:pt idx="24">
                  <c:v>-3.2999999999999972</c:v>
                </c:pt>
                <c:pt idx="25">
                  <c:v>-4.0999999999999943</c:v>
                </c:pt>
                <c:pt idx="26">
                  <c:v>-4.5999999999999943</c:v>
                </c:pt>
                <c:pt idx="27">
                  <c:v>-4.9000000000000057</c:v>
                </c:pt>
                <c:pt idx="28">
                  <c:v>-5</c:v>
                </c:pt>
                <c:pt idx="29">
                  <c:v>-4.5</c:v>
                </c:pt>
                <c:pt idx="30">
                  <c:v>-4</c:v>
                </c:pt>
                <c:pt idx="31">
                  <c:v>-3.2000000000000028</c:v>
                </c:pt>
                <c:pt idx="32">
                  <c:v>-2</c:v>
                </c:pt>
                <c:pt idx="33">
                  <c:v>-1.0999999999999943</c:v>
                </c:pt>
                <c:pt idx="34">
                  <c:v>-0.59999999999999432</c:v>
                </c:pt>
                <c:pt idx="35">
                  <c:v>0.59999999999999432</c:v>
                </c:pt>
                <c:pt idx="36" formatCode="General">
                  <c:v>2.5999999999999943</c:v>
                </c:pt>
                <c:pt idx="37" formatCode="General">
                  <c:v>4</c:v>
                </c:pt>
                <c:pt idx="38">
                  <c:v>3.7999999999999972</c:v>
                </c:pt>
                <c:pt idx="39">
                  <c:v>4</c:v>
                </c:pt>
                <c:pt idx="40" formatCode="General">
                  <c:v>2.7999999999999972</c:v>
                </c:pt>
                <c:pt idx="41" formatCode="General">
                  <c:v>1.5</c:v>
                </c:pt>
                <c:pt idx="42" formatCode="General">
                  <c:v>1.4</c:v>
                </c:pt>
                <c:pt idx="43" formatCode="General">
                  <c:v>2</c:v>
                </c:pt>
                <c:pt idx="44" formatCode="General">
                  <c:v>2.1</c:v>
                </c:pt>
                <c:pt idx="45" formatCode="General">
                  <c:v>1.4</c:v>
                </c:pt>
                <c:pt idx="46" formatCode="General">
                  <c:v>1.1000000000000001</c:v>
                </c:pt>
                <c:pt idx="47" formatCode="General">
                  <c:v>0.9</c:v>
                </c:pt>
                <c:pt idx="48" formatCode="General">
                  <c:v>0.2</c:v>
                </c:pt>
                <c:pt idx="49" formatCode="General">
                  <c:v>-0.9</c:v>
                </c:pt>
                <c:pt idx="50" formatCode="General">
                  <c:v>-0.5</c:v>
                </c:pt>
                <c:pt idx="51" formatCode="General">
                  <c:v>-0.5</c:v>
                </c:pt>
                <c:pt idx="52" formatCode="General">
                  <c:v>1.3</c:v>
                </c:pt>
                <c:pt idx="53" formatCode="General">
                  <c:v>2.8</c:v>
                </c:pt>
                <c:pt idx="54" formatCode="General">
                  <c:v>3.4</c:v>
                </c:pt>
                <c:pt idx="55" formatCode="General">
                  <c:v>3.2</c:v>
                </c:pt>
                <c:pt idx="56" formatCode="General">
                  <c:v>3</c:v>
                </c:pt>
                <c:pt idx="57" formatCode="General">
                  <c:v>3.8</c:v>
                </c:pt>
                <c:pt idx="58" formatCode="General">
                  <c:v>3.9</c:v>
                </c:pt>
                <c:pt idx="59" formatCode="General">
                  <c:v>2.2000000000000002</c:v>
                </c:pt>
                <c:pt idx="60" formatCode="General">
                  <c:v>1.9</c:v>
                </c:pt>
                <c:pt idx="61" formatCode="General">
                  <c:v>2.9</c:v>
                </c:pt>
                <c:pt idx="62" formatCode="General">
                  <c:v>3</c:v>
                </c:pt>
                <c:pt idx="63" formatCode="General">
                  <c:v>3.5</c:v>
                </c:pt>
                <c:pt idx="64" formatCode="General">
                  <c:v>2.9</c:v>
                </c:pt>
                <c:pt idx="65" formatCode="General">
                  <c:v>1.4</c:v>
                </c:pt>
              </c:numCache>
            </c:numRef>
          </c:val>
          <c:smooth val="0"/>
          <c:extLst>
            <c:ext xmlns:c16="http://schemas.microsoft.com/office/drawing/2014/chart" uri="{C3380CC4-5D6E-409C-BE32-E72D297353CC}">
              <c16:uniqueId val="{00000002-86CC-4A73-9259-C1A15AC44CA6}"/>
            </c:ext>
          </c:extLst>
        </c:ser>
        <c:ser>
          <c:idx val="3"/>
          <c:order val="3"/>
          <c:tx>
            <c:strRef>
              <c:f>'Ceny 4'!$F$5</c:f>
              <c:strCache>
                <c:ptCount val="1"/>
                <c:pt idx="0">
                  <c:v>Electricity, gas, steam and air conditioning supply</c:v>
                </c:pt>
              </c:strCache>
            </c:strRef>
          </c:tx>
          <c:spPr>
            <a:ln w="19050">
              <a:solidFill>
                <a:srgbClr val="F8A124"/>
              </a:solidFill>
            </a:ln>
          </c:spPr>
          <c:marker>
            <c:symbol val="none"/>
          </c:marker>
          <c:cat>
            <c:multiLvlStrRef>
              <c:f>'Ceny 4'!$A$18:$B$83</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2014</c:v>
                  </c:pt>
                  <c:pt idx="12">
                    <c:v>2015</c:v>
                  </c:pt>
                  <c:pt idx="24">
                    <c:v>2016</c:v>
                  </c:pt>
                  <c:pt idx="36">
                    <c:v>2017</c:v>
                  </c:pt>
                  <c:pt idx="48">
                    <c:v>2018</c:v>
                  </c:pt>
                  <c:pt idx="60">
                    <c:v>2019</c:v>
                  </c:pt>
                </c:lvl>
              </c:multiLvlStrCache>
            </c:multiLvlStrRef>
          </c:cat>
          <c:val>
            <c:numRef>
              <c:f>'Ceny 4'!$F$18:$F$83</c:f>
              <c:numCache>
                <c:formatCode>0.0</c:formatCode>
                <c:ptCount val="66"/>
                <c:pt idx="0">
                  <c:v>-8.7999999999999972</c:v>
                </c:pt>
                <c:pt idx="1">
                  <c:v>-8.7999999999999972</c:v>
                </c:pt>
                <c:pt idx="2">
                  <c:v>-8.7999999999999972</c:v>
                </c:pt>
                <c:pt idx="3">
                  <c:v>-8.5999999999999943</c:v>
                </c:pt>
                <c:pt idx="4">
                  <c:v>-8.5999999999999943</c:v>
                </c:pt>
                <c:pt idx="5">
                  <c:v>-8.7000000000000028</c:v>
                </c:pt>
                <c:pt idx="6">
                  <c:v>-8.7000000000000028</c:v>
                </c:pt>
                <c:pt idx="7">
                  <c:v>-8.5999999999999943</c:v>
                </c:pt>
                <c:pt idx="8">
                  <c:v>-8.5999999999999943</c:v>
                </c:pt>
                <c:pt idx="9">
                  <c:v>-8.9000000000000057</c:v>
                </c:pt>
                <c:pt idx="10">
                  <c:v>-8.9000000000000057</c:v>
                </c:pt>
                <c:pt idx="11">
                  <c:v>-8.5999999999999943</c:v>
                </c:pt>
                <c:pt idx="12">
                  <c:v>-0.79999999999999716</c:v>
                </c:pt>
                <c:pt idx="13">
                  <c:v>-0.79999999999999716</c:v>
                </c:pt>
                <c:pt idx="14">
                  <c:v>-0.79999999999999716</c:v>
                </c:pt>
                <c:pt idx="15">
                  <c:v>-0.70000000000000284</c:v>
                </c:pt>
                <c:pt idx="16">
                  <c:v>-0.70000000000000284</c:v>
                </c:pt>
                <c:pt idx="17">
                  <c:v>-0.70000000000000284</c:v>
                </c:pt>
                <c:pt idx="18">
                  <c:v>-0.70000000000000284</c:v>
                </c:pt>
                <c:pt idx="19">
                  <c:v>-0.79999999999999716</c:v>
                </c:pt>
                <c:pt idx="20">
                  <c:v>-0.79999999999999716</c:v>
                </c:pt>
                <c:pt idx="21">
                  <c:v>-0.90000000000000568</c:v>
                </c:pt>
                <c:pt idx="22">
                  <c:v>-0.90000000000000568</c:v>
                </c:pt>
                <c:pt idx="23">
                  <c:v>-0.90000000000000568</c:v>
                </c:pt>
                <c:pt idx="24">
                  <c:v>-4</c:v>
                </c:pt>
                <c:pt idx="25">
                  <c:v>-4.0999999999999943</c:v>
                </c:pt>
                <c:pt idx="26">
                  <c:v>-4.0999999999999943</c:v>
                </c:pt>
                <c:pt idx="27">
                  <c:v>-4</c:v>
                </c:pt>
                <c:pt idx="28">
                  <c:v>-4</c:v>
                </c:pt>
                <c:pt idx="29">
                  <c:v>-4.0999999999999943</c:v>
                </c:pt>
                <c:pt idx="30">
                  <c:v>-4</c:v>
                </c:pt>
                <c:pt idx="31">
                  <c:v>-4</c:v>
                </c:pt>
                <c:pt idx="32">
                  <c:v>-4.0999999999999943</c:v>
                </c:pt>
                <c:pt idx="33">
                  <c:v>-4.0999999999999943</c:v>
                </c:pt>
                <c:pt idx="34">
                  <c:v>-4.0999999999999943</c:v>
                </c:pt>
                <c:pt idx="35">
                  <c:v>-4.0999999999999943</c:v>
                </c:pt>
                <c:pt idx="36" formatCode="General">
                  <c:v>-1.0999999999999943</c:v>
                </c:pt>
                <c:pt idx="37" formatCode="General">
                  <c:v>-1.2000000000000028</c:v>
                </c:pt>
                <c:pt idx="38">
                  <c:v>-1.2000000000000028</c:v>
                </c:pt>
                <c:pt idx="39">
                  <c:v>-1.4000000000000057</c:v>
                </c:pt>
                <c:pt idx="40" formatCode="General">
                  <c:v>-1.2999999999999972</c:v>
                </c:pt>
                <c:pt idx="41" formatCode="General">
                  <c:v>-1.0999999999999943</c:v>
                </c:pt>
                <c:pt idx="42" formatCode="General">
                  <c:v>-1.1000000000000001</c:v>
                </c:pt>
                <c:pt idx="43" formatCode="General">
                  <c:v>-1.3</c:v>
                </c:pt>
                <c:pt idx="44" formatCode="General">
                  <c:v>-1.1000000000000001</c:v>
                </c:pt>
                <c:pt idx="45" formatCode="General">
                  <c:v>-1.1000000000000001</c:v>
                </c:pt>
                <c:pt idx="46" formatCode="General">
                  <c:v>-1.1000000000000001</c:v>
                </c:pt>
                <c:pt idx="47" formatCode="General">
                  <c:v>-1.1000000000000001</c:v>
                </c:pt>
                <c:pt idx="48" formatCode="General">
                  <c:v>1.5</c:v>
                </c:pt>
                <c:pt idx="49" formatCode="General">
                  <c:v>1.6</c:v>
                </c:pt>
                <c:pt idx="50" formatCode="General">
                  <c:v>1.6</c:v>
                </c:pt>
                <c:pt idx="51" formatCode="General">
                  <c:v>1.7</c:v>
                </c:pt>
                <c:pt idx="52" formatCode="General">
                  <c:v>1.7</c:v>
                </c:pt>
                <c:pt idx="53" formatCode="General">
                  <c:v>2.2999999999999998</c:v>
                </c:pt>
                <c:pt idx="54" formatCode="General">
                  <c:v>2.2999999999999998</c:v>
                </c:pt>
                <c:pt idx="55" formatCode="General">
                  <c:v>2.6</c:v>
                </c:pt>
                <c:pt idx="56" formatCode="General">
                  <c:v>2.7</c:v>
                </c:pt>
                <c:pt idx="57" formatCode="General">
                  <c:v>2.8</c:v>
                </c:pt>
                <c:pt idx="58" formatCode="General">
                  <c:v>2.8</c:v>
                </c:pt>
                <c:pt idx="59" formatCode="General">
                  <c:v>2.8</c:v>
                </c:pt>
                <c:pt idx="60" formatCode="General">
                  <c:v>7.2</c:v>
                </c:pt>
                <c:pt idx="61" formatCode="General">
                  <c:v>7.5</c:v>
                </c:pt>
                <c:pt idx="62" formatCode="General">
                  <c:v>8.4</c:v>
                </c:pt>
                <c:pt idx="63" formatCode="General">
                  <c:v>8.1999999999999993</c:v>
                </c:pt>
                <c:pt idx="64" formatCode="General">
                  <c:v>8.6</c:v>
                </c:pt>
                <c:pt idx="65" formatCode="General">
                  <c:v>7.9</c:v>
                </c:pt>
              </c:numCache>
            </c:numRef>
          </c:val>
          <c:smooth val="0"/>
          <c:extLst>
            <c:ext xmlns:c16="http://schemas.microsoft.com/office/drawing/2014/chart" uri="{C3380CC4-5D6E-409C-BE32-E72D297353CC}">
              <c16:uniqueId val="{00000003-86CC-4A73-9259-C1A15AC44CA6}"/>
            </c:ext>
          </c:extLst>
        </c:ser>
        <c:ser>
          <c:idx val="4"/>
          <c:order val="4"/>
          <c:tx>
            <c:strRef>
              <c:f>'Ceny 4'!$G$5</c:f>
              <c:strCache>
                <c:ptCount val="1"/>
                <c:pt idx="0">
                  <c:v>Water supply, sewerage</c:v>
                </c:pt>
              </c:strCache>
            </c:strRef>
          </c:tx>
          <c:spPr>
            <a:ln w="19050">
              <a:solidFill>
                <a:schemeClr val="accent1"/>
              </a:solidFill>
            </a:ln>
          </c:spPr>
          <c:marker>
            <c:symbol val="none"/>
          </c:marker>
          <c:cat>
            <c:multiLvlStrRef>
              <c:f>'Ceny 4'!$A$18:$B$83</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2014</c:v>
                  </c:pt>
                  <c:pt idx="12">
                    <c:v>2015</c:v>
                  </c:pt>
                  <c:pt idx="24">
                    <c:v>2016</c:v>
                  </c:pt>
                  <c:pt idx="36">
                    <c:v>2017</c:v>
                  </c:pt>
                  <c:pt idx="48">
                    <c:v>2018</c:v>
                  </c:pt>
                  <c:pt idx="60">
                    <c:v>2019</c:v>
                  </c:pt>
                </c:lvl>
              </c:multiLvlStrCache>
            </c:multiLvlStrRef>
          </c:cat>
          <c:val>
            <c:numRef>
              <c:f>'Ceny 4'!$G$18:$G$83</c:f>
              <c:numCache>
                <c:formatCode>General</c:formatCode>
                <c:ptCount val="66"/>
                <c:pt idx="0">
                  <c:v>3.4000000000000057</c:v>
                </c:pt>
                <c:pt idx="1">
                  <c:v>3.4000000000000057</c:v>
                </c:pt>
                <c:pt idx="2">
                  <c:v>3.4000000000000057</c:v>
                </c:pt>
                <c:pt idx="3">
                  <c:v>3.4000000000000057</c:v>
                </c:pt>
                <c:pt idx="4">
                  <c:v>3.4000000000000057</c:v>
                </c:pt>
                <c:pt idx="5">
                  <c:v>3.4000000000000057</c:v>
                </c:pt>
                <c:pt idx="6">
                  <c:v>3.4000000000000057</c:v>
                </c:pt>
                <c:pt idx="7">
                  <c:v>3.4000000000000057</c:v>
                </c:pt>
                <c:pt idx="8">
                  <c:v>3.4000000000000057</c:v>
                </c:pt>
                <c:pt idx="9">
                  <c:v>3.4000000000000057</c:v>
                </c:pt>
                <c:pt idx="10">
                  <c:v>3.4000000000000057</c:v>
                </c:pt>
                <c:pt idx="11">
                  <c:v>3.4000000000000057</c:v>
                </c:pt>
                <c:pt idx="12">
                  <c:v>3.4000000000000057</c:v>
                </c:pt>
                <c:pt idx="13">
                  <c:v>3.4000000000000057</c:v>
                </c:pt>
                <c:pt idx="14">
                  <c:v>3.4000000000000057</c:v>
                </c:pt>
                <c:pt idx="15">
                  <c:v>3.4000000000000057</c:v>
                </c:pt>
                <c:pt idx="16">
                  <c:v>3.4000000000000057</c:v>
                </c:pt>
                <c:pt idx="17">
                  <c:v>3.4000000000000057</c:v>
                </c:pt>
                <c:pt idx="18">
                  <c:v>3.4000000000000057</c:v>
                </c:pt>
                <c:pt idx="19">
                  <c:v>3.4000000000000057</c:v>
                </c:pt>
                <c:pt idx="20">
                  <c:v>3.4000000000000057</c:v>
                </c:pt>
                <c:pt idx="21">
                  <c:v>3.4000000000000057</c:v>
                </c:pt>
                <c:pt idx="22">
                  <c:v>3.4000000000000057</c:v>
                </c:pt>
                <c:pt idx="23">
                  <c:v>3.4000000000000057</c:v>
                </c:pt>
                <c:pt idx="24">
                  <c:v>0.5</c:v>
                </c:pt>
                <c:pt idx="25">
                  <c:v>0.5</c:v>
                </c:pt>
                <c:pt idx="26">
                  <c:v>0.5</c:v>
                </c:pt>
                <c:pt idx="27">
                  <c:v>1.5999999999999943</c:v>
                </c:pt>
                <c:pt idx="28">
                  <c:v>1.5999999999999943</c:v>
                </c:pt>
                <c:pt idx="29">
                  <c:v>1.5999999999999943</c:v>
                </c:pt>
                <c:pt idx="30">
                  <c:v>1.5999999999999943</c:v>
                </c:pt>
                <c:pt idx="31">
                  <c:v>1.5999999999999943</c:v>
                </c:pt>
                <c:pt idx="32">
                  <c:v>1.5999999999999943</c:v>
                </c:pt>
                <c:pt idx="33">
                  <c:v>1.5999999999999943</c:v>
                </c:pt>
                <c:pt idx="34">
                  <c:v>1.5999999999999943</c:v>
                </c:pt>
                <c:pt idx="35">
                  <c:v>1.5999999999999943</c:v>
                </c:pt>
                <c:pt idx="36">
                  <c:v>2.0999999999999943</c:v>
                </c:pt>
                <c:pt idx="37">
                  <c:v>2.0999999999999943</c:v>
                </c:pt>
                <c:pt idx="38" formatCode="0.0">
                  <c:v>2.0999999999999943</c:v>
                </c:pt>
                <c:pt idx="39" formatCode="0.0">
                  <c:v>1</c:v>
                </c:pt>
                <c:pt idx="40">
                  <c:v>1</c:v>
                </c:pt>
                <c:pt idx="41">
                  <c:v>1</c:v>
                </c:pt>
                <c:pt idx="42">
                  <c:v>1</c:v>
                </c:pt>
                <c:pt idx="43">
                  <c:v>1</c:v>
                </c:pt>
                <c:pt idx="44">
                  <c:v>1</c:v>
                </c:pt>
                <c:pt idx="45">
                  <c:v>1</c:v>
                </c:pt>
                <c:pt idx="46">
                  <c:v>1</c:v>
                </c:pt>
                <c:pt idx="47">
                  <c:v>1</c:v>
                </c:pt>
                <c:pt idx="48">
                  <c:v>1.9</c:v>
                </c:pt>
                <c:pt idx="49">
                  <c:v>1.9</c:v>
                </c:pt>
                <c:pt idx="50">
                  <c:v>1.9</c:v>
                </c:pt>
                <c:pt idx="51">
                  <c:v>1.9</c:v>
                </c:pt>
                <c:pt idx="52">
                  <c:v>1.9</c:v>
                </c:pt>
                <c:pt idx="53">
                  <c:v>1.9</c:v>
                </c:pt>
                <c:pt idx="54">
                  <c:v>1.9</c:v>
                </c:pt>
                <c:pt idx="55">
                  <c:v>1.9</c:v>
                </c:pt>
                <c:pt idx="56">
                  <c:v>1.9</c:v>
                </c:pt>
                <c:pt idx="57">
                  <c:v>1.9</c:v>
                </c:pt>
                <c:pt idx="58">
                  <c:v>1.9</c:v>
                </c:pt>
                <c:pt idx="59">
                  <c:v>1.9</c:v>
                </c:pt>
                <c:pt idx="60">
                  <c:v>2.9</c:v>
                </c:pt>
                <c:pt idx="61">
                  <c:v>2.9</c:v>
                </c:pt>
                <c:pt idx="62">
                  <c:v>2.9</c:v>
                </c:pt>
                <c:pt idx="63">
                  <c:v>2.9</c:v>
                </c:pt>
                <c:pt idx="64">
                  <c:v>2.9</c:v>
                </c:pt>
                <c:pt idx="65">
                  <c:v>2.9</c:v>
                </c:pt>
              </c:numCache>
            </c:numRef>
          </c:val>
          <c:smooth val="0"/>
          <c:extLst>
            <c:ext xmlns:c16="http://schemas.microsoft.com/office/drawing/2014/chart" uri="{C3380CC4-5D6E-409C-BE32-E72D297353CC}">
              <c16:uniqueId val="{00000004-86CC-4A73-9259-C1A15AC44CA6}"/>
            </c:ext>
          </c:extLst>
        </c:ser>
        <c:dLbls>
          <c:showLegendKey val="0"/>
          <c:showVal val="0"/>
          <c:showCatName val="0"/>
          <c:showSerName val="0"/>
          <c:showPercent val="0"/>
          <c:showBubbleSize val="0"/>
        </c:dLbls>
        <c:marker val="1"/>
        <c:smooth val="0"/>
        <c:axId val="119381376"/>
        <c:axId val="130745472"/>
      </c:lineChart>
      <c:catAx>
        <c:axId val="119381376"/>
        <c:scaling>
          <c:orientation val="minMax"/>
        </c:scaling>
        <c:delete val="0"/>
        <c:axPos val="b"/>
        <c:numFmt formatCode="General" sourceLinked="0"/>
        <c:majorTickMark val="out"/>
        <c:minorTickMark val="none"/>
        <c:tickLblPos val="low"/>
        <c:spPr>
          <a:ln>
            <a:solidFill>
              <a:schemeClr val="tx1"/>
            </a:solidFill>
          </a:ln>
        </c:spPr>
        <c:crossAx val="130745472"/>
        <c:crosses val="autoZero"/>
        <c:auto val="1"/>
        <c:lblAlgn val="ctr"/>
        <c:lblOffset val="100"/>
        <c:noMultiLvlLbl val="0"/>
      </c:catAx>
      <c:valAx>
        <c:axId val="130745472"/>
        <c:scaling>
          <c:orientation val="minMax"/>
          <c:max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9381376"/>
        <c:crosses val="autoZero"/>
        <c:crossBetween val="between"/>
        <c:majorUnit val="2"/>
      </c:valAx>
      <c:spPr>
        <a:ln>
          <a:solidFill>
            <a:schemeClr val="tx1"/>
          </a:solidFill>
        </a:ln>
      </c:spPr>
    </c:plotArea>
    <c:legend>
      <c:legendPos val="b"/>
      <c:layout>
        <c:manualLayout>
          <c:xMode val="edge"/>
          <c:yMode val="edge"/>
          <c:x val="5.0596282132642133E-2"/>
          <c:y val="0.82291838185106214"/>
          <c:w val="0.89560705842620769"/>
          <c:h val="0.1604148811157318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306663279993532E-2"/>
          <c:y val="1.6549886621315374E-2"/>
          <c:w val="0.92612532736853692"/>
          <c:h val="0.72078134940108141"/>
        </c:manualLayout>
      </c:layout>
      <c:barChart>
        <c:barDir val="col"/>
        <c:grouping val="stacked"/>
        <c:varyColors val="0"/>
        <c:ser>
          <c:idx val="0"/>
          <c:order val="0"/>
          <c:tx>
            <c:strRef>
              <c:f>'Trh práce 1'!$AC$7</c:f>
              <c:strCache>
                <c:ptCount val="1"/>
                <c:pt idx="0">
                  <c:v>Agriculture, forestry and fishing</c:v>
                </c:pt>
              </c:strCache>
            </c:strRef>
          </c:tx>
          <c:spPr>
            <a:solidFill>
              <a:srgbClr val="7DBB2D"/>
            </a:solidFill>
            <a:ln>
              <a:noFill/>
            </a:ln>
          </c:spPr>
          <c:invertIfNegative val="0"/>
          <c:cat>
            <c:multiLvlStrRef>
              <c:f>'Trh práce 1'!$AA$8:$AB$46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c:v>
                  </c:pt>
                </c:lvl>
                <c:lvl>
                  <c:pt idx="0">
                    <c:v>2010</c:v>
                  </c:pt>
                  <c:pt idx="4">
                    <c:v>2011</c:v>
                  </c:pt>
                  <c:pt idx="8">
                    <c:v>2012</c:v>
                  </c:pt>
                  <c:pt idx="12">
                    <c:v>2013</c:v>
                  </c:pt>
                  <c:pt idx="16">
                    <c:v>2014</c:v>
                  </c:pt>
                  <c:pt idx="20">
                    <c:v>2015</c:v>
                  </c:pt>
                  <c:pt idx="24">
                    <c:v>2016</c:v>
                  </c:pt>
                  <c:pt idx="28">
                    <c:v>2017</c:v>
                  </c:pt>
                  <c:pt idx="32">
                    <c:v>2018</c:v>
                  </c:pt>
                  <c:pt idx="36">
                    <c:v>2 019</c:v>
                  </c:pt>
                </c:lvl>
              </c:multiLvlStrCache>
            </c:multiLvlStrRef>
          </c:cat>
          <c:val>
            <c:numRef>
              <c:f>'Trh práce 1'!$AC$8:$AC$46</c:f>
              <c:numCache>
                <c:formatCode>#\ ##0.0</c:formatCode>
                <c:ptCount val="39"/>
                <c:pt idx="0">
                  <c:v>-0.23222275006944557</c:v>
                </c:pt>
                <c:pt idx="1">
                  <c:v>-0.17702219112179116</c:v>
                </c:pt>
                <c:pt idx="2">
                  <c:v>-0.14250343705609567</c:v>
                </c:pt>
                <c:pt idx="3">
                  <c:v>-0.13702544848549181</c:v>
                </c:pt>
                <c:pt idx="4">
                  <c:v>0.1037453953799244</c:v>
                </c:pt>
                <c:pt idx="5">
                  <c:v>9.5690938460221905E-2</c:v>
                </c:pt>
                <c:pt idx="6">
                  <c:v>5.9112721211504203E-2</c:v>
                </c:pt>
                <c:pt idx="7">
                  <c:v>4.0223421388449539E-2</c:v>
                </c:pt>
                <c:pt idx="8">
                  <c:v>2.8804620165849455E-2</c:v>
                </c:pt>
                <c:pt idx="9">
                  <c:v>3.177048919427123E-2</c:v>
                </c:pt>
                <c:pt idx="10">
                  <c:v>6.2378779484277516E-2</c:v>
                </c:pt>
                <c:pt idx="11">
                  <c:v>7.8876524967668338E-2</c:v>
                </c:pt>
                <c:pt idx="12">
                  <c:v>3.4897043795591033E-2</c:v>
                </c:pt>
                <c:pt idx="13">
                  <c:v>7.6139985329269355E-2</c:v>
                </c:pt>
                <c:pt idx="14">
                  <c:v>1.9508115947107659E-2</c:v>
                </c:pt>
                <c:pt idx="15">
                  <c:v>9.8416227024961307E-4</c:v>
                </c:pt>
                <c:pt idx="16">
                  <c:v>-9.9577605233673473E-3</c:v>
                </c:pt>
                <c:pt idx="17">
                  <c:v>-7.2593422082177242E-2</c:v>
                </c:pt>
                <c:pt idx="18">
                  <c:v>-3.1543675502894435E-2</c:v>
                </c:pt>
                <c:pt idx="19">
                  <c:v>-7.4973080531714944E-3</c:v>
                </c:pt>
                <c:pt idx="20">
                  <c:v>-2.5406394237287376E-2</c:v>
                </c:pt>
                <c:pt idx="21">
                  <c:v>-3.2519642707587761E-2</c:v>
                </c:pt>
                <c:pt idx="22">
                  <c:v>-4.274637755234708E-2</c:v>
                </c:pt>
                <c:pt idx="23">
                  <c:v>-7.634560591871406E-2</c:v>
                </c:pt>
                <c:pt idx="24">
                  <c:v>-0.12683499341762042</c:v>
                </c:pt>
                <c:pt idx="25">
                  <c:v>-5.8796404821536856E-2</c:v>
                </c:pt>
                <c:pt idx="26">
                  <c:v>-5.7660818239794312E-2</c:v>
                </c:pt>
                <c:pt idx="27">
                  <c:v>5.9750731023664044E-2</c:v>
                </c:pt>
                <c:pt idx="28">
                  <c:v>0.10980047025694589</c:v>
                </c:pt>
                <c:pt idx="29">
                  <c:v>3.9673148008215947E-2</c:v>
                </c:pt>
                <c:pt idx="30">
                  <c:v>4.4749740495190864E-2</c:v>
                </c:pt>
                <c:pt idx="31">
                  <c:v>-8.0513245505165212E-2</c:v>
                </c:pt>
                <c:pt idx="32">
                  <c:v>-4.9161515718039762E-2</c:v>
                </c:pt>
                <c:pt idx="33">
                  <c:v>-3.5837548449139993E-2</c:v>
                </c:pt>
                <c:pt idx="34">
                  <c:v>-3.36987100603224E-2</c:v>
                </c:pt>
                <c:pt idx="35">
                  <c:v>8.5649612277238097E-3</c:v>
                </c:pt>
                <c:pt idx="36">
                  <c:v>2.1084112815023665E-2</c:v>
                </c:pt>
                <c:pt idx="37">
                  <c:v>-2.8290869979292695E-2</c:v>
                </c:pt>
              </c:numCache>
            </c:numRef>
          </c:val>
          <c:extLst>
            <c:ext xmlns:c16="http://schemas.microsoft.com/office/drawing/2014/chart" uri="{C3380CC4-5D6E-409C-BE32-E72D297353CC}">
              <c16:uniqueId val="{00000000-5E74-4D9B-BC02-A44CAC1C1B0B}"/>
            </c:ext>
          </c:extLst>
        </c:ser>
        <c:ser>
          <c:idx val="1"/>
          <c:order val="1"/>
          <c:tx>
            <c:strRef>
              <c:f>'Trh práce 1'!$AD$7</c:f>
              <c:strCache>
                <c:ptCount val="1"/>
                <c:pt idx="0">
                  <c:v>Manufacturing</c:v>
                </c:pt>
              </c:strCache>
            </c:strRef>
          </c:tx>
          <c:spPr>
            <a:solidFill>
              <a:srgbClr val="A6CDE8"/>
            </a:solidFill>
            <a:ln>
              <a:noFill/>
            </a:ln>
          </c:spPr>
          <c:invertIfNegative val="0"/>
          <c:cat>
            <c:multiLvlStrRef>
              <c:f>'Trh práce 1'!$AA$8:$AB$46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c:v>
                  </c:pt>
                </c:lvl>
                <c:lvl>
                  <c:pt idx="0">
                    <c:v>2010</c:v>
                  </c:pt>
                  <c:pt idx="4">
                    <c:v>2011</c:v>
                  </c:pt>
                  <c:pt idx="8">
                    <c:v>2012</c:v>
                  </c:pt>
                  <c:pt idx="12">
                    <c:v>2013</c:v>
                  </c:pt>
                  <c:pt idx="16">
                    <c:v>2014</c:v>
                  </c:pt>
                  <c:pt idx="20">
                    <c:v>2015</c:v>
                  </c:pt>
                  <c:pt idx="24">
                    <c:v>2016</c:v>
                  </c:pt>
                  <c:pt idx="28">
                    <c:v>2017</c:v>
                  </c:pt>
                  <c:pt idx="32">
                    <c:v>2018</c:v>
                  </c:pt>
                  <c:pt idx="36">
                    <c:v>2 019</c:v>
                  </c:pt>
                </c:lvl>
              </c:multiLvlStrCache>
            </c:multiLvlStrRef>
          </c:cat>
          <c:val>
            <c:numRef>
              <c:f>'Trh práce 1'!$AD$8:$AD$46</c:f>
              <c:numCache>
                <c:formatCode>#\ ##0.0</c:formatCode>
                <c:ptCount val="39"/>
                <c:pt idx="0">
                  <c:v>-1.8445397057469493</c:v>
                </c:pt>
                <c:pt idx="1">
                  <c:v>-0.84745414755720294</c:v>
                </c:pt>
                <c:pt idx="2">
                  <c:v>-0.30166542154199055</c:v>
                </c:pt>
                <c:pt idx="3">
                  <c:v>-0.14324221591641934</c:v>
                </c:pt>
                <c:pt idx="4">
                  <c:v>0.97895076203027398</c:v>
                </c:pt>
                <c:pt idx="5">
                  <c:v>1.0641212428356823</c:v>
                </c:pt>
                <c:pt idx="6">
                  <c:v>0.95618180752734194</c:v>
                </c:pt>
                <c:pt idx="7">
                  <c:v>0.57685118438258809</c:v>
                </c:pt>
                <c:pt idx="8">
                  <c:v>0.15618372903976085</c:v>
                </c:pt>
                <c:pt idx="9">
                  <c:v>0.13240673035543943</c:v>
                </c:pt>
                <c:pt idx="10">
                  <c:v>0.31011051427221825</c:v>
                </c:pt>
                <c:pt idx="11">
                  <c:v>0.41899305405892617</c:v>
                </c:pt>
                <c:pt idx="12">
                  <c:v>-4.4405396456619534E-2</c:v>
                </c:pt>
                <c:pt idx="13">
                  <c:v>4.3158507126686806E-2</c:v>
                </c:pt>
                <c:pt idx="14">
                  <c:v>-0.10553280483596787</c:v>
                </c:pt>
                <c:pt idx="15">
                  <c:v>-5.7317610619337468E-2</c:v>
                </c:pt>
                <c:pt idx="16">
                  <c:v>0.20769043377309038</c:v>
                </c:pt>
                <c:pt idx="17">
                  <c:v>0.1994111278121122</c:v>
                </c:pt>
                <c:pt idx="18">
                  <c:v>0.39457126264967202</c:v>
                </c:pt>
                <c:pt idx="19">
                  <c:v>0.53106915941992727</c:v>
                </c:pt>
                <c:pt idx="20">
                  <c:v>0.90470735488586451</c:v>
                </c:pt>
                <c:pt idx="21">
                  <c:v>0.96187925091846294</c:v>
                </c:pt>
                <c:pt idx="22">
                  <c:v>0.80659111223260482</c:v>
                </c:pt>
                <c:pt idx="23">
                  <c:v>0.97639755522586125</c:v>
                </c:pt>
                <c:pt idx="24">
                  <c:v>0.88338166621127856</c:v>
                </c:pt>
                <c:pt idx="25">
                  <c:v>0.66590302024601566</c:v>
                </c:pt>
                <c:pt idx="26">
                  <c:v>0.72234156147423922</c:v>
                </c:pt>
                <c:pt idx="27">
                  <c:v>0.58981738346396817</c:v>
                </c:pt>
                <c:pt idx="28">
                  <c:v>0.19983341803764565</c:v>
                </c:pt>
                <c:pt idx="29">
                  <c:v>0.32012257424933233</c:v>
                </c:pt>
                <c:pt idx="30">
                  <c:v>0.43319496242521982</c:v>
                </c:pt>
                <c:pt idx="31">
                  <c:v>0.42405404961421206</c:v>
                </c:pt>
                <c:pt idx="32">
                  <c:v>0.45816951651004673</c:v>
                </c:pt>
                <c:pt idx="33">
                  <c:v>0.37332186131712708</c:v>
                </c:pt>
                <c:pt idx="34">
                  <c:v>0.1992303505224699</c:v>
                </c:pt>
                <c:pt idx="35">
                  <c:v>0.17982694682034031</c:v>
                </c:pt>
                <c:pt idx="36">
                  <c:v>0.26873435612605362</c:v>
                </c:pt>
                <c:pt idx="37">
                  <c:v>0.15849526506000094</c:v>
                </c:pt>
              </c:numCache>
            </c:numRef>
          </c:val>
          <c:extLst>
            <c:ext xmlns:c16="http://schemas.microsoft.com/office/drawing/2014/chart" uri="{C3380CC4-5D6E-409C-BE32-E72D297353CC}">
              <c16:uniqueId val="{00000001-5E74-4D9B-BC02-A44CAC1C1B0B}"/>
            </c:ext>
          </c:extLst>
        </c:ser>
        <c:ser>
          <c:idx val="2"/>
          <c:order val="2"/>
          <c:tx>
            <c:strRef>
              <c:f>'Trh práce 1'!$AE$7</c:f>
              <c:strCache>
                <c:ptCount val="1"/>
                <c:pt idx="0">
                  <c:v>Construction</c:v>
                </c:pt>
              </c:strCache>
            </c:strRef>
          </c:tx>
          <c:spPr>
            <a:solidFill>
              <a:srgbClr val="48AEE7"/>
            </a:solidFill>
            <a:ln w="19050">
              <a:noFill/>
            </a:ln>
          </c:spPr>
          <c:invertIfNegative val="0"/>
          <c:cat>
            <c:multiLvlStrRef>
              <c:f>'Trh práce 1'!$AA$8:$AB$46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c:v>
                  </c:pt>
                </c:lvl>
                <c:lvl>
                  <c:pt idx="0">
                    <c:v>2010</c:v>
                  </c:pt>
                  <c:pt idx="4">
                    <c:v>2011</c:v>
                  </c:pt>
                  <c:pt idx="8">
                    <c:v>2012</c:v>
                  </c:pt>
                  <c:pt idx="12">
                    <c:v>2013</c:v>
                  </c:pt>
                  <c:pt idx="16">
                    <c:v>2014</c:v>
                  </c:pt>
                  <c:pt idx="20">
                    <c:v>2015</c:v>
                  </c:pt>
                  <c:pt idx="24">
                    <c:v>2016</c:v>
                  </c:pt>
                  <c:pt idx="28">
                    <c:v>2017</c:v>
                  </c:pt>
                  <c:pt idx="32">
                    <c:v>2018</c:v>
                  </c:pt>
                  <c:pt idx="36">
                    <c:v>2 019</c:v>
                  </c:pt>
                </c:lvl>
              </c:multiLvlStrCache>
            </c:multiLvlStrRef>
          </c:cat>
          <c:val>
            <c:numRef>
              <c:f>'Trh práce 1'!$AE$8:$AE$46</c:f>
              <c:numCache>
                <c:formatCode>#\ ##0.0</c:formatCode>
                <c:ptCount val="39"/>
                <c:pt idx="0">
                  <c:v>9.3873585501888082E-2</c:v>
                </c:pt>
                <c:pt idx="1">
                  <c:v>0.14259143360406704</c:v>
                </c:pt>
                <c:pt idx="2">
                  <c:v>0.18371660463360132</c:v>
                </c:pt>
                <c:pt idx="3">
                  <c:v>0.1878450552621217</c:v>
                </c:pt>
                <c:pt idx="4">
                  <c:v>-0.46459117644017811</c:v>
                </c:pt>
                <c:pt idx="5">
                  <c:v>-0.4616879929060313</c:v>
                </c:pt>
                <c:pt idx="6">
                  <c:v>-0.50318816056641913</c:v>
                </c:pt>
                <c:pt idx="7">
                  <c:v>-0.48534290072386538</c:v>
                </c:pt>
                <c:pt idx="8">
                  <c:v>-8.5917913180643235E-2</c:v>
                </c:pt>
                <c:pt idx="9">
                  <c:v>-5.8137026020918761E-2</c:v>
                </c:pt>
                <c:pt idx="10">
                  <c:v>-0.14837747801088627</c:v>
                </c:pt>
                <c:pt idx="11">
                  <c:v>-0.16295719235324882</c:v>
                </c:pt>
                <c:pt idx="12">
                  <c:v>-0.2112283521210945</c:v>
                </c:pt>
                <c:pt idx="13">
                  <c:v>-0.32386665444105772</c:v>
                </c:pt>
                <c:pt idx="14">
                  <c:v>-0.19405752472914967</c:v>
                </c:pt>
                <c:pt idx="15">
                  <c:v>-9.30623842748034E-2</c:v>
                </c:pt>
                <c:pt idx="16">
                  <c:v>-0.43150295601258509</c:v>
                </c:pt>
                <c:pt idx="17">
                  <c:v>-0.30664293593782627</c:v>
                </c:pt>
                <c:pt idx="18">
                  <c:v>-0.36558411945062813</c:v>
                </c:pt>
                <c:pt idx="19">
                  <c:v>-0.44482059984761585</c:v>
                </c:pt>
                <c:pt idx="20">
                  <c:v>-9.9424868399593299E-3</c:v>
                </c:pt>
                <c:pt idx="21">
                  <c:v>-3.3539559125437316E-3</c:v>
                </c:pt>
                <c:pt idx="22">
                  <c:v>-5.6760622044817514E-2</c:v>
                </c:pt>
                <c:pt idx="23">
                  <c:v>-7.8859282070708484E-2</c:v>
                </c:pt>
                <c:pt idx="24">
                  <c:v>-0.17401000397426594</c:v>
                </c:pt>
                <c:pt idx="25">
                  <c:v>-0.19657276720170863</c:v>
                </c:pt>
                <c:pt idx="26">
                  <c:v>-9.6037081884339681E-2</c:v>
                </c:pt>
                <c:pt idx="27">
                  <c:v>-6.2672903197279528E-2</c:v>
                </c:pt>
                <c:pt idx="28">
                  <c:v>-3.5906224401297321E-3</c:v>
                </c:pt>
                <c:pt idx="29">
                  <c:v>3.1746122268193882E-3</c:v>
                </c:pt>
                <c:pt idx="30">
                  <c:v>5.6715927469711339E-2</c:v>
                </c:pt>
                <c:pt idx="31">
                  <c:v>-8.3930904378625562E-2</c:v>
                </c:pt>
                <c:pt idx="32">
                  <c:v>9.0738004317254872E-2</c:v>
                </c:pt>
                <c:pt idx="33">
                  <c:v>3.6006328112165767E-2</c:v>
                </c:pt>
                <c:pt idx="34">
                  <c:v>3.049463149184509E-2</c:v>
                </c:pt>
                <c:pt idx="35">
                  <c:v>0.10318916331314207</c:v>
                </c:pt>
                <c:pt idx="36">
                  <c:v>6.429078199620672E-2</c:v>
                </c:pt>
                <c:pt idx="37">
                  <c:v>9.0921765969956325E-2</c:v>
                </c:pt>
              </c:numCache>
            </c:numRef>
          </c:val>
          <c:extLst>
            <c:ext xmlns:c16="http://schemas.microsoft.com/office/drawing/2014/chart" uri="{C3380CC4-5D6E-409C-BE32-E72D297353CC}">
              <c16:uniqueId val="{00000002-5E74-4D9B-BC02-A44CAC1C1B0B}"/>
            </c:ext>
          </c:extLst>
        </c:ser>
        <c:ser>
          <c:idx val="3"/>
          <c:order val="3"/>
          <c:tx>
            <c:strRef>
              <c:f>'Trh práce 1'!$AF$7</c:f>
              <c:strCache>
                <c:ptCount val="1"/>
                <c:pt idx="0">
                  <c:v>Trade, transport., accommod.&amp; food service</c:v>
                </c:pt>
              </c:strCache>
            </c:strRef>
          </c:tx>
          <c:spPr>
            <a:solidFill>
              <a:srgbClr val="FDDEB3"/>
            </a:solidFill>
            <a:ln w="19050">
              <a:noFill/>
            </a:ln>
          </c:spPr>
          <c:invertIfNegative val="0"/>
          <c:cat>
            <c:multiLvlStrRef>
              <c:f>'Trh práce 1'!$AA$8:$AB$46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c:v>
                  </c:pt>
                </c:lvl>
                <c:lvl>
                  <c:pt idx="0">
                    <c:v>2010</c:v>
                  </c:pt>
                  <c:pt idx="4">
                    <c:v>2011</c:v>
                  </c:pt>
                  <c:pt idx="8">
                    <c:v>2012</c:v>
                  </c:pt>
                  <c:pt idx="12">
                    <c:v>2013</c:v>
                  </c:pt>
                  <c:pt idx="16">
                    <c:v>2014</c:v>
                  </c:pt>
                  <c:pt idx="20">
                    <c:v>2015</c:v>
                  </c:pt>
                  <c:pt idx="24">
                    <c:v>2016</c:v>
                  </c:pt>
                  <c:pt idx="28">
                    <c:v>2017</c:v>
                  </c:pt>
                  <c:pt idx="32">
                    <c:v>2018</c:v>
                  </c:pt>
                  <c:pt idx="36">
                    <c:v>2 019</c:v>
                  </c:pt>
                </c:lvl>
              </c:multiLvlStrCache>
            </c:multiLvlStrRef>
          </c:cat>
          <c:val>
            <c:numRef>
              <c:f>'Trh práce 1'!$AF$8:$AF$46</c:f>
              <c:numCache>
                <c:formatCode>#\ ##0.0</c:formatCode>
                <c:ptCount val="39"/>
                <c:pt idx="0">
                  <c:v>-0.36020586170372848</c:v>
                </c:pt>
                <c:pt idx="1">
                  <c:v>-0.12853367400426938</c:v>
                </c:pt>
                <c:pt idx="2">
                  <c:v>0.13275641462376636</c:v>
                </c:pt>
                <c:pt idx="3">
                  <c:v>0.29832589360603401</c:v>
                </c:pt>
                <c:pt idx="4">
                  <c:v>-6.8329822215403707E-2</c:v>
                </c:pt>
                <c:pt idx="5">
                  <c:v>-7.5578817344047824E-2</c:v>
                </c:pt>
                <c:pt idx="6">
                  <c:v>-9.226004151702058E-2</c:v>
                </c:pt>
                <c:pt idx="7">
                  <c:v>-0.1522180456464855</c:v>
                </c:pt>
                <c:pt idx="8">
                  <c:v>-0.13386609977903038</c:v>
                </c:pt>
                <c:pt idx="9">
                  <c:v>-9.5588593345255934E-2</c:v>
                </c:pt>
                <c:pt idx="10">
                  <c:v>-9.2577400810211111E-2</c:v>
                </c:pt>
                <c:pt idx="11">
                  <c:v>-0.19122243914977163</c:v>
                </c:pt>
                <c:pt idx="12">
                  <c:v>0.21176431354457628</c:v>
                </c:pt>
                <c:pt idx="13">
                  <c:v>0.14567972277377983</c:v>
                </c:pt>
                <c:pt idx="14">
                  <c:v>1.7303364195265018E-2</c:v>
                </c:pt>
                <c:pt idx="15">
                  <c:v>2.2222384062236263E-2</c:v>
                </c:pt>
                <c:pt idx="16">
                  <c:v>-7.053413704051871E-2</c:v>
                </c:pt>
                <c:pt idx="17">
                  <c:v>-0.25891457624497549</c:v>
                </c:pt>
                <c:pt idx="18">
                  <c:v>-0.10855429474811551</c:v>
                </c:pt>
                <c:pt idx="19">
                  <c:v>0.17354005176094334</c:v>
                </c:pt>
                <c:pt idx="20">
                  <c:v>0.11952598309777195</c:v>
                </c:pt>
                <c:pt idx="21">
                  <c:v>0.37489773866877718</c:v>
                </c:pt>
                <c:pt idx="22">
                  <c:v>0.24119355235297801</c:v>
                </c:pt>
                <c:pt idx="23">
                  <c:v>7.7144526246092138E-2</c:v>
                </c:pt>
                <c:pt idx="24">
                  <c:v>0.14837520802801801</c:v>
                </c:pt>
                <c:pt idx="25">
                  <c:v>0.19616793949638001</c:v>
                </c:pt>
                <c:pt idx="26">
                  <c:v>1.7240391808152546E-2</c:v>
                </c:pt>
                <c:pt idx="27">
                  <c:v>6.7594456331789815E-2</c:v>
                </c:pt>
                <c:pt idx="28">
                  <c:v>0.34445146653053038</c:v>
                </c:pt>
                <c:pt idx="29">
                  <c:v>0.15720983901674454</c:v>
                </c:pt>
                <c:pt idx="30">
                  <c:v>0.48991088989493115</c:v>
                </c:pt>
                <c:pt idx="31">
                  <c:v>0.35079152790688539</c:v>
                </c:pt>
                <c:pt idx="32">
                  <c:v>0.23807198021343226</c:v>
                </c:pt>
                <c:pt idx="33">
                  <c:v>0.49561210382724846</c:v>
                </c:pt>
                <c:pt idx="34">
                  <c:v>0.33069071364889069</c:v>
                </c:pt>
                <c:pt idx="35">
                  <c:v>0.36335917034571769</c:v>
                </c:pt>
                <c:pt idx="36">
                  <c:v>0.44030006568154961</c:v>
                </c:pt>
                <c:pt idx="37">
                  <c:v>0.12153639710791321</c:v>
                </c:pt>
              </c:numCache>
            </c:numRef>
          </c:val>
          <c:extLst>
            <c:ext xmlns:c16="http://schemas.microsoft.com/office/drawing/2014/chart" uri="{C3380CC4-5D6E-409C-BE32-E72D297353CC}">
              <c16:uniqueId val="{00000003-5E74-4D9B-BC02-A44CAC1C1B0B}"/>
            </c:ext>
          </c:extLst>
        </c:ser>
        <c:ser>
          <c:idx val="4"/>
          <c:order val="4"/>
          <c:tx>
            <c:strRef>
              <c:f>'Trh práce 1'!$AG$7</c:f>
              <c:strCache>
                <c:ptCount val="1"/>
                <c:pt idx="0">
                  <c:v>Information and communication activities</c:v>
                </c:pt>
              </c:strCache>
            </c:strRef>
          </c:tx>
          <c:spPr>
            <a:solidFill>
              <a:srgbClr val="F8A124"/>
            </a:solidFill>
            <a:ln w="19050">
              <a:noFill/>
            </a:ln>
          </c:spPr>
          <c:invertIfNegative val="0"/>
          <c:cat>
            <c:multiLvlStrRef>
              <c:f>'Trh práce 1'!$AA$8:$AB$46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c:v>
                  </c:pt>
                </c:lvl>
                <c:lvl>
                  <c:pt idx="0">
                    <c:v>2010</c:v>
                  </c:pt>
                  <c:pt idx="4">
                    <c:v>2011</c:v>
                  </c:pt>
                  <c:pt idx="8">
                    <c:v>2012</c:v>
                  </c:pt>
                  <c:pt idx="12">
                    <c:v>2013</c:v>
                  </c:pt>
                  <c:pt idx="16">
                    <c:v>2014</c:v>
                  </c:pt>
                  <c:pt idx="20">
                    <c:v>2015</c:v>
                  </c:pt>
                  <c:pt idx="24">
                    <c:v>2016</c:v>
                  </c:pt>
                  <c:pt idx="28">
                    <c:v>2017</c:v>
                  </c:pt>
                  <c:pt idx="32">
                    <c:v>2018</c:v>
                  </c:pt>
                  <c:pt idx="36">
                    <c:v>2 019</c:v>
                  </c:pt>
                </c:lvl>
              </c:multiLvlStrCache>
            </c:multiLvlStrRef>
          </c:cat>
          <c:val>
            <c:numRef>
              <c:f>'Trh práce 1'!$AG$8:$AG$46</c:f>
              <c:numCache>
                <c:formatCode>#\ ##0.0</c:formatCode>
                <c:ptCount val="39"/>
                <c:pt idx="0">
                  <c:v>-6.5149774021976622E-2</c:v>
                </c:pt>
                <c:pt idx="1">
                  <c:v>-7.6291207174423364E-2</c:v>
                </c:pt>
                <c:pt idx="2">
                  <c:v>-6.7461209804364208E-2</c:v>
                </c:pt>
                <c:pt idx="3">
                  <c:v>-8.1706086235047687E-2</c:v>
                </c:pt>
                <c:pt idx="4">
                  <c:v>-4.2740879497316725E-2</c:v>
                </c:pt>
                <c:pt idx="5">
                  <c:v>-8.5021220663353964E-2</c:v>
                </c:pt>
                <c:pt idx="6">
                  <c:v>-0.13312200601268986</c:v>
                </c:pt>
                <c:pt idx="7">
                  <c:v>-0.16262881353526068</c:v>
                </c:pt>
                <c:pt idx="8">
                  <c:v>2.0452867349167209E-2</c:v>
                </c:pt>
                <c:pt idx="9">
                  <c:v>3.5175177132847339E-2</c:v>
                </c:pt>
                <c:pt idx="10">
                  <c:v>5.3501494475079188E-2</c:v>
                </c:pt>
                <c:pt idx="11">
                  <c:v>7.2421004792777327E-2</c:v>
                </c:pt>
                <c:pt idx="12">
                  <c:v>4.0772769030798621E-2</c:v>
                </c:pt>
                <c:pt idx="13">
                  <c:v>7.3946489774753682E-2</c:v>
                </c:pt>
                <c:pt idx="14">
                  <c:v>3.1102747927780124E-2</c:v>
                </c:pt>
                <c:pt idx="15">
                  <c:v>3.2260839218782318E-2</c:v>
                </c:pt>
                <c:pt idx="16">
                  <c:v>0.10151383644655047</c:v>
                </c:pt>
                <c:pt idx="17">
                  <c:v>6.5783495760870003E-2</c:v>
                </c:pt>
                <c:pt idx="18">
                  <c:v>8.4444228559494211E-2</c:v>
                </c:pt>
                <c:pt idx="19">
                  <c:v>8.3631389044563909E-2</c:v>
                </c:pt>
                <c:pt idx="20">
                  <c:v>8.1544111434449038E-3</c:v>
                </c:pt>
                <c:pt idx="21">
                  <c:v>5.1741144428598625E-2</c:v>
                </c:pt>
                <c:pt idx="22">
                  <c:v>7.4410360924456034E-2</c:v>
                </c:pt>
                <c:pt idx="23">
                  <c:v>0.10021578643183933</c:v>
                </c:pt>
                <c:pt idx="24">
                  <c:v>0.13486891129933629</c:v>
                </c:pt>
                <c:pt idx="25">
                  <c:v>0.11759280964307371</c:v>
                </c:pt>
                <c:pt idx="26">
                  <c:v>0.14031441923503121</c:v>
                </c:pt>
                <c:pt idx="27">
                  <c:v>0.17559947785397276</c:v>
                </c:pt>
                <c:pt idx="28">
                  <c:v>9.0644117557743126E-2</c:v>
                </c:pt>
                <c:pt idx="29">
                  <c:v>7.406161218975052E-2</c:v>
                </c:pt>
                <c:pt idx="30">
                  <c:v>8.9214571776702653E-2</c:v>
                </c:pt>
                <c:pt idx="31">
                  <c:v>6.8674173054006998E-2</c:v>
                </c:pt>
                <c:pt idx="32">
                  <c:v>8.6936080054221168E-2</c:v>
                </c:pt>
                <c:pt idx="33">
                  <c:v>0.10033013302087858</c:v>
                </c:pt>
                <c:pt idx="34">
                  <c:v>0.10094710327080546</c:v>
                </c:pt>
                <c:pt idx="35">
                  <c:v>0.12648213395636487</c:v>
                </c:pt>
                <c:pt idx="36">
                  <c:v>0.15426449824818106</c:v>
                </c:pt>
                <c:pt idx="37">
                  <c:v>8.2272210546039587E-2</c:v>
                </c:pt>
              </c:numCache>
            </c:numRef>
          </c:val>
          <c:extLst>
            <c:ext xmlns:c16="http://schemas.microsoft.com/office/drawing/2014/chart" uri="{C3380CC4-5D6E-409C-BE32-E72D297353CC}">
              <c16:uniqueId val="{00000004-5E74-4D9B-BC02-A44CAC1C1B0B}"/>
            </c:ext>
          </c:extLst>
        </c:ser>
        <c:ser>
          <c:idx val="5"/>
          <c:order val="5"/>
          <c:tx>
            <c:strRef>
              <c:f>'Trh práce 1'!$AH$7</c:f>
              <c:strCache>
                <c:ptCount val="1"/>
                <c:pt idx="0">
                  <c:v>Professional, scientific, technic. &amp; admin.act.</c:v>
                </c:pt>
              </c:strCache>
            </c:strRef>
          </c:tx>
          <c:spPr>
            <a:solidFill>
              <a:srgbClr val="E8C0BE"/>
            </a:solidFill>
            <a:ln w="19050">
              <a:noFill/>
            </a:ln>
          </c:spPr>
          <c:invertIfNegative val="0"/>
          <c:cat>
            <c:multiLvlStrRef>
              <c:f>'Trh práce 1'!$AA$8:$AB$46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c:v>
                  </c:pt>
                </c:lvl>
                <c:lvl>
                  <c:pt idx="0">
                    <c:v>2010</c:v>
                  </c:pt>
                  <c:pt idx="4">
                    <c:v>2011</c:v>
                  </c:pt>
                  <c:pt idx="8">
                    <c:v>2012</c:v>
                  </c:pt>
                  <c:pt idx="12">
                    <c:v>2013</c:v>
                  </c:pt>
                  <c:pt idx="16">
                    <c:v>2014</c:v>
                  </c:pt>
                  <c:pt idx="20">
                    <c:v>2015</c:v>
                  </c:pt>
                  <c:pt idx="24">
                    <c:v>2016</c:v>
                  </c:pt>
                  <c:pt idx="28">
                    <c:v>2017</c:v>
                  </c:pt>
                  <c:pt idx="32">
                    <c:v>2018</c:v>
                  </c:pt>
                  <c:pt idx="36">
                    <c:v>2 019</c:v>
                  </c:pt>
                </c:lvl>
              </c:multiLvlStrCache>
            </c:multiLvlStrRef>
          </c:cat>
          <c:val>
            <c:numRef>
              <c:f>'Trh práce 1'!$AH$8:$AH$46</c:f>
              <c:numCache>
                <c:formatCode>#\ ##0.0</c:formatCode>
                <c:ptCount val="39"/>
                <c:pt idx="0">
                  <c:v>-0.14466145378390899</c:v>
                </c:pt>
                <c:pt idx="1">
                  <c:v>-5.9633055325984431E-2</c:v>
                </c:pt>
                <c:pt idx="2">
                  <c:v>-1.1086007332124065E-2</c:v>
                </c:pt>
                <c:pt idx="3">
                  <c:v>-4.801712749030701E-2</c:v>
                </c:pt>
                <c:pt idx="4">
                  <c:v>-0.20814589945627768</c:v>
                </c:pt>
                <c:pt idx="5">
                  <c:v>-0.2444929211671909</c:v>
                </c:pt>
                <c:pt idx="6">
                  <c:v>-0.38620574265486762</c:v>
                </c:pt>
                <c:pt idx="7">
                  <c:v>-0.28641442112187154</c:v>
                </c:pt>
                <c:pt idx="8">
                  <c:v>0.11845205716961922</c:v>
                </c:pt>
                <c:pt idx="9">
                  <c:v>0.13220878338226638</c:v>
                </c:pt>
                <c:pt idx="10">
                  <c:v>0.20877472066275349</c:v>
                </c:pt>
                <c:pt idx="11">
                  <c:v>0.25063308789776856</c:v>
                </c:pt>
                <c:pt idx="12">
                  <c:v>4.9745160268345349E-2</c:v>
                </c:pt>
                <c:pt idx="13">
                  <c:v>0.1597497122766191</c:v>
                </c:pt>
                <c:pt idx="14">
                  <c:v>0.21476644296967162</c:v>
                </c:pt>
                <c:pt idx="15">
                  <c:v>0.19659625510506271</c:v>
                </c:pt>
                <c:pt idx="16">
                  <c:v>0.32279740363249149</c:v>
                </c:pt>
                <c:pt idx="17">
                  <c:v>0.2331663822001481</c:v>
                </c:pt>
                <c:pt idx="18">
                  <c:v>0.12619436764468428</c:v>
                </c:pt>
                <c:pt idx="19">
                  <c:v>7.9184166944782391E-2</c:v>
                </c:pt>
                <c:pt idx="20">
                  <c:v>0.1111161325691107</c:v>
                </c:pt>
                <c:pt idx="21">
                  <c:v>0.1162900854121157</c:v>
                </c:pt>
                <c:pt idx="22">
                  <c:v>0.22348517646709487</c:v>
                </c:pt>
                <c:pt idx="23">
                  <c:v>0.33878119053158823</c:v>
                </c:pt>
                <c:pt idx="24">
                  <c:v>0.28107069226756642</c:v>
                </c:pt>
                <c:pt idx="25">
                  <c:v>0.26149942013250738</c:v>
                </c:pt>
                <c:pt idx="26">
                  <c:v>0.25212626677828454</c:v>
                </c:pt>
                <c:pt idx="27">
                  <c:v>0.25247952076376445</c:v>
                </c:pt>
                <c:pt idx="28">
                  <c:v>0.21874148301492455</c:v>
                </c:pt>
                <c:pt idx="29">
                  <c:v>0.15224831930896096</c:v>
                </c:pt>
                <c:pt idx="30">
                  <c:v>9.8996454779683676E-2</c:v>
                </c:pt>
                <c:pt idx="31">
                  <c:v>-3.5385042700909849E-2</c:v>
                </c:pt>
                <c:pt idx="32">
                  <c:v>0.34358478921623892</c:v>
                </c:pt>
                <c:pt idx="33">
                  <c:v>0.33864701721327578</c:v>
                </c:pt>
                <c:pt idx="34">
                  <c:v>0.27368792051202695</c:v>
                </c:pt>
                <c:pt idx="35">
                  <c:v>0.40067261012910577</c:v>
                </c:pt>
                <c:pt idx="36">
                  <c:v>2.8167781324556683E-2</c:v>
                </c:pt>
                <c:pt idx="37">
                  <c:v>5.698747603390771E-3</c:v>
                </c:pt>
              </c:numCache>
            </c:numRef>
          </c:val>
          <c:extLst>
            <c:ext xmlns:c16="http://schemas.microsoft.com/office/drawing/2014/chart" uri="{C3380CC4-5D6E-409C-BE32-E72D297353CC}">
              <c16:uniqueId val="{00000005-5E74-4D9B-BC02-A44CAC1C1B0B}"/>
            </c:ext>
          </c:extLst>
        </c:ser>
        <c:ser>
          <c:idx val="6"/>
          <c:order val="6"/>
          <c:tx>
            <c:strRef>
              <c:f>'Trh práce 1'!$AI$7</c:f>
              <c:strCache>
                <c:ptCount val="1"/>
                <c:pt idx="0">
                  <c:v>Public admin, education, health &amp; soc.work</c:v>
                </c:pt>
              </c:strCache>
            </c:strRef>
          </c:tx>
          <c:spPr>
            <a:solidFill>
              <a:srgbClr val="D58D8B"/>
            </a:solidFill>
            <a:ln>
              <a:noFill/>
            </a:ln>
          </c:spPr>
          <c:invertIfNegative val="0"/>
          <c:cat>
            <c:multiLvlStrRef>
              <c:f>'Trh práce 1'!$AA$8:$AB$46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c:v>
                  </c:pt>
                </c:lvl>
                <c:lvl>
                  <c:pt idx="0">
                    <c:v>2010</c:v>
                  </c:pt>
                  <c:pt idx="4">
                    <c:v>2011</c:v>
                  </c:pt>
                  <c:pt idx="8">
                    <c:v>2012</c:v>
                  </c:pt>
                  <c:pt idx="12">
                    <c:v>2013</c:v>
                  </c:pt>
                  <c:pt idx="16">
                    <c:v>2014</c:v>
                  </c:pt>
                  <c:pt idx="20">
                    <c:v>2015</c:v>
                  </c:pt>
                  <c:pt idx="24">
                    <c:v>2016</c:v>
                  </c:pt>
                  <c:pt idx="28">
                    <c:v>2017</c:v>
                  </c:pt>
                  <c:pt idx="32">
                    <c:v>2018</c:v>
                  </c:pt>
                  <c:pt idx="36">
                    <c:v>2 019</c:v>
                  </c:pt>
                </c:lvl>
              </c:multiLvlStrCache>
            </c:multiLvlStrRef>
          </c:cat>
          <c:val>
            <c:numRef>
              <c:f>'Trh práce 1'!$AI$8:$AI$46</c:f>
              <c:numCache>
                <c:formatCode>#\ ##0.0</c:formatCode>
                <c:ptCount val="39"/>
                <c:pt idx="0">
                  <c:v>-1.6350180324922723E-2</c:v>
                </c:pt>
                <c:pt idx="1">
                  <c:v>-4.5849021226043764E-2</c:v>
                </c:pt>
                <c:pt idx="2">
                  <c:v>-4.0523984173199516E-2</c:v>
                </c:pt>
                <c:pt idx="3">
                  <c:v>-3.1932475248383371E-2</c:v>
                </c:pt>
                <c:pt idx="4">
                  <c:v>-9.5506907227863799E-2</c:v>
                </c:pt>
                <c:pt idx="5">
                  <c:v>-0.1383104234632955</c:v>
                </c:pt>
                <c:pt idx="6">
                  <c:v>-0.17645028898347198</c:v>
                </c:pt>
                <c:pt idx="7">
                  <c:v>-0.12798540599628724</c:v>
                </c:pt>
                <c:pt idx="8">
                  <c:v>-0.43655266623256417</c:v>
                </c:pt>
                <c:pt idx="9">
                  <c:v>-0.32948273684650758</c:v>
                </c:pt>
                <c:pt idx="10">
                  <c:v>-6.1942841381147237E-2</c:v>
                </c:pt>
                <c:pt idx="11">
                  <c:v>4.6658513510212267E-2</c:v>
                </c:pt>
                <c:pt idx="12">
                  <c:v>0.15564716746372539</c:v>
                </c:pt>
                <c:pt idx="13">
                  <c:v>0.36566163730412671</c:v>
                </c:pt>
                <c:pt idx="14">
                  <c:v>0.18966770650896297</c:v>
                </c:pt>
                <c:pt idx="15">
                  <c:v>0.15604876957077865</c:v>
                </c:pt>
                <c:pt idx="16">
                  <c:v>0.27053891834616883</c:v>
                </c:pt>
                <c:pt idx="17">
                  <c:v>0.15953282727926976</c:v>
                </c:pt>
                <c:pt idx="18">
                  <c:v>0.34979261606607442</c:v>
                </c:pt>
                <c:pt idx="19">
                  <c:v>0.35300317366363104</c:v>
                </c:pt>
                <c:pt idx="20">
                  <c:v>0.24091863862597104</c:v>
                </c:pt>
                <c:pt idx="21">
                  <c:v>0.23116797886105511</c:v>
                </c:pt>
                <c:pt idx="22">
                  <c:v>0.10859573556508476</c:v>
                </c:pt>
                <c:pt idx="23">
                  <c:v>0.11701259916842215</c:v>
                </c:pt>
                <c:pt idx="24">
                  <c:v>0.35147420452569478</c:v>
                </c:pt>
                <c:pt idx="25">
                  <c:v>0.3579255240398278</c:v>
                </c:pt>
                <c:pt idx="26">
                  <c:v>0.45544332587599401</c:v>
                </c:pt>
                <c:pt idx="27">
                  <c:v>0.56982357385502003</c:v>
                </c:pt>
                <c:pt idx="28">
                  <c:v>0.51153000432975859</c:v>
                </c:pt>
                <c:pt idx="29">
                  <c:v>0.56363624266583745</c:v>
                </c:pt>
                <c:pt idx="30">
                  <c:v>0.64341997422520814</c:v>
                </c:pt>
                <c:pt idx="31">
                  <c:v>0.65113010272047778</c:v>
                </c:pt>
                <c:pt idx="32">
                  <c:v>0.2383731227293161</c:v>
                </c:pt>
                <c:pt idx="33">
                  <c:v>0.26982242129054224</c:v>
                </c:pt>
                <c:pt idx="34">
                  <c:v>0.15850874732077574</c:v>
                </c:pt>
                <c:pt idx="35">
                  <c:v>0.13506571466501852</c:v>
                </c:pt>
                <c:pt idx="36">
                  <c:v>0.46040136584996261</c:v>
                </c:pt>
                <c:pt idx="37">
                  <c:v>0.38380788470603672</c:v>
                </c:pt>
              </c:numCache>
            </c:numRef>
          </c:val>
          <c:extLst>
            <c:ext xmlns:c16="http://schemas.microsoft.com/office/drawing/2014/chart" uri="{C3380CC4-5D6E-409C-BE32-E72D297353CC}">
              <c16:uniqueId val="{00000006-5E74-4D9B-BC02-A44CAC1C1B0B}"/>
            </c:ext>
          </c:extLst>
        </c:ser>
        <c:ser>
          <c:idx val="7"/>
          <c:order val="7"/>
          <c:tx>
            <c:strRef>
              <c:f>'Trh práce 1'!$AJ$7</c:f>
              <c:strCache>
                <c:ptCount val="1"/>
                <c:pt idx="0">
                  <c:v>Other branches*</c:v>
                </c:pt>
              </c:strCache>
            </c:strRef>
          </c:tx>
          <c:spPr>
            <a:solidFill>
              <a:schemeClr val="bg1">
                <a:lumMod val="85000"/>
              </a:schemeClr>
            </a:solidFill>
            <a:ln>
              <a:noFill/>
            </a:ln>
          </c:spPr>
          <c:invertIfNegative val="0"/>
          <c:cat>
            <c:multiLvlStrRef>
              <c:f>'Trh práce 1'!$AA$8:$AB$46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c:v>
                  </c:pt>
                </c:lvl>
                <c:lvl>
                  <c:pt idx="0">
                    <c:v>2010</c:v>
                  </c:pt>
                  <c:pt idx="4">
                    <c:v>2011</c:v>
                  </c:pt>
                  <c:pt idx="8">
                    <c:v>2012</c:v>
                  </c:pt>
                  <c:pt idx="12">
                    <c:v>2013</c:v>
                  </c:pt>
                  <c:pt idx="16">
                    <c:v>2014</c:v>
                  </c:pt>
                  <c:pt idx="20">
                    <c:v>2015</c:v>
                  </c:pt>
                  <c:pt idx="24">
                    <c:v>2016</c:v>
                  </c:pt>
                  <c:pt idx="28">
                    <c:v>2017</c:v>
                  </c:pt>
                  <c:pt idx="32">
                    <c:v>2018</c:v>
                  </c:pt>
                  <c:pt idx="36">
                    <c:v>2 019</c:v>
                  </c:pt>
                </c:lvl>
              </c:multiLvlStrCache>
            </c:multiLvlStrRef>
          </c:cat>
          <c:val>
            <c:numRef>
              <c:f>'Trh práce 1'!$AJ$8:$AJ$46</c:f>
              <c:numCache>
                <c:formatCode>#\ ##0.0</c:formatCode>
                <c:ptCount val="39"/>
                <c:pt idx="0">
                  <c:v>-0.19191675654118268</c:v>
                </c:pt>
                <c:pt idx="1">
                  <c:v>-3.8262914515721801E-2</c:v>
                </c:pt>
                <c:pt idx="2">
                  <c:v>4.6096524270874649E-2</c:v>
                </c:pt>
                <c:pt idx="3">
                  <c:v>4.9102594819516579E-2</c:v>
                </c:pt>
                <c:pt idx="4">
                  <c:v>-0.13338410094866282</c:v>
                </c:pt>
                <c:pt idx="5">
                  <c:v>-0.15119722547769443</c:v>
                </c:pt>
                <c:pt idx="6">
                  <c:v>-0.15212252354495906</c:v>
                </c:pt>
                <c:pt idx="7">
                  <c:v>-0.13638500281563992</c:v>
                </c:pt>
                <c:pt idx="8">
                  <c:v>0.26931923097215715</c:v>
                </c:pt>
                <c:pt idx="9">
                  <c:v>0.32105019578933652</c:v>
                </c:pt>
                <c:pt idx="10">
                  <c:v>0.32895492954844058</c:v>
                </c:pt>
                <c:pt idx="11">
                  <c:v>0.4005401979282377</c:v>
                </c:pt>
                <c:pt idx="12">
                  <c:v>0.23332187302239873</c:v>
                </c:pt>
                <c:pt idx="13">
                  <c:v>0.15289256851610616</c:v>
                </c:pt>
                <c:pt idx="14">
                  <c:v>-7.2835548944801556E-2</c:v>
                </c:pt>
                <c:pt idx="15">
                  <c:v>-0.23094351833677418</c:v>
                </c:pt>
                <c:pt idx="16">
                  <c:v>0.16050961605523084</c:v>
                </c:pt>
                <c:pt idx="17">
                  <c:v>3.8229788109240673E-2</c:v>
                </c:pt>
                <c:pt idx="18">
                  <c:v>0.16444402403690977</c:v>
                </c:pt>
                <c:pt idx="19">
                  <c:v>0.21779581504593726</c:v>
                </c:pt>
                <c:pt idx="20">
                  <c:v>-9.3844500291790034E-2</c:v>
                </c:pt>
                <c:pt idx="21">
                  <c:v>4.4248681512857657E-2</c:v>
                </c:pt>
                <c:pt idx="22">
                  <c:v>-7.6228108118039234E-4</c:v>
                </c:pt>
                <c:pt idx="23">
                  <c:v>-9.6493986857956113E-2</c:v>
                </c:pt>
                <c:pt idx="24">
                  <c:v>0.10669198191708645</c:v>
                </c:pt>
                <c:pt idx="25">
                  <c:v>6.5331480636127356E-2</c:v>
                </c:pt>
                <c:pt idx="26">
                  <c:v>9.622992743029217E-2</c:v>
                </c:pt>
                <c:pt idx="27">
                  <c:v>0.16268040087588326</c:v>
                </c:pt>
                <c:pt idx="28">
                  <c:v>3.7625139399231761E-3</c:v>
                </c:pt>
                <c:pt idx="29">
                  <c:v>5.6876884926009626E-2</c:v>
                </c:pt>
                <c:pt idx="30">
                  <c:v>0.10630912459744618</c:v>
                </c:pt>
                <c:pt idx="31">
                  <c:v>0.11559617471449846</c:v>
                </c:pt>
                <c:pt idx="32">
                  <c:v>9.1227360905566143E-2</c:v>
                </c:pt>
                <c:pt idx="33">
                  <c:v>0.10704381295012616</c:v>
                </c:pt>
                <c:pt idx="34">
                  <c:v>-9.1018185381279842E-2</c:v>
                </c:pt>
                <c:pt idx="35">
                  <c:v>-7.6172296483952406E-2</c:v>
                </c:pt>
                <c:pt idx="36">
                  <c:v>-3.8088625964871239E-2</c:v>
                </c:pt>
                <c:pt idx="37">
                  <c:v>2.9544963303016234E-2</c:v>
                </c:pt>
              </c:numCache>
            </c:numRef>
          </c:val>
          <c:extLst>
            <c:ext xmlns:c16="http://schemas.microsoft.com/office/drawing/2014/chart" uri="{C3380CC4-5D6E-409C-BE32-E72D297353CC}">
              <c16:uniqueId val="{00000007-5E74-4D9B-BC02-A44CAC1C1B0B}"/>
            </c:ext>
          </c:extLst>
        </c:ser>
        <c:dLbls>
          <c:showLegendKey val="0"/>
          <c:showVal val="0"/>
          <c:showCatName val="0"/>
          <c:showSerName val="0"/>
          <c:showPercent val="0"/>
          <c:showBubbleSize val="0"/>
        </c:dLbls>
        <c:gapWidth val="47"/>
        <c:overlap val="100"/>
        <c:axId val="101898496"/>
        <c:axId val="101781504"/>
      </c:barChart>
      <c:lineChart>
        <c:grouping val="standard"/>
        <c:varyColors val="0"/>
        <c:ser>
          <c:idx val="8"/>
          <c:order val="8"/>
          <c:tx>
            <c:strRef>
              <c:f>'Trh práce 1'!$AK$7</c:f>
              <c:strCache>
                <c:ptCount val="1"/>
                <c:pt idx="0">
                  <c:v>Total employment</c:v>
                </c:pt>
              </c:strCache>
            </c:strRef>
          </c:tx>
          <c:spPr>
            <a:ln w="22225">
              <a:solidFill>
                <a:schemeClr val="tx1">
                  <a:lumMod val="95000"/>
                  <a:lumOff val="5000"/>
                </a:schemeClr>
              </a:solidFill>
            </a:ln>
          </c:spPr>
          <c:marker>
            <c:symbol val="none"/>
          </c:marker>
          <c:cat>
            <c:multiLvlStrRef>
              <c:f>'Trh práce 1'!$AA$8:$AB$46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c:v>
                  </c:pt>
                </c:lvl>
                <c:lvl>
                  <c:pt idx="0">
                    <c:v>2010</c:v>
                  </c:pt>
                  <c:pt idx="4">
                    <c:v>2011</c:v>
                  </c:pt>
                  <c:pt idx="8">
                    <c:v>2012</c:v>
                  </c:pt>
                  <c:pt idx="12">
                    <c:v>2013</c:v>
                  </c:pt>
                  <c:pt idx="16">
                    <c:v>2014</c:v>
                  </c:pt>
                  <c:pt idx="20">
                    <c:v>2015</c:v>
                  </c:pt>
                  <c:pt idx="24">
                    <c:v>2016</c:v>
                  </c:pt>
                  <c:pt idx="28">
                    <c:v>2017</c:v>
                  </c:pt>
                  <c:pt idx="32">
                    <c:v>2018</c:v>
                  </c:pt>
                  <c:pt idx="36">
                    <c:v>2 019</c:v>
                  </c:pt>
                </c:lvl>
              </c:multiLvlStrCache>
            </c:multiLvlStrRef>
          </c:cat>
          <c:val>
            <c:numRef>
              <c:f>'Trh práce 1'!$AK$8:$AK$46</c:f>
              <c:numCache>
                <c:formatCode>#\ ##0.0</c:formatCode>
                <c:ptCount val="39"/>
                <c:pt idx="0">
                  <c:v>-2.7611728966902263</c:v>
                </c:pt>
                <c:pt idx="1">
                  <c:v>-1.2304547773213699</c:v>
                </c:pt>
                <c:pt idx="2">
                  <c:v>-0.2006705163795317</c:v>
                </c:pt>
                <c:pt idx="3">
                  <c:v>9.3350190312023074E-2</c:v>
                </c:pt>
                <c:pt idx="4">
                  <c:v>6.9997371624495486E-2</c:v>
                </c:pt>
                <c:pt idx="5">
                  <c:v>3.5235802742903388E-3</c:v>
                </c:pt>
                <c:pt idx="6">
                  <c:v>-0.428054234540582</c:v>
                </c:pt>
                <c:pt idx="7">
                  <c:v>-0.73389998406837265</c:v>
                </c:pt>
                <c:pt idx="8">
                  <c:v>-6.312417449568386E-2</c:v>
                </c:pt>
                <c:pt idx="9">
                  <c:v>0.16940301964147864</c:v>
                </c:pt>
                <c:pt idx="10">
                  <c:v>0.66082271824052441</c:v>
                </c:pt>
                <c:pt idx="11">
                  <c:v>0.91394275165257</c:v>
                </c:pt>
                <c:pt idx="12">
                  <c:v>0.47051457854772138</c:v>
                </c:pt>
                <c:pt idx="13">
                  <c:v>0.69336196866028388</c:v>
                </c:pt>
                <c:pt idx="14">
                  <c:v>9.9922499038868295E-2</c:v>
                </c:pt>
                <c:pt idx="15">
                  <c:v>2.6788896996194467E-2</c:v>
                </c:pt>
                <c:pt idx="16">
                  <c:v>0.5510553546770609</c:v>
                </c:pt>
                <c:pt idx="17">
                  <c:v>5.7972686896661685E-2</c:v>
                </c:pt>
                <c:pt idx="18">
                  <c:v>0.6137644092551966</c:v>
                </c:pt>
                <c:pt idx="19">
                  <c:v>0.98590584797899794</c:v>
                </c:pt>
                <c:pt idx="20">
                  <c:v>1.2552291389531263</c:v>
                </c:pt>
                <c:pt idx="21">
                  <c:v>1.7443512811817357</c:v>
                </c:pt>
                <c:pt idx="22">
                  <c:v>1.3540066568638736</c:v>
                </c:pt>
                <c:pt idx="23">
                  <c:v>1.3578527827564244</c:v>
                </c:pt>
                <c:pt idx="24">
                  <c:v>1.6050176668570941</c:v>
                </c:pt>
                <c:pt idx="25">
                  <c:v>1.4090510221706865</c:v>
                </c:pt>
                <c:pt idx="26">
                  <c:v>1.5299979924778597</c:v>
                </c:pt>
                <c:pt idx="27">
                  <c:v>1.8150726409707829</c:v>
                </c:pt>
                <c:pt idx="28">
                  <c:v>1.4751728512273417</c:v>
                </c:pt>
                <c:pt idx="29">
                  <c:v>1.3670032325916708</c:v>
                </c:pt>
                <c:pt idx="30">
                  <c:v>1.9625116456640939</c:v>
                </c:pt>
                <c:pt idx="31">
                  <c:v>1.4104168354253801</c:v>
                </c:pt>
                <c:pt idx="32">
                  <c:v>1.4979393382280364</c:v>
                </c:pt>
                <c:pt idx="33">
                  <c:v>1.6849461292822241</c:v>
                </c:pt>
                <c:pt idx="34">
                  <c:v>0.96884257132521157</c:v>
                </c:pt>
                <c:pt idx="35">
                  <c:v>1.2409884039734607</c:v>
                </c:pt>
                <c:pt idx="36">
                  <c:v>1.3991543360766627</c:v>
                </c:pt>
                <c:pt idx="37">
                  <c:v>0.84398636431706109</c:v>
                </c:pt>
              </c:numCache>
            </c:numRef>
          </c:val>
          <c:smooth val="0"/>
          <c:extLst>
            <c:ext xmlns:c16="http://schemas.microsoft.com/office/drawing/2014/chart" uri="{C3380CC4-5D6E-409C-BE32-E72D297353CC}">
              <c16:uniqueId val="{00000008-5E74-4D9B-BC02-A44CAC1C1B0B}"/>
            </c:ext>
          </c:extLst>
        </c:ser>
        <c:dLbls>
          <c:showLegendKey val="0"/>
          <c:showVal val="0"/>
          <c:showCatName val="0"/>
          <c:showSerName val="0"/>
          <c:showPercent val="0"/>
          <c:showBubbleSize val="0"/>
        </c:dLbls>
        <c:marker val="1"/>
        <c:smooth val="0"/>
        <c:axId val="101898496"/>
        <c:axId val="101781504"/>
      </c:lineChart>
      <c:catAx>
        <c:axId val="101898496"/>
        <c:scaling>
          <c:orientation val="minMax"/>
        </c:scaling>
        <c:delete val="0"/>
        <c:axPos val="b"/>
        <c:numFmt formatCode="General" sourceLinked="1"/>
        <c:majorTickMark val="out"/>
        <c:minorTickMark val="none"/>
        <c:tickLblPos val="low"/>
        <c:spPr>
          <a:ln>
            <a:solidFill>
              <a:schemeClr val="tx1"/>
            </a:solidFill>
          </a:ln>
        </c:spPr>
        <c:crossAx val="101781504"/>
        <c:crosses val="autoZero"/>
        <c:auto val="1"/>
        <c:lblAlgn val="ctr"/>
        <c:lblOffset val="10"/>
        <c:noMultiLvlLbl val="0"/>
      </c:catAx>
      <c:valAx>
        <c:axId val="101781504"/>
        <c:scaling>
          <c:orientation val="minMax"/>
          <c:max val="2"/>
          <c:min val="-3"/>
        </c:scaling>
        <c:delete val="0"/>
        <c:axPos val="l"/>
        <c:majorGridlines>
          <c:spPr>
            <a:ln w="6350">
              <a:solidFill>
                <a:schemeClr val="bg1">
                  <a:lumMod val="75000"/>
                </a:schemeClr>
              </a:solidFill>
            </a:ln>
          </c:spPr>
        </c:majorGridlines>
        <c:numFmt formatCode="0.0" sourceLinked="0"/>
        <c:majorTickMark val="out"/>
        <c:minorTickMark val="none"/>
        <c:tickLblPos val="nextTo"/>
        <c:spPr>
          <a:ln>
            <a:solidFill>
              <a:schemeClr val="tx1"/>
            </a:solidFill>
          </a:ln>
        </c:spPr>
        <c:crossAx val="101898496"/>
        <c:crosses val="autoZero"/>
        <c:crossBetween val="between"/>
        <c:majorUnit val="0.5"/>
      </c:valAx>
      <c:spPr>
        <a:ln>
          <a:solidFill>
            <a:schemeClr val="tx1"/>
          </a:solidFill>
        </a:ln>
      </c:spPr>
    </c:plotArea>
    <c:legend>
      <c:legendPos val="b"/>
      <c:layout>
        <c:manualLayout>
          <c:xMode val="edge"/>
          <c:yMode val="edge"/>
          <c:x val="7.3541427644293108E-3"/>
          <c:y val="0.83458955395312773"/>
          <c:w val="0.98614317530373086"/>
          <c:h val="0.16181455650038734"/>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320339467771775E-2"/>
          <c:y val="1.6432481201459917E-2"/>
          <c:w val="0.93326558329929998"/>
          <c:h val="0.7575347819089191"/>
        </c:manualLayout>
      </c:layout>
      <c:areaChart>
        <c:grouping val="standard"/>
        <c:varyColors val="0"/>
        <c:ser>
          <c:idx val="0"/>
          <c:order val="0"/>
          <c:tx>
            <c:strRef>
              <c:f>'Trh práce-2'!$A$29</c:f>
              <c:strCache>
                <c:ptCount val="1"/>
                <c:pt idx="0">
                  <c:v>EU28</c:v>
                </c:pt>
              </c:strCache>
            </c:strRef>
          </c:tx>
          <c:spPr>
            <a:solidFill>
              <a:schemeClr val="bg2">
                <a:lumMod val="90000"/>
              </a:schemeClr>
            </a:solidFill>
            <a:ln>
              <a:noFill/>
            </a:ln>
          </c:spPr>
          <c:cat>
            <c:multiLvlStrRef>
              <c:f>'Trh práce-2'!$B$27:$AU$28</c:f>
              <c:multiLvlStrCache>
                <c:ptCount val="4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lvl>
                <c:lvl>
                  <c:pt idx="0">
                    <c:v>2008</c:v>
                  </c:pt>
                  <c:pt idx="4">
                    <c:v>2009</c:v>
                  </c:pt>
                  <c:pt idx="8">
                    <c:v>2010</c:v>
                  </c:pt>
                  <c:pt idx="12">
                    <c:v>2011</c:v>
                  </c:pt>
                  <c:pt idx="16">
                    <c:v>2012</c:v>
                  </c:pt>
                  <c:pt idx="20">
                    <c:v>2013</c:v>
                  </c:pt>
                  <c:pt idx="24">
                    <c:v>2014</c:v>
                  </c:pt>
                  <c:pt idx="28">
                    <c:v>2015</c:v>
                  </c:pt>
                  <c:pt idx="32">
                    <c:v>2016</c:v>
                  </c:pt>
                  <c:pt idx="36">
                    <c:v>2017</c:v>
                  </c:pt>
                  <c:pt idx="40">
                    <c:v>2018</c:v>
                  </c:pt>
                  <c:pt idx="44">
                    <c:v>2019</c:v>
                  </c:pt>
                </c:lvl>
              </c:multiLvlStrCache>
            </c:multiLvlStrRef>
          </c:cat>
          <c:val>
            <c:numRef>
              <c:f>'Trh práce-2'!$B$29:$AU$29</c:f>
              <c:numCache>
                <c:formatCode>#\ ##0.0</c:formatCode>
                <c:ptCount val="46"/>
                <c:pt idx="0">
                  <c:v>6.8</c:v>
                </c:pt>
                <c:pt idx="1">
                  <c:v>6.9</c:v>
                </c:pt>
                <c:pt idx="2">
                  <c:v>7</c:v>
                </c:pt>
                <c:pt idx="3">
                  <c:v>7.4</c:v>
                </c:pt>
                <c:pt idx="4">
                  <c:v>8.3000000000000007</c:v>
                </c:pt>
                <c:pt idx="5">
                  <c:v>8.9</c:v>
                </c:pt>
                <c:pt idx="6">
                  <c:v>9.1999999999999993</c:v>
                </c:pt>
                <c:pt idx="7">
                  <c:v>9.4</c:v>
                </c:pt>
                <c:pt idx="8">
                  <c:v>9.6999999999999993</c:v>
                </c:pt>
                <c:pt idx="9">
                  <c:v>9.6999999999999993</c:v>
                </c:pt>
                <c:pt idx="10">
                  <c:v>9.6</c:v>
                </c:pt>
                <c:pt idx="11">
                  <c:v>9.6</c:v>
                </c:pt>
                <c:pt idx="12">
                  <c:v>9.5</c:v>
                </c:pt>
                <c:pt idx="13">
                  <c:v>9.5</c:v>
                </c:pt>
                <c:pt idx="14">
                  <c:v>9.6999999999999993</c:v>
                </c:pt>
                <c:pt idx="15">
                  <c:v>10</c:v>
                </c:pt>
                <c:pt idx="16">
                  <c:v>10.199999999999999</c:v>
                </c:pt>
                <c:pt idx="17">
                  <c:v>10.4</c:v>
                </c:pt>
                <c:pt idx="18">
                  <c:v>10.6</c:v>
                </c:pt>
                <c:pt idx="19">
                  <c:v>10.8</c:v>
                </c:pt>
                <c:pt idx="20">
                  <c:v>11</c:v>
                </c:pt>
                <c:pt idx="21">
                  <c:v>11</c:v>
                </c:pt>
                <c:pt idx="22">
                  <c:v>10.9</c:v>
                </c:pt>
                <c:pt idx="23">
                  <c:v>10.7</c:v>
                </c:pt>
                <c:pt idx="24">
                  <c:v>10.6</c:v>
                </c:pt>
                <c:pt idx="25">
                  <c:v>10.3</c:v>
                </c:pt>
                <c:pt idx="26">
                  <c:v>10.1</c:v>
                </c:pt>
                <c:pt idx="27">
                  <c:v>10</c:v>
                </c:pt>
                <c:pt idx="28">
                  <c:v>9.8000000000000007</c:v>
                </c:pt>
                <c:pt idx="29">
                  <c:v>9.6</c:v>
                </c:pt>
                <c:pt idx="30">
                  <c:v>9.3000000000000007</c:v>
                </c:pt>
                <c:pt idx="31">
                  <c:v>9</c:v>
                </c:pt>
                <c:pt idx="32">
                  <c:v>8.8000000000000007</c:v>
                </c:pt>
                <c:pt idx="33">
                  <c:v>8.6999999999999993</c:v>
                </c:pt>
                <c:pt idx="34">
                  <c:v>8.5</c:v>
                </c:pt>
                <c:pt idx="35">
                  <c:v>8.1999999999999993</c:v>
                </c:pt>
                <c:pt idx="36">
                  <c:v>8</c:v>
                </c:pt>
                <c:pt idx="37">
                  <c:v>7.7</c:v>
                </c:pt>
                <c:pt idx="38">
                  <c:v>7.5</c:v>
                </c:pt>
                <c:pt idx="39">
                  <c:v>7.3</c:v>
                </c:pt>
                <c:pt idx="40">
                  <c:v>7.1</c:v>
                </c:pt>
                <c:pt idx="41">
                  <c:v>6.9</c:v>
                </c:pt>
                <c:pt idx="42">
                  <c:v>6.7</c:v>
                </c:pt>
                <c:pt idx="43">
                  <c:v>6.6</c:v>
                </c:pt>
                <c:pt idx="44">
                  <c:v>6.5</c:v>
                </c:pt>
                <c:pt idx="45">
                  <c:v>6.3</c:v>
                </c:pt>
              </c:numCache>
            </c:numRef>
          </c:val>
          <c:extLst>
            <c:ext xmlns:c16="http://schemas.microsoft.com/office/drawing/2014/chart" uri="{C3380CC4-5D6E-409C-BE32-E72D297353CC}">
              <c16:uniqueId val="{00000000-CE75-4DCE-A74F-0FB440B305A2}"/>
            </c:ext>
          </c:extLst>
        </c:ser>
        <c:dLbls>
          <c:showLegendKey val="0"/>
          <c:showVal val="0"/>
          <c:showCatName val="0"/>
          <c:showSerName val="0"/>
          <c:showPercent val="0"/>
          <c:showBubbleSize val="0"/>
        </c:dLbls>
        <c:axId val="100654464"/>
        <c:axId val="101647488"/>
      </c:areaChart>
      <c:lineChart>
        <c:grouping val="standard"/>
        <c:varyColors val="0"/>
        <c:ser>
          <c:idx val="1"/>
          <c:order val="1"/>
          <c:tx>
            <c:strRef>
              <c:f>'Trh práce-2'!$A$30</c:f>
              <c:strCache>
                <c:ptCount val="1"/>
                <c:pt idx="0">
                  <c:v>CR (Czechia)</c:v>
                </c:pt>
              </c:strCache>
            </c:strRef>
          </c:tx>
          <c:spPr>
            <a:ln w="19050"/>
          </c:spPr>
          <c:marker>
            <c:symbol val="none"/>
          </c:marker>
          <c:cat>
            <c:multiLvlStrRef>
              <c:f>'Trh práce-2'!$B$27:$AU$28</c:f>
              <c:multiLvlStrCache>
                <c:ptCount val="4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lvl>
                <c:lvl>
                  <c:pt idx="0">
                    <c:v>2008</c:v>
                  </c:pt>
                  <c:pt idx="4">
                    <c:v>2009</c:v>
                  </c:pt>
                  <c:pt idx="8">
                    <c:v>2010</c:v>
                  </c:pt>
                  <c:pt idx="12">
                    <c:v>2011</c:v>
                  </c:pt>
                  <c:pt idx="16">
                    <c:v>2012</c:v>
                  </c:pt>
                  <c:pt idx="20">
                    <c:v>2013</c:v>
                  </c:pt>
                  <c:pt idx="24">
                    <c:v>2014</c:v>
                  </c:pt>
                  <c:pt idx="28">
                    <c:v>2015</c:v>
                  </c:pt>
                  <c:pt idx="32">
                    <c:v>2016</c:v>
                  </c:pt>
                  <c:pt idx="36">
                    <c:v>2017</c:v>
                  </c:pt>
                  <c:pt idx="40">
                    <c:v>2018</c:v>
                  </c:pt>
                  <c:pt idx="44">
                    <c:v>2019</c:v>
                  </c:pt>
                </c:lvl>
              </c:multiLvlStrCache>
            </c:multiLvlStrRef>
          </c:cat>
          <c:val>
            <c:numRef>
              <c:f>'Trh práce-2'!$B$30:$AU$30</c:f>
              <c:numCache>
                <c:formatCode>#\ ##0.0</c:formatCode>
                <c:ptCount val="46"/>
                <c:pt idx="0">
                  <c:v>4.5</c:v>
                </c:pt>
                <c:pt idx="1">
                  <c:v>4.3</c:v>
                </c:pt>
                <c:pt idx="2">
                  <c:v>4.2</c:v>
                </c:pt>
                <c:pt idx="3">
                  <c:v>4.4000000000000004</c:v>
                </c:pt>
                <c:pt idx="4">
                  <c:v>5.6</c:v>
                </c:pt>
                <c:pt idx="5">
                  <c:v>6.5</c:v>
                </c:pt>
                <c:pt idx="6">
                  <c:v>7.3</c:v>
                </c:pt>
                <c:pt idx="7">
                  <c:v>7.4</c:v>
                </c:pt>
                <c:pt idx="8">
                  <c:v>7.7</c:v>
                </c:pt>
                <c:pt idx="9">
                  <c:v>7.3</c:v>
                </c:pt>
                <c:pt idx="10">
                  <c:v>7.1</c:v>
                </c:pt>
                <c:pt idx="11">
                  <c:v>7</c:v>
                </c:pt>
                <c:pt idx="12">
                  <c:v>6.9</c:v>
                </c:pt>
                <c:pt idx="13">
                  <c:v>6.9</c:v>
                </c:pt>
                <c:pt idx="14">
                  <c:v>6.6</c:v>
                </c:pt>
                <c:pt idx="15">
                  <c:v>6.5</c:v>
                </c:pt>
                <c:pt idx="16">
                  <c:v>6.9</c:v>
                </c:pt>
                <c:pt idx="17">
                  <c:v>6.9</c:v>
                </c:pt>
                <c:pt idx="18">
                  <c:v>7</c:v>
                </c:pt>
                <c:pt idx="19">
                  <c:v>7.2</c:v>
                </c:pt>
                <c:pt idx="20">
                  <c:v>7.2</c:v>
                </c:pt>
                <c:pt idx="21">
                  <c:v>7</c:v>
                </c:pt>
                <c:pt idx="22">
                  <c:v>6.9</c:v>
                </c:pt>
                <c:pt idx="23">
                  <c:v>6.8</c:v>
                </c:pt>
                <c:pt idx="24">
                  <c:v>6.6</c:v>
                </c:pt>
                <c:pt idx="25">
                  <c:v>6.2</c:v>
                </c:pt>
                <c:pt idx="26">
                  <c:v>5.9</c:v>
                </c:pt>
                <c:pt idx="27">
                  <c:v>5.8</c:v>
                </c:pt>
                <c:pt idx="28">
                  <c:v>5.8</c:v>
                </c:pt>
                <c:pt idx="29">
                  <c:v>5.0999999999999996</c:v>
                </c:pt>
                <c:pt idx="30">
                  <c:v>4.8</c:v>
                </c:pt>
                <c:pt idx="31">
                  <c:v>4.5</c:v>
                </c:pt>
                <c:pt idx="32">
                  <c:v>4.2</c:v>
                </c:pt>
                <c:pt idx="33">
                  <c:v>4.0999999999999996</c:v>
                </c:pt>
                <c:pt idx="34">
                  <c:v>3.9</c:v>
                </c:pt>
                <c:pt idx="35">
                  <c:v>3.6</c:v>
                </c:pt>
                <c:pt idx="36">
                  <c:v>3.3</c:v>
                </c:pt>
                <c:pt idx="37">
                  <c:v>3.1</c:v>
                </c:pt>
                <c:pt idx="38">
                  <c:v>2.7</c:v>
                </c:pt>
                <c:pt idx="39">
                  <c:v>2.4</c:v>
                </c:pt>
                <c:pt idx="40">
                  <c:v>2.2999999999999998</c:v>
                </c:pt>
                <c:pt idx="41">
                  <c:v>2.2999999999999998</c:v>
                </c:pt>
                <c:pt idx="42">
                  <c:v>2.2999999999999998</c:v>
                </c:pt>
                <c:pt idx="43">
                  <c:v>2.1</c:v>
                </c:pt>
                <c:pt idx="44">
                  <c:v>2</c:v>
                </c:pt>
                <c:pt idx="45">
                  <c:v>2</c:v>
                </c:pt>
              </c:numCache>
            </c:numRef>
          </c:val>
          <c:smooth val="0"/>
          <c:extLst>
            <c:ext xmlns:c16="http://schemas.microsoft.com/office/drawing/2014/chart" uri="{C3380CC4-5D6E-409C-BE32-E72D297353CC}">
              <c16:uniqueId val="{00000001-CE75-4DCE-A74F-0FB440B305A2}"/>
            </c:ext>
          </c:extLst>
        </c:ser>
        <c:ser>
          <c:idx val="2"/>
          <c:order val="2"/>
          <c:tx>
            <c:strRef>
              <c:f>'Trh práce-2'!$A$31</c:f>
              <c:strCache>
                <c:ptCount val="1"/>
                <c:pt idx="0">
                  <c:v>Slovakia</c:v>
                </c:pt>
              </c:strCache>
            </c:strRef>
          </c:tx>
          <c:spPr>
            <a:ln w="19050">
              <a:solidFill>
                <a:srgbClr val="C00000"/>
              </a:solidFill>
              <a:prstDash val="sysDash"/>
            </a:ln>
          </c:spPr>
          <c:marker>
            <c:symbol val="none"/>
          </c:marker>
          <c:cat>
            <c:multiLvlStrRef>
              <c:f>'Trh práce-2'!$B$27:$AU$28</c:f>
              <c:multiLvlStrCache>
                <c:ptCount val="4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lvl>
                <c:lvl>
                  <c:pt idx="0">
                    <c:v>2008</c:v>
                  </c:pt>
                  <c:pt idx="4">
                    <c:v>2009</c:v>
                  </c:pt>
                  <c:pt idx="8">
                    <c:v>2010</c:v>
                  </c:pt>
                  <c:pt idx="12">
                    <c:v>2011</c:v>
                  </c:pt>
                  <c:pt idx="16">
                    <c:v>2012</c:v>
                  </c:pt>
                  <c:pt idx="20">
                    <c:v>2013</c:v>
                  </c:pt>
                  <c:pt idx="24">
                    <c:v>2014</c:v>
                  </c:pt>
                  <c:pt idx="28">
                    <c:v>2015</c:v>
                  </c:pt>
                  <c:pt idx="32">
                    <c:v>2016</c:v>
                  </c:pt>
                  <c:pt idx="36">
                    <c:v>2017</c:v>
                  </c:pt>
                  <c:pt idx="40">
                    <c:v>2018</c:v>
                  </c:pt>
                  <c:pt idx="44">
                    <c:v>2019</c:v>
                  </c:pt>
                </c:lvl>
              </c:multiLvlStrCache>
            </c:multiLvlStrRef>
          </c:cat>
          <c:val>
            <c:numRef>
              <c:f>'Trh práce-2'!$B$31:$AU$31</c:f>
              <c:numCache>
                <c:formatCode>#\ ##0.0</c:formatCode>
                <c:ptCount val="46"/>
                <c:pt idx="0">
                  <c:v>10.3</c:v>
                </c:pt>
                <c:pt idx="1">
                  <c:v>10.1</c:v>
                </c:pt>
                <c:pt idx="2">
                  <c:v>9.1</c:v>
                </c:pt>
                <c:pt idx="3">
                  <c:v>8.9</c:v>
                </c:pt>
                <c:pt idx="4">
                  <c:v>10.199999999999999</c:v>
                </c:pt>
                <c:pt idx="5">
                  <c:v>11.4</c:v>
                </c:pt>
                <c:pt idx="6">
                  <c:v>12.8</c:v>
                </c:pt>
                <c:pt idx="7">
                  <c:v>14.1</c:v>
                </c:pt>
                <c:pt idx="8">
                  <c:v>15</c:v>
                </c:pt>
                <c:pt idx="9">
                  <c:v>14.7</c:v>
                </c:pt>
                <c:pt idx="10">
                  <c:v>14.3</c:v>
                </c:pt>
                <c:pt idx="11">
                  <c:v>13.9</c:v>
                </c:pt>
                <c:pt idx="12">
                  <c:v>13.9</c:v>
                </c:pt>
                <c:pt idx="13">
                  <c:v>13.6</c:v>
                </c:pt>
                <c:pt idx="14">
                  <c:v>13.5</c:v>
                </c:pt>
                <c:pt idx="15">
                  <c:v>13.8</c:v>
                </c:pt>
                <c:pt idx="16">
                  <c:v>13.9</c:v>
                </c:pt>
                <c:pt idx="17">
                  <c:v>13.9</c:v>
                </c:pt>
                <c:pt idx="18">
                  <c:v>13.9</c:v>
                </c:pt>
                <c:pt idx="19">
                  <c:v>14.2</c:v>
                </c:pt>
                <c:pt idx="20">
                  <c:v>14.4</c:v>
                </c:pt>
                <c:pt idx="21">
                  <c:v>14.3</c:v>
                </c:pt>
                <c:pt idx="22">
                  <c:v>14.2</c:v>
                </c:pt>
                <c:pt idx="23">
                  <c:v>14</c:v>
                </c:pt>
                <c:pt idx="24">
                  <c:v>13.8</c:v>
                </c:pt>
                <c:pt idx="25">
                  <c:v>13.4</c:v>
                </c:pt>
                <c:pt idx="26">
                  <c:v>13</c:v>
                </c:pt>
                <c:pt idx="27">
                  <c:v>12.5</c:v>
                </c:pt>
                <c:pt idx="28">
                  <c:v>12.2</c:v>
                </c:pt>
                <c:pt idx="29">
                  <c:v>11.6</c:v>
                </c:pt>
                <c:pt idx="30">
                  <c:v>11.3</c:v>
                </c:pt>
                <c:pt idx="31">
                  <c:v>10.8</c:v>
                </c:pt>
                <c:pt idx="32">
                  <c:v>10.3</c:v>
                </c:pt>
                <c:pt idx="33">
                  <c:v>9.9</c:v>
                </c:pt>
                <c:pt idx="34">
                  <c:v>9.5</c:v>
                </c:pt>
                <c:pt idx="35">
                  <c:v>9</c:v>
                </c:pt>
                <c:pt idx="36">
                  <c:v>8.6</c:v>
                </c:pt>
                <c:pt idx="37">
                  <c:v>8.3000000000000007</c:v>
                </c:pt>
                <c:pt idx="38">
                  <c:v>7.9</c:v>
                </c:pt>
                <c:pt idx="39">
                  <c:v>7.7</c:v>
                </c:pt>
                <c:pt idx="40">
                  <c:v>7</c:v>
                </c:pt>
                <c:pt idx="41">
                  <c:v>6.8</c:v>
                </c:pt>
                <c:pt idx="42">
                  <c:v>6.4</c:v>
                </c:pt>
                <c:pt idx="43">
                  <c:v>6</c:v>
                </c:pt>
                <c:pt idx="44">
                  <c:v>5.7</c:v>
                </c:pt>
                <c:pt idx="45">
                  <c:v>5.4</c:v>
                </c:pt>
              </c:numCache>
            </c:numRef>
          </c:val>
          <c:smooth val="0"/>
          <c:extLst>
            <c:ext xmlns:c16="http://schemas.microsoft.com/office/drawing/2014/chart" uri="{C3380CC4-5D6E-409C-BE32-E72D297353CC}">
              <c16:uniqueId val="{00000002-CE75-4DCE-A74F-0FB440B305A2}"/>
            </c:ext>
          </c:extLst>
        </c:ser>
        <c:ser>
          <c:idx val="3"/>
          <c:order val="3"/>
          <c:tx>
            <c:strRef>
              <c:f>'Trh práce-2'!$A$32</c:f>
              <c:strCache>
                <c:ptCount val="1"/>
                <c:pt idx="0">
                  <c:v>Poland</c:v>
                </c:pt>
              </c:strCache>
            </c:strRef>
          </c:tx>
          <c:spPr>
            <a:ln w="19050">
              <a:solidFill>
                <a:srgbClr val="F8A124"/>
              </a:solidFill>
            </a:ln>
          </c:spPr>
          <c:marker>
            <c:symbol val="none"/>
          </c:marker>
          <c:cat>
            <c:multiLvlStrRef>
              <c:f>'Trh práce-2'!$B$27:$AU$28</c:f>
              <c:multiLvlStrCache>
                <c:ptCount val="4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lvl>
                <c:lvl>
                  <c:pt idx="0">
                    <c:v>2008</c:v>
                  </c:pt>
                  <c:pt idx="4">
                    <c:v>2009</c:v>
                  </c:pt>
                  <c:pt idx="8">
                    <c:v>2010</c:v>
                  </c:pt>
                  <c:pt idx="12">
                    <c:v>2011</c:v>
                  </c:pt>
                  <c:pt idx="16">
                    <c:v>2012</c:v>
                  </c:pt>
                  <c:pt idx="20">
                    <c:v>2013</c:v>
                  </c:pt>
                  <c:pt idx="24">
                    <c:v>2014</c:v>
                  </c:pt>
                  <c:pt idx="28">
                    <c:v>2015</c:v>
                  </c:pt>
                  <c:pt idx="32">
                    <c:v>2016</c:v>
                  </c:pt>
                  <c:pt idx="36">
                    <c:v>2017</c:v>
                  </c:pt>
                  <c:pt idx="40">
                    <c:v>2018</c:v>
                  </c:pt>
                  <c:pt idx="44">
                    <c:v>2019</c:v>
                  </c:pt>
                </c:lvl>
              </c:multiLvlStrCache>
            </c:multiLvlStrRef>
          </c:cat>
          <c:val>
            <c:numRef>
              <c:f>'Trh práce-2'!$B$32:$AU$32</c:f>
              <c:numCache>
                <c:formatCode>#\ ##0.0</c:formatCode>
                <c:ptCount val="46"/>
                <c:pt idx="0">
                  <c:v>7.5</c:v>
                </c:pt>
                <c:pt idx="1">
                  <c:v>7.2</c:v>
                </c:pt>
                <c:pt idx="2">
                  <c:v>6.8</c:v>
                </c:pt>
                <c:pt idx="3">
                  <c:v>6.8</c:v>
                </c:pt>
                <c:pt idx="4">
                  <c:v>7.6</c:v>
                </c:pt>
                <c:pt idx="5">
                  <c:v>7.9</c:v>
                </c:pt>
                <c:pt idx="6">
                  <c:v>8.3000000000000007</c:v>
                </c:pt>
                <c:pt idx="7">
                  <c:v>8.6999999999999993</c:v>
                </c:pt>
                <c:pt idx="8">
                  <c:v>9.8000000000000007</c:v>
                </c:pt>
                <c:pt idx="9">
                  <c:v>9.8000000000000007</c:v>
                </c:pt>
                <c:pt idx="10">
                  <c:v>9.6</c:v>
                </c:pt>
                <c:pt idx="11">
                  <c:v>9.5</c:v>
                </c:pt>
                <c:pt idx="12">
                  <c:v>9.4</c:v>
                </c:pt>
                <c:pt idx="13">
                  <c:v>9.6999999999999993</c:v>
                </c:pt>
                <c:pt idx="14">
                  <c:v>9.8000000000000007</c:v>
                </c:pt>
                <c:pt idx="15">
                  <c:v>9.9</c:v>
                </c:pt>
                <c:pt idx="16">
                  <c:v>9.8000000000000007</c:v>
                </c:pt>
                <c:pt idx="17">
                  <c:v>10.1</c:v>
                </c:pt>
                <c:pt idx="18">
                  <c:v>10.3</c:v>
                </c:pt>
                <c:pt idx="19">
                  <c:v>10.3</c:v>
                </c:pt>
                <c:pt idx="20">
                  <c:v>10.5</c:v>
                </c:pt>
                <c:pt idx="21">
                  <c:v>10.7</c:v>
                </c:pt>
                <c:pt idx="22">
                  <c:v>10.3</c:v>
                </c:pt>
                <c:pt idx="23">
                  <c:v>10</c:v>
                </c:pt>
                <c:pt idx="24">
                  <c:v>9.8000000000000007</c:v>
                </c:pt>
                <c:pt idx="25">
                  <c:v>9.3000000000000007</c:v>
                </c:pt>
                <c:pt idx="26">
                  <c:v>8.6</c:v>
                </c:pt>
                <c:pt idx="27">
                  <c:v>8.1999999999999993</c:v>
                </c:pt>
                <c:pt idx="28">
                  <c:v>8</c:v>
                </c:pt>
                <c:pt idx="29">
                  <c:v>7.6</c:v>
                </c:pt>
                <c:pt idx="30">
                  <c:v>7.4</c:v>
                </c:pt>
                <c:pt idx="31">
                  <c:v>7</c:v>
                </c:pt>
                <c:pt idx="32">
                  <c:v>6.6</c:v>
                </c:pt>
                <c:pt idx="33">
                  <c:v>6.3</c:v>
                </c:pt>
                <c:pt idx="34">
                  <c:v>6.1</c:v>
                </c:pt>
                <c:pt idx="35">
                  <c:v>5.6</c:v>
                </c:pt>
                <c:pt idx="36">
                  <c:v>5.2</c:v>
                </c:pt>
                <c:pt idx="37">
                  <c:v>5.0999999999999996</c:v>
                </c:pt>
                <c:pt idx="38">
                  <c:v>4.8</c:v>
                </c:pt>
                <c:pt idx="39">
                  <c:v>4.5</c:v>
                </c:pt>
                <c:pt idx="40">
                  <c:v>4</c:v>
                </c:pt>
                <c:pt idx="41">
                  <c:v>3.8</c:v>
                </c:pt>
                <c:pt idx="42">
                  <c:v>3.8</c:v>
                </c:pt>
                <c:pt idx="43">
                  <c:v>3.8</c:v>
                </c:pt>
                <c:pt idx="44">
                  <c:v>3.8</c:v>
                </c:pt>
                <c:pt idx="45">
                  <c:v>3.4</c:v>
                </c:pt>
              </c:numCache>
            </c:numRef>
          </c:val>
          <c:smooth val="0"/>
          <c:extLst>
            <c:ext xmlns:c16="http://schemas.microsoft.com/office/drawing/2014/chart" uri="{C3380CC4-5D6E-409C-BE32-E72D297353CC}">
              <c16:uniqueId val="{00000003-CE75-4DCE-A74F-0FB440B305A2}"/>
            </c:ext>
          </c:extLst>
        </c:ser>
        <c:ser>
          <c:idx val="4"/>
          <c:order val="4"/>
          <c:tx>
            <c:strRef>
              <c:f>'Trh práce-2'!$A$33</c:f>
              <c:strCache>
                <c:ptCount val="1"/>
                <c:pt idx="0">
                  <c:v>Hungary</c:v>
                </c:pt>
              </c:strCache>
            </c:strRef>
          </c:tx>
          <c:spPr>
            <a:ln w="19050">
              <a:solidFill>
                <a:srgbClr val="F8A124"/>
              </a:solidFill>
              <a:prstDash val="sysDash"/>
            </a:ln>
          </c:spPr>
          <c:marker>
            <c:symbol val="none"/>
          </c:marker>
          <c:cat>
            <c:multiLvlStrRef>
              <c:f>'Trh práce-2'!$B$27:$AU$28</c:f>
              <c:multiLvlStrCache>
                <c:ptCount val="4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lvl>
                <c:lvl>
                  <c:pt idx="0">
                    <c:v>2008</c:v>
                  </c:pt>
                  <c:pt idx="4">
                    <c:v>2009</c:v>
                  </c:pt>
                  <c:pt idx="8">
                    <c:v>2010</c:v>
                  </c:pt>
                  <c:pt idx="12">
                    <c:v>2011</c:v>
                  </c:pt>
                  <c:pt idx="16">
                    <c:v>2012</c:v>
                  </c:pt>
                  <c:pt idx="20">
                    <c:v>2013</c:v>
                  </c:pt>
                  <c:pt idx="24">
                    <c:v>2014</c:v>
                  </c:pt>
                  <c:pt idx="28">
                    <c:v>2015</c:v>
                  </c:pt>
                  <c:pt idx="32">
                    <c:v>2016</c:v>
                  </c:pt>
                  <c:pt idx="36">
                    <c:v>2017</c:v>
                  </c:pt>
                  <c:pt idx="40">
                    <c:v>2018</c:v>
                  </c:pt>
                  <c:pt idx="44">
                    <c:v>2019</c:v>
                  </c:pt>
                </c:lvl>
              </c:multiLvlStrCache>
            </c:multiLvlStrRef>
          </c:cat>
          <c:val>
            <c:numRef>
              <c:f>'Trh práce-2'!$B$33:$AU$33</c:f>
              <c:numCache>
                <c:formatCode>#\ ##0.0</c:formatCode>
                <c:ptCount val="46"/>
                <c:pt idx="0">
                  <c:v>7.6</c:v>
                </c:pt>
                <c:pt idx="1">
                  <c:v>7.6</c:v>
                </c:pt>
                <c:pt idx="2">
                  <c:v>7.8</c:v>
                </c:pt>
                <c:pt idx="3">
                  <c:v>8.1999999999999993</c:v>
                </c:pt>
                <c:pt idx="4">
                  <c:v>9.3000000000000007</c:v>
                </c:pt>
                <c:pt idx="5">
                  <c:v>9.8000000000000007</c:v>
                </c:pt>
                <c:pt idx="6">
                  <c:v>10.4</c:v>
                </c:pt>
                <c:pt idx="7">
                  <c:v>10.7</c:v>
                </c:pt>
                <c:pt idx="8">
                  <c:v>11.2</c:v>
                </c:pt>
                <c:pt idx="9">
                  <c:v>11.3</c:v>
                </c:pt>
                <c:pt idx="10">
                  <c:v>11.1</c:v>
                </c:pt>
                <c:pt idx="11">
                  <c:v>11</c:v>
                </c:pt>
                <c:pt idx="12">
                  <c:v>11.2</c:v>
                </c:pt>
                <c:pt idx="13">
                  <c:v>11</c:v>
                </c:pt>
                <c:pt idx="14">
                  <c:v>11</c:v>
                </c:pt>
                <c:pt idx="15">
                  <c:v>11</c:v>
                </c:pt>
                <c:pt idx="16">
                  <c:v>11.4</c:v>
                </c:pt>
                <c:pt idx="17">
                  <c:v>11.1</c:v>
                </c:pt>
                <c:pt idx="18">
                  <c:v>10.7</c:v>
                </c:pt>
                <c:pt idx="19">
                  <c:v>10.9</c:v>
                </c:pt>
                <c:pt idx="20">
                  <c:v>10.9</c:v>
                </c:pt>
                <c:pt idx="21">
                  <c:v>10.3</c:v>
                </c:pt>
                <c:pt idx="22">
                  <c:v>10</c:v>
                </c:pt>
                <c:pt idx="23">
                  <c:v>9.1999999999999993</c:v>
                </c:pt>
                <c:pt idx="24">
                  <c:v>8</c:v>
                </c:pt>
                <c:pt idx="25">
                  <c:v>8.1</c:v>
                </c:pt>
                <c:pt idx="26">
                  <c:v>7.5</c:v>
                </c:pt>
                <c:pt idx="27">
                  <c:v>7.3</c:v>
                </c:pt>
                <c:pt idx="28">
                  <c:v>7.4</c:v>
                </c:pt>
                <c:pt idx="29">
                  <c:v>7</c:v>
                </c:pt>
                <c:pt idx="30">
                  <c:v>6.6</c:v>
                </c:pt>
                <c:pt idx="31">
                  <c:v>6.3</c:v>
                </c:pt>
                <c:pt idx="32">
                  <c:v>5.8</c:v>
                </c:pt>
                <c:pt idx="33">
                  <c:v>5.2</c:v>
                </c:pt>
                <c:pt idx="34">
                  <c:v>4.9000000000000004</c:v>
                </c:pt>
                <c:pt idx="35">
                  <c:v>4.5</c:v>
                </c:pt>
                <c:pt idx="36">
                  <c:v>4.3</c:v>
                </c:pt>
                <c:pt idx="37">
                  <c:v>4.3</c:v>
                </c:pt>
                <c:pt idx="38">
                  <c:v>4.0999999999999996</c:v>
                </c:pt>
                <c:pt idx="39">
                  <c:v>3.9</c:v>
                </c:pt>
                <c:pt idx="40">
                  <c:v>3.7</c:v>
                </c:pt>
                <c:pt idx="41">
                  <c:v>3.7</c:v>
                </c:pt>
                <c:pt idx="42">
                  <c:v>3.8</c:v>
                </c:pt>
                <c:pt idx="43">
                  <c:v>3.7</c:v>
                </c:pt>
                <c:pt idx="44">
                  <c:v>3.4</c:v>
                </c:pt>
                <c:pt idx="45">
                  <c:v>3.5</c:v>
                </c:pt>
              </c:numCache>
            </c:numRef>
          </c:val>
          <c:smooth val="0"/>
          <c:extLst>
            <c:ext xmlns:c16="http://schemas.microsoft.com/office/drawing/2014/chart" uri="{C3380CC4-5D6E-409C-BE32-E72D297353CC}">
              <c16:uniqueId val="{00000004-CE75-4DCE-A74F-0FB440B305A2}"/>
            </c:ext>
          </c:extLst>
        </c:ser>
        <c:ser>
          <c:idx val="5"/>
          <c:order val="5"/>
          <c:tx>
            <c:strRef>
              <c:f>'Trh práce-2'!$A$34</c:f>
              <c:strCache>
                <c:ptCount val="1"/>
                <c:pt idx="0">
                  <c:v>Latvia</c:v>
                </c:pt>
              </c:strCache>
            </c:strRef>
          </c:tx>
          <c:spPr>
            <a:ln w="19050">
              <a:solidFill>
                <a:srgbClr val="F6F000"/>
              </a:solidFill>
            </a:ln>
          </c:spPr>
          <c:marker>
            <c:symbol val="none"/>
          </c:marker>
          <c:cat>
            <c:multiLvlStrRef>
              <c:f>'Trh práce-2'!$B$27:$AU$28</c:f>
              <c:multiLvlStrCache>
                <c:ptCount val="4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lvl>
                <c:lvl>
                  <c:pt idx="0">
                    <c:v>2008</c:v>
                  </c:pt>
                  <c:pt idx="4">
                    <c:v>2009</c:v>
                  </c:pt>
                  <c:pt idx="8">
                    <c:v>2010</c:v>
                  </c:pt>
                  <c:pt idx="12">
                    <c:v>2011</c:v>
                  </c:pt>
                  <c:pt idx="16">
                    <c:v>2012</c:v>
                  </c:pt>
                  <c:pt idx="20">
                    <c:v>2013</c:v>
                  </c:pt>
                  <c:pt idx="24">
                    <c:v>2014</c:v>
                  </c:pt>
                  <c:pt idx="28">
                    <c:v>2015</c:v>
                  </c:pt>
                  <c:pt idx="32">
                    <c:v>2016</c:v>
                  </c:pt>
                  <c:pt idx="36">
                    <c:v>2017</c:v>
                  </c:pt>
                  <c:pt idx="40">
                    <c:v>2018</c:v>
                  </c:pt>
                  <c:pt idx="44">
                    <c:v>2019</c:v>
                  </c:pt>
                </c:lvl>
              </c:multiLvlStrCache>
            </c:multiLvlStrRef>
          </c:cat>
          <c:val>
            <c:numRef>
              <c:f>'Trh práce-2'!$B$34:$AU$34</c:f>
              <c:numCache>
                <c:formatCode>#\ ##0.0</c:formatCode>
                <c:ptCount val="46"/>
                <c:pt idx="0">
                  <c:v>6.4</c:v>
                </c:pt>
                <c:pt idx="1">
                  <c:v>6.5</c:v>
                </c:pt>
                <c:pt idx="2">
                  <c:v>7.7</c:v>
                </c:pt>
                <c:pt idx="3">
                  <c:v>10.5</c:v>
                </c:pt>
                <c:pt idx="4">
                  <c:v>13.7</c:v>
                </c:pt>
                <c:pt idx="5">
                  <c:v>17.100000000000001</c:v>
                </c:pt>
                <c:pt idx="6">
                  <c:v>19.399999999999999</c:v>
                </c:pt>
                <c:pt idx="7">
                  <c:v>20.2</c:v>
                </c:pt>
                <c:pt idx="8">
                  <c:v>20.5</c:v>
                </c:pt>
                <c:pt idx="9">
                  <c:v>20.2</c:v>
                </c:pt>
                <c:pt idx="10">
                  <c:v>19.100000000000001</c:v>
                </c:pt>
                <c:pt idx="11">
                  <c:v>18.100000000000001</c:v>
                </c:pt>
                <c:pt idx="12">
                  <c:v>17</c:v>
                </c:pt>
                <c:pt idx="13">
                  <c:v>17</c:v>
                </c:pt>
                <c:pt idx="14">
                  <c:v>15.5</c:v>
                </c:pt>
                <c:pt idx="15">
                  <c:v>15.3</c:v>
                </c:pt>
                <c:pt idx="16">
                  <c:v>15.8</c:v>
                </c:pt>
                <c:pt idx="17">
                  <c:v>16.2</c:v>
                </c:pt>
                <c:pt idx="18">
                  <c:v>14</c:v>
                </c:pt>
                <c:pt idx="19">
                  <c:v>14.2</c:v>
                </c:pt>
                <c:pt idx="20">
                  <c:v>12.6</c:v>
                </c:pt>
                <c:pt idx="21">
                  <c:v>11.4</c:v>
                </c:pt>
                <c:pt idx="22">
                  <c:v>11.9</c:v>
                </c:pt>
                <c:pt idx="23">
                  <c:v>11.4</c:v>
                </c:pt>
                <c:pt idx="24">
                  <c:v>11.4</c:v>
                </c:pt>
                <c:pt idx="25">
                  <c:v>10.7</c:v>
                </c:pt>
                <c:pt idx="26">
                  <c:v>10.8</c:v>
                </c:pt>
                <c:pt idx="27">
                  <c:v>10.4</c:v>
                </c:pt>
                <c:pt idx="28">
                  <c:v>9.9</c:v>
                </c:pt>
                <c:pt idx="29">
                  <c:v>9.8000000000000007</c:v>
                </c:pt>
                <c:pt idx="30">
                  <c:v>9.9</c:v>
                </c:pt>
                <c:pt idx="31">
                  <c:v>9.9</c:v>
                </c:pt>
                <c:pt idx="32">
                  <c:v>9.9</c:v>
                </c:pt>
                <c:pt idx="33">
                  <c:v>9.6</c:v>
                </c:pt>
                <c:pt idx="34">
                  <c:v>9.8000000000000007</c:v>
                </c:pt>
                <c:pt idx="35">
                  <c:v>9.4</c:v>
                </c:pt>
                <c:pt idx="36">
                  <c:v>9</c:v>
                </c:pt>
                <c:pt idx="37">
                  <c:v>9</c:v>
                </c:pt>
                <c:pt idx="38">
                  <c:v>8.6999999999999993</c:v>
                </c:pt>
                <c:pt idx="39">
                  <c:v>8.1999999999999993</c:v>
                </c:pt>
                <c:pt idx="40">
                  <c:v>7.8</c:v>
                </c:pt>
                <c:pt idx="41">
                  <c:v>7.7</c:v>
                </c:pt>
                <c:pt idx="42">
                  <c:v>7.1</c:v>
                </c:pt>
                <c:pt idx="43">
                  <c:v>6.9</c:v>
                </c:pt>
                <c:pt idx="44">
                  <c:v>6.6</c:v>
                </c:pt>
                <c:pt idx="45">
                  <c:v>6.4</c:v>
                </c:pt>
              </c:numCache>
            </c:numRef>
          </c:val>
          <c:smooth val="0"/>
          <c:extLst>
            <c:ext xmlns:c16="http://schemas.microsoft.com/office/drawing/2014/chart" uri="{C3380CC4-5D6E-409C-BE32-E72D297353CC}">
              <c16:uniqueId val="{00000005-CE75-4DCE-A74F-0FB440B305A2}"/>
            </c:ext>
          </c:extLst>
        </c:ser>
        <c:ser>
          <c:idx val="6"/>
          <c:order val="6"/>
          <c:tx>
            <c:strRef>
              <c:f>'Trh práce-2'!$A$35</c:f>
              <c:strCache>
                <c:ptCount val="1"/>
                <c:pt idx="0">
                  <c:v>Germany</c:v>
                </c:pt>
              </c:strCache>
            </c:strRef>
          </c:tx>
          <c:spPr>
            <a:ln w="19050">
              <a:solidFill>
                <a:srgbClr val="0071BC"/>
              </a:solidFill>
            </a:ln>
          </c:spPr>
          <c:marker>
            <c:symbol val="none"/>
          </c:marker>
          <c:cat>
            <c:multiLvlStrRef>
              <c:f>'Trh práce-2'!$B$27:$AU$28</c:f>
              <c:multiLvlStrCache>
                <c:ptCount val="4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lvl>
                <c:lvl>
                  <c:pt idx="0">
                    <c:v>2008</c:v>
                  </c:pt>
                  <c:pt idx="4">
                    <c:v>2009</c:v>
                  </c:pt>
                  <c:pt idx="8">
                    <c:v>2010</c:v>
                  </c:pt>
                  <c:pt idx="12">
                    <c:v>2011</c:v>
                  </c:pt>
                  <c:pt idx="16">
                    <c:v>2012</c:v>
                  </c:pt>
                  <c:pt idx="20">
                    <c:v>2013</c:v>
                  </c:pt>
                  <c:pt idx="24">
                    <c:v>2014</c:v>
                  </c:pt>
                  <c:pt idx="28">
                    <c:v>2015</c:v>
                  </c:pt>
                  <c:pt idx="32">
                    <c:v>2016</c:v>
                  </c:pt>
                  <c:pt idx="36">
                    <c:v>2017</c:v>
                  </c:pt>
                  <c:pt idx="40">
                    <c:v>2018</c:v>
                  </c:pt>
                  <c:pt idx="44">
                    <c:v>2019</c:v>
                  </c:pt>
                </c:lvl>
              </c:multiLvlStrCache>
            </c:multiLvlStrRef>
          </c:cat>
          <c:val>
            <c:numRef>
              <c:f>'Trh práce-2'!$B$35:$AU$35</c:f>
              <c:numCache>
                <c:formatCode>#\ ##0.0</c:formatCode>
                <c:ptCount val="46"/>
                <c:pt idx="0">
                  <c:v>7.8</c:v>
                </c:pt>
                <c:pt idx="1">
                  <c:v>7.5</c:v>
                </c:pt>
                <c:pt idx="2">
                  <c:v>7.1</c:v>
                </c:pt>
                <c:pt idx="3">
                  <c:v>7.1</c:v>
                </c:pt>
                <c:pt idx="4">
                  <c:v>7.5</c:v>
                </c:pt>
                <c:pt idx="5">
                  <c:v>7.8</c:v>
                </c:pt>
                <c:pt idx="6">
                  <c:v>7.8</c:v>
                </c:pt>
                <c:pt idx="7">
                  <c:v>7.6</c:v>
                </c:pt>
                <c:pt idx="8">
                  <c:v>7.3</c:v>
                </c:pt>
                <c:pt idx="9">
                  <c:v>7</c:v>
                </c:pt>
                <c:pt idx="10">
                  <c:v>6.8</c:v>
                </c:pt>
                <c:pt idx="11">
                  <c:v>6.6</c:v>
                </c:pt>
                <c:pt idx="12">
                  <c:v>6.2</c:v>
                </c:pt>
                <c:pt idx="13">
                  <c:v>5.9</c:v>
                </c:pt>
                <c:pt idx="14">
                  <c:v>5.7</c:v>
                </c:pt>
                <c:pt idx="15">
                  <c:v>5.6</c:v>
                </c:pt>
                <c:pt idx="16">
                  <c:v>5.4</c:v>
                </c:pt>
                <c:pt idx="17">
                  <c:v>5.4</c:v>
                </c:pt>
                <c:pt idx="18">
                  <c:v>5.3</c:v>
                </c:pt>
                <c:pt idx="19">
                  <c:v>5.3</c:v>
                </c:pt>
                <c:pt idx="20">
                  <c:v>5.4</c:v>
                </c:pt>
                <c:pt idx="21">
                  <c:v>5.3</c:v>
                </c:pt>
                <c:pt idx="22">
                  <c:v>5.2</c:v>
                </c:pt>
                <c:pt idx="23">
                  <c:v>5.0999999999999996</c:v>
                </c:pt>
                <c:pt idx="24">
                  <c:v>5.0999999999999996</c:v>
                </c:pt>
                <c:pt idx="25">
                  <c:v>5</c:v>
                </c:pt>
                <c:pt idx="26">
                  <c:v>5</c:v>
                </c:pt>
                <c:pt idx="27">
                  <c:v>4.9000000000000004</c:v>
                </c:pt>
                <c:pt idx="28">
                  <c:v>4.8</c:v>
                </c:pt>
                <c:pt idx="29">
                  <c:v>4.7</c:v>
                </c:pt>
                <c:pt idx="30">
                  <c:v>4.5999999999999996</c:v>
                </c:pt>
                <c:pt idx="31">
                  <c:v>4.5</c:v>
                </c:pt>
                <c:pt idx="32">
                  <c:v>4.3</c:v>
                </c:pt>
                <c:pt idx="33">
                  <c:v>4.3</c:v>
                </c:pt>
                <c:pt idx="34">
                  <c:v>4.0999999999999996</c:v>
                </c:pt>
                <c:pt idx="35">
                  <c:v>3.9</c:v>
                </c:pt>
                <c:pt idx="36">
                  <c:v>3.9</c:v>
                </c:pt>
                <c:pt idx="37">
                  <c:v>3.8</c:v>
                </c:pt>
                <c:pt idx="38">
                  <c:v>3.7</c:v>
                </c:pt>
                <c:pt idx="39">
                  <c:v>3.6</c:v>
                </c:pt>
                <c:pt idx="40">
                  <c:v>3.5</c:v>
                </c:pt>
                <c:pt idx="41">
                  <c:v>3.4</c:v>
                </c:pt>
                <c:pt idx="42">
                  <c:v>3.4</c:v>
                </c:pt>
                <c:pt idx="43">
                  <c:v>3.3</c:v>
                </c:pt>
                <c:pt idx="44">
                  <c:v>3.2</c:v>
                </c:pt>
                <c:pt idx="45">
                  <c:v>3.1</c:v>
                </c:pt>
              </c:numCache>
            </c:numRef>
          </c:val>
          <c:smooth val="0"/>
          <c:extLst>
            <c:ext xmlns:c16="http://schemas.microsoft.com/office/drawing/2014/chart" uri="{C3380CC4-5D6E-409C-BE32-E72D297353CC}">
              <c16:uniqueId val="{00000006-CE75-4DCE-A74F-0FB440B305A2}"/>
            </c:ext>
          </c:extLst>
        </c:ser>
        <c:ser>
          <c:idx val="7"/>
          <c:order val="7"/>
          <c:tx>
            <c:strRef>
              <c:f>'Trh práce-2'!$A$36</c:f>
              <c:strCache>
                <c:ptCount val="1"/>
                <c:pt idx="0">
                  <c:v>France</c:v>
                </c:pt>
              </c:strCache>
            </c:strRef>
          </c:tx>
          <c:spPr>
            <a:ln w="19050">
              <a:solidFill>
                <a:srgbClr val="48AEE7"/>
              </a:solidFill>
            </a:ln>
          </c:spPr>
          <c:marker>
            <c:symbol val="none"/>
          </c:marker>
          <c:cat>
            <c:multiLvlStrRef>
              <c:f>'Trh práce-2'!$B$27:$AU$28</c:f>
              <c:multiLvlStrCache>
                <c:ptCount val="4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lvl>
                <c:lvl>
                  <c:pt idx="0">
                    <c:v>2008</c:v>
                  </c:pt>
                  <c:pt idx="4">
                    <c:v>2009</c:v>
                  </c:pt>
                  <c:pt idx="8">
                    <c:v>2010</c:v>
                  </c:pt>
                  <c:pt idx="12">
                    <c:v>2011</c:v>
                  </c:pt>
                  <c:pt idx="16">
                    <c:v>2012</c:v>
                  </c:pt>
                  <c:pt idx="20">
                    <c:v>2013</c:v>
                  </c:pt>
                  <c:pt idx="24">
                    <c:v>2014</c:v>
                  </c:pt>
                  <c:pt idx="28">
                    <c:v>2015</c:v>
                  </c:pt>
                  <c:pt idx="32">
                    <c:v>2016</c:v>
                  </c:pt>
                  <c:pt idx="36">
                    <c:v>2017</c:v>
                  </c:pt>
                  <c:pt idx="40">
                    <c:v>2018</c:v>
                  </c:pt>
                  <c:pt idx="44">
                    <c:v>2019</c:v>
                  </c:pt>
                </c:lvl>
              </c:multiLvlStrCache>
            </c:multiLvlStrRef>
          </c:cat>
          <c:val>
            <c:numRef>
              <c:f>'Trh práce-2'!$B$36:$AU$36</c:f>
              <c:numCache>
                <c:formatCode>#\ ##0.0</c:formatCode>
                <c:ptCount val="46"/>
                <c:pt idx="0">
                  <c:v>7.3</c:v>
                </c:pt>
                <c:pt idx="1">
                  <c:v>7.3</c:v>
                </c:pt>
                <c:pt idx="2">
                  <c:v>7.5</c:v>
                </c:pt>
                <c:pt idx="3">
                  <c:v>7.8</c:v>
                </c:pt>
                <c:pt idx="4">
                  <c:v>8.5</c:v>
                </c:pt>
                <c:pt idx="5">
                  <c:v>9.1</c:v>
                </c:pt>
                <c:pt idx="6">
                  <c:v>9.1999999999999993</c:v>
                </c:pt>
                <c:pt idx="7">
                  <c:v>9.5</c:v>
                </c:pt>
                <c:pt idx="8">
                  <c:v>9.3000000000000007</c:v>
                </c:pt>
                <c:pt idx="9">
                  <c:v>9.3000000000000007</c:v>
                </c:pt>
                <c:pt idx="10">
                  <c:v>9.1999999999999993</c:v>
                </c:pt>
                <c:pt idx="11">
                  <c:v>9.1999999999999993</c:v>
                </c:pt>
                <c:pt idx="12">
                  <c:v>9.1</c:v>
                </c:pt>
                <c:pt idx="13">
                  <c:v>9.1</c:v>
                </c:pt>
                <c:pt idx="14">
                  <c:v>9.1999999999999993</c:v>
                </c:pt>
                <c:pt idx="15">
                  <c:v>9.4</c:v>
                </c:pt>
                <c:pt idx="16">
                  <c:v>9.5</c:v>
                </c:pt>
                <c:pt idx="17">
                  <c:v>9.6999999999999993</c:v>
                </c:pt>
                <c:pt idx="18">
                  <c:v>9.8000000000000007</c:v>
                </c:pt>
                <c:pt idx="19">
                  <c:v>10.1</c:v>
                </c:pt>
                <c:pt idx="20">
                  <c:v>10.3</c:v>
                </c:pt>
                <c:pt idx="21">
                  <c:v>10.4</c:v>
                </c:pt>
                <c:pt idx="22">
                  <c:v>10.3</c:v>
                </c:pt>
                <c:pt idx="23">
                  <c:v>10.199999999999999</c:v>
                </c:pt>
                <c:pt idx="24">
                  <c:v>10.199999999999999</c:v>
                </c:pt>
                <c:pt idx="25">
                  <c:v>10.199999999999999</c:v>
                </c:pt>
                <c:pt idx="26">
                  <c:v>10.3</c:v>
                </c:pt>
                <c:pt idx="27">
                  <c:v>10.4</c:v>
                </c:pt>
                <c:pt idx="28">
                  <c:v>10.4</c:v>
                </c:pt>
                <c:pt idx="29">
                  <c:v>10.5</c:v>
                </c:pt>
                <c:pt idx="30">
                  <c:v>10.4</c:v>
                </c:pt>
                <c:pt idx="31">
                  <c:v>10.199999999999999</c:v>
                </c:pt>
                <c:pt idx="32">
                  <c:v>10.199999999999999</c:v>
                </c:pt>
                <c:pt idx="33">
                  <c:v>10.1</c:v>
                </c:pt>
                <c:pt idx="34">
                  <c:v>9.9</c:v>
                </c:pt>
                <c:pt idx="35">
                  <c:v>10</c:v>
                </c:pt>
                <c:pt idx="36">
                  <c:v>9.6</c:v>
                </c:pt>
                <c:pt idx="37">
                  <c:v>9.5</c:v>
                </c:pt>
                <c:pt idx="38">
                  <c:v>9.5</c:v>
                </c:pt>
                <c:pt idx="39">
                  <c:v>9.1</c:v>
                </c:pt>
                <c:pt idx="40">
                  <c:v>9.1999999999999993</c:v>
                </c:pt>
                <c:pt idx="41">
                  <c:v>9.1</c:v>
                </c:pt>
                <c:pt idx="42">
                  <c:v>9</c:v>
                </c:pt>
                <c:pt idx="43">
                  <c:v>8.9</c:v>
                </c:pt>
                <c:pt idx="44">
                  <c:v>8.6999999999999993</c:v>
                </c:pt>
                <c:pt idx="45">
                  <c:v>8.5</c:v>
                </c:pt>
              </c:numCache>
            </c:numRef>
          </c:val>
          <c:smooth val="0"/>
          <c:extLst>
            <c:ext xmlns:c16="http://schemas.microsoft.com/office/drawing/2014/chart" uri="{C3380CC4-5D6E-409C-BE32-E72D297353CC}">
              <c16:uniqueId val="{00000007-CE75-4DCE-A74F-0FB440B305A2}"/>
            </c:ext>
          </c:extLst>
        </c:ser>
        <c:ser>
          <c:idx val="8"/>
          <c:order val="8"/>
          <c:tx>
            <c:strRef>
              <c:f>'Trh práce-2'!$A$37</c:f>
              <c:strCache>
                <c:ptCount val="1"/>
                <c:pt idx="0">
                  <c:v>Italy</c:v>
                </c:pt>
              </c:strCache>
            </c:strRef>
          </c:tx>
          <c:spPr>
            <a:ln w="19050">
              <a:solidFill>
                <a:srgbClr val="00B050"/>
              </a:solidFill>
            </a:ln>
          </c:spPr>
          <c:marker>
            <c:symbol val="none"/>
          </c:marker>
          <c:cat>
            <c:multiLvlStrRef>
              <c:f>'Trh práce-2'!$B$27:$AU$28</c:f>
              <c:multiLvlStrCache>
                <c:ptCount val="4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lvl>
                <c:lvl>
                  <c:pt idx="0">
                    <c:v>2008</c:v>
                  </c:pt>
                  <c:pt idx="4">
                    <c:v>2009</c:v>
                  </c:pt>
                  <c:pt idx="8">
                    <c:v>2010</c:v>
                  </c:pt>
                  <c:pt idx="12">
                    <c:v>2011</c:v>
                  </c:pt>
                  <c:pt idx="16">
                    <c:v>2012</c:v>
                  </c:pt>
                  <c:pt idx="20">
                    <c:v>2013</c:v>
                  </c:pt>
                  <c:pt idx="24">
                    <c:v>2014</c:v>
                  </c:pt>
                  <c:pt idx="28">
                    <c:v>2015</c:v>
                  </c:pt>
                  <c:pt idx="32">
                    <c:v>2016</c:v>
                  </c:pt>
                  <c:pt idx="36">
                    <c:v>2017</c:v>
                  </c:pt>
                  <c:pt idx="40">
                    <c:v>2018</c:v>
                  </c:pt>
                  <c:pt idx="44">
                    <c:v>2019</c:v>
                  </c:pt>
                </c:lvl>
              </c:multiLvlStrCache>
            </c:multiLvlStrRef>
          </c:cat>
          <c:val>
            <c:numRef>
              <c:f>'Trh práce-2'!$B$37:$AU$37</c:f>
              <c:numCache>
                <c:formatCode>#\ ##0.0</c:formatCode>
                <c:ptCount val="46"/>
                <c:pt idx="0">
                  <c:v>6.6</c:v>
                </c:pt>
                <c:pt idx="1">
                  <c:v>6.8</c:v>
                </c:pt>
                <c:pt idx="2">
                  <c:v>6.7</c:v>
                </c:pt>
                <c:pt idx="3">
                  <c:v>6.9</c:v>
                </c:pt>
                <c:pt idx="4">
                  <c:v>7.3</c:v>
                </c:pt>
                <c:pt idx="5">
                  <c:v>7.5</c:v>
                </c:pt>
                <c:pt idx="6">
                  <c:v>7.9</c:v>
                </c:pt>
                <c:pt idx="7">
                  <c:v>8.1999999999999993</c:v>
                </c:pt>
                <c:pt idx="8">
                  <c:v>8.4</c:v>
                </c:pt>
                <c:pt idx="9">
                  <c:v>8.5</c:v>
                </c:pt>
                <c:pt idx="10">
                  <c:v>8.1999999999999993</c:v>
                </c:pt>
                <c:pt idx="11">
                  <c:v>8.1999999999999993</c:v>
                </c:pt>
                <c:pt idx="12">
                  <c:v>8</c:v>
                </c:pt>
                <c:pt idx="13">
                  <c:v>8</c:v>
                </c:pt>
                <c:pt idx="14">
                  <c:v>8.5</c:v>
                </c:pt>
                <c:pt idx="15">
                  <c:v>9.1999999999999993</c:v>
                </c:pt>
                <c:pt idx="16">
                  <c:v>10</c:v>
                </c:pt>
                <c:pt idx="17">
                  <c:v>10.6</c:v>
                </c:pt>
                <c:pt idx="18">
                  <c:v>10.8</c:v>
                </c:pt>
                <c:pt idx="19">
                  <c:v>11.4</c:v>
                </c:pt>
                <c:pt idx="20">
                  <c:v>11.8</c:v>
                </c:pt>
                <c:pt idx="21">
                  <c:v>12.1</c:v>
                </c:pt>
                <c:pt idx="22">
                  <c:v>12.2</c:v>
                </c:pt>
                <c:pt idx="23">
                  <c:v>12.4</c:v>
                </c:pt>
                <c:pt idx="24">
                  <c:v>12.7</c:v>
                </c:pt>
                <c:pt idx="25">
                  <c:v>12.4</c:v>
                </c:pt>
                <c:pt idx="26">
                  <c:v>12.6</c:v>
                </c:pt>
                <c:pt idx="27">
                  <c:v>12.7</c:v>
                </c:pt>
                <c:pt idx="28">
                  <c:v>12.4</c:v>
                </c:pt>
                <c:pt idx="29">
                  <c:v>12.2</c:v>
                </c:pt>
                <c:pt idx="30">
                  <c:v>11.5</c:v>
                </c:pt>
                <c:pt idx="31">
                  <c:v>11.5</c:v>
                </c:pt>
                <c:pt idx="32">
                  <c:v>11.6</c:v>
                </c:pt>
                <c:pt idx="33">
                  <c:v>11.6</c:v>
                </c:pt>
                <c:pt idx="34">
                  <c:v>11.7</c:v>
                </c:pt>
                <c:pt idx="35">
                  <c:v>11.8</c:v>
                </c:pt>
                <c:pt idx="36">
                  <c:v>11.5</c:v>
                </c:pt>
                <c:pt idx="37">
                  <c:v>11.2</c:v>
                </c:pt>
                <c:pt idx="38">
                  <c:v>11.3</c:v>
                </c:pt>
                <c:pt idx="39">
                  <c:v>11</c:v>
                </c:pt>
                <c:pt idx="40">
                  <c:v>10.9</c:v>
                </c:pt>
                <c:pt idx="41">
                  <c:v>10.8</c:v>
                </c:pt>
                <c:pt idx="42">
                  <c:v>10.3</c:v>
                </c:pt>
                <c:pt idx="43">
                  <c:v>10.5</c:v>
                </c:pt>
                <c:pt idx="44">
                  <c:v>10.3</c:v>
                </c:pt>
                <c:pt idx="45">
                  <c:v>10</c:v>
                </c:pt>
              </c:numCache>
            </c:numRef>
          </c:val>
          <c:smooth val="0"/>
          <c:extLst>
            <c:ext xmlns:c16="http://schemas.microsoft.com/office/drawing/2014/chart" uri="{C3380CC4-5D6E-409C-BE32-E72D297353CC}">
              <c16:uniqueId val="{00000008-CE75-4DCE-A74F-0FB440B305A2}"/>
            </c:ext>
          </c:extLst>
        </c:ser>
        <c:ser>
          <c:idx val="9"/>
          <c:order val="9"/>
          <c:tx>
            <c:strRef>
              <c:f>'Trh práce-2'!$A$38</c:f>
              <c:strCache>
                <c:ptCount val="1"/>
                <c:pt idx="0">
                  <c:v>Spain</c:v>
                </c:pt>
              </c:strCache>
            </c:strRef>
          </c:tx>
          <c:spPr>
            <a:ln w="19050">
              <a:solidFill>
                <a:srgbClr val="92D050"/>
              </a:solidFill>
            </a:ln>
          </c:spPr>
          <c:marker>
            <c:symbol val="none"/>
          </c:marker>
          <c:cat>
            <c:multiLvlStrRef>
              <c:f>'Trh práce-2'!$B$27:$AU$28</c:f>
              <c:multiLvlStrCache>
                <c:ptCount val="4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lvl>
                <c:lvl>
                  <c:pt idx="0">
                    <c:v>2008</c:v>
                  </c:pt>
                  <c:pt idx="4">
                    <c:v>2009</c:v>
                  </c:pt>
                  <c:pt idx="8">
                    <c:v>2010</c:v>
                  </c:pt>
                  <c:pt idx="12">
                    <c:v>2011</c:v>
                  </c:pt>
                  <c:pt idx="16">
                    <c:v>2012</c:v>
                  </c:pt>
                  <c:pt idx="20">
                    <c:v>2013</c:v>
                  </c:pt>
                  <c:pt idx="24">
                    <c:v>2014</c:v>
                  </c:pt>
                  <c:pt idx="28">
                    <c:v>2015</c:v>
                  </c:pt>
                  <c:pt idx="32">
                    <c:v>2016</c:v>
                  </c:pt>
                  <c:pt idx="36">
                    <c:v>2017</c:v>
                  </c:pt>
                  <c:pt idx="40">
                    <c:v>2018</c:v>
                  </c:pt>
                  <c:pt idx="44">
                    <c:v>2019</c:v>
                  </c:pt>
                </c:lvl>
              </c:multiLvlStrCache>
            </c:multiLvlStrRef>
          </c:cat>
          <c:val>
            <c:numRef>
              <c:f>'Trh práce-2'!$B$38:$AU$38</c:f>
              <c:numCache>
                <c:formatCode>#\ ##0.0</c:formatCode>
                <c:ptCount val="46"/>
                <c:pt idx="0">
                  <c:v>9.3000000000000007</c:v>
                </c:pt>
                <c:pt idx="1">
                  <c:v>10.4</c:v>
                </c:pt>
                <c:pt idx="2">
                  <c:v>11.5</c:v>
                </c:pt>
                <c:pt idx="3">
                  <c:v>13.8</c:v>
                </c:pt>
                <c:pt idx="4">
                  <c:v>16.7</c:v>
                </c:pt>
                <c:pt idx="5">
                  <c:v>17.899999999999999</c:v>
                </c:pt>
                <c:pt idx="6">
                  <c:v>18.2</c:v>
                </c:pt>
                <c:pt idx="7">
                  <c:v>18.7</c:v>
                </c:pt>
                <c:pt idx="8">
                  <c:v>19.3</c:v>
                </c:pt>
                <c:pt idx="9">
                  <c:v>20</c:v>
                </c:pt>
                <c:pt idx="10">
                  <c:v>20.100000000000001</c:v>
                </c:pt>
                <c:pt idx="11">
                  <c:v>20.2</c:v>
                </c:pt>
                <c:pt idx="12">
                  <c:v>20.5</c:v>
                </c:pt>
                <c:pt idx="13">
                  <c:v>20.7</c:v>
                </c:pt>
                <c:pt idx="14">
                  <c:v>21.8</c:v>
                </c:pt>
                <c:pt idx="15">
                  <c:v>22.6</c:v>
                </c:pt>
                <c:pt idx="16">
                  <c:v>23.5</c:v>
                </c:pt>
                <c:pt idx="17">
                  <c:v>24.5</c:v>
                </c:pt>
                <c:pt idx="18">
                  <c:v>25.3</c:v>
                </c:pt>
                <c:pt idx="19">
                  <c:v>25.9</c:v>
                </c:pt>
                <c:pt idx="20">
                  <c:v>26.2</c:v>
                </c:pt>
                <c:pt idx="21">
                  <c:v>26.2</c:v>
                </c:pt>
                <c:pt idx="22">
                  <c:v>26.2</c:v>
                </c:pt>
                <c:pt idx="23">
                  <c:v>25.8</c:v>
                </c:pt>
                <c:pt idx="24">
                  <c:v>25.2</c:v>
                </c:pt>
                <c:pt idx="25">
                  <c:v>24.6</c:v>
                </c:pt>
                <c:pt idx="26">
                  <c:v>24.2</c:v>
                </c:pt>
                <c:pt idx="27">
                  <c:v>23.8</c:v>
                </c:pt>
                <c:pt idx="28">
                  <c:v>23.1</c:v>
                </c:pt>
                <c:pt idx="29">
                  <c:v>22.5</c:v>
                </c:pt>
                <c:pt idx="30">
                  <c:v>21.7</c:v>
                </c:pt>
                <c:pt idx="31">
                  <c:v>21</c:v>
                </c:pt>
                <c:pt idx="32">
                  <c:v>20.399999999999999</c:v>
                </c:pt>
                <c:pt idx="33">
                  <c:v>20.100000000000001</c:v>
                </c:pt>
                <c:pt idx="34">
                  <c:v>19.399999999999999</c:v>
                </c:pt>
                <c:pt idx="35">
                  <c:v>18.7</c:v>
                </c:pt>
                <c:pt idx="36">
                  <c:v>18.2</c:v>
                </c:pt>
                <c:pt idx="37">
                  <c:v>17.3</c:v>
                </c:pt>
                <c:pt idx="38">
                  <c:v>16.8</c:v>
                </c:pt>
                <c:pt idx="39">
                  <c:v>16.600000000000001</c:v>
                </c:pt>
                <c:pt idx="40">
                  <c:v>16.2</c:v>
                </c:pt>
                <c:pt idx="41">
                  <c:v>15.4</c:v>
                </c:pt>
                <c:pt idx="42">
                  <c:v>14.9</c:v>
                </c:pt>
                <c:pt idx="43">
                  <c:v>14.5</c:v>
                </c:pt>
                <c:pt idx="44">
                  <c:v>14.2</c:v>
                </c:pt>
                <c:pt idx="45">
                  <c:v>14.1</c:v>
                </c:pt>
              </c:numCache>
            </c:numRef>
          </c:val>
          <c:smooth val="0"/>
          <c:extLst>
            <c:ext xmlns:c16="http://schemas.microsoft.com/office/drawing/2014/chart" uri="{C3380CC4-5D6E-409C-BE32-E72D297353CC}">
              <c16:uniqueId val="{00000009-CE75-4DCE-A74F-0FB440B305A2}"/>
            </c:ext>
          </c:extLst>
        </c:ser>
        <c:ser>
          <c:idx val="10"/>
          <c:order val="10"/>
          <c:tx>
            <c:strRef>
              <c:f>'Trh práce-2'!$A$39</c:f>
              <c:strCache>
                <c:ptCount val="1"/>
                <c:pt idx="0">
                  <c:v>Ireland</c:v>
                </c:pt>
              </c:strCache>
            </c:strRef>
          </c:tx>
          <c:spPr>
            <a:ln w="19050">
              <a:solidFill>
                <a:schemeClr val="tx1">
                  <a:lumMod val="95000"/>
                  <a:lumOff val="5000"/>
                </a:schemeClr>
              </a:solidFill>
              <a:prstDash val="solid"/>
            </a:ln>
          </c:spPr>
          <c:marker>
            <c:symbol val="none"/>
          </c:marker>
          <c:cat>
            <c:multiLvlStrRef>
              <c:f>'Trh práce-2'!$B$27:$AU$28</c:f>
              <c:multiLvlStrCache>
                <c:ptCount val="4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lvl>
                <c:lvl>
                  <c:pt idx="0">
                    <c:v>2008</c:v>
                  </c:pt>
                  <c:pt idx="4">
                    <c:v>2009</c:v>
                  </c:pt>
                  <c:pt idx="8">
                    <c:v>2010</c:v>
                  </c:pt>
                  <c:pt idx="12">
                    <c:v>2011</c:v>
                  </c:pt>
                  <c:pt idx="16">
                    <c:v>2012</c:v>
                  </c:pt>
                  <c:pt idx="20">
                    <c:v>2013</c:v>
                  </c:pt>
                  <c:pt idx="24">
                    <c:v>2014</c:v>
                  </c:pt>
                  <c:pt idx="28">
                    <c:v>2015</c:v>
                  </c:pt>
                  <c:pt idx="32">
                    <c:v>2016</c:v>
                  </c:pt>
                  <c:pt idx="36">
                    <c:v>2017</c:v>
                  </c:pt>
                  <c:pt idx="40">
                    <c:v>2018</c:v>
                  </c:pt>
                  <c:pt idx="44">
                    <c:v>2019</c:v>
                  </c:pt>
                </c:lvl>
              </c:multiLvlStrCache>
            </c:multiLvlStrRef>
          </c:cat>
          <c:val>
            <c:numRef>
              <c:f>'Trh práce-2'!$B$39:$AU$39</c:f>
              <c:numCache>
                <c:formatCode>#\ ##0.0</c:formatCode>
                <c:ptCount val="46"/>
                <c:pt idx="0">
                  <c:v>5.4</c:v>
                </c:pt>
                <c:pt idx="1">
                  <c:v>5.9</c:v>
                </c:pt>
                <c:pt idx="2">
                  <c:v>7.4</c:v>
                </c:pt>
                <c:pt idx="3">
                  <c:v>8.6</c:v>
                </c:pt>
                <c:pt idx="4">
                  <c:v>10.9</c:v>
                </c:pt>
                <c:pt idx="5">
                  <c:v>12.6</c:v>
                </c:pt>
                <c:pt idx="6">
                  <c:v>13.3</c:v>
                </c:pt>
                <c:pt idx="7">
                  <c:v>13.8</c:v>
                </c:pt>
                <c:pt idx="8">
                  <c:v>13.9</c:v>
                </c:pt>
                <c:pt idx="9">
                  <c:v>14.3</c:v>
                </c:pt>
                <c:pt idx="10">
                  <c:v>14.6</c:v>
                </c:pt>
                <c:pt idx="11">
                  <c:v>15.6</c:v>
                </c:pt>
                <c:pt idx="12">
                  <c:v>15.2</c:v>
                </c:pt>
                <c:pt idx="13">
                  <c:v>15.1</c:v>
                </c:pt>
                <c:pt idx="14">
                  <c:v>15.6</c:v>
                </c:pt>
                <c:pt idx="15">
                  <c:v>15.8</c:v>
                </c:pt>
                <c:pt idx="16">
                  <c:v>16</c:v>
                </c:pt>
                <c:pt idx="17">
                  <c:v>15.5</c:v>
                </c:pt>
                <c:pt idx="18">
                  <c:v>15.5</c:v>
                </c:pt>
                <c:pt idx="19">
                  <c:v>15</c:v>
                </c:pt>
                <c:pt idx="20">
                  <c:v>14.6</c:v>
                </c:pt>
                <c:pt idx="21">
                  <c:v>14.4</c:v>
                </c:pt>
                <c:pt idx="22">
                  <c:v>13.4</c:v>
                </c:pt>
                <c:pt idx="23">
                  <c:v>12.9</c:v>
                </c:pt>
                <c:pt idx="24">
                  <c:v>12.9</c:v>
                </c:pt>
                <c:pt idx="25">
                  <c:v>12.2</c:v>
                </c:pt>
                <c:pt idx="26">
                  <c:v>11.7</c:v>
                </c:pt>
                <c:pt idx="27">
                  <c:v>10.9</c:v>
                </c:pt>
                <c:pt idx="28">
                  <c:v>10.7</c:v>
                </c:pt>
                <c:pt idx="29">
                  <c:v>10.1</c:v>
                </c:pt>
                <c:pt idx="30">
                  <c:v>9.6</c:v>
                </c:pt>
                <c:pt idx="31">
                  <c:v>9.5</c:v>
                </c:pt>
                <c:pt idx="32">
                  <c:v>9</c:v>
                </c:pt>
                <c:pt idx="33">
                  <c:v>8.9</c:v>
                </c:pt>
                <c:pt idx="34">
                  <c:v>8.1999999999999993</c:v>
                </c:pt>
                <c:pt idx="35">
                  <c:v>7.6</c:v>
                </c:pt>
                <c:pt idx="36">
                  <c:v>7.3</c:v>
                </c:pt>
                <c:pt idx="37">
                  <c:v>6.7</c:v>
                </c:pt>
                <c:pt idx="38">
                  <c:v>6.6</c:v>
                </c:pt>
                <c:pt idx="39">
                  <c:v>6.4</c:v>
                </c:pt>
                <c:pt idx="40">
                  <c:v>6</c:v>
                </c:pt>
                <c:pt idx="41">
                  <c:v>5.9</c:v>
                </c:pt>
                <c:pt idx="42">
                  <c:v>5.6</c:v>
                </c:pt>
                <c:pt idx="43">
                  <c:v>5.6</c:v>
                </c:pt>
                <c:pt idx="44">
                  <c:v>5.0999999999999996</c:v>
                </c:pt>
                <c:pt idx="45">
                  <c:v>5.2</c:v>
                </c:pt>
              </c:numCache>
            </c:numRef>
          </c:val>
          <c:smooth val="0"/>
          <c:extLst>
            <c:ext xmlns:c16="http://schemas.microsoft.com/office/drawing/2014/chart" uri="{C3380CC4-5D6E-409C-BE32-E72D297353CC}">
              <c16:uniqueId val="{0000000A-CE75-4DCE-A74F-0FB440B305A2}"/>
            </c:ext>
          </c:extLst>
        </c:ser>
        <c:ser>
          <c:idx val="11"/>
          <c:order val="11"/>
          <c:tx>
            <c:strRef>
              <c:f>'Trh práce-2'!$A$40</c:f>
              <c:strCache>
                <c:ptCount val="1"/>
                <c:pt idx="0">
                  <c:v>Greece</c:v>
                </c:pt>
              </c:strCache>
            </c:strRef>
          </c:tx>
          <c:spPr>
            <a:ln w="19050">
              <a:solidFill>
                <a:schemeClr val="bg1">
                  <a:lumMod val="50000"/>
                </a:schemeClr>
              </a:solidFill>
              <a:prstDash val="sysDash"/>
            </a:ln>
          </c:spPr>
          <c:marker>
            <c:symbol val="none"/>
          </c:marker>
          <c:cat>
            <c:multiLvlStrRef>
              <c:f>'Trh práce-2'!$B$27:$AU$28</c:f>
              <c:multiLvlStrCache>
                <c:ptCount val="4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lvl>
                <c:lvl>
                  <c:pt idx="0">
                    <c:v>2008</c:v>
                  </c:pt>
                  <c:pt idx="4">
                    <c:v>2009</c:v>
                  </c:pt>
                  <c:pt idx="8">
                    <c:v>2010</c:v>
                  </c:pt>
                  <c:pt idx="12">
                    <c:v>2011</c:v>
                  </c:pt>
                  <c:pt idx="16">
                    <c:v>2012</c:v>
                  </c:pt>
                  <c:pt idx="20">
                    <c:v>2013</c:v>
                  </c:pt>
                  <c:pt idx="24">
                    <c:v>2014</c:v>
                  </c:pt>
                  <c:pt idx="28">
                    <c:v>2015</c:v>
                  </c:pt>
                  <c:pt idx="32">
                    <c:v>2016</c:v>
                  </c:pt>
                  <c:pt idx="36">
                    <c:v>2017</c:v>
                  </c:pt>
                  <c:pt idx="40">
                    <c:v>2018</c:v>
                  </c:pt>
                  <c:pt idx="44">
                    <c:v>2019</c:v>
                  </c:pt>
                </c:lvl>
              </c:multiLvlStrCache>
            </c:multiLvlStrRef>
          </c:cat>
          <c:val>
            <c:numRef>
              <c:f>'Trh práce-2'!$B$40:$AU$40</c:f>
              <c:numCache>
                <c:formatCode>#\ ##0.0</c:formatCode>
                <c:ptCount val="46"/>
                <c:pt idx="0">
                  <c:v>8</c:v>
                </c:pt>
                <c:pt idx="1">
                  <c:v>7.6</c:v>
                </c:pt>
                <c:pt idx="2">
                  <c:v>7.6</c:v>
                </c:pt>
                <c:pt idx="3">
                  <c:v>8</c:v>
                </c:pt>
                <c:pt idx="4">
                  <c:v>9.1</c:v>
                </c:pt>
                <c:pt idx="5">
                  <c:v>9.3000000000000007</c:v>
                </c:pt>
                <c:pt idx="6">
                  <c:v>9.8000000000000007</c:v>
                </c:pt>
                <c:pt idx="7">
                  <c:v>10.4</c:v>
                </c:pt>
                <c:pt idx="8">
                  <c:v>11.3</c:v>
                </c:pt>
                <c:pt idx="9">
                  <c:v>12.2</c:v>
                </c:pt>
                <c:pt idx="10">
                  <c:v>13</c:v>
                </c:pt>
                <c:pt idx="11">
                  <c:v>14.3</c:v>
                </c:pt>
                <c:pt idx="12">
                  <c:v>15.5</c:v>
                </c:pt>
                <c:pt idx="13">
                  <c:v>16.899999999999999</c:v>
                </c:pt>
                <c:pt idx="14">
                  <c:v>18.5</c:v>
                </c:pt>
                <c:pt idx="15">
                  <c:v>20.6</c:v>
                </c:pt>
                <c:pt idx="16">
                  <c:v>22.2</c:v>
                </c:pt>
                <c:pt idx="17">
                  <c:v>24.1</c:v>
                </c:pt>
                <c:pt idx="18">
                  <c:v>25.6</c:v>
                </c:pt>
                <c:pt idx="19">
                  <c:v>26.3</c:v>
                </c:pt>
                <c:pt idx="20">
                  <c:v>26.9</c:v>
                </c:pt>
                <c:pt idx="21">
                  <c:v>27.7</c:v>
                </c:pt>
                <c:pt idx="22">
                  <c:v>27.7</c:v>
                </c:pt>
                <c:pt idx="23">
                  <c:v>27.6</c:v>
                </c:pt>
                <c:pt idx="24">
                  <c:v>27.1</c:v>
                </c:pt>
                <c:pt idx="25">
                  <c:v>26.9</c:v>
                </c:pt>
                <c:pt idx="26">
                  <c:v>26.2</c:v>
                </c:pt>
                <c:pt idx="27">
                  <c:v>25.9</c:v>
                </c:pt>
                <c:pt idx="28">
                  <c:v>25.8</c:v>
                </c:pt>
                <c:pt idx="29">
                  <c:v>25</c:v>
                </c:pt>
                <c:pt idx="30">
                  <c:v>24.7</c:v>
                </c:pt>
                <c:pt idx="31">
                  <c:v>24.3</c:v>
                </c:pt>
                <c:pt idx="32">
                  <c:v>24</c:v>
                </c:pt>
                <c:pt idx="33">
                  <c:v>23.5</c:v>
                </c:pt>
                <c:pt idx="34">
                  <c:v>23.3</c:v>
                </c:pt>
                <c:pt idx="35">
                  <c:v>23.4</c:v>
                </c:pt>
                <c:pt idx="36">
                  <c:v>22.6</c:v>
                </c:pt>
                <c:pt idx="37">
                  <c:v>21.5</c:v>
                </c:pt>
                <c:pt idx="38">
                  <c:v>20.9</c:v>
                </c:pt>
                <c:pt idx="39">
                  <c:v>21</c:v>
                </c:pt>
                <c:pt idx="40">
                  <c:v>20.399999999999999</c:v>
                </c:pt>
                <c:pt idx="41">
                  <c:v>19.5</c:v>
                </c:pt>
                <c:pt idx="42">
                  <c:v>18.899999999999999</c:v>
                </c:pt>
                <c:pt idx="43">
                  <c:v>18.600000000000001</c:v>
                </c:pt>
                <c:pt idx="44">
                  <c:v>18.399999999999999</c:v>
                </c:pt>
                <c:pt idx="45">
                  <c:v>17.299999999999997</c:v>
                </c:pt>
              </c:numCache>
            </c:numRef>
          </c:val>
          <c:smooth val="0"/>
          <c:extLst>
            <c:ext xmlns:c16="http://schemas.microsoft.com/office/drawing/2014/chart" uri="{C3380CC4-5D6E-409C-BE32-E72D297353CC}">
              <c16:uniqueId val="{0000000B-CE75-4DCE-A74F-0FB440B305A2}"/>
            </c:ext>
          </c:extLst>
        </c:ser>
        <c:dLbls>
          <c:showLegendKey val="0"/>
          <c:showVal val="0"/>
          <c:showCatName val="0"/>
          <c:showSerName val="0"/>
          <c:showPercent val="0"/>
          <c:showBubbleSize val="0"/>
        </c:dLbls>
        <c:marker val="1"/>
        <c:smooth val="0"/>
        <c:axId val="100654464"/>
        <c:axId val="101647488"/>
      </c:lineChart>
      <c:catAx>
        <c:axId val="100654464"/>
        <c:scaling>
          <c:orientation val="minMax"/>
        </c:scaling>
        <c:delete val="0"/>
        <c:axPos val="b"/>
        <c:numFmt formatCode="General" sourceLinked="0"/>
        <c:majorTickMark val="out"/>
        <c:minorTickMark val="none"/>
        <c:tickLblPos val="low"/>
        <c:spPr>
          <a:ln>
            <a:solidFill>
              <a:schemeClr val="tx1"/>
            </a:solidFill>
          </a:ln>
        </c:spPr>
        <c:crossAx val="101647488"/>
        <c:crossesAt val="-50"/>
        <c:auto val="1"/>
        <c:lblAlgn val="ctr"/>
        <c:lblOffset val="0"/>
        <c:noMultiLvlLbl val="0"/>
      </c:catAx>
      <c:valAx>
        <c:axId val="101647488"/>
        <c:scaling>
          <c:orientation val="minMax"/>
          <c:max val="28"/>
          <c:min val="0"/>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00654464"/>
        <c:crosses val="autoZero"/>
        <c:crossBetween val="midCat"/>
        <c:majorUnit val="2"/>
      </c:valAx>
      <c:spPr>
        <a:ln>
          <a:solidFill>
            <a:schemeClr val="tx1"/>
          </a:solidFill>
        </a:ln>
      </c:spPr>
    </c:plotArea>
    <c:legend>
      <c:legendPos val="b"/>
      <c:layout>
        <c:manualLayout>
          <c:xMode val="edge"/>
          <c:yMode val="edge"/>
          <c:x val="4.4644781189683583E-2"/>
          <c:y val="0.87358822741120723"/>
          <c:w val="0.93397790842348205"/>
          <c:h val="0.10825866470974503"/>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091348527306885E-2"/>
          <c:y val="1.6549886621315273E-2"/>
          <c:w val="0.94100987714831696"/>
          <c:h val="0.78195096371882089"/>
        </c:manualLayout>
      </c:layout>
      <c:barChart>
        <c:barDir val="col"/>
        <c:grouping val="clustered"/>
        <c:varyColors val="0"/>
        <c:ser>
          <c:idx val="4"/>
          <c:order val="1"/>
          <c:tx>
            <c:strRef>
              <c:f>'Trh práce 3'!$D$8</c:f>
              <c:strCache>
                <c:ptCount val="1"/>
                <c:pt idx="0">
                  <c:v>Wage (real)</c:v>
                </c:pt>
              </c:strCache>
            </c:strRef>
          </c:tx>
          <c:spPr>
            <a:solidFill>
              <a:srgbClr val="DBDBDB"/>
            </a:solidFill>
            <a:ln w="19050">
              <a:noFill/>
            </a:ln>
          </c:spPr>
          <c:invertIfNegative val="0"/>
          <c:cat>
            <c:multiLvlStrRef>
              <c:f>'Trh práce 3'!$A$9:$B$46</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3'!$D$9:$D$46</c:f>
              <c:numCache>
                <c:formatCode>#\ ##0.0</c:formatCode>
                <c:ptCount val="38"/>
                <c:pt idx="0">
                  <c:v>2.0999999999999943</c:v>
                </c:pt>
                <c:pt idx="1">
                  <c:v>1.9000000000000057</c:v>
                </c:pt>
                <c:pt idx="2">
                  <c:v>0.29999999999999716</c:v>
                </c:pt>
                <c:pt idx="3">
                  <c:v>-1.4000000000000057</c:v>
                </c:pt>
                <c:pt idx="4">
                  <c:v>1.0999999999999943</c:v>
                </c:pt>
                <c:pt idx="5">
                  <c:v>0.79999999999999716</c:v>
                </c:pt>
                <c:pt idx="6">
                  <c:v>0.29999999999999716</c:v>
                </c:pt>
                <c:pt idx="7">
                  <c:v>0</c:v>
                </c:pt>
                <c:pt idx="8">
                  <c:v>-0.5</c:v>
                </c:pt>
                <c:pt idx="9">
                  <c:v>-1.2999999999999972</c:v>
                </c:pt>
                <c:pt idx="10">
                  <c:v>-1.7999999999999972</c:v>
                </c:pt>
                <c:pt idx="11">
                  <c:v>0.40000000000000568</c:v>
                </c:pt>
                <c:pt idx="12">
                  <c:v>-2.4000000000000057</c:v>
                </c:pt>
                <c:pt idx="13">
                  <c:v>-0.5</c:v>
                </c:pt>
                <c:pt idx="14">
                  <c:v>0</c:v>
                </c:pt>
                <c:pt idx="15">
                  <c:v>-3.0999999999999943</c:v>
                </c:pt>
                <c:pt idx="16">
                  <c:v>3.7000000000000028</c:v>
                </c:pt>
                <c:pt idx="17">
                  <c:v>2.5999999999999943</c:v>
                </c:pt>
                <c:pt idx="18">
                  <c:v>1.5999999999999943</c:v>
                </c:pt>
                <c:pt idx="19">
                  <c:v>2.2999999999999972</c:v>
                </c:pt>
                <c:pt idx="20">
                  <c:v>2.2000000000000028</c:v>
                </c:pt>
                <c:pt idx="21">
                  <c:v>2.5999999999999943</c:v>
                </c:pt>
                <c:pt idx="22">
                  <c:v>3.0999999999999943</c:v>
                </c:pt>
                <c:pt idx="23">
                  <c:v>3.5999999999999943</c:v>
                </c:pt>
                <c:pt idx="24">
                  <c:v>4.2000000000000028</c:v>
                </c:pt>
                <c:pt idx="25">
                  <c:v>3.7999999999999972</c:v>
                </c:pt>
                <c:pt idx="26">
                  <c:v>4.2000000000000028</c:v>
                </c:pt>
                <c:pt idx="27">
                  <c:v>3</c:v>
                </c:pt>
                <c:pt idx="28">
                  <c:v>2.5999999999999943</c:v>
                </c:pt>
                <c:pt idx="29">
                  <c:v>4.9000000000000057</c:v>
                </c:pt>
                <c:pt idx="30">
                  <c:v>4.0999999999999943</c:v>
                </c:pt>
                <c:pt idx="31">
                  <c:v>5.0999999999999943</c:v>
                </c:pt>
                <c:pt idx="32">
                  <c:v>5.7999999999999972</c:v>
                </c:pt>
                <c:pt idx="33">
                  <c:v>5.7000000000000028</c:v>
                </c:pt>
                <c:pt idx="34">
                  <c:v>5.4000000000000057</c:v>
                </c:pt>
                <c:pt idx="35">
                  <c:v>4.2999999999999972</c:v>
                </c:pt>
                <c:pt idx="36">
                  <c:v>4.7000000000000028</c:v>
                </c:pt>
                <c:pt idx="37">
                  <c:v>4.2999999999999972</c:v>
                </c:pt>
              </c:numCache>
            </c:numRef>
          </c:val>
          <c:extLst>
            <c:ext xmlns:c16="http://schemas.microsoft.com/office/drawing/2014/chart" uri="{C3380CC4-5D6E-409C-BE32-E72D297353CC}">
              <c16:uniqueId val="{00000000-67C3-4569-AB4B-1128865CF0AA}"/>
            </c:ext>
          </c:extLst>
        </c:ser>
        <c:dLbls>
          <c:showLegendKey val="0"/>
          <c:showVal val="0"/>
          <c:showCatName val="0"/>
          <c:showSerName val="0"/>
          <c:showPercent val="0"/>
          <c:showBubbleSize val="0"/>
        </c:dLbls>
        <c:gapWidth val="37"/>
        <c:axId val="100688640"/>
        <c:axId val="100690560"/>
      </c:barChart>
      <c:lineChart>
        <c:grouping val="standard"/>
        <c:varyColors val="0"/>
        <c:ser>
          <c:idx val="0"/>
          <c:order val="0"/>
          <c:tx>
            <c:strRef>
              <c:f>'Trh práce 3'!$C$8</c:f>
              <c:strCache>
                <c:ptCount val="1"/>
                <c:pt idx="0">
                  <c:v>Wage (nominal)</c:v>
                </c:pt>
              </c:strCache>
            </c:strRef>
          </c:tx>
          <c:spPr>
            <a:ln w="19050">
              <a:solidFill>
                <a:schemeClr val="tx1">
                  <a:lumMod val="95000"/>
                  <a:lumOff val="5000"/>
                </a:schemeClr>
              </a:solidFill>
            </a:ln>
          </c:spPr>
          <c:marker>
            <c:symbol val="none"/>
          </c:marker>
          <c:cat>
            <c:multiLvlStrRef>
              <c:f>'Trh práce 3'!$A$9:$B$46</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3'!$C$9:$C$46</c:f>
              <c:numCache>
                <c:formatCode>0.0</c:formatCode>
                <c:ptCount val="38"/>
                <c:pt idx="0">
                  <c:v>2.7999999999999972</c:v>
                </c:pt>
                <c:pt idx="1">
                  <c:v>3.0999999999999943</c:v>
                </c:pt>
                <c:pt idx="2">
                  <c:v>2.2000000000000028</c:v>
                </c:pt>
                <c:pt idx="3">
                  <c:v>0.70000000000000284</c:v>
                </c:pt>
                <c:pt idx="4">
                  <c:v>2.7999999999999972</c:v>
                </c:pt>
                <c:pt idx="5">
                  <c:v>2.5999999999999943</c:v>
                </c:pt>
                <c:pt idx="6">
                  <c:v>2.0999999999999943</c:v>
                </c:pt>
                <c:pt idx="7">
                  <c:v>2.4000000000000057</c:v>
                </c:pt>
                <c:pt idx="8">
                  <c:v>3.2000000000000028</c:v>
                </c:pt>
                <c:pt idx="9">
                  <c:v>2.0999999999999943</c:v>
                </c:pt>
                <c:pt idx="10">
                  <c:v>1.4000000000000057</c:v>
                </c:pt>
                <c:pt idx="11">
                  <c:v>3.2000000000000028</c:v>
                </c:pt>
                <c:pt idx="12">
                  <c:v>-0.59999999999999432</c:v>
                </c:pt>
                <c:pt idx="13">
                  <c:v>1</c:v>
                </c:pt>
                <c:pt idx="14">
                  <c:v>1.2000000000000028</c:v>
                </c:pt>
                <c:pt idx="15">
                  <c:v>-2</c:v>
                </c:pt>
                <c:pt idx="16">
                  <c:v>3.9000000000000057</c:v>
                </c:pt>
                <c:pt idx="17">
                  <c:v>2.7999999999999972</c:v>
                </c:pt>
                <c:pt idx="18">
                  <c:v>2.2000000000000028</c:v>
                </c:pt>
                <c:pt idx="19">
                  <c:v>2.7999999999999972</c:v>
                </c:pt>
                <c:pt idx="20">
                  <c:v>2.2999999999999972</c:v>
                </c:pt>
                <c:pt idx="21">
                  <c:v>3.2999999999999972</c:v>
                </c:pt>
                <c:pt idx="22">
                  <c:v>3.5</c:v>
                </c:pt>
                <c:pt idx="23">
                  <c:v>3.7000000000000028</c:v>
                </c:pt>
                <c:pt idx="24">
                  <c:v>4.7000000000000028</c:v>
                </c:pt>
                <c:pt idx="25">
                  <c:v>4</c:v>
                </c:pt>
                <c:pt idx="26">
                  <c:v>4.7000000000000028</c:v>
                </c:pt>
                <c:pt idx="27">
                  <c:v>4.4000000000000057</c:v>
                </c:pt>
                <c:pt idx="28">
                  <c:v>5.0999999999999943</c:v>
                </c:pt>
                <c:pt idx="29">
                  <c:v>7.2000000000000028</c:v>
                </c:pt>
                <c:pt idx="30">
                  <c:v>6.7000000000000028</c:v>
                </c:pt>
                <c:pt idx="31">
                  <c:v>7.7999999999999972</c:v>
                </c:pt>
                <c:pt idx="32">
                  <c:v>7.7999999999999972</c:v>
                </c:pt>
                <c:pt idx="33">
                  <c:v>8.0999999999999943</c:v>
                </c:pt>
                <c:pt idx="34">
                  <c:v>7.9000000000000057</c:v>
                </c:pt>
                <c:pt idx="35">
                  <c:v>6.5</c:v>
                </c:pt>
                <c:pt idx="36">
                  <c:v>7.5</c:v>
                </c:pt>
                <c:pt idx="37">
                  <c:v>7.2000000000000028</c:v>
                </c:pt>
              </c:numCache>
            </c:numRef>
          </c:val>
          <c:smooth val="0"/>
          <c:extLst>
            <c:ext xmlns:c16="http://schemas.microsoft.com/office/drawing/2014/chart" uri="{C3380CC4-5D6E-409C-BE32-E72D297353CC}">
              <c16:uniqueId val="{00000001-67C3-4569-AB4B-1128865CF0AA}"/>
            </c:ext>
          </c:extLst>
        </c:ser>
        <c:ser>
          <c:idx val="5"/>
          <c:order val="2"/>
          <c:tx>
            <c:strRef>
              <c:f>'Trh práce 3'!$E$8</c:f>
              <c:strCache>
                <c:ptCount val="1"/>
                <c:pt idx="0">
                  <c:v>Wage in manufacturing (nominal)</c:v>
                </c:pt>
              </c:strCache>
            </c:strRef>
          </c:tx>
          <c:spPr>
            <a:ln w="15875">
              <a:prstDash val="sysDash"/>
            </a:ln>
          </c:spPr>
          <c:marker>
            <c:symbol val="none"/>
          </c:marker>
          <c:cat>
            <c:multiLvlStrRef>
              <c:f>'Trh práce 3'!$A$9:$B$46</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3'!$E$9:$E$46</c:f>
              <c:numCache>
                <c:formatCode>0.0</c:formatCode>
                <c:ptCount val="38"/>
                <c:pt idx="0">
                  <c:v>5.5741522340270677</c:v>
                </c:pt>
                <c:pt idx="1">
                  <c:v>4.6596136154553705</c:v>
                </c:pt>
                <c:pt idx="2">
                  <c:v>3.4155684253727827</c:v>
                </c:pt>
                <c:pt idx="3">
                  <c:v>4.1331027793007422</c:v>
                </c:pt>
                <c:pt idx="4">
                  <c:v>4.0529363110008347</c:v>
                </c:pt>
                <c:pt idx="5">
                  <c:v>4.5092954775194301</c:v>
                </c:pt>
                <c:pt idx="6">
                  <c:v>3.2013405062174769</c:v>
                </c:pt>
                <c:pt idx="7">
                  <c:v>2.3814345308006892</c:v>
                </c:pt>
                <c:pt idx="8">
                  <c:v>3.8288288288288186</c:v>
                </c:pt>
                <c:pt idx="9">
                  <c:v>3.0152655704613238</c:v>
                </c:pt>
                <c:pt idx="10">
                  <c:v>1.9056571526234762</c:v>
                </c:pt>
                <c:pt idx="11">
                  <c:v>2.9589778076664572</c:v>
                </c:pt>
                <c:pt idx="12">
                  <c:v>0.506146059291396</c:v>
                </c:pt>
                <c:pt idx="13">
                  <c:v>1.9962442847811843</c:v>
                </c:pt>
                <c:pt idx="14">
                  <c:v>2.259958071278831</c:v>
                </c:pt>
                <c:pt idx="15">
                  <c:v>0.53021861912630186</c:v>
                </c:pt>
                <c:pt idx="16">
                  <c:v>4.7947524333474405</c:v>
                </c:pt>
                <c:pt idx="17">
                  <c:v>3.366019611767058</c:v>
                </c:pt>
                <c:pt idx="18">
                  <c:v>2.8824470047972568</c:v>
                </c:pt>
                <c:pt idx="19">
                  <c:v>3.6690235046818316</c:v>
                </c:pt>
                <c:pt idx="20">
                  <c:v>1.9747203489076384</c:v>
                </c:pt>
                <c:pt idx="21">
                  <c:v>3.0821652598156817</c:v>
                </c:pt>
                <c:pt idx="22">
                  <c:v>3.263988522238165</c:v>
                </c:pt>
                <c:pt idx="23">
                  <c:v>3.2258064516128968</c:v>
                </c:pt>
                <c:pt idx="24">
                  <c:v>4.9619832092507465</c:v>
                </c:pt>
                <c:pt idx="25">
                  <c:v>4.2070468033956985</c:v>
                </c:pt>
                <c:pt idx="26">
                  <c:v>4.939986878159857</c:v>
                </c:pt>
                <c:pt idx="27">
                  <c:v>4.4500000000000028</c:v>
                </c:pt>
                <c:pt idx="28">
                  <c:v>5.3386153555932765</c:v>
                </c:pt>
                <c:pt idx="29">
                  <c:v>8.1825391103741651</c:v>
                </c:pt>
                <c:pt idx="30">
                  <c:v>6.9545070059946283</c:v>
                </c:pt>
                <c:pt idx="31">
                  <c:v>6.9958284893660618</c:v>
                </c:pt>
                <c:pt idx="32">
                  <c:v>7.0128939828080235</c:v>
                </c:pt>
                <c:pt idx="33">
                  <c:v>7.5503132080501132</c:v>
                </c:pt>
                <c:pt idx="34">
                  <c:v>6.6914242486761424</c:v>
                </c:pt>
                <c:pt idx="35">
                  <c:v>7.0241595295922394</c:v>
                </c:pt>
                <c:pt idx="36">
                  <c:v>6.6838476470981902</c:v>
                </c:pt>
                <c:pt idx="37">
                  <c:v>6.462606109424371</c:v>
                </c:pt>
              </c:numCache>
            </c:numRef>
          </c:val>
          <c:smooth val="0"/>
          <c:extLst>
            <c:ext xmlns:c16="http://schemas.microsoft.com/office/drawing/2014/chart" uri="{C3380CC4-5D6E-409C-BE32-E72D297353CC}">
              <c16:uniqueId val="{00000002-67C3-4569-AB4B-1128865CF0AA}"/>
            </c:ext>
          </c:extLst>
        </c:ser>
        <c:ser>
          <c:idx val="1"/>
          <c:order val="3"/>
          <c:tx>
            <c:strRef>
              <c:f>'Trh práce 3'!$F$8</c:f>
              <c:strCache>
                <c:ptCount val="1"/>
                <c:pt idx="0">
                  <c:v>Wage in trade (nominal)</c:v>
                </c:pt>
              </c:strCache>
            </c:strRef>
          </c:tx>
          <c:spPr>
            <a:ln w="15875">
              <a:solidFill>
                <a:schemeClr val="accent1"/>
              </a:solidFill>
              <a:prstDash val="sysDash"/>
            </a:ln>
          </c:spPr>
          <c:marker>
            <c:symbol val="none"/>
          </c:marker>
          <c:cat>
            <c:multiLvlStrRef>
              <c:f>'Trh práce 3'!$A$9:$B$46</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3'!$F$9:$F$46</c:f>
              <c:numCache>
                <c:formatCode>0.0</c:formatCode>
                <c:ptCount val="38"/>
                <c:pt idx="0">
                  <c:v>2.4757068216221541</c:v>
                </c:pt>
                <c:pt idx="1">
                  <c:v>3.7727708533077617</c:v>
                </c:pt>
                <c:pt idx="2">
                  <c:v>2.8297025064417909</c:v>
                </c:pt>
                <c:pt idx="3">
                  <c:v>3.460238001141704</c:v>
                </c:pt>
                <c:pt idx="4">
                  <c:v>3.2593157342990509</c:v>
                </c:pt>
                <c:pt idx="5">
                  <c:v>3.7187601053263677</c:v>
                </c:pt>
                <c:pt idx="6">
                  <c:v>2.6743815207982209</c:v>
                </c:pt>
                <c:pt idx="7">
                  <c:v>4.3291880650227199</c:v>
                </c:pt>
                <c:pt idx="8">
                  <c:v>4.0793724042454897</c:v>
                </c:pt>
                <c:pt idx="9">
                  <c:v>0.74380901478710371</c:v>
                </c:pt>
                <c:pt idx="10">
                  <c:v>0.80315938942136711</c:v>
                </c:pt>
                <c:pt idx="11">
                  <c:v>3.3521825800414859</c:v>
                </c:pt>
                <c:pt idx="12">
                  <c:v>-0.36357187195176266</c:v>
                </c:pt>
                <c:pt idx="13">
                  <c:v>0.83115964454663072</c:v>
                </c:pt>
                <c:pt idx="14">
                  <c:v>1.2941849716071658</c:v>
                </c:pt>
                <c:pt idx="15">
                  <c:v>-4.6290100373942096</c:v>
                </c:pt>
                <c:pt idx="16">
                  <c:v>3.4576361694553128</c:v>
                </c:pt>
                <c:pt idx="17">
                  <c:v>4.1785416758012985</c:v>
                </c:pt>
                <c:pt idx="18">
                  <c:v>2.8899222111164136</c:v>
                </c:pt>
                <c:pt idx="19">
                  <c:v>2.761153989021409</c:v>
                </c:pt>
                <c:pt idx="20">
                  <c:v>3.1055099144049194</c:v>
                </c:pt>
                <c:pt idx="21">
                  <c:v>3.9141414141414117</c:v>
                </c:pt>
                <c:pt idx="22">
                  <c:v>3.949146815340427</c:v>
                </c:pt>
                <c:pt idx="23">
                  <c:v>5.7916298497871423</c:v>
                </c:pt>
                <c:pt idx="24">
                  <c:v>5.6443202202661524</c:v>
                </c:pt>
                <c:pt idx="25">
                  <c:v>3.9570676387201189</c:v>
                </c:pt>
                <c:pt idx="26">
                  <c:v>4.9977652269310511</c:v>
                </c:pt>
                <c:pt idx="27">
                  <c:v>4.4950645406226215</c:v>
                </c:pt>
                <c:pt idx="28">
                  <c:v>5.6231243089559229</c:v>
                </c:pt>
                <c:pt idx="29">
                  <c:v>7.9284684614485457</c:v>
                </c:pt>
                <c:pt idx="30">
                  <c:v>7.693200727526019</c:v>
                </c:pt>
                <c:pt idx="31">
                  <c:v>8.3926754832146457</c:v>
                </c:pt>
                <c:pt idx="32">
                  <c:v>7.2416629280693883</c:v>
                </c:pt>
                <c:pt idx="33">
                  <c:v>6.9272976680384062</c:v>
                </c:pt>
                <c:pt idx="34">
                  <c:v>6.7016421718351324</c:v>
                </c:pt>
                <c:pt idx="35">
                  <c:v>6.4389622578266312</c:v>
                </c:pt>
                <c:pt idx="36">
                  <c:v>8.1261983615129765</c:v>
                </c:pt>
                <c:pt idx="37">
                  <c:v>5.8066911988116487</c:v>
                </c:pt>
              </c:numCache>
            </c:numRef>
          </c:val>
          <c:smooth val="0"/>
          <c:extLst>
            <c:ext xmlns:c16="http://schemas.microsoft.com/office/drawing/2014/chart" uri="{C3380CC4-5D6E-409C-BE32-E72D297353CC}">
              <c16:uniqueId val="{00000003-67C3-4569-AB4B-1128865CF0AA}"/>
            </c:ext>
          </c:extLst>
        </c:ser>
        <c:ser>
          <c:idx val="2"/>
          <c:order val="4"/>
          <c:tx>
            <c:strRef>
              <c:f>'Trh práce 3'!$G$8</c:f>
              <c:strCache>
                <c:ptCount val="1"/>
                <c:pt idx="0">
                  <c:v>Wage in public services (nominal)*</c:v>
                </c:pt>
              </c:strCache>
            </c:strRef>
          </c:tx>
          <c:spPr>
            <a:ln w="15875">
              <a:prstDash val="sysDash"/>
            </a:ln>
          </c:spPr>
          <c:marker>
            <c:symbol val="none"/>
          </c:marker>
          <c:cat>
            <c:multiLvlStrRef>
              <c:f>'Trh práce 3'!$A$9:$B$46</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3'!$G$9:$G$46</c:f>
              <c:numCache>
                <c:formatCode>0.0</c:formatCode>
                <c:ptCount val="38"/>
                <c:pt idx="0">
                  <c:v>4.0490391739471931</c:v>
                </c:pt>
                <c:pt idx="1">
                  <c:v>1.6283315509305112</c:v>
                </c:pt>
                <c:pt idx="2">
                  <c:v>-0.55283553368845162</c:v>
                </c:pt>
                <c:pt idx="3">
                  <c:v>-3.7979173937266069</c:v>
                </c:pt>
                <c:pt idx="4">
                  <c:v>-0.36529704002306573</c:v>
                </c:pt>
                <c:pt idx="5">
                  <c:v>0.75226666267364806</c:v>
                </c:pt>
                <c:pt idx="6">
                  <c:v>2.1176725674165766</c:v>
                </c:pt>
                <c:pt idx="7">
                  <c:v>2.8398131342035384</c:v>
                </c:pt>
                <c:pt idx="8">
                  <c:v>3.2279568792093158</c:v>
                </c:pt>
                <c:pt idx="9">
                  <c:v>1.7574406830760836</c:v>
                </c:pt>
                <c:pt idx="10">
                  <c:v>1.8920783570674899</c:v>
                </c:pt>
                <c:pt idx="11">
                  <c:v>1.0598177996607347</c:v>
                </c:pt>
                <c:pt idx="12">
                  <c:v>2.4966291616905778E-2</c:v>
                </c:pt>
                <c:pt idx="13">
                  <c:v>1.6016040487050844</c:v>
                </c:pt>
                <c:pt idx="14">
                  <c:v>0.63880459502811959</c:v>
                </c:pt>
                <c:pt idx="15">
                  <c:v>0.17964165062377901</c:v>
                </c:pt>
                <c:pt idx="16">
                  <c:v>2.280760005771441</c:v>
                </c:pt>
                <c:pt idx="17">
                  <c:v>1.7741806147294312</c:v>
                </c:pt>
                <c:pt idx="18">
                  <c:v>2.0112509376191809</c:v>
                </c:pt>
                <c:pt idx="19">
                  <c:v>4.0222566728863427</c:v>
                </c:pt>
                <c:pt idx="20">
                  <c:v>3.2925091204843113</c:v>
                </c:pt>
                <c:pt idx="21">
                  <c:v>4.3135889286729565</c:v>
                </c:pt>
                <c:pt idx="22">
                  <c:v>3.8145419077079765</c:v>
                </c:pt>
                <c:pt idx="23">
                  <c:v>3.6381766938736746</c:v>
                </c:pt>
                <c:pt idx="24">
                  <c:v>4.64178325585614</c:v>
                </c:pt>
                <c:pt idx="25">
                  <c:v>3.8061258933532116</c:v>
                </c:pt>
                <c:pt idx="26">
                  <c:v>4.8526374704253925</c:v>
                </c:pt>
                <c:pt idx="27">
                  <c:v>6.1351981806606375</c:v>
                </c:pt>
                <c:pt idx="28">
                  <c:v>5.4566112929361736</c:v>
                </c:pt>
                <c:pt idx="29">
                  <c:v>7.3192456135908941</c:v>
                </c:pt>
                <c:pt idx="30">
                  <c:v>7.9981713137873669</c:v>
                </c:pt>
                <c:pt idx="31">
                  <c:v>10.484072576559413</c:v>
                </c:pt>
                <c:pt idx="32">
                  <c:v>11.633239761769048</c:v>
                </c:pt>
                <c:pt idx="33">
                  <c:v>11.426031898018365</c:v>
                </c:pt>
                <c:pt idx="34">
                  <c:v>10.917120973616747</c:v>
                </c:pt>
                <c:pt idx="35">
                  <c:v>5.6896822744079429</c:v>
                </c:pt>
                <c:pt idx="36">
                  <c:v>8.8372973382255395</c:v>
                </c:pt>
                <c:pt idx="37">
                  <c:v>8.6669754799301018</c:v>
                </c:pt>
              </c:numCache>
            </c:numRef>
          </c:val>
          <c:smooth val="0"/>
          <c:extLst>
            <c:ext xmlns:c16="http://schemas.microsoft.com/office/drawing/2014/chart" uri="{C3380CC4-5D6E-409C-BE32-E72D297353CC}">
              <c16:uniqueId val="{00000004-67C3-4569-AB4B-1128865CF0AA}"/>
            </c:ext>
          </c:extLst>
        </c:ser>
        <c:ser>
          <c:idx val="3"/>
          <c:order val="5"/>
          <c:tx>
            <c:strRef>
              <c:f>'Trh práce 3'!$H$8</c:f>
              <c:strCache>
                <c:ptCount val="1"/>
                <c:pt idx="0">
                  <c:v>Labour productivity in economy (real)**</c:v>
                </c:pt>
              </c:strCache>
            </c:strRef>
          </c:tx>
          <c:spPr>
            <a:ln w="19050">
              <a:noFill/>
            </a:ln>
          </c:spPr>
          <c:marker>
            <c:symbol val="diamond"/>
            <c:size val="5"/>
            <c:spPr>
              <a:solidFill>
                <a:srgbClr val="F6F000"/>
              </a:solidFill>
              <a:ln w="6350">
                <a:solidFill>
                  <a:schemeClr val="tx1">
                    <a:lumMod val="95000"/>
                    <a:lumOff val="5000"/>
                  </a:schemeClr>
                </a:solidFill>
              </a:ln>
            </c:spPr>
          </c:marker>
          <c:cat>
            <c:multiLvlStrRef>
              <c:f>'Trh práce 3'!$A$9:$B$46</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3'!$H$9:$H$46</c:f>
              <c:numCache>
                <c:formatCode>0.0</c:formatCode>
                <c:ptCount val="38"/>
                <c:pt idx="0">
                  <c:v>3.5332846838865208</c:v>
                </c:pt>
                <c:pt idx="1">
                  <c:v>4.425122650740704</c:v>
                </c:pt>
                <c:pt idx="2">
                  <c:v>2.3152819998793319</c:v>
                </c:pt>
                <c:pt idx="3">
                  <c:v>2.9717863026053948</c:v>
                </c:pt>
                <c:pt idx="4">
                  <c:v>2.9527260280244576</c:v>
                </c:pt>
                <c:pt idx="5">
                  <c:v>2.0923191727528945</c:v>
                </c:pt>
                <c:pt idx="6">
                  <c:v>1.8080251400873806</c:v>
                </c:pt>
                <c:pt idx="7">
                  <c:v>1.5019620723850409</c:v>
                </c:pt>
                <c:pt idx="8">
                  <c:v>0.41537995919813397</c:v>
                </c:pt>
                <c:pt idx="9">
                  <c:v>-1.2819231607881107</c:v>
                </c:pt>
                <c:pt idx="10">
                  <c:v>-1.8249350322319771</c:v>
                </c:pt>
                <c:pt idx="11">
                  <c:v>-2.0588258996494346</c:v>
                </c:pt>
                <c:pt idx="12">
                  <c:v>-2.8802810421720295</c:v>
                </c:pt>
                <c:pt idx="13">
                  <c:v>-1.8279480046633836</c:v>
                </c:pt>
                <c:pt idx="14">
                  <c:v>0.4046193699375209</c:v>
                </c:pt>
                <c:pt idx="15">
                  <c:v>0.95515229453815209</c:v>
                </c:pt>
                <c:pt idx="16">
                  <c:v>1.7448585072078089</c:v>
                </c:pt>
                <c:pt idx="17">
                  <c:v>2.7515963261383547</c:v>
                </c:pt>
                <c:pt idx="18">
                  <c:v>3.0294730201186439</c:v>
                </c:pt>
                <c:pt idx="19">
                  <c:v>1.0840279704352724</c:v>
                </c:pt>
                <c:pt idx="20">
                  <c:v>3.7518410336967918</c:v>
                </c:pt>
                <c:pt idx="21">
                  <c:v>4.1202609165826658</c:v>
                </c:pt>
                <c:pt idx="22">
                  <c:v>3.76028698995718</c:v>
                </c:pt>
                <c:pt idx="23">
                  <c:v>3.6745015563024737</c:v>
                </c:pt>
                <c:pt idx="24">
                  <c:v>1.4752745888902723</c:v>
                </c:pt>
                <c:pt idx="25">
                  <c:v>2.0687313721092977</c:v>
                </c:pt>
                <c:pt idx="26">
                  <c:v>6.7689948363209851E-2</c:v>
                </c:pt>
                <c:pt idx="27">
                  <c:v>-0.12588932224844029</c:v>
                </c:pt>
                <c:pt idx="28">
                  <c:v>2.1906602546173986</c:v>
                </c:pt>
                <c:pt idx="29">
                  <c:v>2.4032448321291326</c:v>
                </c:pt>
                <c:pt idx="30">
                  <c:v>2.7730189049163272</c:v>
                </c:pt>
                <c:pt idx="31">
                  <c:v>3.598660449921212</c:v>
                </c:pt>
                <c:pt idx="32">
                  <c:v>1.9711231502793822</c:v>
                </c:pt>
                <c:pt idx="33">
                  <c:v>1.0416773737980378</c:v>
                </c:pt>
                <c:pt idx="34">
                  <c:v>1.5570017997824692</c:v>
                </c:pt>
                <c:pt idx="35">
                  <c:v>1.8257488602716734</c:v>
                </c:pt>
                <c:pt idx="36">
                  <c:v>1.3014328722822768</c:v>
                </c:pt>
                <c:pt idx="37">
                  <c:v>1.5840908001048888</c:v>
                </c:pt>
              </c:numCache>
            </c:numRef>
          </c:val>
          <c:smooth val="0"/>
          <c:extLst>
            <c:ext xmlns:c16="http://schemas.microsoft.com/office/drawing/2014/chart" uri="{C3380CC4-5D6E-409C-BE32-E72D297353CC}">
              <c16:uniqueId val="{00000005-67C3-4569-AB4B-1128865CF0AA}"/>
            </c:ext>
          </c:extLst>
        </c:ser>
        <c:dLbls>
          <c:showLegendKey val="0"/>
          <c:showVal val="0"/>
          <c:showCatName val="0"/>
          <c:showSerName val="0"/>
          <c:showPercent val="0"/>
          <c:showBubbleSize val="0"/>
        </c:dLbls>
        <c:marker val="1"/>
        <c:smooth val="0"/>
        <c:axId val="100688640"/>
        <c:axId val="100690560"/>
      </c:lineChart>
      <c:catAx>
        <c:axId val="1006886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00690560"/>
        <c:crosses val="autoZero"/>
        <c:auto val="1"/>
        <c:lblAlgn val="ctr"/>
        <c:lblOffset val="0"/>
        <c:tickMarkSkip val="4"/>
        <c:noMultiLvlLbl val="0"/>
      </c:catAx>
      <c:valAx>
        <c:axId val="100690560"/>
        <c:scaling>
          <c:orientation val="minMax"/>
          <c:max val="12"/>
          <c:min val="-5"/>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00688640"/>
        <c:crosses val="autoZero"/>
        <c:crossBetween val="between"/>
        <c:majorUnit val="1"/>
      </c:valAx>
      <c:spPr>
        <a:ln>
          <a:solidFill>
            <a:schemeClr val="tx1"/>
          </a:solidFill>
        </a:ln>
      </c:spPr>
    </c:plotArea>
    <c:legend>
      <c:legendPos val="b"/>
      <c:layout>
        <c:manualLayout>
          <c:xMode val="edge"/>
          <c:yMode val="edge"/>
          <c:x val="4.1991900121069334E-2"/>
          <c:y val="0.89378061224489791"/>
          <c:w val="0.94189432216274505"/>
          <c:h val="0.10261961451247163"/>
        </c:manualLayout>
      </c:layout>
      <c:overlay val="0"/>
      <c:spPr>
        <a:ln w="6350">
          <a:solidFill>
            <a:schemeClr val="tx1"/>
          </a:solidFill>
        </a:ln>
      </c:spPr>
      <c:txPr>
        <a:bodyPr/>
        <a:lstStyle/>
        <a:p>
          <a:pPr>
            <a:defRPr sz="80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557159743329959E-2"/>
          <c:y val="2.1711264016309892E-2"/>
          <c:w val="0.93757303275920301"/>
          <c:h val="0.73130361364404473"/>
        </c:manualLayout>
      </c:layout>
      <c:barChart>
        <c:barDir val="col"/>
        <c:grouping val="clustered"/>
        <c:varyColors val="0"/>
        <c:ser>
          <c:idx val="0"/>
          <c:order val="0"/>
          <c:tx>
            <c:strRef>
              <c:f>'Měnové podmínky 1'!$C$5</c:f>
              <c:strCache>
                <c:ptCount val="1"/>
                <c:pt idx="0">
                  <c:v>2W repo rate</c:v>
                </c:pt>
              </c:strCache>
            </c:strRef>
          </c:tx>
          <c:spPr>
            <a:solidFill>
              <a:schemeClr val="bg1">
                <a:lumMod val="65000"/>
              </a:schemeClr>
            </a:solidFill>
          </c:spPr>
          <c:invertIfNegative val="0"/>
          <c:cat>
            <c:multiLvlStrRef>
              <c:f>'Měnové podmínky 1'!$A$30:$B$96</c:f>
              <c:multiLvlStrCache>
                <c:ptCount val="67"/>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lvl>
                <c:lvl>
                  <c:pt idx="0">
                    <c:v>2014</c:v>
                  </c:pt>
                  <c:pt idx="12">
                    <c:v>2015</c:v>
                  </c:pt>
                  <c:pt idx="24">
                    <c:v>2016</c:v>
                  </c:pt>
                  <c:pt idx="36">
                    <c:v>2017</c:v>
                  </c:pt>
                  <c:pt idx="48">
                    <c:v>2018</c:v>
                  </c:pt>
                  <c:pt idx="60">
                    <c:v>2019</c:v>
                  </c:pt>
                </c:lvl>
              </c:multiLvlStrCache>
            </c:multiLvlStrRef>
          </c:cat>
          <c:val>
            <c:numRef>
              <c:f>'Měnové podmínky 1'!$C$30:$C$96</c:f>
              <c:numCache>
                <c:formatCode>0.00</c:formatCode>
                <c:ptCount val="67"/>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pt idx="16">
                  <c:v>0.05</c:v>
                </c:pt>
                <c:pt idx="17">
                  <c:v>0.05</c:v>
                </c:pt>
                <c:pt idx="18">
                  <c:v>0.05</c:v>
                </c:pt>
                <c:pt idx="19">
                  <c:v>0.05</c:v>
                </c:pt>
                <c:pt idx="20">
                  <c:v>0.05</c:v>
                </c:pt>
                <c:pt idx="21">
                  <c:v>0.05</c:v>
                </c:pt>
                <c:pt idx="22">
                  <c:v>0.05</c:v>
                </c:pt>
                <c:pt idx="23">
                  <c:v>0.05</c:v>
                </c:pt>
                <c:pt idx="24">
                  <c:v>0.05</c:v>
                </c:pt>
                <c:pt idx="25">
                  <c:v>0.05</c:v>
                </c:pt>
                <c:pt idx="26">
                  <c:v>0.05</c:v>
                </c:pt>
                <c:pt idx="27">
                  <c:v>0.05</c:v>
                </c:pt>
                <c:pt idx="28">
                  <c:v>0.05</c:v>
                </c:pt>
                <c:pt idx="29">
                  <c:v>0.05</c:v>
                </c:pt>
                <c:pt idx="30">
                  <c:v>0.05</c:v>
                </c:pt>
                <c:pt idx="31">
                  <c:v>0.05</c:v>
                </c:pt>
                <c:pt idx="32">
                  <c:v>0.05</c:v>
                </c:pt>
                <c:pt idx="33">
                  <c:v>0.05</c:v>
                </c:pt>
                <c:pt idx="34">
                  <c:v>0.05</c:v>
                </c:pt>
                <c:pt idx="35">
                  <c:v>0.05</c:v>
                </c:pt>
                <c:pt idx="36" formatCode="General">
                  <c:v>0.05</c:v>
                </c:pt>
                <c:pt idx="37" formatCode="General">
                  <c:v>0.05</c:v>
                </c:pt>
                <c:pt idx="38" formatCode="General">
                  <c:v>0.05</c:v>
                </c:pt>
                <c:pt idx="39" formatCode="General">
                  <c:v>0.05</c:v>
                </c:pt>
                <c:pt idx="40" formatCode="General">
                  <c:v>0.05</c:v>
                </c:pt>
                <c:pt idx="41" formatCode="General">
                  <c:v>0.05</c:v>
                </c:pt>
                <c:pt idx="42" formatCode="General">
                  <c:v>0.05</c:v>
                </c:pt>
                <c:pt idx="43" formatCode="General">
                  <c:v>0.25</c:v>
                </c:pt>
                <c:pt idx="44" formatCode="General">
                  <c:v>0.25</c:v>
                </c:pt>
                <c:pt idx="45" formatCode="General">
                  <c:v>0.25</c:v>
                </c:pt>
                <c:pt idx="46" formatCode="General">
                  <c:v>0.5</c:v>
                </c:pt>
                <c:pt idx="47" formatCode="General">
                  <c:v>0.5</c:v>
                </c:pt>
                <c:pt idx="48" formatCode="General">
                  <c:v>0.5</c:v>
                </c:pt>
                <c:pt idx="49" formatCode="General">
                  <c:v>0.75</c:v>
                </c:pt>
                <c:pt idx="50" formatCode="General">
                  <c:v>0.75</c:v>
                </c:pt>
                <c:pt idx="51" formatCode="General">
                  <c:v>0.75</c:v>
                </c:pt>
                <c:pt idx="52" formatCode="General">
                  <c:v>0.75</c:v>
                </c:pt>
                <c:pt idx="53" formatCode="General">
                  <c:v>1</c:v>
                </c:pt>
                <c:pt idx="54" formatCode="General">
                  <c:v>1</c:v>
                </c:pt>
                <c:pt idx="55" formatCode="General">
                  <c:v>1.25</c:v>
                </c:pt>
                <c:pt idx="56" formatCode="General">
                  <c:v>1.5</c:v>
                </c:pt>
                <c:pt idx="57" formatCode="General">
                  <c:v>1.5</c:v>
                </c:pt>
                <c:pt idx="58" formatCode="General">
                  <c:v>1.75</c:v>
                </c:pt>
                <c:pt idx="59" formatCode="General">
                  <c:v>1.75</c:v>
                </c:pt>
                <c:pt idx="60" formatCode="General">
                  <c:v>1.75</c:v>
                </c:pt>
                <c:pt idx="61" formatCode="General">
                  <c:v>1.75</c:v>
                </c:pt>
                <c:pt idx="62" formatCode="General">
                  <c:v>1.75</c:v>
                </c:pt>
                <c:pt idx="63" formatCode="General">
                  <c:v>1.75</c:v>
                </c:pt>
                <c:pt idx="64" formatCode="General">
                  <c:v>2</c:v>
                </c:pt>
                <c:pt idx="65" formatCode="General">
                  <c:v>2</c:v>
                </c:pt>
                <c:pt idx="66" formatCode="General">
                  <c:v>2</c:v>
                </c:pt>
              </c:numCache>
            </c:numRef>
          </c:val>
          <c:extLst>
            <c:ext xmlns:c16="http://schemas.microsoft.com/office/drawing/2014/chart" uri="{C3380CC4-5D6E-409C-BE32-E72D297353CC}">
              <c16:uniqueId val="{00000000-3C08-4DDE-85CE-574312B46F2D}"/>
            </c:ext>
          </c:extLst>
        </c:ser>
        <c:dLbls>
          <c:showLegendKey val="0"/>
          <c:showVal val="0"/>
          <c:showCatName val="0"/>
          <c:showSerName val="0"/>
          <c:showPercent val="0"/>
          <c:showBubbleSize val="0"/>
        </c:dLbls>
        <c:gapWidth val="31"/>
        <c:axId val="131001344"/>
        <c:axId val="131027712"/>
      </c:barChart>
      <c:lineChart>
        <c:grouping val="standard"/>
        <c:varyColors val="0"/>
        <c:ser>
          <c:idx val="3"/>
          <c:order val="1"/>
          <c:tx>
            <c:strRef>
              <c:f>'Měnové podmínky 1'!$F$5</c:f>
              <c:strCache>
                <c:ptCount val="1"/>
                <c:pt idx="0">
                  <c:v>Average yield of government bonds (2Y)</c:v>
                </c:pt>
              </c:strCache>
            </c:strRef>
          </c:tx>
          <c:spPr>
            <a:ln w="19050">
              <a:solidFill>
                <a:srgbClr val="7DBB2D"/>
              </a:solidFill>
            </a:ln>
          </c:spPr>
          <c:marker>
            <c:symbol val="none"/>
          </c:marker>
          <c:cat>
            <c:multiLvlStrRef>
              <c:f>'Měnové podmínky 1'!$A$30:$B$96</c:f>
              <c:multiLvlStrCache>
                <c:ptCount val="67"/>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lvl>
                <c:lvl>
                  <c:pt idx="0">
                    <c:v>2014</c:v>
                  </c:pt>
                  <c:pt idx="12">
                    <c:v>2015</c:v>
                  </c:pt>
                  <c:pt idx="24">
                    <c:v>2016</c:v>
                  </c:pt>
                  <c:pt idx="36">
                    <c:v>2017</c:v>
                  </c:pt>
                  <c:pt idx="48">
                    <c:v>2018</c:v>
                  </c:pt>
                  <c:pt idx="60">
                    <c:v>2019</c:v>
                  </c:pt>
                </c:lvl>
              </c:multiLvlStrCache>
            </c:multiLvlStrRef>
          </c:cat>
          <c:val>
            <c:numRef>
              <c:f>'Měnové podmínky 1'!$F$30:$F$96</c:f>
              <c:numCache>
                <c:formatCode>0.00</c:formatCode>
                <c:ptCount val="67"/>
                <c:pt idx="0">
                  <c:v>0.23</c:v>
                </c:pt>
                <c:pt idx="1">
                  <c:v>0.28000000000000003</c:v>
                </c:pt>
                <c:pt idx="2">
                  <c:v>0.26</c:v>
                </c:pt>
                <c:pt idx="3">
                  <c:v>0.23</c:v>
                </c:pt>
                <c:pt idx="4">
                  <c:v>0.21</c:v>
                </c:pt>
                <c:pt idx="5">
                  <c:v>0.24</c:v>
                </c:pt>
                <c:pt idx="6">
                  <c:v>0.23</c:v>
                </c:pt>
                <c:pt idx="7">
                  <c:v>0.18</c:v>
                </c:pt>
                <c:pt idx="8">
                  <c:v>0.14000000000000001</c:v>
                </c:pt>
                <c:pt idx="9">
                  <c:v>0.1</c:v>
                </c:pt>
                <c:pt idx="10">
                  <c:v>0.12</c:v>
                </c:pt>
                <c:pt idx="11">
                  <c:v>0.13</c:v>
                </c:pt>
                <c:pt idx="12">
                  <c:v>0.09</c:v>
                </c:pt>
                <c:pt idx="13">
                  <c:v>0.06</c:v>
                </c:pt>
                <c:pt idx="14">
                  <c:v>0.04</c:v>
                </c:pt>
                <c:pt idx="15">
                  <c:v>-0.03</c:v>
                </c:pt>
                <c:pt idx="16">
                  <c:v>0.04</c:v>
                </c:pt>
                <c:pt idx="17">
                  <c:v>0.11</c:v>
                </c:pt>
                <c:pt idx="18">
                  <c:v>0.02</c:v>
                </c:pt>
                <c:pt idx="19">
                  <c:v>-7.0000000000000007E-2</c:v>
                </c:pt>
                <c:pt idx="20">
                  <c:v>-0.3</c:v>
                </c:pt>
                <c:pt idx="21">
                  <c:v>-0.28000000000000003</c:v>
                </c:pt>
                <c:pt idx="22">
                  <c:v>-0.33</c:v>
                </c:pt>
                <c:pt idx="23">
                  <c:v>-0.38</c:v>
                </c:pt>
                <c:pt idx="24" formatCode="General">
                  <c:v>-0.21</c:v>
                </c:pt>
                <c:pt idx="25" formatCode="General">
                  <c:v>-0.18</c:v>
                </c:pt>
                <c:pt idx="26" formatCode="General">
                  <c:v>-0.17</c:v>
                </c:pt>
                <c:pt idx="27" formatCode="General">
                  <c:v>-0.08</c:v>
                </c:pt>
                <c:pt idx="28" formatCode="General">
                  <c:v>-0.04</c:v>
                </c:pt>
                <c:pt idx="29" formatCode="General">
                  <c:v>-0.05</c:v>
                </c:pt>
                <c:pt idx="30" formatCode="General">
                  <c:v>-0.13</c:v>
                </c:pt>
                <c:pt idx="31" formatCode="General">
                  <c:v>-0.22</c:v>
                </c:pt>
                <c:pt idx="32" formatCode="General">
                  <c:v>-0.5</c:v>
                </c:pt>
                <c:pt idx="33" formatCode="General">
                  <c:v>-0.74</c:v>
                </c:pt>
                <c:pt idx="34" formatCode="General">
                  <c:v>-0.73</c:v>
                </c:pt>
                <c:pt idx="35" formatCode="General">
                  <c:v>-0.81</c:v>
                </c:pt>
                <c:pt idx="36" formatCode="General">
                  <c:v>-0.88</c:v>
                </c:pt>
                <c:pt idx="37" formatCode="General">
                  <c:v>-0.53</c:v>
                </c:pt>
                <c:pt idx="38" formatCode="General">
                  <c:v>-0.44</c:v>
                </c:pt>
                <c:pt idx="39" formatCode="General">
                  <c:v>-0.23</c:v>
                </c:pt>
                <c:pt idx="40" formatCode="General">
                  <c:v>-0.24</c:v>
                </c:pt>
                <c:pt idx="41" formatCode="General">
                  <c:v>-0.25</c:v>
                </c:pt>
                <c:pt idx="42" formatCode="General">
                  <c:v>-0.28999999999999998</c:v>
                </c:pt>
                <c:pt idx="43" formatCode="General">
                  <c:v>-0.33</c:v>
                </c:pt>
                <c:pt idx="44" formatCode="General">
                  <c:v>-0.28999999999999998</c:v>
                </c:pt>
                <c:pt idx="45" formatCode="General">
                  <c:v>0.12</c:v>
                </c:pt>
                <c:pt idx="46" formatCode="General">
                  <c:v>0.31</c:v>
                </c:pt>
                <c:pt idx="47" formatCode="General">
                  <c:v>0.19</c:v>
                </c:pt>
                <c:pt idx="48" formatCode="General">
                  <c:v>0.46</c:v>
                </c:pt>
                <c:pt idx="49" formatCode="General">
                  <c:v>0.55000000000000004</c:v>
                </c:pt>
                <c:pt idx="50" formatCode="General">
                  <c:v>0.62</c:v>
                </c:pt>
                <c:pt idx="51" formatCode="General">
                  <c:v>0.6</c:v>
                </c:pt>
                <c:pt idx="52" formatCode="General">
                  <c:v>0.7</c:v>
                </c:pt>
                <c:pt idx="53" formatCode="General">
                  <c:v>0.89</c:v>
                </c:pt>
                <c:pt idx="54" formatCode="General">
                  <c:v>1.0900000000000001</c:v>
                </c:pt>
                <c:pt idx="55" formatCode="General">
                  <c:v>1.26</c:v>
                </c:pt>
                <c:pt idx="56" formatCode="General">
                  <c:v>1.34</c:v>
                </c:pt>
                <c:pt idx="57" formatCode="General">
                  <c:v>1.44</c:v>
                </c:pt>
                <c:pt idx="58" formatCode="General">
                  <c:v>1.49</c:v>
                </c:pt>
                <c:pt idx="59" formatCode="General">
                  <c:v>1.52</c:v>
                </c:pt>
                <c:pt idx="60" formatCode="General">
                  <c:v>1.66</c:v>
                </c:pt>
                <c:pt idx="61" formatCode="General">
                  <c:v>1.74</c:v>
                </c:pt>
                <c:pt idx="62" formatCode="General">
                  <c:v>1.71</c:v>
                </c:pt>
                <c:pt idx="63" formatCode="General">
                  <c:v>1.63</c:v>
                </c:pt>
                <c:pt idx="64" formatCode="General">
                  <c:v>1.62</c:v>
                </c:pt>
                <c:pt idx="65" formatCode="General">
                  <c:v>1.52</c:v>
                </c:pt>
                <c:pt idx="66" formatCode="General">
                  <c:v>1.35</c:v>
                </c:pt>
              </c:numCache>
            </c:numRef>
          </c:val>
          <c:smooth val="0"/>
          <c:extLst>
            <c:ext xmlns:c16="http://schemas.microsoft.com/office/drawing/2014/chart" uri="{C3380CC4-5D6E-409C-BE32-E72D297353CC}">
              <c16:uniqueId val="{00000001-3C08-4DDE-85CE-574312B46F2D}"/>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1'!$A$30:$B$96</c:f>
              <c:multiLvlStrCache>
                <c:ptCount val="67"/>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lvl>
                <c:lvl>
                  <c:pt idx="0">
                    <c:v>2014</c:v>
                  </c:pt>
                  <c:pt idx="12">
                    <c:v>2015</c:v>
                  </c:pt>
                  <c:pt idx="24">
                    <c:v>2016</c:v>
                  </c:pt>
                  <c:pt idx="36">
                    <c:v>2017</c:v>
                  </c:pt>
                  <c:pt idx="48">
                    <c:v>2018</c:v>
                  </c:pt>
                  <c:pt idx="60">
                    <c:v>2019</c:v>
                  </c:pt>
                </c:lvl>
              </c:multiLvlStrCache>
            </c:multiLvlStrRef>
          </c:cat>
          <c:val>
            <c:numRef>
              <c:f>'Měnové podmínky 1'!$D$30:$D$96</c:f>
              <c:numCache>
                <c:formatCode>0.00</c:formatCode>
                <c:ptCount val="67"/>
                <c:pt idx="0">
                  <c:v>0.37</c:v>
                </c:pt>
                <c:pt idx="1">
                  <c:v>0.37</c:v>
                </c:pt>
                <c:pt idx="2">
                  <c:v>0.37</c:v>
                </c:pt>
                <c:pt idx="3">
                  <c:v>0.37</c:v>
                </c:pt>
                <c:pt idx="4">
                  <c:v>0.37</c:v>
                </c:pt>
                <c:pt idx="5">
                  <c:v>0.35</c:v>
                </c:pt>
                <c:pt idx="6">
                  <c:v>0.35</c:v>
                </c:pt>
                <c:pt idx="7">
                  <c:v>0.35</c:v>
                </c:pt>
                <c:pt idx="8">
                  <c:v>0.35</c:v>
                </c:pt>
                <c:pt idx="9">
                  <c:v>0.35</c:v>
                </c:pt>
                <c:pt idx="10">
                  <c:v>0.34</c:v>
                </c:pt>
                <c:pt idx="11">
                  <c:v>0.34</c:v>
                </c:pt>
                <c:pt idx="12">
                  <c:v>0.33</c:v>
                </c:pt>
                <c:pt idx="13">
                  <c:v>0.33</c:v>
                </c:pt>
                <c:pt idx="14">
                  <c:v>0.32</c:v>
                </c:pt>
                <c:pt idx="15">
                  <c:v>0.31</c:v>
                </c:pt>
                <c:pt idx="16">
                  <c:v>0.31</c:v>
                </c:pt>
                <c:pt idx="17">
                  <c:v>0.31</c:v>
                </c:pt>
                <c:pt idx="18">
                  <c:v>0.31</c:v>
                </c:pt>
                <c:pt idx="19">
                  <c:v>0.31</c:v>
                </c:pt>
                <c:pt idx="20">
                  <c:v>0.3</c:v>
                </c:pt>
                <c:pt idx="21">
                  <c:v>0.28999999999999998</c:v>
                </c:pt>
                <c:pt idx="22">
                  <c:v>0.28999999999999998</c:v>
                </c:pt>
                <c:pt idx="23">
                  <c:v>0.28999999999999998</c:v>
                </c:pt>
                <c:pt idx="24">
                  <c:v>0.28999999999999998</c:v>
                </c:pt>
                <c:pt idx="25">
                  <c:v>0.28000000000000003</c:v>
                </c:pt>
                <c:pt idx="26">
                  <c:v>0.28999999999999998</c:v>
                </c:pt>
                <c:pt idx="27">
                  <c:v>0.28999999999999998</c:v>
                </c:pt>
                <c:pt idx="28">
                  <c:v>0.28999999999999998</c:v>
                </c:pt>
                <c:pt idx="29">
                  <c:v>0.28999999999999998</c:v>
                </c:pt>
                <c:pt idx="30">
                  <c:v>0.28999999999999998</c:v>
                </c:pt>
                <c:pt idx="31">
                  <c:v>0.28999999999999998</c:v>
                </c:pt>
                <c:pt idx="32">
                  <c:v>0.28999999999999998</c:v>
                </c:pt>
                <c:pt idx="33">
                  <c:v>0.28999999999999998</c:v>
                </c:pt>
                <c:pt idx="34">
                  <c:v>0.28999999999999998</c:v>
                </c:pt>
                <c:pt idx="35">
                  <c:v>0.28999999999999998</c:v>
                </c:pt>
                <c:pt idx="36" formatCode="General">
                  <c:v>0.28000000000000003</c:v>
                </c:pt>
                <c:pt idx="37" formatCode="General">
                  <c:v>0.28000000000000003</c:v>
                </c:pt>
                <c:pt idx="38" formatCode="General">
                  <c:v>0.28000000000000003</c:v>
                </c:pt>
                <c:pt idx="39" formatCode="General">
                  <c:v>0.28999999999999998</c:v>
                </c:pt>
                <c:pt idx="40" formatCode="General">
                  <c:v>0.3</c:v>
                </c:pt>
                <c:pt idx="41" formatCode="General">
                  <c:v>0.3</c:v>
                </c:pt>
                <c:pt idx="42" formatCode="General">
                  <c:v>0.3</c:v>
                </c:pt>
                <c:pt idx="43" formatCode="General">
                  <c:v>0.43</c:v>
                </c:pt>
                <c:pt idx="44" formatCode="General">
                  <c:v>0.46</c:v>
                </c:pt>
                <c:pt idx="45" formatCode="General">
                  <c:v>0.51</c:v>
                </c:pt>
                <c:pt idx="46" formatCode="General">
                  <c:v>0.71</c:v>
                </c:pt>
                <c:pt idx="47" formatCode="General">
                  <c:v>0.75</c:v>
                </c:pt>
                <c:pt idx="48" formatCode="General">
                  <c:v>0.77</c:v>
                </c:pt>
                <c:pt idx="49" formatCode="General">
                  <c:v>0.9</c:v>
                </c:pt>
                <c:pt idx="50" formatCode="General">
                  <c:v>0.9</c:v>
                </c:pt>
                <c:pt idx="51" formatCode="General">
                  <c:v>0.9</c:v>
                </c:pt>
                <c:pt idx="52" formatCode="General">
                  <c:v>0.9</c:v>
                </c:pt>
                <c:pt idx="53" formatCode="General">
                  <c:v>0.93</c:v>
                </c:pt>
                <c:pt idx="54" formatCode="General">
                  <c:v>1.18</c:v>
                </c:pt>
                <c:pt idx="55" formatCode="General">
                  <c:v>1.45</c:v>
                </c:pt>
                <c:pt idx="56" formatCode="General">
                  <c:v>1.54</c:v>
                </c:pt>
                <c:pt idx="57" formatCode="General">
                  <c:v>1.76</c:v>
                </c:pt>
                <c:pt idx="58" formatCode="General">
                  <c:v>1.99</c:v>
                </c:pt>
                <c:pt idx="59" formatCode="General">
                  <c:v>2.0099999999999998</c:v>
                </c:pt>
                <c:pt idx="60" formatCode="General">
                  <c:v>2.0099999999999998</c:v>
                </c:pt>
                <c:pt idx="61" formatCode="General">
                  <c:v>2.0099999999999998</c:v>
                </c:pt>
                <c:pt idx="62" formatCode="General">
                  <c:v>2.0299999999999998</c:v>
                </c:pt>
                <c:pt idx="63" formatCode="General">
                  <c:v>2.02</c:v>
                </c:pt>
                <c:pt idx="64" formatCode="General">
                  <c:v>2.19</c:v>
                </c:pt>
                <c:pt idx="65" formatCode="General">
                  <c:v>2.17</c:v>
                </c:pt>
                <c:pt idx="66" formatCode="General">
                  <c:v>2.16</c:v>
                </c:pt>
              </c:numCache>
            </c:numRef>
          </c:val>
          <c:smooth val="0"/>
          <c:extLst>
            <c:ext xmlns:c16="http://schemas.microsoft.com/office/drawing/2014/chart" uri="{C3380CC4-5D6E-409C-BE32-E72D297353CC}">
              <c16:uniqueId val="{00000002-3C08-4DDE-85CE-574312B46F2D}"/>
            </c:ext>
          </c:extLst>
        </c:ser>
        <c:ser>
          <c:idx val="4"/>
          <c:order val="3"/>
          <c:tx>
            <c:strRef>
              <c:f>'Měnové podmínky 1'!$G$5</c:f>
              <c:strCache>
                <c:ptCount val="1"/>
                <c:pt idx="0">
                  <c:v>Average yield of government bonds (5Y)</c:v>
                </c:pt>
              </c:strCache>
            </c:strRef>
          </c:tx>
          <c:spPr>
            <a:ln w="19050">
              <a:solidFill>
                <a:srgbClr val="F8A124"/>
              </a:solidFill>
            </a:ln>
          </c:spPr>
          <c:marker>
            <c:symbol val="none"/>
          </c:marker>
          <c:cat>
            <c:multiLvlStrRef>
              <c:f>'Měnové podmínky 1'!$A$30:$B$96</c:f>
              <c:multiLvlStrCache>
                <c:ptCount val="67"/>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lvl>
                <c:lvl>
                  <c:pt idx="0">
                    <c:v>2014</c:v>
                  </c:pt>
                  <c:pt idx="12">
                    <c:v>2015</c:v>
                  </c:pt>
                  <c:pt idx="24">
                    <c:v>2016</c:v>
                  </c:pt>
                  <c:pt idx="36">
                    <c:v>2017</c:v>
                  </c:pt>
                  <c:pt idx="48">
                    <c:v>2018</c:v>
                  </c:pt>
                  <c:pt idx="60">
                    <c:v>2019</c:v>
                  </c:pt>
                </c:lvl>
              </c:multiLvlStrCache>
            </c:multiLvlStrRef>
          </c:cat>
          <c:val>
            <c:numRef>
              <c:f>'Měnové podmínky 1'!$G$30:$G$96</c:f>
              <c:numCache>
                <c:formatCode>0.00</c:formatCode>
                <c:ptCount val="67"/>
                <c:pt idx="0">
                  <c:v>1.0900000000000001</c:v>
                </c:pt>
                <c:pt idx="1">
                  <c:v>1.2</c:v>
                </c:pt>
                <c:pt idx="2">
                  <c:v>1.1399999999999999</c:v>
                </c:pt>
                <c:pt idx="3">
                  <c:v>0.99</c:v>
                </c:pt>
                <c:pt idx="4">
                  <c:v>0.8</c:v>
                </c:pt>
                <c:pt idx="5">
                  <c:v>0.68</c:v>
                </c:pt>
                <c:pt idx="6">
                  <c:v>0.65</c:v>
                </c:pt>
                <c:pt idx="7">
                  <c:v>0.62</c:v>
                </c:pt>
                <c:pt idx="8">
                  <c:v>0.51</c:v>
                </c:pt>
                <c:pt idx="9">
                  <c:v>0.37</c:v>
                </c:pt>
                <c:pt idx="10">
                  <c:v>0.24</c:v>
                </c:pt>
                <c:pt idx="11">
                  <c:v>0.22</c:v>
                </c:pt>
                <c:pt idx="12">
                  <c:v>0.13</c:v>
                </c:pt>
                <c:pt idx="13">
                  <c:v>0.17</c:v>
                </c:pt>
                <c:pt idx="14">
                  <c:v>0.14000000000000001</c:v>
                </c:pt>
                <c:pt idx="15">
                  <c:v>0.05</c:v>
                </c:pt>
                <c:pt idx="16">
                  <c:v>0.22</c:v>
                </c:pt>
                <c:pt idx="17">
                  <c:v>0.43</c:v>
                </c:pt>
                <c:pt idx="18">
                  <c:v>0.35</c:v>
                </c:pt>
                <c:pt idx="19">
                  <c:v>0.2</c:v>
                </c:pt>
                <c:pt idx="20">
                  <c:v>0.06</c:v>
                </c:pt>
                <c:pt idx="21">
                  <c:v>-0.05</c:v>
                </c:pt>
                <c:pt idx="22">
                  <c:v>-0.05</c:v>
                </c:pt>
                <c:pt idx="23">
                  <c:v>-0.11</c:v>
                </c:pt>
                <c:pt idx="24" formatCode="General">
                  <c:v>0.04</c:v>
                </c:pt>
                <c:pt idx="25" formatCode="General">
                  <c:v>-0.08</c:v>
                </c:pt>
                <c:pt idx="26" formatCode="General">
                  <c:v>-0.1</c:v>
                </c:pt>
                <c:pt idx="27" formatCode="General">
                  <c:v>0.04</c:v>
                </c:pt>
                <c:pt idx="28" formatCode="General">
                  <c:v>7.0000000000000007E-2</c:v>
                </c:pt>
                <c:pt idx="29" formatCode="General">
                  <c:v>0.05</c:v>
                </c:pt>
                <c:pt idx="30" formatCode="General">
                  <c:v>-0.02</c:v>
                </c:pt>
                <c:pt idx="31" formatCode="General">
                  <c:v>-0.09</c:v>
                </c:pt>
                <c:pt idx="32" formatCode="General">
                  <c:v>-0.19</c:v>
                </c:pt>
                <c:pt idx="33" formatCode="General">
                  <c:v>-0.17</c:v>
                </c:pt>
                <c:pt idx="34" formatCode="General">
                  <c:v>-0.17</c:v>
                </c:pt>
                <c:pt idx="35" formatCode="General">
                  <c:v>-0.21</c:v>
                </c:pt>
                <c:pt idx="36" formatCode="General">
                  <c:v>-0.22</c:v>
                </c:pt>
                <c:pt idx="37" formatCode="General">
                  <c:v>0.09</c:v>
                </c:pt>
                <c:pt idx="38" formatCode="General">
                  <c:v>0.1</c:v>
                </c:pt>
                <c:pt idx="39" formatCode="General">
                  <c:v>0.16</c:v>
                </c:pt>
                <c:pt idx="40" formatCode="General">
                  <c:v>0.04</c:v>
                </c:pt>
                <c:pt idx="41" formatCode="General">
                  <c:v>-0.03</c:v>
                </c:pt>
                <c:pt idx="42" formatCode="General">
                  <c:v>0.14000000000000001</c:v>
                </c:pt>
                <c:pt idx="43" formatCode="General">
                  <c:v>0.09</c:v>
                </c:pt>
                <c:pt idx="44" formatCode="General">
                  <c:v>0.1</c:v>
                </c:pt>
                <c:pt idx="45" formatCode="General">
                  <c:v>0.63</c:v>
                </c:pt>
                <c:pt idx="46" formatCode="General">
                  <c:v>0.87</c:v>
                </c:pt>
                <c:pt idx="47" formatCode="General">
                  <c:v>0.68</c:v>
                </c:pt>
                <c:pt idx="48" formatCode="General">
                  <c:v>0.99</c:v>
                </c:pt>
                <c:pt idx="49" formatCode="General">
                  <c:v>1.07</c:v>
                </c:pt>
                <c:pt idx="50" formatCode="General">
                  <c:v>1.0900000000000001</c:v>
                </c:pt>
                <c:pt idx="51" formatCode="General">
                  <c:v>1.05</c:v>
                </c:pt>
                <c:pt idx="52" formatCode="General">
                  <c:v>1.21</c:v>
                </c:pt>
                <c:pt idx="53" formatCode="General">
                  <c:v>1.41</c:v>
                </c:pt>
                <c:pt idx="54" formatCode="General">
                  <c:v>1.44</c:v>
                </c:pt>
                <c:pt idx="55" formatCode="General">
                  <c:v>1.55</c:v>
                </c:pt>
                <c:pt idx="56" formatCode="General">
                  <c:v>1.7</c:v>
                </c:pt>
                <c:pt idx="57" formatCode="General">
                  <c:v>1.81</c:v>
                </c:pt>
                <c:pt idx="58" formatCode="General">
                  <c:v>1.79</c:v>
                </c:pt>
                <c:pt idx="59" formatCode="General">
                  <c:v>1.71</c:v>
                </c:pt>
                <c:pt idx="60" formatCode="General">
                  <c:v>1.6</c:v>
                </c:pt>
                <c:pt idx="61" formatCode="General">
                  <c:v>1.61</c:v>
                </c:pt>
                <c:pt idx="62" formatCode="General">
                  <c:v>1.7</c:v>
                </c:pt>
                <c:pt idx="63" formatCode="General">
                  <c:v>1.63</c:v>
                </c:pt>
                <c:pt idx="64" formatCode="General">
                  <c:v>1.57</c:v>
                </c:pt>
                <c:pt idx="65" formatCode="General">
                  <c:v>1.43</c:v>
                </c:pt>
                <c:pt idx="66" formatCode="General">
                  <c:v>1.31</c:v>
                </c:pt>
              </c:numCache>
            </c:numRef>
          </c:val>
          <c:smooth val="0"/>
          <c:extLst>
            <c:ext xmlns:c16="http://schemas.microsoft.com/office/drawing/2014/chart" uri="{C3380CC4-5D6E-409C-BE32-E72D297353CC}">
              <c16:uniqueId val="{00000003-3C08-4DDE-85CE-574312B46F2D}"/>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1'!$A$30:$B$96</c:f>
              <c:multiLvlStrCache>
                <c:ptCount val="67"/>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lvl>
                <c:lvl>
                  <c:pt idx="0">
                    <c:v>2014</c:v>
                  </c:pt>
                  <c:pt idx="12">
                    <c:v>2015</c:v>
                  </c:pt>
                  <c:pt idx="24">
                    <c:v>2016</c:v>
                  </c:pt>
                  <c:pt idx="36">
                    <c:v>2017</c:v>
                  </c:pt>
                  <c:pt idx="48">
                    <c:v>2018</c:v>
                  </c:pt>
                  <c:pt idx="60">
                    <c:v>2019</c:v>
                  </c:pt>
                </c:lvl>
              </c:multiLvlStrCache>
            </c:multiLvlStrRef>
          </c:cat>
          <c:val>
            <c:numRef>
              <c:f>'Měnové podmínky 1'!$E$30:$E$96</c:f>
              <c:numCache>
                <c:formatCode>0.00</c:formatCode>
                <c:ptCount val="67"/>
                <c:pt idx="0">
                  <c:v>0.57999999999999996</c:v>
                </c:pt>
                <c:pt idx="1">
                  <c:v>0.55000000000000004</c:v>
                </c:pt>
                <c:pt idx="2">
                  <c:v>0.55000000000000004</c:v>
                </c:pt>
                <c:pt idx="3">
                  <c:v>0.55000000000000004</c:v>
                </c:pt>
                <c:pt idx="4">
                  <c:v>0.54</c:v>
                </c:pt>
                <c:pt idx="5">
                  <c:v>0.53</c:v>
                </c:pt>
                <c:pt idx="6">
                  <c:v>0.52</c:v>
                </c:pt>
                <c:pt idx="7">
                  <c:v>0.52</c:v>
                </c:pt>
                <c:pt idx="8">
                  <c:v>0.52</c:v>
                </c:pt>
                <c:pt idx="9">
                  <c:v>0.52</c:v>
                </c:pt>
                <c:pt idx="10">
                  <c:v>0.51</c:v>
                </c:pt>
                <c:pt idx="11">
                  <c:v>0.51</c:v>
                </c:pt>
                <c:pt idx="12">
                  <c:v>0.51</c:v>
                </c:pt>
                <c:pt idx="13">
                  <c:v>0.51</c:v>
                </c:pt>
                <c:pt idx="14">
                  <c:v>0.49</c:v>
                </c:pt>
                <c:pt idx="15">
                  <c:v>0.48</c:v>
                </c:pt>
                <c:pt idx="16">
                  <c:v>0.48</c:v>
                </c:pt>
                <c:pt idx="17">
                  <c:v>0.48</c:v>
                </c:pt>
                <c:pt idx="18">
                  <c:v>0.48</c:v>
                </c:pt>
                <c:pt idx="19">
                  <c:v>0.48</c:v>
                </c:pt>
                <c:pt idx="20">
                  <c:v>0.47</c:v>
                </c:pt>
                <c:pt idx="21">
                  <c:v>0.46</c:v>
                </c:pt>
                <c:pt idx="22">
                  <c:v>0.46</c:v>
                </c:pt>
                <c:pt idx="23">
                  <c:v>0.46</c:v>
                </c:pt>
                <c:pt idx="24">
                  <c:v>0.45</c:v>
                </c:pt>
                <c:pt idx="25">
                  <c:v>0.45</c:v>
                </c:pt>
                <c:pt idx="26">
                  <c:v>0.45</c:v>
                </c:pt>
                <c:pt idx="27">
                  <c:v>0.45</c:v>
                </c:pt>
                <c:pt idx="28">
                  <c:v>0.45</c:v>
                </c:pt>
                <c:pt idx="29">
                  <c:v>0.45</c:v>
                </c:pt>
                <c:pt idx="30">
                  <c:v>0.45</c:v>
                </c:pt>
                <c:pt idx="31">
                  <c:v>0.45</c:v>
                </c:pt>
                <c:pt idx="32">
                  <c:v>0.45</c:v>
                </c:pt>
                <c:pt idx="33">
                  <c:v>0.45</c:v>
                </c:pt>
                <c:pt idx="34">
                  <c:v>0.45</c:v>
                </c:pt>
                <c:pt idx="35">
                  <c:v>0.45</c:v>
                </c:pt>
                <c:pt idx="36" formatCode="General">
                  <c:v>0.44</c:v>
                </c:pt>
                <c:pt idx="37" formatCode="General">
                  <c:v>0.44</c:v>
                </c:pt>
                <c:pt idx="38" formatCode="General">
                  <c:v>0.44</c:v>
                </c:pt>
                <c:pt idx="39" formatCode="General">
                  <c:v>0.45</c:v>
                </c:pt>
                <c:pt idx="40" formatCode="General">
                  <c:v>0.46</c:v>
                </c:pt>
                <c:pt idx="41" formatCode="General">
                  <c:v>0.46</c:v>
                </c:pt>
                <c:pt idx="42" formatCode="General">
                  <c:v>0.47</c:v>
                </c:pt>
                <c:pt idx="43" formatCode="General">
                  <c:v>0.6</c:v>
                </c:pt>
                <c:pt idx="44" formatCode="General">
                  <c:v>0.64</c:v>
                </c:pt>
                <c:pt idx="45" formatCode="General">
                  <c:v>0.69</c:v>
                </c:pt>
                <c:pt idx="46" formatCode="General">
                  <c:v>0.91</c:v>
                </c:pt>
                <c:pt idx="47" formatCode="General">
                  <c:v>0.96</c:v>
                </c:pt>
                <c:pt idx="48" formatCode="General">
                  <c:v>0.98</c:v>
                </c:pt>
                <c:pt idx="49" formatCode="General">
                  <c:v>1.1100000000000001</c:v>
                </c:pt>
                <c:pt idx="50" formatCode="General">
                  <c:v>1.1200000000000001</c:v>
                </c:pt>
                <c:pt idx="51" formatCode="General">
                  <c:v>1.1200000000000001</c:v>
                </c:pt>
                <c:pt idx="52" formatCode="General">
                  <c:v>1.1200000000000001</c:v>
                </c:pt>
                <c:pt idx="53" formatCode="General">
                  <c:v>1.1499999999999999</c:v>
                </c:pt>
                <c:pt idx="54" formatCode="General">
                  <c:v>1.39</c:v>
                </c:pt>
                <c:pt idx="55" formatCode="General">
                  <c:v>1.67</c:v>
                </c:pt>
                <c:pt idx="56" formatCode="General">
                  <c:v>1.79</c:v>
                </c:pt>
                <c:pt idx="57" formatCode="General">
                  <c:v>1.95</c:v>
                </c:pt>
                <c:pt idx="58" formatCode="General">
                  <c:v>2.1800000000000002</c:v>
                </c:pt>
                <c:pt idx="59" formatCode="General">
                  <c:v>2.21</c:v>
                </c:pt>
                <c:pt idx="60" formatCode="General">
                  <c:v>2.21</c:v>
                </c:pt>
                <c:pt idx="61" formatCode="General">
                  <c:v>2.2000000000000002</c:v>
                </c:pt>
                <c:pt idx="62" formatCode="General">
                  <c:v>2.2000000000000002</c:v>
                </c:pt>
                <c:pt idx="63" formatCode="General">
                  <c:v>2.21</c:v>
                </c:pt>
                <c:pt idx="64" formatCode="General">
                  <c:v>2.3199999999999998</c:v>
                </c:pt>
                <c:pt idx="65" formatCode="General">
                  <c:v>2.29</c:v>
                </c:pt>
                <c:pt idx="66" formatCode="General">
                  <c:v>2.2799999999999998</c:v>
                </c:pt>
              </c:numCache>
            </c:numRef>
          </c:val>
          <c:smooth val="0"/>
          <c:extLst>
            <c:ext xmlns:c16="http://schemas.microsoft.com/office/drawing/2014/chart" uri="{C3380CC4-5D6E-409C-BE32-E72D297353CC}">
              <c16:uniqueId val="{00000004-3C08-4DDE-85CE-574312B46F2D}"/>
            </c:ext>
          </c:extLst>
        </c:ser>
        <c:ser>
          <c:idx val="5"/>
          <c:order val="5"/>
          <c:tx>
            <c:strRef>
              <c:f>'Měnové podmínky 1'!$H$5</c:f>
              <c:strCache>
                <c:ptCount val="1"/>
                <c:pt idx="0">
                  <c:v>Average yield of government bonds (10Y)</c:v>
                </c:pt>
              </c:strCache>
            </c:strRef>
          </c:tx>
          <c:spPr>
            <a:ln w="19050">
              <a:solidFill>
                <a:srgbClr val="48AEE7"/>
              </a:solidFill>
            </a:ln>
          </c:spPr>
          <c:marker>
            <c:symbol val="none"/>
          </c:marker>
          <c:cat>
            <c:multiLvlStrRef>
              <c:f>'Měnové podmínky 1'!$A$30:$B$96</c:f>
              <c:multiLvlStrCache>
                <c:ptCount val="67"/>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lvl>
                <c:lvl>
                  <c:pt idx="0">
                    <c:v>2014</c:v>
                  </c:pt>
                  <c:pt idx="12">
                    <c:v>2015</c:v>
                  </c:pt>
                  <c:pt idx="24">
                    <c:v>2016</c:v>
                  </c:pt>
                  <c:pt idx="36">
                    <c:v>2017</c:v>
                  </c:pt>
                  <c:pt idx="48">
                    <c:v>2018</c:v>
                  </c:pt>
                  <c:pt idx="60">
                    <c:v>2019</c:v>
                  </c:pt>
                </c:lvl>
              </c:multiLvlStrCache>
            </c:multiLvlStrRef>
          </c:cat>
          <c:val>
            <c:numRef>
              <c:f>'Měnové podmínky 1'!$H$30:$H$96</c:f>
              <c:numCache>
                <c:formatCode>0.00</c:formatCode>
                <c:ptCount val="67"/>
                <c:pt idx="0">
                  <c:v>2.4300000000000002</c:v>
                </c:pt>
                <c:pt idx="1">
                  <c:v>2.2799999999999998</c:v>
                </c:pt>
                <c:pt idx="2">
                  <c:v>2.2000000000000002</c:v>
                </c:pt>
                <c:pt idx="3">
                  <c:v>2</c:v>
                </c:pt>
                <c:pt idx="4">
                  <c:v>1.73</c:v>
                </c:pt>
                <c:pt idx="5">
                  <c:v>1.55</c:v>
                </c:pt>
                <c:pt idx="6">
                  <c:v>1.49</c:v>
                </c:pt>
                <c:pt idx="7">
                  <c:v>1.38</c:v>
                </c:pt>
                <c:pt idx="8">
                  <c:v>1.21</c:v>
                </c:pt>
                <c:pt idx="9">
                  <c:v>1.1000000000000001</c:v>
                </c:pt>
                <c:pt idx="10">
                  <c:v>0.87</c:v>
                </c:pt>
                <c:pt idx="11">
                  <c:v>0.67</c:v>
                </c:pt>
                <c:pt idx="12">
                  <c:v>0.35</c:v>
                </c:pt>
                <c:pt idx="13">
                  <c:v>0.4</c:v>
                </c:pt>
                <c:pt idx="14">
                  <c:v>0.35</c:v>
                </c:pt>
                <c:pt idx="15">
                  <c:v>0.26</c:v>
                </c:pt>
                <c:pt idx="16">
                  <c:v>0.6</c:v>
                </c:pt>
                <c:pt idx="17">
                  <c:v>1.01</c:v>
                </c:pt>
                <c:pt idx="18">
                  <c:v>0.97</c:v>
                </c:pt>
                <c:pt idx="19">
                  <c:v>0.74</c:v>
                </c:pt>
                <c:pt idx="20">
                  <c:v>0.68</c:v>
                </c:pt>
                <c:pt idx="21">
                  <c:v>0.56000000000000005</c:v>
                </c:pt>
                <c:pt idx="22">
                  <c:v>0.49</c:v>
                </c:pt>
                <c:pt idx="23">
                  <c:v>0.49</c:v>
                </c:pt>
                <c:pt idx="24" formatCode="General">
                  <c:v>0.62</c:v>
                </c:pt>
                <c:pt idx="25" formatCode="General">
                  <c:v>0.46</c:v>
                </c:pt>
                <c:pt idx="26" formatCode="General">
                  <c:v>0.35</c:v>
                </c:pt>
                <c:pt idx="27" formatCode="General">
                  <c:v>0.43</c:v>
                </c:pt>
                <c:pt idx="28" formatCode="General">
                  <c:v>0.46</c:v>
                </c:pt>
                <c:pt idx="29" formatCode="General">
                  <c:v>0.45</c:v>
                </c:pt>
                <c:pt idx="30" formatCode="General">
                  <c:v>0.37</c:v>
                </c:pt>
                <c:pt idx="31" formatCode="General">
                  <c:v>0.28999999999999998</c:v>
                </c:pt>
                <c:pt idx="32" formatCode="General">
                  <c:v>0.25</c:v>
                </c:pt>
                <c:pt idx="33" formatCode="General">
                  <c:v>0.37</c:v>
                </c:pt>
                <c:pt idx="34" formatCode="General">
                  <c:v>0.55000000000000004</c:v>
                </c:pt>
                <c:pt idx="35" formatCode="General">
                  <c:v>0.53</c:v>
                </c:pt>
                <c:pt idx="36" formatCode="General">
                  <c:v>0.47</c:v>
                </c:pt>
                <c:pt idx="37" formatCode="General">
                  <c:v>0.63</c:v>
                </c:pt>
                <c:pt idx="38" formatCode="General">
                  <c:v>0.87</c:v>
                </c:pt>
                <c:pt idx="39" formatCode="General">
                  <c:v>0.96</c:v>
                </c:pt>
                <c:pt idx="40" formatCode="General">
                  <c:v>0.74</c:v>
                </c:pt>
                <c:pt idx="41" formatCode="General">
                  <c:v>0.77</c:v>
                </c:pt>
                <c:pt idx="42" formatCode="General">
                  <c:v>0.9</c:v>
                </c:pt>
                <c:pt idx="43" formatCode="General">
                  <c:v>0.83</c:v>
                </c:pt>
                <c:pt idx="44" formatCode="General">
                  <c:v>0.97</c:v>
                </c:pt>
                <c:pt idx="45" formatCode="General">
                  <c:v>1.45</c:v>
                </c:pt>
                <c:pt idx="46" formatCode="General">
                  <c:v>1.68</c:v>
                </c:pt>
                <c:pt idx="47" formatCode="General">
                  <c:v>1.5</c:v>
                </c:pt>
                <c:pt idx="48" formatCode="General">
                  <c:v>1.77</c:v>
                </c:pt>
                <c:pt idx="49" formatCode="General">
                  <c:v>1.82</c:v>
                </c:pt>
                <c:pt idx="50" formatCode="General">
                  <c:v>1.81</c:v>
                </c:pt>
                <c:pt idx="51" formatCode="General">
                  <c:v>1.74</c:v>
                </c:pt>
                <c:pt idx="52" formatCode="General">
                  <c:v>1.89</c:v>
                </c:pt>
                <c:pt idx="53" formatCode="General">
                  <c:v>2.14</c:v>
                </c:pt>
                <c:pt idx="54" formatCode="General">
                  <c:v>2.11</c:v>
                </c:pt>
                <c:pt idx="55" formatCode="General">
                  <c:v>2.14</c:v>
                </c:pt>
                <c:pt idx="56" formatCode="General">
                  <c:v>2.14</c:v>
                </c:pt>
                <c:pt idx="57" formatCode="General">
                  <c:v>2.14</c:v>
                </c:pt>
                <c:pt idx="58" formatCode="General">
                  <c:v>2.0699999999999998</c:v>
                </c:pt>
                <c:pt idx="59" formatCode="General">
                  <c:v>2.0099999999999998</c:v>
                </c:pt>
                <c:pt idx="60" formatCode="General">
                  <c:v>1.85</c:v>
                </c:pt>
                <c:pt idx="61" formatCode="General">
                  <c:v>1.76</c:v>
                </c:pt>
                <c:pt idx="62" formatCode="General">
                  <c:v>1.82</c:v>
                </c:pt>
                <c:pt idx="63" formatCode="General">
                  <c:v>1.82</c:v>
                </c:pt>
                <c:pt idx="64" formatCode="General">
                  <c:v>1.86</c:v>
                </c:pt>
                <c:pt idx="65" formatCode="General">
                  <c:v>1.58</c:v>
                </c:pt>
                <c:pt idx="66" formatCode="General">
                  <c:v>1.36</c:v>
                </c:pt>
              </c:numCache>
            </c:numRef>
          </c:val>
          <c:smooth val="0"/>
          <c:extLst>
            <c:ext xmlns:c16="http://schemas.microsoft.com/office/drawing/2014/chart" uri="{C3380CC4-5D6E-409C-BE32-E72D297353CC}">
              <c16:uniqueId val="{00000005-3C08-4DDE-85CE-574312B46F2D}"/>
            </c:ext>
          </c:extLst>
        </c:ser>
        <c:dLbls>
          <c:showLegendKey val="0"/>
          <c:showVal val="0"/>
          <c:showCatName val="0"/>
          <c:showSerName val="0"/>
          <c:showPercent val="0"/>
          <c:showBubbleSize val="0"/>
        </c:dLbls>
        <c:marker val="1"/>
        <c:smooth val="0"/>
        <c:axId val="131001344"/>
        <c:axId val="131027712"/>
      </c:lineChart>
      <c:catAx>
        <c:axId val="131001344"/>
        <c:scaling>
          <c:orientation val="minMax"/>
        </c:scaling>
        <c:delete val="0"/>
        <c:axPos val="b"/>
        <c:numFmt formatCode="General" sourceLinked="0"/>
        <c:majorTickMark val="out"/>
        <c:minorTickMark val="none"/>
        <c:tickLblPos val="low"/>
        <c:spPr>
          <a:ln>
            <a:solidFill>
              <a:schemeClr val="tx1"/>
            </a:solidFill>
          </a:ln>
        </c:spPr>
        <c:crossAx val="131027712"/>
        <c:crosses val="autoZero"/>
        <c:auto val="1"/>
        <c:lblAlgn val="ctr"/>
        <c:lblOffset val="100"/>
        <c:noMultiLvlLbl val="0"/>
      </c:catAx>
      <c:valAx>
        <c:axId val="131027712"/>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1001344"/>
        <c:crosses val="autoZero"/>
        <c:crossBetween val="between"/>
        <c:majorUnit val="1"/>
      </c:valAx>
      <c:spPr>
        <a:ln>
          <a:solidFill>
            <a:schemeClr val="tx1"/>
          </a:solidFill>
        </a:ln>
      </c:spPr>
    </c:plotArea>
    <c:legend>
      <c:legendPos val="b"/>
      <c:layout>
        <c:manualLayout>
          <c:xMode val="edge"/>
          <c:yMode val="edge"/>
          <c:x val="4.2139690982776527E-2"/>
          <c:y val="0.87558269120103249"/>
          <c:w val="0.93886651469098281"/>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5577477727787412E-2"/>
          <c:y val="1.7107238390107405E-2"/>
          <c:w val="0.9019171237054221"/>
          <c:h val="0.79721795405807649"/>
        </c:manualLayout>
      </c:layout>
      <c:barChart>
        <c:barDir val="col"/>
        <c:grouping val="clustered"/>
        <c:varyColors val="0"/>
        <c:ser>
          <c:idx val="4"/>
          <c:order val="3"/>
          <c:tx>
            <c:strRef>
              <c:f>'Státní rozpočet-příjmy'!$A$38</c:f>
              <c:strCache>
                <c:ptCount val="1"/>
                <c:pt idx="0">
                  <c:v>State budget balance (right axis)</c:v>
                </c:pt>
              </c:strCache>
            </c:strRef>
          </c:tx>
          <c:spPr>
            <a:solidFill>
              <a:schemeClr val="bg1">
                <a:lumMod val="85000"/>
              </a:schemeClr>
            </a:solidFill>
          </c:spPr>
          <c:invertIfNegative val="0"/>
          <c:cat>
            <c:numRef>
              <c:f>'Státní rozpočet-příjmy'!$B$34:$P$34</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rozpočet-příjmy'!$B$38:$P$38</c:f>
              <c:numCache>
                <c:formatCode>#\ ##0.0</c:formatCode>
                <c:ptCount val="15"/>
                <c:pt idx="0">
                  <c:v>3.76</c:v>
                </c:pt>
                <c:pt idx="1">
                  <c:v>7.64</c:v>
                </c:pt>
                <c:pt idx="2">
                  <c:v>1.2749999999999999</c:v>
                </c:pt>
                <c:pt idx="3">
                  <c:v>-5.6520000000000001</c:v>
                </c:pt>
                <c:pt idx="4">
                  <c:v>-68.259</c:v>
                </c:pt>
                <c:pt idx="5">
                  <c:v>-75.662000000000006</c:v>
                </c:pt>
                <c:pt idx="6">
                  <c:v>-62.856000000000002</c:v>
                </c:pt>
                <c:pt idx="7">
                  <c:v>-71.721999999999994</c:v>
                </c:pt>
                <c:pt idx="8">
                  <c:v>-31.52</c:v>
                </c:pt>
                <c:pt idx="9">
                  <c:v>1.45</c:v>
                </c:pt>
                <c:pt idx="10">
                  <c:v>22.65</c:v>
                </c:pt>
                <c:pt idx="11">
                  <c:v>40.65</c:v>
                </c:pt>
                <c:pt idx="12">
                  <c:v>4.62</c:v>
                </c:pt>
                <c:pt idx="13">
                  <c:v>-5.88</c:v>
                </c:pt>
                <c:pt idx="14">
                  <c:v>-20.68</c:v>
                </c:pt>
              </c:numCache>
            </c:numRef>
          </c:val>
          <c:extLst>
            <c:ext xmlns:c16="http://schemas.microsoft.com/office/drawing/2014/chart" uri="{C3380CC4-5D6E-409C-BE32-E72D297353CC}">
              <c16:uniqueId val="{00000000-2EFA-4831-A2EB-876A28F857C7}"/>
            </c:ext>
          </c:extLst>
        </c:ser>
        <c:dLbls>
          <c:showLegendKey val="0"/>
          <c:showVal val="0"/>
          <c:showCatName val="0"/>
          <c:showSerName val="0"/>
          <c:showPercent val="0"/>
          <c:showBubbleSize val="0"/>
        </c:dLbls>
        <c:gapWidth val="50"/>
        <c:axId val="337259904"/>
        <c:axId val="337258656"/>
      </c:barChart>
      <c:lineChart>
        <c:grouping val="standard"/>
        <c:varyColors val="0"/>
        <c:ser>
          <c:idx val="0"/>
          <c:order val="0"/>
          <c:tx>
            <c:strRef>
              <c:f>'Státní rozpočet-příjmy'!$A$35</c:f>
              <c:strCache>
                <c:ptCount val="1"/>
                <c:pt idx="0">
                  <c:v>VAT and consumption taxes</c:v>
                </c:pt>
              </c:strCache>
            </c:strRef>
          </c:tx>
          <c:spPr>
            <a:ln w="19050">
              <a:noFill/>
            </a:ln>
          </c:spPr>
          <c:marker>
            <c:symbol val="diamond"/>
            <c:size val="6"/>
            <c:spPr>
              <a:solidFill>
                <a:srgbClr val="00B050"/>
              </a:solidFill>
              <a:ln>
                <a:noFill/>
              </a:ln>
            </c:spPr>
          </c:marker>
          <c:cat>
            <c:numRef>
              <c:f>'Státní rozpočet-příjmy'!$B$34:$P$34</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rozpočet-příjmy'!$B$35:$P$35</c:f>
              <c:numCache>
                <c:formatCode>0.0</c:formatCode>
                <c:ptCount val="15"/>
                <c:pt idx="0">
                  <c:v>26.071458881439384</c:v>
                </c:pt>
                <c:pt idx="1">
                  <c:v>14.762706159542233</c:v>
                </c:pt>
                <c:pt idx="2">
                  <c:v>1.7362740497419082</c:v>
                </c:pt>
                <c:pt idx="3">
                  <c:v>4.3646217712176991</c:v>
                </c:pt>
                <c:pt idx="4">
                  <c:v>-2.5247223910281065</c:v>
                </c:pt>
                <c:pt idx="5">
                  <c:v>9.1022443890274189</c:v>
                </c:pt>
                <c:pt idx="6">
                  <c:v>6.7532467532467564</c:v>
                </c:pt>
                <c:pt idx="7">
                  <c:v>-4.4720194647201907</c:v>
                </c:pt>
                <c:pt idx="8">
                  <c:v>8.0077428556874395</c:v>
                </c:pt>
                <c:pt idx="9">
                  <c:v>8.055463849455279</c:v>
                </c:pt>
                <c:pt idx="10">
                  <c:v>-4.5087512548557385</c:v>
                </c:pt>
                <c:pt idx="11">
                  <c:v>6.5682420696590071</c:v>
                </c:pt>
                <c:pt idx="12">
                  <c:v>9.761955822431915</c:v>
                </c:pt>
                <c:pt idx="13">
                  <c:v>6.0607244734476922</c:v>
                </c:pt>
                <c:pt idx="14">
                  <c:v>3.1611524574460077</c:v>
                </c:pt>
              </c:numCache>
            </c:numRef>
          </c:val>
          <c:smooth val="0"/>
          <c:extLst>
            <c:ext xmlns:c16="http://schemas.microsoft.com/office/drawing/2014/chart" uri="{C3380CC4-5D6E-409C-BE32-E72D297353CC}">
              <c16:uniqueId val="{00000001-2EFA-4831-A2EB-876A28F857C7}"/>
            </c:ext>
          </c:extLst>
        </c:ser>
        <c:ser>
          <c:idx val="1"/>
          <c:order val="1"/>
          <c:tx>
            <c:strRef>
              <c:f>'Státní rozpočet-příjmy'!$A$36</c:f>
              <c:strCache>
                <c:ptCount val="1"/>
                <c:pt idx="0">
                  <c:v>Income taxes of natural persons (ITNP) from employment </c:v>
                </c:pt>
              </c:strCache>
            </c:strRef>
          </c:tx>
          <c:spPr>
            <a:ln w="19050">
              <a:solidFill>
                <a:srgbClr val="BD1B25"/>
              </a:solidFill>
              <a:prstDash val="solid"/>
            </a:ln>
          </c:spPr>
          <c:marker>
            <c:symbol val="none"/>
          </c:marker>
          <c:cat>
            <c:numRef>
              <c:f>'Státní rozpočet-příjmy'!$B$34:$P$34</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rozpočet-příjmy'!$B$36:$P$36</c:f>
              <c:numCache>
                <c:formatCode>0.0</c:formatCode>
                <c:ptCount val="15"/>
                <c:pt idx="0">
                  <c:v>7.2278911564625901</c:v>
                </c:pt>
                <c:pt idx="1">
                  <c:v>2.2997620935765468</c:v>
                </c:pt>
                <c:pt idx="2">
                  <c:v>12.20930232558139</c:v>
                </c:pt>
                <c:pt idx="3">
                  <c:v>-5.4749568221070746</c:v>
                </c:pt>
                <c:pt idx="4">
                  <c:v>-6.0661428832450213</c:v>
                </c:pt>
                <c:pt idx="5">
                  <c:v>-0.11670881151526658</c:v>
                </c:pt>
                <c:pt idx="6">
                  <c:v>6.6601752677702137</c:v>
                </c:pt>
                <c:pt idx="7">
                  <c:v>2.2092386342888375</c:v>
                </c:pt>
                <c:pt idx="8">
                  <c:v>5.4841014648088731</c:v>
                </c:pt>
                <c:pt idx="9">
                  <c:v>4.7417442845046622</c:v>
                </c:pt>
                <c:pt idx="10">
                  <c:v>1.0509296685529534</c:v>
                </c:pt>
                <c:pt idx="11">
                  <c:v>10.704000000000008</c:v>
                </c:pt>
                <c:pt idx="12">
                  <c:v>12.559618441971381</c:v>
                </c:pt>
                <c:pt idx="13">
                  <c:v>15.382639958911156</c:v>
                </c:pt>
                <c:pt idx="14">
                  <c:v>13.265079011796118</c:v>
                </c:pt>
              </c:numCache>
            </c:numRef>
          </c:val>
          <c:smooth val="0"/>
          <c:extLst>
            <c:ext xmlns:c16="http://schemas.microsoft.com/office/drawing/2014/chart" uri="{C3380CC4-5D6E-409C-BE32-E72D297353CC}">
              <c16:uniqueId val="{00000002-2EFA-4831-A2EB-876A28F857C7}"/>
            </c:ext>
          </c:extLst>
        </c:ser>
        <c:ser>
          <c:idx val="3"/>
          <c:order val="2"/>
          <c:tx>
            <c:strRef>
              <c:f>'Státní rozpočet-příjmy'!$A$37</c:f>
              <c:strCache>
                <c:ptCount val="1"/>
                <c:pt idx="0">
                  <c:v>Income taxes of legal persons (corporate tax)</c:v>
                </c:pt>
              </c:strCache>
            </c:strRef>
          </c:tx>
          <c:spPr>
            <a:ln w="19050">
              <a:solidFill>
                <a:srgbClr val="0071BC"/>
              </a:solidFill>
              <a:prstDash val="solid"/>
            </a:ln>
          </c:spPr>
          <c:marker>
            <c:symbol val="none"/>
          </c:marker>
          <c:cat>
            <c:numRef>
              <c:f>'Státní rozpočet-příjmy'!$B$34:$P$34</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rozpočet-příjmy'!$B$37:$P$37</c:f>
              <c:numCache>
                <c:formatCode>0.0</c:formatCode>
                <c:ptCount val="15"/>
                <c:pt idx="0">
                  <c:v>26.596315507064944</c:v>
                </c:pt>
                <c:pt idx="1">
                  <c:v>5.9197513421870553</c:v>
                </c:pt>
                <c:pt idx="2">
                  <c:v>-1.3872215552887752</c:v>
                </c:pt>
                <c:pt idx="3">
                  <c:v>26.565670228594598</c:v>
                </c:pt>
                <c:pt idx="4">
                  <c:v>-22.293470129314954</c:v>
                </c:pt>
                <c:pt idx="5">
                  <c:v>10.16366387016916</c:v>
                </c:pt>
                <c:pt idx="6">
                  <c:v>-13.508114856429458</c:v>
                </c:pt>
                <c:pt idx="7">
                  <c:v>-1.8042725173210101</c:v>
                </c:pt>
                <c:pt idx="8">
                  <c:v>-2.6458915184477405</c:v>
                </c:pt>
                <c:pt idx="9">
                  <c:v>8.3949871659368966</c:v>
                </c:pt>
                <c:pt idx="10">
                  <c:v>8.3855690207549856</c:v>
                </c:pt>
                <c:pt idx="11">
                  <c:v>11.425266675234539</c:v>
                </c:pt>
                <c:pt idx="12">
                  <c:v>7.5778546712802779</c:v>
                </c:pt>
                <c:pt idx="13">
                  <c:v>-7.5050927415020396E-2</c:v>
                </c:pt>
                <c:pt idx="14">
                  <c:v>6.2982832618025668</c:v>
                </c:pt>
              </c:numCache>
            </c:numRef>
          </c:val>
          <c:smooth val="0"/>
          <c:extLst>
            <c:ext xmlns:c16="http://schemas.microsoft.com/office/drawing/2014/chart" uri="{C3380CC4-5D6E-409C-BE32-E72D297353CC}">
              <c16:uniqueId val="{00000003-2EFA-4831-A2EB-876A28F857C7}"/>
            </c:ext>
          </c:extLst>
        </c:ser>
        <c:dLbls>
          <c:showLegendKey val="0"/>
          <c:showVal val="0"/>
          <c:showCatName val="0"/>
          <c:showSerName val="0"/>
          <c:showPercent val="0"/>
          <c:showBubbleSize val="0"/>
        </c:dLbls>
        <c:marker val="1"/>
        <c:smooth val="0"/>
        <c:axId val="79288576"/>
        <c:axId val="66855296"/>
      </c:lineChart>
      <c:catAx>
        <c:axId val="79288576"/>
        <c:scaling>
          <c:orientation val="minMax"/>
        </c:scaling>
        <c:delete val="0"/>
        <c:axPos val="b"/>
        <c:numFmt formatCode="General" sourceLinked="1"/>
        <c:majorTickMark val="out"/>
        <c:minorTickMark val="none"/>
        <c:tickLblPos val="low"/>
        <c:spPr>
          <a:ln w="6350">
            <a:solidFill>
              <a:schemeClr val="tx1"/>
            </a:solidFill>
          </a:ln>
        </c:spPr>
        <c:crossAx val="66855296"/>
        <c:crosses val="autoZero"/>
        <c:auto val="1"/>
        <c:lblAlgn val="ctr"/>
        <c:lblOffset val="0"/>
        <c:noMultiLvlLbl val="0"/>
      </c:catAx>
      <c:valAx>
        <c:axId val="66855296"/>
        <c:scaling>
          <c:orientation val="minMax"/>
          <c:max val="35"/>
          <c:min val="-40"/>
        </c:scaling>
        <c:delete val="0"/>
        <c:axPos val="l"/>
        <c:majorGridlines>
          <c:spPr>
            <a:ln w="6350">
              <a:solidFill>
                <a:schemeClr val="bg1">
                  <a:lumMod val="75000"/>
                </a:schemeClr>
              </a:solidFill>
            </a:ln>
          </c:spPr>
        </c:majorGridlines>
        <c:numFmt formatCode="0" sourceLinked="0"/>
        <c:majorTickMark val="out"/>
        <c:minorTickMark val="none"/>
        <c:tickLblPos val="nextTo"/>
        <c:spPr>
          <a:ln w="6350">
            <a:solidFill>
              <a:schemeClr val="tx1"/>
            </a:solidFill>
          </a:ln>
        </c:spPr>
        <c:crossAx val="79288576"/>
        <c:crosses val="autoZero"/>
        <c:crossBetween val="between"/>
        <c:majorUnit val="5"/>
      </c:valAx>
      <c:valAx>
        <c:axId val="337258656"/>
        <c:scaling>
          <c:orientation val="minMax"/>
          <c:max val="70"/>
          <c:min val="-80"/>
        </c:scaling>
        <c:delete val="0"/>
        <c:axPos val="r"/>
        <c:numFmt formatCode="#,##0" sourceLinked="0"/>
        <c:majorTickMark val="out"/>
        <c:minorTickMark val="none"/>
        <c:tickLblPos val="nextTo"/>
        <c:spPr>
          <a:ln w="6350"/>
        </c:spPr>
        <c:crossAx val="337259904"/>
        <c:crosses val="max"/>
        <c:crossBetween val="between"/>
        <c:majorUnit val="10"/>
      </c:valAx>
      <c:catAx>
        <c:axId val="337259904"/>
        <c:scaling>
          <c:orientation val="minMax"/>
        </c:scaling>
        <c:delete val="1"/>
        <c:axPos val="b"/>
        <c:numFmt formatCode="General" sourceLinked="1"/>
        <c:majorTickMark val="out"/>
        <c:minorTickMark val="none"/>
        <c:tickLblPos val="nextTo"/>
        <c:crossAx val="337258656"/>
        <c:crosses val="autoZero"/>
        <c:auto val="1"/>
        <c:lblAlgn val="ctr"/>
        <c:lblOffset val="100"/>
        <c:noMultiLvlLbl val="0"/>
      </c:catAx>
      <c:spPr>
        <a:ln w="6350">
          <a:solidFill>
            <a:schemeClr val="tx1"/>
          </a:solidFill>
        </a:ln>
      </c:spPr>
    </c:plotArea>
    <c:legend>
      <c:legendPos val="b"/>
      <c:layout>
        <c:manualLayout>
          <c:xMode val="edge"/>
          <c:yMode val="edge"/>
          <c:x val="3.5809113379182592E-2"/>
          <c:y val="0.86188699703438598"/>
          <c:w val="0.92643262075287514"/>
          <c:h val="0.12312387839593145"/>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654503640965086E-2"/>
          <c:y val="1.7112323287741892E-2"/>
          <c:w val="0.88571919735113291"/>
          <c:h val="0.76067747074773961"/>
        </c:manualLayout>
      </c:layout>
      <c:barChart>
        <c:barDir val="col"/>
        <c:grouping val="clustered"/>
        <c:varyColors val="0"/>
        <c:ser>
          <c:idx val="0"/>
          <c:order val="0"/>
          <c:tx>
            <c:strRef>
              <c:f>'SR-výdaje-1q 2019'!$B$31</c:f>
              <c:strCache>
                <c:ptCount val="1"/>
                <c:pt idx="0">
                  <c:v>Current expenditures (right axis)</c:v>
                </c:pt>
              </c:strCache>
            </c:strRef>
          </c:tx>
          <c:spPr>
            <a:solidFill>
              <a:schemeClr val="bg1">
                <a:lumMod val="75000"/>
              </a:schemeClr>
            </a:solidFill>
            <a:ln>
              <a:noFill/>
            </a:ln>
          </c:spPr>
          <c:invertIfNegative val="0"/>
          <c:cat>
            <c:numRef>
              <c:f>'SR-výdaje-1q 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'SR-výdaje-1q 2019'!$B$32:$B$46</c:f>
              <c:numCache>
                <c:formatCode>0.0</c:formatCode>
                <c:ptCount val="15"/>
                <c:pt idx="0">
                  <c:v>402.04</c:v>
                </c:pt>
                <c:pt idx="1">
                  <c:v>437.53300000000002</c:v>
                </c:pt>
                <c:pt idx="2">
                  <c:v>455.274</c:v>
                </c:pt>
                <c:pt idx="3">
                  <c:v>488.71899999999999</c:v>
                </c:pt>
                <c:pt idx="4">
                  <c:v>523.79999999999995</c:v>
                </c:pt>
                <c:pt idx="5">
                  <c:v>527.73400000000004</c:v>
                </c:pt>
                <c:pt idx="6">
                  <c:v>523.22</c:v>
                </c:pt>
                <c:pt idx="7">
                  <c:v>534.42999999999995</c:v>
                </c:pt>
                <c:pt idx="8">
                  <c:v>544.65</c:v>
                </c:pt>
                <c:pt idx="9">
                  <c:v>552.71100000000001</c:v>
                </c:pt>
                <c:pt idx="10">
                  <c:v>564.13</c:v>
                </c:pt>
                <c:pt idx="11">
                  <c:v>575.57000000000005</c:v>
                </c:pt>
                <c:pt idx="12">
                  <c:v>609.53</c:v>
                </c:pt>
                <c:pt idx="13">
                  <c:v>660.76</c:v>
                </c:pt>
                <c:pt idx="14">
                  <c:v>718.86</c:v>
                </c:pt>
              </c:numCache>
            </c:numRef>
          </c:val>
          <c:extLst>
            <c:ext xmlns:c16="http://schemas.microsoft.com/office/drawing/2014/chart" uri="{C3380CC4-5D6E-409C-BE32-E72D297353CC}">
              <c16:uniqueId val="{00000000-5FAB-486E-AE8A-B1368A4835AC}"/>
            </c:ext>
          </c:extLst>
        </c:ser>
        <c:dLbls>
          <c:showLegendKey val="0"/>
          <c:showVal val="0"/>
          <c:showCatName val="0"/>
          <c:showSerName val="0"/>
          <c:showPercent val="0"/>
          <c:showBubbleSize val="0"/>
        </c:dLbls>
        <c:gapWidth val="70"/>
        <c:axId val="72836608"/>
        <c:axId val="72835072"/>
      </c:barChart>
      <c:lineChart>
        <c:grouping val="standard"/>
        <c:varyColors val="0"/>
        <c:ser>
          <c:idx val="1"/>
          <c:order val="1"/>
          <c:tx>
            <c:strRef>
              <c:f>'SR-výdaje-1q 2019'!$C$31</c:f>
              <c:strCache>
                <c:ptCount val="1"/>
                <c:pt idx="0">
                  <c:v>Wages of employees in publ. admin.*</c:v>
                </c:pt>
              </c:strCache>
            </c:strRef>
          </c:tx>
          <c:spPr>
            <a:ln w="15875">
              <a:solidFill>
                <a:srgbClr val="984807"/>
              </a:solidFill>
            </a:ln>
          </c:spPr>
          <c:marker>
            <c:symbol val="none"/>
          </c:marker>
          <c:cat>
            <c:numRef>
              <c:f>'SR-výdaje-1q 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'SR-výdaje-1q 2019'!$C$32:$C$46</c:f>
              <c:numCache>
                <c:formatCode>0.0</c:formatCode>
                <c:ptCount val="15"/>
                <c:pt idx="0">
                  <c:v>34.159999999999997</c:v>
                </c:pt>
                <c:pt idx="1">
                  <c:v>35.65</c:v>
                </c:pt>
                <c:pt idx="2">
                  <c:v>37.92</c:v>
                </c:pt>
                <c:pt idx="3">
                  <c:v>37.729999999999997</c:v>
                </c:pt>
                <c:pt idx="4">
                  <c:v>38.979999999999997</c:v>
                </c:pt>
                <c:pt idx="5">
                  <c:v>39.36</c:v>
                </c:pt>
                <c:pt idx="6">
                  <c:v>35.700000000000003</c:v>
                </c:pt>
                <c:pt idx="7">
                  <c:v>36.299999999999997</c:v>
                </c:pt>
                <c:pt idx="8">
                  <c:v>36.880000000000003</c:v>
                </c:pt>
                <c:pt idx="9">
                  <c:v>38.090000000000003</c:v>
                </c:pt>
                <c:pt idx="10">
                  <c:v>41.88</c:v>
                </c:pt>
                <c:pt idx="11">
                  <c:v>43.22</c:v>
                </c:pt>
                <c:pt idx="12">
                  <c:v>46.52</c:v>
                </c:pt>
                <c:pt idx="13">
                  <c:v>53.13</c:v>
                </c:pt>
                <c:pt idx="14">
                  <c:v>57.57</c:v>
                </c:pt>
              </c:numCache>
            </c:numRef>
          </c:val>
          <c:smooth val="0"/>
          <c:extLst>
            <c:ext xmlns:c16="http://schemas.microsoft.com/office/drawing/2014/chart" uri="{C3380CC4-5D6E-409C-BE32-E72D297353CC}">
              <c16:uniqueId val="{00000001-5FAB-486E-AE8A-B1368A4835AC}"/>
            </c:ext>
          </c:extLst>
        </c:ser>
        <c:ser>
          <c:idx val="6"/>
          <c:order val="2"/>
          <c:tx>
            <c:strRef>
              <c:f>'SR-výdaje-1q 2019'!$D$31</c:f>
              <c:strCache>
                <c:ptCount val="1"/>
                <c:pt idx="0">
                  <c:v>Unemployment benefits</c:v>
                </c:pt>
              </c:strCache>
            </c:strRef>
          </c:tx>
          <c:spPr>
            <a:ln w="15875">
              <a:solidFill>
                <a:srgbClr val="48AEE7"/>
              </a:solidFill>
            </a:ln>
          </c:spPr>
          <c:marker>
            <c:symbol val="none"/>
          </c:marker>
          <c:cat>
            <c:numRef>
              <c:f>'SR-výdaje-1q 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'SR-výdaje-1q 2019'!$D$32:$D$46</c:f>
              <c:numCache>
                <c:formatCode>0.0</c:formatCode>
                <c:ptCount val="15"/>
                <c:pt idx="0">
                  <c:v>3.69</c:v>
                </c:pt>
                <c:pt idx="1">
                  <c:v>3.8959999999999999</c:v>
                </c:pt>
                <c:pt idx="2">
                  <c:v>3.78</c:v>
                </c:pt>
                <c:pt idx="3">
                  <c:v>3.56</c:v>
                </c:pt>
                <c:pt idx="4">
                  <c:v>7.3049999999999997</c:v>
                </c:pt>
                <c:pt idx="5">
                  <c:v>7.77</c:v>
                </c:pt>
                <c:pt idx="6">
                  <c:v>6.2279999999999998</c:v>
                </c:pt>
                <c:pt idx="7">
                  <c:v>4.8410000000000002</c:v>
                </c:pt>
                <c:pt idx="8">
                  <c:v>5.3579999999999997</c:v>
                </c:pt>
                <c:pt idx="9">
                  <c:v>5.2690000000000001</c:v>
                </c:pt>
                <c:pt idx="10">
                  <c:v>4.6150000000000002</c:v>
                </c:pt>
                <c:pt idx="11">
                  <c:v>4.4829999999999997</c:v>
                </c:pt>
                <c:pt idx="12">
                  <c:v>4.3310000000000004</c:v>
                </c:pt>
                <c:pt idx="13">
                  <c:v>3.98</c:v>
                </c:pt>
                <c:pt idx="14">
                  <c:v>4.24</c:v>
                </c:pt>
              </c:numCache>
            </c:numRef>
          </c:val>
          <c:smooth val="0"/>
          <c:extLst>
            <c:ext xmlns:c16="http://schemas.microsoft.com/office/drawing/2014/chart" uri="{C3380CC4-5D6E-409C-BE32-E72D297353CC}">
              <c16:uniqueId val="{00000002-5FAB-486E-AE8A-B1368A4835AC}"/>
            </c:ext>
          </c:extLst>
        </c:ser>
        <c:ser>
          <c:idx val="7"/>
          <c:order val="3"/>
          <c:tx>
            <c:strRef>
              <c:f>'SR-výdaje-1q 2019'!$E$31</c:f>
              <c:strCache>
                <c:ptCount val="1"/>
                <c:pt idx="0">
                  <c:v>State social support benefits**</c:v>
                </c:pt>
              </c:strCache>
            </c:strRef>
          </c:tx>
          <c:spPr>
            <a:ln w="15875">
              <a:solidFill>
                <a:srgbClr val="00B050"/>
              </a:solidFill>
            </a:ln>
          </c:spPr>
          <c:marker>
            <c:symbol val="none"/>
          </c:marker>
          <c:cat>
            <c:numRef>
              <c:f>'SR-výdaje-1q 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'SR-výdaje-1q 2019'!$E$32:$E$46</c:f>
              <c:numCache>
                <c:formatCode>General</c:formatCode>
                <c:ptCount val="15"/>
                <c:pt idx="0" formatCode="0.00">
                  <c:v>16.649999999999999</c:v>
                </c:pt>
                <c:pt idx="1">
                  <c:v>17.04</c:v>
                </c:pt>
                <c:pt idx="2">
                  <c:v>23.83</c:v>
                </c:pt>
                <c:pt idx="3">
                  <c:v>21.52</c:v>
                </c:pt>
                <c:pt idx="4">
                  <c:v>20.594999999999999</c:v>
                </c:pt>
                <c:pt idx="5">
                  <c:v>20.64</c:v>
                </c:pt>
                <c:pt idx="6">
                  <c:v>18.405999999999999</c:v>
                </c:pt>
                <c:pt idx="7">
                  <c:v>17.881</c:v>
                </c:pt>
                <c:pt idx="8">
                  <c:v>18.681999999999999</c:v>
                </c:pt>
                <c:pt idx="9">
                  <c:v>18.91</c:v>
                </c:pt>
                <c:pt idx="10">
                  <c:v>18.873999999999999</c:v>
                </c:pt>
                <c:pt idx="11">
                  <c:v>18.963999999999999</c:v>
                </c:pt>
                <c:pt idx="12">
                  <c:v>18.742000000000001</c:v>
                </c:pt>
                <c:pt idx="13">
                  <c:v>19.53</c:v>
                </c:pt>
                <c:pt idx="14">
                  <c:v>19.04</c:v>
                </c:pt>
              </c:numCache>
            </c:numRef>
          </c:val>
          <c:smooth val="0"/>
          <c:extLst>
            <c:ext xmlns:c16="http://schemas.microsoft.com/office/drawing/2014/chart" uri="{C3380CC4-5D6E-409C-BE32-E72D297353CC}">
              <c16:uniqueId val="{00000003-5FAB-486E-AE8A-B1368A4835AC}"/>
            </c:ext>
          </c:extLst>
        </c:ser>
        <c:ser>
          <c:idx val="2"/>
          <c:order val="4"/>
          <c:tx>
            <c:strRef>
              <c:f>'SR-výdaje-1q 2019'!$F$31</c:f>
              <c:strCache>
                <c:ptCount val="1"/>
                <c:pt idx="0">
                  <c:v>Sickness benefits</c:v>
                </c:pt>
              </c:strCache>
            </c:strRef>
          </c:tx>
          <c:spPr>
            <a:ln w="15875">
              <a:solidFill>
                <a:srgbClr val="0071BC"/>
              </a:solidFill>
            </a:ln>
          </c:spPr>
          <c:marker>
            <c:symbol val="none"/>
          </c:marker>
          <c:cat>
            <c:numRef>
              <c:f>'SR-výdaje-1q 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'SR-výdaje-1q 2019'!$F$32:$F$46</c:f>
              <c:numCache>
                <c:formatCode>0.00</c:formatCode>
                <c:ptCount val="15"/>
                <c:pt idx="0">
                  <c:v>17.497</c:v>
                </c:pt>
                <c:pt idx="1">
                  <c:v>17.936</c:v>
                </c:pt>
                <c:pt idx="2">
                  <c:v>18.398</c:v>
                </c:pt>
                <c:pt idx="3">
                  <c:v>16.734000000000002</c:v>
                </c:pt>
                <c:pt idx="4">
                  <c:v>14.089</c:v>
                </c:pt>
                <c:pt idx="5">
                  <c:v>11.56</c:v>
                </c:pt>
                <c:pt idx="6">
                  <c:v>11.773</c:v>
                </c:pt>
                <c:pt idx="7">
                  <c:v>10.244</c:v>
                </c:pt>
                <c:pt idx="8">
                  <c:v>10.609</c:v>
                </c:pt>
                <c:pt idx="9">
                  <c:v>11.201000000000001</c:v>
                </c:pt>
                <c:pt idx="10">
                  <c:v>12.429</c:v>
                </c:pt>
                <c:pt idx="11">
                  <c:v>13.566000000000001</c:v>
                </c:pt>
                <c:pt idx="12">
                  <c:v>14.757999999999999</c:v>
                </c:pt>
                <c:pt idx="13">
                  <c:v>17.3</c:v>
                </c:pt>
                <c:pt idx="14">
                  <c:v>19.93</c:v>
                </c:pt>
              </c:numCache>
            </c:numRef>
          </c:val>
          <c:smooth val="0"/>
          <c:extLst>
            <c:ext xmlns:c16="http://schemas.microsoft.com/office/drawing/2014/chart" uri="{C3380CC4-5D6E-409C-BE32-E72D297353CC}">
              <c16:uniqueId val="{00000004-5FAB-486E-AE8A-B1368A4835AC}"/>
            </c:ext>
          </c:extLst>
        </c:ser>
        <c:ser>
          <c:idx val="3"/>
          <c:order val="5"/>
          <c:tx>
            <c:strRef>
              <c:f>'SR-výdaje-1q 2019'!$G$31</c:f>
              <c:strCache>
                <c:ptCount val="1"/>
                <c:pt idx="0">
                  <c:v>Social care benefits***</c:v>
                </c:pt>
              </c:strCache>
            </c:strRef>
          </c:tx>
          <c:spPr>
            <a:ln w="15875">
              <a:solidFill>
                <a:srgbClr val="7030A0"/>
              </a:solidFill>
            </a:ln>
          </c:spPr>
          <c:marker>
            <c:symbol val="none"/>
          </c:marker>
          <c:cat>
            <c:numRef>
              <c:f>'SR-výdaje-1q 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'SR-výdaje-1q 2019'!$G$32:$G$46</c:f>
              <c:numCache>
                <c:formatCode>General</c:formatCode>
                <c:ptCount val="15"/>
                <c:pt idx="2" formatCode="0.00">
                  <c:v>11.690999999999999</c:v>
                </c:pt>
                <c:pt idx="3" formatCode="0.00">
                  <c:v>13.247</c:v>
                </c:pt>
                <c:pt idx="4" formatCode="0.00">
                  <c:v>13.003</c:v>
                </c:pt>
                <c:pt idx="5" formatCode="0.00">
                  <c:v>13.486000000000001</c:v>
                </c:pt>
                <c:pt idx="6" formatCode="0.00">
                  <c:v>12.911000000000001</c:v>
                </c:pt>
                <c:pt idx="7" formatCode="0.00">
                  <c:v>13.282</c:v>
                </c:pt>
                <c:pt idx="8" formatCode="0.00">
                  <c:v>15.668000000000001</c:v>
                </c:pt>
                <c:pt idx="9" formatCode="0.00">
                  <c:v>16.734999999999999</c:v>
                </c:pt>
                <c:pt idx="10" formatCode="0.00">
                  <c:v>16.93</c:v>
                </c:pt>
                <c:pt idx="11" formatCode="0.00">
                  <c:v>16.78</c:v>
                </c:pt>
                <c:pt idx="12" formatCode="0.00">
                  <c:v>17.489999999999998</c:v>
                </c:pt>
                <c:pt idx="13" formatCode="0.00">
                  <c:v>17.100000000000001</c:v>
                </c:pt>
                <c:pt idx="14" formatCode="0.00">
                  <c:v>17.32</c:v>
                </c:pt>
              </c:numCache>
            </c:numRef>
          </c:val>
          <c:smooth val="0"/>
          <c:extLst>
            <c:ext xmlns:c16="http://schemas.microsoft.com/office/drawing/2014/chart" uri="{C3380CC4-5D6E-409C-BE32-E72D297353CC}">
              <c16:uniqueId val="{00000005-5FAB-486E-AE8A-B1368A4835AC}"/>
            </c:ext>
          </c:extLst>
        </c:ser>
        <c:ser>
          <c:idx val="4"/>
          <c:order val="6"/>
          <c:tx>
            <c:strRef>
              <c:f>'SR-výdaje-1q 2019'!$H$31</c:f>
              <c:strCache>
                <c:ptCount val="1"/>
                <c:pt idx="0">
                  <c:v>Non-investment purchases****</c:v>
                </c:pt>
              </c:strCache>
            </c:strRef>
          </c:tx>
          <c:spPr>
            <a:ln w="15875">
              <a:solidFill>
                <a:srgbClr val="F8A124"/>
              </a:solidFill>
              <a:prstDash val="solid"/>
            </a:ln>
          </c:spPr>
          <c:marker>
            <c:symbol val="none"/>
          </c:marker>
          <c:cat>
            <c:numRef>
              <c:f>'SR-výdaje-1q 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'SR-výdaje-1q 2019'!$H$32:$H$46</c:f>
              <c:numCache>
                <c:formatCode>0.0</c:formatCode>
                <c:ptCount val="15"/>
                <c:pt idx="0">
                  <c:v>29.280999999999999</c:v>
                </c:pt>
                <c:pt idx="1">
                  <c:v>31.251000000000005</c:v>
                </c:pt>
                <c:pt idx="2">
                  <c:v>33.647000000000006</c:v>
                </c:pt>
                <c:pt idx="3">
                  <c:v>31.934000000000005</c:v>
                </c:pt>
                <c:pt idx="4">
                  <c:v>32.001999999999995</c:v>
                </c:pt>
                <c:pt idx="5">
                  <c:v>31.84</c:v>
                </c:pt>
                <c:pt idx="6">
                  <c:v>29.076999999999998</c:v>
                </c:pt>
                <c:pt idx="7">
                  <c:v>26.950000000000003</c:v>
                </c:pt>
                <c:pt idx="8">
                  <c:v>23.5</c:v>
                </c:pt>
                <c:pt idx="9">
                  <c:v>22.14</c:v>
                </c:pt>
                <c:pt idx="10">
                  <c:v>25.509999999999998</c:v>
                </c:pt>
                <c:pt idx="11">
                  <c:v>25.499999999999996</c:v>
                </c:pt>
                <c:pt idx="12">
                  <c:v>29.889999999999997</c:v>
                </c:pt>
                <c:pt idx="13">
                  <c:v>30.75</c:v>
                </c:pt>
                <c:pt idx="14">
                  <c:v>27.96</c:v>
                </c:pt>
              </c:numCache>
            </c:numRef>
          </c:val>
          <c:smooth val="0"/>
          <c:extLst>
            <c:ext xmlns:c16="http://schemas.microsoft.com/office/drawing/2014/chart" uri="{C3380CC4-5D6E-409C-BE32-E72D297353CC}">
              <c16:uniqueId val="{00000006-5FAB-486E-AE8A-B1368A4835AC}"/>
            </c:ext>
          </c:extLst>
        </c:ser>
        <c:ser>
          <c:idx val="5"/>
          <c:order val="7"/>
          <c:tx>
            <c:strRef>
              <c:f>'SR-výdaje-1q 2019'!$I$31</c:f>
              <c:strCache>
                <c:ptCount val="1"/>
                <c:pt idx="0">
                  <c:v>State debt (net expenditures)*****</c:v>
                </c:pt>
              </c:strCache>
            </c:strRef>
          </c:tx>
          <c:spPr>
            <a:ln w="15875">
              <a:solidFill>
                <a:srgbClr val="BD1B25"/>
              </a:solidFill>
            </a:ln>
          </c:spPr>
          <c:marker>
            <c:symbol val="none"/>
          </c:marker>
          <c:cat>
            <c:numRef>
              <c:f>'SR-výdaje-1q 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'SR-výdaje-1q 2019'!$I$32:$I$46</c:f>
              <c:numCache>
                <c:formatCode>0.0</c:formatCode>
                <c:ptCount val="15"/>
                <c:pt idx="0">
                  <c:v>14.81</c:v>
                </c:pt>
                <c:pt idx="1">
                  <c:v>17.16</c:v>
                </c:pt>
                <c:pt idx="2">
                  <c:v>17.05</c:v>
                </c:pt>
                <c:pt idx="3">
                  <c:v>16.5</c:v>
                </c:pt>
                <c:pt idx="4">
                  <c:v>25.770000000000003</c:v>
                </c:pt>
                <c:pt idx="5">
                  <c:v>21.27</c:v>
                </c:pt>
                <c:pt idx="6">
                  <c:v>25.81</c:v>
                </c:pt>
                <c:pt idx="7">
                  <c:v>26.419999999999998</c:v>
                </c:pt>
                <c:pt idx="8">
                  <c:v>30.400000000000002</c:v>
                </c:pt>
                <c:pt idx="9">
                  <c:v>26.86</c:v>
                </c:pt>
                <c:pt idx="10">
                  <c:v>23.55</c:v>
                </c:pt>
                <c:pt idx="11">
                  <c:v>23.76</c:v>
                </c:pt>
                <c:pt idx="12">
                  <c:v>18.739999999999998</c:v>
                </c:pt>
                <c:pt idx="13">
                  <c:v>20.11</c:v>
                </c:pt>
                <c:pt idx="14">
                  <c:v>16.920000000000002</c:v>
                </c:pt>
              </c:numCache>
            </c:numRef>
          </c:val>
          <c:smooth val="0"/>
          <c:extLst>
            <c:ext xmlns:c16="http://schemas.microsoft.com/office/drawing/2014/chart" uri="{C3380CC4-5D6E-409C-BE32-E72D297353CC}">
              <c16:uniqueId val="{00000007-5FAB-486E-AE8A-B1368A4835AC}"/>
            </c:ext>
          </c:extLst>
        </c:ser>
        <c:ser>
          <c:idx val="8"/>
          <c:order val="8"/>
          <c:tx>
            <c:strRef>
              <c:f>'SR-výdaje-1q 2019'!$J$31</c:f>
              <c:strCache>
                <c:ptCount val="1"/>
                <c:pt idx="0">
                  <c:v>Capital expenditures (investment)</c:v>
                </c:pt>
              </c:strCache>
            </c:strRef>
          </c:tx>
          <c:spPr>
            <a:ln w="15875">
              <a:solidFill>
                <a:schemeClr val="tx1">
                  <a:lumMod val="95000"/>
                  <a:lumOff val="5000"/>
                </a:schemeClr>
              </a:solidFill>
              <a:prstDash val="sysDash"/>
            </a:ln>
          </c:spPr>
          <c:marker>
            <c:symbol val="none"/>
          </c:marker>
          <c:cat>
            <c:numRef>
              <c:f>'SR-výdaje-1q 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'SR-výdaje-1q 2019'!$J$32:$J$46</c:f>
              <c:numCache>
                <c:formatCode>0.0</c:formatCode>
                <c:ptCount val="15"/>
                <c:pt idx="0">
                  <c:v>20.45</c:v>
                </c:pt>
                <c:pt idx="1">
                  <c:v>23.643000000000001</c:v>
                </c:pt>
                <c:pt idx="2">
                  <c:v>26.771000000000001</c:v>
                </c:pt>
                <c:pt idx="3">
                  <c:v>53.505000000000003</c:v>
                </c:pt>
                <c:pt idx="4">
                  <c:v>51.149000000000001</c:v>
                </c:pt>
                <c:pt idx="5">
                  <c:v>55.872999999999998</c:v>
                </c:pt>
                <c:pt idx="6">
                  <c:v>47.277000000000001</c:v>
                </c:pt>
                <c:pt idx="7">
                  <c:v>41.93</c:v>
                </c:pt>
                <c:pt idx="8">
                  <c:v>36.779000000000003</c:v>
                </c:pt>
                <c:pt idx="9">
                  <c:v>34.893999999999998</c:v>
                </c:pt>
                <c:pt idx="10">
                  <c:v>54.02</c:v>
                </c:pt>
                <c:pt idx="11">
                  <c:v>39.090000000000003</c:v>
                </c:pt>
                <c:pt idx="12">
                  <c:v>20.309999999999999</c:v>
                </c:pt>
                <c:pt idx="13">
                  <c:v>33.25</c:v>
                </c:pt>
                <c:pt idx="14">
                  <c:v>45.7</c:v>
                </c:pt>
              </c:numCache>
            </c:numRef>
          </c:val>
          <c:smooth val="0"/>
          <c:extLst>
            <c:ext xmlns:c16="http://schemas.microsoft.com/office/drawing/2014/chart" uri="{C3380CC4-5D6E-409C-BE32-E72D297353CC}">
              <c16:uniqueId val="{00000008-5FAB-486E-AE8A-B1368A4835AC}"/>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crossAx val="72829184"/>
        <c:crosses val="autoZero"/>
        <c:auto val="1"/>
        <c:lblAlgn val="ctr"/>
        <c:lblOffset val="20"/>
        <c:noMultiLvlLbl val="0"/>
      </c:catAx>
      <c:valAx>
        <c:axId val="72829184"/>
        <c:scaling>
          <c:orientation val="minMax"/>
          <c:max val="75"/>
          <c:min val="0"/>
        </c:scaling>
        <c:delete val="0"/>
        <c:axPos val="l"/>
        <c:majorGridlines>
          <c:spPr>
            <a:ln w="6350">
              <a:solidFill>
                <a:schemeClr val="bg1">
                  <a:lumMod val="75000"/>
                </a:schemeClr>
              </a:solidFill>
            </a:ln>
          </c:spPr>
        </c:majorGridlines>
        <c:numFmt formatCode="0" sourceLinked="0"/>
        <c:majorTickMark val="out"/>
        <c:minorTickMark val="none"/>
        <c:tickLblPos val="nextTo"/>
        <c:spPr>
          <a:ln w="6350">
            <a:solidFill>
              <a:schemeClr val="tx1"/>
            </a:solidFill>
          </a:ln>
        </c:spPr>
        <c:crossAx val="72827648"/>
        <c:crosses val="autoZero"/>
        <c:crossBetween val="between"/>
        <c:majorUnit val="5"/>
      </c:valAx>
      <c:valAx>
        <c:axId val="72835072"/>
        <c:scaling>
          <c:orientation val="minMax"/>
          <c:max val="750"/>
          <c:min val="0"/>
        </c:scaling>
        <c:delete val="0"/>
        <c:axPos val="r"/>
        <c:numFmt formatCode="0" sourceLinked="0"/>
        <c:majorTickMark val="out"/>
        <c:minorTickMark val="none"/>
        <c:tickLblPos val="nextTo"/>
        <c:spPr>
          <a:ln w="6350">
            <a:solidFill>
              <a:schemeClr val="tx1"/>
            </a:solidFill>
          </a:ln>
        </c:spPr>
        <c:crossAx val="72836608"/>
        <c:crosses val="max"/>
        <c:crossBetween val="between"/>
        <c:majorUnit val="5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5.5741173954559867E-2"/>
          <c:y val="0.83043789088186448"/>
          <c:w val="0.87543098174311207"/>
          <c:h val="0.15864077881410979"/>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724701079031984E-2"/>
          <c:y val="2.6970778117567422E-2"/>
          <c:w val="0.87770649039240944"/>
          <c:h val="0.76009512552065761"/>
        </c:manualLayout>
      </c:layout>
      <c:barChart>
        <c:barDir val="col"/>
        <c:grouping val="clustered"/>
        <c:varyColors val="0"/>
        <c:ser>
          <c:idx val="0"/>
          <c:order val="0"/>
          <c:tx>
            <c:strRef>
              <c:f>'souhrnná výkonnost 2'!$C$5</c:f>
              <c:strCache>
                <c:ptCount val="1"/>
                <c:pt idx="0">
                  <c:v>GDP (right axis)</c:v>
                </c:pt>
              </c:strCache>
            </c:strRef>
          </c:tx>
          <c:spPr>
            <a:solidFill>
              <a:schemeClr val="bg1">
                <a:lumMod val="65000"/>
              </a:schemeClr>
            </a:solidFill>
            <a:ln>
              <a:noFill/>
            </a:ln>
          </c:spPr>
          <c:invertIfNegative val="0"/>
          <c:val>
            <c:numRef>
              <c:f>'souhrnná výkonnost 2'!$C$30:$C$95</c:f>
              <c:numCache>
                <c:formatCode>0.0</c:formatCode>
                <c:ptCount val="66"/>
                <c:pt idx="0">
                  <c:v>1.6</c:v>
                </c:pt>
                <c:pt idx="1">
                  <c:v>1.6</c:v>
                </c:pt>
                <c:pt idx="2">
                  <c:v>1.6</c:v>
                </c:pt>
                <c:pt idx="3">
                  <c:v>2.4</c:v>
                </c:pt>
                <c:pt idx="4">
                  <c:v>2.4</c:v>
                </c:pt>
                <c:pt idx="5">
                  <c:v>2.4</c:v>
                </c:pt>
                <c:pt idx="6">
                  <c:v>3.4</c:v>
                </c:pt>
                <c:pt idx="7">
                  <c:v>3.4</c:v>
                </c:pt>
                <c:pt idx="8">
                  <c:v>3.4</c:v>
                </c:pt>
                <c:pt idx="9">
                  <c:v>3.4</c:v>
                </c:pt>
                <c:pt idx="10">
                  <c:v>3.4</c:v>
                </c:pt>
                <c:pt idx="11">
                  <c:v>3.4</c:v>
                </c:pt>
                <c:pt idx="12">
                  <c:v>5.3</c:v>
                </c:pt>
                <c:pt idx="13">
                  <c:v>5.3</c:v>
                </c:pt>
                <c:pt idx="14">
                  <c:v>5.3</c:v>
                </c:pt>
                <c:pt idx="15">
                  <c:v>5.8</c:v>
                </c:pt>
                <c:pt idx="16">
                  <c:v>5.8</c:v>
                </c:pt>
                <c:pt idx="17">
                  <c:v>5.8</c:v>
                </c:pt>
                <c:pt idx="18">
                  <c:v>5.6</c:v>
                </c:pt>
                <c:pt idx="19">
                  <c:v>5.6</c:v>
                </c:pt>
                <c:pt idx="20">
                  <c:v>5.6</c:v>
                </c:pt>
                <c:pt idx="21">
                  <c:v>4.9000000000000004</c:v>
                </c:pt>
                <c:pt idx="22">
                  <c:v>4.9000000000000004</c:v>
                </c:pt>
                <c:pt idx="23">
                  <c:v>4.9000000000000004</c:v>
                </c:pt>
                <c:pt idx="24">
                  <c:v>3.5</c:v>
                </c:pt>
                <c:pt idx="25">
                  <c:v>3.5</c:v>
                </c:pt>
                <c:pt idx="26">
                  <c:v>3.5</c:v>
                </c:pt>
                <c:pt idx="27">
                  <c:v>2.4</c:v>
                </c:pt>
                <c:pt idx="28">
                  <c:v>2.4</c:v>
                </c:pt>
                <c:pt idx="29" formatCode="General">
                  <c:v>2.4</c:v>
                </c:pt>
                <c:pt idx="30" formatCode="General">
                  <c:v>1.7</c:v>
                </c:pt>
                <c:pt idx="31" formatCode="General">
                  <c:v>1.7</c:v>
                </c:pt>
                <c:pt idx="32" formatCode="General">
                  <c:v>1.7</c:v>
                </c:pt>
                <c:pt idx="33" formatCode="General">
                  <c:v>1.8</c:v>
                </c:pt>
                <c:pt idx="34" formatCode="General">
                  <c:v>1.8</c:v>
                </c:pt>
                <c:pt idx="35" formatCode="General">
                  <c:v>1.8</c:v>
                </c:pt>
                <c:pt idx="36" formatCode="General">
                  <c:v>2.9</c:v>
                </c:pt>
                <c:pt idx="37" formatCode="General">
                  <c:v>2.9</c:v>
                </c:pt>
                <c:pt idx="38" formatCode="General">
                  <c:v>2.9</c:v>
                </c:pt>
                <c:pt idx="39" formatCode="General">
                  <c:v>5.0999999999999996</c:v>
                </c:pt>
                <c:pt idx="40" formatCode="General">
                  <c:v>5.0999999999999996</c:v>
                </c:pt>
                <c:pt idx="41" formatCode="General">
                  <c:v>5.0999999999999996</c:v>
                </c:pt>
                <c:pt idx="42" formatCode="General">
                  <c:v>5.0999999999999996</c:v>
                </c:pt>
                <c:pt idx="43" formatCode="General">
                  <c:v>5.0999999999999996</c:v>
                </c:pt>
                <c:pt idx="44" formatCode="General">
                  <c:v>5.0999999999999996</c:v>
                </c:pt>
                <c:pt idx="45" formatCode="General">
                  <c:v>5.0999999999999996</c:v>
                </c:pt>
                <c:pt idx="46" formatCode="General">
                  <c:v>5.0999999999999996</c:v>
                </c:pt>
                <c:pt idx="47" formatCode="General">
                  <c:v>5.0999999999999996</c:v>
                </c:pt>
                <c:pt idx="48" formatCode="General">
                  <c:v>4.2</c:v>
                </c:pt>
                <c:pt idx="49" formatCode="General">
                  <c:v>4.2</c:v>
                </c:pt>
                <c:pt idx="50" formatCode="General">
                  <c:v>4.2</c:v>
                </c:pt>
                <c:pt idx="51" formatCode="General">
                  <c:v>2.4</c:v>
                </c:pt>
                <c:pt idx="52" formatCode="General">
                  <c:v>2.4</c:v>
                </c:pt>
                <c:pt idx="53" formatCode="General">
                  <c:v>2.4</c:v>
                </c:pt>
                <c:pt idx="54" formatCode="General">
                  <c:v>2.5</c:v>
                </c:pt>
                <c:pt idx="55" formatCode="General">
                  <c:v>2.5</c:v>
                </c:pt>
                <c:pt idx="56" formatCode="General">
                  <c:v>2.5</c:v>
                </c:pt>
                <c:pt idx="57" formatCode="General">
                  <c:v>2.7</c:v>
                </c:pt>
                <c:pt idx="58" formatCode="General">
                  <c:v>2.7</c:v>
                </c:pt>
                <c:pt idx="59" formatCode="General">
                  <c:v>2.7</c:v>
                </c:pt>
                <c:pt idx="60" formatCode="General">
                  <c:v>2.7</c:v>
                </c:pt>
                <c:pt idx="61" formatCode="General">
                  <c:v>2.7</c:v>
                </c:pt>
                <c:pt idx="62" formatCode="General">
                  <c:v>2.7</c:v>
                </c:pt>
                <c:pt idx="63" formatCode="General">
                  <c:v>2.7</c:v>
                </c:pt>
                <c:pt idx="64" formatCode="General">
                  <c:v>2.7</c:v>
                </c:pt>
                <c:pt idx="65" formatCode="General">
                  <c:v>2.7</c:v>
                </c:pt>
              </c:numCache>
            </c:numRef>
          </c:val>
          <c:extLst>
            <c:ext xmlns:c16="http://schemas.microsoft.com/office/drawing/2014/chart" uri="{C3380CC4-5D6E-409C-BE32-E72D297353CC}">
              <c16:uniqueId val="{00000000-38FE-437C-AC12-32B4011EBB76}"/>
            </c:ext>
          </c:extLst>
        </c:ser>
        <c:dLbls>
          <c:showLegendKey val="0"/>
          <c:showVal val="0"/>
          <c:showCatName val="0"/>
          <c:showSerName val="0"/>
          <c:showPercent val="0"/>
          <c:showBubbleSize val="0"/>
        </c:dLbls>
        <c:gapWidth val="30"/>
        <c:axId val="115166592"/>
        <c:axId val="115165056"/>
      </c:barChart>
      <c:lineChart>
        <c:grouping val="standard"/>
        <c:varyColors val="0"/>
        <c:ser>
          <c:idx val="3"/>
          <c:order val="1"/>
          <c:tx>
            <c:strRef>
              <c:f>'souhrnná výkonnost 2'!$D$5</c:f>
              <c:strCache>
                <c:ptCount val="1"/>
                <c:pt idx="0">
                  <c:v>Entrepreneur confidence</c:v>
                </c:pt>
              </c:strCache>
            </c:strRef>
          </c:tx>
          <c:spPr>
            <a:ln w="19050">
              <a:solidFill>
                <a:srgbClr val="0071BC"/>
              </a:solidFill>
            </a:ln>
          </c:spPr>
          <c:marker>
            <c:symbol val="none"/>
          </c:marker>
          <c:cat>
            <c:multiLvlStrRef>
              <c:f>'souhrnná výkonnost 2'!$A$30:$B$95</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2014</c:v>
                  </c:pt>
                  <c:pt idx="12">
                    <c:v>2015</c:v>
                  </c:pt>
                  <c:pt idx="24">
                    <c:v>2016</c:v>
                  </c:pt>
                  <c:pt idx="36">
                    <c:v>2017</c:v>
                  </c:pt>
                  <c:pt idx="48">
                    <c:v>2018</c:v>
                  </c:pt>
                  <c:pt idx="60">
                    <c:v>2019</c:v>
                  </c:pt>
                </c:lvl>
              </c:multiLvlStrCache>
            </c:multiLvlStrRef>
          </c:cat>
          <c:val>
            <c:numRef>
              <c:f>'souhrnná výkonnost 2'!$D$30:$D$95</c:f>
              <c:numCache>
                <c:formatCode>###\ ###\ ##0.0</c:formatCode>
                <c:ptCount val="66"/>
                <c:pt idx="0">
                  <c:v>90.1</c:v>
                </c:pt>
                <c:pt idx="1">
                  <c:v>90.9</c:v>
                </c:pt>
                <c:pt idx="2">
                  <c:v>91.6</c:v>
                </c:pt>
                <c:pt idx="3">
                  <c:v>91.5</c:v>
                </c:pt>
                <c:pt idx="4">
                  <c:v>91.5</c:v>
                </c:pt>
                <c:pt idx="5">
                  <c:v>92.5</c:v>
                </c:pt>
                <c:pt idx="6">
                  <c:v>91.6</c:v>
                </c:pt>
                <c:pt idx="7">
                  <c:v>92.5</c:v>
                </c:pt>
                <c:pt idx="8">
                  <c:v>93.2</c:v>
                </c:pt>
                <c:pt idx="9">
                  <c:v>92.8</c:v>
                </c:pt>
                <c:pt idx="10">
                  <c:v>93.5</c:v>
                </c:pt>
                <c:pt idx="11">
                  <c:v>94.8</c:v>
                </c:pt>
                <c:pt idx="12">
                  <c:v>94.3</c:v>
                </c:pt>
                <c:pt idx="13">
                  <c:v>93.4</c:v>
                </c:pt>
                <c:pt idx="14">
                  <c:v>92.9</c:v>
                </c:pt>
                <c:pt idx="15">
                  <c:v>93.2</c:v>
                </c:pt>
                <c:pt idx="16">
                  <c:v>93.8</c:v>
                </c:pt>
                <c:pt idx="17">
                  <c:v>95.5</c:v>
                </c:pt>
                <c:pt idx="18">
                  <c:v>94.6</c:v>
                </c:pt>
                <c:pt idx="19">
                  <c:v>94.2</c:v>
                </c:pt>
                <c:pt idx="20">
                  <c:v>94.4</c:v>
                </c:pt>
                <c:pt idx="21">
                  <c:v>93.2</c:v>
                </c:pt>
                <c:pt idx="22">
                  <c:v>94.2</c:v>
                </c:pt>
                <c:pt idx="23">
                  <c:v>94.3</c:v>
                </c:pt>
                <c:pt idx="24" formatCode="0.0">
                  <c:v>96</c:v>
                </c:pt>
                <c:pt idx="25" formatCode="0.0">
                  <c:v>95.3</c:v>
                </c:pt>
                <c:pt idx="26" formatCode="0.0">
                  <c:v>95.1</c:v>
                </c:pt>
                <c:pt idx="27" formatCode="0.0">
                  <c:v>93.8</c:v>
                </c:pt>
                <c:pt idx="28" formatCode="0.0">
                  <c:v>94.3</c:v>
                </c:pt>
                <c:pt idx="29" formatCode="0.0">
                  <c:v>93.5</c:v>
                </c:pt>
                <c:pt idx="30" formatCode="0.0">
                  <c:v>94</c:v>
                </c:pt>
                <c:pt idx="31" formatCode="0.0">
                  <c:v>95.3</c:v>
                </c:pt>
                <c:pt idx="32" formatCode="0.0">
                  <c:v>95.2</c:v>
                </c:pt>
                <c:pt idx="33" formatCode="0.0">
                  <c:v>95.2</c:v>
                </c:pt>
                <c:pt idx="34" formatCode="0.0">
                  <c:v>97.5</c:v>
                </c:pt>
                <c:pt idx="35" formatCode="0.0">
                  <c:v>97.1</c:v>
                </c:pt>
                <c:pt idx="36" formatCode="0.0">
                  <c:v>97</c:v>
                </c:pt>
                <c:pt idx="37" formatCode="0.0">
                  <c:v>95.9</c:v>
                </c:pt>
                <c:pt idx="38" formatCode="0.0">
                  <c:v>94.1</c:v>
                </c:pt>
                <c:pt idx="39" formatCode="0.0">
                  <c:v>95.1</c:v>
                </c:pt>
                <c:pt idx="40" formatCode="0.0">
                  <c:v>94.9</c:v>
                </c:pt>
                <c:pt idx="41" formatCode="0.0">
                  <c:v>95.2</c:v>
                </c:pt>
                <c:pt idx="42" formatCode="0.0">
                  <c:v>96.1</c:v>
                </c:pt>
                <c:pt idx="43" formatCode="0.0">
                  <c:v>96.8</c:v>
                </c:pt>
                <c:pt idx="44" formatCode="0.0">
                  <c:v>97</c:v>
                </c:pt>
                <c:pt idx="45" formatCode="0.0">
                  <c:v>97.4</c:v>
                </c:pt>
                <c:pt idx="46" formatCode="0.0">
                  <c:v>96.7</c:v>
                </c:pt>
                <c:pt idx="47" formatCode="0.0">
                  <c:v>97.5</c:v>
                </c:pt>
                <c:pt idx="48" formatCode="0.0">
                  <c:v>96.9</c:v>
                </c:pt>
                <c:pt idx="49" formatCode="0.0">
                  <c:v>97.5</c:v>
                </c:pt>
                <c:pt idx="50" formatCode="0.0">
                  <c:v>97</c:v>
                </c:pt>
                <c:pt idx="51" formatCode="0.0">
                  <c:v>97.6</c:v>
                </c:pt>
                <c:pt idx="52" formatCode="0.0">
                  <c:v>96.2</c:v>
                </c:pt>
                <c:pt idx="53" formatCode="0.0">
                  <c:v>97.4</c:v>
                </c:pt>
                <c:pt idx="54" formatCode="0.0">
                  <c:v>96.1</c:v>
                </c:pt>
                <c:pt idx="55" formatCode="0.0">
                  <c:v>96.9</c:v>
                </c:pt>
                <c:pt idx="56" formatCode="0.0">
                  <c:v>97.3</c:v>
                </c:pt>
                <c:pt idx="57" formatCode="0.0">
                  <c:v>97.3</c:v>
                </c:pt>
                <c:pt idx="58" formatCode="0.0">
                  <c:v>97.8</c:v>
                </c:pt>
                <c:pt idx="59" formatCode="0.0">
                  <c:v>96.4</c:v>
                </c:pt>
                <c:pt idx="60" formatCode="0.0">
                  <c:v>95.7</c:v>
                </c:pt>
                <c:pt idx="61" formatCode="0.0">
                  <c:v>96.5</c:v>
                </c:pt>
                <c:pt idx="62" formatCode="0.0">
                  <c:v>95.5</c:v>
                </c:pt>
                <c:pt idx="63" formatCode="0.0">
                  <c:v>95.8</c:v>
                </c:pt>
                <c:pt idx="64" formatCode="0.0">
                  <c:v>93.8</c:v>
                </c:pt>
                <c:pt idx="65" formatCode="0.0">
                  <c:v>93.1</c:v>
                </c:pt>
              </c:numCache>
            </c:numRef>
          </c:val>
          <c:smooth val="0"/>
          <c:extLst>
            <c:ext xmlns:c16="http://schemas.microsoft.com/office/drawing/2014/chart" uri="{C3380CC4-5D6E-409C-BE32-E72D297353CC}">
              <c16:uniqueId val="{00000001-38FE-437C-AC12-32B4011EBB76}"/>
            </c:ext>
          </c:extLst>
        </c:ser>
        <c:ser>
          <c:idx val="2"/>
          <c:order val="2"/>
          <c:tx>
            <c:strRef>
              <c:f>'souhrnná výkonnost 2'!$E$5</c:f>
              <c:strCache>
                <c:ptCount val="1"/>
                <c:pt idx="0">
                  <c:v>Consumer confidence</c:v>
                </c:pt>
              </c:strCache>
            </c:strRef>
          </c:tx>
          <c:spPr>
            <a:ln w="19050">
              <a:solidFill>
                <a:srgbClr val="BD1B21"/>
              </a:solidFill>
            </a:ln>
          </c:spPr>
          <c:marker>
            <c:symbol val="none"/>
          </c:marker>
          <c:cat>
            <c:multiLvlStrRef>
              <c:f>'souhrnná výkonnost 2'!$A$30:$B$95</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2014</c:v>
                  </c:pt>
                  <c:pt idx="12">
                    <c:v>2015</c:v>
                  </c:pt>
                  <c:pt idx="24">
                    <c:v>2016</c:v>
                  </c:pt>
                  <c:pt idx="36">
                    <c:v>2017</c:v>
                  </c:pt>
                  <c:pt idx="48">
                    <c:v>2018</c:v>
                  </c:pt>
                  <c:pt idx="60">
                    <c:v>2019</c:v>
                  </c:pt>
                </c:lvl>
              </c:multiLvlStrCache>
            </c:multiLvlStrRef>
          </c:cat>
          <c:val>
            <c:numRef>
              <c:f>'souhrnná výkonnost 2'!$E$30:$E$95</c:f>
              <c:numCache>
                <c:formatCode>###\ ###\ ##0.0</c:formatCode>
                <c:ptCount val="66"/>
                <c:pt idx="0">
                  <c:v>96.9</c:v>
                </c:pt>
                <c:pt idx="1">
                  <c:v>93.1</c:v>
                </c:pt>
                <c:pt idx="2">
                  <c:v>96.7</c:v>
                </c:pt>
                <c:pt idx="3">
                  <c:v>98.4</c:v>
                </c:pt>
                <c:pt idx="4">
                  <c:v>98.2</c:v>
                </c:pt>
                <c:pt idx="5">
                  <c:v>99.4</c:v>
                </c:pt>
                <c:pt idx="6">
                  <c:v>99.9</c:v>
                </c:pt>
                <c:pt idx="7">
                  <c:v>97.9</c:v>
                </c:pt>
                <c:pt idx="8">
                  <c:v>96.3</c:v>
                </c:pt>
                <c:pt idx="9">
                  <c:v>100.2</c:v>
                </c:pt>
                <c:pt idx="10">
                  <c:v>103.6</c:v>
                </c:pt>
                <c:pt idx="11">
                  <c:v>105.1</c:v>
                </c:pt>
                <c:pt idx="12">
                  <c:v>106.7</c:v>
                </c:pt>
                <c:pt idx="13">
                  <c:v>105.7</c:v>
                </c:pt>
                <c:pt idx="14">
                  <c:v>105.7</c:v>
                </c:pt>
                <c:pt idx="15">
                  <c:v>104.3</c:v>
                </c:pt>
                <c:pt idx="16">
                  <c:v>103.6</c:v>
                </c:pt>
                <c:pt idx="17">
                  <c:v>104.3</c:v>
                </c:pt>
                <c:pt idx="18">
                  <c:v>103.6</c:v>
                </c:pt>
                <c:pt idx="19">
                  <c:v>103.6</c:v>
                </c:pt>
                <c:pt idx="20">
                  <c:v>103.3</c:v>
                </c:pt>
                <c:pt idx="21">
                  <c:v>104.8</c:v>
                </c:pt>
                <c:pt idx="22">
                  <c:v>105.3</c:v>
                </c:pt>
                <c:pt idx="23">
                  <c:v>107.4</c:v>
                </c:pt>
                <c:pt idx="24" formatCode="0.0">
                  <c:v>110</c:v>
                </c:pt>
                <c:pt idx="25" formatCode="0.0">
                  <c:v>106.2</c:v>
                </c:pt>
                <c:pt idx="26" formatCode="0.0">
                  <c:v>104.8</c:v>
                </c:pt>
                <c:pt idx="27" formatCode="0.0">
                  <c:v>104.3</c:v>
                </c:pt>
                <c:pt idx="28" formatCode="0.0">
                  <c:v>104.3</c:v>
                </c:pt>
                <c:pt idx="29" formatCode="0.0">
                  <c:v>103.8</c:v>
                </c:pt>
                <c:pt idx="30" formatCode="0.0">
                  <c:v>102.3</c:v>
                </c:pt>
                <c:pt idx="31" formatCode="0.0">
                  <c:v>104.3</c:v>
                </c:pt>
                <c:pt idx="32" formatCode="0.0">
                  <c:v>106.4</c:v>
                </c:pt>
                <c:pt idx="33" formatCode="0.0">
                  <c:v>108.9</c:v>
                </c:pt>
                <c:pt idx="34" formatCode="0.0">
                  <c:v>107.9</c:v>
                </c:pt>
                <c:pt idx="35" formatCode="0.0">
                  <c:v>108.7</c:v>
                </c:pt>
                <c:pt idx="36" formatCode="0.0">
                  <c:v>110</c:v>
                </c:pt>
                <c:pt idx="37" formatCode="0.0">
                  <c:v>108.2</c:v>
                </c:pt>
                <c:pt idx="38" formatCode="0.0">
                  <c:v>108.7</c:v>
                </c:pt>
                <c:pt idx="39" formatCode="0.0">
                  <c:v>108.4</c:v>
                </c:pt>
                <c:pt idx="40" formatCode="0.0">
                  <c:v>108.4</c:v>
                </c:pt>
                <c:pt idx="41" formatCode="0.0">
                  <c:v>106.2</c:v>
                </c:pt>
                <c:pt idx="42" formatCode="0.0">
                  <c:v>105.7</c:v>
                </c:pt>
                <c:pt idx="43" formatCode="0.0">
                  <c:v>107.9</c:v>
                </c:pt>
                <c:pt idx="44" formatCode="0.0">
                  <c:v>109.2</c:v>
                </c:pt>
                <c:pt idx="45" formatCode="0.0">
                  <c:v>108.7</c:v>
                </c:pt>
                <c:pt idx="46" formatCode="0.0">
                  <c:v>110.3</c:v>
                </c:pt>
                <c:pt idx="47" formatCode="0.0">
                  <c:v>110</c:v>
                </c:pt>
                <c:pt idx="48" formatCode="0.0">
                  <c:v>112.3</c:v>
                </c:pt>
                <c:pt idx="49" formatCode="0.0">
                  <c:v>112</c:v>
                </c:pt>
                <c:pt idx="50" formatCode="0.0">
                  <c:v>112.8</c:v>
                </c:pt>
                <c:pt idx="51" formatCode="0.0">
                  <c:v>112.5</c:v>
                </c:pt>
                <c:pt idx="52" formatCode="0.0">
                  <c:v>113.8</c:v>
                </c:pt>
                <c:pt idx="53" formatCode="0.0">
                  <c:v>113</c:v>
                </c:pt>
                <c:pt idx="54" formatCode="0.0">
                  <c:v>111.8</c:v>
                </c:pt>
                <c:pt idx="55" formatCode="0.0">
                  <c:v>110.3</c:v>
                </c:pt>
                <c:pt idx="56" formatCode="0.0">
                  <c:v>111</c:v>
                </c:pt>
                <c:pt idx="57" formatCode="0.0">
                  <c:v>112</c:v>
                </c:pt>
                <c:pt idx="58" formatCode="0.0">
                  <c:v>106.9</c:v>
                </c:pt>
                <c:pt idx="59" formatCode="0.0">
                  <c:v>109.2</c:v>
                </c:pt>
                <c:pt idx="60" formatCode="0.0">
                  <c:v>109.2</c:v>
                </c:pt>
                <c:pt idx="61" formatCode="0.0">
                  <c:v>106.4</c:v>
                </c:pt>
                <c:pt idx="62" formatCode="0.0">
                  <c:v>104.6</c:v>
                </c:pt>
                <c:pt idx="63" formatCode="0.0">
                  <c:v>103.8</c:v>
                </c:pt>
                <c:pt idx="64" formatCode="0.0">
                  <c:v>105.1</c:v>
                </c:pt>
                <c:pt idx="65" formatCode="0.0">
                  <c:v>105.1</c:v>
                </c:pt>
              </c:numCache>
            </c:numRef>
          </c:val>
          <c:smooth val="0"/>
          <c:extLst>
            <c:ext xmlns:c16="http://schemas.microsoft.com/office/drawing/2014/chart" uri="{C3380CC4-5D6E-409C-BE32-E72D297353CC}">
              <c16:uniqueId val="{00000002-38FE-437C-AC12-32B4011EBB76}"/>
            </c:ext>
          </c:extLst>
        </c:ser>
        <c:ser>
          <c:idx val="1"/>
          <c:order val="3"/>
          <c:tx>
            <c:strRef>
              <c:f>'souhrnná výkonnost 2'!$F$5</c:f>
              <c:strCache>
                <c:ptCount val="1"/>
                <c:pt idx="0">
                  <c:v>Total indicator</c:v>
                </c:pt>
              </c:strCache>
            </c:strRef>
          </c:tx>
          <c:spPr>
            <a:ln w="19050">
              <a:solidFill>
                <a:schemeClr val="tx1"/>
              </a:solidFill>
            </a:ln>
          </c:spPr>
          <c:marker>
            <c:symbol val="none"/>
          </c:marker>
          <c:cat>
            <c:multiLvlStrRef>
              <c:f>'souhrnná výkonnost 2'!$A$30:$B$95</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2014</c:v>
                  </c:pt>
                  <c:pt idx="12">
                    <c:v>2015</c:v>
                  </c:pt>
                  <c:pt idx="24">
                    <c:v>2016</c:v>
                  </c:pt>
                  <c:pt idx="36">
                    <c:v>2017</c:v>
                  </c:pt>
                  <c:pt idx="48">
                    <c:v>2018</c:v>
                  </c:pt>
                  <c:pt idx="60">
                    <c:v>2019</c:v>
                  </c:pt>
                </c:lvl>
              </c:multiLvlStrCache>
            </c:multiLvlStrRef>
          </c:cat>
          <c:val>
            <c:numRef>
              <c:f>'souhrnná výkonnost 2'!$F$30:$F$95</c:f>
              <c:numCache>
                <c:formatCode>###\ ###\ ##0.0</c:formatCode>
                <c:ptCount val="66"/>
                <c:pt idx="0">
                  <c:v>91.3</c:v>
                </c:pt>
                <c:pt idx="1">
                  <c:v>91.2</c:v>
                </c:pt>
                <c:pt idx="2">
                  <c:v>92.4</c:v>
                </c:pt>
                <c:pt idx="3">
                  <c:v>92.6</c:v>
                </c:pt>
                <c:pt idx="4">
                  <c:v>92.6</c:v>
                </c:pt>
                <c:pt idx="5">
                  <c:v>93.6</c:v>
                </c:pt>
                <c:pt idx="6" formatCode="###\ ###\ ##0">
                  <c:v>93</c:v>
                </c:pt>
                <c:pt idx="7">
                  <c:v>93.4</c:v>
                </c:pt>
                <c:pt idx="8">
                  <c:v>93.7</c:v>
                </c:pt>
                <c:pt idx="9">
                  <c:v>94.1</c:v>
                </c:pt>
                <c:pt idx="10">
                  <c:v>95.2</c:v>
                </c:pt>
                <c:pt idx="11">
                  <c:v>96.5</c:v>
                </c:pt>
                <c:pt idx="12">
                  <c:v>96.4</c:v>
                </c:pt>
                <c:pt idx="13">
                  <c:v>95.5</c:v>
                </c:pt>
                <c:pt idx="14">
                  <c:v>95.1</c:v>
                </c:pt>
                <c:pt idx="15">
                  <c:v>95.1</c:v>
                </c:pt>
                <c:pt idx="16">
                  <c:v>95.5</c:v>
                </c:pt>
                <c:pt idx="17" formatCode="###\ ###\ ##0">
                  <c:v>97</c:v>
                </c:pt>
                <c:pt idx="18">
                  <c:v>96.1</c:v>
                </c:pt>
                <c:pt idx="19">
                  <c:v>95.7</c:v>
                </c:pt>
                <c:pt idx="20">
                  <c:v>95.9</c:v>
                </c:pt>
                <c:pt idx="21">
                  <c:v>95.1</c:v>
                </c:pt>
                <c:pt idx="22" formatCode="###\ ###\ ##0">
                  <c:v>96</c:v>
                </c:pt>
                <c:pt idx="23">
                  <c:v>96.5</c:v>
                </c:pt>
                <c:pt idx="24" formatCode="0.0">
                  <c:v>98.4</c:v>
                </c:pt>
                <c:pt idx="25" formatCode="0.0">
                  <c:v>97.1</c:v>
                </c:pt>
                <c:pt idx="26" formatCode="0.0">
                  <c:v>96.7</c:v>
                </c:pt>
                <c:pt idx="27" formatCode="0.0">
                  <c:v>95.6</c:v>
                </c:pt>
                <c:pt idx="28" formatCode="0.0">
                  <c:v>96</c:v>
                </c:pt>
                <c:pt idx="29" formatCode="0.0">
                  <c:v>95.3</c:v>
                </c:pt>
                <c:pt idx="30" formatCode="0.0">
                  <c:v>95.4</c:v>
                </c:pt>
                <c:pt idx="31" formatCode="0.0">
                  <c:v>96.8</c:v>
                </c:pt>
                <c:pt idx="32" formatCode="0.0">
                  <c:v>97.1</c:v>
                </c:pt>
                <c:pt idx="33" formatCode="0.0">
                  <c:v>97.5</c:v>
                </c:pt>
                <c:pt idx="34" formatCode="0.0">
                  <c:v>99.3</c:v>
                </c:pt>
                <c:pt idx="35" formatCode="0.0">
                  <c:v>99.1</c:v>
                </c:pt>
                <c:pt idx="36" formatCode="0.0">
                  <c:v>99.2</c:v>
                </c:pt>
                <c:pt idx="37" formatCode="0.0">
                  <c:v>98</c:v>
                </c:pt>
                <c:pt idx="38" formatCode="0.0">
                  <c:v>96.6</c:v>
                </c:pt>
                <c:pt idx="39" formatCode="0.0">
                  <c:v>97.4</c:v>
                </c:pt>
                <c:pt idx="40" formatCode="0.0">
                  <c:v>97.2</c:v>
                </c:pt>
                <c:pt idx="41" formatCode="0.0">
                  <c:v>97.1</c:v>
                </c:pt>
                <c:pt idx="42" formatCode="0.0">
                  <c:v>97.7</c:v>
                </c:pt>
                <c:pt idx="43" formatCode="0.0">
                  <c:v>98.7</c:v>
                </c:pt>
                <c:pt idx="44" formatCode="0.0">
                  <c:v>99.1</c:v>
                </c:pt>
                <c:pt idx="45" formatCode="0.0">
                  <c:v>99.3</c:v>
                </c:pt>
                <c:pt idx="46" formatCode="0.0">
                  <c:v>99</c:v>
                </c:pt>
                <c:pt idx="47" formatCode="0.0">
                  <c:v>99.6</c:v>
                </c:pt>
                <c:pt idx="48" formatCode="0.0">
                  <c:v>99.5</c:v>
                </c:pt>
                <c:pt idx="49" formatCode="0.0">
                  <c:v>99.9</c:v>
                </c:pt>
                <c:pt idx="50" formatCode="0.0">
                  <c:v>99.7</c:v>
                </c:pt>
                <c:pt idx="51" formatCode="0.0">
                  <c:v>100.1</c:v>
                </c:pt>
                <c:pt idx="52" formatCode="0.0">
                  <c:v>99.2</c:v>
                </c:pt>
                <c:pt idx="53" formatCode="0.0">
                  <c:v>100</c:v>
                </c:pt>
                <c:pt idx="54" formatCode="0.0">
                  <c:v>98.7</c:v>
                </c:pt>
                <c:pt idx="55" formatCode="0.0">
                  <c:v>99.1</c:v>
                </c:pt>
                <c:pt idx="56" formatCode="0.0">
                  <c:v>99.6</c:v>
                </c:pt>
                <c:pt idx="57" formatCode="0.0">
                  <c:v>99.8</c:v>
                </c:pt>
                <c:pt idx="58" formatCode="0.0">
                  <c:v>99.3</c:v>
                </c:pt>
                <c:pt idx="59" formatCode="0.0">
                  <c:v>98.6</c:v>
                </c:pt>
                <c:pt idx="60" formatCode="0.0">
                  <c:v>98</c:v>
                </c:pt>
                <c:pt idx="61" formatCode="0.0">
                  <c:v>98.2</c:v>
                </c:pt>
                <c:pt idx="62" formatCode="0.0">
                  <c:v>97</c:v>
                </c:pt>
                <c:pt idx="63" formatCode="0.0">
                  <c:v>97.1</c:v>
                </c:pt>
                <c:pt idx="64" formatCode="0.0">
                  <c:v>95.7</c:v>
                </c:pt>
                <c:pt idx="65" formatCode="0.0">
                  <c:v>95.2</c:v>
                </c:pt>
              </c:numCache>
            </c:numRef>
          </c:val>
          <c:smooth val="0"/>
          <c:extLst>
            <c:ext xmlns:c16="http://schemas.microsoft.com/office/drawing/2014/chart" uri="{C3380CC4-5D6E-409C-BE32-E72D297353CC}">
              <c16:uniqueId val="{00000003-38FE-437C-AC12-32B4011EBB76}"/>
            </c:ext>
          </c:extLst>
        </c:ser>
        <c:dLbls>
          <c:showLegendKey val="0"/>
          <c:showVal val="0"/>
          <c:showCatName val="0"/>
          <c:showSerName val="0"/>
          <c:showPercent val="0"/>
          <c:showBubbleSize val="0"/>
        </c:dLbls>
        <c:marker val="1"/>
        <c:smooth val="0"/>
        <c:axId val="115149440"/>
        <c:axId val="115163520"/>
      </c:lineChart>
      <c:catAx>
        <c:axId val="115149440"/>
        <c:scaling>
          <c:orientation val="minMax"/>
        </c:scaling>
        <c:delete val="0"/>
        <c:axPos val="b"/>
        <c:numFmt formatCode="General" sourceLinked="0"/>
        <c:majorTickMark val="out"/>
        <c:minorTickMark val="none"/>
        <c:tickLblPos val="low"/>
        <c:spPr>
          <a:ln>
            <a:solidFill>
              <a:schemeClr val="tx1"/>
            </a:solidFill>
          </a:ln>
        </c:spPr>
        <c:crossAx val="115163520"/>
        <c:crossesAt val="100"/>
        <c:auto val="1"/>
        <c:lblAlgn val="ctr"/>
        <c:lblOffset val="100"/>
        <c:noMultiLvlLbl val="0"/>
      </c:catAx>
      <c:valAx>
        <c:axId val="115163520"/>
        <c:scaling>
          <c:orientation val="minMax"/>
          <c:max val="130"/>
          <c:min val="70"/>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149440"/>
        <c:crosses val="autoZero"/>
        <c:crossBetween val="between"/>
        <c:majorUnit val="5"/>
      </c:valAx>
      <c:valAx>
        <c:axId val="115165056"/>
        <c:scaling>
          <c:orientation val="minMax"/>
          <c:max val="6"/>
          <c:min val="-6"/>
        </c:scaling>
        <c:delete val="0"/>
        <c:axPos val="r"/>
        <c:numFmt formatCode="0" sourceLinked="0"/>
        <c:majorTickMark val="out"/>
        <c:minorTickMark val="none"/>
        <c:tickLblPos val="nextTo"/>
        <c:spPr>
          <a:ln>
            <a:solidFill>
              <a:schemeClr val="tx1"/>
            </a:solidFill>
          </a:ln>
        </c:spPr>
        <c:crossAx val="115166592"/>
        <c:crosses val="max"/>
        <c:crossBetween val="between"/>
        <c:majorUnit val="1"/>
      </c:valAx>
      <c:catAx>
        <c:axId val="115166592"/>
        <c:scaling>
          <c:orientation val="minMax"/>
        </c:scaling>
        <c:delete val="1"/>
        <c:axPos val="b"/>
        <c:majorTickMark val="out"/>
        <c:minorTickMark val="none"/>
        <c:tickLblPos val="none"/>
        <c:crossAx val="115165056"/>
        <c:crossesAt val="0"/>
        <c:auto val="1"/>
        <c:lblAlgn val="ctr"/>
        <c:lblOffset val="100"/>
        <c:noMultiLvlLbl val="0"/>
      </c:catAx>
      <c:spPr>
        <a:ln>
          <a:solidFill>
            <a:schemeClr val="tx1"/>
          </a:solidFill>
        </a:ln>
      </c:spPr>
    </c:plotArea>
    <c:legend>
      <c:legendPos val="b"/>
      <c:layout>
        <c:manualLayout>
          <c:xMode val="edge"/>
          <c:yMode val="edge"/>
          <c:x val="6.2295583422442583E-2"/>
          <c:y val="0.90228835978835553"/>
          <c:w val="0.88075331324325201"/>
          <c:h val="8.264578408195417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948352704928246E-2"/>
          <c:y val="2.8458510079622041E-2"/>
          <c:w val="0.93956464282120367"/>
          <c:h val="0.6497469886299676"/>
        </c:manualLayout>
      </c:layout>
      <c:barChart>
        <c:barDir val="col"/>
        <c:grouping val="stacked"/>
        <c:varyColors val="0"/>
        <c:ser>
          <c:idx val="5"/>
          <c:order val="1"/>
          <c:tx>
            <c:strRef>
              <c:f>'souhrnná výkonnost 3'!$D$5</c:f>
              <c:strCache>
                <c:ptCount val="1"/>
                <c:pt idx="0">
                  <c:v>Final consumption expenditure of households (inc. non-profit inst.)</c:v>
                </c:pt>
              </c:strCache>
            </c:strRef>
          </c:tx>
          <c:spPr>
            <a:solidFill>
              <a:srgbClr val="0071BC"/>
            </a:solidFill>
            <a:ln>
              <a:noFill/>
            </a:ln>
          </c:spPr>
          <c:invertIfNegative val="0"/>
          <c:val>
            <c:numRef>
              <c:f>'souhrnná výkonnost 3'!$D$14:$D$35</c:f>
              <c:numCache>
                <c:formatCode>#\ ##0.0</c:formatCode>
                <c:ptCount val="22"/>
                <c:pt idx="0">
                  <c:v>-0.34008143098095989</c:v>
                </c:pt>
                <c:pt idx="1">
                  <c:v>2.9026226453930527E-2</c:v>
                </c:pt>
                <c:pt idx="2">
                  <c:v>0.62988981328420746</c:v>
                </c:pt>
                <c:pt idx="3">
                  <c:v>1.1212461596956278</c:v>
                </c:pt>
                <c:pt idx="4">
                  <c:v>0.94760717879673706</c:v>
                </c:pt>
                <c:pt idx="5">
                  <c:v>0.87581286587757068</c:v>
                </c:pt>
                <c:pt idx="6">
                  <c:v>0.96181476454234671</c:v>
                </c:pt>
                <c:pt idx="7">
                  <c:v>1.2159585359264817</c:v>
                </c:pt>
                <c:pt idx="8">
                  <c:v>0.95586213381868035</c:v>
                </c:pt>
                <c:pt idx="9">
                  <c:v>0.99684968823852604</c:v>
                </c:pt>
                <c:pt idx="10">
                  <c:v>1.2062507900300097</c:v>
                </c:pt>
                <c:pt idx="11">
                  <c:v>1.1325864269456165</c:v>
                </c:pt>
                <c:pt idx="12">
                  <c:v>1.9295999507033095</c:v>
                </c:pt>
                <c:pt idx="13">
                  <c:v>2.2629868434068121</c:v>
                </c:pt>
                <c:pt idx="14">
                  <c:v>2.081448368876897</c:v>
                </c:pt>
                <c:pt idx="15">
                  <c:v>1.9315474325373911</c:v>
                </c:pt>
                <c:pt idx="16">
                  <c:v>1.3069093939506633</c:v>
                </c:pt>
                <c:pt idx="17">
                  <c:v>1.0410967505258439</c:v>
                </c:pt>
                <c:pt idx="18">
                  <c:v>0.79591117461022054</c:v>
                </c:pt>
                <c:pt idx="19">
                  <c:v>0.6381065431575611</c:v>
                </c:pt>
                <c:pt idx="20">
                  <c:v>1.0804854818389353</c:v>
                </c:pt>
                <c:pt idx="21">
                  <c:v>1.1311031398258014</c:v>
                </c:pt>
              </c:numCache>
            </c:numRef>
          </c:val>
          <c:extLst>
            <c:ext xmlns:c16="http://schemas.microsoft.com/office/drawing/2014/chart" uri="{C3380CC4-5D6E-409C-BE32-E72D297353CC}">
              <c16:uniqueId val="{00000000-ED82-48F1-883D-1EF553C06F66}"/>
            </c:ext>
          </c:extLst>
        </c:ser>
        <c:ser>
          <c:idx val="4"/>
          <c:order val="2"/>
          <c:tx>
            <c:strRef>
              <c:f>'souhrnná výkonnost 3'!$E$5</c:f>
              <c:strCache>
                <c:ptCount val="1"/>
                <c:pt idx="0">
                  <c:v>Final consumption expenditure of government institutions</c:v>
                </c:pt>
              </c:strCache>
            </c:strRef>
          </c:tx>
          <c:spPr>
            <a:solidFill>
              <a:srgbClr val="A6CDE8"/>
            </a:solidFill>
            <a:ln>
              <a:noFill/>
            </a:ln>
          </c:spPr>
          <c:invertIfNegative val="0"/>
          <c:val>
            <c:numRef>
              <c:f>'souhrnná výkonnost 3'!$E$14:$E$35</c:f>
              <c:numCache>
                <c:formatCode>#\ ##0.0</c:formatCode>
                <c:ptCount val="22"/>
                <c:pt idx="0">
                  <c:v>0.20630020460707293</c:v>
                </c:pt>
                <c:pt idx="1">
                  <c:v>0.33861567484111815</c:v>
                </c:pt>
                <c:pt idx="2">
                  <c:v>1.3981426251282602E-2</c:v>
                </c:pt>
                <c:pt idx="3">
                  <c:v>0.40192141211359078</c:v>
                </c:pt>
                <c:pt idx="4">
                  <c:v>0.39810359722923683</c:v>
                </c:pt>
                <c:pt idx="5">
                  <c:v>0.409371703467236</c:v>
                </c:pt>
                <c:pt idx="6">
                  <c:v>0.66053853162128062</c:v>
                </c:pt>
                <c:pt idx="7">
                  <c:v>0.47532618202239701</c:v>
                </c:pt>
                <c:pt idx="8">
                  <c:v>0.4600496519097893</c:v>
                </c:pt>
                <c:pt idx="9">
                  <c:v>0.57261072158740811</c:v>
                </c:pt>
                <c:pt idx="10">
                  <c:v>0.46382451172981887</c:v>
                </c:pt>
                <c:pt idx="11">
                  <c:v>0.42956567113877214</c:v>
                </c:pt>
                <c:pt idx="12">
                  <c:v>0.34259034331152788</c:v>
                </c:pt>
                <c:pt idx="13">
                  <c:v>0.22318370358973511</c:v>
                </c:pt>
                <c:pt idx="14">
                  <c:v>0.14066613984375961</c:v>
                </c:pt>
                <c:pt idx="15">
                  <c:v>0.27009009994053396</c:v>
                </c:pt>
                <c:pt idx="16">
                  <c:v>0.59071149234158837</c:v>
                </c:pt>
                <c:pt idx="17">
                  <c:v>0.64892149795425846</c:v>
                </c:pt>
                <c:pt idx="18">
                  <c:v>0.87919118822489783</c:v>
                </c:pt>
                <c:pt idx="19">
                  <c:v>0.7535081733033403</c:v>
                </c:pt>
                <c:pt idx="20">
                  <c:v>0.58520113593196299</c:v>
                </c:pt>
                <c:pt idx="21">
                  <c:v>0.66056703181778864</c:v>
                </c:pt>
              </c:numCache>
            </c:numRef>
          </c:val>
          <c:extLst>
            <c:ext xmlns:c16="http://schemas.microsoft.com/office/drawing/2014/chart" uri="{C3380CC4-5D6E-409C-BE32-E72D297353CC}">
              <c16:uniqueId val="{00000001-ED82-48F1-883D-1EF553C06F66}"/>
            </c:ext>
          </c:extLst>
        </c:ser>
        <c:ser>
          <c:idx val="3"/>
          <c:order val="3"/>
          <c:tx>
            <c:strRef>
              <c:f>'souhrnná výkonnost 3'!$G$5</c:f>
              <c:strCache>
                <c:ptCount val="1"/>
                <c:pt idx="0">
                  <c:v>Gross capital formation</c:v>
                </c:pt>
              </c:strCache>
            </c:strRef>
          </c:tx>
          <c:spPr>
            <a:solidFill>
              <a:srgbClr val="BD1B21"/>
            </a:solidFill>
            <a:ln>
              <a:noFill/>
            </a:ln>
          </c:spPr>
          <c:invertIfNegative val="0"/>
          <c:val>
            <c:numRef>
              <c:f>'souhrnná výkonnost 3'!$G$14:$G$35</c:f>
              <c:numCache>
                <c:formatCode>#\ ##0.0</c:formatCode>
                <c:ptCount val="22"/>
                <c:pt idx="0">
                  <c:v>-2.4830732969663347E-2</c:v>
                </c:pt>
                <c:pt idx="1">
                  <c:v>1.7371626087705039</c:v>
                </c:pt>
                <c:pt idx="2">
                  <c:v>1.1821175293349913</c:v>
                </c:pt>
                <c:pt idx="3">
                  <c:v>0.46203512679466735</c:v>
                </c:pt>
                <c:pt idx="4">
                  <c:v>3.0685309251838087</c:v>
                </c:pt>
                <c:pt idx="5">
                  <c:v>3.9964563160590298</c:v>
                </c:pt>
                <c:pt idx="6">
                  <c:v>2.5794382153828921</c:v>
                </c:pt>
                <c:pt idx="7">
                  <c:v>1.0615030683317814</c:v>
                </c:pt>
                <c:pt idx="8">
                  <c:v>0.71240650815417927</c:v>
                </c:pt>
                <c:pt idx="9">
                  <c:v>-1.58007591301494</c:v>
                </c:pt>
                <c:pt idx="10">
                  <c:v>-0.93052595202354949</c:v>
                </c:pt>
                <c:pt idx="11">
                  <c:v>-0.56531155286895796</c:v>
                </c:pt>
                <c:pt idx="12">
                  <c:v>-1.1398081615192246</c:v>
                </c:pt>
                <c:pt idx="13">
                  <c:v>0.83990935105083009</c:v>
                </c:pt>
                <c:pt idx="14">
                  <c:v>1.6315289229899186</c:v>
                </c:pt>
                <c:pt idx="15">
                  <c:v>2.2009361212003298</c:v>
                </c:pt>
                <c:pt idx="16">
                  <c:v>2.2682214873313655</c:v>
                </c:pt>
                <c:pt idx="17">
                  <c:v>0.48159097369011183</c:v>
                </c:pt>
                <c:pt idx="18">
                  <c:v>0.63963621691086414</c:v>
                </c:pt>
                <c:pt idx="19">
                  <c:v>3.5221540219227722E-2</c:v>
                </c:pt>
                <c:pt idx="20">
                  <c:v>0.96071271702546401</c:v>
                </c:pt>
                <c:pt idx="21">
                  <c:v>-0.15282102501188563</c:v>
                </c:pt>
              </c:numCache>
            </c:numRef>
          </c:val>
          <c:extLst>
            <c:ext xmlns:c16="http://schemas.microsoft.com/office/drawing/2014/chart" uri="{C3380CC4-5D6E-409C-BE32-E72D297353CC}">
              <c16:uniqueId val="{00000002-ED82-48F1-883D-1EF553C06F66}"/>
            </c:ext>
          </c:extLst>
        </c:ser>
        <c:ser>
          <c:idx val="1"/>
          <c:order val="4"/>
          <c:tx>
            <c:strRef>
              <c:f>'souhrnná výkonnost 3'!$F$5</c:f>
              <c:strCache>
                <c:ptCount val="1"/>
                <c:pt idx="0">
                  <c:v>Foreign trade balance</c:v>
                </c:pt>
              </c:strCache>
            </c:strRef>
          </c:tx>
          <c:spPr>
            <a:solidFill>
              <a:srgbClr val="7DBB2D"/>
            </a:solidFill>
            <a:ln>
              <a:noFill/>
            </a:ln>
          </c:spPr>
          <c:invertIfNegative val="0"/>
          <c:val>
            <c:numRef>
              <c:f>'souhrnná výkonnost 3'!$F$14:$F$35</c:f>
              <c:numCache>
                <c:formatCode>#\ ##0.0</c:formatCode>
                <c:ptCount val="22"/>
                <c:pt idx="0">
                  <c:v>1.7811708989160389</c:v>
                </c:pt>
                <c:pt idx="1">
                  <c:v>0.28060237297014012</c:v>
                </c:pt>
                <c:pt idx="2">
                  <c:v>1.5347733689115</c:v>
                </c:pt>
                <c:pt idx="3">
                  <c:v>1.3943184947840228</c:v>
                </c:pt>
                <c:pt idx="4">
                  <c:v>0.83790251812865302</c:v>
                </c:pt>
                <c:pt idx="5">
                  <c:v>0.56107754830300838</c:v>
                </c:pt>
                <c:pt idx="6">
                  <c:v>1.4400483393974972</c:v>
                </c:pt>
                <c:pt idx="7">
                  <c:v>2.1749928702545609</c:v>
                </c:pt>
                <c:pt idx="8">
                  <c:v>1.3783146174846461</c:v>
                </c:pt>
                <c:pt idx="9">
                  <c:v>2.3312697907715787</c:v>
                </c:pt>
                <c:pt idx="10">
                  <c:v>0.96088403863711669</c:v>
                </c:pt>
                <c:pt idx="11">
                  <c:v>0.75522000548094437</c:v>
                </c:pt>
                <c:pt idx="12">
                  <c:v>1.7447710354185988</c:v>
                </c:pt>
                <c:pt idx="13">
                  <c:v>1.7106610843552135</c:v>
                </c:pt>
                <c:pt idx="14">
                  <c:v>1.2299579953076361</c:v>
                </c:pt>
                <c:pt idx="15">
                  <c:v>0.65449640766803618</c:v>
                </c:pt>
                <c:pt idx="16">
                  <c:v>4.5630671158571445E-2</c:v>
                </c:pt>
                <c:pt idx="17">
                  <c:v>0.1915656145698037</c:v>
                </c:pt>
                <c:pt idx="18">
                  <c:v>9.6050058924245896E-2</c:v>
                </c:pt>
                <c:pt idx="19">
                  <c:v>1.2403171697200635</c:v>
                </c:pt>
                <c:pt idx="20">
                  <c:v>6.2555431692258967E-2</c:v>
                </c:pt>
                <c:pt idx="21">
                  <c:v>1.0854386140905881</c:v>
                </c:pt>
              </c:numCache>
            </c:numRef>
          </c:val>
          <c:extLst>
            <c:ext xmlns:c16="http://schemas.microsoft.com/office/drawing/2014/chart" uri="{C3380CC4-5D6E-409C-BE32-E72D297353CC}">
              <c16:uniqueId val="{00000003-ED82-48F1-883D-1EF553C06F66}"/>
            </c:ext>
          </c:extLst>
        </c:ser>
        <c:dLbls>
          <c:showLegendKey val="0"/>
          <c:showVal val="0"/>
          <c:showCatName val="0"/>
          <c:showSerName val="0"/>
          <c:showPercent val="0"/>
          <c:showBubbleSize val="0"/>
        </c:dLbls>
        <c:gapWidth val="40"/>
        <c:overlap val="100"/>
        <c:axId val="115206784"/>
        <c:axId val="115286400"/>
      </c:barChart>
      <c:lineChart>
        <c:grouping val="standard"/>
        <c:varyColors val="0"/>
        <c:ser>
          <c:idx val="0"/>
          <c:order val="0"/>
          <c:tx>
            <c:strRef>
              <c:f>'souhrnná výkonnost 3'!$C$5</c:f>
              <c:strCache>
                <c:ptCount val="1"/>
                <c:pt idx="0">
                  <c:v>GDP</c:v>
                </c:pt>
              </c:strCache>
            </c:strRef>
          </c:tx>
          <c:spPr>
            <a:ln>
              <a:solidFill>
                <a:prstClr val="black"/>
              </a:solidFill>
            </a:ln>
          </c:spPr>
          <c:marker>
            <c:symbol val="none"/>
          </c:marker>
          <c:cat>
            <c:multiLvlStrRef>
              <c:f>'souhrnná výkonnost 3'!$A$14:$B$35</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2014</c:v>
                  </c:pt>
                  <c:pt idx="4">
                    <c:v>2015</c:v>
                  </c:pt>
                  <c:pt idx="8">
                    <c:v>2016</c:v>
                  </c:pt>
                  <c:pt idx="12">
                    <c:v>2017</c:v>
                  </c:pt>
                  <c:pt idx="16">
                    <c:v>2018</c:v>
                  </c:pt>
                  <c:pt idx="20">
                    <c:v>2019</c:v>
                  </c:pt>
                </c:lvl>
              </c:multiLvlStrCache>
            </c:multiLvlStrRef>
          </c:cat>
          <c:val>
            <c:numRef>
              <c:f>'souhrnná výkonnost 3'!$C$14:$C$35</c:f>
              <c:numCache>
                <c:formatCode>#\ ##0.0</c:formatCode>
                <c:ptCount val="22"/>
                <c:pt idx="0">
                  <c:v>1.5996926444217838</c:v>
                </c:pt>
                <c:pt idx="1">
                  <c:v>2.4019552100365242</c:v>
                </c:pt>
                <c:pt idx="2">
                  <c:v>3.4030564515715609</c:v>
                </c:pt>
                <c:pt idx="3">
                  <c:v>3.4380052076485548</c:v>
                </c:pt>
                <c:pt idx="4">
                  <c:v>5.2291028386835068</c:v>
                </c:pt>
                <c:pt idx="5">
                  <c:v>5.8032839302925252</c:v>
                </c:pt>
                <c:pt idx="6">
                  <c:v>5.6129957330324842</c:v>
                </c:pt>
                <c:pt idx="7">
                  <c:v>4.9021515966682676</c:v>
                </c:pt>
                <c:pt idx="8">
                  <c:v>3.5397876725335684</c:v>
                </c:pt>
                <c:pt idx="9">
                  <c:v>2.3880974325793858</c:v>
                </c:pt>
                <c:pt idx="10">
                  <c:v>1.7456220336081141</c:v>
                </c:pt>
                <c:pt idx="11">
                  <c:v>1.7908390550106446</c:v>
                </c:pt>
                <c:pt idx="12">
                  <c:v>2.9314543599315064</c:v>
                </c:pt>
                <c:pt idx="13">
                  <c:v>5.0765771064927048</c:v>
                </c:pt>
                <c:pt idx="14">
                  <c:v>5.1042926824662569</c:v>
                </c:pt>
                <c:pt idx="15">
                  <c:v>5.0625427043874964</c:v>
                </c:pt>
                <c:pt idx="16">
                  <c:v>4.2248388331366131</c:v>
                </c:pt>
                <c:pt idx="17">
                  <c:v>2.3828601900949709</c:v>
                </c:pt>
                <c:pt idx="18">
                  <c:v>2.4575548921913328</c:v>
                </c:pt>
                <c:pt idx="19">
                  <c:v>2.7217885634296741</c:v>
                </c:pt>
                <c:pt idx="20">
                  <c:v>2.7212412798963364</c:v>
                </c:pt>
                <c:pt idx="21">
                  <c:v>2.7413440229468602</c:v>
                </c:pt>
              </c:numCache>
            </c:numRef>
          </c:val>
          <c:smooth val="0"/>
          <c:extLst>
            <c:ext xmlns:c16="http://schemas.microsoft.com/office/drawing/2014/chart" uri="{C3380CC4-5D6E-409C-BE32-E72D297353CC}">
              <c16:uniqueId val="{00000004-ED82-48F1-883D-1EF553C06F66}"/>
            </c:ext>
          </c:extLst>
        </c:ser>
        <c:dLbls>
          <c:showLegendKey val="0"/>
          <c:showVal val="0"/>
          <c:showCatName val="0"/>
          <c:showSerName val="0"/>
          <c:showPercent val="0"/>
          <c:showBubbleSize val="0"/>
        </c:dLbls>
        <c:marker val="1"/>
        <c:smooth val="0"/>
        <c:axId val="115206784"/>
        <c:axId val="115286400"/>
      </c:lineChart>
      <c:catAx>
        <c:axId val="11520678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15286400"/>
        <c:crosses val="autoZero"/>
        <c:auto val="1"/>
        <c:lblAlgn val="ctr"/>
        <c:lblOffset val="100"/>
        <c:noMultiLvlLbl val="0"/>
      </c:catAx>
      <c:valAx>
        <c:axId val="115286400"/>
        <c:scaling>
          <c:orientation val="minMax"/>
          <c:max val="6"/>
          <c:min val="-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206784"/>
        <c:crosses val="autoZero"/>
        <c:crossBetween val="between"/>
        <c:majorUnit val="1"/>
      </c:valAx>
      <c:spPr>
        <a:ln>
          <a:solidFill>
            <a:schemeClr val="tx1"/>
          </a:solidFill>
        </a:ln>
      </c:spPr>
    </c:plotArea>
    <c:legend>
      <c:legendPos val="b"/>
      <c:layout>
        <c:manualLayout>
          <c:xMode val="edge"/>
          <c:yMode val="edge"/>
          <c:x val="4.4891184424094004E-2"/>
          <c:y val="0.79301446583361457"/>
          <c:w val="0.94049666651103803"/>
          <c:h val="0.1901432511538893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404035346808687E-2"/>
          <c:y val="3.7154479717354444E-2"/>
          <c:w val="0.93674937195830332"/>
          <c:h val="0.63445260610154264"/>
        </c:manualLayout>
      </c:layout>
      <c:barChart>
        <c:barDir val="col"/>
        <c:grouping val="stacked"/>
        <c:varyColors val="0"/>
        <c:ser>
          <c:idx val="4"/>
          <c:order val="0"/>
          <c:tx>
            <c:strRef>
              <c:f>'souhrnná výkonnost 4'!$C$5</c:f>
              <c:strCache>
                <c:ptCount val="1"/>
                <c:pt idx="0">
                  <c:v>Agriculture, forestry and fishing</c:v>
                </c:pt>
              </c:strCache>
            </c:strRef>
          </c:tx>
          <c:spPr>
            <a:solidFill>
              <a:srgbClr val="0071BC"/>
            </a:solidFill>
            <a:ln>
              <a:noFill/>
            </a:ln>
          </c:spPr>
          <c:invertIfNegative val="0"/>
          <c:val>
            <c:numRef>
              <c:f>'souhrnná výkonnost 4'!$C$14:$C$35</c:f>
              <c:numCache>
                <c:formatCode>#\ ##0.0</c:formatCode>
                <c:ptCount val="22"/>
                <c:pt idx="0">
                  <c:v>0.10327092328203805</c:v>
                </c:pt>
                <c:pt idx="1">
                  <c:v>0.23269520427919901</c:v>
                </c:pt>
                <c:pt idx="2">
                  <c:v>0.28194365656542186</c:v>
                </c:pt>
                <c:pt idx="3">
                  <c:v>0.24824540125917496</c:v>
                </c:pt>
                <c:pt idx="4">
                  <c:v>0.26488476717818116</c:v>
                </c:pt>
                <c:pt idx="5">
                  <c:v>0.14937649763464936</c:v>
                </c:pt>
                <c:pt idx="6">
                  <c:v>9.6966417999665405E-2</c:v>
                </c:pt>
                <c:pt idx="7">
                  <c:v>9.4772828520706967E-2</c:v>
                </c:pt>
                <c:pt idx="8">
                  <c:v>9.2617289054691895E-3</c:v>
                </c:pt>
                <c:pt idx="9">
                  <c:v>0.11882954278593576</c:v>
                </c:pt>
                <c:pt idx="10">
                  <c:v>0.1179500424922941</c:v>
                </c:pt>
                <c:pt idx="11">
                  <c:v>8.5933110555016595E-2</c:v>
                </c:pt>
                <c:pt idx="12">
                  <c:v>1.6909186239946798E-2</c:v>
                </c:pt>
                <c:pt idx="13">
                  <c:v>-8.8690400659675178E-2</c:v>
                </c:pt>
                <c:pt idx="14">
                  <c:v>-0.13529587816200261</c:v>
                </c:pt>
                <c:pt idx="15">
                  <c:v>-6.8294210603188021E-2</c:v>
                </c:pt>
                <c:pt idx="16">
                  <c:v>3.8960462204582234E-2</c:v>
                </c:pt>
                <c:pt idx="17">
                  <c:v>0.12378566298445459</c:v>
                </c:pt>
                <c:pt idx="18">
                  <c:v>0.15648257530194556</c:v>
                </c:pt>
                <c:pt idx="19">
                  <c:v>0.12916890951326251</c:v>
                </c:pt>
                <c:pt idx="20">
                  <c:v>2.7193081141595198E-2</c:v>
                </c:pt>
                <c:pt idx="21">
                  <c:v>8.8526601742444058E-4</c:v>
                </c:pt>
              </c:numCache>
            </c:numRef>
          </c:val>
          <c:extLst>
            <c:ext xmlns:c16="http://schemas.microsoft.com/office/drawing/2014/chart" uri="{C3380CC4-5D6E-409C-BE32-E72D297353CC}">
              <c16:uniqueId val="{00000000-C245-48EF-9612-BD854959DA22}"/>
            </c:ext>
          </c:extLst>
        </c:ser>
        <c:ser>
          <c:idx val="3"/>
          <c:order val="1"/>
          <c:tx>
            <c:strRef>
              <c:f>'souhrnná výkonnost 4'!$D$5</c:f>
              <c:strCache>
                <c:ptCount val="1"/>
                <c:pt idx="0">
                  <c:v>Manufacturing (CZ-NACE C)</c:v>
                </c:pt>
              </c:strCache>
            </c:strRef>
          </c:tx>
          <c:spPr>
            <a:solidFill>
              <a:srgbClr val="A6CDE8"/>
            </a:solidFill>
            <a:ln>
              <a:noFill/>
            </a:ln>
          </c:spPr>
          <c:invertIfNegative val="0"/>
          <c:val>
            <c:numRef>
              <c:f>'souhrnná výkonnost 4'!$D$14:$D$35</c:f>
              <c:numCache>
                <c:formatCode>#\ ##0.0</c:formatCode>
                <c:ptCount val="22"/>
                <c:pt idx="0">
                  <c:v>0.37772844403727041</c:v>
                </c:pt>
                <c:pt idx="1">
                  <c:v>1.1859630233858338</c:v>
                </c:pt>
                <c:pt idx="2">
                  <c:v>1.9694331350285428</c:v>
                </c:pt>
                <c:pt idx="3">
                  <c:v>2.590547170334732</c:v>
                </c:pt>
                <c:pt idx="4">
                  <c:v>2.0853375744466129</c:v>
                </c:pt>
                <c:pt idx="5">
                  <c:v>1.6547798001460741</c:v>
                </c:pt>
                <c:pt idx="6">
                  <c:v>1.4179941838424874</c:v>
                </c:pt>
                <c:pt idx="7">
                  <c:v>0.68790900072214411</c:v>
                </c:pt>
                <c:pt idx="8">
                  <c:v>1.0591034012494138</c:v>
                </c:pt>
                <c:pt idx="9">
                  <c:v>0.5867302263387868</c:v>
                </c:pt>
                <c:pt idx="10">
                  <c:v>0.78315181184320182</c:v>
                </c:pt>
                <c:pt idx="11">
                  <c:v>1.0288044701183445</c:v>
                </c:pt>
                <c:pt idx="12">
                  <c:v>1.9014811175486177</c:v>
                </c:pt>
                <c:pt idx="13">
                  <c:v>3.4162633442734411</c:v>
                </c:pt>
                <c:pt idx="14">
                  <c:v>3.6659479369014578</c:v>
                </c:pt>
                <c:pt idx="15">
                  <c:v>2.9689222489781724</c:v>
                </c:pt>
                <c:pt idx="16">
                  <c:v>1.5816741251665112</c:v>
                </c:pt>
                <c:pt idx="17">
                  <c:v>0.1688755994603568</c:v>
                </c:pt>
                <c:pt idx="18">
                  <c:v>-0.21481541503282964</c:v>
                </c:pt>
                <c:pt idx="19">
                  <c:v>0.1752680956175651</c:v>
                </c:pt>
                <c:pt idx="20">
                  <c:v>0.21584488801900537</c:v>
                </c:pt>
                <c:pt idx="21">
                  <c:v>0.30407614229844987</c:v>
                </c:pt>
              </c:numCache>
            </c:numRef>
          </c:val>
          <c:extLst>
            <c:ext xmlns:c16="http://schemas.microsoft.com/office/drawing/2014/chart" uri="{C3380CC4-5D6E-409C-BE32-E72D297353CC}">
              <c16:uniqueId val="{00000001-C245-48EF-9612-BD854959DA22}"/>
            </c:ext>
          </c:extLst>
        </c:ser>
        <c:ser>
          <c:idx val="2"/>
          <c:order val="2"/>
          <c:tx>
            <c:strRef>
              <c:f>'souhrnná výkonnost 4'!$E$5</c:f>
              <c:strCache>
                <c:ptCount val="1"/>
                <c:pt idx="0">
                  <c:v>Other industrial branches (CZ-NACE B,D,E)</c:v>
                </c:pt>
              </c:strCache>
            </c:strRef>
          </c:tx>
          <c:spPr>
            <a:solidFill>
              <a:srgbClr val="BD1B21"/>
            </a:solidFill>
            <a:ln>
              <a:noFill/>
            </a:ln>
          </c:spPr>
          <c:invertIfNegative val="0"/>
          <c:val>
            <c:numRef>
              <c:f>'souhrnná výkonnost 4'!$E$14:$E$35</c:f>
              <c:numCache>
                <c:formatCode>#\ ##0.0</c:formatCode>
                <c:ptCount val="22"/>
                <c:pt idx="0">
                  <c:v>0.3608155675574945</c:v>
                </c:pt>
                <c:pt idx="1">
                  <c:v>0.11006534446942351</c:v>
                </c:pt>
                <c:pt idx="2">
                  <c:v>-0.10139412231119316</c:v>
                </c:pt>
                <c:pt idx="3">
                  <c:v>-0.15771568852179829</c:v>
                </c:pt>
                <c:pt idx="4">
                  <c:v>-0.11854975317179695</c:v>
                </c:pt>
                <c:pt idx="5">
                  <c:v>7.3689959050415865E-3</c:v>
                </c:pt>
                <c:pt idx="6">
                  <c:v>1.577259276174181E-2</c:v>
                </c:pt>
                <c:pt idx="7">
                  <c:v>-0.11849296922241881</c:v>
                </c:pt>
                <c:pt idx="8">
                  <c:v>-0.45840008569885049</c:v>
                </c:pt>
                <c:pt idx="9">
                  <c:v>-0.32277980992720601</c:v>
                </c:pt>
                <c:pt idx="10">
                  <c:v>-0.37877808538695645</c:v>
                </c:pt>
                <c:pt idx="11">
                  <c:v>-0.13516879223333889</c:v>
                </c:pt>
                <c:pt idx="12">
                  <c:v>5.6139586677967923E-2</c:v>
                </c:pt>
                <c:pt idx="13">
                  <c:v>4.5408532664137358E-2</c:v>
                </c:pt>
                <c:pt idx="14">
                  <c:v>6.7395007635146609E-2</c:v>
                </c:pt>
                <c:pt idx="15">
                  <c:v>-2.5818451146600196E-2</c:v>
                </c:pt>
                <c:pt idx="16">
                  <c:v>-0.1924556088334417</c:v>
                </c:pt>
                <c:pt idx="17">
                  <c:v>-0.14766650544396429</c:v>
                </c:pt>
                <c:pt idx="18" formatCode="General">
                  <c:v>2.1403533574316375E-2</c:v>
                </c:pt>
                <c:pt idx="19" formatCode="General">
                  <c:v>-0.13177741234172102</c:v>
                </c:pt>
                <c:pt idx="20" formatCode="General">
                  <c:v>9.4498946107291204E-2</c:v>
                </c:pt>
                <c:pt idx="21" formatCode="General">
                  <c:v>3.8853351238719858E-2</c:v>
                </c:pt>
              </c:numCache>
            </c:numRef>
          </c:val>
          <c:extLst>
            <c:ext xmlns:c16="http://schemas.microsoft.com/office/drawing/2014/chart" uri="{C3380CC4-5D6E-409C-BE32-E72D297353CC}">
              <c16:uniqueId val="{00000002-C245-48EF-9612-BD854959DA22}"/>
            </c:ext>
          </c:extLst>
        </c:ser>
        <c:ser>
          <c:idx val="1"/>
          <c:order val="3"/>
          <c:tx>
            <c:strRef>
              <c:f>'souhrnná výkonnost 4'!$F$5</c:f>
              <c:strCache>
                <c:ptCount val="1"/>
                <c:pt idx="0">
                  <c:v>Construction</c:v>
                </c:pt>
              </c:strCache>
            </c:strRef>
          </c:tx>
          <c:spPr>
            <a:solidFill>
              <a:srgbClr val="E8AFB2"/>
            </a:solidFill>
            <a:ln>
              <a:noFill/>
            </a:ln>
          </c:spPr>
          <c:invertIfNegative val="0"/>
          <c:val>
            <c:numRef>
              <c:f>'souhrnná výkonnost 4'!$F$14:$F$35</c:f>
              <c:numCache>
                <c:formatCode>#\ ##0.0</c:formatCode>
                <c:ptCount val="22"/>
                <c:pt idx="0">
                  <c:v>0.21797461545334479</c:v>
                </c:pt>
                <c:pt idx="1">
                  <c:v>8.7245853666114953E-2</c:v>
                </c:pt>
                <c:pt idx="2">
                  <c:v>3.407524595211904E-2</c:v>
                </c:pt>
                <c:pt idx="3">
                  <c:v>0.11666973663550313</c:v>
                </c:pt>
                <c:pt idx="4">
                  <c:v>0.10676390935480391</c:v>
                </c:pt>
                <c:pt idx="5">
                  <c:v>0.2619609483036206</c:v>
                </c:pt>
                <c:pt idx="6">
                  <c:v>0.35820100044646264</c:v>
                </c:pt>
                <c:pt idx="7">
                  <c:v>0.16119763626367817</c:v>
                </c:pt>
                <c:pt idx="8">
                  <c:v>-5.2843035168138069E-2</c:v>
                </c:pt>
                <c:pt idx="9">
                  <c:v>-0.24822494305434156</c:v>
                </c:pt>
                <c:pt idx="10">
                  <c:v>-0.29361776933343098</c:v>
                </c:pt>
                <c:pt idx="11">
                  <c:v>-0.26115196629258625</c:v>
                </c:pt>
                <c:pt idx="12">
                  <c:v>-0.2129542180071034</c:v>
                </c:pt>
                <c:pt idx="13">
                  <c:v>-8.9751860647489481E-2</c:v>
                </c:pt>
                <c:pt idx="14">
                  <c:v>-0.16586698089946564</c:v>
                </c:pt>
                <c:pt idx="15">
                  <c:v>-5.0194681461820163E-2</c:v>
                </c:pt>
                <c:pt idx="16">
                  <c:v>0.19910605697994427</c:v>
                </c:pt>
                <c:pt idx="17">
                  <c:v>0.20565933610789811</c:v>
                </c:pt>
                <c:pt idx="18">
                  <c:v>0.21938141668271571</c:v>
                </c:pt>
                <c:pt idx="19">
                  <c:v>0.23343340116623534</c:v>
                </c:pt>
                <c:pt idx="20">
                  <c:v>0.14815222326407376</c:v>
                </c:pt>
                <c:pt idx="21">
                  <c:v>0.20485653096897211</c:v>
                </c:pt>
              </c:numCache>
            </c:numRef>
          </c:val>
          <c:extLst>
            <c:ext xmlns:c16="http://schemas.microsoft.com/office/drawing/2014/chart" uri="{C3380CC4-5D6E-409C-BE32-E72D297353CC}">
              <c16:uniqueId val="{00000003-C245-48EF-9612-BD854959DA22}"/>
            </c:ext>
          </c:extLst>
        </c:ser>
        <c:ser>
          <c:idx val="0"/>
          <c:order val="4"/>
          <c:tx>
            <c:strRef>
              <c:f>'souhrnná výkonnost 4'!$G$5</c:f>
              <c:strCache>
                <c:ptCount val="1"/>
                <c:pt idx="0">
                  <c:v>Services (CZ-NACE G to U)</c:v>
                </c:pt>
              </c:strCache>
            </c:strRef>
          </c:tx>
          <c:spPr>
            <a:solidFill>
              <a:srgbClr val="7DBB2D"/>
            </a:solidFill>
            <a:ln>
              <a:noFill/>
            </a:ln>
          </c:spPr>
          <c:invertIfNegative val="0"/>
          <c:val>
            <c:numRef>
              <c:f>'souhrnná výkonnost 4'!$G$14:$G$35</c:f>
              <c:numCache>
                <c:formatCode>#\ ##0.0</c:formatCode>
                <c:ptCount val="22"/>
                <c:pt idx="0">
                  <c:v>1.2434826511850188</c:v>
                </c:pt>
                <c:pt idx="1">
                  <c:v>1.3514601452448771</c:v>
                </c:pt>
                <c:pt idx="2">
                  <c:v>1.6168480473690585</c:v>
                </c:pt>
                <c:pt idx="3">
                  <c:v>1.7199521082386058</c:v>
                </c:pt>
                <c:pt idx="4">
                  <c:v>2.2917081080484563</c:v>
                </c:pt>
                <c:pt idx="5">
                  <c:v>2.9901246400384922</c:v>
                </c:pt>
                <c:pt idx="6">
                  <c:v>3.2954653819015496</c:v>
                </c:pt>
                <c:pt idx="7">
                  <c:v>3.535624529029278</c:v>
                </c:pt>
                <c:pt idx="8">
                  <c:v>2.7999825116109527</c:v>
                </c:pt>
                <c:pt idx="9">
                  <c:v>2.1504529950714986</c:v>
                </c:pt>
                <c:pt idx="10">
                  <c:v>1.3738877136861198</c:v>
                </c:pt>
                <c:pt idx="11">
                  <c:v>1.2095386101609742</c:v>
                </c:pt>
                <c:pt idx="12">
                  <c:v>1.1064902043523361</c:v>
                </c:pt>
                <c:pt idx="13">
                  <c:v>1.8087747852385416</c:v>
                </c:pt>
                <c:pt idx="14">
                  <c:v>1.6580786696561369</c:v>
                </c:pt>
                <c:pt idx="15">
                  <c:v>1.9330776126520761</c:v>
                </c:pt>
                <c:pt idx="16">
                  <c:v>2.5692836495114437</c:v>
                </c:pt>
                <c:pt idx="17">
                  <c:v>2.1524303825686846</c:v>
                </c:pt>
                <c:pt idx="18" formatCode="General">
                  <c:v>2.5159361547441597</c:v>
                </c:pt>
                <c:pt idx="19" formatCode="General">
                  <c:v>2.5941410859405658</c:v>
                </c:pt>
                <c:pt idx="20" formatCode="General">
                  <c:v>2.2633001231469154</c:v>
                </c:pt>
                <c:pt idx="21" formatCode="General">
                  <c:v>2.2694961713576802</c:v>
                </c:pt>
              </c:numCache>
            </c:numRef>
          </c:val>
          <c:extLst>
            <c:ext xmlns:c16="http://schemas.microsoft.com/office/drawing/2014/chart" uri="{C3380CC4-5D6E-409C-BE32-E72D297353CC}">
              <c16:uniqueId val="{00000004-C245-48EF-9612-BD854959DA22}"/>
            </c:ext>
          </c:extLst>
        </c:ser>
        <c:dLbls>
          <c:showLegendKey val="0"/>
          <c:showVal val="0"/>
          <c:showCatName val="0"/>
          <c:showSerName val="0"/>
          <c:showPercent val="0"/>
          <c:showBubbleSize val="0"/>
        </c:dLbls>
        <c:gapWidth val="70"/>
        <c:overlap val="100"/>
        <c:axId val="115446144"/>
        <c:axId val="115447680"/>
      </c:barChart>
      <c:lineChart>
        <c:grouping val="standard"/>
        <c:varyColors val="0"/>
        <c:ser>
          <c:idx val="5"/>
          <c:order val="5"/>
          <c:tx>
            <c:strRef>
              <c:f>'souhrnná výkonnost 4'!$H$5</c:f>
              <c:strCache>
                <c:ptCount val="1"/>
                <c:pt idx="0">
                  <c:v>Total gross value added</c:v>
                </c:pt>
              </c:strCache>
            </c:strRef>
          </c:tx>
          <c:spPr>
            <a:ln w="19050">
              <a:solidFill>
                <a:prstClr val="black"/>
              </a:solidFill>
            </a:ln>
          </c:spPr>
          <c:marker>
            <c:symbol val="none"/>
          </c:marker>
          <c:cat>
            <c:multiLvlStrRef>
              <c:f>'souhrnná výkonnost 4'!$A$14:$B$35</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2014</c:v>
                  </c:pt>
                  <c:pt idx="4">
                    <c:v>2015</c:v>
                  </c:pt>
                  <c:pt idx="8">
                    <c:v>2016</c:v>
                  </c:pt>
                  <c:pt idx="12">
                    <c:v>2017</c:v>
                  </c:pt>
                  <c:pt idx="16">
                    <c:v>2018</c:v>
                  </c:pt>
                  <c:pt idx="20">
                    <c:v>2019</c:v>
                  </c:pt>
                </c:lvl>
              </c:multiLvlStrCache>
            </c:multiLvlStrRef>
          </c:cat>
          <c:val>
            <c:numRef>
              <c:f>'souhrnná výkonnost 4'!$H$14:$H$35</c:f>
              <c:numCache>
                <c:formatCode>#\ ##0.0</c:formatCode>
                <c:ptCount val="22"/>
                <c:pt idx="0">
                  <c:v>2.3242841787100321</c:v>
                </c:pt>
                <c:pt idx="1">
                  <c:v>2.9725274544266607</c:v>
                </c:pt>
                <c:pt idx="2">
                  <c:v>3.7839037019436175</c:v>
                </c:pt>
                <c:pt idx="3">
                  <c:v>4.5087488484021181</c:v>
                </c:pt>
                <c:pt idx="4">
                  <c:v>4.6270602982207683</c:v>
                </c:pt>
                <c:pt idx="5">
                  <c:v>5.0629663100968214</c:v>
                </c:pt>
                <c:pt idx="6">
                  <c:v>5.1769007152332058</c:v>
                </c:pt>
                <c:pt idx="7">
                  <c:v>4.3720275458483702</c:v>
                </c:pt>
                <c:pt idx="8">
                  <c:v>3.3567498013625565</c:v>
                </c:pt>
                <c:pt idx="9">
                  <c:v>2.289291706533684</c:v>
                </c:pt>
                <c:pt idx="10">
                  <c:v>1.6037778448951614</c:v>
                </c:pt>
                <c:pt idx="11">
                  <c:v>1.9229100966025685</c:v>
                </c:pt>
                <c:pt idx="12">
                  <c:v>2.8822275179092918</c:v>
                </c:pt>
                <c:pt idx="13">
                  <c:v>5.093179912332177</c:v>
                </c:pt>
                <c:pt idx="14">
                  <c:v>5.0870741968675555</c:v>
                </c:pt>
                <c:pt idx="15">
                  <c:v>4.7457436307008285</c:v>
                </c:pt>
                <c:pt idx="16">
                  <c:v>4.2495418771359761</c:v>
                </c:pt>
                <c:pt idx="17">
                  <c:v>2.5029054501668306</c:v>
                </c:pt>
                <c:pt idx="18">
                  <c:v>2.6649611925711088</c:v>
                </c:pt>
                <c:pt idx="19">
                  <c:v>2.9824160583843935</c:v>
                </c:pt>
                <c:pt idx="20">
                  <c:v>2.7479648934525756</c:v>
                </c:pt>
                <c:pt idx="21">
                  <c:v>2.8237163569317469</c:v>
                </c:pt>
              </c:numCache>
            </c:numRef>
          </c:val>
          <c:smooth val="0"/>
          <c:extLst>
            <c:ext xmlns:c16="http://schemas.microsoft.com/office/drawing/2014/chart" uri="{C3380CC4-5D6E-409C-BE32-E72D297353CC}">
              <c16:uniqueId val="{00000005-C245-48EF-9612-BD854959DA22}"/>
            </c:ext>
          </c:extLst>
        </c:ser>
        <c:dLbls>
          <c:showLegendKey val="0"/>
          <c:showVal val="0"/>
          <c:showCatName val="0"/>
          <c:showSerName val="0"/>
          <c:showPercent val="0"/>
          <c:showBubbleSize val="0"/>
        </c:dLbls>
        <c:marker val="1"/>
        <c:smooth val="0"/>
        <c:axId val="115446144"/>
        <c:axId val="115447680"/>
      </c:lineChart>
      <c:catAx>
        <c:axId val="11544614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15447680"/>
        <c:crosses val="autoZero"/>
        <c:auto val="1"/>
        <c:lblAlgn val="ctr"/>
        <c:lblOffset val="100"/>
        <c:noMultiLvlLbl val="0"/>
      </c:catAx>
      <c:valAx>
        <c:axId val="115447680"/>
        <c:scaling>
          <c:orientation val="minMax"/>
          <c:max val="6"/>
          <c:min val="-3"/>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446144"/>
        <c:crosses val="autoZero"/>
        <c:crossBetween val="between"/>
        <c:majorUnit val="1"/>
      </c:valAx>
      <c:spPr>
        <a:ln>
          <a:solidFill>
            <a:schemeClr val="tx1"/>
          </a:solidFill>
        </a:ln>
      </c:spPr>
    </c:plotArea>
    <c:legend>
      <c:legendPos val="b"/>
      <c:layout>
        <c:manualLayout>
          <c:xMode val="edge"/>
          <c:yMode val="edge"/>
          <c:x val="4.8782884397989404E-2"/>
          <c:y val="0.79016604750647301"/>
          <c:w val="0.92922619274506457"/>
          <c:h val="0.19462484520995055"/>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2768470688525411E-2"/>
          <c:y val="1.6203558522131581E-2"/>
          <c:w val="0.94015567663973465"/>
          <c:h val="0.71950593410789765"/>
        </c:manualLayout>
      </c:layout>
      <c:barChart>
        <c:barDir val="col"/>
        <c:grouping val="stacked"/>
        <c:varyColors val="0"/>
        <c:ser>
          <c:idx val="0"/>
          <c:order val="0"/>
          <c:tx>
            <c:strRef>
              <c:f>'GRAF příspěvky IPP'!$A$27</c:f>
              <c:strCache>
                <c:ptCount val="1"/>
                <c:pt idx="0">
                  <c:v>Manufacture of transport equipment (29+30)</c:v>
                </c:pt>
              </c:strCache>
            </c:strRef>
          </c:tx>
          <c:spPr>
            <a:solidFill>
              <a:srgbClr val="E8AFB2"/>
            </a:solidFill>
          </c:spPr>
          <c:invertIfNegative val="0"/>
          <c:cat>
            <c:multiLvlStrRef>
              <c:f>'GRAF příspěvky IPP'!$B$25:$AI$26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IPP'!$B$27:$AI$27</c:f>
              <c:numCache>
                <c:formatCode>0.0</c:formatCode>
                <c:ptCount val="34"/>
                <c:pt idx="0">
                  <c:v>5.2078736853779173</c:v>
                </c:pt>
                <c:pt idx="1">
                  <c:v>4.1223648273779991</c:v>
                </c:pt>
                <c:pt idx="2">
                  <c:v>3.63477216157156</c:v>
                </c:pt>
                <c:pt idx="3">
                  <c:v>3.2216361743132538</c:v>
                </c:pt>
                <c:pt idx="4">
                  <c:v>2.2277089061298581</c:v>
                </c:pt>
                <c:pt idx="5">
                  <c:v>1.0445407965040034</c:v>
                </c:pt>
                <c:pt idx="6">
                  <c:v>-0.44415991740409522</c:v>
                </c:pt>
                <c:pt idx="7">
                  <c:v>-1.7046426167277111</c:v>
                </c:pt>
                <c:pt idx="8">
                  <c:v>-2.8402152771046563</c:v>
                </c:pt>
                <c:pt idx="9">
                  <c:v>-1.1163342815363446</c:v>
                </c:pt>
                <c:pt idx="10">
                  <c:v>0.6644282664004616</c:v>
                </c:pt>
                <c:pt idx="11">
                  <c:v>1.8881189084849743</c:v>
                </c:pt>
                <c:pt idx="12">
                  <c:v>3.5567942882522487</c:v>
                </c:pt>
                <c:pt idx="13">
                  <c:v>2.2505867525367846</c:v>
                </c:pt>
                <c:pt idx="14">
                  <c:v>1.7903943475924651</c:v>
                </c:pt>
                <c:pt idx="15">
                  <c:v>1.535644409665273</c:v>
                </c:pt>
                <c:pt idx="16">
                  <c:v>1.5449159659659168</c:v>
                </c:pt>
                <c:pt idx="17">
                  <c:v>2.1749281656592205</c:v>
                </c:pt>
                <c:pt idx="18">
                  <c:v>2.3300582377623109</c:v>
                </c:pt>
                <c:pt idx="19">
                  <c:v>2.8883547821003916</c:v>
                </c:pt>
                <c:pt idx="20">
                  <c:v>3.2974613335821723</c:v>
                </c:pt>
                <c:pt idx="21">
                  <c:v>2.7788016600022574</c:v>
                </c:pt>
                <c:pt idx="22">
                  <c:v>1.4641693240331413</c:v>
                </c:pt>
                <c:pt idx="23">
                  <c:v>1.0301621596218218</c:v>
                </c:pt>
                <c:pt idx="24">
                  <c:v>1.8188073708028707</c:v>
                </c:pt>
                <c:pt idx="25">
                  <c:v>2.0559452389437172</c:v>
                </c:pt>
                <c:pt idx="26">
                  <c:v>1.5681820744985684</c:v>
                </c:pt>
                <c:pt idx="27">
                  <c:v>1.6876490608562387</c:v>
                </c:pt>
                <c:pt idx="28">
                  <c:v>0.71498061102748001</c:v>
                </c:pt>
                <c:pt idx="29">
                  <c:v>0.55805449948842001</c:v>
                </c:pt>
                <c:pt idx="30">
                  <c:v>0.241155060823256</c:v>
                </c:pt>
                <c:pt idx="31">
                  <c:v>0.99609085179209589</c:v>
                </c:pt>
                <c:pt idx="32">
                  <c:v>-8.6132710841522284E-2</c:v>
                </c:pt>
                <c:pt idx="33">
                  <c:v>0.56916600963666997</c:v>
                </c:pt>
              </c:numCache>
            </c:numRef>
          </c:val>
          <c:extLst>
            <c:ext xmlns:c16="http://schemas.microsoft.com/office/drawing/2014/chart" uri="{C3380CC4-5D6E-409C-BE32-E72D297353CC}">
              <c16:uniqueId val="{00000000-67C8-411F-86A5-A0EBBB2CED68}"/>
            </c:ext>
          </c:extLst>
        </c:ser>
        <c:ser>
          <c:idx val="1"/>
          <c:order val="1"/>
          <c:tx>
            <c:strRef>
              <c:f>'GRAF příspěvky IPP'!$A$28</c:f>
              <c:strCache>
                <c:ptCount val="1"/>
                <c:pt idx="0">
                  <c:v>Rubber, electro technical ind. (22+27)</c:v>
                </c:pt>
              </c:strCache>
            </c:strRef>
          </c:tx>
          <c:spPr>
            <a:solidFill>
              <a:srgbClr val="BD1B21"/>
            </a:solidFill>
          </c:spPr>
          <c:invertIfNegative val="0"/>
          <c:cat>
            <c:multiLvlStrRef>
              <c:f>'GRAF příspěvky IPP'!$B$25:$AI$26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IPP'!$B$28:$AI$28</c:f>
              <c:numCache>
                <c:formatCode>0.0</c:formatCode>
                <c:ptCount val="34"/>
                <c:pt idx="0">
                  <c:v>1.8195799141685121</c:v>
                </c:pt>
                <c:pt idx="1">
                  <c:v>1.4264054755235898</c:v>
                </c:pt>
                <c:pt idx="2">
                  <c:v>0.48607353269968806</c:v>
                </c:pt>
                <c:pt idx="3">
                  <c:v>0.58156552967788966</c:v>
                </c:pt>
                <c:pt idx="4">
                  <c:v>0.85798481430169571</c:v>
                </c:pt>
                <c:pt idx="5">
                  <c:v>0.68171577064529831</c:v>
                </c:pt>
                <c:pt idx="6">
                  <c:v>1.072037862747427</c:v>
                </c:pt>
                <c:pt idx="7">
                  <c:v>-0.46173310094024295</c:v>
                </c:pt>
                <c:pt idx="8">
                  <c:v>-0.34213672064681983</c:v>
                </c:pt>
                <c:pt idx="9">
                  <c:v>-0.29940942958869421</c:v>
                </c:pt>
                <c:pt idx="10">
                  <c:v>0.37461822657534871</c:v>
                </c:pt>
                <c:pt idx="11">
                  <c:v>0.67650313777163307</c:v>
                </c:pt>
                <c:pt idx="12">
                  <c:v>1.189030233896462</c:v>
                </c:pt>
                <c:pt idx="13">
                  <c:v>1.3176011911030265</c:v>
                </c:pt>
                <c:pt idx="14">
                  <c:v>0.16521296223436649</c:v>
                </c:pt>
                <c:pt idx="15">
                  <c:v>0.7937264559340933</c:v>
                </c:pt>
                <c:pt idx="16">
                  <c:v>1.0321564707423598</c:v>
                </c:pt>
                <c:pt idx="17">
                  <c:v>1.2396893147517036</c:v>
                </c:pt>
                <c:pt idx="18">
                  <c:v>1.4257126645761891</c:v>
                </c:pt>
                <c:pt idx="19">
                  <c:v>0.62646054654871031</c:v>
                </c:pt>
                <c:pt idx="20">
                  <c:v>0.70239864046330858</c:v>
                </c:pt>
                <c:pt idx="21">
                  <c:v>0.14957031030982187</c:v>
                </c:pt>
                <c:pt idx="22">
                  <c:v>0.27646532302098098</c:v>
                </c:pt>
                <c:pt idx="23">
                  <c:v>0.42916912474109054</c:v>
                </c:pt>
                <c:pt idx="24">
                  <c:v>0.91361476755678694</c:v>
                </c:pt>
                <c:pt idx="25">
                  <c:v>1.458720321695594</c:v>
                </c:pt>
                <c:pt idx="26">
                  <c:v>0.87170226971120912</c:v>
                </c:pt>
                <c:pt idx="27">
                  <c:v>1.646875240438054</c:v>
                </c:pt>
                <c:pt idx="28">
                  <c:v>0.99783080896461818</c:v>
                </c:pt>
                <c:pt idx="29">
                  <c:v>0.32849870801825526</c:v>
                </c:pt>
                <c:pt idx="30">
                  <c:v>0.43596693830578048</c:v>
                </c:pt>
                <c:pt idx="31">
                  <c:v>-6.0458230769583426E-2</c:v>
                </c:pt>
                <c:pt idx="32">
                  <c:v>-4.4370934847998464E-2</c:v>
                </c:pt>
                <c:pt idx="33">
                  <c:v>0.60878990989004989</c:v>
                </c:pt>
              </c:numCache>
            </c:numRef>
          </c:val>
          <c:extLst>
            <c:ext xmlns:c16="http://schemas.microsoft.com/office/drawing/2014/chart" uri="{C3380CC4-5D6E-409C-BE32-E72D297353CC}">
              <c16:uniqueId val="{00000001-67C8-411F-86A5-A0EBBB2CED68}"/>
            </c:ext>
          </c:extLst>
        </c:ser>
        <c:ser>
          <c:idx val="2"/>
          <c:order val="2"/>
          <c:tx>
            <c:strRef>
              <c:f>'GRAF příspěvky IPP'!$A$29</c:f>
              <c:strCache>
                <c:ptCount val="1"/>
                <c:pt idx="0">
                  <c:v>Machinery (28)</c:v>
                </c:pt>
              </c:strCache>
            </c:strRef>
          </c:tx>
          <c:spPr>
            <a:solidFill>
              <a:srgbClr val="BFE3F7"/>
            </a:solidFill>
          </c:spPr>
          <c:invertIfNegative val="0"/>
          <c:cat>
            <c:multiLvlStrRef>
              <c:f>'GRAF příspěvky IPP'!$B$25:$AI$26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IPP'!$B$29:$AI$29</c:f>
              <c:numCache>
                <c:formatCode>0.0</c:formatCode>
                <c:ptCount val="34"/>
                <c:pt idx="0">
                  <c:v>1.2645058188207068</c:v>
                </c:pt>
                <c:pt idx="1">
                  <c:v>1.2866524900119543</c:v>
                </c:pt>
                <c:pt idx="2">
                  <c:v>0.321758166889757</c:v>
                </c:pt>
                <c:pt idx="3">
                  <c:v>0.69985382932741536</c:v>
                </c:pt>
                <c:pt idx="4">
                  <c:v>0.51520520797066272</c:v>
                </c:pt>
                <c:pt idx="5">
                  <c:v>0.26610955621310539</c:v>
                </c:pt>
                <c:pt idx="6">
                  <c:v>0.23285855695515315</c:v>
                </c:pt>
                <c:pt idx="7">
                  <c:v>-0.14103398862933006</c:v>
                </c:pt>
                <c:pt idx="8">
                  <c:v>8.1772139521772438E-2</c:v>
                </c:pt>
                <c:pt idx="9">
                  <c:v>0.2046260235658918</c:v>
                </c:pt>
                <c:pt idx="10">
                  <c:v>-2.2418720279356572E-2</c:v>
                </c:pt>
                <c:pt idx="11">
                  <c:v>0.65142852885825009</c:v>
                </c:pt>
                <c:pt idx="12">
                  <c:v>0.21304347589519865</c:v>
                </c:pt>
                <c:pt idx="13">
                  <c:v>0.40549290927749476</c:v>
                </c:pt>
                <c:pt idx="14">
                  <c:v>0.20916730701816877</c:v>
                </c:pt>
                <c:pt idx="15">
                  <c:v>0.32933361982312465</c:v>
                </c:pt>
                <c:pt idx="16">
                  <c:v>0.27334106694035171</c:v>
                </c:pt>
                <c:pt idx="17">
                  <c:v>0.29428298533741609</c:v>
                </c:pt>
                <c:pt idx="18">
                  <c:v>0.38533015320769515</c:v>
                </c:pt>
                <c:pt idx="19">
                  <c:v>1.9183488529804775E-2</c:v>
                </c:pt>
                <c:pt idx="20">
                  <c:v>0.36307045023871931</c:v>
                </c:pt>
                <c:pt idx="21">
                  <c:v>-6.7572945378872373E-2</c:v>
                </c:pt>
                <c:pt idx="22">
                  <c:v>0.19574075945275773</c:v>
                </c:pt>
                <c:pt idx="23">
                  <c:v>0.31979046599858157</c:v>
                </c:pt>
                <c:pt idx="24">
                  <c:v>0.3600654733750322</c:v>
                </c:pt>
                <c:pt idx="25">
                  <c:v>1.0705741294559918</c:v>
                </c:pt>
                <c:pt idx="26">
                  <c:v>0.84942343358716554</c:v>
                </c:pt>
                <c:pt idx="27">
                  <c:v>0.80110319510701655</c:v>
                </c:pt>
                <c:pt idx="28">
                  <c:v>0.47293555109852903</c:v>
                </c:pt>
                <c:pt idx="29">
                  <c:v>0.14495560013543887</c:v>
                </c:pt>
                <c:pt idx="30">
                  <c:v>0.18781910745101171</c:v>
                </c:pt>
                <c:pt idx="31">
                  <c:v>-0.19409151970696684</c:v>
                </c:pt>
                <c:pt idx="32">
                  <c:v>3.9832749225266383E-2</c:v>
                </c:pt>
                <c:pt idx="33">
                  <c:v>-0.15377082422268057</c:v>
                </c:pt>
              </c:numCache>
            </c:numRef>
          </c:val>
          <c:extLst>
            <c:ext xmlns:c16="http://schemas.microsoft.com/office/drawing/2014/chart" uri="{C3380CC4-5D6E-409C-BE32-E72D297353CC}">
              <c16:uniqueId val="{00000002-67C8-411F-86A5-A0EBBB2CED68}"/>
            </c:ext>
          </c:extLst>
        </c:ser>
        <c:ser>
          <c:idx val="3"/>
          <c:order val="3"/>
          <c:tx>
            <c:strRef>
              <c:f>'GRAF příspěvky IPP'!$A$30</c:f>
              <c:strCache>
                <c:ptCount val="1"/>
                <c:pt idx="0">
                  <c:v>Fabricated metal product industry (25)</c:v>
                </c:pt>
              </c:strCache>
            </c:strRef>
          </c:tx>
          <c:spPr>
            <a:solidFill>
              <a:srgbClr val="48AEE7"/>
            </a:solidFill>
          </c:spPr>
          <c:invertIfNegative val="0"/>
          <c:cat>
            <c:multiLvlStrRef>
              <c:f>'GRAF příspěvky IPP'!$B$25:$AI$26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IPP'!$B$30:$AI$30</c:f>
              <c:numCache>
                <c:formatCode>0.0</c:formatCode>
                <c:ptCount val="34"/>
                <c:pt idx="0">
                  <c:v>1.3551101221058057</c:v>
                </c:pt>
                <c:pt idx="1">
                  <c:v>0.61003571461144745</c:v>
                </c:pt>
                <c:pt idx="2">
                  <c:v>6.5190052068116996E-2</c:v>
                </c:pt>
                <c:pt idx="3">
                  <c:v>-5.751285551196901E-2</c:v>
                </c:pt>
                <c:pt idx="4">
                  <c:v>-6.6831949774716279E-2</c:v>
                </c:pt>
                <c:pt idx="5">
                  <c:v>-7.2108739074927916E-2</c:v>
                </c:pt>
                <c:pt idx="6">
                  <c:v>0.10129802746367376</c:v>
                </c:pt>
                <c:pt idx="7">
                  <c:v>-0.16202794402787471</c:v>
                </c:pt>
                <c:pt idx="8">
                  <c:v>-7.7218113950844339E-2</c:v>
                </c:pt>
                <c:pt idx="9">
                  <c:v>9.8842007123154413E-2</c:v>
                </c:pt>
                <c:pt idx="10">
                  <c:v>0.38425831802453603</c:v>
                </c:pt>
                <c:pt idx="11">
                  <c:v>0.56826070473463075</c:v>
                </c:pt>
                <c:pt idx="12">
                  <c:v>0.72466030311448937</c:v>
                </c:pt>
                <c:pt idx="13">
                  <c:v>0.64070763768823902</c:v>
                </c:pt>
                <c:pt idx="14">
                  <c:v>0.13471783746278831</c:v>
                </c:pt>
                <c:pt idx="15">
                  <c:v>0.34715049391068614</c:v>
                </c:pt>
                <c:pt idx="16">
                  <c:v>0.7002997305470311</c:v>
                </c:pt>
                <c:pt idx="17">
                  <c:v>0.78598516282691366</c:v>
                </c:pt>
                <c:pt idx="18">
                  <c:v>0.92607458938072496</c:v>
                </c:pt>
                <c:pt idx="19">
                  <c:v>0.625152359437114</c:v>
                </c:pt>
                <c:pt idx="20">
                  <c:v>0.76444806762191553</c:v>
                </c:pt>
                <c:pt idx="21">
                  <c:v>0.38468982602991308</c:v>
                </c:pt>
                <c:pt idx="22">
                  <c:v>0.20052528439839029</c:v>
                </c:pt>
                <c:pt idx="23">
                  <c:v>0.2505464784956295</c:v>
                </c:pt>
                <c:pt idx="24">
                  <c:v>0.5110945332466369</c:v>
                </c:pt>
                <c:pt idx="25">
                  <c:v>0.91827111587790722</c:v>
                </c:pt>
                <c:pt idx="26">
                  <c:v>0.82344311009183468</c:v>
                </c:pt>
                <c:pt idx="27">
                  <c:v>0.97625242210301566</c:v>
                </c:pt>
                <c:pt idx="28">
                  <c:v>0.6543071266859497</c:v>
                </c:pt>
                <c:pt idx="29">
                  <c:v>0.44356446133900607</c:v>
                </c:pt>
                <c:pt idx="30">
                  <c:v>0.43396631024153715</c:v>
                </c:pt>
                <c:pt idx="31">
                  <c:v>0.16096354460868348</c:v>
                </c:pt>
                <c:pt idx="32">
                  <c:v>0.15874233353306155</c:v>
                </c:pt>
                <c:pt idx="33">
                  <c:v>-0.11206939884452095</c:v>
                </c:pt>
              </c:numCache>
            </c:numRef>
          </c:val>
          <c:extLst>
            <c:ext xmlns:c16="http://schemas.microsoft.com/office/drawing/2014/chart" uri="{C3380CC4-5D6E-409C-BE32-E72D297353CC}">
              <c16:uniqueId val="{00000003-67C8-411F-86A5-A0EBBB2CED68}"/>
            </c:ext>
          </c:extLst>
        </c:ser>
        <c:ser>
          <c:idx val="4"/>
          <c:order val="4"/>
          <c:tx>
            <c:strRef>
              <c:f>'GRAF příspěvky IPP'!$A$31</c:f>
              <c:strCache>
                <c:ptCount val="1"/>
                <c:pt idx="0">
                  <c:v>Manufact. of PC, electron.&amp; optic.prod.(26)</c:v>
                </c:pt>
              </c:strCache>
            </c:strRef>
          </c:tx>
          <c:spPr>
            <a:solidFill>
              <a:srgbClr val="FDDEB3"/>
            </a:solidFill>
          </c:spPr>
          <c:invertIfNegative val="0"/>
          <c:cat>
            <c:multiLvlStrRef>
              <c:f>'GRAF příspěvky IPP'!$B$25:$AI$26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IPP'!$B$31:$AI$31</c:f>
              <c:numCache>
                <c:formatCode>0.0</c:formatCode>
                <c:ptCount val="34"/>
                <c:pt idx="0">
                  <c:v>0.46663673326552113</c:v>
                </c:pt>
                <c:pt idx="1">
                  <c:v>0.23034504225594873</c:v>
                </c:pt>
                <c:pt idx="2">
                  <c:v>-0.24128462562357822</c:v>
                </c:pt>
                <c:pt idx="3">
                  <c:v>-0.7801555412140766</c:v>
                </c:pt>
                <c:pt idx="4">
                  <c:v>-0.63255602460385418</c:v>
                </c:pt>
                <c:pt idx="5">
                  <c:v>-0.77384972458303802</c:v>
                </c:pt>
                <c:pt idx="6">
                  <c:v>-0.66432699677878693</c:v>
                </c:pt>
                <c:pt idx="7">
                  <c:v>-0.43948160779128104</c:v>
                </c:pt>
                <c:pt idx="8">
                  <c:v>0.1743274886505129</c:v>
                </c:pt>
                <c:pt idx="9">
                  <c:v>0.20848577844563423</c:v>
                </c:pt>
                <c:pt idx="10">
                  <c:v>0.28708284874337209</c:v>
                </c:pt>
                <c:pt idx="11">
                  <c:v>0.3710677945253662</c:v>
                </c:pt>
                <c:pt idx="12">
                  <c:v>0.25462016960863021</c:v>
                </c:pt>
                <c:pt idx="13">
                  <c:v>0.35946957764943493</c:v>
                </c:pt>
                <c:pt idx="14">
                  <c:v>0.24902596442701128</c:v>
                </c:pt>
                <c:pt idx="15">
                  <c:v>0.43266401321765158</c:v>
                </c:pt>
                <c:pt idx="16">
                  <c:v>0.10098933939964477</c:v>
                </c:pt>
                <c:pt idx="17">
                  <c:v>1.4989983457542287E-2</c:v>
                </c:pt>
                <c:pt idx="18">
                  <c:v>4.8131776575975969E-2</c:v>
                </c:pt>
                <c:pt idx="19">
                  <c:v>-7.7003986202186223E-2</c:v>
                </c:pt>
                <c:pt idx="20">
                  <c:v>2.5800791974177746E-4</c:v>
                </c:pt>
                <c:pt idx="21">
                  <c:v>4.8125354447826493E-2</c:v>
                </c:pt>
                <c:pt idx="22">
                  <c:v>5.4761934658599951E-2</c:v>
                </c:pt>
                <c:pt idx="23">
                  <c:v>0.16221619241546678</c:v>
                </c:pt>
                <c:pt idx="24">
                  <c:v>0.1266562574913582</c:v>
                </c:pt>
                <c:pt idx="25">
                  <c:v>0.37648265280216536</c:v>
                </c:pt>
                <c:pt idx="26">
                  <c:v>0.23505971681229232</c:v>
                </c:pt>
                <c:pt idx="27">
                  <c:v>0.23512493906047929</c:v>
                </c:pt>
                <c:pt idx="28">
                  <c:v>0.40852046691006588</c:v>
                </c:pt>
                <c:pt idx="29">
                  <c:v>0.15013350076420762</c:v>
                </c:pt>
                <c:pt idx="30">
                  <c:v>0.63609897194166687</c:v>
                </c:pt>
                <c:pt idx="31">
                  <c:v>0.30625066072387308</c:v>
                </c:pt>
                <c:pt idx="32">
                  <c:v>0.17124652555112596</c:v>
                </c:pt>
                <c:pt idx="33">
                  <c:v>0.23737796471102149</c:v>
                </c:pt>
              </c:numCache>
            </c:numRef>
          </c:val>
          <c:extLst>
            <c:ext xmlns:c16="http://schemas.microsoft.com/office/drawing/2014/chart" uri="{C3380CC4-5D6E-409C-BE32-E72D297353CC}">
              <c16:uniqueId val="{00000004-67C8-411F-86A5-A0EBBB2CED68}"/>
            </c:ext>
          </c:extLst>
        </c:ser>
        <c:ser>
          <c:idx val="5"/>
          <c:order val="5"/>
          <c:tx>
            <c:strRef>
              <c:f>'GRAF příspěvky IPP'!$A$32</c:f>
              <c:strCache>
                <c:ptCount val="1"/>
                <c:pt idx="0">
                  <c:v>Chemical &amp; pharmaceutical ind. (20+21)</c:v>
                </c:pt>
              </c:strCache>
            </c:strRef>
          </c:tx>
          <c:spPr>
            <a:solidFill>
              <a:srgbClr val="F8A124"/>
            </a:solidFill>
          </c:spPr>
          <c:invertIfNegative val="0"/>
          <c:cat>
            <c:multiLvlStrRef>
              <c:f>'GRAF příspěvky IPP'!$B$25:$AI$26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IPP'!$B$32:$AI$32</c:f>
              <c:numCache>
                <c:formatCode>0.0</c:formatCode>
                <c:ptCount val="34"/>
                <c:pt idx="0">
                  <c:v>0.11043784960432593</c:v>
                </c:pt>
                <c:pt idx="1">
                  <c:v>-0.10773555193592807</c:v>
                </c:pt>
                <c:pt idx="2">
                  <c:v>-0.35112289109297956</c:v>
                </c:pt>
                <c:pt idx="3">
                  <c:v>-0.27826739460014194</c:v>
                </c:pt>
                <c:pt idx="4">
                  <c:v>8.4154385689483149E-2</c:v>
                </c:pt>
                <c:pt idx="5">
                  <c:v>-9.8833863523717924E-2</c:v>
                </c:pt>
                <c:pt idx="6">
                  <c:v>0.29519930148431078</c:v>
                </c:pt>
                <c:pt idx="7">
                  <c:v>8.1663941155752748E-2</c:v>
                </c:pt>
                <c:pt idx="8">
                  <c:v>-0.16442793114609983</c:v>
                </c:pt>
                <c:pt idx="9">
                  <c:v>2.7522300233105406E-2</c:v>
                </c:pt>
                <c:pt idx="10">
                  <c:v>-0.19879397802963492</c:v>
                </c:pt>
                <c:pt idx="11">
                  <c:v>0.22116665497939436</c:v>
                </c:pt>
                <c:pt idx="12">
                  <c:v>0.41666566499041086</c:v>
                </c:pt>
                <c:pt idx="13">
                  <c:v>0.29995274809874523</c:v>
                </c:pt>
                <c:pt idx="14">
                  <c:v>0.37241621238378653</c:v>
                </c:pt>
                <c:pt idx="15">
                  <c:v>0.12288921584121683</c:v>
                </c:pt>
                <c:pt idx="16">
                  <c:v>7.7350431314437765E-2</c:v>
                </c:pt>
                <c:pt idx="17">
                  <c:v>0.23593761593130141</c:v>
                </c:pt>
                <c:pt idx="18">
                  <c:v>-0.16669952986343833</c:v>
                </c:pt>
                <c:pt idx="19">
                  <c:v>-0.33320285815360856</c:v>
                </c:pt>
                <c:pt idx="20">
                  <c:v>-0.42004567083081795</c:v>
                </c:pt>
                <c:pt idx="21">
                  <c:v>-0.42026397840181545</c:v>
                </c:pt>
                <c:pt idx="22">
                  <c:v>-0.10965943805062672</c:v>
                </c:pt>
                <c:pt idx="23">
                  <c:v>0.23764174190673226</c:v>
                </c:pt>
                <c:pt idx="24">
                  <c:v>0.52969781101036639</c:v>
                </c:pt>
                <c:pt idx="25">
                  <c:v>0.81629581332897672</c:v>
                </c:pt>
                <c:pt idx="26">
                  <c:v>0.6490077008448305</c:v>
                </c:pt>
                <c:pt idx="27">
                  <c:v>0.50550039995300478</c:v>
                </c:pt>
                <c:pt idx="28">
                  <c:v>0.39836280707384325</c:v>
                </c:pt>
                <c:pt idx="29">
                  <c:v>8.2845416120803733E-2</c:v>
                </c:pt>
                <c:pt idx="30">
                  <c:v>-5.1307367148888089E-2</c:v>
                </c:pt>
                <c:pt idx="31">
                  <c:v>-6.7155755843787732E-2</c:v>
                </c:pt>
                <c:pt idx="32">
                  <c:v>0.13204723424870374</c:v>
                </c:pt>
                <c:pt idx="33">
                  <c:v>5.7929421674661752E-2</c:v>
                </c:pt>
              </c:numCache>
            </c:numRef>
          </c:val>
          <c:extLst>
            <c:ext xmlns:c16="http://schemas.microsoft.com/office/drawing/2014/chart" uri="{C3380CC4-5D6E-409C-BE32-E72D297353CC}">
              <c16:uniqueId val="{00000005-67C8-411F-86A5-A0EBBB2CED68}"/>
            </c:ext>
          </c:extLst>
        </c:ser>
        <c:ser>
          <c:idx val="6"/>
          <c:order val="6"/>
          <c:tx>
            <c:strRef>
              <c:f>'GRAF příspěvky IPP'!$A$33</c:f>
              <c:strCache>
                <c:ptCount val="1"/>
                <c:pt idx="0">
                  <c:v>Remaining manufacturing industries</c:v>
                </c:pt>
              </c:strCache>
            </c:strRef>
          </c:tx>
          <c:spPr>
            <a:solidFill>
              <a:schemeClr val="bg1">
                <a:lumMod val="85000"/>
              </a:schemeClr>
            </a:solidFill>
          </c:spPr>
          <c:invertIfNegative val="0"/>
          <c:cat>
            <c:multiLvlStrRef>
              <c:f>'GRAF příspěvky IPP'!$B$25:$AI$26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IPP'!$B$33:$AI$33</c:f>
              <c:numCache>
                <c:formatCode>0.0</c:formatCode>
                <c:ptCount val="34"/>
                <c:pt idx="0">
                  <c:v>0.37508837128330663</c:v>
                </c:pt>
                <c:pt idx="1">
                  <c:v>-0.21037755903978828</c:v>
                </c:pt>
                <c:pt idx="2">
                  <c:v>-1.5665549835303834</c:v>
                </c:pt>
                <c:pt idx="3">
                  <c:v>-0.30113263223400749</c:v>
                </c:pt>
                <c:pt idx="4">
                  <c:v>-1.2532623819644888</c:v>
                </c:pt>
                <c:pt idx="5">
                  <c:v>-0.98265973266456896</c:v>
                </c:pt>
                <c:pt idx="6">
                  <c:v>-0.65808893522855194</c:v>
                </c:pt>
                <c:pt idx="7">
                  <c:v>-1.438830240844355</c:v>
                </c:pt>
                <c:pt idx="8">
                  <c:v>-0.15438392162535836</c:v>
                </c:pt>
                <c:pt idx="9">
                  <c:v>-0.1010162046774119</c:v>
                </c:pt>
                <c:pt idx="10">
                  <c:v>0.61701582414311873</c:v>
                </c:pt>
                <c:pt idx="11">
                  <c:v>1.4236339159262776</c:v>
                </c:pt>
                <c:pt idx="12">
                  <c:v>1.2365453413042746</c:v>
                </c:pt>
                <c:pt idx="13">
                  <c:v>1.2187062503030797</c:v>
                </c:pt>
                <c:pt idx="14">
                  <c:v>0.52934645905596123</c:v>
                </c:pt>
                <c:pt idx="15">
                  <c:v>1.3518228558832672</c:v>
                </c:pt>
                <c:pt idx="16">
                  <c:v>0.99830218869293896</c:v>
                </c:pt>
                <c:pt idx="17">
                  <c:v>0.90243657634684482</c:v>
                </c:pt>
                <c:pt idx="18">
                  <c:v>0.97767572263994862</c:v>
                </c:pt>
                <c:pt idx="19">
                  <c:v>-0.2213241477378568</c:v>
                </c:pt>
                <c:pt idx="20">
                  <c:v>3.756973895839455E-2</c:v>
                </c:pt>
                <c:pt idx="21">
                  <c:v>-0.30016704241037895</c:v>
                </c:pt>
                <c:pt idx="22">
                  <c:v>4.1230596798874086E-2</c:v>
                </c:pt>
                <c:pt idx="23">
                  <c:v>0.57694869576716468</c:v>
                </c:pt>
                <c:pt idx="24">
                  <c:v>0.33188448583663555</c:v>
                </c:pt>
                <c:pt idx="25">
                  <c:v>1.4323707076505112</c:v>
                </c:pt>
                <c:pt idx="26">
                  <c:v>0.74281336901524297</c:v>
                </c:pt>
                <c:pt idx="27">
                  <c:v>0.99254851716260917</c:v>
                </c:pt>
                <c:pt idx="28">
                  <c:v>1.1174634788597479</c:v>
                </c:pt>
                <c:pt idx="29">
                  <c:v>0.68730212314303363</c:v>
                </c:pt>
                <c:pt idx="30">
                  <c:v>1.0593660710107344</c:v>
                </c:pt>
                <c:pt idx="31">
                  <c:v>0.53559797352607164</c:v>
                </c:pt>
                <c:pt idx="32">
                  <c:v>-0.32120195616733443</c:v>
                </c:pt>
                <c:pt idx="33">
                  <c:v>-0.24355661954204572</c:v>
                </c:pt>
              </c:numCache>
            </c:numRef>
          </c:val>
          <c:extLst>
            <c:ext xmlns:c16="http://schemas.microsoft.com/office/drawing/2014/chart" uri="{C3380CC4-5D6E-409C-BE32-E72D297353CC}">
              <c16:uniqueId val="{00000006-67C8-411F-86A5-A0EBBB2CED68}"/>
            </c:ext>
          </c:extLst>
        </c:ser>
        <c:ser>
          <c:idx val="7"/>
          <c:order val="7"/>
          <c:tx>
            <c:strRef>
              <c:f>'GRAF příspěvky IPP'!$A$34</c:f>
              <c:strCache>
                <c:ptCount val="1"/>
                <c:pt idx="0">
                  <c:v>Mining and energetics (B)</c:v>
                </c:pt>
              </c:strCache>
            </c:strRef>
          </c:tx>
          <c:spPr>
            <a:solidFill>
              <a:srgbClr val="808080"/>
            </a:solidFill>
          </c:spPr>
          <c:invertIfNegative val="0"/>
          <c:cat>
            <c:multiLvlStrRef>
              <c:f>'GRAF příspěvky IPP'!$B$25:$AI$26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IPP'!$B$34:$AI$34</c:f>
              <c:numCache>
                <c:formatCode>0.0</c:formatCode>
                <c:ptCount val="34"/>
                <c:pt idx="0">
                  <c:v>-0.42452386212609627</c:v>
                </c:pt>
                <c:pt idx="1">
                  <c:v>0.37437263889478795</c:v>
                </c:pt>
                <c:pt idx="2">
                  <c:v>-0.30609467148217906</c:v>
                </c:pt>
                <c:pt idx="3">
                  <c:v>-6.2790064258354317E-2</c:v>
                </c:pt>
                <c:pt idx="4">
                  <c:v>4.5234196251372455E-2</c:v>
                </c:pt>
                <c:pt idx="5">
                  <c:v>0.33849893288383998</c:v>
                </c:pt>
                <c:pt idx="6">
                  <c:v>-0.14594055443913137</c:v>
                </c:pt>
                <c:pt idx="7">
                  <c:v>-1.0820656656400016</c:v>
                </c:pt>
                <c:pt idx="8">
                  <c:v>-0.90111641450271041</c:v>
                </c:pt>
                <c:pt idx="9">
                  <c:v>-1.4080716141653054</c:v>
                </c:pt>
                <c:pt idx="10">
                  <c:v>-0.87454103397784222</c:v>
                </c:pt>
                <c:pt idx="11">
                  <c:v>0.52275262781946252</c:v>
                </c:pt>
                <c:pt idx="12">
                  <c:v>-0.48831445126169903</c:v>
                </c:pt>
                <c:pt idx="13">
                  <c:v>-0.36279609225680959</c:v>
                </c:pt>
                <c:pt idx="14">
                  <c:v>-0.47490528997454834</c:v>
                </c:pt>
                <c:pt idx="15">
                  <c:v>-0.68045051057538275</c:v>
                </c:pt>
                <c:pt idx="16">
                  <c:v>0.14603886659731855</c:v>
                </c:pt>
                <c:pt idx="17">
                  <c:v>-0.34005382041093413</c:v>
                </c:pt>
                <c:pt idx="18">
                  <c:v>-0.37898483167936881</c:v>
                </c:pt>
                <c:pt idx="19">
                  <c:v>-1.1248323803223828</c:v>
                </c:pt>
                <c:pt idx="20">
                  <c:v>-0.66857701045346751</c:v>
                </c:pt>
                <c:pt idx="21">
                  <c:v>0.10137361870125999</c:v>
                </c:pt>
                <c:pt idx="22">
                  <c:v>-0.46808235891211047</c:v>
                </c:pt>
                <c:pt idx="23">
                  <c:v>0.50534236475350525</c:v>
                </c:pt>
                <c:pt idx="24">
                  <c:v>0.66795249028030279</c:v>
                </c:pt>
                <c:pt idx="25">
                  <c:v>-0.18424188685486914</c:v>
                </c:pt>
                <c:pt idx="26">
                  <c:v>0.78008174883886461</c:v>
                </c:pt>
                <c:pt idx="27">
                  <c:v>0.73049787951958134</c:v>
                </c:pt>
                <c:pt idx="28">
                  <c:v>-0.53969025522024028</c:v>
                </c:pt>
                <c:pt idx="29">
                  <c:v>1.0074058690830029E-2</c:v>
                </c:pt>
                <c:pt idx="30">
                  <c:v>0.78184758817491351</c:v>
                </c:pt>
                <c:pt idx="31">
                  <c:v>0.32771546096960669</c:v>
                </c:pt>
                <c:pt idx="32">
                  <c:v>0.21153377089868669</c:v>
                </c:pt>
                <c:pt idx="33">
                  <c:v>4.5623603496844023E-2</c:v>
                </c:pt>
              </c:numCache>
            </c:numRef>
          </c:val>
          <c:extLst>
            <c:ext xmlns:c16="http://schemas.microsoft.com/office/drawing/2014/chart" uri="{C3380CC4-5D6E-409C-BE32-E72D297353CC}">
              <c16:uniqueId val="{00000007-67C8-411F-86A5-A0EBBB2CED68}"/>
            </c:ext>
          </c:extLst>
        </c:ser>
        <c:dLbls>
          <c:showLegendKey val="0"/>
          <c:showVal val="0"/>
          <c:showCatName val="0"/>
          <c:showSerName val="0"/>
          <c:showPercent val="0"/>
          <c:showBubbleSize val="0"/>
        </c:dLbls>
        <c:gapWidth val="32"/>
        <c:overlap val="100"/>
        <c:axId val="112768128"/>
        <c:axId val="112769664"/>
      </c:barChart>
      <c:lineChart>
        <c:grouping val="standard"/>
        <c:varyColors val="0"/>
        <c:ser>
          <c:idx val="8"/>
          <c:order val="8"/>
          <c:tx>
            <c:strRef>
              <c:f>'GRAF příspěvky IPP'!$A$35</c:f>
              <c:strCache>
                <c:ptCount val="1"/>
                <c:pt idx="0">
                  <c:v>Total industry (CZ NACE B to D)</c:v>
                </c:pt>
              </c:strCache>
            </c:strRef>
          </c:tx>
          <c:spPr>
            <a:ln w="19050">
              <a:solidFill>
                <a:schemeClr val="tx1">
                  <a:lumMod val="95000"/>
                  <a:lumOff val="5000"/>
                </a:schemeClr>
              </a:solidFill>
            </a:ln>
          </c:spPr>
          <c:marker>
            <c:symbol val="none"/>
          </c:marker>
          <c:cat>
            <c:multiLvlStrRef>
              <c:f>'GRAF příspěvky IPP'!$B$25:$AI$26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IPP'!$B$35:$AI$35</c:f>
              <c:numCache>
                <c:formatCode>0.0</c:formatCode>
                <c:ptCount val="34"/>
                <c:pt idx="0">
                  <c:v>10.174708632500002</c:v>
                </c:pt>
                <c:pt idx="1">
                  <c:v>7.7320630777000119</c:v>
                </c:pt>
                <c:pt idx="2">
                  <c:v>2.0427367415000015</c:v>
                </c:pt>
                <c:pt idx="3">
                  <c:v>3.0231970455000097</c:v>
                </c:pt>
                <c:pt idx="4">
                  <c:v>1.7776371540000124</c:v>
                </c:pt>
                <c:pt idx="5">
                  <c:v>0.4034129963999939</c:v>
                </c:pt>
                <c:pt idx="6">
                  <c:v>-0.21112265520000073</c:v>
                </c:pt>
                <c:pt idx="7">
                  <c:v>-5.3481512234450435</c:v>
                </c:pt>
                <c:pt idx="8">
                  <c:v>-4.2233987508042041</c:v>
                </c:pt>
                <c:pt idx="9">
                  <c:v>-2.3853554205999736</c:v>
                </c:pt>
                <c:pt idx="10">
                  <c:v>1.2316497516000036</c:v>
                </c:pt>
                <c:pt idx="11">
                  <c:v>6.3229322730999886</c:v>
                </c:pt>
                <c:pt idx="12">
                  <c:v>7.1030450258000162</c:v>
                </c:pt>
                <c:pt idx="13">
                  <c:v>6.1297209743999961</c:v>
                </c:pt>
                <c:pt idx="14">
                  <c:v>2.9753758001999988</c:v>
                </c:pt>
                <c:pt idx="15">
                  <c:v>4.2327805536999303</c:v>
                </c:pt>
                <c:pt idx="16">
                  <c:v>4.8733940601999999</c:v>
                </c:pt>
                <c:pt idx="17">
                  <c:v>5.3081959839000072</c:v>
                </c:pt>
                <c:pt idx="18">
                  <c:v>5.5472987826000359</c:v>
                </c:pt>
                <c:pt idx="19">
                  <c:v>2.4027878041999866</c:v>
                </c:pt>
                <c:pt idx="20">
                  <c:v>4.0765835574999674</c:v>
                </c:pt>
                <c:pt idx="21">
                  <c:v>2.6745568033000122</c:v>
                </c:pt>
                <c:pt idx="22">
                  <c:v>1.6551514254000079</c:v>
                </c:pt>
                <c:pt idx="23">
                  <c:v>3.5118172236999929</c:v>
                </c:pt>
                <c:pt idx="24">
                  <c:v>5.2597731895999891</c:v>
                </c:pt>
                <c:pt idx="25">
                  <c:v>7.9444180928999941</c:v>
                </c:pt>
                <c:pt idx="26">
                  <c:v>6.5197134234000087</c:v>
                </c:pt>
                <c:pt idx="27">
                  <c:v>7.5755516541999981</c:v>
                </c:pt>
                <c:pt idx="28">
                  <c:v>4.2247105953999942</c:v>
                </c:pt>
                <c:pt idx="29">
                  <c:v>2.4054283676999955</c:v>
                </c:pt>
                <c:pt idx="30">
                  <c:v>3.7249126808000117</c:v>
                </c:pt>
                <c:pt idx="31">
                  <c:v>2.0049129852999927</c:v>
                </c:pt>
                <c:pt idx="32">
                  <c:v>0.26169701159998915</c:v>
                </c:pt>
                <c:pt idx="33">
                  <c:v>1.0094900667999998</c:v>
                </c:pt>
              </c:numCache>
            </c:numRef>
          </c:val>
          <c:smooth val="0"/>
          <c:extLst>
            <c:ext xmlns:c16="http://schemas.microsoft.com/office/drawing/2014/chart" uri="{C3380CC4-5D6E-409C-BE32-E72D297353CC}">
              <c16:uniqueId val="{00000008-67C8-411F-86A5-A0EBBB2CED68}"/>
            </c:ext>
          </c:extLst>
        </c:ser>
        <c:dLbls>
          <c:showLegendKey val="0"/>
          <c:showVal val="0"/>
          <c:showCatName val="0"/>
          <c:showSerName val="0"/>
          <c:showPercent val="0"/>
          <c:showBubbleSize val="0"/>
        </c:dLbls>
        <c:marker val="1"/>
        <c:smooth val="0"/>
        <c:axId val="112768128"/>
        <c:axId val="112769664"/>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11"/>
          <c:min val="-6"/>
        </c:scaling>
        <c:delete val="0"/>
        <c:axPos val="l"/>
        <c:majorGridlines>
          <c:spPr>
            <a:ln>
              <a:solidFill>
                <a:srgbClr val="BEBEBE"/>
              </a:solidFill>
            </a:ln>
          </c:spPr>
        </c:majorGridlines>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1"/>
      </c:valAx>
      <c:spPr>
        <a:noFill/>
        <a:ln w="6350">
          <a:solidFill>
            <a:prstClr val="black">
              <a:lumMod val="95000"/>
              <a:lumOff val="5000"/>
            </a:prstClr>
          </a:solidFill>
        </a:ln>
      </c:spPr>
    </c:plotArea>
    <c:legend>
      <c:legendPos val="r"/>
      <c:layout>
        <c:manualLayout>
          <c:xMode val="edge"/>
          <c:yMode val="edge"/>
          <c:x val="6.6144662545040119E-3"/>
          <c:y val="0.82449970264252692"/>
          <c:w val="0.9845479662961012"/>
          <c:h val="0.16188919209533759"/>
        </c:manualLayout>
      </c:layout>
      <c:overlay val="0"/>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277854581154255E-2"/>
          <c:y val="1.643251153889452E-2"/>
          <c:w val="0.90094328257138756"/>
          <c:h val="0.71690251041314867"/>
        </c:manualLayout>
      </c:layout>
      <c:barChart>
        <c:barDir val="col"/>
        <c:grouping val="clustered"/>
        <c:varyColors val="0"/>
        <c:ser>
          <c:idx val="0"/>
          <c:order val="0"/>
          <c:tx>
            <c:strRef>
              <c:f>'výkonnost odvětví 2'!$A$31</c:f>
              <c:strCache>
                <c:ptCount val="1"/>
                <c:pt idx="0">
                  <c:v>Total industry orders (both foreign and domestic)</c:v>
                </c:pt>
              </c:strCache>
            </c:strRef>
          </c:tx>
          <c:spPr>
            <a:solidFill>
              <a:schemeClr val="bg1">
                <a:lumMod val="65000"/>
              </a:schemeClr>
            </a:solidFill>
            <a:ln w="12700">
              <a:noFill/>
              <a:prstDash val="solid"/>
            </a:ln>
          </c:spPr>
          <c:invertIfNegative val="0"/>
          <c:cat>
            <c:multiLvlStrRef>
              <c:f>'výkonnost odvětví 2'!$B$29:$AI$30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2'!$B$31:$AI$31</c:f>
              <c:numCache>
                <c:formatCode>#\ ##0.0__</c:formatCode>
                <c:ptCount val="34"/>
                <c:pt idx="0">
                  <c:v>12.043107093421796</c:v>
                </c:pt>
                <c:pt idx="1">
                  <c:v>5.329290402096305</c:v>
                </c:pt>
                <c:pt idx="2">
                  <c:v>-1.5038236293274423</c:v>
                </c:pt>
                <c:pt idx="3">
                  <c:v>0.49985199872995167</c:v>
                </c:pt>
                <c:pt idx="4">
                  <c:v>7.8919882289544319</c:v>
                </c:pt>
                <c:pt idx="5">
                  <c:v>0.24363263911027389</c:v>
                </c:pt>
                <c:pt idx="6">
                  <c:v>2.6780600325356119</c:v>
                </c:pt>
                <c:pt idx="7">
                  <c:v>-2.2927798243121345</c:v>
                </c:pt>
                <c:pt idx="8">
                  <c:v>-6.7566875441004868</c:v>
                </c:pt>
                <c:pt idx="9">
                  <c:v>-0.77743908810788298</c:v>
                </c:pt>
                <c:pt idx="10">
                  <c:v>12.110592029586002</c:v>
                </c:pt>
                <c:pt idx="11">
                  <c:v>12.611542535334834</c:v>
                </c:pt>
                <c:pt idx="12">
                  <c:v>18.454576257258609</c:v>
                </c:pt>
                <c:pt idx="13">
                  <c:v>13.812603337719324</c:v>
                </c:pt>
                <c:pt idx="14">
                  <c:v>11.164927309703884</c:v>
                </c:pt>
                <c:pt idx="15">
                  <c:v>7.3250322249586759</c:v>
                </c:pt>
                <c:pt idx="16">
                  <c:v>8.5397251010390391</c:v>
                </c:pt>
                <c:pt idx="17">
                  <c:v>6.4894834031568251</c:v>
                </c:pt>
                <c:pt idx="18">
                  <c:v>4.1045761314248068</c:v>
                </c:pt>
                <c:pt idx="19">
                  <c:v>6.0151063810169205</c:v>
                </c:pt>
                <c:pt idx="20">
                  <c:v>1.3550678522953064</c:v>
                </c:pt>
                <c:pt idx="21">
                  <c:v>10.856046878525433</c:v>
                </c:pt>
                <c:pt idx="22">
                  <c:v>1.6431282237439291</c:v>
                </c:pt>
                <c:pt idx="23">
                  <c:v>6.7220844736941103</c:v>
                </c:pt>
                <c:pt idx="24">
                  <c:v>10.841479121555906</c:v>
                </c:pt>
                <c:pt idx="25">
                  <c:v>4.5315942367003714</c:v>
                </c:pt>
                <c:pt idx="26">
                  <c:v>6.9082617878945598</c:v>
                </c:pt>
                <c:pt idx="27">
                  <c:v>7.5112613571588724</c:v>
                </c:pt>
                <c:pt idx="28">
                  <c:v>1.6339188767607453</c:v>
                </c:pt>
                <c:pt idx="29">
                  <c:v>4.6301209797549205</c:v>
                </c:pt>
                <c:pt idx="30">
                  <c:v>3.6945404784506337</c:v>
                </c:pt>
                <c:pt idx="31">
                  <c:v>4.2467023509658759</c:v>
                </c:pt>
                <c:pt idx="32">
                  <c:v>3.3476432191151559</c:v>
                </c:pt>
                <c:pt idx="33">
                  <c:v>1.6929588558610646</c:v>
                </c:pt>
              </c:numCache>
            </c:numRef>
          </c:val>
          <c:extLst>
            <c:ext xmlns:c16="http://schemas.microsoft.com/office/drawing/2014/chart" uri="{C3380CC4-5D6E-409C-BE32-E72D297353CC}">
              <c16:uniqueId val="{00000000-784F-45E8-A099-6088B894C30D}"/>
            </c:ext>
          </c:extLst>
        </c:ser>
        <c:dLbls>
          <c:showLegendKey val="0"/>
          <c:showVal val="0"/>
          <c:showCatName val="0"/>
          <c:showSerName val="0"/>
          <c:showPercent val="0"/>
          <c:showBubbleSize val="0"/>
        </c:dLbls>
        <c:gapWidth val="34"/>
        <c:overlap val="28"/>
        <c:axId val="139174272"/>
        <c:axId val="139175808"/>
      </c:barChart>
      <c:lineChart>
        <c:grouping val="standard"/>
        <c:varyColors val="0"/>
        <c:ser>
          <c:idx val="2"/>
          <c:order val="1"/>
          <c:tx>
            <c:strRef>
              <c:f>'výkonnost odvětví 2'!$A$32</c:f>
              <c:strCache>
                <c:ptCount val="1"/>
                <c:pt idx="0">
                  <c:v>Total industry orders (domestic only)</c:v>
                </c:pt>
              </c:strCache>
            </c:strRef>
          </c:tx>
          <c:spPr>
            <a:ln w="15875">
              <a:solidFill>
                <a:srgbClr val="BD1B21"/>
              </a:solidFill>
              <a:prstDash val="solid"/>
            </a:ln>
          </c:spPr>
          <c:marker>
            <c:symbol val="none"/>
          </c:marker>
          <c:cat>
            <c:multiLvlStrRef>
              <c:f>'výkonnost odvětví 2'!$B$29:$AI$30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2'!$B$32:$AI$32</c:f>
              <c:numCache>
                <c:formatCode>#\ ##0.0__</c:formatCode>
                <c:ptCount val="34"/>
                <c:pt idx="0">
                  <c:v>2.8145814762462464</c:v>
                </c:pt>
                <c:pt idx="1">
                  <c:v>-0.65160361804250044</c:v>
                </c:pt>
                <c:pt idx="2">
                  <c:v>-11.671782921579478</c:v>
                </c:pt>
                <c:pt idx="3">
                  <c:v>-10.696553890943122</c:v>
                </c:pt>
                <c:pt idx="4">
                  <c:v>2.6214056871317126</c:v>
                </c:pt>
                <c:pt idx="5">
                  <c:v>-9.2467743432498821</c:v>
                </c:pt>
                <c:pt idx="6">
                  <c:v>-2.8571545096936291</c:v>
                </c:pt>
                <c:pt idx="7">
                  <c:v>-4.0487324448534139</c:v>
                </c:pt>
                <c:pt idx="8">
                  <c:v>-7.112663177047466</c:v>
                </c:pt>
                <c:pt idx="9">
                  <c:v>-0.59561460542927591</c:v>
                </c:pt>
                <c:pt idx="10">
                  <c:v>9.3847374388735147</c:v>
                </c:pt>
                <c:pt idx="11">
                  <c:v>7.0782158358476011</c:v>
                </c:pt>
                <c:pt idx="12">
                  <c:v>14.18383964594139</c:v>
                </c:pt>
                <c:pt idx="13">
                  <c:v>7.7929541685002164</c:v>
                </c:pt>
                <c:pt idx="14">
                  <c:v>16.845115352064937</c:v>
                </c:pt>
                <c:pt idx="15">
                  <c:v>9.6787104542652713</c:v>
                </c:pt>
                <c:pt idx="16">
                  <c:v>4.341961301010727</c:v>
                </c:pt>
                <c:pt idx="17">
                  <c:v>10.024449168168019</c:v>
                </c:pt>
                <c:pt idx="18">
                  <c:v>-4.7604240586837108</c:v>
                </c:pt>
                <c:pt idx="19">
                  <c:v>0.56107209694786775</c:v>
                </c:pt>
                <c:pt idx="20">
                  <c:v>0.20304376106223287</c:v>
                </c:pt>
                <c:pt idx="21">
                  <c:v>4.9376200007964286</c:v>
                </c:pt>
                <c:pt idx="22">
                  <c:v>-0.65834656713856532</c:v>
                </c:pt>
                <c:pt idx="23">
                  <c:v>2.873089889380708</c:v>
                </c:pt>
                <c:pt idx="24">
                  <c:v>16.722989365311648</c:v>
                </c:pt>
                <c:pt idx="25">
                  <c:v>11.567742610098009</c:v>
                </c:pt>
                <c:pt idx="26">
                  <c:v>14.702871802754672</c:v>
                </c:pt>
                <c:pt idx="27">
                  <c:v>15.641374658030259</c:v>
                </c:pt>
                <c:pt idx="28">
                  <c:v>-0.54655499165191657</c:v>
                </c:pt>
                <c:pt idx="29">
                  <c:v>3.3862320433243838</c:v>
                </c:pt>
                <c:pt idx="30">
                  <c:v>4.5707977831681177</c:v>
                </c:pt>
                <c:pt idx="31">
                  <c:v>4.8009732818449038</c:v>
                </c:pt>
                <c:pt idx="32">
                  <c:v>6.3141947655327044</c:v>
                </c:pt>
                <c:pt idx="33">
                  <c:v>4.9946009901120618</c:v>
                </c:pt>
              </c:numCache>
            </c:numRef>
          </c:val>
          <c:smooth val="0"/>
          <c:extLst>
            <c:ext xmlns:c16="http://schemas.microsoft.com/office/drawing/2014/chart" uri="{C3380CC4-5D6E-409C-BE32-E72D297353CC}">
              <c16:uniqueId val="{00000001-784F-45E8-A099-6088B894C30D}"/>
            </c:ext>
          </c:extLst>
        </c:ser>
        <c:ser>
          <c:idx val="5"/>
          <c:order val="2"/>
          <c:tx>
            <c:strRef>
              <c:f>'výkonnost odvětví 2'!$A$33</c:f>
              <c:strCache>
                <c:ptCount val="1"/>
                <c:pt idx="0">
                  <c:v>Total orders (motor vehicles)</c:v>
                </c:pt>
              </c:strCache>
            </c:strRef>
          </c:tx>
          <c:spPr>
            <a:ln w="15875">
              <a:solidFill>
                <a:srgbClr val="0071BC"/>
              </a:solidFill>
              <a:prstDash val="solid"/>
            </a:ln>
          </c:spPr>
          <c:marker>
            <c:symbol val="none"/>
          </c:marker>
          <c:cat>
            <c:multiLvlStrRef>
              <c:f>'výkonnost odvětví 2'!$B$29:$AI$30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2'!$B$33:$AI$33</c:f>
              <c:numCache>
                <c:formatCode>#\ ##0.0__</c:formatCode>
                <c:ptCount val="34"/>
                <c:pt idx="0">
                  <c:v>11.429400379513879</c:v>
                </c:pt>
                <c:pt idx="1">
                  <c:v>9.2048286805521258</c:v>
                </c:pt>
                <c:pt idx="2">
                  <c:v>4.4139955552265207</c:v>
                </c:pt>
                <c:pt idx="3">
                  <c:v>5.3718735076924133</c:v>
                </c:pt>
                <c:pt idx="4">
                  <c:v>19.54636851917148</c:v>
                </c:pt>
                <c:pt idx="5">
                  <c:v>4.6887564118292033</c:v>
                </c:pt>
                <c:pt idx="6">
                  <c:v>1.3322326875189248</c:v>
                </c:pt>
                <c:pt idx="7">
                  <c:v>-2.0219087809167178</c:v>
                </c:pt>
                <c:pt idx="8">
                  <c:v>-15.423726227988496</c:v>
                </c:pt>
                <c:pt idx="9">
                  <c:v>-3.0233686336023169</c:v>
                </c:pt>
                <c:pt idx="10">
                  <c:v>24.654149056071944</c:v>
                </c:pt>
                <c:pt idx="11">
                  <c:v>18.470996489023392</c:v>
                </c:pt>
                <c:pt idx="12">
                  <c:v>33.791068906341536</c:v>
                </c:pt>
                <c:pt idx="13">
                  <c:v>22.39294364855138</c:v>
                </c:pt>
                <c:pt idx="14">
                  <c:v>16.969041222835131</c:v>
                </c:pt>
                <c:pt idx="15">
                  <c:v>12.211301534151133</c:v>
                </c:pt>
                <c:pt idx="16">
                  <c:v>15.316352438277931</c:v>
                </c:pt>
                <c:pt idx="17">
                  <c:v>5.584343456517459</c:v>
                </c:pt>
                <c:pt idx="18">
                  <c:v>13.898535777390734</c:v>
                </c:pt>
                <c:pt idx="19">
                  <c:v>18.975191723154538</c:v>
                </c:pt>
                <c:pt idx="20">
                  <c:v>11.460497347422447</c:v>
                </c:pt>
                <c:pt idx="21">
                  <c:v>33.085131031292235</c:v>
                </c:pt>
                <c:pt idx="22">
                  <c:v>5.912380139380474</c:v>
                </c:pt>
                <c:pt idx="23">
                  <c:v>12.001000805244416</c:v>
                </c:pt>
                <c:pt idx="24">
                  <c:v>7.9804719471503205</c:v>
                </c:pt>
                <c:pt idx="25">
                  <c:v>-1.7592612473364966</c:v>
                </c:pt>
                <c:pt idx="26">
                  <c:v>3.8626497182263222</c:v>
                </c:pt>
                <c:pt idx="27">
                  <c:v>0.37376710568412364</c:v>
                </c:pt>
                <c:pt idx="28">
                  <c:v>0.60861960894675349</c:v>
                </c:pt>
                <c:pt idx="29">
                  <c:v>3.6675371997157811</c:v>
                </c:pt>
                <c:pt idx="30">
                  <c:v>0.69699979014031044</c:v>
                </c:pt>
                <c:pt idx="31">
                  <c:v>1.0371076901644045</c:v>
                </c:pt>
                <c:pt idx="32">
                  <c:v>3.1937048433042747</c:v>
                </c:pt>
                <c:pt idx="33">
                  <c:v>3.5625333267092998</c:v>
                </c:pt>
              </c:numCache>
            </c:numRef>
          </c:val>
          <c:smooth val="0"/>
          <c:extLst>
            <c:ext xmlns:c16="http://schemas.microsoft.com/office/drawing/2014/chart" uri="{C3380CC4-5D6E-409C-BE32-E72D297353CC}">
              <c16:uniqueId val="{00000002-784F-45E8-A099-6088B894C30D}"/>
            </c:ext>
          </c:extLst>
        </c:ser>
        <c:ser>
          <c:idx val="3"/>
          <c:order val="3"/>
          <c:tx>
            <c:strRef>
              <c:f>'výkonnost odvětví 2'!$A$34</c:f>
              <c:strCache>
                <c:ptCount val="1"/>
                <c:pt idx="0">
                  <c:v>Balance of confidence indicator in industry*</c:v>
                </c:pt>
              </c:strCache>
            </c:strRef>
          </c:tx>
          <c:spPr>
            <a:ln w="19050">
              <a:noFill/>
              <a:prstDash val="sysDash"/>
            </a:ln>
          </c:spPr>
          <c:marker>
            <c:symbol val="diamond"/>
            <c:size val="5"/>
            <c:spPr>
              <a:solidFill>
                <a:srgbClr val="FFFF00"/>
              </a:solidFill>
              <a:ln>
                <a:solidFill>
                  <a:prstClr val="black">
                    <a:lumMod val="95000"/>
                    <a:lumOff val="5000"/>
                  </a:prstClr>
                </a:solidFill>
              </a:ln>
            </c:spPr>
          </c:marker>
          <c:cat>
            <c:multiLvlStrRef>
              <c:f>'výkonnost odvětví 2'!$B$29:$AI$30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2'!$B$34:$AI$34</c:f>
              <c:numCache>
                <c:formatCode>0.0</c:formatCode>
                <c:ptCount val="34"/>
                <c:pt idx="0">
                  <c:v>12.200000000000001</c:v>
                </c:pt>
                <c:pt idx="1">
                  <c:v>5.8999999999999995</c:v>
                </c:pt>
                <c:pt idx="2">
                  <c:v>2.4333333333333331</c:v>
                </c:pt>
                <c:pt idx="3">
                  <c:v>1.8</c:v>
                </c:pt>
                <c:pt idx="4">
                  <c:v>1.5666666666666667</c:v>
                </c:pt>
                <c:pt idx="5">
                  <c:v>-2.5666666666666669</c:v>
                </c:pt>
                <c:pt idx="6">
                  <c:v>-8.9</c:v>
                </c:pt>
                <c:pt idx="7">
                  <c:v>-10.200000000000001</c:v>
                </c:pt>
                <c:pt idx="8">
                  <c:v>-8.9</c:v>
                </c:pt>
                <c:pt idx="9">
                  <c:v>-10</c:v>
                </c:pt>
                <c:pt idx="10">
                  <c:v>-6.2333333333333334</c:v>
                </c:pt>
                <c:pt idx="11">
                  <c:v>1.7000000000000002</c:v>
                </c:pt>
                <c:pt idx="12">
                  <c:v>2.3333333333333335</c:v>
                </c:pt>
                <c:pt idx="13">
                  <c:v>3.6333333333333329</c:v>
                </c:pt>
                <c:pt idx="14">
                  <c:v>2.5333333333333332</c:v>
                </c:pt>
                <c:pt idx="15">
                  <c:v>2.6666666666666665</c:v>
                </c:pt>
                <c:pt idx="16">
                  <c:v>3</c:v>
                </c:pt>
                <c:pt idx="17">
                  <c:v>3.7666666666666671</c:v>
                </c:pt>
                <c:pt idx="18">
                  <c:v>3.7666666666666671</c:v>
                </c:pt>
                <c:pt idx="19">
                  <c:v>0.76666666666666661</c:v>
                </c:pt>
                <c:pt idx="20">
                  <c:v>3.5666666666666664</c:v>
                </c:pt>
                <c:pt idx="21">
                  <c:v>1.9000000000000001</c:v>
                </c:pt>
                <c:pt idx="22">
                  <c:v>3.7666666666666671</c:v>
                </c:pt>
                <c:pt idx="23">
                  <c:v>5.333333333333333</c:v>
                </c:pt>
                <c:pt idx="24">
                  <c:v>3.3333333333333335</c:v>
                </c:pt>
                <c:pt idx="25">
                  <c:v>0.83333333333333337</c:v>
                </c:pt>
                <c:pt idx="26">
                  <c:v>3.8666666666666667</c:v>
                </c:pt>
                <c:pt idx="27">
                  <c:v>5.8</c:v>
                </c:pt>
                <c:pt idx="28">
                  <c:v>3.9</c:v>
                </c:pt>
                <c:pt idx="29">
                  <c:v>3.4333333333333336</c:v>
                </c:pt>
                <c:pt idx="30">
                  <c:v>1.9666666666666666</c:v>
                </c:pt>
                <c:pt idx="31">
                  <c:v>1.8666666666666665</c:v>
                </c:pt>
                <c:pt idx="32">
                  <c:v>-0.33333333333333331</c:v>
                </c:pt>
                <c:pt idx="33">
                  <c:v>-1.5666666666666667</c:v>
                </c:pt>
              </c:numCache>
            </c:numRef>
          </c:val>
          <c:smooth val="0"/>
          <c:extLst>
            <c:ext xmlns:c16="http://schemas.microsoft.com/office/drawing/2014/chart" uri="{C3380CC4-5D6E-409C-BE32-E72D297353CC}">
              <c16:uniqueId val="{00000003-784F-45E8-A099-6088B894C30D}"/>
            </c:ext>
          </c:extLst>
        </c:ser>
        <c:dLbls>
          <c:showLegendKey val="0"/>
          <c:showVal val="0"/>
          <c:showCatName val="0"/>
          <c:showSerName val="0"/>
          <c:showPercent val="0"/>
          <c:showBubbleSize val="0"/>
        </c:dLbls>
        <c:marker val="1"/>
        <c:smooth val="0"/>
        <c:axId val="139174272"/>
        <c:axId val="139175808"/>
      </c:lineChart>
      <c:lineChart>
        <c:grouping val="standard"/>
        <c:varyColors val="0"/>
        <c:ser>
          <c:idx val="1"/>
          <c:order val="4"/>
          <c:tx>
            <c:strRef>
              <c:f>'výkonnost odvětví 2'!$A$35</c:f>
              <c:strCache>
                <c:ptCount val="1"/>
                <c:pt idx="0">
                  <c:v>Utilisation of production capacities in total industry (right axis)*</c:v>
                </c:pt>
              </c:strCache>
            </c:strRef>
          </c:tx>
          <c:spPr>
            <a:ln w="15875">
              <a:solidFill>
                <a:srgbClr val="00B050"/>
              </a:solidFill>
              <a:prstDash val="solid"/>
            </a:ln>
          </c:spPr>
          <c:marker>
            <c:symbol val="none"/>
          </c:marker>
          <c:cat>
            <c:multiLvlStrRef>
              <c:f>'výkonnost odvětví 2'!$B$29:$AI$30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2'!$B$35:$AI$35</c:f>
              <c:numCache>
                <c:formatCode>#\ ##0.0</c:formatCode>
                <c:ptCount val="34"/>
                <c:pt idx="0">
                  <c:v>83.7</c:v>
                </c:pt>
                <c:pt idx="1">
                  <c:v>85.5</c:v>
                </c:pt>
                <c:pt idx="2">
                  <c:v>84.7</c:v>
                </c:pt>
                <c:pt idx="3">
                  <c:v>82.8</c:v>
                </c:pt>
                <c:pt idx="4">
                  <c:v>84.6</c:v>
                </c:pt>
                <c:pt idx="5">
                  <c:v>83.6</c:v>
                </c:pt>
                <c:pt idx="6">
                  <c:v>81.2</c:v>
                </c:pt>
                <c:pt idx="7">
                  <c:v>81.2</c:v>
                </c:pt>
                <c:pt idx="8">
                  <c:v>80.900000000000006</c:v>
                </c:pt>
                <c:pt idx="9">
                  <c:v>82.2</c:v>
                </c:pt>
                <c:pt idx="10">
                  <c:v>80.7</c:v>
                </c:pt>
                <c:pt idx="11">
                  <c:v>82.2</c:v>
                </c:pt>
                <c:pt idx="12">
                  <c:v>81.2</c:v>
                </c:pt>
                <c:pt idx="13">
                  <c:v>83.5</c:v>
                </c:pt>
                <c:pt idx="14">
                  <c:v>82.8</c:v>
                </c:pt>
                <c:pt idx="15">
                  <c:v>84.4</c:v>
                </c:pt>
                <c:pt idx="16">
                  <c:v>86.2</c:v>
                </c:pt>
                <c:pt idx="17">
                  <c:v>85</c:v>
                </c:pt>
                <c:pt idx="18">
                  <c:v>85.6</c:v>
                </c:pt>
                <c:pt idx="19">
                  <c:v>83.9</c:v>
                </c:pt>
                <c:pt idx="20">
                  <c:v>84.5</c:v>
                </c:pt>
                <c:pt idx="21">
                  <c:v>84.7</c:v>
                </c:pt>
                <c:pt idx="22">
                  <c:v>84.7</c:v>
                </c:pt>
                <c:pt idx="23">
                  <c:v>84.1</c:v>
                </c:pt>
                <c:pt idx="24">
                  <c:v>84.9</c:v>
                </c:pt>
                <c:pt idx="25">
                  <c:v>83.1</c:v>
                </c:pt>
                <c:pt idx="26">
                  <c:v>84.4</c:v>
                </c:pt>
                <c:pt idx="27">
                  <c:v>84.3</c:v>
                </c:pt>
                <c:pt idx="28">
                  <c:v>85.8</c:v>
                </c:pt>
                <c:pt idx="29">
                  <c:v>85.4</c:v>
                </c:pt>
                <c:pt idx="30">
                  <c:v>86.2</c:v>
                </c:pt>
                <c:pt idx="31">
                  <c:v>85.8</c:v>
                </c:pt>
                <c:pt idx="32">
                  <c:v>85.8</c:v>
                </c:pt>
                <c:pt idx="33">
                  <c:v>85.9</c:v>
                </c:pt>
              </c:numCache>
            </c:numRef>
          </c:val>
          <c:smooth val="0"/>
          <c:extLst>
            <c:ext xmlns:c16="http://schemas.microsoft.com/office/drawing/2014/chart" uri="{C3380CC4-5D6E-409C-BE32-E72D297353CC}">
              <c16:uniqueId val="{00000004-784F-45E8-A099-6088B894C30D}"/>
            </c:ext>
          </c:extLst>
        </c:ser>
        <c:ser>
          <c:idx val="4"/>
          <c:order val="5"/>
          <c:tx>
            <c:strRef>
              <c:f>'výkonnost odvětví 2'!$A$36</c:f>
              <c:strCache>
                <c:ptCount val="1"/>
                <c:pt idx="0">
                  <c:v>Utilisation of production capacities in motor vehicles industry (right axis)*</c:v>
                </c:pt>
              </c:strCache>
            </c:strRef>
          </c:tx>
          <c:spPr>
            <a:ln w="15875">
              <a:solidFill>
                <a:srgbClr val="00B050"/>
              </a:solidFill>
              <a:prstDash val="sysDash"/>
            </a:ln>
          </c:spPr>
          <c:marker>
            <c:symbol val="none"/>
          </c:marker>
          <c:cat>
            <c:multiLvlStrRef>
              <c:f>'výkonnost odvětví 2'!$B$29:$AI$30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2'!$B$36:$AI$36</c:f>
              <c:numCache>
                <c:formatCode>0.0</c:formatCode>
                <c:ptCount val="34"/>
                <c:pt idx="0">
                  <c:v>92.5</c:v>
                </c:pt>
                <c:pt idx="1">
                  <c:v>92.3</c:v>
                </c:pt>
                <c:pt idx="2">
                  <c:v>92.4</c:v>
                </c:pt>
                <c:pt idx="3">
                  <c:v>91.8</c:v>
                </c:pt>
                <c:pt idx="4">
                  <c:v>92.3</c:v>
                </c:pt>
                <c:pt idx="5">
                  <c:v>89.5</c:v>
                </c:pt>
                <c:pt idx="6">
                  <c:v>85.9</c:v>
                </c:pt>
                <c:pt idx="7">
                  <c:v>86.1</c:v>
                </c:pt>
                <c:pt idx="8">
                  <c:v>86.4</c:v>
                </c:pt>
                <c:pt idx="9">
                  <c:v>89.9</c:v>
                </c:pt>
                <c:pt idx="10">
                  <c:v>80.2</c:v>
                </c:pt>
                <c:pt idx="11">
                  <c:v>84.8</c:v>
                </c:pt>
                <c:pt idx="12">
                  <c:v>78.900000000000006</c:v>
                </c:pt>
                <c:pt idx="13">
                  <c:v>85</c:v>
                </c:pt>
                <c:pt idx="14">
                  <c:v>87.1</c:v>
                </c:pt>
                <c:pt idx="15">
                  <c:v>89.2</c:v>
                </c:pt>
                <c:pt idx="16">
                  <c:v>92.8</c:v>
                </c:pt>
                <c:pt idx="17">
                  <c:v>91.1</c:v>
                </c:pt>
                <c:pt idx="18">
                  <c:v>93.1</c:v>
                </c:pt>
                <c:pt idx="19">
                  <c:v>88.7</c:v>
                </c:pt>
                <c:pt idx="20">
                  <c:v>91.6</c:v>
                </c:pt>
                <c:pt idx="21">
                  <c:v>90.3</c:v>
                </c:pt>
                <c:pt idx="22">
                  <c:v>93.1</c:v>
                </c:pt>
                <c:pt idx="23">
                  <c:v>90.9</c:v>
                </c:pt>
                <c:pt idx="24">
                  <c:v>93.2</c:v>
                </c:pt>
                <c:pt idx="25">
                  <c:v>87.3</c:v>
                </c:pt>
                <c:pt idx="26">
                  <c:v>90.7</c:v>
                </c:pt>
                <c:pt idx="27">
                  <c:v>90.5</c:v>
                </c:pt>
                <c:pt idx="28">
                  <c:v>91.1</c:v>
                </c:pt>
                <c:pt idx="29">
                  <c:v>91.6</c:v>
                </c:pt>
                <c:pt idx="30">
                  <c:v>92.1</c:v>
                </c:pt>
                <c:pt idx="31">
                  <c:v>93</c:v>
                </c:pt>
                <c:pt idx="32">
                  <c:v>92.8</c:v>
                </c:pt>
                <c:pt idx="33">
                  <c:v>93.6</c:v>
                </c:pt>
              </c:numCache>
            </c:numRef>
          </c:val>
          <c:smooth val="0"/>
          <c:extLst>
            <c:ext xmlns:c16="http://schemas.microsoft.com/office/drawing/2014/chart" uri="{C3380CC4-5D6E-409C-BE32-E72D297353CC}">
              <c16:uniqueId val="{00000005-784F-45E8-A099-6088B894C30D}"/>
            </c:ext>
          </c:extLst>
        </c:ser>
        <c:dLbls>
          <c:showLegendKey val="0"/>
          <c:showVal val="0"/>
          <c:showCatName val="0"/>
          <c:showSerName val="0"/>
          <c:showPercent val="0"/>
          <c:showBubbleSize val="0"/>
        </c:dLbls>
        <c:marker val="1"/>
        <c:smooth val="0"/>
        <c:axId val="146478208"/>
        <c:axId val="139177344"/>
      </c:lineChart>
      <c:catAx>
        <c:axId val="139174272"/>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39175808"/>
        <c:crossesAt val="0"/>
        <c:auto val="0"/>
        <c:lblAlgn val="ctr"/>
        <c:lblOffset val="0"/>
        <c:tickLblSkip val="1"/>
        <c:tickMarkSkip val="4"/>
        <c:noMultiLvlLbl val="0"/>
      </c:catAx>
      <c:valAx>
        <c:axId val="139175808"/>
        <c:scaling>
          <c:orientation val="minMax"/>
          <c:max val="36"/>
          <c:min val="-16"/>
        </c:scaling>
        <c:delete val="0"/>
        <c:axPos val="l"/>
        <c:majorGridlines>
          <c:spPr>
            <a:ln w="6350">
              <a:solidFill>
                <a:schemeClr val="bg1">
                  <a:lumMod val="75000"/>
                </a:schemeClr>
              </a:solidFill>
            </a:ln>
          </c:spPr>
        </c:majorGridlines>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39174272"/>
        <c:crosses val="autoZero"/>
        <c:crossBetween val="between"/>
        <c:majorUnit val="4"/>
      </c:valAx>
      <c:valAx>
        <c:axId val="139177344"/>
        <c:scaling>
          <c:orientation val="minMax"/>
          <c:max val="100"/>
          <c:min val="0"/>
        </c:scaling>
        <c:delete val="0"/>
        <c:axPos val="r"/>
        <c:numFmt formatCode="0" sourceLinked="0"/>
        <c:majorTickMark val="out"/>
        <c:minorTickMark val="none"/>
        <c:tickLblPos val="nextTo"/>
        <c:crossAx val="146478208"/>
        <c:crosses val="max"/>
        <c:crossBetween val="between"/>
      </c:valAx>
      <c:catAx>
        <c:axId val="146478208"/>
        <c:scaling>
          <c:orientation val="minMax"/>
        </c:scaling>
        <c:delete val="1"/>
        <c:axPos val="b"/>
        <c:numFmt formatCode="General" sourceLinked="1"/>
        <c:majorTickMark val="out"/>
        <c:minorTickMark val="none"/>
        <c:tickLblPos val="none"/>
        <c:crossAx val="139177344"/>
        <c:crosses val="autoZero"/>
        <c:auto val="1"/>
        <c:lblAlgn val="ctr"/>
        <c:lblOffset val="100"/>
        <c:noMultiLvlLbl val="0"/>
      </c:catAx>
      <c:spPr>
        <a:solidFill>
          <a:srgbClr val="FFFFFF"/>
        </a:solidFill>
        <a:ln w="9525">
          <a:solidFill>
            <a:schemeClr val="tx1"/>
          </a:solidFill>
        </a:ln>
      </c:spPr>
    </c:plotArea>
    <c:legend>
      <c:legendPos val="b"/>
      <c:layout>
        <c:manualLayout>
          <c:xMode val="edge"/>
          <c:yMode val="edge"/>
          <c:x val="5.0859191107750522E-2"/>
          <c:y val="0.82177304964539011"/>
          <c:w val="0.88856460066664811"/>
          <c:h val="0.1676418439716312"/>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5040945877997E-2"/>
          <c:y val="1.6563187842952781E-2"/>
          <c:w val="0.92847707700101312"/>
          <c:h val="0.69473242160519411"/>
        </c:manualLayout>
      </c:layout>
      <c:barChart>
        <c:barDir val="col"/>
        <c:grouping val="stacked"/>
        <c:varyColors val="0"/>
        <c:ser>
          <c:idx val="1"/>
          <c:order val="1"/>
          <c:tx>
            <c:strRef>
              <c:f>'výkonnost odvětví 3'!$Y$10</c:f>
              <c:strCache>
                <c:ptCount val="1"/>
                <c:pt idx="0">
                  <c:v>Building construction (contribution in p.p.)</c:v>
                </c:pt>
              </c:strCache>
            </c:strRef>
          </c:tx>
          <c:spPr>
            <a:solidFill>
              <a:srgbClr val="A6CDE9"/>
            </a:solidFill>
            <a:ln w="19050">
              <a:noFill/>
              <a:prstDash val="solid"/>
            </a:ln>
          </c:spPr>
          <c:invertIfNegative val="0"/>
          <c:cat>
            <c:multiLvlStrRef>
              <c:f>'výkonnost odvětví 3'!$V$15:$W$48</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3'!$Y$15:$Y$48</c:f>
              <c:numCache>
                <c:formatCode>0.0</c:formatCode>
                <c:ptCount val="34"/>
                <c:pt idx="0">
                  <c:v>6.2253471794327551</c:v>
                </c:pt>
                <c:pt idx="1">
                  <c:v>-1.1597331222501712</c:v>
                </c:pt>
                <c:pt idx="2">
                  <c:v>-4.2621030613208717</c:v>
                </c:pt>
                <c:pt idx="3">
                  <c:v>1.4298809490954008</c:v>
                </c:pt>
                <c:pt idx="4">
                  <c:v>-5.3023237552943012</c:v>
                </c:pt>
                <c:pt idx="5">
                  <c:v>-1.6015070985845303</c:v>
                </c:pt>
                <c:pt idx="6">
                  <c:v>-3.513940190700036</c:v>
                </c:pt>
                <c:pt idx="7">
                  <c:v>-6.7547773118798933</c:v>
                </c:pt>
                <c:pt idx="8">
                  <c:v>-7.4505405993252012</c:v>
                </c:pt>
                <c:pt idx="9">
                  <c:v>-7.6447037851662101</c:v>
                </c:pt>
                <c:pt idx="10">
                  <c:v>-1.0659022928518138</c:v>
                </c:pt>
                <c:pt idx="11">
                  <c:v>-1.9501565735716926</c:v>
                </c:pt>
                <c:pt idx="12">
                  <c:v>12.56681679281154</c:v>
                </c:pt>
                <c:pt idx="13">
                  <c:v>3.6352209593086169</c:v>
                </c:pt>
                <c:pt idx="14">
                  <c:v>-0.45250277847858089</c:v>
                </c:pt>
                <c:pt idx="15">
                  <c:v>-0.36686423022789266</c:v>
                </c:pt>
                <c:pt idx="16">
                  <c:v>6.127543917347853</c:v>
                </c:pt>
                <c:pt idx="17">
                  <c:v>5.164404138620128</c:v>
                </c:pt>
                <c:pt idx="18">
                  <c:v>0.83141650988233495</c:v>
                </c:pt>
                <c:pt idx="19">
                  <c:v>-1.797566845400477</c:v>
                </c:pt>
                <c:pt idx="20">
                  <c:v>-4.9826565284471647</c:v>
                </c:pt>
                <c:pt idx="21">
                  <c:v>-5.0877138737219081</c:v>
                </c:pt>
                <c:pt idx="22">
                  <c:v>0.80057303879562347</c:v>
                </c:pt>
                <c:pt idx="23">
                  <c:v>4.0255408231775744</c:v>
                </c:pt>
                <c:pt idx="24">
                  <c:v>2.3649506702570338</c:v>
                </c:pt>
                <c:pt idx="25">
                  <c:v>10.127641812245482</c:v>
                </c:pt>
                <c:pt idx="26">
                  <c:v>3.4978562345759912</c:v>
                </c:pt>
                <c:pt idx="27">
                  <c:v>2.6837763524711615</c:v>
                </c:pt>
                <c:pt idx="28">
                  <c:v>13.598952347475393</c:v>
                </c:pt>
                <c:pt idx="29">
                  <c:v>6.2933444870787278</c:v>
                </c:pt>
                <c:pt idx="30">
                  <c:v>7.6965069412532285</c:v>
                </c:pt>
                <c:pt idx="31">
                  <c:v>2.4809864732566731</c:v>
                </c:pt>
                <c:pt idx="32">
                  <c:v>1.6044519199183462</c:v>
                </c:pt>
                <c:pt idx="33">
                  <c:v>2.17736534922259</c:v>
                </c:pt>
              </c:numCache>
            </c:numRef>
          </c:val>
          <c:extLst>
            <c:ext xmlns:c16="http://schemas.microsoft.com/office/drawing/2014/chart" uri="{C3380CC4-5D6E-409C-BE32-E72D297353CC}">
              <c16:uniqueId val="{00000000-A501-42B7-B0CE-12B7D4AB9A5A}"/>
            </c:ext>
          </c:extLst>
        </c:ser>
        <c:ser>
          <c:idx val="2"/>
          <c:order val="2"/>
          <c:tx>
            <c:strRef>
              <c:f>'výkonnost odvětví 3'!$Z$10</c:f>
              <c:strCache>
                <c:ptCount val="1"/>
                <c:pt idx="0">
                  <c:v>Civil engineering construction (contribution in p.p.)</c:v>
                </c:pt>
              </c:strCache>
            </c:strRef>
          </c:tx>
          <c:spPr>
            <a:solidFill>
              <a:srgbClr val="E8AFB2"/>
            </a:solidFill>
            <a:ln w="19050">
              <a:noFill/>
              <a:prstDash val="solid"/>
            </a:ln>
          </c:spPr>
          <c:invertIfNegative val="0"/>
          <c:cat>
            <c:multiLvlStrRef>
              <c:f>'výkonnost odvětví 3'!$V$15:$W$48</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3'!$Z$15:$Z$48</c:f>
              <c:numCache>
                <c:formatCode>0.0</c:formatCode>
                <c:ptCount val="34"/>
                <c:pt idx="0">
                  <c:v>-0.78188106773263832</c:v>
                </c:pt>
                <c:pt idx="1">
                  <c:v>-4.0315428216413887</c:v>
                </c:pt>
                <c:pt idx="2">
                  <c:v>-4.8160517766484885</c:v>
                </c:pt>
                <c:pt idx="3">
                  <c:v>-1.9030520226553096</c:v>
                </c:pt>
                <c:pt idx="4">
                  <c:v>-4.5309950993656098</c:v>
                </c:pt>
                <c:pt idx="5">
                  <c:v>-3.3697664637722933</c:v>
                </c:pt>
                <c:pt idx="6">
                  <c:v>-2.1469085914124069</c:v>
                </c:pt>
                <c:pt idx="7">
                  <c:v>-2.7470685083037565</c:v>
                </c:pt>
                <c:pt idx="8">
                  <c:v>-3.1398706332841959</c:v>
                </c:pt>
                <c:pt idx="9">
                  <c:v>-4.0056430294225027</c:v>
                </c:pt>
                <c:pt idx="10">
                  <c:v>-3.8787162548316361</c:v>
                </c:pt>
                <c:pt idx="11">
                  <c:v>-0.65841186002818719</c:v>
                </c:pt>
                <c:pt idx="12">
                  <c:v>0.47786890208341798</c:v>
                </c:pt>
                <c:pt idx="13">
                  <c:v>1.9373005816972999</c:v>
                </c:pt>
                <c:pt idx="14">
                  <c:v>2.904796622048623</c:v>
                </c:pt>
                <c:pt idx="15">
                  <c:v>1.4962921293093394</c:v>
                </c:pt>
                <c:pt idx="16">
                  <c:v>3.0736722117337725</c:v>
                </c:pt>
                <c:pt idx="17">
                  <c:v>6.8071777084313689</c:v>
                </c:pt>
                <c:pt idx="18">
                  <c:v>7.0167829844998799</c:v>
                </c:pt>
                <c:pt idx="19">
                  <c:v>2.7188479808082135</c:v>
                </c:pt>
                <c:pt idx="20">
                  <c:v>-1.2745226201404676</c:v>
                </c:pt>
                <c:pt idx="21">
                  <c:v>-5.1422429279786392</c:v>
                </c:pt>
                <c:pt idx="22">
                  <c:v>-6.7342170705917956</c:v>
                </c:pt>
                <c:pt idx="23">
                  <c:v>-5.6651468564900309</c:v>
                </c:pt>
                <c:pt idx="24">
                  <c:v>-3.1957336147350528</c:v>
                </c:pt>
                <c:pt idx="25">
                  <c:v>-1.1415552133203699</c:v>
                </c:pt>
                <c:pt idx="26">
                  <c:v>-1.446931160346911</c:v>
                </c:pt>
                <c:pt idx="27">
                  <c:v>0.24076577813659988</c:v>
                </c:pt>
                <c:pt idx="28">
                  <c:v>1.7523515783067747</c:v>
                </c:pt>
                <c:pt idx="29">
                  <c:v>1.2044692300441482</c:v>
                </c:pt>
                <c:pt idx="30">
                  <c:v>4.715390604078415</c:v>
                </c:pt>
                <c:pt idx="31">
                  <c:v>1.8987412296744284</c:v>
                </c:pt>
                <c:pt idx="32">
                  <c:v>0.84015682786469548</c:v>
                </c:pt>
                <c:pt idx="33">
                  <c:v>1.8096790908822258</c:v>
                </c:pt>
              </c:numCache>
            </c:numRef>
          </c:val>
          <c:extLst>
            <c:ext xmlns:c16="http://schemas.microsoft.com/office/drawing/2014/chart" uri="{C3380CC4-5D6E-409C-BE32-E72D297353CC}">
              <c16:uniqueId val="{00000001-A501-42B7-B0CE-12B7D4AB9A5A}"/>
            </c:ext>
          </c:extLst>
        </c:ser>
        <c:dLbls>
          <c:showLegendKey val="0"/>
          <c:showVal val="0"/>
          <c:showCatName val="0"/>
          <c:showSerName val="0"/>
          <c:showPercent val="0"/>
          <c:showBubbleSize val="0"/>
        </c:dLbls>
        <c:gapWidth val="32"/>
        <c:overlap val="100"/>
        <c:axId val="147432960"/>
        <c:axId val="147434496"/>
      </c:barChart>
      <c:lineChart>
        <c:grouping val="standard"/>
        <c:varyColors val="0"/>
        <c:ser>
          <c:idx val="0"/>
          <c:order val="0"/>
          <c:tx>
            <c:strRef>
              <c:f>'výkonnost odvětví 3'!$X$10</c:f>
              <c:strCache>
                <c:ptCount val="1"/>
                <c:pt idx="0">
                  <c:v>Total construction ouput</c:v>
                </c:pt>
              </c:strCache>
            </c:strRef>
          </c:tx>
          <c:spPr>
            <a:ln>
              <a:noFill/>
            </a:ln>
          </c:spPr>
          <c:marker>
            <c:symbol val="dash"/>
            <c:size val="7"/>
            <c:spPr>
              <a:solidFill>
                <a:schemeClr val="tx1">
                  <a:lumMod val="95000"/>
                  <a:lumOff val="5000"/>
                </a:schemeClr>
              </a:solidFill>
              <a:ln>
                <a:noFill/>
              </a:ln>
            </c:spPr>
          </c:marker>
          <c:cat>
            <c:multiLvlStrRef>
              <c:f>'výkonnost odvětví 3'!$V$15:$W$48</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3'!$X$15:$X$48</c:f>
              <c:numCache>
                <c:formatCode>0.0</c:formatCode>
                <c:ptCount val="34"/>
                <c:pt idx="0">
                  <c:v>5.4557821324321623</c:v>
                </c:pt>
                <c:pt idx="1">
                  <c:v>-5.1731765784549708</c:v>
                </c:pt>
                <c:pt idx="2">
                  <c:v>-9.0565785023449337</c:v>
                </c:pt>
                <c:pt idx="3">
                  <c:v>-0.49376283937078824</c:v>
                </c:pt>
                <c:pt idx="4">
                  <c:v>-9.8157930981707153</c:v>
                </c:pt>
                <c:pt idx="5">
                  <c:v>-4.9423595765509987</c:v>
                </c:pt>
                <c:pt idx="6">
                  <c:v>-5.6526218343779533</c:v>
                </c:pt>
                <c:pt idx="7">
                  <c:v>-9.4988263446711017</c:v>
                </c:pt>
                <c:pt idx="8">
                  <c:v>-10.574598901416195</c:v>
                </c:pt>
                <c:pt idx="9">
                  <c:v>-11.627981895654287</c:v>
                </c:pt>
                <c:pt idx="10">
                  <c:v>-4.9359698629361333</c:v>
                </c:pt>
                <c:pt idx="11">
                  <c:v>-2.622028528480115</c:v>
                </c:pt>
                <c:pt idx="12">
                  <c:v>13.064880633808968</c:v>
                </c:pt>
                <c:pt idx="13">
                  <c:v>5.5567149112452796</c:v>
                </c:pt>
                <c:pt idx="14">
                  <c:v>2.4476299290684125</c:v>
                </c:pt>
                <c:pt idx="15">
                  <c:v>1.1192070418559581</c:v>
                </c:pt>
                <c:pt idx="16">
                  <c:v>9.1967253231964463</c:v>
                </c:pt>
                <c:pt idx="17">
                  <c:v>11.978904772286668</c:v>
                </c:pt>
                <c:pt idx="18">
                  <c:v>7.8499700759570885</c:v>
                </c:pt>
                <c:pt idx="19">
                  <c:v>0.93639063161241154</c:v>
                </c:pt>
                <c:pt idx="20">
                  <c:v>-6.2678973340206454</c:v>
                </c:pt>
                <c:pt idx="21">
                  <c:v>-10.227830277521477</c:v>
                </c:pt>
                <c:pt idx="22">
                  <c:v>-5.9107342052114831</c:v>
                </c:pt>
                <c:pt idx="23">
                  <c:v>-1.649208802201926</c:v>
                </c:pt>
                <c:pt idx="24">
                  <c:v>-0.84275819971591659</c:v>
                </c:pt>
                <c:pt idx="25">
                  <c:v>8.9951369278572741</c:v>
                </c:pt>
                <c:pt idx="26">
                  <c:v>2.0562867293753015</c:v>
                </c:pt>
                <c:pt idx="27">
                  <c:v>2.9379733268088302</c:v>
                </c:pt>
                <c:pt idx="28">
                  <c:v>15.349768758938438</c:v>
                </c:pt>
                <c:pt idx="29">
                  <c:v>7.4981477706511441</c:v>
                </c:pt>
                <c:pt idx="30">
                  <c:v>12.407397843296962</c:v>
                </c:pt>
                <c:pt idx="31">
                  <c:v>4.3053975524044716</c:v>
                </c:pt>
                <c:pt idx="32">
                  <c:v>2.4498670295558753</c:v>
                </c:pt>
                <c:pt idx="33">
                  <c:v>3.9682737617767714</c:v>
                </c:pt>
              </c:numCache>
            </c:numRef>
          </c:val>
          <c:smooth val="0"/>
          <c:extLst>
            <c:ext xmlns:c16="http://schemas.microsoft.com/office/drawing/2014/chart" uri="{C3380CC4-5D6E-409C-BE32-E72D297353CC}">
              <c16:uniqueId val="{00000002-A501-42B7-B0CE-12B7D4AB9A5A}"/>
            </c:ext>
          </c:extLst>
        </c:ser>
        <c:dLbls>
          <c:showLegendKey val="0"/>
          <c:showVal val="0"/>
          <c:showCatName val="0"/>
          <c:showSerName val="0"/>
          <c:showPercent val="0"/>
          <c:showBubbleSize val="0"/>
        </c:dLbls>
        <c:marker val="1"/>
        <c:smooth val="0"/>
        <c:axId val="147432960"/>
        <c:axId val="147434496"/>
      </c:lineChart>
      <c:lineChart>
        <c:grouping val="standard"/>
        <c:varyColors val="0"/>
        <c:ser>
          <c:idx val="3"/>
          <c:order val="3"/>
          <c:tx>
            <c:strRef>
              <c:f>'výkonnost odvětví 3'!$AA$10</c:f>
              <c:strCache>
                <c:ptCount val="1"/>
                <c:pt idx="0">
                  <c:v>New construction orders (right axis)</c:v>
                </c:pt>
              </c:strCache>
            </c:strRef>
          </c:tx>
          <c:spPr>
            <a:ln w="15875">
              <a:solidFill>
                <a:srgbClr val="984807"/>
              </a:solidFill>
              <a:prstDash val="solid"/>
            </a:ln>
          </c:spPr>
          <c:marker>
            <c:symbol val="none"/>
          </c:marker>
          <c:cat>
            <c:multiLvlStrRef>
              <c:f>'výkonnost odvětví 3'!$V$15:$W$48</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3'!$AA$15:$AA$48</c:f>
              <c:numCache>
                <c:formatCode>0.0</c:formatCode>
                <c:ptCount val="34"/>
                <c:pt idx="0">
                  <c:v>37.795405718063137</c:v>
                </c:pt>
                <c:pt idx="1">
                  <c:v>-23.565672566981206</c:v>
                </c:pt>
                <c:pt idx="2">
                  <c:v>-23.360716461156017</c:v>
                </c:pt>
                <c:pt idx="3">
                  <c:v>-9.1653963414634205</c:v>
                </c:pt>
                <c:pt idx="4">
                  <c:v>-46.3220596465979</c:v>
                </c:pt>
                <c:pt idx="5">
                  <c:v>-13.7148006307727</c:v>
                </c:pt>
                <c:pt idx="6">
                  <c:v>-7.6729748888363787</c:v>
                </c:pt>
                <c:pt idx="7">
                  <c:v>7.5624082232011745</c:v>
                </c:pt>
                <c:pt idx="8">
                  <c:v>-17.695687793252404</c:v>
                </c:pt>
                <c:pt idx="9">
                  <c:v>-1.584773641063137</c:v>
                </c:pt>
                <c:pt idx="10">
                  <c:v>-1.3308205951467045</c:v>
                </c:pt>
                <c:pt idx="11">
                  <c:v>16.153096050706978</c:v>
                </c:pt>
                <c:pt idx="12">
                  <c:v>67.509727626459153</c:v>
                </c:pt>
                <c:pt idx="13">
                  <c:v>18.978644382544104</c:v>
                </c:pt>
                <c:pt idx="14">
                  <c:v>34.050931384107542</c:v>
                </c:pt>
                <c:pt idx="15">
                  <c:v>-1</c:v>
                </c:pt>
                <c:pt idx="16">
                  <c:v>-3.1547956675580053</c:v>
                </c:pt>
                <c:pt idx="17">
                  <c:v>9.7504961091663205</c:v>
                </c:pt>
                <c:pt idx="18">
                  <c:v>-1.097606022761255</c:v>
                </c:pt>
                <c:pt idx="19">
                  <c:v>-2.3987783410040464</c:v>
                </c:pt>
                <c:pt idx="20">
                  <c:v>-6.6406358945753823</c:v>
                </c:pt>
                <c:pt idx="21">
                  <c:v>-0.49977652269311079</c:v>
                </c:pt>
                <c:pt idx="22">
                  <c:v>-7.0322087253454839</c:v>
                </c:pt>
                <c:pt idx="23">
                  <c:v>10.122126124559955</c:v>
                </c:pt>
                <c:pt idx="24">
                  <c:v>16.177217458847437</c:v>
                </c:pt>
                <c:pt idx="25">
                  <c:v>9.5350878984013008</c:v>
                </c:pt>
                <c:pt idx="26">
                  <c:v>-1.2817324431350698</c:v>
                </c:pt>
                <c:pt idx="27">
                  <c:v>15.620806693503823</c:v>
                </c:pt>
                <c:pt idx="28">
                  <c:v>30.10697387368856</c:v>
                </c:pt>
                <c:pt idx="29">
                  <c:v>32.836878110611963</c:v>
                </c:pt>
                <c:pt idx="30">
                  <c:v>5.2768249907951201</c:v>
                </c:pt>
                <c:pt idx="31">
                  <c:v>1.8944565811032277</c:v>
                </c:pt>
                <c:pt idx="32">
                  <c:v>15.580283026326185</c:v>
                </c:pt>
                <c:pt idx="33">
                  <c:v>-9.9448521673238588</c:v>
                </c:pt>
              </c:numCache>
            </c:numRef>
          </c:val>
          <c:smooth val="0"/>
          <c:extLst>
            <c:ext xmlns:c16="http://schemas.microsoft.com/office/drawing/2014/chart" uri="{C3380CC4-5D6E-409C-BE32-E72D297353CC}">
              <c16:uniqueId val="{00000003-A501-42B7-B0CE-12B7D4AB9A5A}"/>
            </c:ext>
          </c:extLst>
        </c:ser>
        <c:ser>
          <c:idx val="4"/>
          <c:order val="4"/>
          <c:tx>
            <c:strRef>
              <c:f>'výkonnost odvětví 3'!$AB$10</c:f>
              <c:strCache>
                <c:ptCount val="1"/>
                <c:pt idx="0">
                  <c:v>Growth barriers of businesses: none (right axis)*</c:v>
                </c:pt>
              </c:strCache>
            </c:strRef>
          </c:tx>
          <c:spPr>
            <a:ln w="15875">
              <a:solidFill>
                <a:srgbClr val="00B050"/>
              </a:solidFill>
            </a:ln>
          </c:spPr>
          <c:marker>
            <c:symbol val="none"/>
          </c:marker>
          <c:cat>
            <c:multiLvlStrRef>
              <c:f>'výkonnost odvětví 3'!$V$15:$W$48</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3'!$AB$15:$AB$48</c:f>
              <c:numCache>
                <c:formatCode>#\ ##0.0</c:formatCode>
                <c:ptCount val="34"/>
                <c:pt idx="0">
                  <c:v>17.099999999999998</c:v>
                </c:pt>
                <c:pt idx="1">
                  <c:v>8.0666666666666664</c:v>
                </c:pt>
                <c:pt idx="2">
                  <c:v>6.6333333333333329</c:v>
                </c:pt>
                <c:pt idx="3">
                  <c:v>6.333333333333333</c:v>
                </c:pt>
                <c:pt idx="4">
                  <c:v>4.7</c:v>
                </c:pt>
                <c:pt idx="5">
                  <c:v>9.0666666666666682</c:v>
                </c:pt>
                <c:pt idx="6">
                  <c:v>6.5666666666666664</c:v>
                </c:pt>
                <c:pt idx="7">
                  <c:v>6.0666666666666664</c:v>
                </c:pt>
                <c:pt idx="8">
                  <c:v>5.7666666666666666</c:v>
                </c:pt>
                <c:pt idx="9">
                  <c:v>5.3666666666666671</c:v>
                </c:pt>
                <c:pt idx="10">
                  <c:v>4.833333333333333</c:v>
                </c:pt>
                <c:pt idx="11">
                  <c:v>4.6333333333333329</c:v>
                </c:pt>
                <c:pt idx="12">
                  <c:v>4.8</c:v>
                </c:pt>
                <c:pt idx="13">
                  <c:v>6.1000000000000005</c:v>
                </c:pt>
                <c:pt idx="14">
                  <c:v>10.899999999999999</c:v>
                </c:pt>
                <c:pt idx="15">
                  <c:v>11.433333333333332</c:v>
                </c:pt>
                <c:pt idx="16">
                  <c:v>8.6999999999999993</c:v>
                </c:pt>
                <c:pt idx="17">
                  <c:v>9.0666666666666682</c:v>
                </c:pt>
                <c:pt idx="18">
                  <c:v>8.5666666666666664</c:v>
                </c:pt>
                <c:pt idx="19">
                  <c:v>10.4</c:v>
                </c:pt>
                <c:pt idx="20">
                  <c:v>12.166666666666666</c:v>
                </c:pt>
                <c:pt idx="21">
                  <c:v>10.866666666666665</c:v>
                </c:pt>
                <c:pt idx="22">
                  <c:v>10.5</c:v>
                </c:pt>
                <c:pt idx="23">
                  <c:v>10.533333333333333</c:v>
                </c:pt>
                <c:pt idx="24">
                  <c:v>10.966666666666669</c:v>
                </c:pt>
                <c:pt idx="25">
                  <c:v>11.733333333333334</c:v>
                </c:pt>
                <c:pt idx="26">
                  <c:v>12.433333333333335</c:v>
                </c:pt>
                <c:pt idx="27">
                  <c:v>11.066666666666668</c:v>
                </c:pt>
                <c:pt idx="28">
                  <c:v>14.066666666666668</c:v>
                </c:pt>
                <c:pt idx="29">
                  <c:v>17</c:v>
                </c:pt>
                <c:pt idx="30">
                  <c:v>16.733333333333334</c:v>
                </c:pt>
                <c:pt idx="31">
                  <c:v>16.366666666666667</c:v>
                </c:pt>
                <c:pt idx="32">
                  <c:v>17.733333333333334</c:v>
                </c:pt>
                <c:pt idx="33">
                  <c:v>17.666666666666668</c:v>
                </c:pt>
              </c:numCache>
            </c:numRef>
          </c:val>
          <c:smooth val="0"/>
          <c:extLst>
            <c:ext xmlns:c16="http://schemas.microsoft.com/office/drawing/2014/chart" uri="{C3380CC4-5D6E-409C-BE32-E72D297353CC}">
              <c16:uniqueId val="{00000004-A501-42B7-B0CE-12B7D4AB9A5A}"/>
            </c:ext>
          </c:extLst>
        </c:ser>
        <c:ser>
          <c:idx val="5"/>
          <c:order val="5"/>
          <c:tx>
            <c:strRef>
              <c:f>'výkonnost odvětví 3'!$AC$10</c:f>
              <c:strCache>
                <c:ptCount val="1"/>
                <c:pt idx="0">
                  <c:v>Growth barrier: shortage of labour (right axis)*</c:v>
                </c:pt>
              </c:strCache>
            </c:strRef>
          </c:tx>
          <c:spPr>
            <a:ln w="15875">
              <a:solidFill>
                <a:srgbClr val="00B050"/>
              </a:solidFill>
              <a:prstDash val="sysDash"/>
            </a:ln>
          </c:spPr>
          <c:marker>
            <c:symbol val="none"/>
          </c:marker>
          <c:cat>
            <c:multiLvlStrRef>
              <c:f>'výkonnost odvětví 3'!$V$15:$W$48</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3'!$AC$15:$AC$48</c:f>
              <c:numCache>
                <c:formatCode>#\ ##0.0</c:formatCode>
                <c:ptCount val="34"/>
                <c:pt idx="0">
                  <c:v>1</c:v>
                </c:pt>
                <c:pt idx="1">
                  <c:v>0.96666666666666679</c:v>
                </c:pt>
                <c:pt idx="2">
                  <c:v>1.4333333333333333</c:v>
                </c:pt>
                <c:pt idx="3">
                  <c:v>1.3</c:v>
                </c:pt>
                <c:pt idx="4">
                  <c:v>1.6333333333333335</c:v>
                </c:pt>
                <c:pt idx="5">
                  <c:v>1.9666666666666666</c:v>
                </c:pt>
                <c:pt idx="6">
                  <c:v>1.3333333333333333</c:v>
                </c:pt>
                <c:pt idx="7">
                  <c:v>1.0333333333333334</c:v>
                </c:pt>
                <c:pt idx="8">
                  <c:v>1.3333333333333333</c:v>
                </c:pt>
                <c:pt idx="9">
                  <c:v>0.76666666666666661</c:v>
                </c:pt>
                <c:pt idx="10">
                  <c:v>0.79999999999999993</c:v>
                </c:pt>
                <c:pt idx="11">
                  <c:v>1.3</c:v>
                </c:pt>
                <c:pt idx="12">
                  <c:v>1.7</c:v>
                </c:pt>
                <c:pt idx="13">
                  <c:v>2.1</c:v>
                </c:pt>
                <c:pt idx="14">
                  <c:v>2.6666666666666665</c:v>
                </c:pt>
                <c:pt idx="15">
                  <c:v>3.1666666666666665</c:v>
                </c:pt>
                <c:pt idx="16">
                  <c:v>6.5999999999999988</c:v>
                </c:pt>
                <c:pt idx="17">
                  <c:v>7.9333333333333336</c:v>
                </c:pt>
                <c:pt idx="18">
                  <c:v>7.333333333333333</c:v>
                </c:pt>
                <c:pt idx="19">
                  <c:v>7.5</c:v>
                </c:pt>
                <c:pt idx="20">
                  <c:v>5.8666666666666671</c:v>
                </c:pt>
                <c:pt idx="21">
                  <c:v>6.5666666666666673</c:v>
                </c:pt>
                <c:pt idx="22">
                  <c:v>7.666666666666667</c:v>
                </c:pt>
                <c:pt idx="23">
                  <c:v>10.066666666666668</c:v>
                </c:pt>
                <c:pt idx="24">
                  <c:v>11.966666666666667</c:v>
                </c:pt>
                <c:pt idx="25">
                  <c:v>14.766666666666666</c:v>
                </c:pt>
                <c:pt idx="26">
                  <c:v>20.633333333333329</c:v>
                </c:pt>
                <c:pt idx="27">
                  <c:v>22.133333333333336</c:v>
                </c:pt>
                <c:pt idx="28">
                  <c:v>24.433333333333334</c:v>
                </c:pt>
                <c:pt idx="29">
                  <c:v>28.333333333333332</c:v>
                </c:pt>
                <c:pt idx="30">
                  <c:v>32.966666666666661</c:v>
                </c:pt>
                <c:pt idx="31">
                  <c:v>40.699999999999996</c:v>
                </c:pt>
                <c:pt idx="32">
                  <c:v>41.733333333333327</c:v>
                </c:pt>
                <c:pt idx="33">
                  <c:v>46.199999999999996</c:v>
                </c:pt>
              </c:numCache>
            </c:numRef>
          </c:val>
          <c:smooth val="0"/>
          <c:extLst>
            <c:ext xmlns:c16="http://schemas.microsoft.com/office/drawing/2014/chart" uri="{C3380CC4-5D6E-409C-BE32-E72D297353CC}">
              <c16:uniqueId val="{00000005-A501-42B7-B0CE-12B7D4AB9A5A}"/>
            </c:ext>
          </c:extLst>
        </c:ser>
        <c:ser>
          <c:idx val="6"/>
          <c:order val="6"/>
          <c:tx>
            <c:strRef>
              <c:f>'výkonnost odvětví 3'!$AD$10</c:f>
              <c:strCache>
                <c:ptCount val="1"/>
                <c:pt idx="0">
                  <c:v>Balance of confidence indicator in construction (right axis)*</c:v>
                </c:pt>
              </c:strCache>
            </c:strRef>
          </c:tx>
          <c:spPr>
            <a:ln>
              <a:noFill/>
            </a:ln>
          </c:spPr>
          <c:marker>
            <c:symbol val="diamond"/>
            <c:size val="5"/>
            <c:spPr>
              <a:solidFill>
                <a:srgbClr val="FFFF00"/>
              </a:solidFill>
              <a:ln>
                <a:solidFill>
                  <a:prstClr val="black">
                    <a:lumMod val="95000"/>
                    <a:lumOff val="5000"/>
                  </a:prstClr>
                </a:solidFill>
              </a:ln>
            </c:spPr>
          </c:marker>
          <c:cat>
            <c:multiLvlStrRef>
              <c:f>'výkonnost odvětví 3'!$V$15:$W$48</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3'!$AD$15:$AD$48</c:f>
              <c:numCache>
                <c:formatCode>0.0</c:formatCode>
                <c:ptCount val="34"/>
                <c:pt idx="0">
                  <c:v>-40</c:v>
                </c:pt>
                <c:pt idx="1">
                  <c:v>-40.333333333333336</c:v>
                </c:pt>
                <c:pt idx="2">
                  <c:v>-39.166666666666664</c:v>
                </c:pt>
                <c:pt idx="3">
                  <c:v>-39.333333333333336</c:v>
                </c:pt>
                <c:pt idx="4">
                  <c:v>-46</c:v>
                </c:pt>
                <c:pt idx="5">
                  <c:v>-45.333333333333336</c:v>
                </c:pt>
                <c:pt idx="6">
                  <c:v>-43.5</c:v>
                </c:pt>
                <c:pt idx="7">
                  <c:v>-44.666666666666664</c:v>
                </c:pt>
                <c:pt idx="8">
                  <c:v>-46</c:v>
                </c:pt>
                <c:pt idx="9">
                  <c:v>-53.333333333333336</c:v>
                </c:pt>
                <c:pt idx="10">
                  <c:v>-49.5</c:v>
                </c:pt>
                <c:pt idx="11">
                  <c:v>-50.833333333333336</c:v>
                </c:pt>
                <c:pt idx="12">
                  <c:v>-45.166666666666664</c:v>
                </c:pt>
                <c:pt idx="13">
                  <c:v>-38.333333333333336</c:v>
                </c:pt>
                <c:pt idx="14">
                  <c:v>-32</c:v>
                </c:pt>
                <c:pt idx="15">
                  <c:v>-25.166666666666668</c:v>
                </c:pt>
                <c:pt idx="16">
                  <c:v>-20.833333333333332</c:v>
                </c:pt>
                <c:pt idx="17">
                  <c:v>-16.333333333333332</c:v>
                </c:pt>
                <c:pt idx="18">
                  <c:v>-18.666666666666668</c:v>
                </c:pt>
                <c:pt idx="19">
                  <c:v>-15.666666666666666</c:v>
                </c:pt>
                <c:pt idx="20">
                  <c:v>-17.166666666666668</c:v>
                </c:pt>
                <c:pt idx="21">
                  <c:v>-24</c:v>
                </c:pt>
                <c:pt idx="22">
                  <c:v>-26.666666666666668</c:v>
                </c:pt>
                <c:pt idx="23">
                  <c:v>-25.833333333333332</c:v>
                </c:pt>
                <c:pt idx="24">
                  <c:v>-24.5</c:v>
                </c:pt>
                <c:pt idx="25">
                  <c:v>-22.666666666666668</c:v>
                </c:pt>
                <c:pt idx="26">
                  <c:v>-19.833333333333332</c:v>
                </c:pt>
                <c:pt idx="27">
                  <c:v>-15.166666666666666</c:v>
                </c:pt>
                <c:pt idx="28">
                  <c:v>-9.6666666666666661</c:v>
                </c:pt>
                <c:pt idx="29">
                  <c:v>-5.666666666666667</c:v>
                </c:pt>
                <c:pt idx="30">
                  <c:v>-3.1666666666666665</c:v>
                </c:pt>
                <c:pt idx="31">
                  <c:v>0.83333333333333337</c:v>
                </c:pt>
                <c:pt idx="32">
                  <c:v>4.666666666666667</c:v>
                </c:pt>
                <c:pt idx="33">
                  <c:v>3.8333333333333335</c:v>
                </c:pt>
              </c:numCache>
            </c:numRef>
          </c:val>
          <c:smooth val="0"/>
          <c:extLst>
            <c:ext xmlns:c16="http://schemas.microsoft.com/office/drawing/2014/chart" uri="{C3380CC4-5D6E-409C-BE32-E72D297353CC}">
              <c16:uniqueId val="{00000006-A501-42B7-B0CE-12B7D4AB9A5A}"/>
            </c:ext>
          </c:extLst>
        </c:ser>
        <c:dLbls>
          <c:showLegendKey val="0"/>
          <c:showVal val="0"/>
          <c:showCatName val="0"/>
          <c:showSerName val="0"/>
          <c:showPercent val="0"/>
          <c:showBubbleSize val="0"/>
        </c:dLbls>
        <c:marker val="1"/>
        <c:smooth val="0"/>
        <c:axId val="147650816"/>
        <c:axId val="147649280"/>
      </c:lineChart>
      <c:catAx>
        <c:axId val="147432960"/>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47434496"/>
        <c:crossesAt val="0"/>
        <c:auto val="0"/>
        <c:lblAlgn val="ctr"/>
        <c:lblOffset val="0"/>
        <c:tickLblSkip val="1"/>
        <c:tickMarkSkip val="4"/>
        <c:noMultiLvlLbl val="0"/>
      </c:catAx>
      <c:valAx>
        <c:axId val="147434496"/>
        <c:scaling>
          <c:orientation val="minMax"/>
          <c:max val="25"/>
          <c:min val="-30"/>
        </c:scaling>
        <c:delete val="0"/>
        <c:axPos val="l"/>
        <c:majorGridlines>
          <c:spPr>
            <a:ln w="6350">
              <a:solidFill>
                <a:schemeClr val="bg1">
                  <a:lumMod val="75000"/>
                </a:schemeClr>
              </a:solidFill>
            </a:ln>
          </c:spPr>
        </c:majorGridlines>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47432960"/>
        <c:crosses val="autoZero"/>
        <c:crossBetween val="between"/>
        <c:majorUnit val="5"/>
      </c:valAx>
      <c:valAx>
        <c:axId val="147649280"/>
        <c:scaling>
          <c:orientation val="minMax"/>
          <c:max val="50"/>
          <c:min val="-60"/>
        </c:scaling>
        <c:delete val="0"/>
        <c:axPos val="r"/>
        <c:numFmt formatCode="0" sourceLinked="0"/>
        <c:majorTickMark val="out"/>
        <c:minorTickMark val="none"/>
        <c:tickLblPos val="nextTo"/>
        <c:crossAx val="147650816"/>
        <c:crosses val="max"/>
        <c:crossBetween val="between"/>
        <c:majorUnit val="10"/>
      </c:valAx>
      <c:catAx>
        <c:axId val="147650816"/>
        <c:scaling>
          <c:orientation val="minMax"/>
        </c:scaling>
        <c:delete val="1"/>
        <c:axPos val="b"/>
        <c:numFmt formatCode="General" sourceLinked="1"/>
        <c:majorTickMark val="out"/>
        <c:minorTickMark val="none"/>
        <c:tickLblPos val="none"/>
        <c:crossAx val="147649280"/>
        <c:crosses val="autoZero"/>
        <c:auto val="1"/>
        <c:lblAlgn val="ctr"/>
        <c:lblOffset val="100"/>
        <c:noMultiLvlLbl val="0"/>
      </c:catAx>
      <c:spPr>
        <a:solidFill>
          <a:srgbClr val="FFFFFF"/>
        </a:solidFill>
        <a:ln w="9525">
          <a:solidFill>
            <a:schemeClr val="tx1"/>
          </a:solidFill>
        </a:ln>
      </c:spPr>
    </c:plotArea>
    <c:legend>
      <c:legendPos val="b"/>
      <c:layout>
        <c:manualLayout>
          <c:xMode val="edge"/>
          <c:yMode val="edge"/>
          <c:x val="5.1996990600997529E-2"/>
          <c:y val="0.80052427012441341"/>
          <c:w val="0.89198450558410203"/>
          <c:h val="0.19696394718329002"/>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3337294494629933E-2"/>
          <c:y val="1.6432335801879864E-2"/>
          <c:w val="0.91372590696101663"/>
          <c:h val="0.75458469148421803"/>
        </c:manualLayout>
      </c:layout>
      <c:barChart>
        <c:barDir val="col"/>
        <c:grouping val="clustered"/>
        <c:varyColors val="0"/>
        <c:ser>
          <c:idx val="0"/>
          <c:order val="0"/>
          <c:tx>
            <c:strRef>
              <c:f>'výkonnost odvětví 4'!$B$52</c:f>
              <c:strCache>
                <c:ptCount val="1"/>
                <c:pt idx="0">
                  <c:v>Total services</c:v>
                </c:pt>
              </c:strCache>
            </c:strRef>
          </c:tx>
          <c:spPr>
            <a:solidFill>
              <a:srgbClr val="BEBEBE"/>
            </a:solidFill>
          </c:spPr>
          <c:invertIfNegative val="0"/>
          <c:cat>
            <c:multiLvlStrRef>
              <c:f>'výkonnost odvětví 4'!$G$50:$AN$51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4'!$G$52:$AN$52</c:f>
              <c:numCache>
                <c:formatCode>##0.0</c:formatCode>
                <c:ptCount val="34"/>
                <c:pt idx="0">
                  <c:v>97.408341476700002</c:v>
                </c:pt>
                <c:pt idx="1">
                  <c:v>97.673223460000003</c:v>
                </c:pt>
                <c:pt idx="2">
                  <c:v>95.615114413300006</c:v>
                </c:pt>
                <c:pt idx="3">
                  <c:v>96.523836689999996</c:v>
                </c:pt>
                <c:pt idx="4">
                  <c:v>97.055498293300005</c:v>
                </c:pt>
                <c:pt idx="5">
                  <c:v>96.470807876699993</c:v>
                </c:pt>
                <c:pt idx="6">
                  <c:v>96.767490219999999</c:v>
                </c:pt>
                <c:pt idx="7">
                  <c:v>95.497615596700001</c:v>
                </c:pt>
                <c:pt idx="8">
                  <c:v>96.612751270000004</c:v>
                </c:pt>
                <c:pt idx="9">
                  <c:v>95.725248463300005</c:v>
                </c:pt>
                <c:pt idx="10">
                  <c:v>95.402295673300003</c:v>
                </c:pt>
                <c:pt idx="11">
                  <c:v>97.041291946699999</c:v>
                </c:pt>
                <c:pt idx="12">
                  <c:v>95.941201626700007</c:v>
                </c:pt>
                <c:pt idx="13">
                  <c:v>97.145665609999995</c:v>
                </c:pt>
                <c:pt idx="14">
                  <c:v>97.712548416700002</c:v>
                </c:pt>
                <c:pt idx="15">
                  <c:v>98.138023976699998</c:v>
                </c:pt>
                <c:pt idx="16">
                  <c:v>98.971396589999998</c:v>
                </c:pt>
                <c:pt idx="17">
                  <c:v>99.880066310000004</c:v>
                </c:pt>
                <c:pt idx="18">
                  <c:v>100.4636147633</c:v>
                </c:pt>
                <c:pt idx="19">
                  <c:v>100.68492234</c:v>
                </c:pt>
                <c:pt idx="20">
                  <c:v>99.67624653</c:v>
                </c:pt>
                <c:pt idx="21">
                  <c:v>99.824075149999999</c:v>
                </c:pt>
                <c:pt idx="22">
                  <c:v>101.6277266833</c:v>
                </c:pt>
                <c:pt idx="23">
                  <c:v>103.0943828967</c:v>
                </c:pt>
                <c:pt idx="24">
                  <c:v>103.8295094333</c:v>
                </c:pt>
                <c:pt idx="25">
                  <c:v>105.0216821067</c:v>
                </c:pt>
                <c:pt idx="26">
                  <c:v>105.22416738</c:v>
                </c:pt>
                <c:pt idx="27">
                  <c:v>106.6191803767</c:v>
                </c:pt>
                <c:pt idx="28">
                  <c:v>108.3697590133</c:v>
                </c:pt>
                <c:pt idx="29">
                  <c:v>108.44953795000001</c:v>
                </c:pt>
                <c:pt idx="30">
                  <c:v>109.0935050467</c:v>
                </c:pt>
                <c:pt idx="31">
                  <c:v>108.45909383670001</c:v>
                </c:pt>
                <c:pt idx="32">
                  <c:v>110.20549541</c:v>
                </c:pt>
                <c:pt idx="33">
                  <c:v>110.0235730233</c:v>
                </c:pt>
              </c:numCache>
            </c:numRef>
          </c:val>
          <c:extLst>
            <c:ext xmlns:c16="http://schemas.microsoft.com/office/drawing/2014/chart" uri="{C3380CC4-5D6E-409C-BE32-E72D297353CC}">
              <c16:uniqueId val="{00000000-7CA3-44ED-9C5D-2DB8040C10AA}"/>
            </c:ext>
          </c:extLst>
        </c:ser>
        <c:dLbls>
          <c:showLegendKey val="0"/>
          <c:showVal val="0"/>
          <c:showCatName val="0"/>
          <c:showSerName val="0"/>
          <c:showPercent val="0"/>
          <c:showBubbleSize val="0"/>
        </c:dLbls>
        <c:gapWidth val="31"/>
        <c:axId val="155616768"/>
        <c:axId val="155618304"/>
      </c:barChart>
      <c:lineChart>
        <c:grouping val="standard"/>
        <c:varyColors val="0"/>
        <c:ser>
          <c:idx val="1"/>
          <c:order val="1"/>
          <c:tx>
            <c:strRef>
              <c:f>'výkonnost odvětví 4'!$B$53</c:f>
              <c:strCache>
                <c:ptCount val="1"/>
                <c:pt idx="0">
                  <c:v>Transporting and storage</c:v>
                </c:pt>
              </c:strCache>
            </c:strRef>
          </c:tx>
          <c:spPr>
            <a:ln w="19050">
              <a:solidFill>
                <a:srgbClr val="BD1B21"/>
              </a:solidFill>
              <a:prstDash val="solid"/>
            </a:ln>
          </c:spPr>
          <c:marker>
            <c:symbol val="none"/>
          </c:marker>
          <c:cat>
            <c:multiLvlStrRef>
              <c:f>'výkonnost odvětví 4'!$G$50:$AN$51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4'!$G$53:$AN$53</c:f>
              <c:numCache>
                <c:formatCode>##0.0</c:formatCode>
                <c:ptCount val="34"/>
                <c:pt idx="0">
                  <c:v>92.210011063300001</c:v>
                </c:pt>
                <c:pt idx="1">
                  <c:v>92.474497493300007</c:v>
                </c:pt>
                <c:pt idx="2">
                  <c:v>91.734237136700003</c:v>
                </c:pt>
                <c:pt idx="3">
                  <c:v>93.153898639999994</c:v>
                </c:pt>
                <c:pt idx="4">
                  <c:v>93.059891160000006</c:v>
                </c:pt>
                <c:pt idx="5">
                  <c:v>94.331590070000004</c:v>
                </c:pt>
                <c:pt idx="6">
                  <c:v>95.441342079999998</c:v>
                </c:pt>
                <c:pt idx="7">
                  <c:v>91.637415166699995</c:v>
                </c:pt>
                <c:pt idx="8">
                  <c:v>95.377032940000007</c:v>
                </c:pt>
                <c:pt idx="9">
                  <c:v>96.793121366700007</c:v>
                </c:pt>
                <c:pt idx="10">
                  <c:v>96.932984579999996</c:v>
                </c:pt>
                <c:pt idx="11">
                  <c:v>100.9396146967</c:v>
                </c:pt>
                <c:pt idx="12">
                  <c:v>98.534688753300003</c:v>
                </c:pt>
                <c:pt idx="13">
                  <c:v>99.283679430000007</c:v>
                </c:pt>
                <c:pt idx="14">
                  <c:v>100.26162911670001</c:v>
                </c:pt>
                <c:pt idx="15">
                  <c:v>100.3678235733</c:v>
                </c:pt>
                <c:pt idx="16">
                  <c:v>98.917278916699999</c:v>
                </c:pt>
                <c:pt idx="17">
                  <c:v>99.292593073299997</c:v>
                </c:pt>
                <c:pt idx="18">
                  <c:v>100.89777098</c:v>
                </c:pt>
                <c:pt idx="19">
                  <c:v>100.89235703</c:v>
                </c:pt>
                <c:pt idx="20">
                  <c:v>99.603183426699999</c:v>
                </c:pt>
                <c:pt idx="21">
                  <c:v>100.40261469329999</c:v>
                </c:pt>
                <c:pt idx="22">
                  <c:v>101.26453315000001</c:v>
                </c:pt>
                <c:pt idx="23">
                  <c:v>103.9548502967</c:v>
                </c:pt>
                <c:pt idx="24">
                  <c:v>104.40231455999999</c:v>
                </c:pt>
                <c:pt idx="25">
                  <c:v>104.1461293067</c:v>
                </c:pt>
                <c:pt idx="26">
                  <c:v>105.0382679933</c:v>
                </c:pt>
                <c:pt idx="27">
                  <c:v>106.5770284167</c:v>
                </c:pt>
                <c:pt idx="28">
                  <c:v>110.15857635330001</c:v>
                </c:pt>
                <c:pt idx="29">
                  <c:v>110.73474345</c:v>
                </c:pt>
                <c:pt idx="30">
                  <c:v>110.35349596</c:v>
                </c:pt>
                <c:pt idx="31">
                  <c:v>108.8676015833</c:v>
                </c:pt>
                <c:pt idx="32">
                  <c:v>111.4287534833</c:v>
                </c:pt>
                <c:pt idx="33">
                  <c:v>110.26574304330001</c:v>
                </c:pt>
              </c:numCache>
            </c:numRef>
          </c:val>
          <c:smooth val="0"/>
          <c:extLst>
            <c:ext xmlns:c16="http://schemas.microsoft.com/office/drawing/2014/chart" uri="{C3380CC4-5D6E-409C-BE32-E72D297353CC}">
              <c16:uniqueId val="{00000001-7CA3-44ED-9C5D-2DB8040C10AA}"/>
            </c:ext>
          </c:extLst>
        </c:ser>
        <c:ser>
          <c:idx val="2"/>
          <c:order val="2"/>
          <c:tx>
            <c:strRef>
              <c:f>'výkonnost odvětví 4'!$B$54</c:f>
              <c:strCache>
                <c:ptCount val="1"/>
                <c:pt idx="0">
                  <c:v>Accommodation, food service activities</c:v>
                </c:pt>
              </c:strCache>
            </c:strRef>
          </c:tx>
          <c:spPr>
            <a:ln w="19050">
              <a:solidFill>
                <a:srgbClr val="F8A124"/>
              </a:solidFill>
              <a:prstDash val="solid"/>
            </a:ln>
          </c:spPr>
          <c:marker>
            <c:symbol val="none"/>
          </c:marker>
          <c:cat>
            <c:multiLvlStrRef>
              <c:f>'výkonnost odvětví 4'!$G$50:$AN$51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4'!$G$54:$AN$54</c:f>
              <c:numCache>
                <c:formatCode>##0.0</c:formatCode>
                <c:ptCount val="34"/>
                <c:pt idx="0">
                  <c:v>95.718670136699998</c:v>
                </c:pt>
                <c:pt idx="1">
                  <c:v>96.548342236699995</c:v>
                </c:pt>
                <c:pt idx="2">
                  <c:v>94.814050850000001</c:v>
                </c:pt>
                <c:pt idx="3">
                  <c:v>94.660125796700001</c:v>
                </c:pt>
                <c:pt idx="4">
                  <c:v>93.776267693299999</c:v>
                </c:pt>
                <c:pt idx="5">
                  <c:v>93.242880263299995</c:v>
                </c:pt>
                <c:pt idx="6">
                  <c:v>92.942876706700005</c:v>
                </c:pt>
                <c:pt idx="7">
                  <c:v>92.760785166700003</c:v>
                </c:pt>
                <c:pt idx="8">
                  <c:v>93.421747873300006</c:v>
                </c:pt>
                <c:pt idx="9">
                  <c:v>92.951178133300004</c:v>
                </c:pt>
                <c:pt idx="10">
                  <c:v>93.656029356700003</c:v>
                </c:pt>
                <c:pt idx="11">
                  <c:v>92.960213803299993</c:v>
                </c:pt>
                <c:pt idx="12">
                  <c:v>93.364144249999995</c:v>
                </c:pt>
                <c:pt idx="13">
                  <c:v>93.485621039999998</c:v>
                </c:pt>
                <c:pt idx="14">
                  <c:v>94.020559879999993</c:v>
                </c:pt>
                <c:pt idx="15">
                  <c:v>96.910029949999995</c:v>
                </c:pt>
                <c:pt idx="16">
                  <c:v>97.350410176699995</c:v>
                </c:pt>
                <c:pt idx="17">
                  <c:v>100.0926208967</c:v>
                </c:pt>
                <c:pt idx="18">
                  <c:v>100.9442236933</c:v>
                </c:pt>
                <c:pt idx="19">
                  <c:v>101.61274523669999</c:v>
                </c:pt>
                <c:pt idx="20">
                  <c:v>102.5644864233</c:v>
                </c:pt>
                <c:pt idx="21">
                  <c:v>103.55460004</c:v>
                </c:pt>
                <c:pt idx="22">
                  <c:v>108.0853410333</c:v>
                </c:pt>
                <c:pt idx="23">
                  <c:v>110.33791934</c:v>
                </c:pt>
                <c:pt idx="24">
                  <c:v>113.63843531329999</c:v>
                </c:pt>
                <c:pt idx="25">
                  <c:v>116.4049086867</c:v>
                </c:pt>
                <c:pt idx="26">
                  <c:v>116.2571430567</c:v>
                </c:pt>
                <c:pt idx="27">
                  <c:v>117.15596084329999</c:v>
                </c:pt>
                <c:pt idx="28">
                  <c:v>116.9576648967</c:v>
                </c:pt>
                <c:pt idx="29">
                  <c:v>117.0004329267</c:v>
                </c:pt>
                <c:pt idx="30">
                  <c:v>117.43490011</c:v>
                </c:pt>
                <c:pt idx="31">
                  <c:v>117.74022512000001</c:v>
                </c:pt>
                <c:pt idx="32">
                  <c:v>118.8522381367</c:v>
                </c:pt>
                <c:pt idx="33">
                  <c:v>118.9930466233</c:v>
                </c:pt>
              </c:numCache>
            </c:numRef>
          </c:val>
          <c:smooth val="0"/>
          <c:extLst>
            <c:ext xmlns:c16="http://schemas.microsoft.com/office/drawing/2014/chart" uri="{C3380CC4-5D6E-409C-BE32-E72D297353CC}">
              <c16:uniqueId val="{00000002-7CA3-44ED-9C5D-2DB8040C10AA}"/>
            </c:ext>
          </c:extLst>
        </c:ser>
        <c:ser>
          <c:idx val="3"/>
          <c:order val="3"/>
          <c:tx>
            <c:strRef>
              <c:f>'výkonnost odvětví 4'!$B$55</c:f>
              <c:strCache>
                <c:ptCount val="1"/>
                <c:pt idx="0">
                  <c:v>Information and communication activities</c:v>
                </c:pt>
              </c:strCache>
            </c:strRef>
          </c:tx>
          <c:spPr>
            <a:ln w="19050">
              <a:solidFill>
                <a:srgbClr val="48AEE7"/>
              </a:solidFill>
            </a:ln>
          </c:spPr>
          <c:marker>
            <c:symbol val="none"/>
          </c:marker>
          <c:cat>
            <c:multiLvlStrRef>
              <c:f>'výkonnost odvětví 4'!$G$50:$AN$51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4'!$G$55:$AN$55</c:f>
              <c:numCache>
                <c:formatCode>##0.0</c:formatCode>
                <c:ptCount val="34"/>
                <c:pt idx="0">
                  <c:v>94.331796929999996</c:v>
                </c:pt>
                <c:pt idx="1">
                  <c:v>93.926248043300006</c:v>
                </c:pt>
                <c:pt idx="2">
                  <c:v>93.410856240000001</c:v>
                </c:pt>
                <c:pt idx="3">
                  <c:v>93.127078573299997</c:v>
                </c:pt>
                <c:pt idx="4">
                  <c:v>94.589829010000003</c:v>
                </c:pt>
                <c:pt idx="5">
                  <c:v>93.935713879999994</c:v>
                </c:pt>
                <c:pt idx="6">
                  <c:v>94.961086193300005</c:v>
                </c:pt>
                <c:pt idx="7">
                  <c:v>92.964281736700002</c:v>
                </c:pt>
                <c:pt idx="8">
                  <c:v>92.784363040000002</c:v>
                </c:pt>
                <c:pt idx="9">
                  <c:v>93.858123226700002</c:v>
                </c:pt>
                <c:pt idx="10">
                  <c:v>92.935331973299995</c:v>
                </c:pt>
                <c:pt idx="11">
                  <c:v>93.07724374</c:v>
                </c:pt>
                <c:pt idx="12">
                  <c:v>92.812725093300003</c:v>
                </c:pt>
                <c:pt idx="13">
                  <c:v>94.719704980000003</c:v>
                </c:pt>
                <c:pt idx="14">
                  <c:v>95.671175149999996</c:v>
                </c:pt>
                <c:pt idx="15">
                  <c:v>95.9042947067</c:v>
                </c:pt>
                <c:pt idx="16">
                  <c:v>98.619002113299999</c:v>
                </c:pt>
                <c:pt idx="17">
                  <c:v>99.336667526699998</c:v>
                </c:pt>
                <c:pt idx="18">
                  <c:v>99.878350310000002</c:v>
                </c:pt>
                <c:pt idx="19">
                  <c:v>102.1659800433</c:v>
                </c:pt>
                <c:pt idx="20">
                  <c:v>100.1542872667</c:v>
                </c:pt>
                <c:pt idx="21">
                  <c:v>100.1541973067</c:v>
                </c:pt>
                <c:pt idx="22">
                  <c:v>101.5419151</c:v>
                </c:pt>
                <c:pt idx="23">
                  <c:v>103.61662317</c:v>
                </c:pt>
                <c:pt idx="24">
                  <c:v>103.24120451</c:v>
                </c:pt>
                <c:pt idx="25">
                  <c:v>105.8681786233</c:v>
                </c:pt>
                <c:pt idx="26">
                  <c:v>105.70023114</c:v>
                </c:pt>
                <c:pt idx="27">
                  <c:v>107.5343500267</c:v>
                </c:pt>
                <c:pt idx="28">
                  <c:v>110.5575188633</c:v>
                </c:pt>
                <c:pt idx="29">
                  <c:v>110.0745657267</c:v>
                </c:pt>
                <c:pt idx="30">
                  <c:v>113.26740821</c:v>
                </c:pt>
                <c:pt idx="31">
                  <c:v>113.3240934633</c:v>
                </c:pt>
                <c:pt idx="32">
                  <c:v>115.85762151669999</c:v>
                </c:pt>
                <c:pt idx="33">
                  <c:v>117.16059919</c:v>
                </c:pt>
              </c:numCache>
            </c:numRef>
          </c:val>
          <c:smooth val="0"/>
          <c:extLst>
            <c:ext xmlns:c16="http://schemas.microsoft.com/office/drawing/2014/chart" uri="{C3380CC4-5D6E-409C-BE32-E72D297353CC}">
              <c16:uniqueId val="{00000003-7CA3-44ED-9C5D-2DB8040C10AA}"/>
            </c:ext>
          </c:extLst>
        </c:ser>
        <c:ser>
          <c:idx val="4"/>
          <c:order val="4"/>
          <c:tx>
            <c:strRef>
              <c:f>'výkonnost odvětví 4'!$B$56</c:f>
              <c:strCache>
                <c:ptCount val="1"/>
                <c:pt idx="0">
                  <c:v>Real estate activities</c:v>
                </c:pt>
              </c:strCache>
            </c:strRef>
          </c:tx>
          <c:spPr>
            <a:ln w="19050">
              <a:solidFill>
                <a:srgbClr val="7DBB2D"/>
              </a:solidFill>
            </a:ln>
          </c:spPr>
          <c:marker>
            <c:symbol val="none"/>
          </c:marker>
          <c:cat>
            <c:multiLvlStrRef>
              <c:f>'výkonnost odvětví 4'!$G$50:$AN$51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4'!$G$56:$AN$56</c:f>
              <c:numCache>
                <c:formatCode>##0.0</c:formatCode>
                <c:ptCount val="34"/>
                <c:pt idx="0">
                  <c:v>109.75940683330001</c:v>
                </c:pt>
                <c:pt idx="1">
                  <c:v>108.1235870033</c:v>
                </c:pt>
                <c:pt idx="2">
                  <c:v>106.9661465133</c:v>
                </c:pt>
                <c:pt idx="3">
                  <c:v>105.50815548999999</c:v>
                </c:pt>
                <c:pt idx="4">
                  <c:v>103.75922661</c:v>
                </c:pt>
                <c:pt idx="5">
                  <c:v>102.94533345000001</c:v>
                </c:pt>
                <c:pt idx="6">
                  <c:v>101.2251304033</c:v>
                </c:pt>
                <c:pt idx="7">
                  <c:v>102.0329600667</c:v>
                </c:pt>
                <c:pt idx="8">
                  <c:v>101.7413418167</c:v>
                </c:pt>
                <c:pt idx="9">
                  <c:v>99.857792506699994</c:v>
                </c:pt>
                <c:pt idx="10">
                  <c:v>100.16564681</c:v>
                </c:pt>
                <c:pt idx="11">
                  <c:v>99.115132873299999</c:v>
                </c:pt>
                <c:pt idx="12">
                  <c:v>98.881896746699994</c:v>
                </c:pt>
                <c:pt idx="13">
                  <c:v>99.888891349999994</c:v>
                </c:pt>
                <c:pt idx="14">
                  <c:v>99.787170353299999</c:v>
                </c:pt>
                <c:pt idx="15">
                  <c:v>99.2056797133</c:v>
                </c:pt>
                <c:pt idx="16">
                  <c:v>99.247011976699994</c:v>
                </c:pt>
                <c:pt idx="17">
                  <c:v>99.815255413299994</c:v>
                </c:pt>
                <c:pt idx="18">
                  <c:v>100.2707147333</c:v>
                </c:pt>
                <c:pt idx="19">
                  <c:v>100.66701788</c:v>
                </c:pt>
                <c:pt idx="20">
                  <c:v>100.45642703</c:v>
                </c:pt>
                <c:pt idx="21">
                  <c:v>100.3814015167</c:v>
                </c:pt>
                <c:pt idx="22">
                  <c:v>101.7128348967</c:v>
                </c:pt>
                <c:pt idx="23">
                  <c:v>101.20694154669999</c:v>
                </c:pt>
                <c:pt idx="24">
                  <c:v>102.6310566033</c:v>
                </c:pt>
                <c:pt idx="25">
                  <c:v>103.4044068467</c:v>
                </c:pt>
                <c:pt idx="26">
                  <c:v>102.3258486033</c:v>
                </c:pt>
                <c:pt idx="27">
                  <c:v>102.68216545</c:v>
                </c:pt>
                <c:pt idx="28">
                  <c:v>101.8807956567</c:v>
                </c:pt>
                <c:pt idx="29">
                  <c:v>101.66419071</c:v>
                </c:pt>
                <c:pt idx="30">
                  <c:v>101.32271497000001</c:v>
                </c:pt>
                <c:pt idx="31">
                  <c:v>101.1211816367</c:v>
                </c:pt>
                <c:pt idx="32">
                  <c:v>101.7330508733</c:v>
                </c:pt>
                <c:pt idx="33">
                  <c:v>100.97507813999999</c:v>
                </c:pt>
              </c:numCache>
            </c:numRef>
          </c:val>
          <c:smooth val="0"/>
          <c:extLst>
            <c:ext xmlns:c16="http://schemas.microsoft.com/office/drawing/2014/chart" uri="{C3380CC4-5D6E-409C-BE32-E72D297353CC}">
              <c16:uniqueId val="{00000004-7CA3-44ED-9C5D-2DB8040C10AA}"/>
            </c:ext>
          </c:extLst>
        </c:ser>
        <c:ser>
          <c:idx val="5"/>
          <c:order val="5"/>
          <c:tx>
            <c:strRef>
              <c:f>'výkonnost odvětví 4'!$B$57</c:f>
              <c:strCache>
                <c:ptCount val="1"/>
                <c:pt idx="0">
                  <c:v>Professional, scientific and technic. activities</c:v>
                </c:pt>
              </c:strCache>
            </c:strRef>
          </c:tx>
          <c:spPr>
            <a:ln w="19050">
              <a:solidFill>
                <a:srgbClr val="0071BC"/>
              </a:solidFill>
            </a:ln>
          </c:spPr>
          <c:marker>
            <c:symbol val="none"/>
          </c:marker>
          <c:cat>
            <c:multiLvlStrRef>
              <c:f>'výkonnost odvětví 4'!$G$50:$AN$51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4'!$G$57:$AN$57</c:f>
              <c:numCache>
                <c:formatCode>##0.0</c:formatCode>
                <c:ptCount val="34"/>
                <c:pt idx="0">
                  <c:v>110.3599323233</c:v>
                </c:pt>
                <c:pt idx="1">
                  <c:v>110.9959443833</c:v>
                </c:pt>
                <c:pt idx="2">
                  <c:v>105.1258649067</c:v>
                </c:pt>
                <c:pt idx="3">
                  <c:v>104.91580485</c:v>
                </c:pt>
                <c:pt idx="4">
                  <c:v>107.5432417433</c:v>
                </c:pt>
                <c:pt idx="5">
                  <c:v>104.6911563467</c:v>
                </c:pt>
                <c:pt idx="6">
                  <c:v>105.1031939267</c:v>
                </c:pt>
                <c:pt idx="7">
                  <c:v>103.9203424233</c:v>
                </c:pt>
                <c:pt idx="8">
                  <c:v>102.27832457</c:v>
                </c:pt>
                <c:pt idx="9">
                  <c:v>96.831860270000007</c:v>
                </c:pt>
                <c:pt idx="10">
                  <c:v>95.386709839999995</c:v>
                </c:pt>
                <c:pt idx="11">
                  <c:v>98.122475890000004</c:v>
                </c:pt>
                <c:pt idx="12">
                  <c:v>95.471230079999998</c:v>
                </c:pt>
                <c:pt idx="13">
                  <c:v>97.15151444</c:v>
                </c:pt>
                <c:pt idx="14">
                  <c:v>97.239541669999994</c:v>
                </c:pt>
                <c:pt idx="15">
                  <c:v>97.369149546700001</c:v>
                </c:pt>
                <c:pt idx="16">
                  <c:v>100.22249622</c:v>
                </c:pt>
                <c:pt idx="17">
                  <c:v>101.0636779667</c:v>
                </c:pt>
                <c:pt idx="18">
                  <c:v>100.12507582000001</c:v>
                </c:pt>
                <c:pt idx="19">
                  <c:v>98.588749989999997</c:v>
                </c:pt>
                <c:pt idx="20">
                  <c:v>97.316872116699997</c:v>
                </c:pt>
                <c:pt idx="21">
                  <c:v>96.183428083300001</c:v>
                </c:pt>
                <c:pt idx="22">
                  <c:v>98.710106699999997</c:v>
                </c:pt>
                <c:pt idx="23">
                  <c:v>98.210333550000001</c:v>
                </c:pt>
                <c:pt idx="24">
                  <c:v>98.773410503299999</c:v>
                </c:pt>
                <c:pt idx="25">
                  <c:v>99.792214959999995</c:v>
                </c:pt>
                <c:pt idx="26">
                  <c:v>100.2527886367</c:v>
                </c:pt>
                <c:pt idx="27">
                  <c:v>101.43994791670001</c:v>
                </c:pt>
                <c:pt idx="28">
                  <c:v>102.02185652999999</c:v>
                </c:pt>
                <c:pt idx="29">
                  <c:v>101.81103997</c:v>
                </c:pt>
                <c:pt idx="30">
                  <c:v>102.0630089733</c:v>
                </c:pt>
                <c:pt idx="31">
                  <c:v>101.69281847000001</c:v>
                </c:pt>
                <c:pt idx="32">
                  <c:v>102.9783561</c:v>
                </c:pt>
                <c:pt idx="33">
                  <c:v>103.1495911767</c:v>
                </c:pt>
              </c:numCache>
            </c:numRef>
          </c:val>
          <c:smooth val="0"/>
          <c:extLst>
            <c:ext xmlns:c16="http://schemas.microsoft.com/office/drawing/2014/chart" uri="{C3380CC4-5D6E-409C-BE32-E72D297353CC}">
              <c16:uniqueId val="{00000005-7CA3-44ED-9C5D-2DB8040C10AA}"/>
            </c:ext>
          </c:extLst>
        </c:ser>
        <c:ser>
          <c:idx val="6"/>
          <c:order val="6"/>
          <c:tx>
            <c:strRef>
              <c:f>'výkonnost odvětví 4'!$B$58</c:f>
              <c:strCache>
                <c:ptCount val="1"/>
                <c:pt idx="0">
                  <c:v>Administrative and support service activities</c:v>
                </c:pt>
              </c:strCache>
            </c:strRef>
          </c:tx>
          <c:spPr>
            <a:ln w="19050">
              <a:solidFill>
                <a:srgbClr val="E6E100"/>
              </a:solidFill>
            </a:ln>
          </c:spPr>
          <c:marker>
            <c:symbol val="none"/>
          </c:marker>
          <c:cat>
            <c:multiLvlStrRef>
              <c:f>'výkonnost odvětví 4'!$G$50:$AN$51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4'!$G$58:$AN$58</c:f>
              <c:numCache>
                <c:formatCode>##0.0</c:formatCode>
                <c:ptCount val="34"/>
                <c:pt idx="0">
                  <c:v>88.544117630000002</c:v>
                </c:pt>
                <c:pt idx="1">
                  <c:v>89.908680899999993</c:v>
                </c:pt>
                <c:pt idx="2">
                  <c:v>90.222559869999998</c:v>
                </c:pt>
                <c:pt idx="3">
                  <c:v>91.598159106699995</c:v>
                </c:pt>
                <c:pt idx="4">
                  <c:v>92.38608893</c:v>
                </c:pt>
                <c:pt idx="5">
                  <c:v>91.842137219999998</c:v>
                </c:pt>
                <c:pt idx="6">
                  <c:v>92.732469313300001</c:v>
                </c:pt>
                <c:pt idx="7">
                  <c:v>91.119310633300003</c:v>
                </c:pt>
                <c:pt idx="8">
                  <c:v>92.957828620000001</c:v>
                </c:pt>
                <c:pt idx="9">
                  <c:v>92.226183166699997</c:v>
                </c:pt>
                <c:pt idx="10">
                  <c:v>92.988140283299998</c:v>
                </c:pt>
                <c:pt idx="11">
                  <c:v>93.720316330000003</c:v>
                </c:pt>
                <c:pt idx="12">
                  <c:v>93.829048929999999</c:v>
                </c:pt>
                <c:pt idx="13">
                  <c:v>95.858928270000007</c:v>
                </c:pt>
                <c:pt idx="14">
                  <c:v>96.239180056699993</c:v>
                </c:pt>
                <c:pt idx="15">
                  <c:v>97.672813213300003</c:v>
                </c:pt>
                <c:pt idx="16">
                  <c:v>98.020516613300003</c:v>
                </c:pt>
                <c:pt idx="17">
                  <c:v>99.877625893300007</c:v>
                </c:pt>
                <c:pt idx="18">
                  <c:v>100.8795175967</c:v>
                </c:pt>
                <c:pt idx="19">
                  <c:v>101.2223399033</c:v>
                </c:pt>
                <c:pt idx="20">
                  <c:v>101.2763999567</c:v>
                </c:pt>
                <c:pt idx="21">
                  <c:v>102.2068470533</c:v>
                </c:pt>
                <c:pt idx="22">
                  <c:v>104.3674129167</c:v>
                </c:pt>
                <c:pt idx="23">
                  <c:v>106.69489278</c:v>
                </c:pt>
                <c:pt idx="24">
                  <c:v>108.22513141330001</c:v>
                </c:pt>
                <c:pt idx="25">
                  <c:v>110.3681802967</c:v>
                </c:pt>
                <c:pt idx="26">
                  <c:v>110.19853381670001</c:v>
                </c:pt>
                <c:pt idx="27">
                  <c:v>112.0499243167</c:v>
                </c:pt>
                <c:pt idx="28">
                  <c:v>112.58998151670001</c:v>
                </c:pt>
                <c:pt idx="29">
                  <c:v>113.2015186667</c:v>
                </c:pt>
                <c:pt idx="30">
                  <c:v>113.8356959333</c:v>
                </c:pt>
                <c:pt idx="31">
                  <c:v>112.73271750000001</c:v>
                </c:pt>
                <c:pt idx="32">
                  <c:v>113.3026821533</c:v>
                </c:pt>
                <c:pt idx="33">
                  <c:v>112.6662643267</c:v>
                </c:pt>
              </c:numCache>
            </c:numRef>
          </c:val>
          <c:smooth val="0"/>
          <c:extLst>
            <c:ext xmlns:c16="http://schemas.microsoft.com/office/drawing/2014/chart" uri="{C3380CC4-5D6E-409C-BE32-E72D297353CC}">
              <c16:uniqueId val="{00000006-7CA3-44ED-9C5D-2DB8040C10AA}"/>
            </c:ext>
          </c:extLst>
        </c:ser>
        <c:dLbls>
          <c:showLegendKey val="0"/>
          <c:showVal val="0"/>
          <c:showCatName val="0"/>
          <c:showSerName val="0"/>
          <c:showPercent val="0"/>
          <c:showBubbleSize val="0"/>
        </c:dLbls>
        <c:marker val="1"/>
        <c:smooth val="0"/>
        <c:axId val="155616768"/>
        <c:axId val="155618304"/>
      </c:lineChart>
      <c:lineChart>
        <c:grouping val="standard"/>
        <c:varyColors val="0"/>
        <c:ser>
          <c:idx val="7"/>
          <c:order val="7"/>
          <c:tx>
            <c:strRef>
              <c:f>'výkonnost odvětví 4'!$B$59</c:f>
              <c:strCache>
                <c:ptCount val="1"/>
                <c:pt idx="0">
                  <c:v>Balance of confidence in services (right axis)</c:v>
                </c:pt>
              </c:strCache>
            </c:strRef>
          </c:tx>
          <c:spPr>
            <a:ln>
              <a:noFill/>
            </a:ln>
          </c:spPr>
          <c:marker>
            <c:symbol val="diamond"/>
            <c:size val="5"/>
            <c:spPr>
              <a:solidFill>
                <a:srgbClr val="FFFF00"/>
              </a:solidFill>
              <a:ln>
                <a:solidFill>
                  <a:schemeClr val="tx1">
                    <a:lumMod val="95000"/>
                    <a:lumOff val="5000"/>
                  </a:schemeClr>
                </a:solidFill>
              </a:ln>
            </c:spPr>
          </c:marker>
          <c:cat>
            <c:multiLvlStrRef>
              <c:f>'výkonnost odvětví 4'!$G$50:$AN$51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4'!$G$59:$AN$59</c:f>
              <c:numCache>
                <c:formatCode>0.0</c:formatCode>
                <c:ptCount val="34"/>
                <c:pt idx="0">
                  <c:v>26.766666666666666</c:v>
                </c:pt>
                <c:pt idx="1">
                  <c:v>28.566666666666666</c:v>
                </c:pt>
                <c:pt idx="2">
                  <c:v>26.766666666666666</c:v>
                </c:pt>
                <c:pt idx="3">
                  <c:v>23.2</c:v>
                </c:pt>
                <c:pt idx="4">
                  <c:v>26.333333333333332</c:v>
                </c:pt>
                <c:pt idx="5">
                  <c:v>25.666666666666668</c:v>
                </c:pt>
                <c:pt idx="6">
                  <c:v>23.866666666666664</c:v>
                </c:pt>
                <c:pt idx="7">
                  <c:v>23.3</c:v>
                </c:pt>
                <c:pt idx="8">
                  <c:v>23.666666666666668</c:v>
                </c:pt>
                <c:pt idx="9">
                  <c:v>22.233333333333334</c:v>
                </c:pt>
                <c:pt idx="10">
                  <c:v>22.366666666666664</c:v>
                </c:pt>
                <c:pt idx="11">
                  <c:v>26.333333333333332</c:v>
                </c:pt>
                <c:pt idx="12">
                  <c:v>26.900000000000002</c:v>
                </c:pt>
                <c:pt idx="13">
                  <c:v>26.666666666666668</c:v>
                </c:pt>
                <c:pt idx="14">
                  <c:v>29.233333333333334</c:v>
                </c:pt>
                <c:pt idx="15">
                  <c:v>31.666666666666668</c:v>
                </c:pt>
                <c:pt idx="16">
                  <c:v>29.466666666666669</c:v>
                </c:pt>
                <c:pt idx="17">
                  <c:v>29.133333333333336</c:v>
                </c:pt>
                <c:pt idx="18">
                  <c:v>30.633333333333336</c:v>
                </c:pt>
                <c:pt idx="19">
                  <c:v>32.466666666666669</c:v>
                </c:pt>
                <c:pt idx="20">
                  <c:v>33.56666666666667</c:v>
                </c:pt>
                <c:pt idx="21">
                  <c:v>32.43333333333333</c:v>
                </c:pt>
                <c:pt idx="22">
                  <c:v>33.666666666666664</c:v>
                </c:pt>
                <c:pt idx="23">
                  <c:v>36.700000000000003</c:v>
                </c:pt>
                <c:pt idx="24">
                  <c:v>35.299999999999997</c:v>
                </c:pt>
                <c:pt idx="25">
                  <c:v>37.366666666666667</c:v>
                </c:pt>
                <c:pt idx="26">
                  <c:v>37.533333333333331</c:v>
                </c:pt>
                <c:pt idx="27">
                  <c:v>35.9</c:v>
                </c:pt>
                <c:pt idx="28">
                  <c:v>37.199999999999996</c:v>
                </c:pt>
                <c:pt idx="29">
                  <c:v>37.56666666666667</c:v>
                </c:pt>
                <c:pt idx="30">
                  <c:v>38.1</c:v>
                </c:pt>
                <c:pt idx="31">
                  <c:v>39</c:v>
                </c:pt>
                <c:pt idx="32">
                  <c:v>38</c:v>
                </c:pt>
                <c:pt idx="33">
                  <c:v>34.700000000000003</c:v>
                </c:pt>
              </c:numCache>
            </c:numRef>
          </c:val>
          <c:smooth val="0"/>
          <c:extLst>
            <c:ext xmlns:c16="http://schemas.microsoft.com/office/drawing/2014/chart" uri="{C3380CC4-5D6E-409C-BE32-E72D297353CC}">
              <c16:uniqueId val="{00000007-7CA3-44ED-9C5D-2DB8040C10AA}"/>
            </c:ext>
          </c:extLst>
        </c:ser>
        <c:dLbls>
          <c:showLegendKey val="0"/>
          <c:showVal val="0"/>
          <c:showCatName val="0"/>
          <c:showSerName val="0"/>
          <c:showPercent val="0"/>
          <c:showBubbleSize val="0"/>
        </c:dLbls>
        <c:marker val="1"/>
        <c:smooth val="0"/>
        <c:axId val="155625728"/>
        <c:axId val="155624192"/>
      </c:lineChart>
      <c:catAx>
        <c:axId val="155616768"/>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55618304"/>
        <c:crossesAt val="100"/>
        <c:auto val="0"/>
        <c:lblAlgn val="ctr"/>
        <c:lblOffset val="0"/>
        <c:tickLblSkip val="1"/>
        <c:tickMarkSkip val="4"/>
        <c:noMultiLvlLbl val="0"/>
      </c:catAx>
      <c:valAx>
        <c:axId val="155618304"/>
        <c:scaling>
          <c:orientation val="minMax"/>
          <c:max val="120"/>
          <c:min val="80"/>
        </c:scaling>
        <c:delete val="0"/>
        <c:axPos val="l"/>
        <c:majorGridlines>
          <c:spPr>
            <a:ln w="6350">
              <a:solidFill>
                <a:schemeClr val="bg1">
                  <a:lumMod val="75000"/>
                </a:schemeClr>
              </a:solidFill>
            </a:ln>
          </c:spPr>
        </c:majorGridlines>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55616768"/>
        <c:crosses val="autoZero"/>
        <c:crossBetween val="between"/>
        <c:majorUnit val="5"/>
      </c:valAx>
      <c:valAx>
        <c:axId val="155624192"/>
        <c:scaling>
          <c:orientation val="minMax"/>
          <c:max val="40"/>
          <c:min val="0"/>
        </c:scaling>
        <c:delete val="0"/>
        <c:axPos val="r"/>
        <c:numFmt formatCode="0" sourceLinked="0"/>
        <c:majorTickMark val="out"/>
        <c:minorTickMark val="none"/>
        <c:tickLblPos val="nextTo"/>
        <c:crossAx val="155625728"/>
        <c:crosses val="max"/>
        <c:crossBetween val="between"/>
      </c:valAx>
      <c:catAx>
        <c:axId val="155625728"/>
        <c:scaling>
          <c:orientation val="minMax"/>
        </c:scaling>
        <c:delete val="1"/>
        <c:axPos val="b"/>
        <c:numFmt formatCode="General" sourceLinked="1"/>
        <c:majorTickMark val="out"/>
        <c:minorTickMark val="none"/>
        <c:tickLblPos val="none"/>
        <c:crossAx val="155624192"/>
        <c:crosses val="autoZero"/>
        <c:auto val="1"/>
        <c:lblAlgn val="ctr"/>
        <c:lblOffset val="100"/>
        <c:noMultiLvlLbl val="0"/>
      </c:catAx>
      <c:spPr>
        <a:solidFill>
          <a:srgbClr val="FFFFFF"/>
        </a:solidFill>
        <a:ln w="9525">
          <a:solidFill>
            <a:schemeClr val="tx1"/>
          </a:solidFill>
        </a:ln>
      </c:spPr>
    </c:plotArea>
    <c:legend>
      <c:legendPos val="b"/>
      <c:layout>
        <c:manualLayout>
          <c:xMode val="edge"/>
          <c:yMode val="edge"/>
          <c:x val="5.3601471024259609E-3"/>
          <c:y val="0.86232191595384278"/>
          <c:w val="0.98609519085971031"/>
          <c:h val="0.13393680940894773"/>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656266097578916E-2"/>
          <c:y val="2.3304908251716772E-2"/>
          <c:w val="0.92389825103638334"/>
          <c:h val="0.6641661037937634"/>
        </c:manualLayout>
      </c:layout>
      <c:barChart>
        <c:barDir val="col"/>
        <c:grouping val="clustered"/>
        <c:varyColors val="0"/>
        <c:ser>
          <c:idx val="0"/>
          <c:order val="0"/>
          <c:tx>
            <c:strRef>
              <c:f>'Vnější vztahy 2'!$A$6</c:f>
              <c:strCache>
                <c:ptCount val="1"/>
                <c:pt idx="0">
                  <c:v>2018</c:v>
                </c:pt>
              </c:strCache>
            </c:strRef>
          </c:tx>
          <c:spPr>
            <a:solidFill>
              <a:schemeClr val="tx1">
                <a:lumMod val="50000"/>
                <a:lumOff val="50000"/>
              </a:schemeClr>
            </a:solidFill>
            <a:ln>
              <a:noFill/>
            </a:ln>
          </c:spPr>
          <c:invertIfNegative val="0"/>
          <c:cat>
            <c:strRef>
              <c:f>'Vnější vztahy 2'!$B$5:$N$5</c:f>
              <c:strCache>
                <c:ptCount val="13"/>
                <c:pt idx="0">
                  <c:v>Oil and natural gas</c:v>
                </c:pt>
                <c:pt idx="1">
                  <c:v>Food products</c:v>
                </c:pt>
                <c:pt idx="2">
                  <c:v>Clothing</c:v>
                </c:pt>
                <c:pt idx="3">
                  <c:v>Coke, refined                                                               oil products</c:v>
                </c:pt>
                <c:pt idx="4">
                  <c:v>Chemical subst.                                           and prod.</c:v>
                </c:pt>
                <c:pt idx="5">
                  <c:v>Pharmaceutical                                       products</c:v>
                </c:pt>
                <c:pt idx="6">
                  <c:v>Other non-metal                                        prod.</c:v>
                </c:pt>
                <c:pt idx="7">
                  <c:v>Basic metals</c:v>
                </c:pt>
                <c:pt idx="8">
                  <c:v>Metal products</c:v>
                </c:pt>
                <c:pt idx="9">
                  <c:v>Computers,                                           el. appliances</c:v>
                </c:pt>
                <c:pt idx="10">
                  <c:v>Electrical                                       equipment</c:v>
                </c:pt>
                <c:pt idx="11">
                  <c:v>Machines                                        and appl. n.e.c.</c:v>
                </c:pt>
                <c:pt idx="12">
                  <c:v>Motor vehicles</c:v>
                </c:pt>
              </c:strCache>
            </c:strRef>
          </c:cat>
          <c:val>
            <c:numRef>
              <c:f>'Vnější vztahy 2'!$B$6:$N$6</c:f>
              <c:numCache>
                <c:formatCode>General</c:formatCode>
                <c:ptCount val="13"/>
                <c:pt idx="0">
                  <c:v>-54.465000000000003</c:v>
                </c:pt>
                <c:pt idx="1">
                  <c:v>-18.899000000000001</c:v>
                </c:pt>
                <c:pt idx="2">
                  <c:v>-13.038</c:v>
                </c:pt>
                <c:pt idx="3">
                  <c:v>-16.198</c:v>
                </c:pt>
                <c:pt idx="4">
                  <c:v>-57.654000000000003</c:v>
                </c:pt>
                <c:pt idx="5">
                  <c:v>-25.812000000000001</c:v>
                </c:pt>
                <c:pt idx="6">
                  <c:v>11.962999999999999</c:v>
                </c:pt>
                <c:pt idx="7">
                  <c:v>-66.004999999999995</c:v>
                </c:pt>
                <c:pt idx="8">
                  <c:v>29.684999999999999</c:v>
                </c:pt>
                <c:pt idx="9">
                  <c:v>-2.5249999999999999</c:v>
                </c:pt>
                <c:pt idx="10">
                  <c:v>25.094999999999999</c:v>
                </c:pt>
                <c:pt idx="11">
                  <c:v>35.305999999999997</c:v>
                </c:pt>
                <c:pt idx="12">
                  <c:v>231.935</c:v>
                </c:pt>
              </c:numCache>
            </c:numRef>
          </c:val>
          <c:extLst>
            <c:ext xmlns:c16="http://schemas.microsoft.com/office/drawing/2014/chart" uri="{C3380CC4-5D6E-409C-BE32-E72D297353CC}">
              <c16:uniqueId val="{00000000-5598-4B72-B88B-6987CDBF5418}"/>
            </c:ext>
          </c:extLst>
        </c:ser>
        <c:ser>
          <c:idx val="1"/>
          <c:order val="1"/>
          <c:tx>
            <c:strRef>
              <c:f>'Vnější vztahy 2'!$A$7</c:f>
              <c:strCache>
                <c:ptCount val="1"/>
                <c:pt idx="0">
                  <c:v>2019</c:v>
                </c:pt>
              </c:strCache>
            </c:strRef>
          </c:tx>
          <c:spPr>
            <a:solidFill>
              <a:schemeClr val="bg1">
                <a:lumMod val="65000"/>
              </a:schemeClr>
            </a:solidFill>
          </c:spPr>
          <c:invertIfNegative val="0"/>
          <c:val>
            <c:numRef>
              <c:f>'Vnější vztahy 2'!$B$7:$N$7</c:f>
              <c:numCache>
                <c:formatCode>General</c:formatCode>
                <c:ptCount val="13"/>
                <c:pt idx="0">
                  <c:v>-62.106999999999999</c:v>
                </c:pt>
                <c:pt idx="1">
                  <c:v>-20.385999999999999</c:v>
                </c:pt>
                <c:pt idx="2">
                  <c:v>-14.69</c:v>
                </c:pt>
                <c:pt idx="3">
                  <c:v>-11.04</c:v>
                </c:pt>
                <c:pt idx="4">
                  <c:v>-58.201000000000001</c:v>
                </c:pt>
                <c:pt idx="5">
                  <c:v>-26.541</c:v>
                </c:pt>
                <c:pt idx="6">
                  <c:v>11.695</c:v>
                </c:pt>
                <c:pt idx="7">
                  <c:v>-63.9</c:v>
                </c:pt>
                <c:pt idx="8">
                  <c:v>30.734999999999999</c:v>
                </c:pt>
                <c:pt idx="9">
                  <c:v>-0.36599999999999999</c:v>
                </c:pt>
                <c:pt idx="10">
                  <c:v>24.443999999999999</c:v>
                </c:pt>
                <c:pt idx="11">
                  <c:v>34.857999999999997</c:v>
                </c:pt>
                <c:pt idx="12">
                  <c:v>244.00800000000001</c:v>
                </c:pt>
              </c:numCache>
            </c:numRef>
          </c:val>
          <c:extLst>
            <c:ext xmlns:c16="http://schemas.microsoft.com/office/drawing/2014/chart" uri="{C3380CC4-5D6E-409C-BE32-E72D297353CC}">
              <c16:uniqueId val="{00000001-5598-4B72-B88B-6987CDBF5418}"/>
            </c:ext>
          </c:extLst>
        </c:ser>
        <c:dLbls>
          <c:showLegendKey val="0"/>
          <c:showVal val="0"/>
          <c:showCatName val="0"/>
          <c:showSerName val="0"/>
          <c:showPercent val="0"/>
          <c:showBubbleSize val="0"/>
        </c:dLbls>
        <c:gapWidth val="97"/>
        <c:axId val="130226048"/>
        <c:axId val="130227584"/>
      </c:barChart>
      <c:catAx>
        <c:axId val="130226048"/>
        <c:scaling>
          <c:orientation val="minMax"/>
        </c:scaling>
        <c:delete val="0"/>
        <c:axPos val="b"/>
        <c:numFmt formatCode="General" sourceLinked="0"/>
        <c:majorTickMark val="out"/>
        <c:minorTickMark val="none"/>
        <c:tickLblPos val="low"/>
        <c:spPr>
          <a:ln>
            <a:solidFill>
              <a:schemeClr val="tx1"/>
            </a:solidFill>
          </a:ln>
        </c:spPr>
        <c:txPr>
          <a:bodyPr rot="-5400000" vert="horz"/>
          <a:lstStyle/>
          <a:p>
            <a:pPr>
              <a:defRPr/>
            </a:pPr>
            <a:endParaRPr lang="cs-CZ"/>
          </a:p>
        </c:txPr>
        <c:crossAx val="130227584"/>
        <c:crosses val="autoZero"/>
        <c:auto val="1"/>
        <c:lblAlgn val="ctr"/>
        <c:lblOffset val="100"/>
        <c:noMultiLvlLbl val="0"/>
      </c:catAx>
      <c:valAx>
        <c:axId val="130227584"/>
        <c:scaling>
          <c:orientation val="minMax"/>
          <c:max val="250"/>
          <c:min val="-100"/>
        </c:scaling>
        <c:delete val="0"/>
        <c:axPos val="l"/>
        <c:majorGridlines>
          <c:spPr>
            <a:ln w="6350">
              <a:solidFill>
                <a:schemeClr val="bg1">
                  <a:lumMod val="75000"/>
                </a:schemeClr>
              </a:solidFill>
            </a:ln>
          </c:spPr>
        </c:majorGridlines>
        <c:numFmt formatCode="General" sourceLinked="1"/>
        <c:majorTickMark val="out"/>
        <c:minorTickMark val="none"/>
        <c:tickLblPos val="nextTo"/>
        <c:crossAx val="130226048"/>
        <c:crosses val="autoZero"/>
        <c:crossBetween val="between"/>
        <c:majorUnit val="50"/>
      </c:valAx>
      <c:spPr>
        <a:ln>
          <a:solidFill>
            <a:schemeClr val="tx1"/>
          </a:solidFill>
        </a:ln>
      </c:spPr>
    </c:plotArea>
    <c:legend>
      <c:legendPos val="b"/>
      <c:layout>
        <c:manualLayout>
          <c:xMode val="edge"/>
          <c:yMode val="edge"/>
          <c:x val="5.5873075264417107E-2"/>
          <c:y val="0.93271781816746591"/>
          <c:w val="0.92593890471149387"/>
          <c:h val="5.4750853511732103E-2"/>
        </c:manualLayout>
      </c:layout>
      <c:overlay val="1"/>
      <c:spPr>
        <a:ln w="6350">
          <a:solidFill>
            <a:sysClr val="windowText" lastClr="000000"/>
          </a:solidFill>
        </a:ln>
      </c:spPr>
    </c:legend>
    <c:plotVisOnly val="1"/>
    <c:dispBlanksAs val="gap"/>
    <c:showDLblsOverMax val="0"/>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0.41072</cdr:x>
      <cdr:y>0.0237</cdr:y>
    </cdr:from>
    <cdr:to>
      <cdr:x>0.4599</cdr:x>
      <cdr:y>0.04988</cdr:y>
    </cdr:to>
    <cdr:sp macro="" textlink="">
      <cdr:nvSpPr>
        <cdr:cNvPr id="2" name="Přímá spojovací šipka 1"/>
        <cdr:cNvSpPr/>
      </cdr:nvSpPr>
      <cdr:spPr>
        <a:xfrm xmlns:a="http://schemas.openxmlformats.org/drawingml/2006/main" flipH="1" flipV="1">
          <a:off x="1947326" y="86007"/>
          <a:ext cx="233167" cy="94968"/>
        </a:xfrm>
        <a:prstGeom xmlns:a="http://schemas.openxmlformats.org/drawingml/2006/main" prst="straightConnector1">
          <a:avLst/>
        </a:prstGeom>
        <a:noFill xmlns:a="http://schemas.openxmlformats.org/drawingml/2006/main"/>
        <a:ln xmlns:a="http://schemas.openxmlformats.org/drawingml/2006/main" w="6350" cap="flat" cmpd="sng" algn="ctr">
          <a:solidFill>
            <a:srgbClr val="984807"/>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cs-CZ"/>
        </a:p>
      </cdr:txBody>
    </cdr:sp>
  </cdr:relSizeAnchor>
  <cdr:relSizeAnchor xmlns:cdr="http://schemas.openxmlformats.org/drawingml/2006/chartDrawing">
    <cdr:from>
      <cdr:x>0.47234</cdr:x>
      <cdr:y>0.03333</cdr:y>
    </cdr:from>
    <cdr:to>
      <cdr:x>0.52292</cdr:x>
      <cdr:y>0.06113</cdr:y>
    </cdr:to>
    <cdr:sp macro="" textlink="">
      <cdr:nvSpPr>
        <cdr:cNvPr id="3" name="TextovéPole 2"/>
        <cdr:cNvSpPr txBox="1"/>
      </cdr:nvSpPr>
      <cdr:spPr>
        <a:xfrm xmlns:a="http://schemas.openxmlformats.org/drawingml/2006/main" flipH="1">
          <a:off x="2239488" y="120931"/>
          <a:ext cx="239812" cy="100867"/>
        </a:xfrm>
        <a:prstGeom xmlns:a="http://schemas.openxmlformats.org/drawingml/2006/main" prst="rect">
          <a:avLst/>
        </a:prstGeom>
        <a:noFill xmlns:a="http://schemas.openxmlformats.org/drawingml/2006/main"/>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a:solidFill>
                <a:srgbClr val="984807"/>
              </a:solidFill>
              <a:latin typeface="Arial" pitchFamily="34" charset="0"/>
              <a:cs typeface="Arial" pitchFamily="34" charset="0"/>
            </a:rPr>
            <a:t>67,5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D90D-68CB-42D2-85F7-B88B348FCB28}">
  <ds:schemaRefs>
    <ds:schemaRef ds:uri="http://schemas.openxmlformats.org/officeDocument/2006/bibliography"/>
  </ds:schemaRefs>
</ds:datastoreItem>
</file>

<file path=customXml/itemProps2.xml><?xml version="1.0" encoding="utf-8"?>
<ds:datastoreItem xmlns:ds="http://schemas.openxmlformats.org/officeDocument/2006/customXml" ds:itemID="{72C19F87-C656-49A0-956C-14B708E1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32</Pages>
  <Words>12466</Words>
  <Characters>73551</Characters>
  <Application>Microsoft Office Word</Application>
  <DocSecurity>0</DocSecurity>
  <Lines>612</Lines>
  <Paragraphs>171</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85846</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Mgr. Karolína Zábojníková</cp:lastModifiedBy>
  <cp:revision>2</cp:revision>
  <cp:lastPrinted>2019-10-10T11:46:00Z</cp:lastPrinted>
  <dcterms:created xsi:type="dcterms:W3CDTF">2019-10-11T13:27:00Z</dcterms:created>
  <dcterms:modified xsi:type="dcterms:W3CDTF">2019-10-11T13:27:00Z</dcterms:modified>
</cp:coreProperties>
</file>