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907EB" w14:textId="77777777" w:rsidR="00803507" w:rsidRPr="00884D55" w:rsidRDefault="00803507" w:rsidP="00803507">
      <w:pPr>
        <w:pStyle w:val="Nadpis1"/>
        <w:rPr>
          <w:lang w:val="en-GB"/>
        </w:rPr>
      </w:pPr>
      <w:bookmarkStart w:id="0" w:name="_Toc196386140"/>
      <w:bookmarkStart w:id="1" w:name="_Toc176767109"/>
      <w:r w:rsidRPr="00884D55">
        <w:rPr>
          <w:lang w:val="en-GB"/>
        </w:rPr>
        <w:t>4. External Relations</w:t>
      </w:r>
      <w:bookmarkEnd w:id="0"/>
    </w:p>
    <w:tbl>
      <w:tblPr>
        <w:tblW w:w="9677" w:type="dxa"/>
        <w:tblInd w:w="-15" w:type="dxa"/>
        <w:tblLayout w:type="fixed"/>
        <w:tblCellMar>
          <w:left w:w="0" w:type="dxa"/>
          <w:right w:w="0" w:type="dxa"/>
        </w:tblCellMar>
        <w:tblLook w:val="00A0" w:firstRow="1" w:lastRow="0" w:firstColumn="1" w:lastColumn="0" w:noHBand="0" w:noVBand="0"/>
      </w:tblPr>
      <w:tblGrid>
        <w:gridCol w:w="1748"/>
        <w:gridCol w:w="252"/>
        <w:gridCol w:w="2811"/>
        <w:gridCol w:w="57"/>
        <w:gridCol w:w="4809"/>
      </w:tblGrid>
      <w:tr w:rsidR="00803507" w:rsidRPr="00884D55" w14:paraId="72C9C284" w14:textId="77777777" w:rsidTr="00803507">
        <w:trPr>
          <w:trHeight w:val="145"/>
        </w:trPr>
        <w:tc>
          <w:tcPr>
            <w:tcW w:w="1748" w:type="dxa"/>
            <w:hideMark/>
          </w:tcPr>
          <w:p w14:paraId="2A61C93E" w14:textId="77777777" w:rsidR="00803507" w:rsidRPr="00884D55" w:rsidRDefault="00803507" w:rsidP="00803507">
            <w:pPr>
              <w:pStyle w:val="Marginlie"/>
              <w:rPr>
                <w:lang w:val="en-GB" w:eastAsia="en-US"/>
              </w:rPr>
            </w:pPr>
            <w:r w:rsidRPr="00884D55">
              <w:rPr>
                <w:lang w:val="en-GB" w:eastAsia="en-US"/>
              </w:rPr>
              <w:t>Export grew last year.</w:t>
            </w:r>
          </w:p>
        </w:tc>
        <w:tc>
          <w:tcPr>
            <w:tcW w:w="252" w:type="dxa"/>
          </w:tcPr>
          <w:p w14:paraId="04722791" w14:textId="77777777" w:rsidR="00803507" w:rsidRPr="00884D55" w:rsidRDefault="00803507" w:rsidP="00803507">
            <w:pPr>
              <w:pStyle w:val="Textpoznpodarou"/>
              <w:jc w:val="both"/>
              <w:rPr>
                <w:spacing w:val="-4"/>
                <w:lang w:val="en-GB" w:eastAsia="en-US"/>
              </w:rPr>
            </w:pPr>
          </w:p>
        </w:tc>
        <w:tc>
          <w:tcPr>
            <w:tcW w:w="7677" w:type="dxa"/>
            <w:gridSpan w:val="3"/>
            <w:hideMark/>
          </w:tcPr>
          <w:p w14:paraId="2A64A990" w14:textId="77777777" w:rsidR="00803507" w:rsidRPr="00884D55" w:rsidRDefault="00803507" w:rsidP="00803507">
            <w:pPr>
              <w:spacing w:after="180"/>
              <w:rPr>
                <w:spacing w:val="-4"/>
                <w:lang w:val="en-GB" w:eastAsia="en-US"/>
              </w:rPr>
            </w:pPr>
            <w:bookmarkStart w:id="2" w:name="_Hlk194788733"/>
            <w:r w:rsidRPr="00884D55">
              <w:rPr>
                <w:spacing w:val="-4"/>
                <w:lang w:val="en-GB" w:eastAsia="en-US"/>
              </w:rPr>
              <w:t>The total value of exports of goods</w:t>
            </w:r>
            <w:r w:rsidRPr="00884D55">
              <w:rPr>
                <w:rStyle w:val="Znakapoznpodarou"/>
                <w:spacing w:val="-4"/>
                <w:lang w:val="en-GB" w:eastAsia="en-US"/>
              </w:rPr>
              <w:footnoteReference w:id="2"/>
            </w:r>
            <w:r w:rsidRPr="00884D55">
              <w:rPr>
                <w:spacing w:val="-4"/>
                <w:lang w:val="en-GB" w:eastAsia="en-US"/>
              </w:rPr>
              <w:t xml:space="preserve"> at current prices reached 4,649.1 bn CZK in 2024 and was higher by 206.7 bn CZK (4.7%), year-on-year. International trade prices followed up on the previous turbulent development last year with an increase</w:t>
            </w:r>
            <w:r w:rsidRPr="00884D55">
              <w:rPr>
                <w:rStyle w:val="Znakapoznpodarou"/>
                <w:spacing w:val="-4"/>
                <w:lang w:val="en-GB" w:eastAsia="en-US"/>
              </w:rPr>
              <w:footnoteReference w:id="3"/>
            </w:r>
            <w:r w:rsidRPr="00884D55">
              <w:rPr>
                <w:spacing w:val="-4"/>
                <w:lang w:val="en-GB" w:eastAsia="en-US"/>
              </w:rPr>
              <w:t xml:space="preserve">, so a large part of the solid export growth can be attributed to price shifts. The year-on-year dynamics of exports varied considerably during the year (−0.2%, 4.4% and 10.5% in Q1 through to Q3). The increase of exports of goods then weakened again to 4.5% in Q4 alone and exports reached a total of 1,184.2 bn CZK (+51.2 bn). According to seasonally adjusted data, exports of goods fell by 0.6%, quarter-on-quarter, in Q4. It represented the first decrease since Q3 2023.   </w:t>
            </w:r>
            <w:bookmarkEnd w:id="2"/>
          </w:p>
        </w:tc>
      </w:tr>
      <w:tr w:rsidR="00803507" w:rsidRPr="00884D55" w14:paraId="6BF39E9E" w14:textId="77777777" w:rsidTr="00803507">
        <w:trPr>
          <w:trHeight w:val="150"/>
        </w:trPr>
        <w:tc>
          <w:tcPr>
            <w:tcW w:w="1748" w:type="dxa"/>
            <w:vMerge w:val="restart"/>
          </w:tcPr>
          <w:p w14:paraId="41382D8D" w14:textId="77777777" w:rsidR="00803507" w:rsidRPr="00884D55" w:rsidRDefault="00803507" w:rsidP="00803507">
            <w:pPr>
              <w:pStyle w:val="Marginlie"/>
              <w:rPr>
                <w:lang w:val="en-GB" w:eastAsia="en-US"/>
              </w:rPr>
            </w:pPr>
          </w:p>
        </w:tc>
        <w:tc>
          <w:tcPr>
            <w:tcW w:w="252" w:type="dxa"/>
            <w:vMerge w:val="restart"/>
          </w:tcPr>
          <w:p w14:paraId="23384DC5" w14:textId="77777777" w:rsidR="00803507" w:rsidRPr="00884D55" w:rsidRDefault="00803507" w:rsidP="00803507">
            <w:pPr>
              <w:pStyle w:val="Textpoznpodarou"/>
              <w:jc w:val="both"/>
              <w:rPr>
                <w:spacing w:val="-4"/>
                <w:lang w:val="en-GB" w:eastAsia="en-US"/>
              </w:rPr>
            </w:pPr>
          </w:p>
        </w:tc>
        <w:tc>
          <w:tcPr>
            <w:tcW w:w="7677" w:type="dxa"/>
            <w:gridSpan w:val="3"/>
          </w:tcPr>
          <w:p w14:paraId="420C4659" w14:textId="77777777" w:rsidR="00803507" w:rsidRPr="00884D55" w:rsidRDefault="00803507" w:rsidP="00803507">
            <w:pPr>
              <w:spacing w:after="0"/>
              <w:rPr>
                <w:spacing w:val="-4"/>
                <w:lang w:val="en-GB" w:eastAsia="en-US"/>
              </w:rPr>
            </w:pPr>
            <w:r w:rsidRPr="00884D55">
              <w:rPr>
                <w:rFonts w:cs="Arial"/>
                <w:b/>
                <w:bCs/>
                <w:color w:val="000000"/>
                <w:szCs w:val="20"/>
                <w:lang w:val="en-GB" w:eastAsia="en-US"/>
              </w:rPr>
              <w:t xml:space="preserve">Chart 9 </w:t>
            </w:r>
            <w:r w:rsidRPr="00884D55">
              <w:rPr>
                <w:b/>
                <w:bCs/>
                <w:spacing w:val="-4"/>
                <w:lang w:val="en-GB" w:eastAsia="en-US"/>
              </w:rPr>
              <w:t xml:space="preserve">Export and import of goods </w:t>
            </w:r>
            <w:r w:rsidRPr="00884D55">
              <w:rPr>
                <w:spacing w:val="-4"/>
                <w:lang w:val="en-GB" w:eastAsia="en-US"/>
              </w:rPr>
              <w:t>(y-o-y change, in %)</w:t>
            </w:r>
            <w:r w:rsidRPr="00884D55">
              <w:rPr>
                <w:b/>
                <w:bCs/>
                <w:spacing w:val="-4"/>
                <w:lang w:val="en-GB" w:eastAsia="en-US"/>
              </w:rPr>
              <w:t xml:space="preserve"> and balance of international trade with goods </w:t>
            </w:r>
            <w:r w:rsidRPr="00884D55">
              <w:rPr>
                <w:spacing w:val="-4"/>
                <w:lang w:val="en-GB" w:eastAsia="en-US"/>
              </w:rPr>
              <w:t xml:space="preserve">(in bn CZK, right axis) </w:t>
            </w:r>
            <w:r w:rsidRPr="00884D55">
              <w:rPr>
                <w:rFonts w:cs="Arial"/>
                <w:b/>
                <w:bCs/>
                <w:color w:val="000000"/>
                <w:szCs w:val="20"/>
                <w:lang w:val="en-GB" w:eastAsia="en-US"/>
              </w:rPr>
              <w:t xml:space="preserve"> </w:t>
            </w:r>
          </w:p>
        </w:tc>
      </w:tr>
      <w:tr w:rsidR="00803507" w:rsidRPr="00884D55" w14:paraId="6A2410B4" w14:textId="77777777" w:rsidTr="00900097">
        <w:tblPrEx>
          <w:tblCellMar>
            <w:left w:w="70" w:type="dxa"/>
            <w:right w:w="70" w:type="dxa"/>
          </w:tblCellMar>
        </w:tblPrEx>
        <w:trPr>
          <w:trHeight w:val="150"/>
        </w:trPr>
        <w:tc>
          <w:tcPr>
            <w:tcW w:w="1748" w:type="dxa"/>
            <w:vMerge/>
          </w:tcPr>
          <w:p w14:paraId="7C190EE0" w14:textId="77777777" w:rsidR="00803507" w:rsidRPr="00884D55" w:rsidRDefault="00803507" w:rsidP="00803507">
            <w:pPr>
              <w:pStyle w:val="Marginlie"/>
              <w:rPr>
                <w:lang w:val="en-GB" w:eastAsia="en-US"/>
              </w:rPr>
            </w:pPr>
          </w:p>
        </w:tc>
        <w:tc>
          <w:tcPr>
            <w:tcW w:w="252" w:type="dxa"/>
            <w:vMerge/>
          </w:tcPr>
          <w:p w14:paraId="685CB4C3" w14:textId="77777777" w:rsidR="00803507" w:rsidRPr="00884D55" w:rsidRDefault="00803507" w:rsidP="00803507">
            <w:pPr>
              <w:pStyle w:val="Textpoznpodarou"/>
              <w:jc w:val="both"/>
              <w:rPr>
                <w:spacing w:val="-4"/>
                <w:lang w:val="en-GB" w:eastAsia="en-US"/>
              </w:rPr>
            </w:pPr>
          </w:p>
        </w:tc>
        <w:tc>
          <w:tcPr>
            <w:tcW w:w="7677" w:type="dxa"/>
            <w:gridSpan w:val="3"/>
          </w:tcPr>
          <w:p w14:paraId="478F93C0" w14:textId="504C6327" w:rsidR="00803507" w:rsidRPr="00884D55" w:rsidRDefault="00900097" w:rsidP="00803507">
            <w:pPr>
              <w:spacing w:after="0"/>
              <w:rPr>
                <w:spacing w:val="-4"/>
                <w:lang w:val="en-GB" w:eastAsia="en-US"/>
              </w:rPr>
            </w:pPr>
            <w:r>
              <w:rPr>
                <w:noProof/>
              </w:rPr>
              <w:drawing>
                <wp:inline distT="0" distB="0" distL="0" distR="0" wp14:anchorId="1D84B346" wp14:editId="4C8859F2">
                  <wp:extent cx="4752000" cy="3492000"/>
                  <wp:effectExtent l="0" t="0" r="0" b="0"/>
                  <wp:docPr id="12" name="Graf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803507" w:rsidRPr="00884D55" w14:paraId="2747E876" w14:textId="77777777" w:rsidTr="00803507">
        <w:trPr>
          <w:trHeight w:val="150"/>
        </w:trPr>
        <w:tc>
          <w:tcPr>
            <w:tcW w:w="1748" w:type="dxa"/>
            <w:vMerge/>
          </w:tcPr>
          <w:p w14:paraId="04A1AF12" w14:textId="77777777" w:rsidR="00803507" w:rsidRPr="00884D55" w:rsidRDefault="00803507" w:rsidP="00803507">
            <w:pPr>
              <w:pStyle w:val="Marginlie"/>
              <w:rPr>
                <w:lang w:val="en-GB" w:eastAsia="en-US"/>
              </w:rPr>
            </w:pPr>
          </w:p>
        </w:tc>
        <w:tc>
          <w:tcPr>
            <w:tcW w:w="252" w:type="dxa"/>
            <w:vMerge/>
          </w:tcPr>
          <w:p w14:paraId="49C60BAC" w14:textId="77777777" w:rsidR="00803507" w:rsidRPr="00884D55" w:rsidRDefault="00803507" w:rsidP="00803507">
            <w:pPr>
              <w:pStyle w:val="Textpoznpodarou"/>
              <w:jc w:val="both"/>
              <w:rPr>
                <w:spacing w:val="-4"/>
                <w:lang w:val="en-GB" w:eastAsia="en-US"/>
              </w:rPr>
            </w:pPr>
          </w:p>
        </w:tc>
        <w:tc>
          <w:tcPr>
            <w:tcW w:w="7677" w:type="dxa"/>
            <w:gridSpan w:val="3"/>
          </w:tcPr>
          <w:p w14:paraId="00BE802D" w14:textId="1F07D08F" w:rsidR="00803507" w:rsidRPr="00900097" w:rsidRDefault="00803507" w:rsidP="00900097">
            <w:pPr>
              <w:spacing w:after="180"/>
              <w:jc w:val="left"/>
              <w:rPr>
                <w:sz w:val="16"/>
                <w:szCs w:val="16"/>
                <w:lang w:val="en-GB" w:eastAsia="en-US"/>
              </w:rPr>
            </w:pPr>
            <w:r w:rsidRPr="00884D55">
              <w:rPr>
                <w:sz w:val="16"/>
                <w:szCs w:val="16"/>
                <w:lang w:val="en-GB" w:eastAsia="en-US"/>
              </w:rPr>
              <w:t>Source: CZSO</w:t>
            </w:r>
          </w:p>
        </w:tc>
      </w:tr>
      <w:tr w:rsidR="00803507" w:rsidRPr="00884D55" w14:paraId="72EBF629" w14:textId="77777777" w:rsidTr="00803507">
        <w:trPr>
          <w:trHeight w:val="145"/>
        </w:trPr>
        <w:tc>
          <w:tcPr>
            <w:tcW w:w="1748" w:type="dxa"/>
          </w:tcPr>
          <w:p w14:paraId="0CADAD7F" w14:textId="77777777" w:rsidR="00803507" w:rsidRPr="00884D55" w:rsidRDefault="00803507" w:rsidP="00803507">
            <w:pPr>
              <w:pStyle w:val="Marginlie"/>
              <w:rPr>
                <w:lang w:val="en-GB" w:eastAsia="en-US"/>
              </w:rPr>
            </w:pPr>
            <w:r w:rsidRPr="00884D55">
              <w:rPr>
                <w:lang w:val="en-GB" w:eastAsia="en-US"/>
              </w:rPr>
              <w:t xml:space="preserve">Exports outside of the EU grew more substantially. </w:t>
            </w:r>
          </w:p>
        </w:tc>
        <w:tc>
          <w:tcPr>
            <w:tcW w:w="252" w:type="dxa"/>
          </w:tcPr>
          <w:p w14:paraId="7DE589B5" w14:textId="77777777" w:rsidR="00803507" w:rsidRPr="00884D55" w:rsidRDefault="00803507" w:rsidP="00803507">
            <w:pPr>
              <w:pStyle w:val="Textpoznpodarou"/>
              <w:jc w:val="both"/>
              <w:rPr>
                <w:spacing w:val="-4"/>
                <w:lang w:val="en-GB" w:eastAsia="en-US"/>
              </w:rPr>
            </w:pPr>
          </w:p>
        </w:tc>
        <w:tc>
          <w:tcPr>
            <w:tcW w:w="7677" w:type="dxa"/>
            <w:gridSpan w:val="3"/>
          </w:tcPr>
          <w:p w14:paraId="69E0DF86" w14:textId="77777777" w:rsidR="00803507" w:rsidRPr="00884D55" w:rsidRDefault="00803507" w:rsidP="00803507">
            <w:pPr>
              <w:spacing w:after="220"/>
              <w:rPr>
                <w:spacing w:val="-4"/>
                <w:lang w:val="en-GB" w:eastAsia="en-US"/>
              </w:rPr>
            </w:pPr>
            <w:bookmarkStart w:id="4" w:name="_Hlk194844955"/>
            <w:r w:rsidRPr="00884D55">
              <w:rPr>
                <w:spacing w:val="-4"/>
                <w:lang w:val="en-GB" w:eastAsia="en-US"/>
              </w:rPr>
              <w:t>Exports to non-EU countries increased significantly in cumulation for the whole year 2024 (+141.9 bn CZK, 16.2%). On the contrary, exports to EU increased only slightly (+64.6 bn CZK, 1.8%). Among the destinations where the value of exports increased the most last year, Great Britain held the first place (+39.3 bn CZK, 22.0%)</w:t>
            </w:r>
            <w:r w:rsidRPr="00884D55">
              <w:rPr>
                <w:rStyle w:val="Znakapoznpodarou"/>
                <w:spacing w:val="-4"/>
                <w:lang w:val="en-GB" w:eastAsia="en-US"/>
              </w:rPr>
              <w:footnoteReference w:id="4"/>
            </w:r>
            <w:r w:rsidRPr="00884D55">
              <w:rPr>
                <w:spacing w:val="-4"/>
                <w:lang w:val="en-GB" w:eastAsia="en-US"/>
              </w:rPr>
              <w:t xml:space="preserve"> and the United States of America (+21.1 billion, 18.8%) also ranked high. Exports to Poland (+24.6 bn CZK, 7.7%) and Germany (+19.1 bn, 1.4%) were also significant in absolute numbers, but export dynamics remain relatively low, especially for Germany. </w:t>
            </w:r>
            <w:bookmarkEnd w:id="4"/>
            <w:r w:rsidRPr="00884D55">
              <w:rPr>
                <w:spacing w:val="-4"/>
                <w:lang w:val="en-GB" w:eastAsia="en-US"/>
              </w:rPr>
              <w:t>Exports to Turkey (+11.1 bn, 16.9%), China (+9.9 bn, 23.0%), Singapore (+9.5 bn, 129.5%) and Ukraine (+9.2 bn, 25.7%) were around 10 bn CZK. Smaller export destinations, which recorded a significant percentage increase of exports last year, included Japan (+5.9 bn, 49.6%)</w:t>
            </w:r>
            <w:r w:rsidRPr="00884D55">
              <w:rPr>
                <w:rStyle w:val="Znakapoznpodarou"/>
                <w:spacing w:val="-4"/>
                <w:lang w:val="en-GB" w:eastAsia="en-US"/>
              </w:rPr>
              <w:footnoteReference w:id="5"/>
            </w:r>
            <w:r w:rsidRPr="00884D55">
              <w:rPr>
                <w:spacing w:val="-4"/>
                <w:lang w:val="en-GB" w:eastAsia="en-US"/>
              </w:rPr>
              <w:t xml:space="preserve">, the United Arab </w:t>
            </w:r>
            <w:r w:rsidRPr="00884D55">
              <w:rPr>
                <w:spacing w:val="-4"/>
                <w:lang w:val="en-GB" w:eastAsia="en-US"/>
              </w:rPr>
              <w:lastRenderedPageBreak/>
              <w:t>Emirates (+4.4 bn, 29.5%), Azerbaijan (+2.0 bn, 46.7%)</w:t>
            </w:r>
            <w:r w:rsidRPr="00884D55">
              <w:rPr>
                <w:rStyle w:val="Znakapoznpodarou"/>
                <w:spacing w:val="-4"/>
                <w:lang w:val="en-GB" w:eastAsia="en-US"/>
              </w:rPr>
              <w:footnoteReference w:id="6"/>
            </w:r>
            <w:r w:rsidRPr="00884D55">
              <w:rPr>
                <w:spacing w:val="-4"/>
                <w:lang w:val="en-GB" w:eastAsia="en-US"/>
              </w:rPr>
              <w:t xml:space="preserve"> and Malaysia (+1.9 bn, 57.1%)</w:t>
            </w:r>
            <w:r w:rsidRPr="00884D55">
              <w:rPr>
                <w:rStyle w:val="Znakapoznpodarou"/>
                <w:spacing w:val="-4"/>
                <w:lang w:val="en-GB" w:eastAsia="en-US"/>
              </w:rPr>
              <w:footnoteReference w:id="7"/>
            </w:r>
            <w:r w:rsidRPr="00884D55">
              <w:rPr>
                <w:spacing w:val="-4"/>
                <w:lang w:val="en-GB" w:eastAsia="en-US"/>
              </w:rPr>
              <w:t xml:space="preserve">. There were not many decreases of exports recorded last year, and the most significant were in case of exports to Sweden (−3.6 bn CZK, −4.9%), Finland (−3.1 bn, −13.4%), Austria (−2.9 bn, −1.6%) and the Netherlands (−2.6 bn, −1.7%).     </w:t>
            </w:r>
          </w:p>
        </w:tc>
      </w:tr>
      <w:tr w:rsidR="00803507" w:rsidRPr="00884D55" w14:paraId="67352828" w14:textId="77777777" w:rsidTr="00803507">
        <w:trPr>
          <w:trHeight w:val="145"/>
        </w:trPr>
        <w:tc>
          <w:tcPr>
            <w:tcW w:w="1748" w:type="dxa"/>
          </w:tcPr>
          <w:p w14:paraId="614F84F8" w14:textId="65804C91" w:rsidR="00803507" w:rsidRPr="00884D55" w:rsidRDefault="00803507" w:rsidP="00803507">
            <w:pPr>
              <w:pStyle w:val="Marginlie"/>
              <w:rPr>
                <w:lang w:val="en-GB" w:eastAsia="en-US"/>
              </w:rPr>
            </w:pPr>
            <w:bookmarkStart w:id="8" w:name="_Hlk194846770"/>
            <w:r w:rsidRPr="00884D55">
              <w:rPr>
                <w:lang w:val="en-GB" w:eastAsia="en-US"/>
              </w:rPr>
              <w:lastRenderedPageBreak/>
              <w:t xml:space="preserve">Higher growth of exports outside the EU persisted at the end of the year. </w:t>
            </w:r>
            <w:bookmarkEnd w:id="8"/>
          </w:p>
        </w:tc>
        <w:tc>
          <w:tcPr>
            <w:tcW w:w="252" w:type="dxa"/>
          </w:tcPr>
          <w:p w14:paraId="42AD0485" w14:textId="77777777" w:rsidR="00803507" w:rsidRPr="00884D55" w:rsidRDefault="00803507" w:rsidP="00803507">
            <w:pPr>
              <w:pStyle w:val="Textpoznpodarou"/>
              <w:jc w:val="both"/>
              <w:rPr>
                <w:spacing w:val="-4"/>
                <w:lang w:val="en-GB" w:eastAsia="en-US"/>
              </w:rPr>
            </w:pPr>
          </w:p>
        </w:tc>
        <w:tc>
          <w:tcPr>
            <w:tcW w:w="7677" w:type="dxa"/>
            <w:gridSpan w:val="3"/>
          </w:tcPr>
          <w:p w14:paraId="029347C6" w14:textId="77777777" w:rsidR="00803507" w:rsidRPr="00884D55" w:rsidRDefault="00803507" w:rsidP="00803507">
            <w:pPr>
              <w:spacing w:after="220"/>
              <w:rPr>
                <w:spacing w:val="-4"/>
                <w:lang w:val="en-GB" w:eastAsia="en-US"/>
              </w:rPr>
            </w:pPr>
            <w:bookmarkStart w:id="9" w:name="_Hlk194846785"/>
            <w:r w:rsidRPr="00884D55">
              <w:rPr>
                <w:spacing w:val="-4"/>
                <w:lang w:val="en-GB" w:eastAsia="en-US"/>
              </w:rPr>
              <w:t xml:space="preserve">The increase of exports into the EU (+13.4 bn CZK, 1.5%) lagged behind exports to non-EU countries (+37.9 bn, 16.3%) also in Q4 2024 alone. Exports to Germany grew the most (see Table 2) and the increase of exports to Great Britain and Poland stayed high. Non-EU destinations – the United States, Ukraine, Israel, Belgium or Turkey – contributed significantly to the growth of exports. Among the minority of countries where exports of goods fell, year-on-year, France and Italy stood out.     </w:t>
            </w:r>
            <w:bookmarkEnd w:id="9"/>
          </w:p>
        </w:tc>
      </w:tr>
      <w:tr w:rsidR="00803507" w:rsidRPr="00884D55" w14:paraId="7F6944B5" w14:textId="77777777" w:rsidTr="00803507">
        <w:trPr>
          <w:trHeight w:val="145"/>
        </w:trPr>
        <w:tc>
          <w:tcPr>
            <w:tcW w:w="1748" w:type="dxa"/>
          </w:tcPr>
          <w:p w14:paraId="7D526D55" w14:textId="2EE5CCEE" w:rsidR="00803507" w:rsidRPr="00884D55" w:rsidRDefault="00803507" w:rsidP="00803507">
            <w:pPr>
              <w:pStyle w:val="Marginlie"/>
              <w:rPr>
                <w:lang w:val="en-GB" w:eastAsia="en-US"/>
              </w:rPr>
            </w:pPr>
            <w:bookmarkStart w:id="10" w:name="_Hlk194847378"/>
            <w:r w:rsidRPr="00884D55">
              <w:rPr>
                <w:lang w:val="en-GB" w:eastAsia="en-US"/>
              </w:rPr>
              <w:t xml:space="preserve">Motor vehicles contributed the most to the growth of exports in 2024… </w:t>
            </w:r>
            <w:bookmarkEnd w:id="10"/>
          </w:p>
        </w:tc>
        <w:tc>
          <w:tcPr>
            <w:tcW w:w="252" w:type="dxa"/>
          </w:tcPr>
          <w:p w14:paraId="5E394ED0" w14:textId="77777777" w:rsidR="00803507" w:rsidRPr="00884D55" w:rsidRDefault="00803507" w:rsidP="00803507">
            <w:pPr>
              <w:pStyle w:val="Textpoznpodarou"/>
              <w:jc w:val="both"/>
              <w:rPr>
                <w:spacing w:val="-4"/>
                <w:lang w:val="en-GB" w:eastAsia="en-US"/>
              </w:rPr>
            </w:pPr>
          </w:p>
        </w:tc>
        <w:tc>
          <w:tcPr>
            <w:tcW w:w="7677" w:type="dxa"/>
            <w:gridSpan w:val="3"/>
          </w:tcPr>
          <w:p w14:paraId="579161FE" w14:textId="77777777" w:rsidR="00803507" w:rsidRPr="00884D55" w:rsidRDefault="00803507" w:rsidP="00803507">
            <w:pPr>
              <w:spacing w:after="180"/>
              <w:rPr>
                <w:spacing w:val="-4"/>
                <w:lang w:val="en-GB" w:eastAsia="en-US"/>
              </w:rPr>
            </w:pPr>
            <w:bookmarkStart w:id="11" w:name="_Hlk194847404"/>
            <w:r w:rsidRPr="00884D55">
              <w:rPr>
                <w:spacing w:val="-4"/>
                <w:lang w:val="en-GB" w:eastAsia="en-US"/>
              </w:rPr>
              <w:t xml:space="preserve">The value of exports of motor vehicles increased the most last year (+74.6 bn CZK, 6.1%), nevertheless the growth weakened compared to the previous two years. Exports of computers, electronic and optical appliances (+56.1 bn CZK, 15.2%), food products (+21.5 bn, 12.8%), electrical equipment (+15.9 bn, 3.5%), chemicals and chemical products (+14.3 bn, 6.9%) and rubber and plastic products (+11.5 bn, 5.4%) also grew strongly. Exports of other products of manufacturing (+9.1 bn CZK, 9.3%), activities of waste collection, treatment and disposal (+7.5 bn, 19.1%), basic pharmaceutical products (+7.2 bn, 10.7%), fabricated metal products (+6.8 bn, 2.5%) or paper and paper products (+5.3 bn, 6.7%) also expanded. Engineering did not thrive last year, which also led to a decrease of exports of machinery and equipment by 12.3 bn CZK (−2.4%), and the value of exports of basic metals (−9.4 bn, −5.9%) and coke and refined petroleum products (−8.8 bn, −17.2%) also decreased. </w:t>
            </w:r>
            <w:bookmarkEnd w:id="11"/>
          </w:p>
        </w:tc>
      </w:tr>
      <w:tr w:rsidR="00803507" w:rsidRPr="00884D55" w14:paraId="76AD27F5" w14:textId="77777777" w:rsidTr="00803507">
        <w:trPr>
          <w:trHeight w:val="170"/>
        </w:trPr>
        <w:tc>
          <w:tcPr>
            <w:tcW w:w="4811" w:type="dxa"/>
            <w:gridSpan w:val="3"/>
            <w:hideMark/>
          </w:tcPr>
          <w:p w14:paraId="363A031A" w14:textId="77777777" w:rsidR="00803507" w:rsidRPr="00884D55" w:rsidRDefault="00803507" w:rsidP="00803507">
            <w:pPr>
              <w:spacing w:after="0"/>
              <w:rPr>
                <w:spacing w:val="-4"/>
                <w:lang w:val="en-GB" w:eastAsia="en-US"/>
              </w:rPr>
            </w:pPr>
            <w:r w:rsidRPr="00884D55">
              <w:rPr>
                <w:rFonts w:cs="Arial"/>
                <w:b/>
                <w:bCs/>
                <w:color w:val="000000"/>
                <w:sz w:val="18"/>
                <w:szCs w:val="18"/>
                <w:lang w:val="en-GB" w:eastAsia="en-US"/>
              </w:rPr>
              <w:t xml:space="preserve">Table 1 Sections of CPA classification with highest impact on goods exports development in Q4 2024 </w:t>
            </w:r>
            <w:r w:rsidRPr="00884D55">
              <w:rPr>
                <w:rFonts w:cs="Arial"/>
                <w:color w:val="000000"/>
                <w:sz w:val="18"/>
                <w:szCs w:val="18"/>
                <w:lang w:val="en-GB" w:eastAsia="en-US"/>
              </w:rPr>
              <w:t>(year-on-year)</w:t>
            </w:r>
            <w:r w:rsidRPr="00884D55">
              <w:rPr>
                <w:rFonts w:cs="Arial"/>
                <w:b/>
                <w:bCs/>
                <w:color w:val="000000"/>
                <w:sz w:val="18"/>
                <w:szCs w:val="18"/>
                <w:lang w:val="en-GB" w:eastAsia="en-US"/>
              </w:rPr>
              <w:t xml:space="preserve"> </w:t>
            </w:r>
          </w:p>
        </w:tc>
        <w:tc>
          <w:tcPr>
            <w:tcW w:w="57" w:type="dxa"/>
          </w:tcPr>
          <w:p w14:paraId="6A95BE74" w14:textId="77777777" w:rsidR="00803507" w:rsidRPr="00884D55" w:rsidRDefault="00803507" w:rsidP="00803507">
            <w:pPr>
              <w:spacing w:after="0"/>
              <w:rPr>
                <w:spacing w:val="-4"/>
                <w:lang w:val="en-GB" w:eastAsia="en-US"/>
              </w:rPr>
            </w:pPr>
          </w:p>
        </w:tc>
        <w:tc>
          <w:tcPr>
            <w:tcW w:w="4809" w:type="dxa"/>
            <w:hideMark/>
          </w:tcPr>
          <w:p w14:paraId="0DB86952" w14:textId="77777777" w:rsidR="00803507" w:rsidRPr="00884D55" w:rsidRDefault="00803507" w:rsidP="00803507">
            <w:pPr>
              <w:spacing w:after="0"/>
              <w:jc w:val="left"/>
              <w:rPr>
                <w:spacing w:val="-4"/>
                <w:sz w:val="18"/>
                <w:szCs w:val="18"/>
                <w:lang w:val="en-GB" w:eastAsia="en-US"/>
              </w:rPr>
            </w:pPr>
            <w:r w:rsidRPr="00884D55">
              <w:rPr>
                <w:rFonts w:cs="Arial"/>
                <w:b/>
                <w:bCs/>
                <w:color w:val="000000"/>
                <w:sz w:val="18"/>
                <w:szCs w:val="18"/>
                <w:lang w:val="en-GB" w:eastAsia="en-US"/>
              </w:rPr>
              <w:t xml:space="preserve">Table 2 Countries with largest impact on exports of goods in Q4 2024 </w:t>
            </w:r>
            <w:r w:rsidRPr="00884D55">
              <w:rPr>
                <w:rFonts w:cs="Arial"/>
                <w:color w:val="000000"/>
                <w:sz w:val="18"/>
                <w:szCs w:val="18"/>
                <w:lang w:val="en-GB" w:eastAsia="en-US"/>
              </w:rPr>
              <w:t>(year-on-year)</w:t>
            </w:r>
          </w:p>
        </w:tc>
      </w:tr>
      <w:tr w:rsidR="00803507" w:rsidRPr="00884D55" w14:paraId="26EAB239" w14:textId="77777777" w:rsidTr="00803507">
        <w:trPr>
          <w:trHeight w:val="170"/>
        </w:trPr>
        <w:tc>
          <w:tcPr>
            <w:tcW w:w="4811" w:type="dxa"/>
            <w:gridSpan w:val="3"/>
            <w:hideMark/>
          </w:tcPr>
          <w:tbl>
            <w:tblPr>
              <w:tblW w:w="4817" w:type="dxa"/>
              <w:tblLayout w:type="fixed"/>
              <w:tblCellMar>
                <w:left w:w="70" w:type="dxa"/>
                <w:right w:w="70" w:type="dxa"/>
              </w:tblCellMar>
              <w:tblLook w:val="04A0" w:firstRow="1" w:lastRow="0" w:firstColumn="1" w:lastColumn="0" w:noHBand="0" w:noVBand="1"/>
            </w:tblPr>
            <w:tblGrid>
              <w:gridCol w:w="3417"/>
              <w:gridCol w:w="700"/>
              <w:gridCol w:w="700"/>
            </w:tblGrid>
            <w:tr w:rsidR="00803507" w:rsidRPr="00884D55" w14:paraId="4B4647FC" w14:textId="77777777" w:rsidTr="00803507">
              <w:trPr>
                <w:trHeight w:val="255"/>
              </w:trPr>
              <w:tc>
                <w:tcPr>
                  <w:tcW w:w="3417" w:type="dxa"/>
                  <w:tcBorders>
                    <w:top w:val="nil"/>
                    <w:left w:val="nil"/>
                    <w:bottom w:val="nil"/>
                    <w:right w:val="nil"/>
                  </w:tcBorders>
                  <w:shd w:val="clear" w:color="auto" w:fill="auto"/>
                  <w:noWrap/>
                  <w:vAlign w:val="bottom"/>
                  <w:hideMark/>
                </w:tcPr>
                <w:p w14:paraId="6BE2D28B" w14:textId="77777777" w:rsidR="00803507" w:rsidRPr="00884D55" w:rsidRDefault="00803507" w:rsidP="00803507">
                  <w:pPr>
                    <w:spacing w:after="0" w:line="240" w:lineRule="auto"/>
                    <w:jc w:val="left"/>
                    <w:rPr>
                      <w:rFonts w:ascii="Times New Roman" w:hAnsi="Times New Roman"/>
                      <w:sz w:val="24"/>
                      <w:szCs w:val="20"/>
                      <w:lang w:val="en-GB"/>
                    </w:rPr>
                  </w:pPr>
                </w:p>
              </w:tc>
              <w:tc>
                <w:tcPr>
                  <w:tcW w:w="700" w:type="dxa"/>
                  <w:tcBorders>
                    <w:top w:val="nil"/>
                    <w:left w:val="nil"/>
                    <w:bottom w:val="nil"/>
                    <w:right w:val="nil"/>
                  </w:tcBorders>
                  <w:shd w:val="clear" w:color="auto" w:fill="auto"/>
                  <w:noWrap/>
                  <w:vAlign w:val="bottom"/>
                  <w:hideMark/>
                </w:tcPr>
                <w:p w14:paraId="77B4181A"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bn CZK</w:t>
                  </w:r>
                </w:p>
              </w:tc>
              <w:tc>
                <w:tcPr>
                  <w:tcW w:w="700" w:type="dxa"/>
                  <w:tcBorders>
                    <w:top w:val="nil"/>
                    <w:left w:val="nil"/>
                    <w:bottom w:val="nil"/>
                    <w:right w:val="nil"/>
                  </w:tcBorders>
                  <w:shd w:val="clear" w:color="auto" w:fill="auto"/>
                  <w:noWrap/>
                  <w:vAlign w:val="bottom"/>
                  <w:hideMark/>
                </w:tcPr>
                <w:p w14:paraId="530D9627"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w:t>
                  </w:r>
                </w:p>
              </w:tc>
            </w:tr>
            <w:tr w:rsidR="00803507" w:rsidRPr="00884D55" w14:paraId="4C3F8469" w14:textId="77777777" w:rsidTr="00803507">
              <w:trPr>
                <w:trHeight w:val="255"/>
              </w:trPr>
              <w:tc>
                <w:tcPr>
                  <w:tcW w:w="3417" w:type="dxa"/>
                  <w:tcBorders>
                    <w:top w:val="single" w:sz="4" w:space="0" w:color="auto"/>
                    <w:left w:val="nil"/>
                    <w:bottom w:val="nil"/>
                    <w:right w:val="nil"/>
                  </w:tcBorders>
                  <w:shd w:val="clear" w:color="auto" w:fill="auto"/>
                  <w:noWrap/>
                  <w:vAlign w:val="bottom"/>
                  <w:hideMark/>
                </w:tcPr>
                <w:p w14:paraId="62446503"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 xml:space="preserve">Computer, electr. and opt. appliances and equipment </w:t>
                  </w:r>
                </w:p>
              </w:tc>
              <w:tc>
                <w:tcPr>
                  <w:tcW w:w="700" w:type="dxa"/>
                  <w:tcBorders>
                    <w:top w:val="single" w:sz="4" w:space="0" w:color="auto"/>
                    <w:left w:val="nil"/>
                    <w:bottom w:val="nil"/>
                    <w:right w:val="nil"/>
                  </w:tcBorders>
                  <w:shd w:val="clear" w:color="auto" w:fill="auto"/>
                  <w:noWrap/>
                  <w:vAlign w:val="bottom"/>
                  <w:hideMark/>
                </w:tcPr>
                <w:p w14:paraId="74E41574"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+12.8</w:t>
                  </w:r>
                </w:p>
              </w:tc>
              <w:tc>
                <w:tcPr>
                  <w:tcW w:w="700" w:type="dxa"/>
                  <w:tcBorders>
                    <w:top w:val="single" w:sz="4" w:space="0" w:color="auto"/>
                    <w:left w:val="nil"/>
                    <w:bottom w:val="nil"/>
                    <w:right w:val="nil"/>
                  </w:tcBorders>
                  <w:shd w:val="clear" w:color="auto" w:fill="auto"/>
                  <w:noWrap/>
                  <w:vAlign w:val="bottom"/>
                  <w:hideMark/>
                </w:tcPr>
                <w:p w14:paraId="6D17FC86"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+12.8</w:t>
                  </w:r>
                </w:p>
              </w:tc>
            </w:tr>
            <w:tr w:rsidR="00803507" w:rsidRPr="00884D55" w14:paraId="63CE3543" w14:textId="77777777" w:rsidTr="00803507">
              <w:trPr>
                <w:trHeight w:val="255"/>
              </w:trPr>
              <w:tc>
                <w:tcPr>
                  <w:tcW w:w="3417" w:type="dxa"/>
                  <w:tcBorders>
                    <w:top w:val="nil"/>
                    <w:left w:val="nil"/>
                    <w:bottom w:val="nil"/>
                    <w:right w:val="nil"/>
                  </w:tcBorders>
                  <w:shd w:val="clear" w:color="auto" w:fill="auto"/>
                  <w:noWrap/>
                  <w:vAlign w:val="bottom"/>
                  <w:hideMark/>
                </w:tcPr>
                <w:p w14:paraId="3BC780FE"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Electrical equipment</w:t>
                  </w:r>
                </w:p>
              </w:tc>
              <w:tc>
                <w:tcPr>
                  <w:tcW w:w="700" w:type="dxa"/>
                  <w:tcBorders>
                    <w:top w:val="nil"/>
                    <w:left w:val="nil"/>
                    <w:bottom w:val="nil"/>
                    <w:right w:val="nil"/>
                  </w:tcBorders>
                  <w:shd w:val="clear" w:color="auto" w:fill="auto"/>
                  <w:noWrap/>
                  <w:vAlign w:val="bottom"/>
                  <w:hideMark/>
                </w:tcPr>
                <w:p w14:paraId="6FAC69BC"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+8.9</w:t>
                  </w:r>
                </w:p>
              </w:tc>
              <w:tc>
                <w:tcPr>
                  <w:tcW w:w="700" w:type="dxa"/>
                  <w:tcBorders>
                    <w:top w:val="nil"/>
                    <w:left w:val="nil"/>
                    <w:bottom w:val="nil"/>
                    <w:right w:val="nil"/>
                  </w:tcBorders>
                  <w:shd w:val="clear" w:color="auto" w:fill="auto"/>
                  <w:noWrap/>
                  <w:vAlign w:val="bottom"/>
                  <w:hideMark/>
                </w:tcPr>
                <w:p w14:paraId="44614CDB"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+8.0</w:t>
                  </w:r>
                </w:p>
              </w:tc>
            </w:tr>
            <w:tr w:rsidR="00803507" w:rsidRPr="00884D55" w14:paraId="062DEB8D" w14:textId="77777777" w:rsidTr="00803507">
              <w:trPr>
                <w:trHeight w:val="255"/>
              </w:trPr>
              <w:tc>
                <w:tcPr>
                  <w:tcW w:w="3417" w:type="dxa"/>
                  <w:tcBorders>
                    <w:top w:val="nil"/>
                    <w:left w:val="nil"/>
                    <w:bottom w:val="nil"/>
                    <w:right w:val="nil"/>
                  </w:tcBorders>
                  <w:shd w:val="clear" w:color="auto" w:fill="auto"/>
                  <w:noWrap/>
                  <w:vAlign w:val="bottom"/>
                  <w:hideMark/>
                </w:tcPr>
                <w:p w14:paraId="78DE4505"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Electricity, gas, steam and air conditioning</w:t>
                  </w:r>
                </w:p>
              </w:tc>
              <w:tc>
                <w:tcPr>
                  <w:tcW w:w="700" w:type="dxa"/>
                  <w:tcBorders>
                    <w:top w:val="nil"/>
                    <w:left w:val="nil"/>
                    <w:bottom w:val="nil"/>
                    <w:right w:val="nil"/>
                  </w:tcBorders>
                  <w:shd w:val="clear" w:color="auto" w:fill="auto"/>
                  <w:noWrap/>
                  <w:vAlign w:val="bottom"/>
                  <w:hideMark/>
                </w:tcPr>
                <w:p w14:paraId="020AD06C"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+6.7</w:t>
                  </w:r>
                </w:p>
              </w:tc>
              <w:tc>
                <w:tcPr>
                  <w:tcW w:w="700" w:type="dxa"/>
                  <w:tcBorders>
                    <w:top w:val="nil"/>
                    <w:left w:val="nil"/>
                    <w:bottom w:val="nil"/>
                    <w:right w:val="nil"/>
                  </w:tcBorders>
                  <w:shd w:val="clear" w:color="auto" w:fill="auto"/>
                  <w:noWrap/>
                  <w:vAlign w:val="bottom"/>
                  <w:hideMark/>
                </w:tcPr>
                <w:p w14:paraId="73EA7F98"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+52.7</w:t>
                  </w:r>
                </w:p>
              </w:tc>
            </w:tr>
            <w:tr w:rsidR="00803507" w:rsidRPr="00884D55" w14:paraId="23DF41DC" w14:textId="77777777" w:rsidTr="00803507">
              <w:trPr>
                <w:trHeight w:val="255"/>
              </w:trPr>
              <w:tc>
                <w:tcPr>
                  <w:tcW w:w="3417" w:type="dxa"/>
                  <w:tcBorders>
                    <w:top w:val="nil"/>
                    <w:left w:val="nil"/>
                    <w:bottom w:val="nil"/>
                    <w:right w:val="nil"/>
                  </w:tcBorders>
                  <w:shd w:val="clear" w:color="auto" w:fill="auto"/>
                  <w:noWrap/>
                  <w:vAlign w:val="bottom"/>
                  <w:hideMark/>
                </w:tcPr>
                <w:p w14:paraId="2AB2380C"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Food products</w:t>
                  </w:r>
                </w:p>
              </w:tc>
              <w:tc>
                <w:tcPr>
                  <w:tcW w:w="700" w:type="dxa"/>
                  <w:tcBorders>
                    <w:top w:val="nil"/>
                    <w:left w:val="nil"/>
                    <w:bottom w:val="nil"/>
                    <w:right w:val="nil"/>
                  </w:tcBorders>
                  <w:shd w:val="clear" w:color="auto" w:fill="auto"/>
                  <w:noWrap/>
                  <w:vAlign w:val="bottom"/>
                  <w:hideMark/>
                </w:tcPr>
                <w:p w14:paraId="121CE434"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+5.8</w:t>
                  </w:r>
                </w:p>
              </w:tc>
              <w:tc>
                <w:tcPr>
                  <w:tcW w:w="700" w:type="dxa"/>
                  <w:tcBorders>
                    <w:top w:val="nil"/>
                    <w:left w:val="nil"/>
                    <w:bottom w:val="nil"/>
                    <w:right w:val="nil"/>
                  </w:tcBorders>
                  <w:shd w:val="clear" w:color="auto" w:fill="auto"/>
                  <w:noWrap/>
                  <w:vAlign w:val="bottom"/>
                  <w:hideMark/>
                </w:tcPr>
                <w:p w14:paraId="796B4912"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+12.8</w:t>
                  </w:r>
                </w:p>
              </w:tc>
            </w:tr>
            <w:tr w:rsidR="00803507" w:rsidRPr="00884D55" w14:paraId="65287608" w14:textId="77777777" w:rsidTr="00803507">
              <w:trPr>
                <w:trHeight w:val="255"/>
              </w:trPr>
              <w:tc>
                <w:tcPr>
                  <w:tcW w:w="3417" w:type="dxa"/>
                  <w:tcBorders>
                    <w:top w:val="nil"/>
                    <w:left w:val="nil"/>
                    <w:bottom w:val="nil"/>
                    <w:right w:val="nil"/>
                  </w:tcBorders>
                  <w:shd w:val="clear" w:color="auto" w:fill="auto"/>
                  <w:noWrap/>
                  <w:vAlign w:val="bottom"/>
                  <w:hideMark/>
                </w:tcPr>
                <w:p w14:paraId="46EE5463"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Chemicals and chemical products</w:t>
                  </w:r>
                </w:p>
              </w:tc>
              <w:tc>
                <w:tcPr>
                  <w:tcW w:w="700" w:type="dxa"/>
                  <w:tcBorders>
                    <w:top w:val="nil"/>
                    <w:left w:val="nil"/>
                    <w:bottom w:val="nil"/>
                    <w:right w:val="nil"/>
                  </w:tcBorders>
                  <w:shd w:val="clear" w:color="auto" w:fill="auto"/>
                  <w:noWrap/>
                  <w:vAlign w:val="bottom"/>
                  <w:hideMark/>
                </w:tcPr>
                <w:p w14:paraId="40282E09"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+4.1</w:t>
                  </w:r>
                </w:p>
              </w:tc>
              <w:tc>
                <w:tcPr>
                  <w:tcW w:w="700" w:type="dxa"/>
                  <w:tcBorders>
                    <w:top w:val="nil"/>
                    <w:left w:val="nil"/>
                    <w:bottom w:val="nil"/>
                    <w:right w:val="nil"/>
                  </w:tcBorders>
                  <w:shd w:val="clear" w:color="auto" w:fill="auto"/>
                  <w:noWrap/>
                  <w:vAlign w:val="bottom"/>
                  <w:hideMark/>
                </w:tcPr>
                <w:p w14:paraId="607AE177"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+7.6</w:t>
                  </w:r>
                </w:p>
              </w:tc>
            </w:tr>
            <w:tr w:rsidR="00803507" w:rsidRPr="00884D55" w14:paraId="269FAB79" w14:textId="77777777" w:rsidTr="00803507">
              <w:trPr>
                <w:trHeight w:val="255"/>
              </w:trPr>
              <w:tc>
                <w:tcPr>
                  <w:tcW w:w="3417" w:type="dxa"/>
                  <w:tcBorders>
                    <w:top w:val="nil"/>
                    <w:left w:val="nil"/>
                    <w:bottom w:val="nil"/>
                    <w:right w:val="nil"/>
                  </w:tcBorders>
                  <w:shd w:val="clear" w:color="auto" w:fill="auto"/>
                  <w:noWrap/>
                  <w:vAlign w:val="bottom"/>
                  <w:hideMark/>
                </w:tcPr>
                <w:p w14:paraId="5C450F02"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Rubber and plastic products</w:t>
                  </w:r>
                </w:p>
              </w:tc>
              <w:tc>
                <w:tcPr>
                  <w:tcW w:w="700" w:type="dxa"/>
                  <w:tcBorders>
                    <w:top w:val="nil"/>
                    <w:left w:val="nil"/>
                    <w:bottom w:val="nil"/>
                    <w:right w:val="nil"/>
                  </w:tcBorders>
                  <w:shd w:val="clear" w:color="auto" w:fill="auto"/>
                  <w:noWrap/>
                  <w:vAlign w:val="bottom"/>
                  <w:hideMark/>
                </w:tcPr>
                <w:p w14:paraId="605DB477"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+2.7</w:t>
                  </w:r>
                </w:p>
              </w:tc>
              <w:tc>
                <w:tcPr>
                  <w:tcW w:w="700" w:type="dxa"/>
                  <w:tcBorders>
                    <w:top w:val="nil"/>
                    <w:left w:val="nil"/>
                    <w:bottom w:val="nil"/>
                    <w:right w:val="nil"/>
                  </w:tcBorders>
                  <w:shd w:val="clear" w:color="auto" w:fill="auto"/>
                  <w:noWrap/>
                  <w:vAlign w:val="bottom"/>
                  <w:hideMark/>
                </w:tcPr>
                <w:p w14:paraId="05E112EC"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+5.4</w:t>
                  </w:r>
                </w:p>
              </w:tc>
            </w:tr>
            <w:tr w:rsidR="00803507" w:rsidRPr="00884D55" w14:paraId="102B4EDC" w14:textId="77777777" w:rsidTr="00803507">
              <w:trPr>
                <w:trHeight w:val="255"/>
              </w:trPr>
              <w:tc>
                <w:tcPr>
                  <w:tcW w:w="3417" w:type="dxa"/>
                  <w:tcBorders>
                    <w:top w:val="nil"/>
                    <w:left w:val="nil"/>
                    <w:bottom w:val="nil"/>
                    <w:right w:val="nil"/>
                  </w:tcBorders>
                  <w:shd w:val="clear" w:color="auto" w:fill="auto"/>
                  <w:noWrap/>
                  <w:vAlign w:val="bottom"/>
                  <w:hideMark/>
                </w:tcPr>
                <w:p w14:paraId="5681FC39"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Other manufacturing products</w:t>
                  </w:r>
                </w:p>
              </w:tc>
              <w:tc>
                <w:tcPr>
                  <w:tcW w:w="700" w:type="dxa"/>
                  <w:tcBorders>
                    <w:top w:val="nil"/>
                    <w:left w:val="nil"/>
                    <w:bottom w:val="nil"/>
                    <w:right w:val="nil"/>
                  </w:tcBorders>
                  <w:shd w:val="clear" w:color="auto" w:fill="auto"/>
                  <w:noWrap/>
                  <w:vAlign w:val="bottom"/>
                  <w:hideMark/>
                </w:tcPr>
                <w:p w14:paraId="53B60A8C"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+2.7</w:t>
                  </w:r>
                </w:p>
              </w:tc>
              <w:tc>
                <w:tcPr>
                  <w:tcW w:w="700" w:type="dxa"/>
                  <w:tcBorders>
                    <w:top w:val="nil"/>
                    <w:left w:val="nil"/>
                    <w:bottom w:val="nil"/>
                    <w:right w:val="nil"/>
                  </w:tcBorders>
                  <w:shd w:val="clear" w:color="auto" w:fill="auto"/>
                  <w:noWrap/>
                  <w:vAlign w:val="bottom"/>
                  <w:hideMark/>
                </w:tcPr>
                <w:p w14:paraId="09BF6FA9"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+10.4</w:t>
                  </w:r>
                </w:p>
              </w:tc>
            </w:tr>
            <w:tr w:rsidR="00803507" w:rsidRPr="00884D55" w14:paraId="09E5BB85" w14:textId="77777777" w:rsidTr="00803507">
              <w:trPr>
                <w:trHeight w:val="255"/>
              </w:trPr>
              <w:tc>
                <w:tcPr>
                  <w:tcW w:w="3417" w:type="dxa"/>
                  <w:tcBorders>
                    <w:top w:val="nil"/>
                    <w:left w:val="nil"/>
                    <w:bottom w:val="nil"/>
                    <w:right w:val="nil"/>
                  </w:tcBorders>
                  <w:shd w:val="clear" w:color="auto" w:fill="auto"/>
                  <w:noWrap/>
                  <w:vAlign w:val="bottom"/>
                  <w:hideMark/>
                </w:tcPr>
                <w:p w14:paraId="687D04B1"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Motor vehicles (except for motorcycles) and parts</w:t>
                  </w:r>
                </w:p>
              </w:tc>
              <w:tc>
                <w:tcPr>
                  <w:tcW w:w="700" w:type="dxa"/>
                  <w:tcBorders>
                    <w:top w:val="nil"/>
                    <w:left w:val="nil"/>
                    <w:bottom w:val="nil"/>
                    <w:right w:val="nil"/>
                  </w:tcBorders>
                  <w:shd w:val="clear" w:color="auto" w:fill="auto"/>
                  <w:noWrap/>
                  <w:vAlign w:val="bottom"/>
                  <w:hideMark/>
                </w:tcPr>
                <w:p w14:paraId="1F29F20A"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+2.4</w:t>
                  </w:r>
                </w:p>
              </w:tc>
              <w:tc>
                <w:tcPr>
                  <w:tcW w:w="700" w:type="dxa"/>
                  <w:tcBorders>
                    <w:top w:val="nil"/>
                    <w:left w:val="nil"/>
                    <w:bottom w:val="nil"/>
                    <w:right w:val="nil"/>
                  </w:tcBorders>
                  <w:shd w:val="clear" w:color="auto" w:fill="auto"/>
                  <w:noWrap/>
                  <w:vAlign w:val="bottom"/>
                  <w:hideMark/>
                </w:tcPr>
                <w:p w14:paraId="27372727"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+0.7</w:t>
                  </w:r>
                </w:p>
              </w:tc>
            </w:tr>
            <w:tr w:rsidR="00803507" w:rsidRPr="00884D55" w14:paraId="6F517D63" w14:textId="77777777" w:rsidTr="00803507">
              <w:trPr>
                <w:trHeight w:val="255"/>
              </w:trPr>
              <w:tc>
                <w:tcPr>
                  <w:tcW w:w="3417" w:type="dxa"/>
                  <w:tcBorders>
                    <w:top w:val="nil"/>
                    <w:left w:val="nil"/>
                    <w:bottom w:val="nil"/>
                    <w:right w:val="nil"/>
                  </w:tcBorders>
                  <w:shd w:val="clear" w:color="auto" w:fill="auto"/>
                  <w:noWrap/>
                  <w:vAlign w:val="bottom"/>
                  <w:hideMark/>
                </w:tcPr>
                <w:p w14:paraId="4D578135"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Metalworking products</w:t>
                  </w:r>
                </w:p>
              </w:tc>
              <w:tc>
                <w:tcPr>
                  <w:tcW w:w="700" w:type="dxa"/>
                  <w:tcBorders>
                    <w:top w:val="nil"/>
                    <w:left w:val="nil"/>
                    <w:bottom w:val="nil"/>
                    <w:right w:val="nil"/>
                  </w:tcBorders>
                  <w:shd w:val="clear" w:color="auto" w:fill="auto"/>
                  <w:noWrap/>
                  <w:vAlign w:val="bottom"/>
                  <w:hideMark/>
                </w:tcPr>
                <w:p w14:paraId="3104A852"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+1.9</w:t>
                  </w:r>
                </w:p>
              </w:tc>
              <w:tc>
                <w:tcPr>
                  <w:tcW w:w="700" w:type="dxa"/>
                  <w:tcBorders>
                    <w:top w:val="nil"/>
                    <w:left w:val="nil"/>
                    <w:bottom w:val="nil"/>
                    <w:right w:val="nil"/>
                  </w:tcBorders>
                  <w:shd w:val="clear" w:color="auto" w:fill="auto"/>
                  <w:noWrap/>
                  <w:vAlign w:val="bottom"/>
                  <w:hideMark/>
                </w:tcPr>
                <w:p w14:paraId="1ABA1201"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+2.8</w:t>
                  </w:r>
                </w:p>
              </w:tc>
            </w:tr>
            <w:tr w:rsidR="00803507" w:rsidRPr="00884D55" w14:paraId="11D79CF2" w14:textId="77777777" w:rsidTr="00803507">
              <w:trPr>
                <w:trHeight w:val="255"/>
              </w:trPr>
              <w:tc>
                <w:tcPr>
                  <w:tcW w:w="3417" w:type="dxa"/>
                  <w:tcBorders>
                    <w:top w:val="nil"/>
                    <w:left w:val="nil"/>
                    <w:bottom w:val="nil"/>
                    <w:right w:val="nil"/>
                  </w:tcBorders>
                  <w:shd w:val="clear" w:color="auto" w:fill="auto"/>
                  <w:noWrap/>
                  <w:vAlign w:val="bottom"/>
                  <w:hideMark/>
                </w:tcPr>
                <w:p w14:paraId="244434AE"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Other transportation equipment</w:t>
                  </w:r>
                </w:p>
              </w:tc>
              <w:tc>
                <w:tcPr>
                  <w:tcW w:w="700" w:type="dxa"/>
                  <w:tcBorders>
                    <w:top w:val="nil"/>
                    <w:left w:val="nil"/>
                    <w:bottom w:val="nil"/>
                    <w:right w:val="nil"/>
                  </w:tcBorders>
                  <w:shd w:val="clear" w:color="auto" w:fill="auto"/>
                  <w:noWrap/>
                  <w:vAlign w:val="bottom"/>
                  <w:hideMark/>
                </w:tcPr>
                <w:p w14:paraId="67A5B879"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+1.6</w:t>
                  </w:r>
                </w:p>
              </w:tc>
              <w:tc>
                <w:tcPr>
                  <w:tcW w:w="700" w:type="dxa"/>
                  <w:tcBorders>
                    <w:top w:val="nil"/>
                    <w:left w:val="nil"/>
                    <w:bottom w:val="nil"/>
                    <w:right w:val="nil"/>
                  </w:tcBorders>
                  <w:shd w:val="clear" w:color="auto" w:fill="auto"/>
                  <w:noWrap/>
                  <w:vAlign w:val="bottom"/>
                  <w:hideMark/>
                </w:tcPr>
                <w:p w14:paraId="5BA2DBD0"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+7.9</w:t>
                  </w:r>
                </w:p>
              </w:tc>
            </w:tr>
            <w:tr w:rsidR="00803507" w:rsidRPr="00884D55" w14:paraId="4A09CFDA" w14:textId="77777777" w:rsidTr="00803507">
              <w:trPr>
                <w:trHeight w:val="255"/>
              </w:trPr>
              <w:tc>
                <w:tcPr>
                  <w:tcW w:w="3417" w:type="dxa"/>
                  <w:tcBorders>
                    <w:top w:val="nil"/>
                    <w:left w:val="nil"/>
                    <w:bottom w:val="nil"/>
                    <w:right w:val="nil"/>
                  </w:tcBorders>
                  <w:shd w:val="clear" w:color="auto" w:fill="auto"/>
                  <w:noWrap/>
                  <w:vAlign w:val="bottom"/>
                  <w:hideMark/>
                </w:tcPr>
                <w:p w14:paraId="17ACB659"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Paper and paper products</w:t>
                  </w:r>
                </w:p>
              </w:tc>
              <w:tc>
                <w:tcPr>
                  <w:tcW w:w="700" w:type="dxa"/>
                  <w:tcBorders>
                    <w:top w:val="nil"/>
                    <w:left w:val="nil"/>
                    <w:bottom w:val="nil"/>
                    <w:right w:val="nil"/>
                  </w:tcBorders>
                  <w:shd w:val="clear" w:color="auto" w:fill="auto"/>
                  <w:noWrap/>
                  <w:vAlign w:val="bottom"/>
                  <w:hideMark/>
                </w:tcPr>
                <w:p w14:paraId="57DC4448"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+1.5</w:t>
                  </w:r>
                </w:p>
              </w:tc>
              <w:tc>
                <w:tcPr>
                  <w:tcW w:w="700" w:type="dxa"/>
                  <w:tcBorders>
                    <w:top w:val="nil"/>
                    <w:left w:val="nil"/>
                    <w:bottom w:val="nil"/>
                    <w:right w:val="nil"/>
                  </w:tcBorders>
                  <w:shd w:val="clear" w:color="auto" w:fill="auto"/>
                  <w:noWrap/>
                  <w:vAlign w:val="bottom"/>
                  <w:hideMark/>
                </w:tcPr>
                <w:p w14:paraId="383450BA"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+7.7</w:t>
                  </w:r>
                </w:p>
              </w:tc>
            </w:tr>
            <w:tr w:rsidR="00803507" w:rsidRPr="00884D55" w14:paraId="76063606" w14:textId="77777777" w:rsidTr="00803507">
              <w:trPr>
                <w:trHeight w:val="255"/>
              </w:trPr>
              <w:tc>
                <w:tcPr>
                  <w:tcW w:w="3417" w:type="dxa"/>
                  <w:tcBorders>
                    <w:top w:val="nil"/>
                    <w:left w:val="nil"/>
                    <w:bottom w:val="nil"/>
                    <w:right w:val="nil"/>
                  </w:tcBorders>
                  <w:shd w:val="clear" w:color="auto" w:fill="auto"/>
                  <w:noWrap/>
                  <w:vAlign w:val="bottom"/>
                  <w:hideMark/>
                </w:tcPr>
                <w:p w14:paraId="7577C7B1"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Wearing apparel</w:t>
                  </w:r>
                </w:p>
              </w:tc>
              <w:tc>
                <w:tcPr>
                  <w:tcW w:w="700" w:type="dxa"/>
                  <w:tcBorders>
                    <w:top w:val="nil"/>
                    <w:left w:val="nil"/>
                    <w:bottom w:val="nil"/>
                    <w:right w:val="nil"/>
                  </w:tcBorders>
                  <w:shd w:val="clear" w:color="auto" w:fill="auto"/>
                  <w:noWrap/>
                  <w:vAlign w:val="bottom"/>
                  <w:hideMark/>
                </w:tcPr>
                <w:p w14:paraId="0F34C7EA"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+0.8</w:t>
                  </w:r>
                </w:p>
              </w:tc>
              <w:tc>
                <w:tcPr>
                  <w:tcW w:w="700" w:type="dxa"/>
                  <w:tcBorders>
                    <w:top w:val="nil"/>
                    <w:left w:val="nil"/>
                    <w:bottom w:val="nil"/>
                    <w:right w:val="nil"/>
                  </w:tcBorders>
                  <w:shd w:val="clear" w:color="auto" w:fill="auto"/>
                  <w:noWrap/>
                  <w:vAlign w:val="bottom"/>
                  <w:hideMark/>
                </w:tcPr>
                <w:p w14:paraId="76E62429"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+12.2</w:t>
                  </w:r>
                </w:p>
              </w:tc>
            </w:tr>
            <w:tr w:rsidR="00803507" w:rsidRPr="00884D55" w14:paraId="691E8746" w14:textId="77777777" w:rsidTr="00803507">
              <w:trPr>
                <w:trHeight w:val="255"/>
              </w:trPr>
              <w:tc>
                <w:tcPr>
                  <w:tcW w:w="3417" w:type="dxa"/>
                  <w:tcBorders>
                    <w:top w:val="nil"/>
                    <w:left w:val="nil"/>
                    <w:bottom w:val="nil"/>
                    <w:right w:val="nil"/>
                  </w:tcBorders>
                  <w:shd w:val="clear" w:color="auto" w:fill="auto"/>
                  <w:noWrap/>
                  <w:vAlign w:val="bottom"/>
                  <w:hideMark/>
                </w:tcPr>
                <w:p w14:paraId="67536B34"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Leather and related products</w:t>
                  </w:r>
                </w:p>
              </w:tc>
              <w:tc>
                <w:tcPr>
                  <w:tcW w:w="700" w:type="dxa"/>
                  <w:tcBorders>
                    <w:top w:val="nil"/>
                    <w:left w:val="nil"/>
                    <w:bottom w:val="nil"/>
                    <w:right w:val="nil"/>
                  </w:tcBorders>
                  <w:shd w:val="clear" w:color="auto" w:fill="auto"/>
                  <w:noWrap/>
                  <w:vAlign w:val="bottom"/>
                  <w:hideMark/>
                </w:tcPr>
                <w:p w14:paraId="0644A0CE"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−1.0</w:t>
                  </w:r>
                </w:p>
              </w:tc>
              <w:tc>
                <w:tcPr>
                  <w:tcW w:w="700" w:type="dxa"/>
                  <w:tcBorders>
                    <w:top w:val="nil"/>
                    <w:left w:val="nil"/>
                    <w:bottom w:val="nil"/>
                    <w:right w:val="nil"/>
                  </w:tcBorders>
                  <w:shd w:val="clear" w:color="auto" w:fill="auto"/>
                  <w:noWrap/>
                  <w:vAlign w:val="bottom"/>
                  <w:hideMark/>
                </w:tcPr>
                <w:p w14:paraId="11D9BC6E"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−19.7</w:t>
                  </w:r>
                </w:p>
              </w:tc>
            </w:tr>
            <w:tr w:rsidR="00803507" w:rsidRPr="00884D55" w14:paraId="7326116F" w14:textId="77777777" w:rsidTr="00803507">
              <w:trPr>
                <w:trHeight w:val="255"/>
              </w:trPr>
              <w:tc>
                <w:tcPr>
                  <w:tcW w:w="3417" w:type="dxa"/>
                  <w:tcBorders>
                    <w:top w:val="nil"/>
                    <w:left w:val="nil"/>
                    <w:bottom w:val="nil"/>
                    <w:right w:val="nil"/>
                  </w:tcBorders>
                  <w:shd w:val="clear" w:color="auto" w:fill="auto"/>
                  <w:noWrap/>
                  <w:vAlign w:val="bottom"/>
                  <w:hideMark/>
                </w:tcPr>
                <w:p w14:paraId="533874ED"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 xml:space="preserve">Coke and refined oil products </w:t>
                  </w:r>
                </w:p>
              </w:tc>
              <w:tc>
                <w:tcPr>
                  <w:tcW w:w="700" w:type="dxa"/>
                  <w:tcBorders>
                    <w:top w:val="nil"/>
                    <w:left w:val="nil"/>
                    <w:bottom w:val="nil"/>
                    <w:right w:val="nil"/>
                  </w:tcBorders>
                  <w:shd w:val="clear" w:color="auto" w:fill="auto"/>
                  <w:noWrap/>
                  <w:vAlign w:val="bottom"/>
                  <w:hideMark/>
                </w:tcPr>
                <w:p w14:paraId="37EA8289"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−1.3</w:t>
                  </w:r>
                </w:p>
              </w:tc>
              <w:tc>
                <w:tcPr>
                  <w:tcW w:w="700" w:type="dxa"/>
                  <w:tcBorders>
                    <w:top w:val="nil"/>
                    <w:left w:val="nil"/>
                    <w:bottom w:val="nil"/>
                    <w:right w:val="nil"/>
                  </w:tcBorders>
                  <w:shd w:val="clear" w:color="auto" w:fill="auto"/>
                  <w:noWrap/>
                  <w:vAlign w:val="bottom"/>
                  <w:hideMark/>
                </w:tcPr>
                <w:p w14:paraId="3A9EA4D3" w14:textId="4D33907B"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−10</w:t>
                  </w:r>
                  <w:r w:rsidR="00D8546D">
                    <w:rPr>
                      <w:rFonts w:cs="Arial"/>
                      <w:color w:val="000000"/>
                      <w:sz w:val="16"/>
                      <w:szCs w:val="16"/>
                      <w:lang w:val="en-GB"/>
                    </w:rPr>
                    <w:t>.</w:t>
                  </w:r>
                  <w:r w:rsidRPr="00884D55">
                    <w:rPr>
                      <w:rFonts w:cs="Arial"/>
                      <w:color w:val="000000"/>
                      <w:sz w:val="16"/>
                      <w:szCs w:val="16"/>
                      <w:lang w:val="en-GB"/>
                    </w:rPr>
                    <w:t>4</w:t>
                  </w:r>
                </w:p>
              </w:tc>
            </w:tr>
            <w:tr w:rsidR="00803507" w:rsidRPr="00884D55" w14:paraId="45A2B9EB" w14:textId="77777777" w:rsidTr="00803507">
              <w:trPr>
                <w:trHeight w:val="255"/>
              </w:trPr>
              <w:tc>
                <w:tcPr>
                  <w:tcW w:w="3417" w:type="dxa"/>
                  <w:tcBorders>
                    <w:top w:val="nil"/>
                    <w:left w:val="nil"/>
                    <w:bottom w:val="nil"/>
                    <w:right w:val="nil"/>
                  </w:tcBorders>
                  <w:shd w:val="clear" w:color="auto" w:fill="auto"/>
                  <w:noWrap/>
                  <w:vAlign w:val="bottom"/>
                  <w:hideMark/>
                </w:tcPr>
                <w:p w14:paraId="1677C6EA"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Machinery and equipment</w:t>
                  </w:r>
                </w:p>
              </w:tc>
              <w:tc>
                <w:tcPr>
                  <w:tcW w:w="700" w:type="dxa"/>
                  <w:tcBorders>
                    <w:top w:val="nil"/>
                    <w:left w:val="nil"/>
                    <w:bottom w:val="nil"/>
                    <w:right w:val="nil"/>
                  </w:tcBorders>
                  <w:shd w:val="clear" w:color="auto" w:fill="auto"/>
                  <w:noWrap/>
                  <w:vAlign w:val="bottom"/>
                  <w:hideMark/>
                </w:tcPr>
                <w:p w14:paraId="0C16AE97"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−2.8</w:t>
                  </w:r>
                </w:p>
              </w:tc>
              <w:tc>
                <w:tcPr>
                  <w:tcW w:w="700" w:type="dxa"/>
                  <w:tcBorders>
                    <w:top w:val="nil"/>
                    <w:left w:val="nil"/>
                    <w:bottom w:val="nil"/>
                    <w:right w:val="nil"/>
                  </w:tcBorders>
                  <w:shd w:val="clear" w:color="auto" w:fill="auto"/>
                  <w:noWrap/>
                  <w:vAlign w:val="bottom"/>
                  <w:hideMark/>
                </w:tcPr>
                <w:p w14:paraId="5D349771" w14:textId="55688538"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−2</w:t>
                  </w:r>
                  <w:r w:rsidR="00D8546D">
                    <w:rPr>
                      <w:rFonts w:cs="Arial"/>
                      <w:color w:val="000000"/>
                      <w:sz w:val="16"/>
                      <w:szCs w:val="16"/>
                      <w:lang w:val="en-GB"/>
                    </w:rPr>
                    <w:t>.</w:t>
                  </w:r>
                  <w:r w:rsidRPr="00884D55">
                    <w:rPr>
                      <w:rFonts w:cs="Arial"/>
                      <w:color w:val="000000"/>
                      <w:sz w:val="16"/>
                      <w:szCs w:val="16"/>
                      <w:lang w:val="en-GB"/>
                    </w:rPr>
                    <w:t>2</w:t>
                  </w:r>
                </w:p>
              </w:tc>
            </w:tr>
          </w:tbl>
          <w:p w14:paraId="0EC34D7B" w14:textId="77777777" w:rsidR="00803507" w:rsidRPr="00884D55" w:rsidRDefault="00803507" w:rsidP="00803507">
            <w:pPr>
              <w:spacing w:after="0"/>
              <w:rPr>
                <w:spacing w:val="-4"/>
                <w:lang w:val="en-GB" w:eastAsia="en-US"/>
              </w:rPr>
            </w:pPr>
          </w:p>
        </w:tc>
        <w:tc>
          <w:tcPr>
            <w:tcW w:w="57" w:type="dxa"/>
          </w:tcPr>
          <w:p w14:paraId="75802ABE" w14:textId="77777777" w:rsidR="00803507" w:rsidRPr="00884D55" w:rsidRDefault="00803507" w:rsidP="00803507">
            <w:pPr>
              <w:spacing w:after="0"/>
              <w:rPr>
                <w:spacing w:val="-4"/>
                <w:lang w:val="en-GB" w:eastAsia="en-US"/>
              </w:rPr>
            </w:pPr>
          </w:p>
        </w:tc>
        <w:tc>
          <w:tcPr>
            <w:tcW w:w="4809" w:type="dxa"/>
            <w:hideMark/>
          </w:tcPr>
          <w:tbl>
            <w:tblPr>
              <w:tblW w:w="4762" w:type="dxa"/>
              <w:tblLayout w:type="fixed"/>
              <w:tblCellMar>
                <w:left w:w="70" w:type="dxa"/>
                <w:right w:w="70" w:type="dxa"/>
              </w:tblCellMar>
              <w:tblLook w:val="04A0" w:firstRow="1" w:lastRow="0" w:firstColumn="1" w:lastColumn="0" w:noHBand="0" w:noVBand="1"/>
            </w:tblPr>
            <w:tblGrid>
              <w:gridCol w:w="3362"/>
              <w:gridCol w:w="700"/>
              <w:gridCol w:w="700"/>
            </w:tblGrid>
            <w:tr w:rsidR="00803507" w:rsidRPr="00884D55" w14:paraId="29B3CAB4" w14:textId="77777777" w:rsidTr="00803507">
              <w:trPr>
                <w:trHeight w:val="255"/>
              </w:trPr>
              <w:tc>
                <w:tcPr>
                  <w:tcW w:w="3362" w:type="dxa"/>
                  <w:tcBorders>
                    <w:top w:val="nil"/>
                    <w:left w:val="nil"/>
                    <w:bottom w:val="nil"/>
                    <w:right w:val="nil"/>
                  </w:tcBorders>
                  <w:shd w:val="clear" w:color="auto" w:fill="auto"/>
                  <w:noWrap/>
                  <w:vAlign w:val="bottom"/>
                  <w:hideMark/>
                </w:tcPr>
                <w:p w14:paraId="50F4AAAA" w14:textId="77777777" w:rsidR="00803507" w:rsidRPr="00884D55" w:rsidRDefault="00803507" w:rsidP="00803507">
                  <w:pPr>
                    <w:spacing w:after="0" w:line="240" w:lineRule="auto"/>
                    <w:jc w:val="left"/>
                    <w:rPr>
                      <w:rFonts w:ascii="Times New Roman" w:hAnsi="Times New Roman"/>
                      <w:sz w:val="24"/>
                      <w:szCs w:val="20"/>
                      <w:lang w:val="en-GB"/>
                    </w:rPr>
                  </w:pPr>
                </w:p>
              </w:tc>
              <w:tc>
                <w:tcPr>
                  <w:tcW w:w="700" w:type="dxa"/>
                  <w:tcBorders>
                    <w:top w:val="nil"/>
                    <w:left w:val="nil"/>
                    <w:bottom w:val="nil"/>
                    <w:right w:val="nil"/>
                  </w:tcBorders>
                  <w:shd w:val="clear" w:color="auto" w:fill="auto"/>
                  <w:noWrap/>
                  <w:vAlign w:val="bottom"/>
                  <w:hideMark/>
                </w:tcPr>
                <w:p w14:paraId="55442E79"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bn CZK</w:t>
                  </w:r>
                </w:p>
              </w:tc>
              <w:tc>
                <w:tcPr>
                  <w:tcW w:w="700" w:type="dxa"/>
                  <w:tcBorders>
                    <w:top w:val="nil"/>
                    <w:left w:val="nil"/>
                    <w:bottom w:val="nil"/>
                    <w:right w:val="nil"/>
                  </w:tcBorders>
                  <w:shd w:val="clear" w:color="auto" w:fill="auto"/>
                  <w:noWrap/>
                  <w:vAlign w:val="bottom"/>
                  <w:hideMark/>
                </w:tcPr>
                <w:p w14:paraId="33B7B552"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w:t>
                  </w:r>
                </w:p>
              </w:tc>
            </w:tr>
            <w:tr w:rsidR="00803507" w:rsidRPr="00884D55" w14:paraId="146E8757" w14:textId="77777777" w:rsidTr="00803507">
              <w:trPr>
                <w:trHeight w:val="255"/>
              </w:trPr>
              <w:tc>
                <w:tcPr>
                  <w:tcW w:w="3362" w:type="dxa"/>
                  <w:tcBorders>
                    <w:top w:val="single" w:sz="4" w:space="0" w:color="auto"/>
                    <w:left w:val="nil"/>
                    <w:bottom w:val="nil"/>
                    <w:right w:val="nil"/>
                  </w:tcBorders>
                  <w:shd w:val="clear" w:color="auto" w:fill="auto"/>
                  <w:noWrap/>
                  <w:vAlign w:val="bottom"/>
                  <w:hideMark/>
                </w:tcPr>
                <w:p w14:paraId="717432E7"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Germany</w:t>
                  </w:r>
                </w:p>
              </w:tc>
              <w:tc>
                <w:tcPr>
                  <w:tcW w:w="700" w:type="dxa"/>
                  <w:tcBorders>
                    <w:top w:val="single" w:sz="4" w:space="0" w:color="auto"/>
                    <w:left w:val="nil"/>
                    <w:bottom w:val="nil"/>
                    <w:right w:val="nil"/>
                  </w:tcBorders>
                  <w:shd w:val="clear" w:color="auto" w:fill="auto"/>
                  <w:noWrap/>
                  <w:vAlign w:val="bottom"/>
                  <w:hideMark/>
                </w:tcPr>
                <w:p w14:paraId="11D1CE1E"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+6.0</w:t>
                  </w:r>
                </w:p>
              </w:tc>
              <w:tc>
                <w:tcPr>
                  <w:tcW w:w="700" w:type="dxa"/>
                  <w:tcBorders>
                    <w:top w:val="single" w:sz="4" w:space="0" w:color="auto"/>
                    <w:left w:val="nil"/>
                    <w:bottom w:val="nil"/>
                    <w:right w:val="nil"/>
                  </w:tcBorders>
                  <w:shd w:val="clear" w:color="auto" w:fill="auto"/>
                  <w:noWrap/>
                  <w:vAlign w:val="bottom"/>
                  <w:hideMark/>
                </w:tcPr>
                <w:p w14:paraId="38DD14AA"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+1.8</w:t>
                  </w:r>
                </w:p>
              </w:tc>
            </w:tr>
            <w:tr w:rsidR="00803507" w:rsidRPr="00884D55" w14:paraId="46E61289" w14:textId="77777777" w:rsidTr="00803507">
              <w:trPr>
                <w:trHeight w:val="255"/>
              </w:trPr>
              <w:tc>
                <w:tcPr>
                  <w:tcW w:w="3362" w:type="dxa"/>
                  <w:tcBorders>
                    <w:top w:val="nil"/>
                    <w:left w:val="nil"/>
                    <w:bottom w:val="nil"/>
                    <w:right w:val="nil"/>
                  </w:tcBorders>
                  <w:shd w:val="clear" w:color="auto" w:fill="auto"/>
                  <w:noWrap/>
                  <w:vAlign w:val="bottom"/>
                  <w:hideMark/>
                </w:tcPr>
                <w:p w14:paraId="6F4AD651"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Great Britain</w:t>
                  </w:r>
                </w:p>
              </w:tc>
              <w:tc>
                <w:tcPr>
                  <w:tcW w:w="700" w:type="dxa"/>
                  <w:tcBorders>
                    <w:top w:val="nil"/>
                    <w:left w:val="nil"/>
                    <w:bottom w:val="nil"/>
                    <w:right w:val="nil"/>
                  </w:tcBorders>
                  <w:shd w:val="clear" w:color="auto" w:fill="auto"/>
                  <w:noWrap/>
                  <w:vAlign w:val="bottom"/>
                  <w:hideMark/>
                </w:tcPr>
                <w:p w14:paraId="250CC6BB"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+5.8</w:t>
                  </w:r>
                </w:p>
              </w:tc>
              <w:tc>
                <w:tcPr>
                  <w:tcW w:w="700" w:type="dxa"/>
                  <w:tcBorders>
                    <w:top w:val="nil"/>
                    <w:left w:val="nil"/>
                    <w:bottom w:val="nil"/>
                    <w:right w:val="nil"/>
                  </w:tcBorders>
                  <w:shd w:val="clear" w:color="auto" w:fill="auto"/>
                  <w:noWrap/>
                  <w:vAlign w:val="bottom"/>
                  <w:hideMark/>
                </w:tcPr>
                <w:p w14:paraId="7630BD96"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+12.7</w:t>
                  </w:r>
                </w:p>
              </w:tc>
            </w:tr>
            <w:tr w:rsidR="00803507" w:rsidRPr="00884D55" w14:paraId="328C09ED" w14:textId="77777777" w:rsidTr="00803507">
              <w:trPr>
                <w:trHeight w:val="255"/>
              </w:trPr>
              <w:tc>
                <w:tcPr>
                  <w:tcW w:w="3362" w:type="dxa"/>
                  <w:tcBorders>
                    <w:top w:val="nil"/>
                    <w:left w:val="nil"/>
                    <w:bottom w:val="nil"/>
                    <w:right w:val="nil"/>
                  </w:tcBorders>
                  <w:shd w:val="clear" w:color="auto" w:fill="auto"/>
                  <w:noWrap/>
                  <w:vAlign w:val="bottom"/>
                  <w:hideMark/>
                </w:tcPr>
                <w:p w14:paraId="0361F31B"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Poland</w:t>
                  </w:r>
                </w:p>
              </w:tc>
              <w:tc>
                <w:tcPr>
                  <w:tcW w:w="700" w:type="dxa"/>
                  <w:tcBorders>
                    <w:top w:val="nil"/>
                    <w:left w:val="nil"/>
                    <w:bottom w:val="nil"/>
                    <w:right w:val="nil"/>
                  </w:tcBorders>
                  <w:shd w:val="clear" w:color="auto" w:fill="auto"/>
                  <w:noWrap/>
                  <w:vAlign w:val="bottom"/>
                  <w:hideMark/>
                </w:tcPr>
                <w:p w14:paraId="5FB80469"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+5.7</w:t>
                  </w:r>
                </w:p>
              </w:tc>
              <w:tc>
                <w:tcPr>
                  <w:tcW w:w="700" w:type="dxa"/>
                  <w:tcBorders>
                    <w:top w:val="nil"/>
                    <w:left w:val="nil"/>
                    <w:bottom w:val="nil"/>
                    <w:right w:val="nil"/>
                  </w:tcBorders>
                  <w:shd w:val="clear" w:color="auto" w:fill="auto"/>
                  <w:noWrap/>
                  <w:vAlign w:val="bottom"/>
                  <w:hideMark/>
                </w:tcPr>
                <w:p w14:paraId="318E136D"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+6.5</w:t>
                  </w:r>
                </w:p>
              </w:tc>
            </w:tr>
            <w:tr w:rsidR="00803507" w:rsidRPr="00884D55" w14:paraId="74CD3196" w14:textId="77777777" w:rsidTr="00803507">
              <w:trPr>
                <w:trHeight w:val="255"/>
              </w:trPr>
              <w:tc>
                <w:tcPr>
                  <w:tcW w:w="3362" w:type="dxa"/>
                  <w:tcBorders>
                    <w:top w:val="nil"/>
                    <w:left w:val="nil"/>
                    <w:bottom w:val="nil"/>
                    <w:right w:val="nil"/>
                  </w:tcBorders>
                  <w:shd w:val="clear" w:color="auto" w:fill="auto"/>
                  <w:noWrap/>
                  <w:vAlign w:val="bottom"/>
                  <w:hideMark/>
                </w:tcPr>
                <w:p w14:paraId="41658DF5"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United States of America</w:t>
                  </w:r>
                </w:p>
              </w:tc>
              <w:tc>
                <w:tcPr>
                  <w:tcW w:w="700" w:type="dxa"/>
                  <w:tcBorders>
                    <w:top w:val="nil"/>
                    <w:left w:val="nil"/>
                    <w:bottom w:val="nil"/>
                    <w:right w:val="nil"/>
                  </w:tcBorders>
                  <w:shd w:val="clear" w:color="auto" w:fill="auto"/>
                  <w:noWrap/>
                  <w:vAlign w:val="bottom"/>
                  <w:hideMark/>
                </w:tcPr>
                <w:p w14:paraId="7003C711"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+5.5</w:t>
                  </w:r>
                </w:p>
              </w:tc>
              <w:tc>
                <w:tcPr>
                  <w:tcW w:w="700" w:type="dxa"/>
                  <w:tcBorders>
                    <w:top w:val="nil"/>
                    <w:left w:val="nil"/>
                    <w:bottom w:val="nil"/>
                    <w:right w:val="nil"/>
                  </w:tcBorders>
                  <w:shd w:val="clear" w:color="auto" w:fill="auto"/>
                  <w:noWrap/>
                  <w:vAlign w:val="bottom"/>
                  <w:hideMark/>
                </w:tcPr>
                <w:p w14:paraId="5BF8D9ED"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+19.3</w:t>
                  </w:r>
                </w:p>
              </w:tc>
            </w:tr>
            <w:tr w:rsidR="00803507" w:rsidRPr="00884D55" w14:paraId="6A0D2FF0" w14:textId="77777777" w:rsidTr="00803507">
              <w:trPr>
                <w:trHeight w:val="255"/>
              </w:trPr>
              <w:tc>
                <w:tcPr>
                  <w:tcW w:w="3362" w:type="dxa"/>
                  <w:tcBorders>
                    <w:top w:val="nil"/>
                    <w:left w:val="nil"/>
                    <w:bottom w:val="nil"/>
                    <w:right w:val="nil"/>
                  </w:tcBorders>
                  <w:shd w:val="clear" w:color="auto" w:fill="auto"/>
                  <w:noWrap/>
                  <w:vAlign w:val="bottom"/>
                  <w:hideMark/>
                </w:tcPr>
                <w:p w14:paraId="7EF4352F"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Israel</w:t>
                  </w:r>
                </w:p>
              </w:tc>
              <w:tc>
                <w:tcPr>
                  <w:tcW w:w="700" w:type="dxa"/>
                  <w:tcBorders>
                    <w:top w:val="nil"/>
                    <w:left w:val="nil"/>
                    <w:bottom w:val="nil"/>
                    <w:right w:val="nil"/>
                  </w:tcBorders>
                  <w:shd w:val="clear" w:color="auto" w:fill="auto"/>
                  <w:noWrap/>
                  <w:vAlign w:val="bottom"/>
                  <w:hideMark/>
                </w:tcPr>
                <w:p w14:paraId="79A94947"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+4.1</w:t>
                  </w:r>
                </w:p>
              </w:tc>
              <w:tc>
                <w:tcPr>
                  <w:tcW w:w="700" w:type="dxa"/>
                  <w:tcBorders>
                    <w:top w:val="nil"/>
                    <w:left w:val="nil"/>
                    <w:bottom w:val="nil"/>
                    <w:right w:val="nil"/>
                  </w:tcBorders>
                  <w:shd w:val="clear" w:color="auto" w:fill="auto"/>
                  <w:noWrap/>
                  <w:vAlign w:val="bottom"/>
                  <w:hideMark/>
                </w:tcPr>
                <w:p w14:paraId="6E6D16B6"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+116.4</w:t>
                  </w:r>
                </w:p>
              </w:tc>
            </w:tr>
            <w:tr w:rsidR="00803507" w:rsidRPr="00884D55" w14:paraId="674D8F7A" w14:textId="77777777" w:rsidTr="00803507">
              <w:trPr>
                <w:trHeight w:val="255"/>
              </w:trPr>
              <w:tc>
                <w:tcPr>
                  <w:tcW w:w="3362" w:type="dxa"/>
                  <w:tcBorders>
                    <w:top w:val="nil"/>
                    <w:left w:val="nil"/>
                    <w:bottom w:val="nil"/>
                    <w:right w:val="nil"/>
                  </w:tcBorders>
                  <w:shd w:val="clear" w:color="auto" w:fill="auto"/>
                  <w:noWrap/>
                  <w:vAlign w:val="bottom"/>
                  <w:hideMark/>
                </w:tcPr>
                <w:p w14:paraId="16F4F2B7"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Ukraine</w:t>
                  </w:r>
                </w:p>
              </w:tc>
              <w:tc>
                <w:tcPr>
                  <w:tcW w:w="700" w:type="dxa"/>
                  <w:tcBorders>
                    <w:top w:val="nil"/>
                    <w:left w:val="nil"/>
                    <w:bottom w:val="nil"/>
                    <w:right w:val="nil"/>
                  </w:tcBorders>
                  <w:shd w:val="clear" w:color="auto" w:fill="auto"/>
                  <w:noWrap/>
                  <w:vAlign w:val="bottom"/>
                  <w:hideMark/>
                </w:tcPr>
                <w:p w14:paraId="4E1018DE"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+4.1</w:t>
                  </w:r>
                </w:p>
              </w:tc>
              <w:tc>
                <w:tcPr>
                  <w:tcW w:w="700" w:type="dxa"/>
                  <w:tcBorders>
                    <w:top w:val="nil"/>
                    <w:left w:val="nil"/>
                    <w:bottom w:val="nil"/>
                    <w:right w:val="nil"/>
                  </w:tcBorders>
                  <w:shd w:val="clear" w:color="auto" w:fill="auto"/>
                  <w:noWrap/>
                  <w:vAlign w:val="bottom"/>
                  <w:hideMark/>
                </w:tcPr>
                <w:p w14:paraId="5A96D3F0"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+37.3</w:t>
                  </w:r>
                </w:p>
              </w:tc>
            </w:tr>
            <w:tr w:rsidR="00803507" w:rsidRPr="00884D55" w14:paraId="68E56FE8" w14:textId="77777777" w:rsidTr="00803507">
              <w:trPr>
                <w:trHeight w:val="255"/>
              </w:trPr>
              <w:tc>
                <w:tcPr>
                  <w:tcW w:w="3362" w:type="dxa"/>
                  <w:tcBorders>
                    <w:top w:val="nil"/>
                    <w:left w:val="nil"/>
                    <w:bottom w:val="nil"/>
                    <w:right w:val="nil"/>
                  </w:tcBorders>
                  <w:shd w:val="clear" w:color="auto" w:fill="auto"/>
                  <w:noWrap/>
                  <w:vAlign w:val="bottom"/>
                  <w:hideMark/>
                </w:tcPr>
                <w:p w14:paraId="25862DBD"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Belgium</w:t>
                  </w:r>
                </w:p>
              </w:tc>
              <w:tc>
                <w:tcPr>
                  <w:tcW w:w="700" w:type="dxa"/>
                  <w:tcBorders>
                    <w:top w:val="nil"/>
                    <w:left w:val="nil"/>
                    <w:bottom w:val="nil"/>
                    <w:right w:val="nil"/>
                  </w:tcBorders>
                  <w:shd w:val="clear" w:color="auto" w:fill="auto"/>
                  <w:noWrap/>
                  <w:vAlign w:val="bottom"/>
                  <w:hideMark/>
                </w:tcPr>
                <w:p w14:paraId="27956D26"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+3.6</w:t>
                  </w:r>
                </w:p>
              </w:tc>
              <w:tc>
                <w:tcPr>
                  <w:tcW w:w="700" w:type="dxa"/>
                  <w:tcBorders>
                    <w:top w:val="nil"/>
                    <w:left w:val="nil"/>
                    <w:bottom w:val="nil"/>
                    <w:right w:val="nil"/>
                  </w:tcBorders>
                  <w:shd w:val="clear" w:color="auto" w:fill="auto"/>
                  <w:noWrap/>
                  <w:vAlign w:val="bottom"/>
                  <w:hideMark/>
                </w:tcPr>
                <w:p w14:paraId="2A891B34"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+14.7</w:t>
                  </w:r>
                </w:p>
              </w:tc>
            </w:tr>
            <w:tr w:rsidR="00803507" w:rsidRPr="00884D55" w14:paraId="200D1F8D" w14:textId="77777777" w:rsidTr="00803507">
              <w:trPr>
                <w:trHeight w:val="255"/>
              </w:trPr>
              <w:tc>
                <w:tcPr>
                  <w:tcW w:w="3362" w:type="dxa"/>
                  <w:tcBorders>
                    <w:top w:val="nil"/>
                    <w:left w:val="nil"/>
                    <w:bottom w:val="nil"/>
                    <w:right w:val="nil"/>
                  </w:tcBorders>
                  <w:shd w:val="clear" w:color="auto" w:fill="auto"/>
                  <w:noWrap/>
                  <w:vAlign w:val="bottom"/>
                  <w:hideMark/>
                </w:tcPr>
                <w:p w14:paraId="45030533"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Turkey</w:t>
                  </w:r>
                </w:p>
              </w:tc>
              <w:tc>
                <w:tcPr>
                  <w:tcW w:w="700" w:type="dxa"/>
                  <w:tcBorders>
                    <w:top w:val="nil"/>
                    <w:left w:val="nil"/>
                    <w:bottom w:val="nil"/>
                    <w:right w:val="nil"/>
                  </w:tcBorders>
                  <w:shd w:val="clear" w:color="auto" w:fill="auto"/>
                  <w:noWrap/>
                  <w:vAlign w:val="bottom"/>
                  <w:hideMark/>
                </w:tcPr>
                <w:p w14:paraId="1FEB6147"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+3.0</w:t>
                  </w:r>
                </w:p>
              </w:tc>
              <w:tc>
                <w:tcPr>
                  <w:tcW w:w="700" w:type="dxa"/>
                  <w:tcBorders>
                    <w:top w:val="nil"/>
                    <w:left w:val="nil"/>
                    <w:bottom w:val="nil"/>
                    <w:right w:val="nil"/>
                  </w:tcBorders>
                  <w:shd w:val="clear" w:color="auto" w:fill="auto"/>
                  <w:noWrap/>
                  <w:vAlign w:val="bottom"/>
                  <w:hideMark/>
                </w:tcPr>
                <w:p w14:paraId="23FF9BEA"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+16.0</w:t>
                  </w:r>
                </w:p>
              </w:tc>
            </w:tr>
            <w:tr w:rsidR="00803507" w:rsidRPr="00884D55" w14:paraId="067F8D6B" w14:textId="77777777" w:rsidTr="00803507">
              <w:trPr>
                <w:trHeight w:val="255"/>
              </w:trPr>
              <w:tc>
                <w:tcPr>
                  <w:tcW w:w="3362" w:type="dxa"/>
                  <w:tcBorders>
                    <w:top w:val="nil"/>
                    <w:left w:val="nil"/>
                    <w:bottom w:val="nil"/>
                    <w:right w:val="nil"/>
                  </w:tcBorders>
                  <w:shd w:val="clear" w:color="auto" w:fill="auto"/>
                  <w:noWrap/>
                  <w:vAlign w:val="bottom"/>
                  <w:hideMark/>
                </w:tcPr>
                <w:p w14:paraId="328018E6"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Austria</w:t>
                  </w:r>
                </w:p>
              </w:tc>
              <w:tc>
                <w:tcPr>
                  <w:tcW w:w="700" w:type="dxa"/>
                  <w:tcBorders>
                    <w:top w:val="nil"/>
                    <w:left w:val="nil"/>
                    <w:bottom w:val="nil"/>
                    <w:right w:val="nil"/>
                  </w:tcBorders>
                  <w:shd w:val="clear" w:color="auto" w:fill="auto"/>
                  <w:noWrap/>
                  <w:vAlign w:val="bottom"/>
                  <w:hideMark/>
                </w:tcPr>
                <w:p w14:paraId="7747FDA0"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+2.7</w:t>
                  </w:r>
                </w:p>
              </w:tc>
              <w:tc>
                <w:tcPr>
                  <w:tcW w:w="700" w:type="dxa"/>
                  <w:tcBorders>
                    <w:top w:val="nil"/>
                    <w:left w:val="nil"/>
                    <w:bottom w:val="nil"/>
                    <w:right w:val="nil"/>
                  </w:tcBorders>
                  <w:shd w:val="clear" w:color="auto" w:fill="auto"/>
                  <w:noWrap/>
                  <w:vAlign w:val="bottom"/>
                  <w:hideMark/>
                </w:tcPr>
                <w:p w14:paraId="1FD9EDAB"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+6.4</w:t>
                  </w:r>
                </w:p>
              </w:tc>
            </w:tr>
            <w:tr w:rsidR="00803507" w:rsidRPr="00884D55" w14:paraId="41DE023A" w14:textId="77777777" w:rsidTr="00803507">
              <w:trPr>
                <w:trHeight w:val="255"/>
              </w:trPr>
              <w:tc>
                <w:tcPr>
                  <w:tcW w:w="3362" w:type="dxa"/>
                  <w:tcBorders>
                    <w:top w:val="nil"/>
                    <w:left w:val="nil"/>
                    <w:bottom w:val="nil"/>
                    <w:right w:val="nil"/>
                  </w:tcBorders>
                  <w:shd w:val="clear" w:color="auto" w:fill="auto"/>
                  <w:noWrap/>
                  <w:vAlign w:val="bottom"/>
                  <w:hideMark/>
                </w:tcPr>
                <w:p w14:paraId="6661029B"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Singapore</w:t>
                  </w:r>
                </w:p>
              </w:tc>
              <w:tc>
                <w:tcPr>
                  <w:tcW w:w="700" w:type="dxa"/>
                  <w:tcBorders>
                    <w:top w:val="nil"/>
                    <w:left w:val="nil"/>
                    <w:bottom w:val="nil"/>
                    <w:right w:val="nil"/>
                  </w:tcBorders>
                  <w:shd w:val="clear" w:color="auto" w:fill="auto"/>
                  <w:noWrap/>
                  <w:vAlign w:val="bottom"/>
                  <w:hideMark/>
                </w:tcPr>
                <w:p w14:paraId="32ADF21D"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+2.0</w:t>
                  </w:r>
                </w:p>
              </w:tc>
              <w:tc>
                <w:tcPr>
                  <w:tcW w:w="700" w:type="dxa"/>
                  <w:tcBorders>
                    <w:top w:val="nil"/>
                    <w:left w:val="nil"/>
                    <w:bottom w:val="nil"/>
                    <w:right w:val="nil"/>
                  </w:tcBorders>
                  <w:shd w:val="clear" w:color="auto" w:fill="auto"/>
                  <w:noWrap/>
                  <w:vAlign w:val="bottom"/>
                  <w:hideMark/>
                </w:tcPr>
                <w:p w14:paraId="562E1B66"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+121.9</w:t>
                  </w:r>
                </w:p>
              </w:tc>
            </w:tr>
            <w:tr w:rsidR="00803507" w:rsidRPr="00884D55" w14:paraId="7EF433F7" w14:textId="77777777" w:rsidTr="00803507">
              <w:trPr>
                <w:trHeight w:val="255"/>
              </w:trPr>
              <w:tc>
                <w:tcPr>
                  <w:tcW w:w="3362" w:type="dxa"/>
                  <w:tcBorders>
                    <w:top w:val="nil"/>
                    <w:left w:val="nil"/>
                    <w:bottom w:val="nil"/>
                    <w:right w:val="nil"/>
                  </w:tcBorders>
                  <w:shd w:val="clear" w:color="auto" w:fill="auto"/>
                  <w:noWrap/>
                  <w:vAlign w:val="bottom"/>
                  <w:hideMark/>
                </w:tcPr>
                <w:p w14:paraId="7D0853AB"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China</w:t>
                  </w:r>
                </w:p>
              </w:tc>
              <w:tc>
                <w:tcPr>
                  <w:tcW w:w="700" w:type="dxa"/>
                  <w:tcBorders>
                    <w:top w:val="nil"/>
                    <w:left w:val="nil"/>
                    <w:bottom w:val="nil"/>
                    <w:right w:val="nil"/>
                  </w:tcBorders>
                  <w:shd w:val="clear" w:color="auto" w:fill="auto"/>
                  <w:noWrap/>
                  <w:vAlign w:val="bottom"/>
                  <w:hideMark/>
                </w:tcPr>
                <w:p w14:paraId="437EB6D7"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+1.7</w:t>
                  </w:r>
                </w:p>
              </w:tc>
              <w:tc>
                <w:tcPr>
                  <w:tcW w:w="700" w:type="dxa"/>
                  <w:tcBorders>
                    <w:top w:val="nil"/>
                    <w:left w:val="nil"/>
                    <w:bottom w:val="nil"/>
                    <w:right w:val="nil"/>
                  </w:tcBorders>
                  <w:shd w:val="clear" w:color="auto" w:fill="auto"/>
                  <w:noWrap/>
                  <w:vAlign w:val="bottom"/>
                  <w:hideMark/>
                </w:tcPr>
                <w:p w14:paraId="6F392959"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+14.1</w:t>
                  </w:r>
                </w:p>
              </w:tc>
            </w:tr>
            <w:tr w:rsidR="00803507" w:rsidRPr="00884D55" w14:paraId="6EB9FA71" w14:textId="77777777" w:rsidTr="00803507">
              <w:trPr>
                <w:trHeight w:val="255"/>
              </w:trPr>
              <w:tc>
                <w:tcPr>
                  <w:tcW w:w="3362" w:type="dxa"/>
                  <w:tcBorders>
                    <w:top w:val="nil"/>
                    <w:left w:val="nil"/>
                    <w:bottom w:val="nil"/>
                    <w:right w:val="nil"/>
                  </w:tcBorders>
                  <w:shd w:val="clear" w:color="auto" w:fill="auto"/>
                  <w:noWrap/>
                  <w:vAlign w:val="bottom"/>
                  <w:hideMark/>
                </w:tcPr>
                <w:p w14:paraId="797A75A6"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Azerbaijan</w:t>
                  </w:r>
                </w:p>
              </w:tc>
              <w:tc>
                <w:tcPr>
                  <w:tcW w:w="700" w:type="dxa"/>
                  <w:tcBorders>
                    <w:top w:val="nil"/>
                    <w:left w:val="nil"/>
                    <w:bottom w:val="nil"/>
                    <w:right w:val="nil"/>
                  </w:tcBorders>
                  <w:shd w:val="clear" w:color="auto" w:fill="auto"/>
                  <w:noWrap/>
                  <w:vAlign w:val="bottom"/>
                  <w:hideMark/>
                </w:tcPr>
                <w:p w14:paraId="6A00694C"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+1.2</w:t>
                  </w:r>
                </w:p>
              </w:tc>
              <w:tc>
                <w:tcPr>
                  <w:tcW w:w="700" w:type="dxa"/>
                  <w:tcBorders>
                    <w:top w:val="nil"/>
                    <w:left w:val="nil"/>
                    <w:bottom w:val="nil"/>
                    <w:right w:val="nil"/>
                  </w:tcBorders>
                  <w:shd w:val="clear" w:color="auto" w:fill="auto"/>
                  <w:noWrap/>
                  <w:vAlign w:val="bottom"/>
                  <w:hideMark/>
                </w:tcPr>
                <w:p w14:paraId="2CD47C86"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+94.5</w:t>
                  </w:r>
                </w:p>
              </w:tc>
            </w:tr>
            <w:tr w:rsidR="00803507" w:rsidRPr="00884D55" w14:paraId="4CBDCAAC" w14:textId="77777777" w:rsidTr="00803507">
              <w:trPr>
                <w:trHeight w:val="255"/>
              </w:trPr>
              <w:tc>
                <w:tcPr>
                  <w:tcW w:w="3362" w:type="dxa"/>
                  <w:tcBorders>
                    <w:top w:val="nil"/>
                    <w:left w:val="nil"/>
                    <w:bottom w:val="nil"/>
                    <w:right w:val="nil"/>
                  </w:tcBorders>
                  <w:shd w:val="clear" w:color="auto" w:fill="auto"/>
                  <w:noWrap/>
                  <w:vAlign w:val="bottom"/>
                  <w:hideMark/>
                </w:tcPr>
                <w:p w14:paraId="6FC9B21D"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South Korea</w:t>
                  </w:r>
                </w:p>
              </w:tc>
              <w:tc>
                <w:tcPr>
                  <w:tcW w:w="700" w:type="dxa"/>
                  <w:tcBorders>
                    <w:top w:val="nil"/>
                    <w:left w:val="nil"/>
                    <w:bottom w:val="nil"/>
                    <w:right w:val="nil"/>
                  </w:tcBorders>
                  <w:shd w:val="clear" w:color="auto" w:fill="auto"/>
                  <w:noWrap/>
                  <w:vAlign w:val="bottom"/>
                  <w:hideMark/>
                </w:tcPr>
                <w:p w14:paraId="27C3067C"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+1.2</w:t>
                  </w:r>
                </w:p>
              </w:tc>
              <w:tc>
                <w:tcPr>
                  <w:tcW w:w="700" w:type="dxa"/>
                  <w:tcBorders>
                    <w:top w:val="nil"/>
                    <w:left w:val="nil"/>
                    <w:bottom w:val="nil"/>
                    <w:right w:val="nil"/>
                  </w:tcBorders>
                  <w:shd w:val="clear" w:color="auto" w:fill="auto"/>
                  <w:noWrap/>
                  <w:vAlign w:val="bottom"/>
                  <w:hideMark/>
                </w:tcPr>
                <w:p w14:paraId="7FDC97F0"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+40.1</w:t>
                  </w:r>
                </w:p>
              </w:tc>
            </w:tr>
            <w:tr w:rsidR="00803507" w:rsidRPr="00884D55" w14:paraId="5ABCA755" w14:textId="77777777" w:rsidTr="00803507">
              <w:trPr>
                <w:trHeight w:val="255"/>
              </w:trPr>
              <w:tc>
                <w:tcPr>
                  <w:tcW w:w="3362" w:type="dxa"/>
                  <w:tcBorders>
                    <w:top w:val="nil"/>
                    <w:left w:val="nil"/>
                    <w:bottom w:val="nil"/>
                    <w:right w:val="nil"/>
                  </w:tcBorders>
                  <w:shd w:val="clear" w:color="auto" w:fill="auto"/>
                  <w:noWrap/>
                  <w:vAlign w:val="bottom"/>
                  <w:hideMark/>
                </w:tcPr>
                <w:p w14:paraId="28150553"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Italy</w:t>
                  </w:r>
                </w:p>
              </w:tc>
              <w:tc>
                <w:tcPr>
                  <w:tcW w:w="700" w:type="dxa"/>
                  <w:tcBorders>
                    <w:top w:val="nil"/>
                    <w:left w:val="nil"/>
                    <w:bottom w:val="nil"/>
                    <w:right w:val="nil"/>
                  </w:tcBorders>
                  <w:shd w:val="clear" w:color="auto" w:fill="auto"/>
                  <w:noWrap/>
                  <w:vAlign w:val="bottom"/>
                  <w:hideMark/>
                </w:tcPr>
                <w:p w14:paraId="4979F6A7"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−1.2</w:t>
                  </w:r>
                </w:p>
              </w:tc>
              <w:tc>
                <w:tcPr>
                  <w:tcW w:w="700" w:type="dxa"/>
                  <w:tcBorders>
                    <w:top w:val="nil"/>
                    <w:left w:val="nil"/>
                    <w:bottom w:val="nil"/>
                    <w:right w:val="nil"/>
                  </w:tcBorders>
                  <w:shd w:val="clear" w:color="auto" w:fill="auto"/>
                  <w:noWrap/>
                  <w:vAlign w:val="bottom"/>
                  <w:hideMark/>
                </w:tcPr>
                <w:p w14:paraId="66F832AB"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−2.6</w:t>
                  </w:r>
                </w:p>
              </w:tc>
            </w:tr>
            <w:tr w:rsidR="00803507" w:rsidRPr="00884D55" w14:paraId="4E540023" w14:textId="77777777" w:rsidTr="00803507">
              <w:trPr>
                <w:trHeight w:val="255"/>
              </w:trPr>
              <w:tc>
                <w:tcPr>
                  <w:tcW w:w="3362" w:type="dxa"/>
                  <w:tcBorders>
                    <w:top w:val="nil"/>
                    <w:left w:val="nil"/>
                    <w:bottom w:val="nil"/>
                    <w:right w:val="nil"/>
                  </w:tcBorders>
                  <w:shd w:val="clear" w:color="auto" w:fill="auto"/>
                  <w:noWrap/>
                  <w:vAlign w:val="bottom"/>
                  <w:hideMark/>
                </w:tcPr>
                <w:p w14:paraId="126C4039" w14:textId="77777777" w:rsidR="00803507" w:rsidRPr="00884D55" w:rsidRDefault="00803507" w:rsidP="00803507">
                  <w:pPr>
                    <w:spacing w:after="0" w:line="240" w:lineRule="auto"/>
                    <w:jc w:val="left"/>
                    <w:rPr>
                      <w:rFonts w:cs="Arial"/>
                      <w:color w:val="000000"/>
                      <w:sz w:val="16"/>
                      <w:szCs w:val="16"/>
                      <w:lang w:val="en-GB"/>
                    </w:rPr>
                  </w:pPr>
                  <w:r w:rsidRPr="00884D55">
                    <w:rPr>
                      <w:rFonts w:cs="Arial"/>
                      <w:color w:val="000000"/>
                      <w:sz w:val="16"/>
                      <w:szCs w:val="16"/>
                      <w:lang w:val="en-GB"/>
                    </w:rPr>
                    <w:t>France</w:t>
                  </w:r>
                </w:p>
              </w:tc>
              <w:tc>
                <w:tcPr>
                  <w:tcW w:w="700" w:type="dxa"/>
                  <w:tcBorders>
                    <w:top w:val="nil"/>
                    <w:left w:val="nil"/>
                    <w:bottom w:val="nil"/>
                    <w:right w:val="nil"/>
                  </w:tcBorders>
                  <w:shd w:val="clear" w:color="auto" w:fill="auto"/>
                  <w:noWrap/>
                  <w:vAlign w:val="bottom"/>
                  <w:hideMark/>
                </w:tcPr>
                <w:p w14:paraId="5DE8841A"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−2.7</w:t>
                  </w:r>
                </w:p>
              </w:tc>
              <w:tc>
                <w:tcPr>
                  <w:tcW w:w="700" w:type="dxa"/>
                  <w:tcBorders>
                    <w:top w:val="nil"/>
                    <w:left w:val="nil"/>
                    <w:bottom w:val="nil"/>
                    <w:right w:val="nil"/>
                  </w:tcBorders>
                  <w:shd w:val="clear" w:color="auto" w:fill="auto"/>
                  <w:noWrap/>
                  <w:vAlign w:val="bottom"/>
                  <w:hideMark/>
                </w:tcPr>
                <w:p w14:paraId="3C20B888" w14:textId="77777777" w:rsidR="00803507" w:rsidRPr="00884D55" w:rsidRDefault="00803507" w:rsidP="00803507">
                  <w:pPr>
                    <w:spacing w:after="0" w:line="240" w:lineRule="auto"/>
                    <w:jc w:val="right"/>
                    <w:rPr>
                      <w:rFonts w:cs="Arial"/>
                      <w:color w:val="000000"/>
                      <w:sz w:val="16"/>
                      <w:szCs w:val="16"/>
                      <w:lang w:val="en-GB"/>
                    </w:rPr>
                  </w:pPr>
                  <w:r w:rsidRPr="00884D55">
                    <w:rPr>
                      <w:rFonts w:cs="Arial"/>
                      <w:color w:val="000000"/>
                      <w:sz w:val="16"/>
                      <w:szCs w:val="16"/>
                      <w:lang w:val="en-GB"/>
                    </w:rPr>
                    <w:t>−4.7</w:t>
                  </w:r>
                </w:p>
              </w:tc>
            </w:tr>
          </w:tbl>
          <w:p w14:paraId="07962A8A" w14:textId="77777777" w:rsidR="00803507" w:rsidRPr="00884D55" w:rsidRDefault="00803507" w:rsidP="00803507">
            <w:pPr>
              <w:spacing w:after="0"/>
              <w:rPr>
                <w:spacing w:val="-4"/>
                <w:lang w:val="en-GB" w:eastAsia="en-US"/>
              </w:rPr>
            </w:pPr>
          </w:p>
        </w:tc>
      </w:tr>
      <w:tr w:rsidR="00803507" w:rsidRPr="00884D55" w14:paraId="3BBBB203" w14:textId="77777777" w:rsidTr="00803507">
        <w:trPr>
          <w:trHeight w:val="170"/>
        </w:trPr>
        <w:tc>
          <w:tcPr>
            <w:tcW w:w="4811" w:type="dxa"/>
            <w:gridSpan w:val="3"/>
            <w:hideMark/>
          </w:tcPr>
          <w:p w14:paraId="14C3F021" w14:textId="77777777" w:rsidR="00803507" w:rsidRPr="00884D55" w:rsidRDefault="00803507" w:rsidP="00803507">
            <w:pPr>
              <w:jc w:val="right"/>
              <w:rPr>
                <w:spacing w:val="-4"/>
                <w:sz w:val="16"/>
                <w:szCs w:val="16"/>
                <w:lang w:val="en-GB" w:eastAsia="en-US"/>
              </w:rPr>
            </w:pPr>
            <w:r w:rsidRPr="00884D55">
              <w:rPr>
                <w:spacing w:val="-4"/>
                <w:sz w:val="16"/>
                <w:szCs w:val="16"/>
                <w:lang w:val="en-GB" w:eastAsia="en-US"/>
              </w:rPr>
              <w:t>Source: CZSO</w:t>
            </w:r>
          </w:p>
        </w:tc>
        <w:tc>
          <w:tcPr>
            <w:tcW w:w="57" w:type="dxa"/>
          </w:tcPr>
          <w:p w14:paraId="3BDFD70A" w14:textId="77777777" w:rsidR="00803507" w:rsidRPr="00884D55" w:rsidRDefault="00803507" w:rsidP="00803507">
            <w:pPr>
              <w:spacing w:after="0"/>
              <w:rPr>
                <w:spacing w:val="-4"/>
                <w:lang w:val="en-GB" w:eastAsia="en-US"/>
              </w:rPr>
            </w:pPr>
          </w:p>
        </w:tc>
        <w:tc>
          <w:tcPr>
            <w:tcW w:w="4809" w:type="dxa"/>
            <w:hideMark/>
          </w:tcPr>
          <w:p w14:paraId="15496530" w14:textId="77777777" w:rsidR="00803507" w:rsidRPr="00884D55" w:rsidRDefault="00803507" w:rsidP="00803507">
            <w:pPr>
              <w:spacing w:after="0"/>
              <w:ind w:right="21"/>
              <w:jc w:val="right"/>
              <w:rPr>
                <w:spacing w:val="-4"/>
                <w:lang w:val="en-GB" w:eastAsia="en-US"/>
              </w:rPr>
            </w:pPr>
            <w:r w:rsidRPr="00884D55">
              <w:rPr>
                <w:spacing w:val="-4"/>
                <w:sz w:val="16"/>
                <w:szCs w:val="16"/>
                <w:lang w:val="en-GB" w:eastAsia="en-US"/>
              </w:rPr>
              <w:t>Source: CZSO</w:t>
            </w:r>
          </w:p>
        </w:tc>
      </w:tr>
      <w:tr w:rsidR="00802430" w:rsidRPr="00884D55" w14:paraId="044DBB41" w14:textId="77777777" w:rsidTr="00803507">
        <w:trPr>
          <w:trHeight w:val="145"/>
        </w:trPr>
        <w:tc>
          <w:tcPr>
            <w:tcW w:w="1748" w:type="dxa"/>
          </w:tcPr>
          <w:p w14:paraId="4B269E27" w14:textId="516258C6" w:rsidR="00802430" w:rsidRPr="00884D55" w:rsidRDefault="00802430" w:rsidP="00802430">
            <w:pPr>
              <w:pStyle w:val="Marginlie"/>
              <w:rPr>
                <w:lang w:val="en-GB" w:eastAsia="en-US"/>
              </w:rPr>
            </w:pPr>
            <w:r w:rsidRPr="00884D55">
              <w:rPr>
                <w:lang w:val="en-GB" w:eastAsia="en-US"/>
              </w:rPr>
              <w:t xml:space="preserve">…however, their exports increased only slightly in Q4 itself. </w:t>
            </w:r>
          </w:p>
        </w:tc>
        <w:tc>
          <w:tcPr>
            <w:tcW w:w="252" w:type="dxa"/>
          </w:tcPr>
          <w:p w14:paraId="238E0B1F" w14:textId="77777777" w:rsidR="00802430" w:rsidRPr="00884D55" w:rsidRDefault="00802430" w:rsidP="00802430">
            <w:pPr>
              <w:pStyle w:val="Textpoznpodarou"/>
              <w:jc w:val="both"/>
              <w:rPr>
                <w:spacing w:val="-4"/>
                <w:lang w:val="en-GB" w:eastAsia="en-US"/>
              </w:rPr>
            </w:pPr>
          </w:p>
        </w:tc>
        <w:tc>
          <w:tcPr>
            <w:tcW w:w="7677" w:type="dxa"/>
            <w:gridSpan w:val="3"/>
          </w:tcPr>
          <w:p w14:paraId="1B4D6CA5" w14:textId="504064A8" w:rsidR="00802430" w:rsidRPr="00884D55" w:rsidRDefault="00802430" w:rsidP="00802430">
            <w:pPr>
              <w:spacing w:after="180"/>
              <w:rPr>
                <w:spacing w:val="-4"/>
                <w:lang w:val="en-GB" w:eastAsia="en-US"/>
              </w:rPr>
            </w:pPr>
            <w:r w:rsidRPr="00884D55">
              <w:rPr>
                <w:spacing w:val="-4"/>
                <w:lang w:val="en-GB" w:eastAsia="en-US"/>
              </w:rPr>
              <w:t xml:space="preserve">The growth of exports of motor vehicles, which contributed the most to the total increase of exports in the first three quarters of the year, weakened significantly in Q4. The exports of computers, electronic and optical appliances (see Table 1), electrical equipment, electricity, gas, steam and air conditioning, and food products grew the most at the end of the year. </w:t>
            </w:r>
            <w:r w:rsidRPr="00884D55">
              <w:rPr>
                <w:spacing w:val="-4"/>
                <w:lang w:val="en-GB" w:eastAsia="en-US"/>
              </w:rPr>
              <w:lastRenderedPageBreak/>
              <w:t xml:space="preserve">Exports of a minority of product types declined, mostly machinery and equipment, and coke and refined petroleum products. </w:t>
            </w:r>
          </w:p>
        </w:tc>
      </w:tr>
      <w:tr w:rsidR="00802430" w:rsidRPr="00884D55" w14:paraId="35A6541C" w14:textId="77777777" w:rsidTr="00803507">
        <w:trPr>
          <w:trHeight w:val="145"/>
        </w:trPr>
        <w:tc>
          <w:tcPr>
            <w:tcW w:w="1748" w:type="dxa"/>
            <w:hideMark/>
          </w:tcPr>
          <w:p w14:paraId="2AA8F32F" w14:textId="77777777" w:rsidR="00802430" w:rsidRPr="00884D55" w:rsidRDefault="00802430" w:rsidP="00802430">
            <w:pPr>
              <w:pStyle w:val="Marginlie"/>
              <w:rPr>
                <w:lang w:val="en-GB" w:eastAsia="en-US"/>
              </w:rPr>
            </w:pPr>
            <w:r w:rsidRPr="00884D55">
              <w:rPr>
                <w:lang w:val="en-GB" w:eastAsia="en-US"/>
              </w:rPr>
              <w:lastRenderedPageBreak/>
              <w:t xml:space="preserve">Imports increased moderately last year. </w:t>
            </w:r>
          </w:p>
        </w:tc>
        <w:tc>
          <w:tcPr>
            <w:tcW w:w="252" w:type="dxa"/>
          </w:tcPr>
          <w:p w14:paraId="2E86209A" w14:textId="77777777" w:rsidR="00802430" w:rsidRPr="00884D55" w:rsidRDefault="00802430" w:rsidP="00802430">
            <w:pPr>
              <w:pStyle w:val="Textpoznpodarou"/>
              <w:jc w:val="both"/>
              <w:rPr>
                <w:spacing w:val="-4"/>
                <w:lang w:val="en-GB" w:eastAsia="en-US"/>
              </w:rPr>
            </w:pPr>
          </w:p>
        </w:tc>
        <w:tc>
          <w:tcPr>
            <w:tcW w:w="7677" w:type="dxa"/>
            <w:gridSpan w:val="3"/>
            <w:hideMark/>
          </w:tcPr>
          <w:p w14:paraId="6A9D7535" w14:textId="77777777" w:rsidR="00802430" w:rsidRPr="00884D55" w:rsidRDefault="00802430" w:rsidP="00802430">
            <w:pPr>
              <w:spacing w:after="180"/>
              <w:rPr>
                <w:spacing w:val="-4"/>
                <w:lang w:val="en-GB" w:eastAsia="en-US"/>
              </w:rPr>
            </w:pPr>
            <w:bookmarkStart w:id="12" w:name="_Hlk194851749"/>
            <w:r w:rsidRPr="00884D55">
              <w:rPr>
                <w:spacing w:val="-4"/>
                <w:lang w:val="en-GB" w:eastAsia="en-US"/>
              </w:rPr>
              <w:t>The total value of goods imports increased by 101.2 bn CZK (2.3%) last year and reached 4,421.1 bn CZK. Import prices rose more moderately than export prices</w:t>
            </w:r>
            <w:r w:rsidRPr="00884D55">
              <w:rPr>
                <w:rStyle w:val="Znakapoznpodarou"/>
                <w:spacing w:val="-4"/>
                <w:lang w:val="en-GB" w:eastAsia="en-US"/>
              </w:rPr>
              <w:footnoteReference w:id="8"/>
            </w:r>
            <w:r w:rsidRPr="00884D55">
              <w:rPr>
                <w:spacing w:val="-4"/>
                <w:lang w:val="en-GB" w:eastAsia="en-US"/>
              </w:rPr>
              <w:t xml:space="preserve">. The year-on-year growth of imports was stronger in the second half of the year (−4.0%, 1.4%, 7.5% and 5.0% in Q1 through Q4). The value of goods imports increased by 54.2 bn CZK, year-on-year, to 1,140.4 bn CZK in Q4. The increase of imports was thus higher in nominal terms than the increase of exports at the end of the year, reflecting, among other things, the revived consumer demand amid a simultaneous downturn in export-oriented industry. According to seasonally adjusted data, imports increased by 0.7% in Q4, quarter-on-quarter.  </w:t>
            </w:r>
            <w:bookmarkEnd w:id="12"/>
          </w:p>
        </w:tc>
      </w:tr>
      <w:tr w:rsidR="00802430" w:rsidRPr="00884D55" w14:paraId="69F01AC6" w14:textId="77777777" w:rsidTr="00803507">
        <w:trPr>
          <w:trHeight w:val="145"/>
        </w:trPr>
        <w:tc>
          <w:tcPr>
            <w:tcW w:w="1748" w:type="dxa"/>
          </w:tcPr>
          <w:p w14:paraId="48F5988D" w14:textId="77777777" w:rsidR="00802430" w:rsidRPr="00884D55" w:rsidRDefault="00802430" w:rsidP="00802430">
            <w:pPr>
              <w:pStyle w:val="Marginlie"/>
              <w:rPr>
                <w:lang w:val="en-GB" w:eastAsia="en-US"/>
              </w:rPr>
            </w:pPr>
            <w:r w:rsidRPr="00884D55">
              <w:rPr>
                <w:lang w:val="en-GB" w:eastAsia="en-US"/>
              </w:rPr>
              <w:t xml:space="preserve">Import from the EU grew more. </w:t>
            </w:r>
          </w:p>
        </w:tc>
        <w:tc>
          <w:tcPr>
            <w:tcW w:w="252" w:type="dxa"/>
          </w:tcPr>
          <w:p w14:paraId="10EA4606" w14:textId="77777777" w:rsidR="00802430" w:rsidRPr="00884D55" w:rsidRDefault="00802430" w:rsidP="00802430">
            <w:pPr>
              <w:pStyle w:val="Textpoznpodarou"/>
              <w:jc w:val="both"/>
              <w:rPr>
                <w:spacing w:val="-4"/>
                <w:lang w:val="en-GB" w:eastAsia="en-US"/>
              </w:rPr>
            </w:pPr>
          </w:p>
        </w:tc>
        <w:tc>
          <w:tcPr>
            <w:tcW w:w="7677" w:type="dxa"/>
            <w:gridSpan w:val="3"/>
          </w:tcPr>
          <w:p w14:paraId="068CFDC5" w14:textId="77777777" w:rsidR="00802430" w:rsidRPr="00884D55" w:rsidRDefault="00802430" w:rsidP="00802430">
            <w:pPr>
              <w:spacing w:after="180"/>
              <w:rPr>
                <w:spacing w:val="-4"/>
                <w:lang w:val="en-GB" w:eastAsia="en-US"/>
              </w:rPr>
            </w:pPr>
            <w:bookmarkStart w:id="13" w:name="_Hlk194864327"/>
            <w:r w:rsidRPr="00884D55">
              <w:rPr>
                <w:spacing w:val="-4"/>
                <w:lang w:val="en-GB" w:eastAsia="en-US"/>
              </w:rPr>
              <w:t>The relatively modest total increase of imports was largely supported by imports from the EU last year (+74.7 bn CZK, 2.8%). Imports from non-EU countries grew slower (+26.2 bn, 1.6%). Imports from Poland (+29.1 bn CZK, 7.5%), Taiwan (+14.7 bn CZK, 50.0%)</w:t>
            </w:r>
            <w:r w:rsidRPr="00884D55">
              <w:rPr>
                <w:rStyle w:val="Znakapoznpodarou"/>
                <w:spacing w:val="-4"/>
                <w:lang w:val="en-GB" w:eastAsia="en-US"/>
              </w:rPr>
              <w:footnoteReference w:id="9"/>
            </w:r>
            <w:r w:rsidRPr="00884D55">
              <w:rPr>
                <w:spacing w:val="-4"/>
                <w:lang w:val="en-GB" w:eastAsia="en-US"/>
              </w:rPr>
              <w:t xml:space="preserve">, Germany (+13.8 bn CZK, 1.4%), China (+12.3 bn CZK, 2.3%), Slovakia (+11.7 bn, 5.2%) and Azerbaijan (+9.9 bn, 33.3%) increased the most. Norway (−30.9 bn CZK −35.9%), where the result was affected by a decrease in natural gas prices, and the United Kingdom (−10.2 bn, −13.2%) dominated among the countries from which imports were lower, year-on-year. Significant percentage changes regarding imports were also recorded in Bulgaria (+5.6 bn CZK, 25.7%), South Africa (−5.2 bn, −31.3%) and Hong Kong (+0.4 bn, 23.3%). Imports from the EU increased by 33.0 bn CZK (4.9%) in Q4 alone and from non-EU countries by 21.6 bn CZK (5.3%). Imports from China grew the most (see Table 4), followed by a significant increase for Poland and Slovakia. Germany, Russia, Bulgaria, Italy or Austria still feature the more significant additions. A large drop was recorded for imports from Norway. </w:t>
            </w:r>
            <w:bookmarkEnd w:id="13"/>
          </w:p>
        </w:tc>
      </w:tr>
      <w:tr w:rsidR="00802430" w:rsidRPr="00884D55" w14:paraId="0700EBE4" w14:textId="77777777" w:rsidTr="00803507">
        <w:trPr>
          <w:trHeight w:val="170"/>
        </w:trPr>
        <w:tc>
          <w:tcPr>
            <w:tcW w:w="4811" w:type="dxa"/>
            <w:gridSpan w:val="3"/>
            <w:hideMark/>
          </w:tcPr>
          <w:p w14:paraId="3B3FFE37" w14:textId="77777777" w:rsidR="00802430" w:rsidRPr="00884D55" w:rsidRDefault="00802430" w:rsidP="00802430">
            <w:pPr>
              <w:spacing w:after="0"/>
              <w:jc w:val="left"/>
              <w:rPr>
                <w:spacing w:val="-4"/>
                <w:lang w:val="en-GB" w:eastAsia="en-US"/>
              </w:rPr>
            </w:pPr>
            <w:r w:rsidRPr="00884D55">
              <w:rPr>
                <w:rFonts w:cs="Arial"/>
                <w:b/>
                <w:bCs/>
                <w:color w:val="000000"/>
                <w:sz w:val="18"/>
                <w:szCs w:val="18"/>
                <w:lang w:val="en-GB" w:eastAsia="en-US"/>
              </w:rPr>
              <w:t xml:space="preserve">Table 3 Sections of CPA classification with highest impact on goods imports development in Q4 2024 </w:t>
            </w:r>
            <w:r w:rsidRPr="00884D55">
              <w:rPr>
                <w:rFonts w:cs="Arial"/>
                <w:color w:val="000000"/>
                <w:sz w:val="18"/>
                <w:szCs w:val="18"/>
                <w:lang w:val="en-GB" w:eastAsia="en-US"/>
              </w:rPr>
              <w:t>(year-on-year)</w:t>
            </w:r>
          </w:p>
        </w:tc>
        <w:tc>
          <w:tcPr>
            <w:tcW w:w="57" w:type="dxa"/>
          </w:tcPr>
          <w:p w14:paraId="2108471E" w14:textId="77777777" w:rsidR="00802430" w:rsidRPr="00884D55" w:rsidRDefault="00802430" w:rsidP="00802430">
            <w:pPr>
              <w:spacing w:after="0"/>
              <w:rPr>
                <w:spacing w:val="-4"/>
                <w:lang w:val="en-GB" w:eastAsia="en-US"/>
              </w:rPr>
            </w:pPr>
          </w:p>
        </w:tc>
        <w:tc>
          <w:tcPr>
            <w:tcW w:w="4809" w:type="dxa"/>
            <w:hideMark/>
          </w:tcPr>
          <w:p w14:paraId="559D1A25" w14:textId="77777777" w:rsidR="00802430" w:rsidRPr="00884D55" w:rsidRDefault="00802430" w:rsidP="00802430">
            <w:pPr>
              <w:spacing w:after="0"/>
              <w:jc w:val="left"/>
              <w:rPr>
                <w:spacing w:val="-4"/>
                <w:sz w:val="18"/>
                <w:szCs w:val="18"/>
                <w:lang w:val="en-GB" w:eastAsia="en-US"/>
              </w:rPr>
            </w:pPr>
            <w:r w:rsidRPr="00884D55">
              <w:rPr>
                <w:rFonts w:cs="Arial"/>
                <w:b/>
                <w:bCs/>
                <w:color w:val="000000"/>
                <w:sz w:val="18"/>
                <w:szCs w:val="18"/>
                <w:lang w:val="en-GB" w:eastAsia="en-US"/>
              </w:rPr>
              <w:t xml:space="preserve">Table 4 Countries with largest impact on imports of goods in Q4 2024 </w:t>
            </w:r>
            <w:r w:rsidRPr="00884D55">
              <w:rPr>
                <w:rFonts w:cs="Arial"/>
                <w:color w:val="000000"/>
                <w:sz w:val="18"/>
                <w:szCs w:val="18"/>
                <w:lang w:val="en-GB" w:eastAsia="en-US"/>
              </w:rPr>
              <w:t>(year-on-year)</w:t>
            </w:r>
            <w:r w:rsidRPr="00884D55">
              <w:rPr>
                <w:rFonts w:cs="Arial"/>
                <w:b/>
                <w:bCs/>
                <w:color w:val="000000"/>
                <w:sz w:val="18"/>
                <w:szCs w:val="18"/>
                <w:lang w:val="en-GB" w:eastAsia="en-US"/>
              </w:rPr>
              <w:t xml:space="preserve"> </w:t>
            </w:r>
          </w:p>
        </w:tc>
      </w:tr>
      <w:tr w:rsidR="00802430" w:rsidRPr="00884D55" w14:paraId="027E9B7B" w14:textId="77777777" w:rsidTr="00803507">
        <w:trPr>
          <w:trHeight w:val="170"/>
        </w:trPr>
        <w:tc>
          <w:tcPr>
            <w:tcW w:w="4811" w:type="dxa"/>
            <w:gridSpan w:val="3"/>
            <w:hideMark/>
          </w:tcPr>
          <w:tbl>
            <w:tblPr>
              <w:tblW w:w="4817" w:type="dxa"/>
              <w:tblLayout w:type="fixed"/>
              <w:tblCellMar>
                <w:left w:w="70" w:type="dxa"/>
                <w:right w:w="70" w:type="dxa"/>
              </w:tblCellMar>
              <w:tblLook w:val="04A0" w:firstRow="1" w:lastRow="0" w:firstColumn="1" w:lastColumn="0" w:noHBand="0" w:noVBand="1"/>
            </w:tblPr>
            <w:tblGrid>
              <w:gridCol w:w="3417"/>
              <w:gridCol w:w="700"/>
              <w:gridCol w:w="700"/>
            </w:tblGrid>
            <w:tr w:rsidR="00802430" w:rsidRPr="00884D55" w14:paraId="1A696308" w14:textId="77777777" w:rsidTr="00803507">
              <w:trPr>
                <w:trHeight w:val="255"/>
              </w:trPr>
              <w:tc>
                <w:tcPr>
                  <w:tcW w:w="3417" w:type="dxa"/>
                  <w:tcBorders>
                    <w:top w:val="nil"/>
                    <w:left w:val="nil"/>
                    <w:bottom w:val="single" w:sz="4" w:space="0" w:color="auto"/>
                    <w:right w:val="nil"/>
                  </w:tcBorders>
                  <w:shd w:val="clear" w:color="auto" w:fill="auto"/>
                  <w:noWrap/>
                  <w:vAlign w:val="bottom"/>
                  <w:hideMark/>
                </w:tcPr>
                <w:p w14:paraId="49663343"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 </w:t>
                  </w:r>
                </w:p>
              </w:tc>
              <w:tc>
                <w:tcPr>
                  <w:tcW w:w="700" w:type="dxa"/>
                  <w:tcBorders>
                    <w:top w:val="nil"/>
                    <w:left w:val="nil"/>
                    <w:bottom w:val="single" w:sz="4" w:space="0" w:color="auto"/>
                    <w:right w:val="nil"/>
                  </w:tcBorders>
                  <w:shd w:val="clear" w:color="auto" w:fill="auto"/>
                  <w:noWrap/>
                  <w:vAlign w:val="bottom"/>
                  <w:hideMark/>
                </w:tcPr>
                <w:p w14:paraId="70C97C56"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bn CZK</w:t>
                  </w:r>
                </w:p>
              </w:tc>
              <w:tc>
                <w:tcPr>
                  <w:tcW w:w="700" w:type="dxa"/>
                  <w:tcBorders>
                    <w:top w:val="nil"/>
                    <w:left w:val="nil"/>
                    <w:bottom w:val="single" w:sz="4" w:space="0" w:color="auto"/>
                    <w:right w:val="nil"/>
                  </w:tcBorders>
                  <w:shd w:val="clear" w:color="auto" w:fill="auto"/>
                  <w:noWrap/>
                  <w:vAlign w:val="bottom"/>
                  <w:hideMark/>
                </w:tcPr>
                <w:p w14:paraId="7CB3D7C4"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w:t>
                  </w:r>
                </w:p>
              </w:tc>
            </w:tr>
            <w:tr w:rsidR="00802430" w:rsidRPr="00884D55" w14:paraId="50F6EAAE" w14:textId="77777777" w:rsidTr="00803507">
              <w:trPr>
                <w:trHeight w:val="255"/>
              </w:trPr>
              <w:tc>
                <w:tcPr>
                  <w:tcW w:w="3417" w:type="dxa"/>
                  <w:tcBorders>
                    <w:top w:val="nil"/>
                    <w:left w:val="nil"/>
                    <w:bottom w:val="nil"/>
                    <w:right w:val="nil"/>
                  </w:tcBorders>
                  <w:shd w:val="clear" w:color="auto" w:fill="auto"/>
                  <w:noWrap/>
                  <w:vAlign w:val="bottom"/>
                  <w:hideMark/>
                </w:tcPr>
                <w:p w14:paraId="5808E1E0"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Computers, electr. and opt. appliances and equipment</w:t>
                  </w:r>
                </w:p>
              </w:tc>
              <w:tc>
                <w:tcPr>
                  <w:tcW w:w="700" w:type="dxa"/>
                  <w:tcBorders>
                    <w:top w:val="nil"/>
                    <w:left w:val="nil"/>
                    <w:bottom w:val="nil"/>
                    <w:right w:val="nil"/>
                  </w:tcBorders>
                  <w:shd w:val="clear" w:color="auto" w:fill="auto"/>
                  <w:noWrap/>
                  <w:vAlign w:val="bottom"/>
                  <w:hideMark/>
                </w:tcPr>
                <w:p w14:paraId="67CE4283"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+17.9</w:t>
                  </w:r>
                </w:p>
              </w:tc>
              <w:tc>
                <w:tcPr>
                  <w:tcW w:w="700" w:type="dxa"/>
                  <w:tcBorders>
                    <w:top w:val="nil"/>
                    <w:left w:val="nil"/>
                    <w:bottom w:val="nil"/>
                    <w:right w:val="nil"/>
                  </w:tcBorders>
                  <w:shd w:val="clear" w:color="auto" w:fill="auto"/>
                  <w:noWrap/>
                  <w:vAlign w:val="bottom"/>
                  <w:hideMark/>
                </w:tcPr>
                <w:p w14:paraId="6EDA8A42"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+14.4</w:t>
                  </w:r>
                </w:p>
              </w:tc>
            </w:tr>
            <w:tr w:rsidR="00802430" w:rsidRPr="00884D55" w14:paraId="49A81BD5" w14:textId="77777777" w:rsidTr="00803507">
              <w:trPr>
                <w:trHeight w:val="255"/>
              </w:trPr>
              <w:tc>
                <w:tcPr>
                  <w:tcW w:w="3417" w:type="dxa"/>
                  <w:tcBorders>
                    <w:top w:val="nil"/>
                    <w:left w:val="nil"/>
                    <w:bottom w:val="nil"/>
                    <w:right w:val="nil"/>
                  </w:tcBorders>
                  <w:shd w:val="clear" w:color="auto" w:fill="auto"/>
                  <w:noWrap/>
                  <w:vAlign w:val="bottom"/>
                  <w:hideMark/>
                </w:tcPr>
                <w:p w14:paraId="2B95F3D9"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Metalworking products except for machinery and equipment</w:t>
                  </w:r>
                </w:p>
              </w:tc>
              <w:tc>
                <w:tcPr>
                  <w:tcW w:w="700" w:type="dxa"/>
                  <w:tcBorders>
                    <w:top w:val="nil"/>
                    <w:left w:val="nil"/>
                    <w:bottom w:val="nil"/>
                    <w:right w:val="nil"/>
                  </w:tcBorders>
                  <w:shd w:val="clear" w:color="auto" w:fill="auto"/>
                  <w:noWrap/>
                  <w:vAlign w:val="bottom"/>
                  <w:hideMark/>
                </w:tcPr>
                <w:p w14:paraId="32B88F1E"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+16.0</w:t>
                  </w:r>
                </w:p>
              </w:tc>
              <w:tc>
                <w:tcPr>
                  <w:tcW w:w="700" w:type="dxa"/>
                  <w:tcBorders>
                    <w:top w:val="nil"/>
                    <w:left w:val="nil"/>
                    <w:bottom w:val="nil"/>
                    <w:right w:val="nil"/>
                  </w:tcBorders>
                  <w:shd w:val="clear" w:color="auto" w:fill="auto"/>
                  <w:noWrap/>
                  <w:vAlign w:val="bottom"/>
                  <w:hideMark/>
                </w:tcPr>
                <w:p w14:paraId="6D575015"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+32.7</w:t>
                  </w:r>
                </w:p>
              </w:tc>
            </w:tr>
            <w:tr w:rsidR="00802430" w:rsidRPr="00884D55" w14:paraId="116D078E" w14:textId="77777777" w:rsidTr="00803507">
              <w:trPr>
                <w:trHeight w:val="255"/>
              </w:trPr>
              <w:tc>
                <w:tcPr>
                  <w:tcW w:w="3417" w:type="dxa"/>
                  <w:tcBorders>
                    <w:top w:val="nil"/>
                    <w:left w:val="nil"/>
                    <w:bottom w:val="nil"/>
                    <w:right w:val="nil"/>
                  </w:tcBorders>
                  <w:shd w:val="clear" w:color="auto" w:fill="auto"/>
                  <w:noWrap/>
                  <w:vAlign w:val="bottom"/>
                  <w:hideMark/>
                </w:tcPr>
                <w:p w14:paraId="51408AED"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Food products</w:t>
                  </w:r>
                </w:p>
              </w:tc>
              <w:tc>
                <w:tcPr>
                  <w:tcW w:w="700" w:type="dxa"/>
                  <w:tcBorders>
                    <w:top w:val="nil"/>
                    <w:left w:val="nil"/>
                    <w:bottom w:val="nil"/>
                    <w:right w:val="nil"/>
                  </w:tcBorders>
                  <w:shd w:val="clear" w:color="auto" w:fill="auto"/>
                  <w:noWrap/>
                  <w:vAlign w:val="bottom"/>
                  <w:hideMark/>
                </w:tcPr>
                <w:p w14:paraId="341E8A0E"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+7.6</w:t>
                  </w:r>
                </w:p>
              </w:tc>
              <w:tc>
                <w:tcPr>
                  <w:tcW w:w="700" w:type="dxa"/>
                  <w:tcBorders>
                    <w:top w:val="nil"/>
                    <w:left w:val="nil"/>
                    <w:bottom w:val="nil"/>
                    <w:right w:val="nil"/>
                  </w:tcBorders>
                  <w:shd w:val="clear" w:color="auto" w:fill="auto"/>
                  <w:noWrap/>
                  <w:vAlign w:val="bottom"/>
                  <w:hideMark/>
                </w:tcPr>
                <w:p w14:paraId="12A2FA67"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+12.9</w:t>
                  </w:r>
                </w:p>
              </w:tc>
            </w:tr>
            <w:tr w:rsidR="00802430" w:rsidRPr="00884D55" w14:paraId="2A61DB89" w14:textId="77777777" w:rsidTr="00803507">
              <w:trPr>
                <w:trHeight w:val="255"/>
              </w:trPr>
              <w:tc>
                <w:tcPr>
                  <w:tcW w:w="3417" w:type="dxa"/>
                  <w:tcBorders>
                    <w:top w:val="nil"/>
                    <w:left w:val="nil"/>
                    <w:bottom w:val="nil"/>
                    <w:right w:val="nil"/>
                  </w:tcBorders>
                  <w:shd w:val="clear" w:color="auto" w:fill="auto"/>
                  <w:noWrap/>
                  <w:vAlign w:val="bottom"/>
                  <w:hideMark/>
                </w:tcPr>
                <w:p w14:paraId="1EC786AA"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Basic metals</w:t>
                  </w:r>
                </w:p>
              </w:tc>
              <w:tc>
                <w:tcPr>
                  <w:tcW w:w="700" w:type="dxa"/>
                  <w:tcBorders>
                    <w:top w:val="nil"/>
                    <w:left w:val="nil"/>
                    <w:bottom w:val="nil"/>
                    <w:right w:val="nil"/>
                  </w:tcBorders>
                  <w:shd w:val="clear" w:color="auto" w:fill="auto"/>
                  <w:noWrap/>
                  <w:vAlign w:val="bottom"/>
                  <w:hideMark/>
                </w:tcPr>
                <w:p w14:paraId="6785E473"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+4.9</w:t>
                  </w:r>
                </w:p>
              </w:tc>
              <w:tc>
                <w:tcPr>
                  <w:tcW w:w="700" w:type="dxa"/>
                  <w:tcBorders>
                    <w:top w:val="nil"/>
                    <w:left w:val="nil"/>
                    <w:bottom w:val="nil"/>
                    <w:right w:val="nil"/>
                  </w:tcBorders>
                  <w:shd w:val="clear" w:color="auto" w:fill="auto"/>
                  <w:noWrap/>
                  <w:vAlign w:val="bottom"/>
                  <w:hideMark/>
                </w:tcPr>
                <w:p w14:paraId="1699EE91"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+6.9</w:t>
                  </w:r>
                </w:p>
              </w:tc>
            </w:tr>
            <w:tr w:rsidR="00802430" w:rsidRPr="00884D55" w14:paraId="632A841A" w14:textId="77777777" w:rsidTr="00803507">
              <w:trPr>
                <w:trHeight w:val="255"/>
              </w:trPr>
              <w:tc>
                <w:tcPr>
                  <w:tcW w:w="3417" w:type="dxa"/>
                  <w:tcBorders>
                    <w:top w:val="nil"/>
                    <w:left w:val="nil"/>
                    <w:bottom w:val="nil"/>
                    <w:right w:val="nil"/>
                  </w:tcBorders>
                  <w:shd w:val="clear" w:color="auto" w:fill="auto"/>
                  <w:noWrap/>
                  <w:vAlign w:val="bottom"/>
                  <w:hideMark/>
                </w:tcPr>
                <w:p w14:paraId="072FECB7"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Electric equipment</w:t>
                  </w:r>
                </w:p>
              </w:tc>
              <w:tc>
                <w:tcPr>
                  <w:tcW w:w="700" w:type="dxa"/>
                  <w:tcBorders>
                    <w:top w:val="nil"/>
                    <w:left w:val="nil"/>
                    <w:bottom w:val="nil"/>
                    <w:right w:val="nil"/>
                  </w:tcBorders>
                  <w:shd w:val="clear" w:color="auto" w:fill="auto"/>
                  <w:noWrap/>
                  <w:vAlign w:val="bottom"/>
                  <w:hideMark/>
                </w:tcPr>
                <w:p w14:paraId="5498E911"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+4.7</w:t>
                  </w:r>
                </w:p>
              </w:tc>
              <w:tc>
                <w:tcPr>
                  <w:tcW w:w="700" w:type="dxa"/>
                  <w:tcBorders>
                    <w:top w:val="nil"/>
                    <w:left w:val="nil"/>
                    <w:bottom w:val="nil"/>
                    <w:right w:val="nil"/>
                  </w:tcBorders>
                  <w:shd w:val="clear" w:color="auto" w:fill="auto"/>
                  <w:noWrap/>
                  <w:vAlign w:val="bottom"/>
                  <w:hideMark/>
                </w:tcPr>
                <w:p w14:paraId="0932210C"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+4.4</w:t>
                  </w:r>
                </w:p>
              </w:tc>
            </w:tr>
            <w:tr w:rsidR="00802430" w:rsidRPr="00884D55" w14:paraId="46F5ADF1" w14:textId="77777777" w:rsidTr="00803507">
              <w:trPr>
                <w:trHeight w:val="255"/>
              </w:trPr>
              <w:tc>
                <w:tcPr>
                  <w:tcW w:w="3417" w:type="dxa"/>
                  <w:tcBorders>
                    <w:top w:val="nil"/>
                    <w:left w:val="nil"/>
                    <w:bottom w:val="nil"/>
                    <w:right w:val="nil"/>
                  </w:tcBorders>
                  <w:shd w:val="clear" w:color="auto" w:fill="auto"/>
                  <w:noWrap/>
                  <w:vAlign w:val="bottom"/>
                  <w:hideMark/>
                </w:tcPr>
                <w:p w14:paraId="711AC2DE"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Electricity, gas, steam and air conditioning</w:t>
                  </w:r>
                </w:p>
              </w:tc>
              <w:tc>
                <w:tcPr>
                  <w:tcW w:w="700" w:type="dxa"/>
                  <w:tcBorders>
                    <w:top w:val="nil"/>
                    <w:left w:val="nil"/>
                    <w:bottom w:val="nil"/>
                    <w:right w:val="nil"/>
                  </w:tcBorders>
                  <w:shd w:val="clear" w:color="auto" w:fill="auto"/>
                  <w:noWrap/>
                  <w:vAlign w:val="bottom"/>
                  <w:hideMark/>
                </w:tcPr>
                <w:p w14:paraId="2AB2AE4B"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+3.4</w:t>
                  </w:r>
                </w:p>
              </w:tc>
              <w:tc>
                <w:tcPr>
                  <w:tcW w:w="700" w:type="dxa"/>
                  <w:tcBorders>
                    <w:top w:val="nil"/>
                    <w:left w:val="nil"/>
                    <w:bottom w:val="nil"/>
                    <w:right w:val="nil"/>
                  </w:tcBorders>
                  <w:shd w:val="clear" w:color="auto" w:fill="auto"/>
                  <w:noWrap/>
                  <w:vAlign w:val="bottom"/>
                  <w:hideMark/>
                </w:tcPr>
                <w:p w14:paraId="23D53F9A"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+64.8</w:t>
                  </w:r>
                </w:p>
              </w:tc>
            </w:tr>
            <w:tr w:rsidR="00802430" w:rsidRPr="00884D55" w14:paraId="417D6F4A" w14:textId="77777777" w:rsidTr="00803507">
              <w:trPr>
                <w:trHeight w:val="255"/>
              </w:trPr>
              <w:tc>
                <w:tcPr>
                  <w:tcW w:w="3417" w:type="dxa"/>
                  <w:tcBorders>
                    <w:top w:val="nil"/>
                    <w:left w:val="nil"/>
                    <w:bottom w:val="nil"/>
                    <w:right w:val="nil"/>
                  </w:tcBorders>
                  <w:shd w:val="clear" w:color="auto" w:fill="auto"/>
                  <w:noWrap/>
                  <w:vAlign w:val="bottom"/>
                  <w:hideMark/>
                </w:tcPr>
                <w:p w14:paraId="5A1EDCD4"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Other products of manufacturing</w:t>
                  </w:r>
                </w:p>
              </w:tc>
              <w:tc>
                <w:tcPr>
                  <w:tcW w:w="700" w:type="dxa"/>
                  <w:tcBorders>
                    <w:top w:val="nil"/>
                    <w:left w:val="nil"/>
                    <w:bottom w:val="nil"/>
                    <w:right w:val="nil"/>
                  </w:tcBorders>
                  <w:shd w:val="clear" w:color="auto" w:fill="auto"/>
                  <w:noWrap/>
                  <w:vAlign w:val="bottom"/>
                  <w:hideMark/>
                </w:tcPr>
                <w:p w14:paraId="6D0A8888"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+2.8</w:t>
                  </w:r>
                </w:p>
              </w:tc>
              <w:tc>
                <w:tcPr>
                  <w:tcW w:w="700" w:type="dxa"/>
                  <w:tcBorders>
                    <w:top w:val="nil"/>
                    <w:left w:val="nil"/>
                    <w:bottom w:val="nil"/>
                    <w:right w:val="nil"/>
                  </w:tcBorders>
                  <w:shd w:val="clear" w:color="auto" w:fill="auto"/>
                  <w:noWrap/>
                  <w:vAlign w:val="bottom"/>
                  <w:hideMark/>
                </w:tcPr>
                <w:p w14:paraId="4824A93D"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+11.2</w:t>
                  </w:r>
                </w:p>
              </w:tc>
            </w:tr>
            <w:tr w:rsidR="00802430" w:rsidRPr="00884D55" w14:paraId="29911A37" w14:textId="77777777" w:rsidTr="00803507">
              <w:trPr>
                <w:trHeight w:val="255"/>
              </w:trPr>
              <w:tc>
                <w:tcPr>
                  <w:tcW w:w="3417" w:type="dxa"/>
                  <w:tcBorders>
                    <w:top w:val="nil"/>
                    <w:left w:val="nil"/>
                    <w:bottom w:val="nil"/>
                    <w:right w:val="nil"/>
                  </w:tcBorders>
                  <w:shd w:val="clear" w:color="auto" w:fill="auto"/>
                  <w:noWrap/>
                  <w:vAlign w:val="bottom"/>
                  <w:hideMark/>
                </w:tcPr>
                <w:p w14:paraId="04233377"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Agricultural and gamekeeping products</w:t>
                  </w:r>
                </w:p>
              </w:tc>
              <w:tc>
                <w:tcPr>
                  <w:tcW w:w="700" w:type="dxa"/>
                  <w:tcBorders>
                    <w:top w:val="nil"/>
                    <w:left w:val="nil"/>
                    <w:bottom w:val="nil"/>
                    <w:right w:val="nil"/>
                  </w:tcBorders>
                  <w:shd w:val="clear" w:color="auto" w:fill="auto"/>
                  <w:noWrap/>
                  <w:vAlign w:val="bottom"/>
                  <w:hideMark/>
                </w:tcPr>
                <w:p w14:paraId="557A1DF1"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+2.5</w:t>
                  </w:r>
                </w:p>
              </w:tc>
              <w:tc>
                <w:tcPr>
                  <w:tcW w:w="700" w:type="dxa"/>
                  <w:tcBorders>
                    <w:top w:val="nil"/>
                    <w:left w:val="nil"/>
                    <w:bottom w:val="nil"/>
                    <w:right w:val="nil"/>
                  </w:tcBorders>
                  <w:shd w:val="clear" w:color="auto" w:fill="auto"/>
                  <w:noWrap/>
                  <w:vAlign w:val="bottom"/>
                  <w:hideMark/>
                </w:tcPr>
                <w:p w14:paraId="48DB8BDB"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+15.8</w:t>
                  </w:r>
                </w:p>
              </w:tc>
            </w:tr>
            <w:tr w:rsidR="00802430" w:rsidRPr="00884D55" w14:paraId="6FF13E44" w14:textId="77777777" w:rsidTr="00803507">
              <w:trPr>
                <w:trHeight w:val="255"/>
              </w:trPr>
              <w:tc>
                <w:tcPr>
                  <w:tcW w:w="3417" w:type="dxa"/>
                  <w:tcBorders>
                    <w:top w:val="nil"/>
                    <w:left w:val="nil"/>
                    <w:bottom w:val="nil"/>
                    <w:right w:val="nil"/>
                  </w:tcBorders>
                  <w:shd w:val="clear" w:color="auto" w:fill="auto"/>
                  <w:noWrap/>
                  <w:vAlign w:val="bottom"/>
                  <w:hideMark/>
                </w:tcPr>
                <w:p w14:paraId="3EA778A9"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Tobacco products</w:t>
                  </w:r>
                </w:p>
              </w:tc>
              <w:tc>
                <w:tcPr>
                  <w:tcW w:w="700" w:type="dxa"/>
                  <w:tcBorders>
                    <w:top w:val="nil"/>
                    <w:left w:val="nil"/>
                    <w:bottom w:val="nil"/>
                    <w:right w:val="nil"/>
                  </w:tcBorders>
                  <w:shd w:val="clear" w:color="auto" w:fill="auto"/>
                  <w:noWrap/>
                  <w:vAlign w:val="bottom"/>
                  <w:hideMark/>
                </w:tcPr>
                <w:p w14:paraId="39CCCC94"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+1.7</w:t>
                  </w:r>
                </w:p>
              </w:tc>
              <w:tc>
                <w:tcPr>
                  <w:tcW w:w="700" w:type="dxa"/>
                  <w:tcBorders>
                    <w:top w:val="nil"/>
                    <w:left w:val="nil"/>
                    <w:bottom w:val="nil"/>
                    <w:right w:val="nil"/>
                  </w:tcBorders>
                  <w:shd w:val="clear" w:color="auto" w:fill="auto"/>
                  <w:noWrap/>
                  <w:vAlign w:val="bottom"/>
                  <w:hideMark/>
                </w:tcPr>
                <w:p w14:paraId="00D113CD"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+49.6</w:t>
                  </w:r>
                </w:p>
              </w:tc>
            </w:tr>
            <w:tr w:rsidR="00802430" w:rsidRPr="00884D55" w14:paraId="6D8C4D67" w14:textId="77777777" w:rsidTr="00803507">
              <w:trPr>
                <w:trHeight w:val="255"/>
              </w:trPr>
              <w:tc>
                <w:tcPr>
                  <w:tcW w:w="3417" w:type="dxa"/>
                  <w:tcBorders>
                    <w:top w:val="nil"/>
                    <w:left w:val="nil"/>
                    <w:bottom w:val="nil"/>
                    <w:right w:val="nil"/>
                  </w:tcBorders>
                  <w:shd w:val="clear" w:color="auto" w:fill="auto"/>
                  <w:noWrap/>
                  <w:vAlign w:val="bottom"/>
                  <w:hideMark/>
                </w:tcPr>
                <w:p w14:paraId="14EEA9A6"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Chemicals and chemical products</w:t>
                  </w:r>
                </w:p>
              </w:tc>
              <w:tc>
                <w:tcPr>
                  <w:tcW w:w="700" w:type="dxa"/>
                  <w:tcBorders>
                    <w:top w:val="nil"/>
                    <w:left w:val="nil"/>
                    <w:bottom w:val="nil"/>
                    <w:right w:val="nil"/>
                  </w:tcBorders>
                  <w:shd w:val="clear" w:color="auto" w:fill="auto"/>
                  <w:noWrap/>
                  <w:vAlign w:val="bottom"/>
                  <w:hideMark/>
                </w:tcPr>
                <w:p w14:paraId="22EEF663"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+1.6</w:t>
                  </w:r>
                </w:p>
              </w:tc>
              <w:tc>
                <w:tcPr>
                  <w:tcW w:w="700" w:type="dxa"/>
                  <w:tcBorders>
                    <w:top w:val="nil"/>
                    <w:left w:val="nil"/>
                    <w:bottom w:val="nil"/>
                    <w:right w:val="nil"/>
                  </w:tcBorders>
                  <w:shd w:val="clear" w:color="auto" w:fill="auto"/>
                  <w:noWrap/>
                  <w:vAlign w:val="bottom"/>
                  <w:hideMark/>
                </w:tcPr>
                <w:p w14:paraId="446EE677"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+1.9</w:t>
                  </w:r>
                </w:p>
              </w:tc>
            </w:tr>
            <w:tr w:rsidR="00802430" w:rsidRPr="00884D55" w14:paraId="7C9BCED5" w14:textId="77777777" w:rsidTr="00803507">
              <w:trPr>
                <w:trHeight w:val="255"/>
              </w:trPr>
              <w:tc>
                <w:tcPr>
                  <w:tcW w:w="3417" w:type="dxa"/>
                  <w:tcBorders>
                    <w:top w:val="nil"/>
                    <w:left w:val="nil"/>
                    <w:bottom w:val="nil"/>
                    <w:right w:val="nil"/>
                  </w:tcBorders>
                  <w:shd w:val="clear" w:color="auto" w:fill="auto"/>
                  <w:noWrap/>
                  <w:vAlign w:val="bottom"/>
                  <w:hideMark/>
                </w:tcPr>
                <w:p w14:paraId="3A825105"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Wearing apparel</w:t>
                  </w:r>
                </w:p>
              </w:tc>
              <w:tc>
                <w:tcPr>
                  <w:tcW w:w="700" w:type="dxa"/>
                  <w:tcBorders>
                    <w:top w:val="nil"/>
                    <w:left w:val="nil"/>
                    <w:bottom w:val="nil"/>
                    <w:right w:val="nil"/>
                  </w:tcBorders>
                  <w:shd w:val="clear" w:color="auto" w:fill="auto"/>
                  <w:noWrap/>
                  <w:vAlign w:val="bottom"/>
                  <w:hideMark/>
                </w:tcPr>
                <w:p w14:paraId="346AF62C"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+1.2</w:t>
                  </w:r>
                </w:p>
              </w:tc>
              <w:tc>
                <w:tcPr>
                  <w:tcW w:w="700" w:type="dxa"/>
                  <w:tcBorders>
                    <w:top w:val="nil"/>
                    <w:left w:val="nil"/>
                    <w:bottom w:val="nil"/>
                    <w:right w:val="nil"/>
                  </w:tcBorders>
                  <w:shd w:val="clear" w:color="auto" w:fill="auto"/>
                  <w:noWrap/>
                  <w:vAlign w:val="bottom"/>
                  <w:hideMark/>
                </w:tcPr>
                <w:p w14:paraId="0672C929"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+7.4</w:t>
                  </w:r>
                </w:p>
              </w:tc>
            </w:tr>
            <w:tr w:rsidR="00802430" w:rsidRPr="00884D55" w14:paraId="4F221B0F" w14:textId="77777777" w:rsidTr="00803507">
              <w:trPr>
                <w:trHeight w:val="255"/>
              </w:trPr>
              <w:tc>
                <w:tcPr>
                  <w:tcW w:w="3417" w:type="dxa"/>
                  <w:tcBorders>
                    <w:top w:val="nil"/>
                    <w:left w:val="nil"/>
                    <w:bottom w:val="nil"/>
                    <w:right w:val="nil"/>
                  </w:tcBorders>
                  <w:shd w:val="clear" w:color="auto" w:fill="auto"/>
                  <w:noWrap/>
                  <w:vAlign w:val="bottom"/>
                  <w:hideMark/>
                </w:tcPr>
                <w:p w14:paraId="005AB047"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Basic pharmaceutical products</w:t>
                  </w:r>
                </w:p>
              </w:tc>
              <w:tc>
                <w:tcPr>
                  <w:tcW w:w="700" w:type="dxa"/>
                  <w:tcBorders>
                    <w:top w:val="nil"/>
                    <w:left w:val="nil"/>
                    <w:bottom w:val="nil"/>
                    <w:right w:val="nil"/>
                  </w:tcBorders>
                  <w:shd w:val="clear" w:color="auto" w:fill="auto"/>
                  <w:noWrap/>
                  <w:vAlign w:val="bottom"/>
                  <w:hideMark/>
                </w:tcPr>
                <w:p w14:paraId="322940AD"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+1.1</w:t>
                  </w:r>
                </w:p>
              </w:tc>
              <w:tc>
                <w:tcPr>
                  <w:tcW w:w="700" w:type="dxa"/>
                  <w:tcBorders>
                    <w:top w:val="nil"/>
                    <w:left w:val="nil"/>
                    <w:bottom w:val="nil"/>
                    <w:right w:val="nil"/>
                  </w:tcBorders>
                  <w:shd w:val="clear" w:color="auto" w:fill="auto"/>
                  <w:noWrap/>
                  <w:vAlign w:val="bottom"/>
                  <w:hideMark/>
                </w:tcPr>
                <w:p w14:paraId="73A2FF1E"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+3.3</w:t>
                  </w:r>
                </w:p>
              </w:tc>
            </w:tr>
            <w:tr w:rsidR="00802430" w:rsidRPr="00884D55" w14:paraId="4B67D771" w14:textId="77777777" w:rsidTr="00803507">
              <w:trPr>
                <w:trHeight w:val="255"/>
              </w:trPr>
              <w:tc>
                <w:tcPr>
                  <w:tcW w:w="3417" w:type="dxa"/>
                  <w:tcBorders>
                    <w:top w:val="nil"/>
                    <w:left w:val="nil"/>
                    <w:bottom w:val="nil"/>
                    <w:right w:val="nil"/>
                  </w:tcBorders>
                  <w:shd w:val="clear" w:color="auto" w:fill="auto"/>
                  <w:noWrap/>
                  <w:vAlign w:val="bottom"/>
                  <w:hideMark/>
                </w:tcPr>
                <w:p w14:paraId="6A74DD59"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Machinery and equipment, n.c.e.</w:t>
                  </w:r>
                </w:p>
              </w:tc>
              <w:tc>
                <w:tcPr>
                  <w:tcW w:w="700" w:type="dxa"/>
                  <w:tcBorders>
                    <w:top w:val="nil"/>
                    <w:left w:val="nil"/>
                    <w:bottom w:val="nil"/>
                    <w:right w:val="nil"/>
                  </w:tcBorders>
                  <w:shd w:val="clear" w:color="auto" w:fill="auto"/>
                  <w:noWrap/>
                  <w:vAlign w:val="bottom"/>
                  <w:hideMark/>
                </w:tcPr>
                <w:p w14:paraId="205C8370"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−2.1</w:t>
                  </w:r>
                </w:p>
              </w:tc>
              <w:tc>
                <w:tcPr>
                  <w:tcW w:w="700" w:type="dxa"/>
                  <w:tcBorders>
                    <w:top w:val="nil"/>
                    <w:left w:val="nil"/>
                    <w:bottom w:val="nil"/>
                    <w:right w:val="nil"/>
                  </w:tcBorders>
                  <w:shd w:val="clear" w:color="auto" w:fill="auto"/>
                  <w:noWrap/>
                  <w:vAlign w:val="bottom"/>
                  <w:hideMark/>
                </w:tcPr>
                <w:p w14:paraId="182B2CF1"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−2.2</w:t>
                  </w:r>
                </w:p>
              </w:tc>
            </w:tr>
            <w:tr w:rsidR="00802430" w:rsidRPr="00884D55" w14:paraId="594572B4" w14:textId="77777777" w:rsidTr="00803507">
              <w:trPr>
                <w:trHeight w:val="255"/>
              </w:trPr>
              <w:tc>
                <w:tcPr>
                  <w:tcW w:w="3417" w:type="dxa"/>
                  <w:tcBorders>
                    <w:top w:val="nil"/>
                    <w:left w:val="nil"/>
                    <w:bottom w:val="nil"/>
                    <w:right w:val="nil"/>
                  </w:tcBorders>
                  <w:shd w:val="clear" w:color="auto" w:fill="auto"/>
                  <w:noWrap/>
                  <w:vAlign w:val="bottom"/>
                  <w:hideMark/>
                </w:tcPr>
                <w:p w14:paraId="69C0E53C"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Motor vehicles (except for motorcycles) and parts</w:t>
                  </w:r>
                </w:p>
              </w:tc>
              <w:tc>
                <w:tcPr>
                  <w:tcW w:w="700" w:type="dxa"/>
                  <w:tcBorders>
                    <w:top w:val="nil"/>
                    <w:left w:val="nil"/>
                    <w:bottom w:val="nil"/>
                    <w:right w:val="nil"/>
                  </w:tcBorders>
                  <w:shd w:val="clear" w:color="auto" w:fill="auto"/>
                  <w:noWrap/>
                  <w:vAlign w:val="bottom"/>
                  <w:hideMark/>
                </w:tcPr>
                <w:p w14:paraId="2827312D"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−2.3</w:t>
                  </w:r>
                </w:p>
              </w:tc>
              <w:tc>
                <w:tcPr>
                  <w:tcW w:w="700" w:type="dxa"/>
                  <w:tcBorders>
                    <w:top w:val="nil"/>
                    <w:left w:val="nil"/>
                    <w:bottom w:val="nil"/>
                    <w:right w:val="nil"/>
                  </w:tcBorders>
                  <w:shd w:val="clear" w:color="auto" w:fill="auto"/>
                  <w:noWrap/>
                  <w:vAlign w:val="bottom"/>
                  <w:hideMark/>
                </w:tcPr>
                <w:p w14:paraId="029640ED"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−1.3</w:t>
                  </w:r>
                </w:p>
              </w:tc>
            </w:tr>
            <w:tr w:rsidR="00802430" w:rsidRPr="00884D55" w14:paraId="08A1602A" w14:textId="77777777" w:rsidTr="00803507">
              <w:trPr>
                <w:trHeight w:val="255"/>
              </w:trPr>
              <w:tc>
                <w:tcPr>
                  <w:tcW w:w="3417" w:type="dxa"/>
                  <w:tcBorders>
                    <w:top w:val="nil"/>
                    <w:left w:val="nil"/>
                    <w:bottom w:val="nil"/>
                    <w:right w:val="nil"/>
                  </w:tcBorders>
                  <w:shd w:val="clear" w:color="auto" w:fill="auto"/>
                  <w:noWrap/>
                  <w:vAlign w:val="bottom"/>
                  <w:hideMark/>
                </w:tcPr>
                <w:p w14:paraId="584E3C7B"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Oil and natural gas</w:t>
                  </w:r>
                </w:p>
              </w:tc>
              <w:tc>
                <w:tcPr>
                  <w:tcW w:w="700" w:type="dxa"/>
                  <w:tcBorders>
                    <w:top w:val="nil"/>
                    <w:left w:val="nil"/>
                    <w:bottom w:val="nil"/>
                    <w:right w:val="nil"/>
                  </w:tcBorders>
                  <w:shd w:val="clear" w:color="auto" w:fill="auto"/>
                  <w:noWrap/>
                  <w:vAlign w:val="bottom"/>
                  <w:hideMark/>
                </w:tcPr>
                <w:p w14:paraId="4C732A67"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−9.6</w:t>
                  </w:r>
                </w:p>
              </w:tc>
              <w:tc>
                <w:tcPr>
                  <w:tcW w:w="700" w:type="dxa"/>
                  <w:tcBorders>
                    <w:top w:val="nil"/>
                    <w:left w:val="nil"/>
                    <w:bottom w:val="nil"/>
                    <w:right w:val="nil"/>
                  </w:tcBorders>
                  <w:shd w:val="clear" w:color="auto" w:fill="auto"/>
                  <w:noWrap/>
                  <w:vAlign w:val="bottom"/>
                  <w:hideMark/>
                </w:tcPr>
                <w:p w14:paraId="792E8496" w14:textId="3AB17A90"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−19</w:t>
                  </w:r>
                  <w:r w:rsidR="00D8546D">
                    <w:rPr>
                      <w:rFonts w:cs="Arial"/>
                      <w:color w:val="000000"/>
                      <w:sz w:val="16"/>
                      <w:szCs w:val="16"/>
                      <w:lang w:val="en-GB"/>
                    </w:rPr>
                    <w:t>.</w:t>
                  </w:r>
                  <w:r w:rsidRPr="00884D55">
                    <w:rPr>
                      <w:rFonts w:cs="Arial"/>
                      <w:color w:val="000000"/>
                      <w:sz w:val="16"/>
                      <w:szCs w:val="16"/>
                      <w:lang w:val="en-GB"/>
                    </w:rPr>
                    <w:t>0</w:t>
                  </w:r>
                </w:p>
              </w:tc>
            </w:tr>
          </w:tbl>
          <w:p w14:paraId="31F2CD80" w14:textId="77777777" w:rsidR="00802430" w:rsidRPr="00884D55" w:rsidRDefault="00802430" w:rsidP="00802430">
            <w:pPr>
              <w:spacing w:after="0"/>
              <w:rPr>
                <w:spacing w:val="-4"/>
                <w:sz w:val="16"/>
                <w:szCs w:val="16"/>
                <w:lang w:val="en-GB" w:eastAsia="en-US"/>
              </w:rPr>
            </w:pPr>
          </w:p>
        </w:tc>
        <w:tc>
          <w:tcPr>
            <w:tcW w:w="57" w:type="dxa"/>
          </w:tcPr>
          <w:p w14:paraId="4AC281B7" w14:textId="77777777" w:rsidR="00802430" w:rsidRPr="00884D55" w:rsidRDefault="00802430" w:rsidP="00802430">
            <w:pPr>
              <w:spacing w:after="0"/>
              <w:rPr>
                <w:spacing w:val="-4"/>
                <w:sz w:val="16"/>
                <w:szCs w:val="16"/>
                <w:lang w:val="en-GB" w:eastAsia="en-US"/>
              </w:rPr>
            </w:pPr>
          </w:p>
        </w:tc>
        <w:tc>
          <w:tcPr>
            <w:tcW w:w="4809" w:type="dxa"/>
            <w:hideMark/>
          </w:tcPr>
          <w:tbl>
            <w:tblPr>
              <w:tblW w:w="4762" w:type="dxa"/>
              <w:tblLayout w:type="fixed"/>
              <w:tblCellMar>
                <w:left w:w="70" w:type="dxa"/>
                <w:right w:w="70" w:type="dxa"/>
              </w:tblCellMar>
              <w:tblLook w:val="04A0" w:firstRow="1" w:lastRow="0" w:firstColumn="1" w:lastColumn="0" w:noHBand="0" w:noVBand="1"/>
            </w:tblPr>
            <w:tblGrid>
              <w:gridCol w:w="3362"/>
              <w:gridCol w:w="700"/>
              <w:gridCol w:w="700"/>
            </w:tblGrid>
            <w:tr w:rsidR="00802430" w:rsidRPr="00884D55" w14:paraId="0AAE1CA6" w14:textId="77777777" w:rsidTr="00803507">
              <w:trPr>
                <w:trHeight w:val="255"/>
              </w:trPr>
              <w:tc>
                <w:tcPr>
                  <w:tcW w:w="3362" w:type="dxa"/>
                  <w:tcBorders>
                    <w:top w:val="nil"/>
                    <w:left w:val="nil"/>
                    <w:bottom w:val="single" w:sz="4" w:space="0" w:color="auto"/>
                    <w:right w:val="nil"/>
                  </w:tcBorders>
                  <w:shd w:val="clear" w:color="auto" w:fill="auto"/>
                  <w:noWrap/>
                  <w:vAlign w:val="bottom"/>
                  <w:hideMark/>
                </w:tcPr>
                <w:p w14:paraId="22F717A2"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 </w:t>
                  </w:r>
                </w:p>
              </w:tc>
              <w:tc>
                <w:tcPr>
                  <w:tcW w:w="700" w:type="dxa"/>
                  <w:tcBorders>
                    <w:top w:val="nil"/>
                    <w:left w:val="nil"/>
                    <w:bottom w:val="single" w:sz="4" w:space="0" w:color="auto"/>
                    <w:right w:val="nil"/>
                  </w:tcBorders>
                  <w:shd w:val="clear" w:color="auto" w:fill="auto"/>
                  <w:noWrap/>
                  <w:vAlign w:val="bottom"/>
                  <w:hideMark/>
                </w:tcPr>
                <w:p w14:paraId="7C5266A2"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bn CZK</w:t>
                  </w:r>
                </w:p>
              </w:tc>
              <w:tc>
                <w:tcPr>
                  <w:tcW w:w="700" w:type="dxa"/>
                  <w:tcBorders>
                    <w:top w:val="nil"/>
                    <w:left w:val="nil"/>
                    <w:bottom w:val="single" w:sz="4" w:space="0" w:color="auto"/>
                    <w:right w:val="nil"/>
                  </w:tcBorders>
                  <w:shd w:val="clear" w:color="auto" w:fill="auto"/>
                  <w:noWrap/>
                  <w:vAlign w:val="bottom"/>
                  <w:hideMark/>
                </w:tcPr>
                <w:p w14:paraId="00384B51"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w:t>
                  </w:r>
                </w:p>
              </w:tc>
            </w:tr>
            <w:tr w:rsidR="00802430" w:rsidRPr="00884D55" w14:paraId="37356251" w14:textId="77777777" w:rsidTr="00803507">
              <w:trPr>
                <w:trHeight w:val="255"/>
              </w:trPr>
              <w:tc>
                <w:tcPr>
                  <w:tcW w:w="3362" w:type="dxa"/>
                  <w:tcBorders>
                    <w:top w:val="nil"/>
                    <w:left w:val="nil"/>
                    <w:bottom w:val="nil"/>
                    <w:right w:val="nil"/>
                  </w:tcBorders>
                  <w:shd w:val="clear" w:color="auto" w:fill="auto"/>
                  <w:noWrap/>
                  <w:vAlign w:val="bottom"/>
                  <w:hideMark/>
                </w:tcPr>
                <w:p w14:paraId="548DC4F3"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China</w:t>
                  </w:r>
                </w:p>
              </w:tc>
              <w:tc>
                <w:tcPr>
                  <w:tcW w:w="700" w:type="dxa"/>
                  <w:tcBorders>
                    <w:top w:val="nil"/>
                    <w:left w:val="nil"/>
                    <w:bottom w:val="nil"/>
                    <w:right w:val="nil"/>
                  </w:tcBorders>
                  <w:shd w:val="clear" w:color="auto" w:fill="auto"/>
                  <w:noWrap/>
                  <w:vAlign w:val="bottom"/>
                  <w:hideMark/>
                </w:tcPr>
                <w:p w14:paraId="5DC992C8"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+18.5</w:t>
                  </w:r>
                </w:p>
              </w:tc>
              <w:tc>
                <w:tcPr>
                  <w:tcW w:w="700" w:type="dxa"/>
                  <w:tcBorders>
                    <w:top w:val="nil"/>
                    <w:left w:val="nil"/>
                    <w:bottom w:val="nil"/>
                    <w:right w:val="nil"/>
                  </w:tcBorders>
                  <w:shd w:val="clear" w:color="auto" w:fill="auto"/>
                  <w:noWrap/>
                  <w:vAlign w:val="bottom"/>
                  <w:hideMark/>
                </w:tcPr>
                <w:p w14:paraId="1910DE85"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+14.3</w:t>
                  </w:r>
                </w:p>
              </w:tc>
            </w:tr>
            <w:tr w:rsidR="00802430" w:rsidRPr="00884D55" w14:paraId="3400690E" w14:textId="77777777" w:rsidTr="00803507">
              <w:trPr>
                <w:trHeight w:val="255"/>
              </w:trPr>
              <w:tc>
                <w:tcPr>
                  <w:tcW w:w="3362" w:type="dxa"/>
                  <w:tcBorders>
                    <w:top w:val="nil"/>
                    <w:left w:val="nil"/>
                    <w:bottom w:val="nil"/>
                    <w:right w:val="nil"/>
                  </w:tcBorders>
                  <w:shd w:val="clear" w:color="auto" w:fill="auto"/>
                  <w:noWrap/>
                  <w:vAlign w:val="bottom"/>
                  <w:hideMark/>
                </w:tcPr>
                <w:p w14:paraId="16099AA4"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Poland</w:t>
                  </w:r>
                </w:p>
              </w:tc>
              <w:tc>
                <w:tcPr>
                  <w:tcW w:w="700" w:type="dxa"/>
                  <w:tcBorders>
                    <w:top w:val="nil"/>
                    <w:left w:val="nil"/>
                    <w:bottom w:val="nil"/>
                    <w:right w:val="nil"/>
                  </w:tcBorders>
                  <w:shd w:val="clear" w:color="auto" w:fill="auto"/>
                  <w:noWrap/>
                  <w:vAlign w:val="bottom"/>
                  <w:hideMark/>
                </w:tcPr>
                <w:p w14:paraId="097E378F"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+10.4</w:t>
                  </w:r>
                </w:p>
              </w:tc>
              <w:tc>
                <w:tcPr>
                  <w:tcW w:w="700" w:type="dxa"/>
                  <w:tcBorders>
                    <w:top w:val="nil"/>
                    <w:left w:val="nil"/>
                    <w:bottom w:val="nil"/>
                    <w:right w:val="nil"/>
                  </w:tcBorders>
                  <w:shd w:val="clear" w:color="auto" w:fill="auto"/>
                  <w:noWrap/>
                  <w:vAlign w:val="bottom"/>
                  <w:hideMark/>
                </w:tcPr>
                <w:p w14:paraId="4A262258"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+10.8</w:t>
                  </w:r>
                </w:p>
              </w:tc>
            </w:tr>
            <w:tr w:rsidR="00802430" w:rsidRPr="00884D55" w14:paraId="5628F786" w14:textId="77777777" w:rsidTr="00803507">
              <w:trPr>
                <w:trHeight w:val="255"/>
              </w:trPr>
              <w:tc>
                <w:tcPr>
                  <w:tcW w:w="3362" w:type="dxa"/>
                  <w:tcBorders>
                    <w:top w:val="nil"/>
                    <w:left w:val="nil"/>
                    <w:bottom w:val="nil"/>
                    <w:right w:val="nil"/>
                  </w:tcBorders>
                  <w:shd w:val="clear" w:color="auto" w:fill="auto"/>
                  <w:noWrap/>
                  <w:vAlign w:val="bottom"/>
                  <w:hideMark/>
                </w:tcPr>
                <w:p w14:paraId="0ECB04D2"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Slovakia</w:t>
                  </w:r>
                </w:p>
              </w:tc>
              <w:tc>
                <w:tcPr>
                  <w:tcW w:w="700" w:type="dxa"/>
                  <w:tcBorders>
                    <w:top w:val="nil"/>
                    <w:left w:val="nil"/>
                    <w:bottom w:val="nil"/>
                    <w:right w:val="nil"/>
                  </w:tcBorders>
                  <w:shd w:val="clear" w:color="auto" w:fill="auto"/>
                  <w:noWrap/>
                  <w:vAlign w:val="bottom"/>
                  <w:hideMark/>
                </w:tcPr>
                <w:p w14:paraId="1D84B1C0"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+9.5</w:t>
                  </w:r>
                </w:p>
              </w:tc>
              <w:tc>
                <w:tcPr>
                  <w:tcW w:w="700" w:type="dxa"/>
                  <w:tcBorders>
                    <w:top w:val="nil"/>
                    <w:left w:val="nil"/>
                    <w:bottom w:val="nil"/>
                    <w:right w:val="nil"/>
                  </w:tcBorders>
                  <w:shd w:val="clear" w:color="auto" w:fill="auto"/>
                  <w:noWrap/>
                  <w:vAlign w:val="bottom"/>
                  <w:hideMark/>
                </w:tcPr>
                <w:p w14:paraId="06A3D4D7"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+16.6</w:t>
                  </w:r>
                </w:p>
              </w:tc>
            </w:tr>
            <w:tr w:rsidR="00802430" w:rsidRPr="00884D55" w14:paraId="63E0E753" w14:textId="77777777" w:rsidTr="00803507">
              <w:trPr>
                <w:trHeight w:val="255"/>
              </w:trPr>
              <w:tc>
                <w:tcPr>
                  <w:tcW w:w="3362" w:type="dxa"/>
                  <w:tcBorders>
                    <w:top w:val="nil"/>
                    <w:left w:val="nil"/>
                    <w:bottom w:val="nil"/>
                    <w:right w:val="nil"/>
                  </w:tcBorders>
                  <w:shd w:val="clear" w:color="auto" w:fill="auto"/>
                  <w:noWrap/>
                  <w:vAlign w:val="bottom"/>
                  <w:hideMark/>
                </w:tcPr>
                <w:p w14:paraId="7CACAB17"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Russia</w:t>
                  </w:r>
                </w:p>
              </w:tc>
              <w:tc>
                <w:tcPr>
                  <w:tcW w:w="700" w:type="dxa"/>
                  <w:tcBorders>
                    <w:top w:val="nil"/>
                    <w:left w:val="nil"/>
                    <w:bottom w:val="nil"/>
                    <w:right w:val="nil"/>
                  </w:tcBorders>
                  <w:shd w:val="clear" w:color="auto" w:fill="auto"/>
                  <w:noWrap/>
                  <w:vAlign w:val="bottom"/>
                  <w:hideMark/>
                </w:tcPr>
                <w:p w14:paraId="072C8247"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+4.9</w:t>
                  </w:r>
                </w:p>
              </w:tc>
              <w:tc>
                <w:tcPr>
                  <w:tcW w:w="700" w:type="dxa"/>
                  <w:tcBorders>
                    <w:top w:val="nil"/>
                    <w:left w:val="nil"/>
                    <w:bottom w:val="nil"/>
                    <w:right w:val="nil"/>
                  </w:tcBorders>
                  <w:shd w:val="clear" w:color="auto" w:fill="auto"/>
                  <w:noWrap/>
                  <w:vAlign w:val="bottom"/>
                  <w:hideMark/>
                </w:tcPr>
                <w:p w14:paraId="518E8714"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+21.7</w:t>
                  </w:r>
                </w:p>
              </w:tc>
            </w:tr>
            <w:tr w:rsidR="00802430" w:rsidRPr="00884D55" w14:paraId="5C99929B" w14:textId="77777777" w:rsidTr="00803507">
              <w:trPr>
                <w:trHeight w:val="255"/>
              </w:trPr>
              <w:tc>
                <w:tcPr>
                  <w:tcW w:w="3362" w:type="dxa"/>
                  <w:tcBorders>
                    <w:top w:val="nil"/>
                    <w:left w:val="nil"/>
                    <w:bottom w:val="nil"/>
                    <w:right w:val="nil"/>
                  </w:tcBorders>
                  <w:shd w:val="clear" w:color="auto" w:fill="auto"/>
                  <w:noWrap/>
                  <w:vAlign w:val="bottom"/>
                  <w:hideMark/>
                </w:tcPr>
                <w:p w14:paraId="46174BEB"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Germany</w:t>
                  </w:r>
                </w:p>
              </w:tc>
              <w:tc>
                <w:tcPr>
                  <w:tcW w:w="700" w:type="dxa"/>
                  <w:tcBorders>
                    <w:top w:val="nil"/>
                    <w:left w:val="nil"/>
                    <w:bottom w:val="nil"/>
                    <w:right w:val="nil"/>
                  </w:tcBorders>
                  <w:shd w:val="clear" w:color="auto" w:fill="auto"/>
                  <w:noWrap/>
                  <w:vAlign w:val="bottom"/>
                  <w:hideMark/>
                </w:tcPr>
                <w:p w14:paraId="06C85E60"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+4.2</w:t>
                  </w:r>
                </w:p>
              </w:tc>
              <w:tc>
                <w:tcPr>
                  <w:tcW w:w="700" w:type="dxa"/>
                  <w:tcBorders>
                    <w:top w:val="nil"/>
                    <w:left w:val="nil"/>
                    <w:bottom w:val="nil"/>
                    <w:right w:val="nil"/>
                  </w:tcBorders>
                  <w:shd w:val="clear" w:color="auto" w:fill="auto"/>
                  <w:noWrap/>
                  <w:vAlign w:val="bottom"/>
                  <w:hideMark/>
                </w:tcPr>
                <w:p w14:paraId="4FD940D9"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+1.7</w:t>
                  </w:r>
                </w:p>
              </w:tc>
            </w:tr>
            <w:tr w:rsidR="00802430" w:rsidRPr="00884D55" w14:paraId="28EE9AB7" w14:textId="77777777" w:rsidTr="00803507">
              <w:trPr>
                <w:trHeight w:val="255"/>
              </w:trPr>
              <w:tc>
                <w:tcPr>
                  <w:tcW w:w="3362" w:type="dxa"/>
                  <w:tcBorders>
                    <w:top w:val="nil"/>
                    <w:left w:val="nil"/>
                    <w:bottom w:val="nil"/>
                    <w:right w:val="nil"/>
                  </w:tcBorders>
                  <w:shd w:val="clear" w:color="auto" w:fill="auto"/>
                  <w:noWrap/>
                  <w:vAlign w:val="bottom"/>
                  <w:hideMark/>
                </w:tcPr>
                <w:p w14:paraId="0A9A32FB"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Bulgaria</w:t>
                  </w:r>
                </w:p>
              </w:tc>
              <w:tc>
                <w:tcPr>
                  <w:tcW w:w="700" w:type="dxa"/>
                  <w:tcBorders>
                    <w:top w:val="nil"/>
                    <w:left w:val="nil"/>
                    <w:bottom w:val="nil"/>
                    <w:right w:val="nil"/>
                  </w:tcBorders>
                  <w:shd w:val="clear" w:color="auto" w:fill="auto"/>
                  <w:noWrap/>
                  <w:vAlign w:val="bottom"/>
                  <w:hideMark/>
                </w:tcPr>
                <w:p w14:paraId="58A28586"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+2.8</w:t>
                  </w:r>
                </w:p>
              </w:tc>
              <w:tc>
                <w:tcPr>
                  <w:tcW w:w="700" w:type="dxa"/>
                  <w:tcBorders>
                    <w:top w:val="nil"/>
                    <w:left w:val="nil"/>
                    <w:bottom w:val="nil"/>
                    <w:right w:val="nil"/>
                  </w:tcBorders>
                  <w:shd w:val="clear" w:color="auto" w:fill="auto"/>
                  <w:noWrap/>
                  <w:vAlign w:val="bottom"/>
                  <w:hideMark/>
                </w:tcPr>
                <w:p w14:paraId="6DE94450"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+47.0</w:t>
                  </w:r>
                </w:p>
              </w:tc>
            </w:tr>
            <w:tr w:rsidR="00802430" w:rsidRPr="00884D55" w14:paraId="7A80C98C" w14:textId="77777777" w:rsidTr="00803507">
              <w:trPr>
                <w:trHeight w:val="255"/>
              </w:trPr>
              <w:tc>
                <w:tcPr>
                  <w:tcW w:w="3362" w:type="dxa"/>
                  <w:tcBorders>
                    <w:top w:val="nil"/>
                    <w:left w:val="nil"/>
                    <w:bottom w:val="nil"/>
                    <w:right w:val="nil"/>
                  </w:tcBorders>
                  <w:shd w:val="clear" w:color="auto" w:fill="auto"/>
                  <w:noWrap/>
                  <w:vAlign w:val="bottom"/>
                  <w:hideMark/>
                </w:tcPr>
                <w:p w14:paraId="64B21673"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Italy</w:t>
                  </w:r>
                </w:p>
              </w:tc>
              <w:tc>
                <w:tcPr>
                  <w:tcW w:w="700" w:type="dxa"/>
                  <w:tcBorders>
                    <w:top w:val="nil"/>
                    <w:left w:val="nil"/>
                    <w:bottom w:val="nil"/>
                    <w:right w:val="nil"/>
                  </w:tcBorders>
                  <w:shd w:val="clear" w:color="auto" w:fill="auto"/>
                  <w:noWrap/>
                  <w:vAlign w:val="bottom"/>
                  <w:hideMark/>
                </w:tcPr>
                <w:p w14:paraId="1F142DEB"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+2.7</w:t>
                  </w:r>
                </w:p>
              </w:tc>
              <w:tc>
                <w:tcPr>
                  <w:tcW w:w="700" w:type="dxa"/>
                  <w:tcBorders>
                    <w:top w:val="nil"/>
                    <w:left w:val="nil"/>
                    <w:bottom w:val="nil"/>
                    <w:right w:val="nil"/>
                  </w:tcBorders>
                  <w:shd w:val="clear" w:color="auto" w:fill="auto"/>
                  <w:noWrap/>
                  <w:vAlign w:val="bottom"/>
                  <w:hideMark/>
                </w:tcPr>
                <w:p w14:paraId="643258AD"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+5.7</w:t>
                  </w:r>
                </w:p>
              </w:tc>
            </w:tr>
            <w:tr w:rsidR="00802430" w:rsidRPr="00884D55" w14:paraId="4D8932C8" w14:textId="77777777" w:rsidTr="00803507">
              <w:trPr>
                <w:trHeight w:val="255"/>
              </w:trPr>
              <w:tc>
                <w:tcPr>
                  <w:tcW w:w="3362" w:type="dxa"/>
                  <w:tcBorders>
                    <w:top w:val="nil"/>
                    <w:left w:val="nil"/>
                    <w:bottom w:val="nil"/>
                    <w:right w:val="nil"/>
                  </w:tcBorders>
                  <w:shd w:val="clear" w:color="auto" w:fill="auto"/>
                  <w:noWrap/>
                  <w:vAlign w:val="bottom"/>
                  <w:hideMark/>
                </w:tcPr>
                <w:p w14:paraId="39C104DC"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Austria</w:t>
                  </w:r>
                </w:p>
              </w:tc>
              <w:tc>
                <w:tcPr>
                  <w:tcW w:w="700" w:type="dxa"/>
                  <w:tcBorders>
                    <w:top w:val="nil"/>
                    <w:left w:val="nil"/>
                    <w:bottom w:val="nil"/>
                    <w:right w:val="nil"/>
                  </w:tcBorders>
                  <w:shd w:val="clear" w:color="auto" w:fill="auto"/>
                  <w:noWrap/>
                  <w:vAlign w:val="bottom"/>
                  <w:hideMark/>
                </w:tcPr>
                <w:p w14:paraId="3CE42F48"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+2.7</w:t>
                  </w:r>
                </w:p>
              </w:tc>
              <w:tc>
                <w:tcPr>
                  <w:tcW w:w="700" w:type="dxa"/>
                  <w:tcBorders>
                    <w:top w:val="nil"/>
                    <w:left w:val="nil"/>
                    <w:bottom w:val="nil"/>
                    <w:right w:val="nil"/>
                  </w:tcBorders>
                  <w:shd w:val="clear" w:color="auto" w:fill="auto"/>
                  <w:noWrap/>
                  <w:vAlign w:val="bottom"/>
                  <w:hideMark/>
                </w:tcPr>
                <w:p w14:paraId="18F6C250"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+9.4</w:t>
                  </w:r>
                </w:p>
              </w:tc>
            </w:tr>
            <w:tr w:rsidR="00802430" w:rsidRPr="00884D55" w14:paraId="7CCA19F3" w14:textId="77777777" w:rsidTr="00803507">
              <w:trPr>
                <w:trHeight w:val="255"/>
              </w:trPr>
              <w:tc>
                <w:tcPr>
                  <w:tcW w:w="3362" w:type="dxa"/>
                  <w:tcBorders>
                    <w:top w:val="nil"/>
                    <w:left w:val="nil"/>
                    <w:bottom w:val="nil"/>
                    <w:right w:val="nil"/>
                  </w:tcBorders>
                  <w:shd w:val="clear" w:color="auto" w:fill="auto"/>
                  <w:noWrap/>
                  <w:vAlign w:val="bottom"/>
                  <w:hideMark/>
                </w:tcPr>
                <w:p w14:paraId="236DF395"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Ukraine</w:t>
                  </w:r>
                </w:p>
              </w:tc>
              <w:tc>
                <w:tcPr>
                  <w:tcW w:w="700" w:type="dxa"/>
                  <w:tcBorders>
                    <w:top w:val="nil"/>
                    <w:left w:val="nil"/>
                    <w:bottom w:val="nil"/>
                    <w:right w:val="nil"/>
                  </w:tcBorders>
                  <w:shd w:val="clear" w:color="auto" w:fill="auto"/>
                  <w:noWrap/>
                  <w:vAlign w:val="bottom"/>
                  <w:hideMark/>
                </w:tcPr>
                <w:p w14:paraId="4C265533"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+2.3</w:t>
                  </w:r>
                </w:p>
              </w:tc>
              <w:tc>
                <w:tcPr>
                  <w:tcW w:w="700" w:type="dxa"/>
                  <w:tcBorders>
                    <w:top w:val="nil"/>
                    <w:left w:val="nil"/>
                    <w:bottom w:val="nil"/>
                    <w:right w:val="nil"/>
                  </w:tcBorders>
                  <w:shd w:val="clear" w:color="auto" w:fill="auto"/>
                  <w:noWrap/>
                  <w:vAlign w:val="bottom"/>
                  <w:hideMark/>
                </w:tcPr>
                <w:p w14:paraId="759F5699"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+34.4</w:t>
                  </w:r>
                </w:p>
              </w:tc>
            </w:tr>
            <w:tr w:rsidR="00802430" w:rsidRPr="00884D55" w14:paraId="56AD4CF0" w14:textId="77777777" w:rsidTr="00803507">
              <w:trPr>
                <w:trHeight w:val="255"/>
              </w:trPr>
              <w:tc>
                <w:tcPr>
                  <w:tcW w:w="3362" w:type="dxa"/>
                  <w:tcBorders>
                    <w:top w:val="nil"/>
                    <w:left w:val="nil"/>
                    <w:bottom w:val="nil"/>
                    <w:right w:val="nil"/>
                  </w:tcBorders>
                  <w:shd w:val="clear" w:color="auto" w:fill="auto"/>
                  <w:noWrap/>
                  <w:vAlign w:val="bottom"/>
                  <w:hideMark/>
                </w:tcPr>
                <w:p w14:paraId="70526E8B"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Thailand</w:t>
                  </w:r>
                </w:p>
              </w:tc>
              <w:tc>
                <w:tcPr>
                  <w:tcW w:w="700" w:type="dxa"/>
                  <w:tcBorders>
                    <w:top w:val="nil"/>
                    <w:left w:val="nil"/>
                    <w:bottom w:val="nil"/>
                    <w:right w:val="nil"/>
                  </w:tcBorders>
                  <w:shd w:val="clear" w:color="auto" w:fill="auto"/>
                  <w:noWrap/>
                  <w:vAlign w:val="bottom"/>
                  <w:hideMark/>
                </w:tcPr>
                <w:p w14:paraId="2567C0A9"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+1.8</w:t>
                  </w:r>
                </w:p>
              </w:tc>
              <w:tc>
                <w:tcPr>
                  <w:tcW w:w="700" w:type="dxa"/>
                  <w:tcBorders>
                    <w:top w:val="nil"/>
                    <w:left w:val="nil"/>
                    <w:bottom w:val="nil"/>
                    <w:right w:val="nil"/>
                  </w:tcBorders>
                  <w:shd w:val="clear" w:color="auto" w:fill="auto"/>
                  <w:noWrap/>
                  <w:vAlign w:val="bottom"/>
                  <w:hideMark/>
                </w:tcPr>
                <w:p w14:paraId="1856D81B"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+33.1</w:t>
                  </w:r>
                </w:p>
              </w:tc>
            </w:tr>
            <w:tr w:rsidR="00802430" w:rsidRPr="00884D55" w14:paraId="762FF202" w14:textId="77777777" w:rsidTr="00803507">
              <w:trPr>
                <w:trHeight w:val="255"/>
              </w:trPr>
              <w:tc>
                <w:tcPr>
                  <w:tcW w:w="3362" w:type="dxa"/>
                  <w:tcBorders>
                    <w:top w:val="nil"/>
                    <w:left w:val="nil"/>
                    <w:bottom w:val="nil"/>
                    <w:right w:val="nil"/>
                  </w:tcBorders>
                  <w:shd w:val="clear" w:color="auto" w:fill="auto"/>
                  <w:noWrap/>
                  <w:vAlign w:val="bottom"/>
                  <w:hideMark/>
                </w:tcPr>
                <w:p w14:paraId="516D77D1"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Kazakhstan</w:t>
                  </w:r>
                </w:p>
              </w:tc>
              <w:tc>
                <w:tcPr>
                  <w:tcW w:w="700" w:type="dxa"/>
                  <w:tcBorders>
                    <w:top w:val="nil"/>
                    <w:left w:val="nil"/>
                    <w:bottom w:val="nil"/>
                    <w:right w:val="nil"/>
                  </w:tcBorders>
                  <w:shd w:val="clear" w:color="auto" w:fill="auto"/>
                  <w:noWrap/>
                  <w:vAlign w:val="bottom"/>
                  <w:hideMark/>
                </w:tcPr>
                <w:p w14:paraId="6F9A6497"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−2.0</w:t>
                  </w:r>
                </w:p>
              </w:tc>
              <w:tc>
                <w:tcPr>
                  <w:tcW w:w="700" w:type="dxa"/>
                  <w:tcBorders>
                    <w:top w:val="nil"/>
                    <w:left w:val="nil"/>
                    <w:bottom w:val="nil"/>
                    <w:right w:val="nil"/>
                  </w:tcBorders>
                  <w:shd w:val="clear" w:color="auto" w:fill="auto"/>
                  <w:noWrap/>
                  <w:vAlign w:val="bottom"/>
                  <w:hideMark/>
                </w:tcPr>
                <w:p w14:paraId="1111E2A1"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−30.4</w:t>
                  </w:r>
                </w:p>
              </w:tc>
            </w:tr>
            <w:tr w:rsidR="00802430" w:rsidRPr="00884D55" w14:paraId="2E816447" w14:textId="77777777" w:rsidTr="00803507">
              <w:trPr>
                <w:trHeight w:val="255"/>
              </w:trPr>
              <w:tc>
                <w:tcPr>
                  <w:tcW w:w="3362" w:type="dxa"/>
                  <w:tcBorders>
                    <w:top w:val="nil"/>
                    <w:left w:val="nil"/>
                    <w:bottom w:val="nil"/>
                    <w:right w:val="nil"/>
                  </w:tcBorders>
                  <w:shd w:val="clear" w:color="auto" w:fill="auto"/>
                  <w:noWrap/>
                  <w:vAlign w:val="bottom"/>
                  <w:hideMark/>
                </w:tcPr>
                <w:p w14:paraId="2864276C"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Hungary</w:t>
                  </w:r>
                </w:p>
              </w:tc>
              <w:tc>
                <w:tcPr>
                  <w:tcW w:w="700" w:type="dxa"/>
                  <w:tcBorders>
                    <w:top w:val="nil"/>
                    <w:left w:val="nil"/>
                    <w:bottom w:val="nil"/>
                    <w:right w:val="nil"/>
                  </w:tcBorders>
                  <w:shd w:val="clear" w:color="auto" w:fill="auto"/>
                  <w:noWrap/>
                  <w:vAlign w:val="bottom"/>
                  <w:hideMark/>
                </w:tcPr>
                <w:p w14:paraId="254914E8"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−2.1</w:t>
                  </w:r>
                </w:p>
              </w:tc>
              <w:tc>
                <w:tcPr>
                  <w:tcW w:w="700" w:type="dxa"/>
                  <w:tcBorders>
                    <w:top w:val="nil"/>
                    <w:left w:val="nil"/>
                    <w:bottom w:val="nil"/>
                    <w:right w:val="nil"/>
                  </w:tcBorders>
                  <w:shd w:val="clear" w:color="auto" w:fill="auto"/>
                  <w:noWrap/>
                  <w:vAlign w:val="bottom"/>
                  <w:hideMark/>
                </w:tcPr>
                <w:p w14:paraId="7FB3C45F"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−8.2</w:t>
                  </w:r>
                </w:p>
              </w:tc>
            </w:tr>
            <w:tr w:rsidR="00802430" w:rsidRPr="00884D55" w14:paraId="7DBB9E0C" w14:textId="77777777" w:rsidTr="00803507">
              <w:trPr>
                <w:trHeight w:val="255"/>
              </w:trPr>
              <w:tc>
                <w:tcPr>
                  <w:tcW w:w="3362" w:type="dxa"/>
                  <w:tcBorders>
                    <w:top w:val="nil"/>
                    <w:left w:val="nil"/>
                    <w:bottom w:val="nil"/>
                    <w:right w:val="nil"/>
                  </w:tcBorders>
                  <w:shd w:val="clear" w:color="auto" w:fill="auto"/>
                  <w:noWrap/>
                  <w:vAlign w:val="bottom"/>
                  <w:hideMark/>
                </w:tcPr>
                <w:p w14:paraId="34F0C3B2"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Great Britain</w:t>
                  </w:r>
                </w:p>
              </w:tc>
              <w:tc>
                <w:tcPr>
                  <w:tcW w:w="700" w:type="dxa"/>
                  <w:tcBorders>
                    <w:top w:val="nil"/>
                    <w:left w:val="nil"/>
                    <w:bottom w:val="nil"/>
                    <w:right w:val="nil"/>
                  </w:tcBorders>
                  <w:shd w:val="clear" w:color="auto" w:fill="auto"/>
                  <w:noWrap/>
                  <w:vAlign w:val="bottom"/>
                  <w:hideMark/>
                </w:tcPr>
                <w:p w14:paraId="13905D95"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−2.7</w:t>
                  </w:r>
                </w:p>
              </w:tc>
              <w:tc>
                <w:tcPr>
                  <w:tcW w:w="700" w:type="dxa"/>
                  <w:tcBorders>
                    <w:top w:val="nil"/>
                    <w:left w:val="nil"/>
                    <w:bottom w:val="nil"/>
                    <w:right w:val="nil"/>
                  </w:tcBorders>
                  <w:shd w:val="clear" w:color="auto" w:fill="auto"/>
                  <w:noWrap/>
                  <w:vAlign w:val="bottom"/>
                  <w:hideMark/>
                </w:tcPr>
                <w:p w14:paraId="2462CF68"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−14.1</w:t>
                  </w:r>
                </w:p>
              </w:tc>
            </w:tr>
            <w:tr w:rsidR="00802430" w:rsidRPr="00884D55" w14:paraId="2A4523E4" w14:textId="77777777" w:rsidTr="00803507">
              <w:trPr>
                <w:trHeight w:val="255"/>
              </w:trPr>
              <w:tc>
                <w:tcPr>
                  <w:tcW w:w="3362" w:type="dxa"/>
                  <w:tcBorders>
                    <w:top w:val="nil"/>
                    <w:left w:val="nil"/>
                    <w:bottom w:val="nil"/>
                    <w:right w:val="nil"/>
                  </w:tcBorders>
                  <w:shd w:val="clear" w:color="auto" w:fill="auto"/>
                  <w:noWrap/>
                  <w:vAlign w:val="bottom"/>
                  <w:hideMark/>
                </w:tcPr>
                <w:p w14:paraId="21AB2753"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United States of America</w:t>
                  </w:r>
                </w:p>
              </w:tc>
              <w:tc>
                <w:tcPr>
                  <w:tcW w:w="700" w:type="dxa"/>
                  <w:tcBorders>
                    <w:top w:val="nil"/>
                    <w:left w:val="nil"/>
                    <w:bottom w:val="nil"/>
                    <w:right w:val="nil"/>
                  </w:tcBorders>
                  <w:shd w:val="clear" w:color="auto" w:fill="auto"/>
                  <w:noWrap/>
                  <w:vAlign w:val="bottom"/>
                  <w:hideMark/>
                </w:tcPr>
                <w:p w14:paraId="3E106375"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−3.1</w:t>
                  </w:r>
                </w:p>
              </w:tc>
              <w:tc>
                <w:tcPr>
                  <w:tcW w:w="700" w:type="dxa"/>
                  <w:tcBorders>
                    <w:top w:val="nil"/>
                    <w:left w:val="nil"/>
                    <w:bottom w:val="nil"/>
                    <w:right w:val="nil"/>
                  </w:tcBorders>
                  <w:shd w:val="clear" w:color="auto" w:fill="auto"/>
                  <w:noWrap/>
                  <w:vAlign w:val="bottom"/>
                  <w:hideMark/>
                </w:tcPr>
                <w:p w14:paraId="15C46436"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−9.5</w:t>
                  </w:r>
                </w:p>
              </w:tc>
            </w:tr>
            <w:tr w:rsidR="00802430" w:rsidRPr="00884D55" w14:paraId="497B30E8" w14:textId="77777777" w:rsidTr="00803507">
              <w:trPr>
                <w:trHeight w:val="255"/>
              </w:trPr>
              <w:tc>
                <w:tcPr>
                  <w:tcW w:w="3362" w:type="dxa"/>
                  <w:tcBorders>
                    <w:top w:val="nil"/>
                    <w:left w:val="nil"/>
                    <w:bottom w:val="nil"/>
                    <w:right w:val="nil"/>
                  </w:tcBorders>
                  <w:shd w:val="clear" w:color="auto" w:fill="auto"/>
                  <w:noWrap/>
                  <w:vAlign w:val="bottom"/>
                  <w:hideMark/>
                </w:tcPr>
                <w:p w14:paraId="397EA51D"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Norway</w:t>
                  </w:r>
                </w:p>
              </w:tc>
              <w:tc>
                <w:tcPr>
                  <w:tcW w:w="700" w:type="dxa"/>
                  <w:tcBorders>
                    <w:top w:val="nil"/>
                    <w:left w:val="nil"/>
                    <w:bottom w:val="nil"/>
                    <w:right w:val="nil"/>
                  </w:tcBorders>
                  <w:shd w:val="clear" w:color="auto" w:fill="auto"/>
                  <w:noWrap/>
                  <w:vAlign w:val="bottom"/>
                  <w:hideMark/>
                </w:tcPr>
                <w:p w14:paraId="4A9127B8"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−9.7</w:t>
                  </w:r>
                </w:p>
              </w:tc>
              <w:tc>
                <w:tcPr>
                  <w:tcW w:w="700" w:type="dxa"/>
                  <w:tcBorders>
                    <w:top w:val="nil"/>
                    <w:left w:val="nil"/>
                    <w:bottom w:val="nil"/>
                    <w:right w:val="nil"/>
                  </w:tcBorders>
                  <w:shd w:val="clear" w:color="auto" w:fill="auto"/>
                  <w:noWrap/>
                  <w:vAlign w:val="bottom"/>
                  <w:hideMark/>
                </w:tcPr>
                <w:p w14:paraId="3DADA40C"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−50.9</w:t>
                  </w:r>
                </w:p>
              </w:tc>
            </w:tr>
          </w:tbl>
          <w:p w14:paraId="1610183D" w14:textId="77777777" w:rsidR="00802430" w:rsidRPr="00884D55" w:rsidRDefault="00802430" w:rsidP="00802430">
            <w:pPr>
              <w:spacing w:after="0"/>
              <w:rPr>
                <w:spacing w:val="-4"/>
                <w:sz w:val="16"/>
                <w:szCs w:val="16"/>
                <w:lang w:val="en-GB" w:eastAsia="en-US"/>
              </w:rPr>
            </w:pPr>
          </w:p>
        </w:tc>
      </w:tr>
      <w:tr w:rsidR="00802430" w:rsidRPr="00884D55" w14:paraId="3E098C5F" w14:textId="77777777" w:rsidTr="00803507">
        <w:trPr>
          <w:trHeight w:val="170"/>
        </w:trPr>
        <w:tc>
          <w:tcPr>
            <w:tcW w:w="4811" w:type="dxa"/>
            <w:gridSpan w:val="3"/>
            <w:hideMark/>
          </w:tcPr>
          <w:p w14:paraId="4E1F5D74" w14:textId="77777777" w:rsidR="00802430" w:rsidRPr="00884D55" w:rsidRDefault="00802430" w:rsidP="00802430">
            <w:pPr>
              <w:jc w:val="right"/>
              <w:rPr>
                <w:spacing w:val="-4"/>
                <w:sz w:val="16"/>
                <w:szCs w:val="16"/>
                <w:lang w:val="en-GB" w:eastAsia="en-US"/>
              </w:rPr>
            </w:pPr>
            <w:r w:rsidRPr="00884D55">
              <w:rPr>
                <w:spacing w:val="-4"/>
                <w:sz w:val="16"/>
                <w:szCs w:val="16"/>
                <w:lang w:val="en-GB" w:eastAsia="en-US"/>
              </w:rPr>
              <w:t>Source: CZSO</w:t>
            </w:r>
          </w:p>
        </w:tc>
        <w:tc>
          <w:tcPr>
            <w:tcW w:w="57" w:type="dxa"/>
          </w:tcPr>
          <w:p w14:paraId="24510595" w14:textId="77777777" w:rsidR="00802430" w:rsidRPr="00884D55" w:rsidRDefault="00802430" w:rsidP="00802430">
            <w:pPr>
              <w:spacing w:after="0"/>
              <w:rPr>
                <w:spacing w:val="-4"/>
                <w:lang w:val="en-GB" w:eastAsia="en-US"/>
              </w:rPr>
            </w:pPr>
          </w:p>
        </w:tc>
        <w:tc>
          <w:tcPr>
            <w:tcW w:w="4809" w:type="dxa"/>
            <w:hideMark/>
          </w:tcPr>
          <w:p w14:paraId="534FF8D3" w14:textId="77777777" w:rsidR="00802430" w:rsidRPr="00884D55" w:rsidRDefault="00802430" w:rsidP="00802430">
            <w:pPr>
              <w:spacing w:after="0"/>
              <w:ind w:right="21"/>
              <w:jc w:val="right"/>
              <w:rPr>
                <w:spacing w:val="-4"/>
                <w:lang w:val="en-GB" w:eastAsia="en-US"/>
              </w:rPr>
            </w:pPr>
            <w:r w:rsidRPr="00884D55">
              <w:rPr>
                <w:spacing w:val="-4"/>
                <w:sz w:val="16"/>
                <w:szCs w:val="16"/>
                <w:lang w:val="en-GB" w:eastAsia="en-US"/>
              </w:rPr>
              <w:t>Source: CZSO</w:t>
            </w:r>
          </w:p>
        </w:tc>
      </w:tr>
      <w:tr w:rsidR="00802430" w:rsidRPr="00884D55" w14:paraId="5177B245" w14:textId="77777777" w:rsidTr="00803507">
        <w:trPr>
          <w:trHeight w:val="145"/>
        </w:trPr>
        <w:tc>
          <w:tcPr>
            <w:tcW w:w="1748" w:type="dxa"/>
          </w:tcPr>
          <w:p w14:paraId="0F5AEA90" w14:textId="77777777" w:rsidR="00802430" w:rsidRPr="00884D55" w:rsidRDefault="00802430" w:rsidP="00802430">
            <w:pPr>
              <w:pStyle w:val="Marginlie"/>
              <w:rPr>
                <w:lang w:val="en-GB" w:eastAsia="en-US"/>
              </w:rPr>
            </w:pPr>
            <w:r w:rsidRPr="00884D55">
              <w:rPr>
                <w:lang w:val="en-GB" w:eastAsia="en-US"/>
              </w:rPr>
              <w:t xml:space="preserve">The value of oil and gas imports fell. </w:t>
            </w:r>
          </w:p>
        </w:tc>
        <w:tc>
          <w:tcPr>
            <w:tcW w:w="252" w:type="dxa"/>
          </w:tcPr>
          <w:p w14:paraId="2DE545D2" w14:textId="77777777" w:rsidR="00802430" w:rsidRPr="00884D55" w:rsidRDefault="00802430" w:rsidP="00802430">
            <w:pPr>
              <w:pStyle w:val="Textpoznpodarou"/>
              <w:jc w:val="both"/>
              <w:rPr>
                <w:spacing w:val="-4"/>
                <w:lang w:val="en-GB" w:eastAsia="en-US"/>
              </w:rPr>
            </w:pPr>
          </w:p>
        </w:tc>
        <w:tc>
          <w:tcPr>
            <w:tcW w:w="7677" w:type="dxa"/>
            <w:gridSpan w:val="3"/>
          </w:tcPr>
          <w:p w14:paraId="4FB442E9" w14:textId="77777777" w:rsidR="00802430" w:rsidRPr="00884D55" w:rsidRDefault="00802430" w:rsidP="00802430">
            <w:pPr>
              <w:spacing w:after="180"/>
              <w:rPr>
                <w:spacing w:val="-4"/>
                <w:lang w:val="en-GB" w:eastAsia="en-US"/>
              </w:rPr>
            </w:pPr>
            <w:bookmarkStart w:id="14" w:name="_Hlk194865706"/>
            <w:r w:rsidRPr="00884D55">
              <w:rPr>
                <w:spacing w:val="-4"/>
                <w:lang w:val="en-GB" w:eastAsia="en-US"/>
              </w:rPr>
              <w:t xml:space="preserve">Imports of computers, electronic and optical appliances and equipment (+52.5 bn CZK, 11.4%), food products (+26.6 bn, 12.1%), fabricated metal products (+19.8 bn, 10.1%), motor vehicles and parts (+14.0 bn, 2.1%) and basic pharmaceutical products (+10.7 bn, </w:t>
            </w:r>
            <w:r w:rsidRPr="00884D55">
              <w:rPr>
                <w:spacing w:val="-4"/>
                <w:lang w:val="en-GB" w:eastAsia="en-US"/>
              </w:rPr>
              <w:lastRenderedPageBreak/>
              <w:t>8.3%) increased the most last year. In contrast, the value of imports of oil and natural gas fell significantly under the influence of price developments (−24.4 bn CZK, −13.4%). Imports of electrical equipment were significantly lower (−19.1 bn, −4.2%)</w:t>
            </w:r>
            <w:r w:rsidRPr="00884D55">
              <w:rPr>
                <w:rStyle w:val="Znakapoznpodarou"/>
                <w:spacing w:val="-4"/>
                <w:lang w:val="en-GB" w:eastAsia="en-US"/>
              </w:rPr>
              <w:footnoteReference w:id="10"/>
            </w:r>
            <w:r w:rsidRPr="00884D55">
              <w:rPr>
                <w:spacing w:val="-4"/>
                <w:lang w:val="en-GB" w:eastAsia="en-US"/>
              </w:rPr>
              <w:t xml:space="preserve"> and the weakening in domestic industry and the dampening of investment activity resulted in a decrease of imports of machinery and equipment (−18.4 bn, −4.5%). Imports of computers, electronic and optical appliances (see Table 3) and fabricated metal products increased considerably in Q4 alone. Imports of food products, electrical equipment and basic metals increased more modestly. Imports of oil and natural gas, machinery and equipment, and motor vehicles decreased, year-on-year. </w:t>
            </w:r>
            <w:bookmarkEnd w:id="14"/>
          </w:p>
        </w:tc>
      </w:tr>
      <w:tr w:rsidR="00802430" w:rsidRPr="00884D55" w14:paraId="45D75487" w14:textId="77777777" w:rsidTr="00803507">
        <w:trPr>
          <w:trHeight w:val="145"/>
        </w:trPr>
        <w:tc>
          <w:tcPr>
            <w:tcW w:w="1748" w:type="dxa"/>
            <w:hideMark/>
          </w:tcPr>
          <w:p w14:paraId="77FEE1CC" w14:textId="77777777" w:rsidR="00802430" w:rsidRPr="00884D55" w:rsidRDefault="00802430" w:rsidP="00802430">
            <w:pPr>
              <w:pStyle w:val="Marginlie"/>
              <w:rPr>
                <w:lang w:val="en-GB" w:eastAsia="en-US"/>
              </w:rPr>
            </w:pPr>
            <w:r w:rsidRPr="00884D55">
              <w:rPr>
                <w:lang w:val="en-GB" w:eastAsia="en-US"/>
              </w:rPr>
              <w:lastRenderedPageBreak/>
              <w:t xml:space="preserve">The international trade balance of goods reached a massive surplus last year. </w:t>
            </w:r>
          </w:p>
        </w:tc>
        <w:tc>
          <w:tcPr>
            <w:tcW w:w="252" w:type="dxa"/>
          </w:tcPr>
          <w:p w14:paraId="08293C0F" w14:textId="77777777" w:rsidR="00802430" w:rsidRPr="00884D55" w:rsidRDefault="00802430" w:rsidP="00802430">
            <w:pPr>
              <w:pStyle w:val="Textpoznpodarou"/>
              <w:jc w:val="both"/>
              <w:rPr>
                <w:spacing w:val="-4"/>
                <w:lang w:val="en-GB" w:eastAsia="en-US"/>
              </w:rPr>
            </w:pPr>
          </w:p>
        </w:tc>
        <w:tc>
          <w:tcPr>
            <w:tcW w:w="7677" w:type="dxa"/>
            <w:gridSpan w:val="3"/>
            <w:hideMark/>
          </w:tcPr>
          <w:p w14:paraId="30F1C31F" w14:textId="1EDBB384" w:rsidR="00802430" w:rsidRPr="00884D55" w:rsidRDefault="00802430" w:rsidP="00D8546D">
            <w:pPr>
              <w:spacing w:after="180"/>
              <w:rPr>
                <w:spacing w:val="-4"/>
                <w:lang w:val="en-GB" w:eastAsia="en-US"/>
              </w:rPr>
            </w:pPr>
            <w:bookmarkStart w:id="15" w:name="_Hlk194866154"/>
            <w:r w:rsidRPr="00884D55">
              <w:rPr>
                <w:spacing w:val="-4"/>
                <w:lang w:val="en-GB" w:eastAsia="en-US"/>
              </w:rPr>
              <w:t>The balance of international trade with goods cumulated since the beginning of the year reached a surplus of 228.0 bn CZK, which was the highest recorded value in the available time series. The surplus improved by 105.5 bn CZK, year-on-year. The recorded increase of surplus was achieved during Q1 to Q3 (+43.0 bn CZK, +35.4 bn CZK and +30.1 bn, respectively). The total balance of international trade with goods amounted to a surplus of 43.7 bn CZK in Q4 2024, which was a worse result</w:t>
            </w:r>
            <w:r w:rsidRPr="00884D55">
              <w:rPr>
                <w:rStyle w:val="Znakapoznpodarou"/>
                <w:spacing w:val="-4"/>
                <w:lang w:val="en-GB" w:eastAsia="en-US"/>
              </w:rPr>
              <w:footnoteReference w:id="11"/>
            </w:r>
            <w:r w:rsidRPr="00884D55">
              <w:rPr>
                <w:spacing w:val="-4"/>
                <w:lang w:val="en-GB" w:eastAsia="en-US"/>
              </w:rPr>
              <w:t xml:space="preserve"> by 2.9 bn CZK, year-on-year</w:t>
            </w:r>
            <w:r w:rsidR="00D8546D">
              <w:rPr>
                <w:spacing w:val="-4"/>
                <w:lang w:val="en-GB" w:eastAsia="en-US"/>
              </w:rPr>
              <w:t>.</w:t>
            </w:r>
            <w:r w:rsidRPr="00884D55">
              <w:rPr>
                <w:spacing w:val="-4"/>
                <w:lang w:val="en-GB" w:eastAsia="en-US"/>
              </w:rPr>
              <w:t xml:space="preserve"> According to seasonally adjusted data, the international trade surplus deteriorated, quarter-on-quarter, in Q4. </w:t>
            </w:r>
            <w:bookmarkEnd w:id="15"/>
          </w:p>
        </w:tc>
      </w:tr>
      <w:tr w:rsidR="00802430" w:rsidRPr="00884D55" w14:paraId="0ECF6AEA" w14:textId="77777777" w:rsidTr="00803507">
        <w:trPr>
          <w:trHeight w:val="170"/>
        </w:trPr>
        <w:tc>
          <w:tcPr>
            <w:tcW w:w="4811" w:type="dxa"/>
            <w:gridSpan w:val="3"/>
            <w:hideMark/>
          </w:tcPr>
          <w:p w14:paraId="583A460A" w14:textId="77777777" w:rsidR="00802430" w:rsidRPr="00884D55" w:rsidRDefault="00802430" w:rsidP="00802430">
            <w:pPr>
              <w:spacing w:after="0"/>
              <w:rPr>
                <w:rFonts w:cs="Arial"/>
                <w:b/>
                <w:bCs/>
                <w:color w:val="000000"/>
                <w:sz w:val="18"/>
                <w:szCs w:val="18"/>
                <w:lang w:val="en-GB" w:eastAsia="en-US"/>
              </w:rPr>
            </w:pPr>
            <w:r w:rsidRPr="00884D55">
              <w:rPr>
                <w:rFonts w:cs="Arial"/>
                <w:b/>
                <w:bCs/>
                <w:color w:val="000000"/>
                <w:sz w:val="18"/>
                <w:szCs w:val="18"/>
                <w:lang w:val="en-GB" w:eastAsia="en-US"/>
              </w:rPr>
              <w:t xml:space="preserve">Table 5 Sections of CPA classification with highest impact on international trade with goods balance development in Q4 2024 </w:t>
            </w:r>
            <w:r w:rsidRPr="00884D55">
              <w:rPr>
                <w:rFonts w:cs="Arial"/>
                <w:bCs/>
                <w:color w:val="000000"/>
                <w:sz w:val="18"/>
                <w:szCs w:val="18"/>
                <w:lang w:val="en-GB" w:eastAsia="en-US"/>
              </w:rPr>
              <w:t>(year-on-year)</w:t>
            </w:r>
          </w:p>
        </w:tc>
        <w:tc>
          <w:tcPr>
            <w:tcW w:w="57" w:type="dxa"/>
          </w:tcPr>
          <w:p w14:paraId="4E9DCD9E" w14:textId="77777777" w:rsidR="00802430" w:rsidRPr="00884D55" w:rsidRDefault="00802430" w:rsidP="00802430">
            <w:pPr>
              <w:spacing w:after="0"/>
              <w:rPr>
                <w:spacing w:val="-4"/>
                <w:lang w:val="en-GB" w:eastAsia="en-US"/>
              </w:rPr>
            </w:pPr>
          </w:p>
        </w:tc>
        <w:tc>
          <w:tcPr>
            <w:tcW w:w="4809" w:type="dxa"/>
            <w:hideMark/>
          </w:tcPr>
          <w:p w14:paraId="16E5F407" w14:textId="77777777" w:rsidR="00802430" w:rsidRPr="00884D55" w:rsidRDefault="00802430" w:rsidP="00802430">
            <w:pPr>
              <w:spacing w:after="0"/>
              <w:jc w:val="left"/>
              <w:rPr>
                <w:spacing w:val="-4"/>
                <w:sz w:val="18"/>
                <w:szCs w:val="18"/>
                <w:lang w:val="en-GB" w:eastAsia="en-US"/>
              </w:rPr>
            </w:pPr>
            <w:r w:rsidRPr="00884D55">
              <w:rPr>
                <w:rFonts w:cs="Arial"/>
                <w:b/>
                <w:bCs/>
                <w:color w:val="000000"/>
                <w:sz w:val="18"/>
                <w:szCs w:val="18"/>
                <w:lang w:val="en-GB" w:eastAsia="en-US"/>
              </w:rPr>
              <w:t xml:space="preserve">Table 6 Countries with highest impact on international trade with goods balance development in Q4 2024 </w:t>
            </w:r>
            <w:r w:rsidRPr="00884D55">
              <w:rPr>
                <w:rFonts w:cs="Arial"/>
                <w:bCs/>
                <w:color w:val="000000"/>
                <w:sz w:val="18"/>
                <w:szCs w:val="18"/>
                <w:lang w:val="en-GB" w:eastAsia="en-US"/>
              </w:rPr>
              <w:t>(year-on-year)</w:t>
            </w:r>
          </w:p>
        </w:tc>
      </w:tr>
      <w:tr w:rsidR="00802430" w:rsidRPr="00884D55" w14:paraId="20F398F4" w14:textId="77777777" w:rsidTr="00803507">
        <w:trPr>
          <w:trHeight w:val="170"/>
        </w:trPr>
        <w:tc>
          <w:tcPr>
            <w:tcW w:w="4811" w:type="dxa"/>
            <w:gridSpan w:val="3"/>
            <w:hideMark/>
          </w:tcPr>
          <w:tbl>
            <w:tblPr>
              <w:tblW w:w="4826" w:type="dxa"/>
              <w:tblLayout w:type="fixed"/>
              <w:tblCellMar>
                <w:left w:w="70" w:type="dxa"/>
                <w:right w:w="70" w:type="dxa"/>
              </w:tblCellMar>
              <w:tblLook w:val="04A0" w:firstRow="1" w:lastRow="0" w:firstColumn="1" w:lastColumn="0" w:noHBand="0" w:noVBand="1"/>
            </w:tblPr>
            <w:tblGrid>
              <w:gridCol w:w="4126"/>
              <w:gridCol w:w="700"/>
            </w:tblGrid>
            <w:tr w:rsidR="00802430" w:rsidRPr="00884D55" w14:paraId="01E9EA5B" w14:textId="77777777" w:rsidTr="00803507">
              <w:trPr>
                <w:trHeight w:val="255"/>
              </w:trPr>
              <w:tc>
                <w:tcPr>
                  <w:tcW w:w="4126" w:type="dxa"/>
                  <w:tcBorders>
                    <w:top w:val="nil"/>
                    <w:left w:val="nil"/>
                    <w:bottom w:val="single" w:sz="4" w:space="0" w:color="auto"/>
                    <w:right w:val="nil"/>
                  </w:tcBorders>
                  <w:shd w:val="clear" w:color="auto" w:fill="auto"/>
                  <w:noWrap/>
                  <w:vAlign w:val="bottom"/>
                  <w:hideMark/>
                </w:tcPr>
                <w:p w14:paraId="46455997" w14:textId="77777777" w:rsidR="00802430" w:rsidRPr="00884D55" w:rsidRDefault="00802430" w:rsidP="00802430">
                  <w:pPr>
                    <w:spacing w:after="0" w:line="240" w:lineRule="auto"/>
                    <w:jc w:val="left"/>
                    <w:rPr>
                      <w:rFonts w:cs="Arial"/>
                      <w:color w:val="000000"/>
                      <w:sz w:val="16"/>
                      <w:szCs w:val="16"/>
                      <w:lang w:val="en-GB"/>
                    </w:rPr>
                  </w:pPr>
                </w:p>
              </w:tc>
              <w:tc>
                <w:tcPr>
                  <w:tcW w:w="700" w:type="dxa"/>
                  <w:tcBorders>
                    <w:top w:val="nil"/>
                    <w:left w:val="nil"/>
                    <w:bottom w:val="single" w:sz="4" w:space="0" w:color="auto"/>
                    <w:right w:val="nil"/>
                  </w:tcBorders>
                  <w:shd w:val="clear" w:color="auto" w:fill="auto"/>
                  <w:noWrap/>
                  <w:vAlign w:val="bottom"/>
                  <w:hideMark/>
                </w:tcPr>
                <w:p w14:paraId="6D8AD3BD"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bn CZK</w:t>
                  </w:r>
                </w:p>
              </w:tc>
            </w:tr>
            <w:tr w:rsidR="00802430" w:rsidRPr="00884D55" w14:paraId="4D6601F0" w14:textId="77777777" w:rsidTr="00803507">
              <w:trPr>
                <w:trHeight w:val="255"/>
              </w:trPr>
              <w:tc>
                <w:tcPr>
                  <w:tcW w:w="4126" w:type="dxa"/>
                  <w:tcBorders>
                    <w:top w:val="nil"/>
                    <w:left w:val="nil"/>
                    <w:bottom w:val="nil"/>
                    <w:right w:val="nil"/>
                  </w:tcBorders>
                  <w:shd w:val="clear" w:color="auto" w:fill="auto"/>
                  <w:noWrap/>
                  <w:vAlign w:val="bottom"/>
                  <w:hideMark/>
                </w:tcPr>
                <w:p w14:paraId="05D05FBB"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Oil and natural gas</w:t>
                  </w:r>
                </w:p>
              </w:tc>
              <w:tc>
                <w:tcPr>
                  <w:tcW w:w="700" w:type="dxa"/>
                  <w:tcBorders>
                    <w:top w:val="nil"/>
                    <w:left w:val="nil"/>
                    <w:bottom w:val="nil"/>
                    <w:right w:val="nil"/>
                  </w:tcBorders>
                  <w:shd w:val="clear" w:color="auto" w:fill="auto"/>
                  <w:noWrap/>
                  <w:vAlign w:val="bottom"/>
                  <w:hideMark/>
                </w:tcPr>
                <w:p w14:paraId="25F54508"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+9.8</w:t>
                  </w:r>
                </w:p>
              </w:tc>
            </w:tr>
            <w:tr w:rsidR="00802430" w:rsidRPr="00884D55" w14:paraId="0E9BA062" w14:textId="77777777" w:rsidTr="00803507">
              <w:trPr>
                <w:trHeight w:val="255"/>
              </w:trPr>
              <w:tc>
                <w:tcPr>
                  <w:tcW w:w="4126" w:type="dxa"/>
                  <w:tcBorders>
                    <w:top w:val="nil"/>
                    <w:left w:val="nil"/>
                    <w:bottom w:val="nil"/>
                    <w:right w:val="nil"/>
                  </w:tcBorders>
                  <w:shd w:val="clear" w:color="auto" w:fill="auto"/>
                  <w:noWrap/>
                  <w:vAlign w:val="bottom"/>
                  <w:hideMark/>
                </w:tcPr>
                <w:p w14:paraId="5D652E10"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Motor vehicles (except for motorcycles) and parts</w:t>
                  </w:r>
                </w:p>
              </w:tc>
              <w:tc>
                <w:tcPr>
                  <w:tcW w:w="700" w:type="dxa"/>
                  <w:tcBorders>
                    <w:top w:val="nil"/>
                    <w:left w:val="nil"/>
                    <w:bottom w:val="nil"/>
                    <w:right w:val="nil"/>
                  </w:tcBorders>
                  <w:shd w:val="clear" w:color="auto" w:fill="auto"/>
                  <w:noWrap/>
                  <w:vAlign w:val="bottom"/>
                  <w:hideMark/>
                </w:tcPr>
                <w:p w14:paraId="0DA5041E"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+4.7</w:t>
                  </w:r>
                </w:p>
              </w:tc>
            </w:tr>
            <w:tr w:rsidR="00802430" w:rsidRPr="00884D55" w14:paraId="52796B41" w14:textId="77777777" w:rsidTr="00803507">
              <w:trPr>
                <w:trHeight w:val="255"/>
              </w:trPr>
              <w:tc>
                <w:tcPr>
                  <w:tcW w:w="4126" w:type="dxa"/>
                  <w:tcBorders>
                    <w:top w:val="nil"/>
                    <w:left w:val="nil"/>
                    <w:bottom w:val="nil"/>
                    <w:right w:val="nil"/>
                  </w:tcBorders>
                  <w:shd w:val="clear" w:color="auto" w:fill="auto"/>
                  <w:noWrap/>
                  <w:vAlign w:val="bottom"/>
                  <w:hideMark/>
                </w:tcPr>
                <w:p w14:paraId="03648CE6"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Electrical equipment</w:t>
                  </w:r>
                </w:p>
              </w:tc>
              <w:tc>
                <w:tcPr>
                  <w:tcW w:w="700" w:type="dxa"/>
                  <w:tcBorders>
                    <w:top w:val="nil"/>
                    <w:left w:val="nil"/>
                    <w:bottom w:val="nil"/>
                    <w:right w:val="nil"/>
                  </w:tcBorders>
                  <w:shd w:val="clear" w:color="auto" w:fill="auto"/>
                  <w:noWrap/>
                  <w:vAlign w:val="bottom"/>
                  <w:hideMark/>
                </w:tcPr>
                <w:p w14:paraId="437DF6FF"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+4.1</w:t>
                  </w:r>
                </w:p>
              </w:tc>
            </w:tr>
            <w:tr w:rsidR="00802430" w:rsidRPr="00884D55" w14:paraId="09983B45" w14:textId="77777777" w:rsidTr="00803507">
              <w:trPr>
                <w:trHeight w:val="255"/>
              </w:trPr>
              <w:tc>
                <w:tcPr>
                  <w:tcW w:w="4126" w:type="dxa"/>
                  <w:tcBorders>
                    <w:top w:val="nil"/>
                    <w:left w:val="nil"/>
                    <w:bottom w:val="nil"/>
                    <w:right w:val="nil"/>
                  </w:tcBorders>
                  <w:shd w:val="clear" w:color="auto" w:fill="auto"/>
                  <w:noWrap/>
                  <w:vAlign w:val="bottom"/>
                  <w:hideMark/>
                </w:tcPr>
                <w:p w14:paraId="1714758E"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Electricity, gas, steam and air conditioning</w:t>
                  </w:r>
                </w:p>
              </w:tc>
              <w:tc>
                <w:tcPr>
                  <w:tcW w:w="700" w:type="dxa"/>
                  <w:tcBorders>
                    <w:top w:val="nil"/>
                    <w:left w:val="nil"/>
                    <w:bottom w:val="nil"/>
                    <w:right w:val="nil"/>
                  </w:tcBorders>
                  <w:shd w:val="clear" w:color="auto" w:fill="auto"/>
                  <w:noWrap/>
                  <w:vAlign w:val="bottom"/>
                  <w:hideMark/>
                </w:tcPr>
                <w:p w14:paraId="06EE935E"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+3.3</w:t>
                  </w:r>
                </w:p>
              </w:tc>
            </w:tr>
            <w:tr w:rsidR="00802430" w:rsidRPr="00884D55" w14:paraId="5457AB84" w14:textId="77777777" w:rsidTr="00803507">
              <w:trPr>
                <w:trHeight w:val="255"/>
              </w:trPr>
              <w:tc>
                <w:tcPr>
                  <w:tcW w:w="4126" w:type="dxa"/>
                  <w:tcBorders>
                    <w:top w:val="nil"/>
                    <w:left w:val="nil"/>
                    <w:bottom w:val="nil"/>
                    <w:right w:val="nil"/>
                  </w:tcBorders>
                  <w:shd w:val="clear" w:color="auto" w:fill="auto"/>
                  <w:noWrap/>
                  <w:vAlign w:val="bottom"/>
                  <w:hideMark/>
                </w:tcPr>
                <w:p w14:paraId="3026696F"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Other transport and equipment</w:t>
                  </w:r>
                </w:p>
              </w:tc>
              <w:tc>
                <w:tcPr>
                  <w:tcW w:w="700" w:type="dxa"/>
                  <w:tcBorders>
                    <w:top w:val="nil"/>
                    <w:left w:val="nil"/>
                    <w:bottom w:val="nil"/>
                    <w:right w:val="nil"/>
                  </w:tcBorders>
                  <w:shd w:val="clear" w:color="auto" w:fill="auto"/>
                  <w:noWrap/>
                  <w:vAlign w:val="bottom"/>
                  <w:hideMark/>
                </w:tcPr>
                <w:p w14:paraId="4CA796F9"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+2.5</w:t>
                  </w:r>
                </w:p>
              </w:tc>
            </w:tr>
            <w:tr w:rsidR="00802430" w:rsidRPr="00884D55" w14:paraId="4BD45DCE" w14:textId="77777777" w:rsidTr="00803507">
              <w:trPr>
                <w:trHeight w:val="255"/>
              </w:trPr>
              <w:tc>
                <w:tcPr>
                  <w:tcW w:w="4126" w:type="dxa"/>
                  <w:tcBorders>
                    <w:top w:val="nil"/>
                    <w:left w:val="nil"/>
                    <w:bottom w:val="nil"/>
                    <w:right w:val="nil"/>
                  </w:tcBorders>
                  <w:shd w:val="clear" w:color="auto" w:fill="auto"/>
                  <w:noWrap/>
                  <w:vAlign w:val="bottom"/>
                  <w:hideMark/>
                </w:tcPr>
                <w:p w14:paraId="425BD7B8"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Chemicals and chemical products</w:t>
                  </w:r>
                </w:p>
              </w:tc>
              <w:tc>
                <w:tcPr>
                  <w:tcW w:w="700" w:type="dxa"/>
                  <w:tcBorders>
                    <w:top w:val="nil"/>
                    <w:left w:val="nil"/>
                    <w:bottom w:val="nil"/>
                    <w:right w:val="nil"/>
                  </w:tcBorders>
                  <w:shd w:val="clear" w:color="auto" w:fill="auto"/>
                  <w:noWrap/>
                  <w:vAlign w:val="bottom"/>
                  <w:hideMark/>
                </w:tcPr>
                <w:p w14:paraId="586F95D8"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+2.4</w:t>
                  </w:r>
                </w:p>
              </w:tc>
            </w:tr>
            <w:tr w:rsidR="00802430" w:rsidRPr="00884D55" w14:paraId="4D187E4F" w14:textId="77777777" w:rsidTr="00803507">
              <w:trPr>
                <w:trHeight w:val="255"/>
              </w:trPr>
              <w:tc>
                <w:tcPr>
                  <w:tcW w:w="4126" w:type="dxa"/>
                  <w:tcBorders>
                    <w:top w:val="nil"/>
                    <w:left w:val="nil"/>
                    <w:bottom w:val="nil"/>
                    <w:right w:val="nil"/>
                  </w:tcBorders>
                  <w:shd w:val="clear" w:color="auto" w:fill="auto"/>
                  <w:noWrap/>
                  <w:vAlign w:val="bottom"/>
                  <w:hideMark/>
                </w:tcPr>
                <w:p w14:paraId="2D1F759D"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Rubber and plastic products</w:t>
                  </w:r>
                </w:p>
              </w:tc>
              <w:tc>
                <w:tcPr>
                  <w:tcW w:w="700" w:type="dxa"/>
                  <w:tcBorders>
                    <w:top w:val="nil"/>
                    <w:left w:val="nil"/>
                    <w:bottom w:val="nil"/>
                    <w:right w:val="nil"/>
                  </w:tcBorders>
                  <w:shd w:val="clear" w:color="auto" w:fill="auto"/>
                  <w:noWrap/>
                  <w:vAlign w:val="bottom"/>
                  <w:hideMark/>
                </w:tcPr>
                <w:p w14:paraId="2AEFD058"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+1.9</w:t>
                  </w:r>
                </w:p>
              </w:tc>
            </w:tr>
            <w:tr w:rsidR="00802430" w:rsidRPr="00884D55" w14:paraId="4F07FA3A" w14:textId="77777777" w:rsidTr="00803507">
              <w:trPr>
                <w:trHeight w:val="255"/>
              </w:trPr>
              <w:tc>
                <w:tcPr>
                  <w:tcW w:w="4126" w:type="dxa"/>
                  <w:tcBorders>
                    <w:top w:val="nil"/>
                    <w:left w:val="nil"/>
                    <w:bottom w:val="nil"/>
                    <w:right w:val="nil"/>
                  </w:tcBorders>
                  <w:shd w:val="clear" w:color="auto" w:fill="auto"/>
                  <w:noWrap/>
                  <w:vAlign w:val="bottom"/>
                  <w:hideMark/>
                </w:tcPr>
                <w:p w14:paraId="3FB27B56"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Black and brown coal and lignite</w:t>
                  </w:r>
                </w:p>
              </w:tc>
              <w:tc>
                <w:tcPr>
                  <w:tcW w:w="700" w:type="dxa"/>
                  <w:tcBorders>
                    <w:top w:val="nil"/>
                    <w:left w:val="nil"/>
                    <w:bottom w:val="nil"/>
                    <w:right w:val="nil"/>
                  </w:tcBorders>
                  <w:shd w:val="clear" w:color="auto" w:fill="auto"/>
                  <w:noWrap/>
                  <w:vAlign w:val="bottom"/>
                  <w:hideMark/>
                </w:tcPr>
                <w:p w14:paraId="3D325587"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+1.0</w:t>
                  </w:r>
                </w:p>
              </w:tc>
            </w:tr>
            <w:tr w:rsidR="00802430" w:rsidRPr="00884D55" w14:paraId="19FDC4C7" w14:textId="77777777" w:rsidTr="00803507">
              <w:trPr>
                <w:trHeight w:val="255"/>
              </w:trPr>
              <w:tc>
                <w:tcPr>
                  <w:tcW w:w="4126" w:type="dxa"/>
                  <w:tcBorders>
                    <w:top w:val="nil"/>
                    <w:left w:val="nil"/>
                    <w:bottom w:val="nil"/>
                    <w:right w:val="nil"/>
                  </w:tcBorders>
                  <w:shd w:val="clear" w:color="auto" w:fill="auto"/>
                  <w:noWrap/>
                  <w:vAlign w:val="bottom"/>
                  <w:hideMark/>
                </w:tcPr>
                <w:p w14:paraId="00176947"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Leather and associated products</w:t>
                  </w:r>
                </w:p>
              </w:tc>
              <w:tc>
                <w:tcPr>
                  <w:tcW w:w="700" w:type="dxa"/>
                  <w:tcBorders>
                    <w:top w:val="nil"/>
                    <w:left w:val="nil"/>
                    <w:bottom w:val="nil"/>
                    <w:right w:val="nil"/>
                  </w:tcBorders>
                  <w:shd w:val="clear" w:color="auto" w:fill="auto"/>
                  <w:noWrap/>
                  <w:vAlign w:val="bottom"/>
                  <w:hideMark/>
                </w:tcPr>
                <w:p w14:paraId="1D2E72FB"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−1.2</w:t>
                  </w:r>
                </w:p>
              </w:tc>
            </w:tr>
            <w:tr w:rsidR="00802430" w:rsidRPr="00884D55" w14:paraId="7A8E7C5F" w14:textId="77777777" w:rsidTr="00803507">
              <w:trPr>
                <w:trHeight w:val="255"/>
              </w:trPr>
              <w:tc>
                <w:tcPr>
                  <w:tcW w:w="4126" w:type="dxa"/>
                  <w:tcBorders>
                    <w:top w:val="nil"/>
                    <w:left w:val="nil"/>
                    <w:bottom w:val="nil"/>
                    <w:right w:val="nil"/>
                  </w:tcBorders>
                  <w:shd w:val="clear" w:color="auto" w:fill="auto"/>
                  <w:noWrap/>
                  <w:vAlign w:val="bottom"/>
                  <w:hideMark/>
                </w:tcPr>
                <w:p w14:paraId="3772D33F"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Tobacco products</w:t>
                  </w:r>
                </w:p>
              </w:tc>
              <w:tc>
                <w:tcPr>
                  <w:tcW w:w="700" w:type="dxa"/>
                  <w:tcBorders>
                    <w:top w:val="nil"/>
                    <w:left w:val="nil"/>
                    <w:bottom w:val="nil"/>
                    <w:right w:val="nil"/>
                  </w:tcBorders>
                  <w:shd w:val="clear" w:color="auto" w:fill="auto"/>
                  <w:noWrap/>
                  <w:vAlign w:val="bottom"/>
                  <w:hideMark/>
                </w:tcPr>
                <w:p w14:paraId="4B1EE044"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−1.5</w:t>
                  </w:r>
                </w:p>
              </w:tc>
            </w:tr>
            <w:tr w:rsidR="00802430" w:rsidRPr="00884D55" w14:paraId="63B57892" w14:textId="77777777" w:rsidTr="00803507">
              <w:trPr>
                <w:trHeight w:val="255"/>
              </w:trPr>
              <w:tc>
                <w:tcPr>
                  <w:tcW w:w="4126" w:type="dxa"/>
                  <w:tcBorders>
                    <w:top w:val="nil"/>
                    <w:left w:val="nil"/>
                    <w:bottom w:val="nil"/>
                    <w:right w:val="nil"/>
                  </w:tcBorders>
                  <w:shd w:val="clear" w:color="auto" w:fill="auto"/>
                  <w:noWrap/>
                  <w:vAlign w:val="bottom"/>
                  <w:hideMark/>
                </w:tcPr>
                <w:p w14:paraId="47464963"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Food products</w:t>
                  </w:r>
                </w:p>
              </w:tc>
              <w:tc>
                <w:tcPr>
                  <w:tcW w:w="700" w:type="dxa"/>
                  <w:tcBorders>
                    <w:top w:val="nil"/>
                    <w:left w:val="nil"/>
                    <w:bottom w:val="nil"/>
                    <w:right w:val="nil"/>
                  </w:tcBorders>
                  <w:shd w:val="clear" w:color="auto" w:fill="auto"/>
                  <w:noWrap/>
                  <w:vAlign w:val="bottom"/>
                  <w:hideMark/>
                </w:tcPr>
                <w:p w14:paraId="6E7A44FC"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−1.8</w:t>
                  </w:r>
                </w:p>
              </w:tc>
            </w:tr>
            <w:tr w:rsidR="00802430" w:rsidRPr="00884D55" w14:paraId="425AD85D" w14:textId="77777777" w:rsidTr="00803507">
              <w:trPr>
                <w:trHeight w:val="255"/>
              </w:trPr>
              <w:tc>
                <w:tcPr>
                  <w:tcW w:w="4126" w:type="dxa"/>
                  <w:tcBorders>
                    <w:top w:val="nil"/>
                    <w:left w:val="nil"/>
                    <w:bottom w:val="nil"/>
                    <w:right w:val="nil"/>
                  </w:tcBorders>
                  <w:shd w:val="clear" w:color="auto" w:fill="auto"/>
                  <w:noWrap/>
                  <w:vAlign w:val="bottom"/>
                  <w:hideMark/>
                </w:tcPr>
                <w:p w14:paraId="43DF7126"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Agricultural and gamekeeping products</w:t>
                  </w:r>
                </w:p>
              </w:tc>
              <w:tc>
                <w:tcPr>
                  <w:tcW w:w="700" w:type="dxa"/>
                  <w:tcBorders>
                    <w:top w:val="nil"/>
                    <w:left w:val="nil"/>
                    <w:bottom w:val="nil"/>
                    <w:right w:val="nil"/>
                  </w:tcBorders>
                  <w:shd w:val="clear" w:color="auto" w:fill="auto"/>
                  <w:noWrap/>
                  <w:vAlign w:val="bottom"/>
                  <w:hideMark/>
                </w:tcPr>
                <w:p w14:paraId="6E049F29"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−2.0</w:t>
                  </w:r>
                </w:p>
              </w:tc>
            </w:tr>
            <w:tr w:rsidR="00802430" w:rsidRPr="00884D55" w14:paraId="598EEB66" w14:textId="77777777" w:rsidTr="00803507">
              <w:trPr>
                <w:trHeight w:val="255"/>
              </w:trPr>
              <w:tc>
                <w:tcPr>
                  <w:tcW w:w="4126" w:type="dxa"/>
                  <w:tcBorders>
                    <w:top w:val="nil"/>
                    <w:left w:val="nil"/>
                    <w:bottom w:val="nil"/>
                    <w:right w:val="nil"/>
                  </w:tcBorders>
                  <w:shd w:val="clear" w:color="auto" w:fill="auto"/>
                  <w:noWrap/>
                  <w:vAlign w:val="bottom"/>
                  <w:hideMark/>
                </w:tcPr>
                <w:p w14:paraId="322B33FD"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Computers, electr. and opt. appliances and equipment</w:t>
                  </w:r>
                </w:p>
              </w:tc>
              <w:tc>
                <w:tcPr>
                  <w:tcW w:w="700" w:type="dxa"/>
                  <w:tcBorders>
                    <w:top w:val="nil"/>
                    <w:left w:val="nil"/>
                    <w:bottom w:val="nil"/>
                    <w:right w:val="nil"/>
                  </w:tcBorders>
                  <w:shd w:val="clear" w:color="auto" w:fill="auto"/>
                  <w:noWrap/>
                  <w:vAlign w:val="bottom"/>
                  <w:hideMark/>
                </w:tcPr>
                <w:p w14:paraId="3E764056"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−5.0</w:t>
                  </w:r>
                </w:p>
              </w:tc>
            </w:tr>
            <w:tr w:rsidR="00802430" w:rsidRPr="00884D55" w14:paraId="55A5A528" w14:textId="77777777" w:rsidTr="00803507">
              <w:trPr>
                <w:trHeight w:val="255"/>
              </w:trPr>
              <w:tc>
                <w:tcPr>
                  <w:tcW w:w="4126" w:type="dxa"/>
                  <w:tcBorders>
                    <w:top w:val="nil"/>
                    <w:left w:val="nil"/>
                    <w:bottom w:val="nil"/>
                    <w:right w:val="nil"/>
                  </w:tcBorders>
                  <w:shd w:val="clear" w:color="auto" w:fill="auto"/>
                  <w:noWrap/>
                  <w:vAlign w:val="bottom"/>
                  <w:hideMark/>
                </w:tcPr>
                <w:p w14:paraId="5AE97ED2"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Basic metals</w:t>
                  </w:r>
                </w:p>
              </w:tc>
              <w:tc>
                <w:tcPr>
                  <w:tcW w:w="700" w:type="dxa"/>
                  <w:tcBorders>
                    <w:top w:val="nil"/>
                    <w:left w:val="nil"/>
                    <w:bottom w:val="nil"/>
                    <w:right w:val="nil"/>
                  </w:tcBorders>
                  <w:shd w:val="clear" w:color="auto" w:fill="auto"/>
                  <w:noWrap/>
                  <w:vAlign w:val="bottom"/>
                  <w:hideMark/>
                </w:tcPr>
                <w:p w14:paraId="4AB3252A"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−5.5</w:t>
                  </w:r>
                </w:p>
              </w:tc>
            </w:tr>
            <w:tr w:rsidR="00802430" w:rsidRPr="00884D55" w14:paraId="5932AAD8" w14:textId="77777777" w:rsidTr="00803507">
              <w:trPr>
                <w:trHeight w:val="255"/>
              </w:trPr>
              <w:tc>
                <w:tcPr>
                  <w:tcW w:w="4126" w:type="dxa"/>
                  <w:tcBorders>
                    <w:top w:val="nil"/>
                    <w:left w:val="nil"/>
                    <w:bottom w:val="nil"/>
                    <w:right w:val="nil"/>
                  </w:tcBorders>
                  <w:shd w:val="clear" w:color="auto" w:fill="auto"/>
                  <w:noWrap/>
                  <w:vAlign w:val="bottom"/>
                  <w:hideMark/>
                </w:tcPr>
                <w:p w14:paraId="4EBDD4C2"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Metalworking products except for machinery and equipment</w:t>
                  </w:r>
                </w:p>
              </w:tc>
              <w:tc>
                <w:tcPr>
                  <w:tcW w:w="700" w:type="dxa"/>
                  <w:tcBorders>
                    <w:top w:val="nil"/>
                    <w:left w:val="nil"/>
                    <w:bottom w:val="nil"/>
                    <w:right w:val="nil"/>
                  </w:tcBorders>
                  <w:shd w:val="clear" w:color="auto" w:fill="auto"/>
                  <w:noWrap/>
                  <w:vAlign w:val="bottom"/>
                  <w:hideMark/>
                </w:tcPr>
                <w:p w14:paraId="6397FF86"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−14.1</w:t>
                  </w:r>
                </w:p>
              </w:tc>
            </w:tr>
          </w:tbl>
          <w:p w14:paraId="07D10148" w14:textId="77777777" w:rsidR="00802430" w:rsidRPr="00884D55" w:rsidRDefault="00802430" w:rsidP="00802430">
            <w:pPr>
              <w:spacing w:after="0"/>
              <w:rPr>
                <w:spacing w:val="-4"/>
                <w:lang w:val="en-GB" w:eastAsia="en-US"/>
              </w:rPr>
            </w:pPr>
          </w:p>
        </w:tc>
        <w:tc>
          <w:tcPr>
            <w:tcW w:w="57" w:type="dxa"/>
          </w:tcPr>
          <w:p w14:paraId="782ACE57" w14:textId="77777777" w:rsidR="00802430" w:rsidRPr="00884D55" w:rsidRDefault="00802430" w:rsidP="00802430">
            <w:pPr>
              <w:spacing w:after="0"/>
              <w:rPr>
                <w:spacing w:val="-4"/>
                <w:lang w:val="en-GB" w:eastAsia="en-US"/>
              </w:rPr>
            </w:pPr>
          </w:p>
        </w:tc>
        <w:tc>
          <w:tcPr>
            <w:tcW w:w="4809" w:type="dxa"/>
            <w:hideMark/>
          </w:tcPr>
          <w:tbl>
            <w:tblPr>
              <w:tblW w:w="4771" w:type="dxa"/>
              <w:tblLayout w:type="fixed"/>
              <w:tblCellMar>
                <w:left w:w="70" w:type="dxa"/>
                <w:right w:w="70" w:type="dxa"/>
              </w:tblCellMar>
              <w:tblLook w:val="04A0" w:firstRow="1" w:lastRow="0" w:firstColumn="1" w:lastColumn="0" w:noHBand="0" w:noVBand="1"/>
            </w:tblPr>
            <w:tblGrid>
              <w:gridCol w:w="4071"/>
              <w:gridCol w:w="700"/>
            </w:tblGrid>
            <w:tr w:rsidR="00802430" w:rsidRPr="00884D55" w14:paraId="587A6F40" w14:textId="77777777" w:rsidTr="00803507">
              <w:trPr>
                <w:trHeight w:val="255"/>
              </w:trPr>
              <w:tc>
                <w:tcPr>
                  <w:tcW w:w="4071" w:type="dxa"/>
                  <w:tcBorders>
                    <w:top w:val="nil"/>
                    <w:left w:val="nil"/>
                    <w:bottom w:val="single" w:sz="4" w:space="0" w:color="auto"/>
                    <w:right w:val="nil"/>
                  </w:tcBorders>
                  <w:shd w:val="clear" w:color="auto" w:fill="auto"/>
                  <w:noWrap/>
                  <w:vAlign w:val="bottom"/>
                  <w:hideMark/>
                </w:tcPr>
                <w:p w14:paraId="1D3ADFBC" w14:textId="77777777" w:rsidR="00802430" w:rsidRPr="00884D55" w:rsidRDefault="00802430" w:rsidP="00802430">
                  <w:pPr>
                    <w:spacing w:after="0" w:line="240" w:lineRule="auto"/>
                    <w:jc w:val="left"/>
                    <w:rPr>
                      <w:rFonts w:cs="Arial"/>
                      <w:color w:val="000000"/>
                      <w:szCs w:val="20"/>
                      <w:lang w:val="en-GB"/>
                    </w:rPr>
                  </w:pPr>
                </w:p>
              </w:tc>
              <w:tc>
                <w:tcPr>
                  <w:tcW w:w="700" w:type="dxa"/>
                  <w:tcBorders>
                    <w:top w:val="nil"/>
                    <w:left w:val="nil"/>
                    <w:bottom w:val="single" w:sz="4" w:space="0" w:color="auto"/>
                    <w:right w:val="nil"/>
                  </w:tcBorders>
                  <w:shd w:val="clear" w:color="auto" w:fill="auto"/>
                  <w:noWrap/>
                  <w:vAlign w:val="bottom"/>
                  <w:hideMark/>
                </w:tcPr>
                <w:p w14:paraId="76A5FA26"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bn CZK</w:t>
                  </w:r>
                </w:p>
              </w:tc>
            </w:tr>
            <w:tr w:rsidR="00802430" w:rsidRPr="00884D55" w14:paraId="78536B67" w14:textId="77777777" w:rsidTr="00803507">
              <w:trPr>
                <w:trHeight w:val="255"/>
              </w:trPr>
              <w:tc>
                <w:tcPr>
                  <w:tcW w:w="4071" w:type="dxa"/>
                  <w:tcBorders>
                    <w:top w:val="nil"/>
                    <w:left w:val="nil"/>
                    <w:bottom w:val="nil"/>
                    <w:right w:val="nil"/>
                  </w:tcBorders>
                  <w:shd w:val="clear" w:color="auto" w:fill="auto"/>
                  <w:noWrap/>
                  <w:vAlign w:val="bottom"/>
                  <w:hideMark/>
                </w:tcPr>
                <w:p w14:paraId="6C0AD65F"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Norway</w:t>
                  </w:r>
                </w:p>
              </w:tc>
              <w:tc>
                <w:tcPr>
                  <w:tcW w:w="700" w:type="dxa"/>
                  <w:tcBorders>
                    <w:top w:val="nil"/>
                    <w:left w:val="nil"/>
                    <w:bottom w:val="nil"/>
                    <w:right w:val="nil"/>
                  </w:tcBorders>
                  <w:shd w:val="clear" w:color="auto" w:fill="auto"/>
                  <w:noWrap/>
                  <w:vAlign w:val="bottom"/>
                  <w:hideMark/>
                </w:tcPr>
                <w:p w14:paraId="76CED878"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+9.8</w:t>
                  </w:r>
                </w:p>
              </w:tc>
            </w:tr>
            <w:tr w:rsidR="00802430" w:rsidRPr="00884D55" w14:paraId="605011A2" w14:textId="77777777" w:rsidTr="00803507">
              <w:trPr>
                <w:trHeight w:val="255"/>
              </w:trPr>
              <w:tc>
                <w:tcPr>
                  <w:tcW w:w="4071" w:type="dxa"/>
                  <w:tcBorders>
                    <w:top w:val="nil"/>
                    <w:left w:val="nil"/>
                    <w:bottom w:val="nil"/>
                    <w:right w:val="nil"/>
                  </w:tcBorders>
                  <w:shd w:val="clear" w:color="auto" w:fill="auto"/>
                  <w:noWrap/>
                  <w:vAlign w:val="bottom"/>
                  <w:hideMark/>
                </w:tcPr>
                <w:p w14:paraId="334C3957"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United States of America</w:t>
                  </w:r>
                </w:p>
              </w:tc>
              <w:tc>
                <w:tcPr>
                  <w:tcW w:w="700" w:type="dxa"/>
                  <w:tcBorders>
                    <w:top w:val="nil"/>
                    <w:left w:val="nil"/>
                    <w:bottom w:val="nil"/>
                    <w:right w:val="nil"/>
                  </w:tcBorders>
                  <w:shd w:val="clear" w:color="auto" w:fill="auto"/>
                  <w:noWrap/>
                  <w:vAlign w:val="bottom"/>
                  <w:hideMark/>
                </w:tcPr>
                <w:p w14:paraId="0E40A03E"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+8.7</w:t>
                  </w:r>
                </w:p>
              </w:tc>
            </w:tr>
            <w:tr w:rsidR="00802430" w:rsidRPr="00884D55" w14:paraId="68FE2024" w14:textId="77777777" w:rsidTr="00803507">
              <w:trPr>
                <w:trHeight w:val="255"/>
              </w:trPr>
              <w:tc>
                <w:tcPr>
                  <w:tcW w:w="4071" w:type="dxa"/>
                  <w:tcBorders>
                    <w:top w:val="nil"/>
                    <w:left w:val="nil"/>
                    <w:bottom w:val="nil"/>
                    <w:right w:val="nil"/>
                  </w:tcBorders>
                  <w:shd w:val="clear" w:color="auto" w:fill="auto"/>
                  <w:noWrap/>
                  <w:vAlign w:val="bottom"/>
                  <w:hideMark/>
                </w:tcPr>
                <w:p w14:paraId="7AC16D02"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Great Britain</w:t>
                  </w:r>
                </w:p>
              </w:tc>
              <w:tc>
                <w:tcPr>
                  <w:tcW w:w="700" w:type="dxa"/>
                  <w:tcBorders>
                    <w:top w:val="nil"/>
                    <w:left w:val="nil"/>
                    <w:bottom w:val="nil"/>
                    <w:right w:val="nil"/>
                  </w:tcBorders>
                  <w:shd w:val="clear" w:color="auto" w:fill="auto"/>
                  <w:noWrap/>
                  <w:vAlign w:val="bottom"/>
                  <w:hideMark/>
                </w:tcPr>
                <w:p w14:paraId="697FDAEA"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+8.6</w:t>
                  </w:r>
                </w:p>
              </w:tc>
            </w:tr>
            <w:tr w:rsidR="00802430" w:rsidRPr="00884D55" w14:paraId="6DA61CD5" w14:textId="77777777" w:rsidTr="00803507">
              <w:trPr>
                <w:trHeight w:val="255"/>
              </w:trPr>
              <w:tc>
                <w:tcPr>
                  <w:tcW w:w="4071" w:type="dxa"/>
                  <w:tcBorders>
                    <w:top w:val="nil"/>
                    <w:left w:val="nil"/>
                    <w:bottom w:val="nil"/>
                    <w:right w:val="nil"/>
                  </w:tcBorders>
                  <w:shd w:val="clear" w:color="auto" w:fill="auto"/>
                  <w:noWrap/>
                  <w:vAlign w:val="bottom"/>
                  <w:hideMark/>
                </w:tcPr>
                <w:p w14:paraId="7823FCCF"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Israel</w:t>
                  </w:r>
                </w:p>
              </w:tc>
              <w:tc>
                <w:tcPr>
                  <w:tcW w:w="700" w:type="dxa"/>
                  <w:tcBorders>
                    <w:top w:val="nil"/>
                    <w:left w:val="nil"/>
                    <w:bottom w:val="nil"/>
                    <w:right w:val="nil"/>
                  </w:tcBorders>
                  <w:shd w:val="clear" w:color="auto" w:fill="auto"/>
                  <w:noWrap/>
                  <w:vAlign w:val="bottom"/>
                  <w:hideMark/>
                </w:tcPr>
                <w:p w14:paraId="17A69B72"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+4.1</w:t>
                  </w:r>
                </w:p>
              </w:tc>
            </w:tr>
            <w:tr w:rsidR="00802430" w:rsidRPr="00884D55" w14:paraId="77AE806F" w14:textId="77777777" w:rsidTr="00803507">
              <w:trPr>
                <w:trHeight w:val="255"/>
              </w:trPr>
              <w:tc>
                <w:tcPr>
                  <w:tcW w:w="4071" w:type="dxa"/>
                  <w:tcBorders>
                    <w:top w:val="nil"/>
                    <w:left w:val="nil"/>
                    <w:bottom w:val="nil"/>
                    <w:right w:val="nil"/>
                  </w:tcBorders>
                  <w:shd w:val="clear" w:color="auto" w:fill="auto"/>
                  <w:noWrap/>
                  <w:vAlign w:val="bottom"/>
                  <w:hideMark/>
                </w:tcPr>
                <w:p w14:paraId="18AD0EF8"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Belgium</w:t>
                  </w:r>
                </w:p>
              </w:tc>
              <w:tc>
                <w:tcPr>
                  <w:tcW w:w="700" w:type="dxa"/>
                  <w:tcBorders>
                    <w:top w:val="nil"/>
                    <w:left w:val="nil"/>
                    <w:bottom w:val="nil"/>
                    <w:right w:val="nil"/>
                  </w:tcBorders>
                  <w:shd w:val="clear" w:color="auto" w:fill="auto"/>
                  <w:noWrap/>
                  <w:vAlign w:val="bottom"/>
                  <w:hideMark/>
                </w:tcPr>
                <w:p w14:paraId="4223EFAC"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+4.1</w:t>
                  </w:r>
                </w:p>
              </w:tc>
            </w:tr>
            <w:tr w:rsidR="00802430" w:rsidRPr="00884D55" w14:paraId="294507A7" w14:textId="77777777" w:rsidTr="00803507">
              <w:trPr>
                <w:trHeight w:val="255"/>
              </w:trPr>
              <w:tc>
                <w:tcPr>
                  <w:tcW w:w="4071" w:type="dxa"/>
                  <w:tcBorders>
                    <w:top w:val="nil"/>
                    <w:left w:val="nil"/>
                    <w:bottom w:val="nil"/>
                    <w:right w:val="nil"/>
                  </w:tcBorders>
                  <w:shd w:val="clear" w:color="auto" w:fill="auto"/>
                  <w:noWrap/>
                  <w:vAlign w:val="bottom"/>
                  <w:hideMark/>
                </w:tcPr>
                <w:p w14:paraId="7C821230"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Turkey</w:t>
                  </w:r>
                </w:p>
              </w:tc>
              <w:tc>
                <w:tcPr>
                  <w:tcW w:w="700" w:type="dxa"/>
                  <w:tcBorders>
                    <w:top w:val="nil"/>
                    <w:left w:val="nil"/>
                    <w:bottom w:val="nil"/>
                    <w:right w:val="nil"/>
                  </w:tcBorders>
                  <w:shd w:val="clear" w:color="auto" w:fill="auto"/>
                  <w:noWrap/>
                  <w:vAlign w:val="bottom"/>
                  <w:hideMark/>
                </w:tcPr>
                <w:p w14:paraId="2500C2FC"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+2.8</w:t>
                  </w:r>
                </w:p>
              </w:tc>
            </w:tr>
            <w:tr w:rsidR="00802430" w:rsidRPr="00884D55" w14:paraId="54CB3DF4" w14:textId="77777777" w:rsidTr="00803507">
              <w:trPr>
                <w:trHeight w:val="255"/>
              </w:trPr>
              <w:tc>
                <w:tcPr>
                  <w:tcW w:w="4071" w:type="dxa"/>
                  <w:tcBorders>
                    <w:top w:val="nil"/>
                    <w:left w:val="nil"/>
                    <w:bottom w:val="nil"/>
                    <w:right w:val="nil"/>
                  </w:tcBorders>
                  <w:shd w:val="clear" w:color="auto" w:fill="auto"/>
                  <w:noWrap/>
                  <w:vAlign w:val="bottom"/>
                  <w:hideMark/>
                </w:tcPr>
                <w:p w14:paraId="58435DCB"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 xml:space="preserve">Kazakhstan </w:t>
                  </w:r>
                </w:p>
              </w:tc>
              <w:tc>
                <w:tcPr>
                  <w:tcW w:w="700" w:type="dxa"/>
                  <w:tcBorders>
                    <w:top w:val="nil"/>
                    <w:left w:val="nil"/>
                    <w:bottom w:val="nil"/>
                    <w:right w:val="nil"/>
                  </w:tcBorders>
                  <w:shd w:val="clear" w:color="auto" w:fill="auto"/>
                  <w:noWrap/>
                  <w:vAlign w:val="bottom"/>
                  <w:hideMark/>
                </w:tcPr>
                <w:p w14:paraId="2B722391"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+2.0</w:t>
                  </w:r>
                </w:p>
              </w:tc>
            </w:tr>
            <w:tr w:rsidR="00802430" w:rsidRPr="00884D55" w14:paraId="69FC207A" w14:textId="77777777" w:rsidTr="00803507">
              <w:trPr>
                <w:trHeight w:val="255"/>
              </w:trPr>
              <w:tc>
                <w:tcPr>
                  <w:tcW w:w="4071" w:type="dxa"/>
                  <w:tcBorders>
                    <w:top w:val="nil"/>
                    <w:left w:val="nil"/>
                    <w:bottom w:val="nil"/>
                    <w:right w:val="nil"/>
                  </w:tcBorders>
                  <w:shd w:val="clear" w:color="auto" w:fill="auto"/>
                  <w:noWrap/>
                  <w:vAlign w:val="bottom"/>
                  <w:hideMark/>
                </w:tcPr>
                <w:p w14:paraId="14149009"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South Africa</w:t>
                  </w:r>
                </w:p>
              </w:tc>
              <w:tc>
                <w:tcPr>
                  <w:tcW w:w="700" w:type="dxa"/>
                  <w:tcBorders>
                    <w:top w:val="nil"/>
                    <w:left w:val="nil"/>
                    <w:bottom w:val="nil"/>
                    <w:right w:val="nil"/>
                  </w:tcBorders>
                  <w:shd w:val="clear" w:color="auto" w:fill="auto"/>
                  <w:noWrap/>
                  <w:vAlign w:val="bottom"/>
                  <w:hideMark/>
                </w:tcPr>
                <w:p w14:paraId="73E66D4D"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+1.9</w:t>
                  </w:r>
                </w:p>
              </w:tc>
            </w:tr>
            <w:tr w:rsidR="00802430" w:rsidRPr="00884D55" w14:paraId="75373611" w14:textId="77777777" w:rsidTr="00803507">
              <w:trPr>
                <w:trHeight w:val="255"/>
              </w:trPr>
              <w:tc>
                <w:tcPr>
                  <w:tcW w:w="4071" w:type="dxa"/>
                  <w:tcBorders>
                    <w:top w:val="nil"/>
                    <w:left w:val="nil"/>
                    <w:bottom w:val="nil"/>
                    <w:right w:val="nil"/>
                  </w:tcBorders>
                  <w:shd w:val="clear" w:color="auto" w:fill="auto"/>
                  <w:noWrap/>
                  <w:vAlign w:val="bottom"/>
                  <w:hideMark/>
                </w:tcPr>
                <w:p w14:paraId="0876CBC1"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Spain</w:t>
                  </w:r>
                </w:p>
              </w:tc>
              <w:tc>
                <w:tcPr>
                  <w:tcW w:w="700" w:type="dxa"/>
                  <w:tcBorders>
                    <w:top w:val="nil"/>
                    <w:left w:val="nil"/>
                    <w:bottom w:val="nil"/>
                    <w:right w:val="nil"/>
                  </w:tcBorders>
                  <w:shd w:val="clear" w:color="auto" w:fill="auto"/>
                  <w:noWrap/>
                  <w:vAlign w:val="bottom"/>
                  <w:hideMark/>
                </w:tcPr>
                <w:p w14:paraId="50736003"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−2.1</w:t>
                  </w:r>
                </w:p>
              </w:tc>
            </w:tr>
            <w:tr w:rsidR="00802430" w:rsidRPr="00884D55" w14:paraId="7DE344FC" w14:textId="77777777" w:rsidTr="00803507">
              <w:trPr>
                <w:trHeight w:val="255"/>
              </w:trPr>
              <w:tc>
                <w:tcPr>
                  <w:tcW w:w="4071" w:type="dxa"/>
                  <w:tcBorders>
                    <w:top w:val="nil"/>
                    <w:left w:val="nil"/>
                    <w:bottom w:val="nil"/>
                    <w:right w:val="nil"/>
                  </w:tcBorders>
                  <w:shd w:val="clear" w:color="auto" w:fill="auto"/>
                  <w:noWrap/>
                  <w:vAlign w:val="bottom"/>
                  <w:hideMark/>
                </w:tcPr>
                <w:p w14:paraId="6222285A"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Bulgaria</w:t>
                  </w:r>
                </w:p>
              </w:tc>
              <w:tc>
                <w:tcPr>
                  <w:tcW w:w="700" w:type="dxa"/>
                  <w:tcBorders>
                    <w:top w:val="nil"/>
                    <w:left w:val="nil"/>
                    <w:bottom w:val="nil"/>
                    <w:right w:val="nil"/>
                  </w:tcBorders>
                  <w:shd w:val="clear" w:color="auto" w:fill="auto"/>
                  <w:noWrap/>
                  <w:vAlign w:val="bottom"/>
                  <w:hideMark/>
                </w:tcPr>
                <w:p w14:paraId="53730067"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−2.6</w:t>
                  </w:r>
                </w:p>
              </w:tc>
            </w:tr>
            <w:tr w:rsidR="00802430" w:rsidRPr="00884D55" w14:paraId="1A443E34" w14:textId="77777777" w:rsidTr="00803507">
              <w:trPr>
                <w:trHeight w:val="255"/>
              </w:trPr>
              <w:tc>
                <w:tcPr>
                  <w:tcW w:w="4071" w:type="dxa"/>
                  <w:tcBorders>
                    <w:top w:val="nil"/>
                    <w:left w:val="nil"/>
                    <w:bottom w:val="nil"/>
                    <w:right w:val="nil"/>
                  </w:tcBorders>
                  <w:shd w:val="clear" w:color="auto" w:fill="auto"/>
                  <w:noWrap/>
                  <w:vAlign w:val="bottom"/>
                  <w:hideMark/>
                </w:tcPr>
                <w:p w14:paraId="12DA6206"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Italy</w:t>
                  </w:r>
                </w:p>
              </w:tc>
              <w:tc>
                <w:tcPr>
                  <w:tcW w:w="700" w:type="dxa"/>
                  <w:tcBorders>
                    <w:top w:val="nil"/>
                    <w:left w:val="nil"/>
                    <w:bottom w:val="nil"/>
                    <w:right w:val="nil"/>
                  </w:tcBorders>
                  <w:shd w:val="clear" w:color="auto" w:fill="auto"/>
                  <w:noWrap/>
                  <w:vAlign w:val="bottom"/>
                  <w:hideMark/>
                </w:tcPr>
                <w:p w14:paraId="5EEF3800"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−3.9</w:t>
                  </w:r>
                </w:p>
              </w:tc>
            </w:tr>
            <w:tr w:rsidR="00802430" w:rsidRPr="00884D55" w14:paraId="68D6DE41" w14:textId="77777777" w:rsidTr="00803507">
              <w:trPr>
                <w:trHeight w:val="255"/>
              </w:trPr>
              <w:tc>
                <w:tcPr>
                  <w:tcW w:w="4071" w:type="dxa"/>
                  <w:tcBorders>
                    <w:top w:val="nil"/>
                    <w:left w:val="nil"/>
                    <w:bottom w:val="nil"/>
                    <w:right w:val="nil"/>
                  </w:tcBorders>
                  <w:shd w:val="clear" w:color="auto" w:fill="auto"/>
                  <w:noWrap/>
                  <w:vAlign w:val="bottom"/>
                  <w:hideMark/>
                </w:tcPr>
                <w:p w14:paraId="47132170"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Poland</w:t>
                  </w:r>
                </w:p>
              </w:tc>
              <w:tc>
                <w:tcPr>
                  <w:tcW w:w="700" w:type="dxa"/>
                  <w:tcBorders>
                    <w:top w:val="nil"/>
                    <w:left w:val="nil"/>
                    <w:bottom w:val="nil"/>
                    <w:right w:val="nil"/>
                  </w:tcBorders>
                  <w:shd w:val="clear" w:color="auto" w:fill="auto"/>
                  <w:noWrap/>
                  <w:vAlign w:val="bottom"/>
                  <w:hideMark/>
                </w:tcPr>
                <w:p w14:paraId="43F6A9A4"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−4.7</w:t>
                  </w:r>
                </w:p>
              </w:tc>
            </w:tr>
            <w:tr w:rsidR="00802430" w:rsidRPr="00884D55" w14:paraId="320D6FBA" w14:textId="77777777" w:rsidTr="00803507">
              <w:trPr>
                <w:trHeight w:val="255"/>
              </w:trPr>
              <w:tc>
                <w:tcPr>
                  <w:tcW w:w="4071" w:type="dxa"/>
                  <w:tcBorders>
                    <w:top w:val="nil"/>
                    <w:left w:val="nil"/>
                    <w:bottom w:val="nil"/>
                    <w:right w:val="nil"/>
                  </w:tcBorders>
                  <w:shd w:val="clear" w:color="auto" w:fill="auto"/>
                  <w:noWrap/>
                  <w:vAlign w:val="bottom"/>
                  <w:hideMark/>
                </w:tcPr>
                <w:p w14:paraId="1619501D"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Russia</w:t>
                  </w:r>
                </w:p>
              </w:tc>
              <w:tc>
                <w:tcPr>
                  <w:tcW w:w="700" w:type="dxa"/>
                  <w:tcBorders>
                    <w:top w:val="nil"/>
                    <w:left w:val="nil"/>
                    <w:bottom w:val="nil"/>
                    <w:right w:val="nil"/>
                  </w:tcBorders>
                  <w:shd w:val="clear" w:color="auto" w:fill="auto"/>
                  <w:noWrap/>
                  <w:vAlign w:val="bottom"/>
                  <w:hideMark/>
                </w:tcPr>
                <w:p w14:paraId="64231C9C"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−5.2</w:t>
                  </w:r>
                </w:p>
              </w:tc>
            </w:tr>
            <w:tr w:rsidR="00802430" w:rsidRPr="00884D55" w14:paraId="002A1D1A" w14:textId="77777777" w:rsidTr="00803507">
              <w:trPr>
                <w:trHeight w:val="255"/>
              </w:trPr>
              <w:tc>
                <w:tcPr>
                  <w:tcW w:w="4071" w:type="dxa"/>
                  <w:tcBorders>
                    <w:top w:val="nil"/>
                    <w:left w:val="nil"/>
                    <w:bottom w:val="nil"/>
                    <w:right w:val="nil"/>
                  </w:tcBorders>
                  <w:shd w:val="clear" w:color="auto" w:fill="auto"/>
                  <w:noWrap/>
                  <w:vAlign w:val="bottom"/>
                  <w:hideMark/>
                </w:tcPr>
                <w:p w14:paraId="4884115B"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Slovakia</w:t>
                  </w:r>
                </w:p>
              </w:tc>
              <w:tc>
                <w:tcPr>
                  <w:tcW w:w="700" w:type="dxa"/>
                  <w:tcBorders>
                    <w:top w:val="nil"/>
                    <w:left w:val="nil"/>
                    <w:bottom w:val="nil"/>
                    <w:right w:val="nil"/>
                  </w:tcBorders>
                  <w:shd w:val="clear" w:color="auto" w:fill="auto"/>
                  <w:noWrap/>
                  <w:vAlign w:val="bottom"/>
                  <w:hideMark/>
                </w:tcPr>
                <w:p w14:paraId="0D9AA149"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−10.4</w:t>
                  </w:r>
                </w:p>
              </w:tc>
            </w:tr>
            <w:tr w:rsidR="00802430" w:rsidRPr="00884D55" w14:paraId="3B73DC6C" w14:textId="77777777" w:rsidTr="00803507">
              <w:trPr>
                <w:trHeight w:val="255"/>
              </w:trPr>
              <w:tc>
                <w:tcPr>
                  <w:tcW w:w="4071" w:type="dxa"/>
                  <w:tcBorders>
                    <w:top w:val="nil"/>
                    <w:left w:val="nil"/>
                    <w:bottom w:val="nil"/>
                    <w:right w:val="nil"/>
                  </w:tcBorders>
                  <w:shd w:val="clear" w:color="auto" w:fill="auto"/>
                  <w:noWrap/>
                  <w:vAlign w:val="bottom"/>
                  <w:hideMark/>
                </w:tcPr>
                <w:p w14:paraId="6AAB2F08" w14:textId="77777777" w:rsidR="00802430" w:rsidRPr="00884D55" w:rsidRDefault="00802430" w:rsidP="00802430">
                  <w:pPr>
                    <w:spacing w:after="0" w:line="240" w:lineRule="auto"/>
                    <w:jc w:val="left"/>
                    <w:rPr>
                      <w:rFonts w:cs="Arial"/>
                      <w:color w:val="000000"/>
                      <w:sz w:val="16"/>
                      <w:szCs w:val="16"/>
                      <w:lang w:val="en-GB"/>
                    </w:rPr>
                  </w:pPr>
                  <w:r w:rsidRPr="00884D55">
                    <w:rPr>
                      <w:rFonts w:cs="Arial"/>
                      <w:color w:val="000000"/>
                      <w:sz w:val="16"/>
                      <w:szCs w:val="16"/>
                      <w:lang w:val="en-GB"/>
                    </w:rPr>
                    <w:t>China</w:t>
                  </w:r>
                </w:p>
              </w:tc>
              <w:tc>
                <w:tcPr>
                  <w:tcW w:w="700" w:type="dxa"/>
                  <w:tcBorders>
                    <w:top w:val="nil"/>
                    <w:left w:val="nil"/>
                    <w:bottom w:val="nil"/>
                    <w:right w:val="nil"/>
                  </w:tcBorders>
                  <w:shd w:val="clear" w:color="auto" w:fill="auto"/>
                  <w:noWrap/>
                  <w:vAlign w:val="bottom"/>
                  <w:hideMark/>
                </w:tcPr>
                <w:p w14:paraId="443835C7" w14:textId="77777777" w:rsidR="00802430" w:rsidRPr="00884D55" w:rsidRDefault="00802430" w:rsidP="00802430">
                  <w:pPr>
                    <w:spacing w:after="0" w:line="240" w:lineRule="auto"/>
                    <w:jc w:val="right"/>
                    <w:rPr>
                      <w:rFonts w:cs="Arial"/>
                      <w:color w:val="000000"/>
                      <w:sz w:val="16"/>
                      <w:szCs w:val="16"/>
                      <w:lang w:val="en-GB"/>
                    </w:rPr>
                  </w:pPr>
                  <w:r w:rsidRPr="00884D55">
                    <w:rPr>
                      <w:rFonts w:cs="Arial"/>
                      <w:color w:val="000000"/>
                      <w:sz w:val="16"/>
                      <w:szCs w:val="16"/>
                      <w:lang w:val="en-GB"/>
                    </w:rPr>
                    <w:t>−16.8</w:t>
                  </w:r>
                </w:p>
              </w:tc>
            </w:tr>
          </w:tbl>
          <w:p w14:paraId="66DBFFDC" w14:textId="77777777" w:rsidR="00802430" w:rsidRPr="00884D55" w:rsidRDefault="00802430" w:rsidP="00802430">
            <w:pPr>
              <w:spacing w:after="0"/>
              <w:rPr>
                <w:spacing w:val="-4"/>
                <w:lang w:val="en-GB" w:eastAsia="en-US"/>
              </w:rPr>
            </w:pPr>
          </w:p>
        </w:tc>
      </w:tr>
      <w:tr w:rsidR="00802430" w:rsidRPr="00884D55" w14:paraId="3E676E33" w14:textId="77777777" w:rsidTr="00803507">
        <w:trPr>
          <w:trHeight w:val="170"/>
        </w:trPr>
        <w:tc>
          <w:tcPr>
            <w:tcW w:w="4811" w:type="dxa"/>
            <w:gridSpan w:val="3"/>
            <w:hideMark/>
          </w:tcPr>
          <w:p w14:paraId="3C3F900C" w14:textId="77777777" w:rsidR="00802430" w:rsidRPr="00884D55" w:rsidRDefault="00802430" w:rsidP="00802430">
            <w:pPr>
              <w:jc w:val="right"/>
              <w:rPr>
                <w:spacing w:val="-4"/>
                <w:sz w:val="16"/>
                <w:szCs w:val="16"/>
                <w:lang w:val="en-GB" w:eastAsia="en-US"/>
              </w:rPr>
            </w:pPr>
            <w:r w:rsidRPr="00884D55">
              <w:rPr>
                <w:spacing w:val="-4"/>
                <w:sz w:val="16"/>
                <w:szCs w:val="16"/>
                <w:lang w:val="en-GB" w:eastAsia="en-US"/>
              </w:rPr>
              <w:t>Source: CZSO</w:t>
            </w:r>
          </w:p>
        </w:tc>
        <w:tc>
          <w:tcPr>
            <w:tcW w:w="57" w:type="dxa"/>
          </w:tcPr>
          <w:p w14:paraId="6D85FA2B" w14:textId="77777777" w:rsidR="00802430" w:rsidRPr="00884D55" w:rsidRDefault="00802430" w:rsidP="00802430">
            <w:pPr>
              <w:spacing w:after="0"/>
              <w:rPr>
                <w:spacing w:val="-4"/>
                <w:lang w:val="en-GB" w:eastAsia="en-US"/>
              </w:rPr>
            </w:pPr>
          </w:p>
        </w:tc>
        <w:tc>
          <w:tcPr>
            <w:tcW w:w="4809" w:type="dxa"/>
            <w:hideMark/>
          </w:tcPr>
          <w:p w14:paraId="47DB2D58" w14:textId="77777777" w:rsidR="00802430" w:rsidRPr="00884D55" w:rsidRDefault="00802430" w:rsidP="00802430">
            <w:pPr>
              <w:spacing w:after="0"/>
              <w:ind w:right="21"/>
              <w:jc w:val="right"/>
              <w:rPr>
                <w:spacing w:val="-4"/>
                <w:lang w:val="en-GB" w:eastAsia="en-US"/>
              </w:rPr>
            </w:pPr>
            <w:r w:rsidRPr="00884D55">
              <w:rPr>
                <w:spacing w:val="-4"/>
                <w:sz w:val="16"/>
                <w:szCs w:val="16"/>
                <w:lang w:val="en-GB" w:eastAsia="en-US"/>
              </w:rPr>
              <w:t>Source: CZSO</w:t>
            </w:r>
          </w:p>
        </w:tc>
      </w:tr>
      <w:tr w:rsidR="00802430" w:rsidRPr="00884D55" w14:paraId="5E17557B" w14:textId="77777777" w:rsidTr="00803507">
        <w:trPr>
          <w:trHeight w:val="150"/>
        </w:trPr>
        <w:tc>
          <w:tcPr>
            <w:tcW w:w="1748" w:type="dxa"/>
          </w:tcPr>
          <w:p w14:paraId="24057F6A" w14:textId="439756FA" w:rsidR="00802430" w:rsidRDefault="00802430" w:rsidP="00802430">
            <w:pPr>
              <w:pStyle w:val="Marginlie"/>
              <w:rPr>
                <w:lang w:val="en-GB" w:eastAsia="en-US"/>
              </w:rPr>
            </w:pPr>
            <w:bookmarkStart w:id="17" w:name="_Hlk194866287"/>
            <w:r w:rsidRPr="00884D55">
              <w:rPr>
                <w:lang w:val="en-GB" w:eastAsia="en-US"/>
              </w:rPr>
              <w:t xml:space="preserve">The year-on-year improvement of the surplus was caused by the trade with the EU last year.  </w:t>
            </w:r>
            <w:bookmarkEnd w:id="17"/>
          </w:p>
        </w:tc>
        <w:tc>
          <w:tcPr>
            <w:tcW w:w="252" w:type="dxa"/>
          </w:tcPr>
          <w:p w14:paraId="01F5D3E3" w14:textId="77777777" w:rsidR="00802430" w:rsidRPr="00884D55" w:rsidRDefault="00802430" w:rsidP="00802430">
            <w:pPr>
              <w:pStyle w:val="Textpoznpodarou"/>
              <w:jc w:val="both"/>
              <w:rPr>
                <w:spacing w:val="-4"/>
                <w:lang w:val="en-GB" w:eastAsia="en-US"/>
              </w:rPr>
            </w:pPr>
          </w:p>
        </w:tc>
        <w:tc>
          <w:tcPr>
            <w:tcW w:w="7677" w:type="dxa"/>
            <w:gridSpan w:val="3"/>
          </w:tcPr>
          <w:p w14:paraId="4ECE5ECA" w14:textId="445330E0" w:rsidR="00802430" w:rsidRPr="00884D55" w:rsidRDefault="00802430" w:rsidP="00802430">
            <w:pPr>
              <w:rPr>
                <w:spacing w:val="-4"/>
                <w:lang w:val="en-GB" w:eastAsia="en-US"/>
              </w:rPr>
            </w:pPr>
            <w:bookmarkStart w:id="18" w:name="_Hlk194866305"/>
            <w:r w:rsidRPr="00884D55">
              <w:rPr>
                <w:spacing w:val="-4"/>
                <w:lang w:val="en-GB" w:eastAsia="en-US"/>
              </w:rPr>
              <w:t xml:space="preserve">Last year's overall improvement of the international trade balance with goods was a result of reduction of the trade deficit with non-EU countries by 115.7 bn CZK. On the contrary, the trade surplus with the EU narrowed by 10.1 bn CZK. The trade balance improved the most with the United Kingdom (+49.5 bn CZK), Norway (+33.9 bn), the United States of America (+19.0 bn), Turkey (+12.3 bn) and Singapore (+10.2 bn) last year. The most significant deterioration of the balance was recorded in the case of trade with Taiwan (−13.3 bn CZK). The total trade balance with the EU deteriorated by 19.6 bn CZK, year-on-year, in Q4, while it improved by 16.3 bn CZK for non-EU countries. Overall, countries with a trade balance deterioration were predominant. The total year-on-year deterioration of the trade balance with goods was mainly due to trade with China (see Table 6) and Slovakia. This was followed by smaller </w:t>
            </w:r>
            <w:r w:rsidR="00FE1DC1">
              <w:rPr>
                <w:spacing w:val="-4"/>
                <w:lang w:val="en-GB" w:eastAsia="en-US"/>
              </w:rPr>
              <w:t xml:space="preserve">negative </w:t>
            </w:r>
            <w:r w:rsidRPr="00884D55">
              <w:rPr>
                <w:spacing w:val="-4"/>
                <w:lang w:val="en-GB" w:eastAsia="en-US"/>
              </w:rPr>
              <w:t xml:space="preserve">contributions of Russia, Poland or Italy. In contrast, the trade balance </w:t>
            </w:r>
            <w:r w:rsidRPr="00884D55">
              <w:rPr>
                <w:spacing w:val="-4"/>
                <w:lang w:val="en-GB" w:eastAsia="en-US"/>
              </w:rPr>
              <w:lastRenderedPageBreak/>
              <w:t xml:space="preserve">with Norway, Great Britain and the United States of America improved, year-on-year, in Q4. The contribution of Belgium or Israel was also significant.  </w:t>
            </w:r>
            <w:bookmarkEnd w:id="18"/>
          </w:p>
        </w:tc>
      </w:tr>
      <w:tr w:rsidR="00802430" w:rsidRPr="00884D55" w14:paraId="445D22C8" w14:textId="77777777" w:rsidTr="00803507">
        <w:trPr>
          <w:trHeight w:val="150"/>
        </w:trPr>
        <w:tc>
          <w:tcPr>
            <w:tcW w:w="1748" w:type="dxa"/>
          </w:tcPr>
          <w:p w14:paraId="20FB5D37" w14:textId="60F733E9" w:rsidR="00802430" w:rsidRPr="00884D55" w:rsidRDefault="00802430" w:rsidP="00802430">
            <w:pPr>
              <w:pStyle w:val="Marginlie"/>
              <w:rPr>
                <w:lang w:val="en-GB" w:eastAsia="en-US"/>
              </w:rPr>
            </w:pPr>
            <w:bookmarkStart w:id="19" w:name="_Hlk194872191"/>
            <w:r w:rsidRPr="00884D55">
              <w:rPr>
                <w:lang w:val="en-GB" w:eastAsia="en-US"/>
              </w:rPr>
              <w:lastRenderedPageBreak/>
              <w:t xml:space="preserve">Total surplus of trade with motor vehicles increased last year, but worsened, year-on-year, at the end of the year. </w:t>
            </w:r>
            <w:bookmarkEnd w:id="19"/>
          </w:p>
        </w:tc>
        <w:tc>
          <w:tcPr>
            <w:tcW w:w="252" w:type="dxa"/>
          </w:tcPr>
          <w:p w14:paraId="6633D3C8" w14:textId="77777777" w:rsidR="00802430" w:rsidRPr="00884D55" w:rsidRDefault="00802430" w:rsidP="00802430">
            <w:pPr>
              <w:pStyle w:val="Textpoznpodarou"/>
              <w:jc w:val="both"/>
              <w:rPr>
                <w:spacing w:val="-4"/>
                <w:lang w:val="en-GB" w:eastAsia="en-US"/>
              </w:rPr>
            </w:pPr>
          </w:p>
        </w:tc>
        <w:tc>
          <w:tcPr>
            <w:tcW w:w="7677" w:type="dxa"/>
            <w:gridSpan w:val="3"/>
          </w:tcPr>
          <w:p w14:paraId="6D508076" w14:textId="5A649D66" w:rsidR="00802430" w:rsidRPr="00884D55" w:rsidRDefault="00802430" w:rsidP="00802430">
            <w:pPr>
              <w:rPr>
                <w:spacing w:val="-4"/>
                <w:lang w:val="en-GB" w:eastAsia="en-US"/>
              </w:rPr>
            </w:pPr>
            <w:bookmarkStart w:id="20" w:name="_Hlk194872216"/>
            <w:r w:rsidRPr="00884D55">
              <w:rPr>
                <w:spacing w:val="-4"/>
                <w:lang w:val="en-GB" w:eastAsia="en-US"/>
              </w:rPr>
              <w:t xml:space="preserve">Trade of motor vehicles (+60.5 bn CZK), electrical equipment (+35.0 bn CZK), oil and natural gas (+25.1 bn) and black and hard coal and lignite (+10.1 bn) had the biggest impact on improving the international trade balance last year. The trade balance of coke and refined petroleum products (−18.0 bn CZK), fabricated metal products (−13.0 bn) and basic metals (−12.2 bn) on the contrary deteriorated. The international trade balance of the prevailing share of products deteriorated, year-on-year, in Q4 itself, nevertheless a large decrease of the trade surplus of fabricated metal products (see Table 5) had the biggest impact on the overall slump of the surplus. The balance of trade in computers, electronic and optical products and basic metals also deteriorated significantly. By contrast, the deficit in oil and natural gas moderated and trade in motor vehicles, electrical equipment and electricity also acted as an improvement in the overall balance. </w:t>
            </w:r>
            <w:bookmarkStart w:id="21" w:name="_Hlk194874566"/>
            <w:r w:rsidRPr="00884D55">
              <w:rPr>
                <w:spacing w:val="-4"/>
                <w:lang w:val="en-GB" w:eastAsia="en-US"/>
              </w:rPr>
              <w:t>The trade balance of computers, electronic and optical appliances and equipment and basic metals also worsened notably. By contrast, the deficit of oil and natural gas moderated and trade with motor vehicles, electrical equipment and electricity also acted as an improvement of the total balance.</w:t>
            </w:r>
            <w:bookmarkEnd w:id="20"/>
            <w:bookmarkEnd w:id="21"/>
          </w:p>
        </w:tc>
      </w:tr>
      <w:tr w:rsidR="00802430" w:rsidRPr="00884D55" w14:paraId="4DDA5215" w14:textId="77777777" w:rsidTr="00803507">
        <w:trPr>
          <w:trHeight w:val="170"/>
        </w:trPr>
        <w:tc>
          <w:tcPr>
            <w:tcW w:w="1748" w:type="dxa"/>
            <w:vMerge w:val="restart"/>
          </w:tcPr>
          <w:p w14:paraId="440C2C7F" w14:textId="4BE2E47E" w:rsidR="00802430" w:rsidRPr="00884D55" w:rsidRDefault="00802430" w:rsidP="00802430">
            <w:pPr>
              <w:pStyle w:val="Marginlie"/>
              <w:rPr>
                <w:lang w:val="en-GB" w:eastAsia="en-US"/>
              </w:rPr>
            </w:pPr>
          </w:p>
        </w:tc>
        <w:tc>
          <w:tcPr>
            <w:tcW w:w="252" w:type="dxa"/>
            <w:vMerge w:val="restart"/>
          </w:tcPr>
          <w:p w14:paraId="2213D5D0" w14:textId="77777777" w:rsidR="00802430" w:rsidRPr="00884D55" w:rsidRDefault="00802430" w:rsidP="00802430">
            <w:pPr>
              <w:pStyle w:val="Textpoznpodarou"/>
              <w:jc w:val="both"/>
              <w:rPr>
                <w:spacing w:val="-4"/>
                <w:lang w:val="en-GB" w:eastAsia="en-US"/>
              </w:rPr>
            </w:pPr>
          </w:p>
        </w:tc>
        <w:tc>
          <w:tcPr>
            <w:tcW w:w="7677" w:type="dxa"/>
            <w:gridSpan w:val="3"/>
          </w:tcPr>
          <w:p w14:paraId="6DFE3F96" w14:textId="44D21E58" w:rsidR="00802430" w:rsidRPr="00884D55" w:rsidRDefault="00802430" w:rsidP="00802430">
            <w:pPr>
              <w:spacing w:after="0"/>
              <w:rPr>
                <w:spacing w:val="-4"/>
                <w:lang w:val="en-GB" w:eastAsia="en-US"/>
              </w:rPr>
            </w:pPr>
            <w:r w:rsidRPr="00884D55">
              <w:rPr>
                <w:rFonts w:cs="Arial"/>
                <w:b/>
                <w:bCs/>
                <w:color w:val="000000"/>
                <w:szCs w:val="20"/>
                <w:lang w:val="en-GB" w:eastAsia="en-US"/>
              </w:rPr>
              <w:t xml:space="preserve">Chart 10 </w:t>
            </w:r>
            <w:r w:rsidRPr="00884D55">
              <w:rPr>
                <w:b/>
                <w:bCs/>
                <w:spacing w:val="-4"/>
                <w:lang w:val="en-GB" w:eastAsia="en-US"/>
              </w:rPr>
              <w:t xml:space="preserve">Export and import of goods </w:t>
            </w:r>
            <w:r w:rsidRPr="00884D55">
              <w:rPr>
                <w:spacing w:val="-4"/>
                <w:lang w:val="en-GB" w:eastAsia="en-US"/>
              </w:rPr>
              <w:t>(y-o-y change, in %)</w:t>
            </w:r>
            <w:r w:rsidRPr="00884D55">
              <w:rPr>
                <w:b/>
                <w:bCs/>
                <w:spacing w:val="-4"/>
                <w:lang w:val="en-GB" w:eastAsia="en-US"/>
              </w:rPr>
              <w:t xml:space="preserve"> and balance of international trade with goods </w:t>
            </w:r>
            <w:r w:rsidRPr="00884D55">
              <w:rPr>
                <w:spacing w:val="-4"/>
                <w:lang w:val="en-GB" w:eastAsia="en-US"/>
              </w:rPr>
              <w:t xml:space="preserve">(in bn CZK, right axis) </w:t>
            </w:r>
          </w:p>
        </w:tc>
      </w:tr>
      <w:tr w:rsidR="00802430" w:rsidRPr="00884D55" w14:paraId="472B04D3" w14:textId="77777777" w:rsidTr="00900097">
        <w:tblPrEx>
          <w:tblCellMar>
            <w:left w:w="70" w:type="dxa"/>
            <w:right w:w="70" w:type="dxa"/>
          </w:tblCellMar>
        </w:tblPrEx>
        <w:trPr>
          <w:trHeight w:val="170"/>
        </w:trPr>
        <w:tc>
          <w:tcPr>
            <w:tcW w:w="1748" w:type="dxa"/>
            <w:vMerge/>
          </w:tcPr>
          <w:p w14:paraId="4B8BBB62" w14:textId="77777777" w:rsidR="00802430" w:rsidRPr="00884D55" w:rsidRDefault="00802430" w:rsidP="00802430">
            <w:pPr>
              <w:pStyle w:val="Marginlie"/>
              <w:rPr>
                <w:lang w:val="en-GB" w:eastAsia="en-US"/>
              </w:rPr>
            </w:pPr>
          </w:p>
        </w:tc>
        <w:tc>
          <w:tcPr>
            <w:tcW w:w="252" w:type="dxa"/>
            <w:vMerge/>
          </w:tcPr>
          <w:p w14:paraId="4AA06A94" w14:textId="77777777" w:rsidR="00802430" w:rsidRPr="00884D55" w:rsidRDefault="00802430" w:rsidP="00802430">
            <w:pPr>
              <w:pStyle w:val="Textpoznpodarou"/>
              <w:jc w:val="both"/>
              <w:rPr>
                <w:spacing w:val="-4"/>
                <w:lang w:val="en-GB" w:eastAsia="en-US"/>
              </w:rPr>
            </w:pPr>
          </w:p>
        </w:tc>
        <w:tc>
          <w:tcPr>
            <w:tcW w:w="7677" w:type="dxa"/>
            <w:gridSpan w:val="3"/>
          </w:tcPr>
          <w:p w14:paraId="072590A7" w14:textId="096D6541" w:rsidR="00802430" w:rsidRPr="00884D55" w:rsidRDefault="00802430" w:rsidP="00802430">
            <w:pPr>
              <w:spacing w:after="0"/>
              <w:rPr>
                <w:spacing w:val="-4"/>
                <w:lang w:val="en-GB" w:eastAsia="en-US"/>
              </w:rPr>
            </w:pPr>
            <w:r>
              <w:rPr>
                <w:noProof/>
              </w:rPr>
              <w:drawing>
                <wp:inline distT="0" distB="0" distL="0" distR="0" wp14:anchorId="229D4CDF" wp14:editId="54B4A410">
                  <wp:extent cx="4773175" cy="3534275"/>
                  <wp:effectExtent l="0" t="0" r="8890" b="0"/>
                  <wp:docPr id="13" name="Graf 13">
                    <a:extLst xmlns:a="http://schemas.openxmlformats.org/drawingml/2006/main">
                      <a:ext uri="{FF2B5EF4-FFF2-40B4-BE49-F238E27FC236}">
                        <a16:creationId xmlns:a16="http://schemas.microsoft.com/office/drawing/2014/main" id="{8E34A376-5955-451A-B8E8-536A257FF3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802430" w:rsidRPr="00884D55" w14:paraId="35BCCAE5" w14:textId="77777777" w:rsidTr="00803507">
        <w:trPr>
          <w:trHeight w:val="170"/>
        </w:trPr>
        <w:tc>
          <w:tcPr>
            <w:tcW w:w="1748" w:type="dxa"/>
            <w:vMerge/>
          </w:tcPr>
          <w:p w14:paraId="5864E84B" w14:textId="77777777" w:rsidR="00802430" w:rsidRPr="00884D55" w:rsidRDefault="00802430" w:rsidP="00802430">
            <w:pPr>
              <w:pStyle w:val="Marginlie"/>
              <w:rPr>
                <w:lang w:val="en-GB" w:eastAsia="en-US"/>
              </w:rPr>
            </w:pPr>
          </w:p>
        </w:tc>
        <w:tc>
          <w:tcPr>
            <w:tcW w:w="252" w:type="dxa"/>
            <w:vMerge/>
          </w:tcPr>
          <w:p w14:paraId="323076B0" w14:textId="77777777" w:rsidR="00802430" w:rsidRPr="00884D55" w:rsidRDefault="00802430" w:rsidP="00802430">
            <w:pPr>
              <w:pStyle w:val="Textpoznpodarou"/>
              <w:jc w:val="both"/>
              <w:rPr>
                <w:spacing w:val="-4"/>
                <w:lang w:val="en-GB" w:eastAsia="en-US"/>
              </w:rPr>
            </w:pPr>
          </w:p>
        </w:tc>
        <w:tc>
          <w:tcPr>
            <w:tcW w:w="7677" w:type="dxa"/>
            <w:gridSpan w:val="3"/>
          </w:tcPr>
          <w:p w14:paraId="1170F6E8" w14:textId="654BCADE" w:rsidR="00802430" w:rsidRPr="00884D55" w:rsidRDefault="00802430" w:rsidP="00802430">
            <w:pPr>
              <w:jc w:val="left"/>
              <w:rPr>
                <w:b/>
                <w:bCs/>
                <w:spacing w:val="-4"/>
                <w:lang w:val="en-GB" w:eastAsia="en-US"/>
              </w:rPr>
            </w:pPr>
            <w:r w:rsidRPr="00884D55">
              <w:rPr>
                <w:sz w:val="16"/>
                <w:szCs w:val="16"/>
                <w:lang w:val="en-GB" w:eastAsia="en-US"/>
              </w:rPr>
              <w:t>Source: CZSO</w:t>
            </w:r>
          </w:p>
        </w:tc>
      </w:tr>
    </w:tbl>
    <w:p w14:paraId="26C077E7" w14:textId="77777777" w:rsidR="00803507" w:rsidRPr="00884D55" w:rsidRDefault="00803507" w:rsidP="00803507">
      <w:pPr>
        <w:spacing w:after="0" w:line="240" w:lineRule="auto"/>
        <w:jc w:val="left"/>
        <w:rPr>
          <w:rFonts w:eastAsia="MS Gothic"/>
          <w:bCs/>
          <w:color w:val="71818C"/>
          <w:sz w:val="2"/>
          <w:szCs w:val="2"/>
          <w:lang w:val="en-GB"/>
        </w:rPr>
      </w:pPr>
      <w:bookmarkStart w:id="22" w:name="_GoBack"/>
      <w:bookmarkEnd w:id="22"/>
    </w:p>
    <w:bookmarkEnd w:id="1"/>
    <w:sectPr w:rsidR="00803507" w:rsidRPr="00884D55" w:rsidSect="0030681E">
      <w:headerReference w:type="even" r:id="rId13"/>
      <w:headerReference w:type="default" r:id="rId14"/>
      <w:footerReference w:type="even" r:id="rId15"/>
      <w:footerReference w:type="default" r:id="rId16"/>
      <w:pgSz w:w="11906" w:h="16838" w:code="9"/>
      <w:pgMar w:top="1134" w:right="1134" w:bottom="1418" w:left="1134" w:header="680" w:footer="680" w:gutter="0"/>
      <w:pgNumType w:start="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EB545" w14:textId="77777777" w:rsidR="006145FA" w:rsidRDefault="006145FA" w:rsidP="00E71A58">
      <w:r>
        <w:separator/>
      </w:r>
    </w:p>
  </w:endnote>
  <w:endnote w:type="continuationSeparator" w:id="0">
    <w:p w14:paraId="3C0B90D9" w14:textId="77777777" w:rsidR="006145FA" w:rsidRDefault="006145FA" w:rsidP="00E71A58">
      <w:r>
        <w:continuationSeparator/>
      </w:r>
    </w:p>
  </w:endnote>
  <w:endnote w:type="continuationNotice" w:id="1">
    <w:p w14:paraId="1EBDFB32" w14:textId="77777777" w:rsidR="006145FA" w:rsidRDefault="006145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8" w14:textId="54125549" w:rsidR="006145FA" w:rsidRPr="00932443" w:rsidRDefault="006145FA" w:rsidP="00A418BC">
    <w:pPr>
      <w:pStyle w:val="Zpat"/>
      <w:rPr>
        <w:szCs w:val="16"/>
      </w:rPr>
    </w:pPr>
    <w:r>
      <w:rPr>
        <w:szCs w:val="16"/>
        <w:lang w:eastAsia="cs-CZ"/>
      </w:rPr>
      <w:drawing>
        <wp:anchor distT="0" distB="0" distL="114300" distR="114300" simplePos="0" relativeHeight="251658241"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30681E">
      <w:rPr>
        <w:szCs w:val="16"/>
      </w:rPr>
      <w:t>28</w:t>
    </w:r>
    <w:r w:rsidRPr="00932443">
      <w:rPr>
        <w:szCs w:val="16"/>
      </w:rPr>
      <w:fldChar w:fldCharType="end"/>
    </w:r>
    <w:r w:rsidRPr="00932443">
      <w:rPr>
        <w:szCs w:val="16"/>
      </w:rPr>
      <w:tab/>
    </w:r>
    <w:r>
      <w:rPr>
        <w:szCs w:val="16"/>
      </w:rPr>
      <w:t>Year 2024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9" w14:textId="6981D580" w:rsidR="006145FA" w:rsidRPr="00932443" w:rsidRDefault="006145FA" w:rsidP="00A418BC">
    <w:pPr>
      <w:pStyle w:val="Zpat"/>
      <w:rPr>
        <w:szCs w:val="16"/>
      </w:rPr>
    </w:pPr>
    <w:r>
      <w:rPr>
        <w:szCs w:val="16"/>
        <w:lang w:eastAsia="cs-CZ"/>
      </w:rPr>
      <w:drawing>
        <wp:anchor distT="0" distB="0" distL="114300" distR="114300" simplePos="0" relativeHeight="251658240" behindDoc="0" locked="0" layoutInCell="1" allowOverlap="1" wp14:anchorId="2143298C" wp14:editId="3333567D">
          <wp:simplePos x="0" y="0"/>
          <wp:positionH relativeFrom="column">
            <wp:posOffset>3810</wp:posOffset>
          </wp:positionH>
          <wp:positionV relativeFrom="paragraph">
            <wp:posOffset>-60960</wp:posOffset>
          </wp:positionV>
          <wp:extent cx="691467" cy="201600"/>
          <wp:effectExtent l="0" t="0" r="0" b="8255"/>
          <wp:wrapNone/>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467" cy="20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Pr>
        <w:szCs w:val="16"/>
      </w:rPr>
      <w:t>Year 2024</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30681E">
      <w:rPr>
        <w:rStyle w:val="ZpatChar"/>
        <w:szCs w:val="16"/>
      </w:rPr>
      <w:t>27</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C6EFC" w14:textId="77777777" w:rsidR="006145FA" w:rsidRDefault="006145FA" w:rsidP="00EA4302">
      <w:pPr>
        <w:spacing w:after="0"/>
      </w:pPr>
      <w:r>
        <w:separator/>
      </w:r>
    </w:p>
  </w:footnote>
  <w:footnote w:type="continuationSeparator" w:id="0">
    <w:p w14:paraId="1A4436FD" w14:textId="77777777" w:rsidR="006145FA" w:rsidRDefault="006145FA" w:rsidP="00E71A58">
      <w:r>
        <w:continuationSeparator/>
      </w:r>
    </w:p>
  </w:footnote>
  <w:footnote w:type="continuationNotice" w:id="1">
    <w:p w14:paraId="4F32D3FB" w14:textId="77777777" w:rsidR="006145FA" w:rsidRDefault="006145FA">
      <w:pPr>
        <w:spacing w:after="0" w:line="240" w:lineRule="auto"/>
      </w:pPr>
    </w:p>
  </w:footnote>
  <w:footnote w:id="2">
    <w:p w14:paraId="6F4020F6" w14:textId="69E9BFC8" w:rsidR="006145FA" w:rsidRPr="000D08F0" w:rsidRDefault="006145FA" w:rsidP="00803507">
      <w:pPr>
        <w:pStyle w:val="Textpoznpodarou"/>
        <w:jc w:val="both"/>
        <w:rPr>
          <w:rFonts w:cs="Arial"/>
          <w:iCs/>
          <w:sz w:val="16"/>
          <w:szCs w:val="16"/>
          <w:lang w:val="en-GB"/>
        </w:rPr>
      </w:pPr>
      <w:r w:rsidRPr="00B6522D">
        <w:rPr>
          <w:rStyle w:val="Znakapoznpodarou"/>
          <w:rFonts w:cs="Arial"/>
          <w:i/>
          <w:sz w:val="16"/>
          <w:szCs w:val="16"/>
        </w:rPr>
        <w:footnoteRef/>
      </w:r>
      <w:r w:rsidRPr="00B6522D">
        <w:rPr>
          <w:rFonts w:cs="Arial"/>
          <w:i/>
          <w:iCs/>
          <w:sz w:val="16"/>
          <w:szCs w:val="16"/>
        </w:rPr>
        <w:t xml:space="preserve"> </w:t>
      </w:r>
      <w:r w:rsidRPr="000D08F0">
        <w:rPr>
          <w:rStyle w:val="Zdraznn"/>
          <w:rFonts w:cs="Arial"/>
          <w:i w:val="0"/>
          <w:sz w:val="16"/>
          <w:szCs w:val="16"/>
          <w:bdr w:val="none" w:sz="0" w:space="0" w:color="auto" w:frame="1"/>
          <w:shd w:val="clear" w:color="auto" w:fill="FFFFFF"/>
          <w:lang w:val="en-GB"/>
        </w:rPr>
        <w:t xml:space="preserve">Data for </w:t>
      </w:r>
      <w:r>
        <w:rPr>
          <w:rStyle w:val="Zdraznn"/>
          <w:rFonts w:cs="Arial"/>
          <w:i w:val="0"/>
          <w:sz w:val="16"/>
          <w:szCs w:val="16"/>
          <w:bdr w:val="none" w:sz="0" w:space="0" w:color="auto" w:frame="1"/>
          <w:shd w:val="clear" w:color="auto" w:fill="FFFFFF"/>
          <w:lang w:val="en-GB"/>
        </w:rPr>
        <w:t xml:space="preserve">international </w:t>
      </w:r>
      <w:r w:rsidRPr="000D08F0">
        <w:rPr>
          <w:rStyle w:val="Zdraznn"/>
          <w:rFonts w:cs="Arial"/>
          <w:i w:val="0"/>
          <w:sz w:val="16"/>
          <w:szCs w:val="16"/>
          <w:bdr w:val="none" w:sz="0" w:space="0" w:color="auto" w:frame="1"/>
          <w:shd w:val="clear" w:color="auto" w:fill="FFFFFF"/>
          <w:lang w:val="en-GB"/>
        </w:rPr>
        <w:t>trade with goods are recalculated using the updated method based on higher rate of detail since year 2020, see</w:t>
      </w:r>
      <w:r w:rsidRPr="000D08F0">
        <w:rPr>
          <w:rStyle w:val="Zdraznn"/>
          <w:rFonts w:cs="Arial"/>
          <w:sz w:val="16"/>
          <w:szCs w:val="16"/>
          <w:bdr w:val="none" w:sz="0" w:space="0" w:color="auto" w:frame="1"/>
          <w:shd w:val="clear" w:color="auto" w:fill="FFFFFF"/>
          <w:lang w:val="en-GB"/>
        </w:rPr>
        <w:t xml:space="preserve"> </w:t>
      </w:r>
      <w:hyperlink r:id="rId1" w:history="1">
        <w:r w:rsidRPr="00F33388">
          <w:rPr>
            <w:rStyle w:val="Hypertextovodkaz"/>
            <w:rFonts w:cs="Arial"/>
            <w:sz w:val="16"/>
            <w:szCs w:val="16"/>
            <w:bdr w:val="none" w:sz="0" w:space="0" w:color="auto" w:frame="1"/>
            <w:shd w:val="clear" w:color="auto" w:fill="FFFFFF"/>
            <w:lang w:val="en-GB"/>
          </w:rPr>
          <w:t>https://csu.gov.cz/update-of-the-compilation-method-international-trade-in-goods-change-of-ownership</w:t>
        </w:r>
      </w:hyperlink>
      <w:r>
        <w:rPr>
          <w:rFonts w:cs="Arial"/>
          <w:sz w:val="16"/>
          <w:szCs w:val="16"/>
          <w:bdr w:val="none" w:sz="0" w:space="0" w:color="auto" w:frame="1"/>
          <w:shd w:val="clear" w:color="auto" w:fill="FFFFFF"/>
          <w:lang w:val="en-GB"/>
        </w:rPr>
        <w:t>.</w:t>
      </w:r>
      <w:r>
        <w:rPr>
          <w:sz w:val="16"/>
          <w:szCs w:val="16"/>
          <w:lang w:val="en-GB"/>
        </w:rPr>
        <w:t xml:space="preserve"> U</w:t>
      </w:r>
      <w:r w:rsidRPr="000D08F0">
        <w:rPr>
          <w:sz w:val="16"/>
          <w:szCs w:val="16"/>
          <w:lang w:val="en-GB"/>
        </w:rPr>
        <w:t>nless stated otherwise, all figures are without seasonal adjustment and in current prices.</w:t>
      </w:r>
      <w:r>
        <w:rPr>
          <w:sz w:val="16"/>
          <w:szCs w:val="16"/>
          <w:lang w:val="en-GB"/>
        </w:rPr>
        <w:t xml:space="preserve"> </w:t>
      </w:r>
    </w:p>
  </w:footnote>
  <w:footnote w:id="3">
    <w:p w14:paraId="0A3D617A" w14:textId="77777777" w:rsidR="006145FA" w:rsidRPr="000D08F0" w:rsidRDefault="006145FA" w:rsidP="00803507">
      <w:pPr>
        <w:pStyle w:val="Textpoznpodarou"/>
        <w:jc w:val="both"/>
        <w:rPr>
          <w:sz w:val="16"/>
          <w:szCs w:val="16"/>
          <w:lang w:val="en-GB"/>
        </w:rPr>
      </w:pPr>
      <w:r w:rsidRPr="000D08F0">
        <w:rPr>
          <w:rStyle w:val="Znakapoznpodarou"/>
          <w:sz w:val="16"/>
          <w:szCs w:val="16"/>
          <w:lang w:val="en-GB"/>
        </w:rPr>
        <w:footnoteRef/>
      </w:r>
      <w:r w:rsidRPr="000D08F0">
        <w:rPr>
          <w:sz w:val="16"/>
          <w:szCs w:val="16"/>
          <w:lang w:val="en-GB"/>
        </w:rPr>
        <w:t xml:space="preserve"> </w:t>
      </w:r>
      <w:bookmarkStart w:id="3" w:name="_Hlk194845037"/>
      <w:r w:rsidRPr="000D08F0">
        <w:rPr>
          <w:sz w:val="16"/>
          <w:szCs w:val="16"/>
          <w:lang w:val="en-GB"/>
        </w:rPr>
        <w:t>Prices of goods exports rose by 3.1% for the whole year 2024. In Q4 alone, export prices were 4.1% higher</w:t>
      </w:r>
      <w:r>
        <w:rPr>
          <w:sz w:val="16"/>
          <w:szCs w:val="16"/>
          <w:lang w:val="en-GB"/>
        </w:rPr>
        <w:t>,</w:t>
      </w:r>
      <w:r w:rsidRPr="000D08F0">
        <w:rPr>
          <w:sz w:val="16"/>
          <w:szCs w:val="16"/>
          <w:lang w:val="en-GB"/>
        </w:rPr>
        <w:t xml:space="preserve"> year-on-year</w:t>
      </w:r>
      <w:r>
        <w:rPr>
          <w:sz w:val="16"/>
          <w:szCs w:val="16"/>
          <w:lang w:val="en-GB"/>
        </w:rPr>
        <w:t>,</w:t>
      </w:r>
      <w:r w:rsidRPr="000D08F0">
        <w:rPr>
          <w:sz w:val="16"/>
          <w:szCs w:val="16"/>
          <w:lang w:val="en-GB"/>
        </w:rPr>
        <w:t xml:space="preserve"> and </w:t>
      </w:r>
      <w:r>
        <w:rPr>
          <w:sz w:val="16"/>
          <w:szCs w:val="16"/>
          <w:lang w:val="en-GB"/>
        </w:rPr>
        <w:t xml:space="preserve">by </w:t>
      </w:r>
      <w:r w:rsidRPr="000D08F0">
        <w:rPr>
          <w:sz w:val="16"/>
          <w:szCs w:val="16"/>
          <w:lang w:val="en-GB"/>
        </w:rPr>
        <w:t>0.9%</w:t>
      </w:r>
      <w:r>
        <w:rPr>
          <w:sz w:val="16"/>
          <w:szCs w:val="16"/>
          <w:lang w:val="en-GB"/>
        </w:rPr>
        <w:t>,</w:t>
      </w:r>
      <w:r w:rsidRPr="000D08F0">
        <w:rPr>
          <w:sz w:val="16"/>
          <w:szCs w:val="16"/>
          <w:lang w:val="en-GB"/>
        </w:rPr>
        <w:t xml:space="preserve"> quarter-on-quarter.</w:t>
      </w:r>
      <w:r>
        <w:rPr>
          <w:sz w:val="16"/>
          <w:szCs w:val="16"/>
          <w:lang w:val="en-GB"/>
        </w:rPr>
        <w:t xml:space="preserve"> </w:t>
      </w:r>
      <w:r w:rsidRPr="000D08F0">
        <w:rPr>
          <w:sz w:val="16"/>
          <w:szCs w:val="16"/>
          <w:lang w:val="en-GB"/>
        </w:rPr>
        <w:t xml:space="preserve"> </w:t>
      </w:r>
      <w:bookmarkEnd w:id="3"/>
    </w:p>
  </w:footnote>
  <w:footnote w:id="4">
    <w:p w14:paraId="6FD12C35" w14:textId="77777777" w:rsidR="006145FA" w:rsidRPr="00B20923" w:rsidRDefault="006145FA" w:rsidP="00803507">
      <w:pPr>
        <w:pStyle w:val="Textpoznpodarou"/>
        <w:rPr>
          <w:sz w:val="16"/>
          <w:szCs w:val="16"/>
        </w:rPr>
      </w:pPr>
      <w:r w:rsidRPr="00B20923">
        <w:rPr>
          <w:rStyle w:val="Znakapoznpodarou"/>
          <w:sz w:val="16"/>
          <w:szCs w:val="16"/>
        </w:rPr>
        <w:footnoteRef/>
      </w:r>
      <w:r w:rsidRPr="00B20923">
        <w:rPr>
          <w:sz w:val="16"/>
          <w:szCs w:val="16"/>
        </w:rPr>
        <w:t xml:space="preserve"> </w:t>
      </w:r>
      <w:r w:rsidRPr="0021731F">
        <w:rPr>
          <w:sz w:val="16"/>
          <w:szCs w:val="16"/>
        </w:rPr>
        <w:t>Motor vehicles and their parts accounted for the majority of the increase.</w:t>
      </w:r>
    </w:p>
  </w:footnote>
  <w:footnote w:id="5">
    <w:p w14:paraId="4699D182" w14:textId="77777777" w:rsidR="006145FA" w:rsidRPr="0022099B" w:rsidRDefault="006145FA" w:rsidP="00803507">
      <w:pPr>
        <w:pStyle w:val="Textpoznpodarou"/>
        <w:jc w:val="both"/>
        <w:rPr>
          <w:sz w:val="16"/>
          <w:szCs w:val="16"/>
          <w:lang w:val="en-GB"/>
        </w:rPr>
      </w:pPr>
      <w:r w:rsidRPr="002834F1">
        <w:rPr>
          <w:rStyle w:val="Znakapoznpodarou"/>
          <w:sz w:val="16"/>
          <w:szCs w:val="16"/>
        </w:rPr>
        <w:footnoteRef/>
      </w:r>
      <w:r w:rsidRPr="002834F1">
        <w:rPr>
          <w:sz w:val="16"/>
          <w:szCs w:val="16"/>
        </w:rPr>
        <w:t xml:space="preserve"> </w:t>
      </w:r>
      <w:bookmarkStart w:id="5" w:name="_Hlk194847767"/>
      <w:r>
        <w:rPr>
          <w:sz w:val="16"/>
          <w:szCs w:val="16"/>
        </w:rPr>
        <w:t xml:space="preserve">Particullarly the </w:t>
      </w:r>
      <w:r w:rsidRPr="0022099B">
        <w:rPr>
          <w:sz w:val="16"/>
          <w:szCs w:val="16"/>
        </w:rPr>
        <w:t xml:space="preserve">exports of computers, electronic and optical </w:t>
      </w:r>
      <w:r>
        <w:rPr>
          <w:sz w:val="16"/>
          <w:szCs w:val="16"/>
        </w:rPr>
        <w:t xml:space="preserve">appliances </w:t>
      </w:r>
      <w:r w:rsidRPr="0022099B">
        <w:rPr>
          <w:sz w:val="16"/>
          <w:szCs w:val="16"/>
        </w:rPr>
        <w:t xml:space="preserve">increased </w:t>
      </w:r>
      <w:r>
        <w:rPr>
          <w:sz w:val="16"/>
          <w:szCs w:val="16"/>
        </w:rPr>
        <w:t xml:space="preserve">for </w:t>
      </w:r>
      <w:r w:rsidRPr="0022099B">
        <w:rPr>
          <w:sz w:val="16"/>
          <w:szCs w:val="16"/>
        </w:rPr>
        <w:t>Singapore and Japan.</w:t>
      </w:r>
    </w:p>
    <w:bookmarkEnd w:id="5"/>
  </w:footnote>
  <w:footnote w:id="6">
    <w:p w14:paraId="16074391" w14:textId="77777777" w:rsidR="006145FA" w:rsidRPr="0022099B" w:rsidRDefault="006145FA" w:rsidP="00803507">
      <w:pPr>
        <w:pStyle w:val="Textpoznpodarou"/>
        <w:jc w:val="both"/>
        <w:rPr>
          <w:sz w:val="16"/>
          <w:szCs w:val="16"/>
          <w:lang w:val="en-GB"/>
        </w:rPr>
      </w:pPr>
      <w:r w:rsidRPr="0022099B">
        <w:rPr>
          <w:rStyle w:val="Znakapoznpodarou"/>
          <w:sz w:val="16"/>
          <w:szCs w:val="16"/>
          <w:lang w:val="en-GB"/>
        </w:rPr>
        <w:footnoteRef/>
      </w:r>
      <w:r w:rsidRPr="0022099B">
        <w:rPr>
          <w:sz w:val="16"/>
          <w:szCs w:val="16"/>
          <w:lang w:val="en-GB"/>
        </w:rPr>
        <w:t xml:space="preserve"> </w:t>
      </w:r>
      <w:bookmarkStart w:id="6" w:name="_Hlk194847798"/>
      <w:r w:rsidRPr="0022099B">
        <w:rPr>
          <w:sz w:val="16"/>
          <w:szCs w:val="16"/>
        </w:rPr>
        <w:t xml:space="preserve">Increases in the order of tens of percent </w:t>
      </w:r>
      <w:r>
        <w:rPr>
          <w:sz w:val="16"/>
          <w:szCs w:val="16"/>
        </w:rPr>
        <w:t xml:space="preserve">lasted </w:t>
      </w:r>
      <w:r w:rsidRPr="0022099B">
        <w:rPr>
          <w:sz w:val="16"/>
          <w:szCs w:val="16"/>
        </w:rPr>
        <w:t xml:space="preserve">here since 2021, especially in the field of computers and electronics. </w:t>
      </w:r>
      <w:r>
        <w:rPr>
          <w:sz w:val="16"/>
          <w:szCs w:val="16"/>
        </w:rPr>
        <w:t>E</w:t>
      </w:r>
      <w:r w:rsidRPr="0022099B">
        <w:rPr>
          <w:sz w:val="16"/>
          <w:szCs w:val="16"/>
        </w:rPr>
        <w:t>xports of motor vehicles also increased significantly</w:t>
      </w:r>
      <w:r>
        <w:rPr>
          <w:sz w:val="16"/>
          <w:szCs w:val="16"/>
        </w:rPr>
        <w:t xml:space="preserve"> last year</w:t>
      </w:r>
      <w:r w:rsidRPr="0022099B">
        <w:rPr>
          <w:sz w:val="16"/>
          <w:szCs w:val="16"/>
        </w:rPr>
        <w:t>.</w:t>
      </w:r>
      <w:r>
        <w:rPr>
          <w:sz w:val="16"/>
          <w:szCs w:val="16"/>
        </w:rPr>
        <w:t xml:space="preserve"> </w:t>
      </w:r>
    </w:p>
    <w:bookmarkEnd w:id="6"/>
  </w:footnote>
  <w:footnote w:id="7">
    <w:p w14:paraId="2FB7D543" w14:textId="77777777" w:rsidR="006145FA" w:rsidRPr="0022099B" w:rsidRDefault="006145FA" w:rsidP="00803507">
      <w:pPr>
        <w:pStyle w:val="Textpoznpodarou"/>
        <w:jc w:val="both"/>
        <w:rPr>
          <w:lang w:val="en-GB"/>
        </w:rPr>
      </w:pPr>
      <w:r w:rsidRPr="0022099B">
        <w:rPr>
          <w:rStyle w:val="Znakapoznpodarou"/>
          <w:sz w:val="16"/>
          <w:szCs w:val="16"/>
          <w:lang w:val="en-GB"/>
        </w:rPr>
        <w:footnoteRef/>
      </w:r>
      <w:r w:rsidRPr="0022099B">
        <w:rPr>
          <w:sz w:val="16"/>
          <w:szCs w:val="16"/>
          <w:lang w:val="en-GB"/>
        </w:rPr>
        <w:t xml:space="preserve"> </w:t>
      </w:r>
      <w:bookmarkStart w:id="7" w:name="_Hlk194850693"/>
      <w:r w:rsidRPr="0083653E">
        <w:rPr>
          <w:sz w:val="16"/>
          <w:szCs w:val="16"/>
        </w:rPr>
        <w:t>Increases across different sections</w:t>
      </w:r>
      <w:r>
        <w:rPr>
          <w:sz w:val="16"/>
          <w:szCs w:val="16"/>
        </w:rPr>
        <w:t xml:space="preserve"> of CPA classifications</w:t>
      </w:r>
      <w:r w:rsidRPr="0083653E">
        <w:rPr>
          <w:sz w:val="16"/>
          <w:szCs w:val="16"/>
        </w:rPr>
        <w:t xml:space="preserve"> (chemicals</w:t>
      </w:r>
      <w:r>
        <w:rPr>
          <w:sz w:val="16"/>
          <w:szCs w:val="16"/>
        </w:rPr>
        <w:t xml:space="preserve"> and chemical products</w:t>
      </w:r>
      <w:r w:rsidRPr="0083653E">
        <w:rPr>
          <w:sz w:val="16"/>
          <w:szCs w:val="16"/>
        </w:rPr>
        <w:t>, computers, machinery and equipment, motor vehicles and parts).</w:t>
      </w:r>
      <w:r>
        <w:rPr>
          <w:sz w:val="16"/>
          <w:szCs w:val="16"/>
        </w:rPr>
        <w:t xml:space="preserve"> </w:t>
      </w:r>
      <w:r w:rsidRPr="0022099B">
        <w:rPr>
          <w:lang w:val="en-GB"/>
        </w:rPr>
        <w:t xml:space="preserve">  </w:t>
      </w:r>
      <w:bookmarkEnd w:id="7"/>
    </w:p>
  </w:footnote>
  <w:footnote w:id="8">
    <w:p w14:paraId="3A7D3F09" w14:textId="77777777" w:rsidR="006145FA" w:rsidRPr="00B61223" w:rsidRDefault="006145FA" w:rsidP="00803507">
      <w:pPr>
        <w:pStyle w:val="Textpoznpodarou"/>
        <w:jc w:val="both"/>
        <w:rPr>
          <w:sz w:val="16"/>
          <w:szCs w:val="16"/>
          <w:lang w:val="en-GB"/>
        </w:rPr>
      </w:pPr>
      <w:r w:rsidRPr="000A5229">
        <w:rPr>
          <w:rStyle w:val="Znakapoznpodarou"/>
          <w:sz w:val="16"/>
          <w:szCs w:val="16"/>
        </w:rPr>
        <w:footnoteRef/>
      </w:r>
      <w:r w:rsidRPr="000A5229">
        <w:rPr>
          <w:sz w:val="16"/>
          <w:szCs w:val="16"/>
        </w:rPr>
        <w:t xml:space="preserve"> </w:t>
      </w:r>
      <w:r w:rsidRPr="00B61223">
        <w:rPr>
          <w:sz w:val="16"/>
          <w:szCs w:val="16"/>
          <w:lang w:val="en-GB"/>
        </w:rPr>
        <w:t xml:space="preserve">Prices of goods imports were higher by 1.5% in 2024. Import prices rose by 2.2%, year-on-year, in Q4 and by 0.9%, quarter-on-quarter. </w:t>
      </w:r>
    </w:p>
  </w:footnote>
  <w:footnote w:id="9">
    <w:p w14:paraId="71E811FC" w14:textId="77777777" w:rsidR="006145FA" w:rsidRPr="00B61223" w:rsidRDefault="006145FA" w:rsidP="00803507">
      <w:pPr>
        <w:pStyle w:val="Textpoznpodarou"/>
        <w:jc w:val="both"/>
        <w:rPr>
          <w:sz w:val="16"/>
          <w:szCs w:val="16"/>
          <w:lang w:val="en-GB"/>
        </w:rPr>
      </w:pPr>
      <w:r w:rsidRPr="00B61223">
        <w:rPr>
          <w:rStyle w:val="Znakapoznpodarou"/>
          <w:sz w:val="16"/>
          <w:szCs w:val="16"/>
          <w:lang w:val="en-GB"/>
        </w:rPr>
        <w:footnoteRef/>
      </w:r>
      <w:r w:rsidRPr="00B61223">
        <w:rPr>
          <w:sz w:val="16"/>
          <w:szCs w:val="16"/>
          <w:lang w:val="en-GB"/>
        </w:rPr>
        <w:t xml:space="preserve"> The increase in Taiwan was related to an increase </w:t>
      </w:r>
      <w:r>
        <w:rPr>
          <w:sz w:val="16"/>
          <w:szCs w:val="16"/>
          <w:lang w:val="en-GB"/>
        </w:rPr>
        <w:t xml:space="preserve">of </w:t>
      </w:r>
      <w:r w:rsidRPr="00B61223">
        <w:rPr>
          <w:sz w:val="16"/>
          <w:szCs w:val="16"/>
          <w:lang w:val="en-GB"/>
        </w:rPr>
        <w:t xml:space="preserve">imports of computers and electronic and optical </w:t>
      </w:r>
      <w:r>
        <w:rPr>
          <w:sz w:val="16"/>
          <w:szCs w:val="16"/>
          <w:lang w:val="en-GB"/>
        </w:rPr>
        <w:t xml:space="preserve">appliances. </w:t>
      </w:r>
    </w:p>
  </w:footnote>
  <w:footnote w:id="10">
    <w:p w14:paraId="6F06E8F4" w14:textId="77777777" w:rsidR="006145FA" w:rsidRPr="00E757F2" w:rsidRDefault="006145FA" w:rsidP="00803507">
      <w:pPr>
        <w:pStyle w:val="Textpoznpodarou"/>
        <w:jc w:val="both"/>
        <w:rPr>
          <w:sz w:val="16"/>
          <w:szCs w:val="16"/>
          <w:lang w:val="en-GB"/>
        </w:rPr>
      </w:pPr>
      <w:r w:rsidRPr="00370717">
        <w:rPr>
          <w:rStyle w:val="Znakapoznpodarou"/>
          <w:sz w:val="16"/>
          <w:szCs w:val="16"/>
        </w:rPr>
        <w:footnoteRef/>
      </w:r>
      <w:r w:rsidRPr="00370717">
        <w:rPr>
          <w:sz w:val="16"/>
          <w:szCs w:val="16"/>
        </w:rPr>
        <w:t xml:space="preserve"> </w:t>
      </w:r>
      <w:r w:rsidRPr="00D051E5">
        <w:rPr>
          <w:sz w:val="16"/>
          <w:szCs w:val="16"/>
        </w:rPr>
        <w:t>This year's de</w:t>
      </w:r>
      <w:r>
        <w:rPr>
          <w:sz w:val="16"/>
          <w:szCs w:val="16"/>
        </w:rPr>
        <w:t xml:space="preserve">crease </w:t>
      </w:r>
      <w:r w:rsidRPr="00D051E5">
        <w:rPr>
          <w:sz w:val="16"/>
          <w:szCs w:val="16"/>
        </w:rPr>
        <w:t>is related to last year's high comparison bas</w:t>
      </w:r>
      <w:r>
        <w:rPr>
          <w:sz w:val="16"/>
          <w:szCs w:val="16"/>
        </w:rPr>
        <w:t>is</w:t>
      </w:r>
      <w:r w:rsidRPr="00D051E5">
        <w:rPr>
          <w:sz w:val="16"/>
          <w:szCs w:val="16"/>
        </w:rPr>
        <w:t xml:space="preserve"> for products needed to install photovoltaic power plants (especially batteries). Imports peaked in the first half of 2023 and </w:t>
      </w:r>
      <w:r>
        <w:rPr>
          <w:sz w:val="16"/>
          <w:szCs w:val="16"/>
        </w:rPr>
        <w:t xml:space="preserve">subsequently </w:t>
      </w:r>
      <w:r w:rsidRPr="00D051E5">
        <w:rPr>
          <w:sz w:val="16"/>
          <w:szCs w:val="16"/>
        </w:rPr>
        <w:t>started to decline.</w:t>
      </w:r>
      <w:r w:rsidRPr="00E757F2">
        <w:rPr>
          <w:sz w:val="16"/>
          <w:szCs w:val="16"/>
          <w:lang w:val="en-GB"/>
        </w:rPr>
        <w:t xml:space="preserve"> </w:t>
      </w:r>
    </w:p>
  </w:footnote>
  <w:footnote w:id="11">
    <w:p w14:paraId="7723D4F2" w14:textId="77777777" w:rsidR="006145FA" w:rsidRPr="00E757F2" w:rsidRDefault="006145FA" w:rsidP="00803507">
      <w:pPr>
        <w:pStyle w:val="Textpoznpodarou"/>
        <w:jc w:val="both"/>
        <w:rPr>
          <w:sz w:val="16"/>
          <w:szCs w:val="16"/>
          <w:lang w:val="en-GB"/>
        </w:rPr>
      </w:pPr>
      <w:r w:rsidRPr="00E757F2">
        <w:rPr>
          <w:rStyle w:val="Znakapoznpodarou"/>
          <w:sz w:val="16"/>
          <w:szCs w:val="16"/>
          <w:lang w:val="en-GB"/>
        </w:rPr>
        <w:footnoteRef/>
      </w:r>
      <w:r w:rsidRPr="00E757F2">
        <w:rPr>
          <w:sz w:val="16"/>
          <w:szCs w:val="16"/>
          <w:lang w:val="en-GB"/>
        </w:rPr>
        <w:t xml:space="preserve"> </w:t>
      </w:r>
      <w:bookmarkStart w:id="16" w:name="_Hlk194870898"/>
      <w:r w:rsidRPr="00D051E5">
        <w:rPr>
          <w:sz w:val="16"/>
          <w:szCs w:val="16"/>
        </w:rPr>
        <w:t xml:space="preserve">From the perspective of historical time series, this </w:t>
      </w:r>
      <w:r>
        <w:rPr>
          <w:sz w:val="16"/>
          <w:szCs w:val="16"/>
        </w:rPr>
        <w:t xml:space="preserve">still represents </w:t>
      </w:r>
      <w:r w:rsidRPr="00D051E5">
        <w:rPr>
          <w:sz w:val="16"/>
          <w:szCs w:val="16"/>
        </w:rPr>
        <w:t xml:space="preserve">a significant surplus. </w:t>
      </w:r>
      <w:r>
        <w:rPr>
          <w:sz w:val="16"/>
          <w:szCs w:val="16"/>
        </w:rPr>
        <w:t>T</w:t>
      </w:r>
      <w:r w:rsidRPr="00D051E5">
        <w:rPr>
          <w:sz w:val="16"/>
          <w:szCs w:val="16"/>
        </w:rPr>
        <w:t>he balance usually achieves lower surpluses</w:t>
      </w:r>
      <w:r>
        <w:rPr>
          <w:sz w:val="16"/>
          <w:szCs w:val="16"/>
        </w:rPr>
        <w:t xml:space="preserve"> in Q4</w:t>
      </w:r>
      <w:r w:rsidRPr="00D051E5">
        <w:rPr>
          <w:sz w:val="16"/>
          <w:szCs w:val="16"/>
        </w:rPr>
        <w:t xml:space="preserve"> compared to the rest of the year.</w:t>
      </w:r>
      <w:r>
        <w:rPr>
          <w:sz w:val="16"/>
          <w:szCs w:val="16"/>
        </w:rPr>
        <w:t xml:space="preserve"> </w:t>
      </w:r>
      <w:bookmarkEnd w:id="16"/>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6" w14:textId="33008622" w:rsidR="006145FA" w:rsidRPr="00C27E4F" w:rsidRDefault="006145FA" w:rsidP="00C27E4F">
    <w:pPr>
      <w:pStyle w:val="Zhlav"/>
    </w:pPr>
    <w:r>
      <w:t>The Czech Economy Development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2987" w14:textId="66FE4D49" w:rsidR="006145FA" w:rsidRPr="006F5416" w:rsidRDefault="006145FA" w:rsidP="00937AE2">
    <w:pPr>
      <w:pStyle w:val="Zhlav"/>
    </w:pPr>
    <w:r>
      <w:t>The Czech Economy Development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602530768" o:spid="_x0000_i1026" type="#_x0000_t75" style="width:11.25pt;height:11.25pt;visibility:visible;mso-wrap-style:square" o:bullet="t">
        <v:imagedata r:id="rId1" o:title=""/>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5"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3"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26"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9"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651B2D"/>
    <w:multiLevelType w:val="hybridMultilevel"/>
    <w:tmpl w:val="4C1C2D78"/>
    <w:lvl w:ilvl="0" w:tplc="B01A5632">
      <w:start w:val="1"/>
      <w:numFmt w:val="bullet"/>
      <w:pStyle w:val="Normalodrk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7"/>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5"/>
  </w:num>
  <w:num w:numId="13">
    <w:abstractNumId w:val="29"/>
  </w:num>
  <w:num w:numId="14">
    <w:abstractNumId w:val="14"/>
  </w:num>
  <w:num w:numId="15">
    <w:abstractNumId w:val="20"/>
  </w:num>
  <w:num w:numId="16">
    <w:abstractNumId w:val="16"/>
  </w:num>
  <w:num w:numId="17">
    <w:abstractNumId w:val="30"/>
  </w:num>
  <w:num w:numId="18">
    <w:abstractNumId w:val="21"/>
  </w:num>
  <w:num w:numId="19">
    <w:abstractNumId w:val="32"/>
  </w:num>
  <w:num w:numId="20">
    <w:abstractNumId w:val="37"/>
  </w:num>
  <w:num w:numId="21">
    <w:abstractNumId w:val="28"/>
  </w:num>
  <w:num w:numId="22">
    <w:abstractNumId w:val="19"/>
  </w:num>
  <w:num w:numId="23">
    <w:abstractNumId w:val="17"/>
  </w:num>
  <w:num w:numId="24">
    <w:abstractNumId w:val="18"/>
  </w:num>
  <w:num w:numId="25">
    <w:abstractNumId w:val="35"/>
  </w:num>
  <w:num w:numId="26">
    <w:abstractNumId w:val="36"/>
  </w:num>
  <w:num w:numId="27">
    <w:abstractNumId w:val="13"/>
  </w:num>
  <w:num w:numId="28">
    <w:abstractNumId w:val="23"/>
  </w:num>
  <w:num w:numId="29">
    <w:abstractNumId w:val="22"/>
  </w:num>
  <w:num w:numId="30">
    <w:abstractNumId w:val="10"/>
  </w:num>
  <w:num w:numId="31">
    <w:abstractNumId w:val="24"/>
  </w:num>
  <w:num w:numId="32">
    <w:abstractNumId w:val="12"/>
  </w:num>
  <w:num w:numId="33">
    <w:abstractNumId w:val="39"/>
  </w:num>
  <w:num w:numId="34">
    <w:abstractNumId w:val="11"/>
  </w:num>
  <w:num w:numId="35">
    <w:abstractNumId w:val="31"/>
  </w:num>
  <w:num w:numId="36">
    <w:abstractNumId w:val="26"/>
  </w:num>
  <w:num w:numId="37">
    <w:abstractNumId w:val="25"/>
  </w:num>
  <w:num w:numId="38">
    <w:abstractNumId w:val="33"/>
  </w:num>
  <w:num w:numId="39">
    <w:abstractNumId w:val="38"/>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62"/>
    <w:rsid w:val="0000209D"/>
    <w:rsid w:val="000024D3"/>
    <w:rsid w:val="00004D5A"/>
    <w:rsid w:val="000056D5"/>
    <w:rsid w:val="00006ABD"/>
    <w:rsid w:val="0000767A"/>
    <w:rsid w:val="00010256"/>
    <w:rsid w:val="00010702"/>
    <w:rsid w:val="00011912"/>
    <w:rsid w:val="0002044F"/>
    <w:rsid w:val="0002195D"/>
    <w:rsid w:val="000234D6"/>
    <w:rsid w:val="00023D29"/>
    <w:rsid w:val="00026389"/>
    <w:rsid w:val="00031AE0"/>
    <w:rsid w:val="000322EF"/>
    <w:rsid w:val="00033FCD"/>
    <w:rsid w:val="00040A98"/>
    <w:rsid w:val="00040D10"/>
    <w:rsid w:val="00041B15"/>
    <w:rsid w:val="00041CEC"/>
    <w:rsid w:val="00042F74"/>
    <w:rsid w:val="0004694F"/>
    <w:rsid w:val="000522E4"/>
    <w:rsid w:val="000610E1"/>
    <w:rsid w:val="00062EC5"/>
    <w:rsid w:val="00062F22"/>
    <w:rsid w:val="000712B3"/>
    <w:rsid w:val="00073ED1"/>
    <w:rsid w:val="00074573"/>
    <w:rsid w:val="0008079B"/>
    <w:rsid w:val="0008263E"/>
    <w:rsid w:val="00082C19"/>
    <w:rsid w:val="00085395"/>
    <w:rsid w:val="00087634"/>
    <w:rsid w:val="00087F2B"/>
    <w:rsid w:val="00095135"/>
    <w:rsid w:val="000974D1"/>
    <w:rsid w:val="0009799E"/>
    <w:rsid w:val="000A1183"/>
    <w:rsid w:val="000A256D"/>
    <w:rsid w:val="000A3A2C"/>
    <w:rsid w:val="000A57D4"/>
    <w:rsid w:val="000B7C8D"/>
    <w:rsid w:val="000C3408"/>
    <w:rsid w:val="000C6AFD"/>
    <w:rsid w:val="000D5637"/>
    <w:rsid w:val="000E10DD"/>
    <w:rsid w:val="000E6FBD"/>
    <w:rsid w:val="00100F5C"/>
    <w:rsid w:val="00101CDA"/>
    <w:rsid w:val="00104C4C"/>
    <w:rsid w:val="00107BC8"/>
    <w:rsid w:val="00113C61"/>
    <w:rsid w:val="00117623"/>
    <w:rsid w:val="0012192F"/>
    <w:rsid w:val="00125D69"/>
    <w:rsid w:val="001405FA"/>
    <w:rsid w:val="001425C3"/>
    <w:rsid w:val="001476BD"/>
    <w:rsid w:val="001572C9"/>
    <w:rsid w:val="001612F4"/>
    <w:rsid w:val="0016256B"/>
    <w:rsid w:val="00163793"/>
    <w:rsid w:val="001706D6"/>
    <w:rsid w:val="001714F2"/>
    <w:rsid w:val="00175B9F"/>
    <w:rsid w:val="00180AA1"/>
    <w:rsid w:val="00181BBC"/>
    <w:rsid w:val="00184B08"/>
    <w:rsid w:val="00185010"/>
    <w:rsid w:val="00185C90"/>
    <w:rsid w:val="00187B31"/>
    <w:rsid w:val="0019143B"/>
    <w:rsid w:val="001A0487"/>
    <w:rsid w:val="001A542B"/>
    <w:rsid w:val="001A552F"/>
    <w:rsid w:val="001B2CA9"/>
    <w:rsid w:val="001B3110"/>
    <w:rsid w:val="001B4729"/>
    <w:rsid w:val="001B6310"/>
    <w:rsid w:val="001B6C09"/>
    <w:rsid w:val="001C05CD"/>
    <w:rsid w:val="001C74B0"/>
    <w:rsid w:val="001D48D4"/>
    <w:rsid w:val="001D68B2"/>
    <w:rsid w:val="001E504C"/>
    <w:rsid w:val="001E6062"/>
    <w:rsid w:val="001F4597"/>
    <w:rsid w:val="00203DA4"/>
    <w:rsid w:val="002118B9"/>
    <w:rsid w:val="00211CD6"/>
    <w:rsid w:val="00214CF7"/>
    <w:rsid w:val="00217C5B"/>
    <w:rsid w:val="0022139E"/>
    <w:rsid w:val="00222729"/>
    <w:rsid w:val="002252E0"/>
    <w:rsid w:val="002255F6"/>
    <w:rsid w:val="00227850"/>
    <w:rsid w:val="00227A53"/>
    <w:rsid w:val="00230C6E"/>
    <w:rsid w:val="00236443"/>
    <w:rsid w:val="00241B06"/>
    <w:rsid w:val="002436BA"/>
    <w:rsid w:val="00244A15"/>
    <w:rsid w:val="00246358"/>
    <w:rsid w:val="00247319"/>
    <w:rsid w:val="0024799E"/>
    <w:rsid w:val="00252F89"/>
    <w:rsid w:val="00253C0F"/>
    <w:rsid w:val="0025453D"/>
    <w:rsid w:val="002558C1"/>
    <w:rsid w:val="002615E9"/>
    <w:rsid w:val="00271465"/>
    <w:rsid w:val="00273170"/>
    <w:rsid w:val="00285412"/>
    <w:rsid w:val="00291640"/>
    <w:rsid w:val="002A16D4"/>
    <w:rsid w:val="002A230C"/>
    <w:rsid w:val="002A56CE"/>
    <w:rsid w:val="002B2299"/>
    <w:rsid w:val="002B4845"/>
    <w:rsid w:val="002C43BD"/>
    <w:rsid w:val="002D0E59"/>
    <w:rsid w:val="002E02A1"/>
    <w:rsid w:val="002E08A1"/>
    <w:rsid w:val="002E42AC"/>
    <w:rsid w:val="002E4E4C"/>
    <w:rsid w:val="002E691E"/>
    <w:rsid w:val="002F39EC"/>
    <w:rsid w:val="00302ADD"/>
    <w:rsid w:val="00304771"/>
    <w:rsid w:val="0030495D"/>
    <w:rsid w:val="003052D4"/>
    <w:rsid w:val="0030681E"/>
    <w:rsid w:val="00306C5B"/>
    <w:rsid w:val="003103E0"/>
    <w:rsid w:val="00313B2D"/>
    <w:rsid w:val="00314F9F"/>
    <w:rsid w:val="00315D45"/>
    <w:rsid w:val="003209D6"/>
    <w:rsid w:val="00321924"/>
    <w:rsid w:val="0032656E"/>
    <w:rsid w:val="00326FE1"/>
    <w:rsid w:val="00332190"/>
    <w:rsid w:val="0034335E"/>
    <w:rsid w:val="00344668"/>
    <w:rsid w:val="003462D9"/>
    <w:rsid w:val="00360C86"/>
    <w:rsid w:val="00360FBC"/>
    <w:rsid w:val="00362E90"/>
    <w:rsid w:val="00364199"/>
    <w:rsid w:val="00364FA0"/>
    <w:rsid w:val="003657F3"/>
    <w:rsid w:val="003818DC"/>
    <w:rsid w:val="0038369B"/>
    <w:rsid w:val="00384327"/>
    <w:rsid w:val="00385D98"/>
    <w:rsid w:val="003905A9"/>
    <w:rsid w:val="003A2B4D"/>
    <w:rsid w:val="003A2D12"/>
    <w:rsid w:val="003A478C"/>
    <w:rsid w:val="003A5525"/>
    <w:rsid w:val="003A6B38"/>
    <w:rsid w:val="003B461F"/>
    <w:rsid w:val="003B5A32"/>
    <w:rsid w:val="003C3490"/>
    <w:rsid w:val="003C7E62"/>
    <w:rsid w:val="003D6920"/>
    <w:rsid w:val="003E0A6F"/>
    <w:rsid w:val="003E48F2"/>
    <w:rsid w:val="003E4C91"/>
    <w:rsid w:val="003F313C"/>
    <w:rsid w:val="003F37FC"/>
    <w:rsid w:val="003F3E6A"/>
    <w:rsid w:val="003F4B2C"/>
    <w:rsid w:val="003F551C"/>
    <w:rsid w:val="003F72ED"/>
    <w:rsid w:val="003F7D23"/>
    <w:rsid w:val="00407C13"/>
    <w:rsid w:val="0041041D"/>
    <w:rsid w:val="00410638"/>
    <w:rsid w:val="0041501E"/>
    <w:rsid w:val="004159C3"/>
    <w:rsid w:val="00416C72"/>
    <w:rsid w:val="00432A58"/>
    <w:rsid w:val="00434617"/>
    <w:rsid w:val="004350ED"/>
    <w:rsid w:val="00440900"/>
    <w:rsid w:val="00441BF6"/>
    <w:rsid w:val="004441A0"/>
    <w:rsid w:val="004455BA"/>
    <w:rsid w:val="0045078A"/>
    <w:rsid w:val="0045086D"/>
    <w:rsid w:val="00451504"/>
    <w:rsid w:val="00460FB3"/>
    <w:rsid w:val="0046627E"/>
    <w:rsid w:val="00473DFA"/>
    <w:rsid w:val="00476240"/>
    <w:rsid w:val="00476439"/>
    <w:rsid w:val="0047735C"/>
    <w:rsid w:val="004776BC"/>
    <w:rsid w:val="0048139F"/>
    <w:rsid w:val="00481E40"/>
    <w:rsid w:val="00481F92"/>
    <w:rsid w:val="00484ECE"/>
    <w:rsid w:val="004915CB"/>
    <w:rsid w:val="004924DC"/>
    <w:rsid w:val="004A14E4"/>
    <w:rsid w:val="004A3212"/>
    <w:rsid w:val="004A5494"/>
    <w:rsid w:val="004A61C5"/>
    <w:rsid w:val="004A77DF"/>
    <w:rsid w:val="004B1417"/>
    <w:rsid w:val="004B55B7"/>
    <w:rsid w:val="004B6468"/>
    <w:rsid w:val="004B7125"/>
    <w:rsid w:val="004C384C"/>
    <w:rsid w:val="004C3867"/>
    <w:rsid w:val="004C4CD0"/>
    <w:rsid w:val="004C59A5"/>
    <w:rsid w:val="004C70DC"/>
    <w:rsid w:val="004D0211"/>
    <w:rsid w:val="004D051A"/>
    <w:rsid w:val="004D0794"/>
    <w:rsid w:val="004D6D0D"/>
    <w:rsid w:val="004F06F5"/>
    <w:rsid w:val="004F33A0"/>
    <w:rsid w:val="00500E92"/>
    <w:rsid w:val="0050403A"/>
    <w:rsid w:val="0050689D"/>
    <w:rsid w:val="005108C0"/>
    <w:rsid w:val="00511130"/>
    <w:rsid w:val="00511873"/>
    <w:rsid w:val="00512A2F"/>
    <w:rsid w:val="00513B7E"/>
    <w:rsid w:val="00515C74"/>
    <w:rsid w:val="0052007E"/>
    <w:rsid w:val="0052337A"/>
    <w:rsid w:val="00525137"/>
    <w:rsid w:val="005251DD"/>
    <w:rsid w:val="0053014E"/>
    <w:rsid w:val="00530B52"/>
    <w:rsid w:val="00532CE7"/>
    <w:rsid w:val="0053324C"/>
    <w:rsid w:val="00534A28"/>
    <w:rsid w:val="00541508"/>
    <w:rsid w:val="00543498"/>
    <w:rsid w:val="0055599F"/>
    <w:rsid w:val="00556A6D"/>
    <w:rsid w:val="00556D68"/>
    <w:rsid w:val="00563EB8"/>
    <w:rsid w:val="005647BF"/>
    <w:rsid w:val="00564AF1"/>
    <w:rsid w:val="0057364B"/>
    <w:rsid w:val="00573683"/>
    <w:rsid w:val="00574773"/>
    <w:rsid w:val="00583FFD"/>
    <w:rsid w:val="005911BE"/>
    <w:rsid w:val="00593152"/>
    <w:rsid w:val="005A10F2"/>
    <w:rsid w:val="005A21E0"/>
    <w:rsid w:val="005A28FF"/>
    <w:rsid w:val="005A3DF8"/>
    <w:rsid w:val="005A5549"/>
    <w:rsid w:val="005A7038"/>
    <w:rsid w:val="005B121D"/>
    <w:rsid w:val="005C06ED"/>
    <w:rsid w:val="005C159F"/>
    <w:rsid w:val="005C2609"/>
    <w:rsid w:val="005D5802"/>
    <w:rsid w:val="005D7119"/>
    <w:rsid w:val="005D7890"/>
    <w:rsid w:val="005E61CF"/>
    <w:rsid w:val="005E7C78"/>
    <w:rsid w:val="005F18C5"/>
    <w:rsid w:val="005F3EB1"/>
    <w:rsid w:val="005F46D8"/>
    <w:rsid w:val="005F5469"/>
    <w:rsid w:val="0060171C"/>
    <w:rsid w:val="00603FF5"/>
    <w:rsid w:val="00604307"/>
    <w:rsid w:val="0060487F"/>
    <w:rsid w:val="00604EAD"/>
    <w:rsid w:val="006104FB"/>
    <w:rsid w:val="00612A2F"/>
    <w:rsid w:val="006145FA"/>
    <w:rsid w:val="00616E05"/>
    <w:rsid w:val="00624093"/>
    <w:rsid w:val="00625F8F"/>
    <w:rsid w:val="006350D5"/>
    <w:rsid w:val="006404A7"/>
    <w:rsid w:val="006451E4"/>
    <w:rsid w:val="00645B33"/>
    <w:rsid w:val="006516CB"/>
    <w:rsid w:val="00651DFC"/>
    <w:rsid w:val="00656FC8"/>
    <w:rsid w:val="00657E87"/>
    <w:rsid w:val="00664803"/>
    <w:rsid w:val="00665BA4"/>
    <w:rsid w:val="00667AF2"/>
    <w:rsid w:val="006710C9"/>
    <w:rsid w:val="006741AC"/>
    <w:rsid w:val="00674D89"/>
    <w:rsid w:val="00675E37"/>
    <w:rsid w:val="0067789E"/>
    <w:rsid w:val="0068174E"/>
    <w:rsid w:val="00681DCE"/>
    <w:rsid w:val="0068260E"/>
    <w:rsid w:val="00695BEF"/>
    <w:rsid w:val="006977F6"/>
    <w:rsid w:val="00697A13"/>
    <w:rsid w:val="006A109C"/>
    <w:rsid w:val="006B0F92"/>
    <w:rsid w:val="006B344A"/>
    <w:rsid w:val="006B78D8"/>
    <w:rsid w:val="006C113F"/>
    <w:rsid w:val="006C123E"/>
    <w:rsid w:val="006C1752"/>
    <w:rsid w:val="006C56D4"/>
    <w:rsid w:val="006C6924"/>
    <w:rsid w:val="006C7CA6"/>
    <w:rsid w:val="006D3E8A"/>
    <w:rsid w:val="006D61F6"/>
    <w:rsid w:val="006E279A"/>
    <w:rsid w:val="006E313B"/>
    <w:rsid w:val="006E7227"/>
    <w:rsid w:val="006E7E89"/>
    <w:rsid w:val="006F19D3"/>
    <w:rsid w:val="006F438E"/>
    <w:rsid w:val="006F5416"/>
    <w:rsid w:val="006F7076"/>
    <w:rsid w:val="00705242"/>
    <w:rsid w:val="00706AD4"/>
    <w:rsid w:val="00707150"/>
    <w:rsid w:val="007140BE"/>
    <w:rsid w:val="007211F5"/>
    <w:rsid w:val="00723946"/>
    <w:rsid w:val="007240E2"/>
    <w:rsid w:val="00725BB5"/>
    <w:rsid w:val="007301CE"/>
    <w:rsid w:val="00730AE8"/>
    <w:rsid w:val="00730F1B"/>
    <w:rsid w:val="00741493"/>
    <w:rsid w:val="00752180"/>
    <w:rsid w:val="00753CAB"/>
    <w:rsid w:val="00755202"/>
    <w:rsid w:val="00755D3A"/>
    <w:rsid w:val="007578D3"/>
    <w:rsid w:val="007609C6"/>
    <w:rsid w:val="00760EA4"/>
    <w:rsid w:val="0076175D"/>
    <w:rsid w:val="00763B85"/>
    <w:rsid w:val="0076521E"/>
    <w:rsid w:val="007661E9"/>
    <w:rsid w:val="007701DE"/>
    <w:rsid w:val="007750EE"/>
    <w:rsid w:val="00776169"/>
    <w:rsid w:val="00776527"/>
    <w:rsid w:val="00780EF1"/>
    <w:rsid w:val="00790764"/>
    <w:rsid w:val="0079453C"/>
    <w:rsid w:val="00794677"/>
    <w:rsid w:val="0079597E"/>
    <w:rsid w:val="00797445"/>
    <w:rsid w:val="007A516D"/>
    <w:rsid w:val="007A5CBD"/>
    <w:rsid w:val="007B6689"/>
    <w:rsid w:val="007C6BBD"/>
    <w:rsid w:val="007D40DF"/>
    <w:rsid w:val="007E29B4"/>
    <w:rsid w:val="007E435A"/>
    <w:rsid w:val="007E7E61"/>
    <w:rsid w:val="007E7FCE"/>
    <w:rsid w:val="007F0845"/>
    <w:rsid w:val="007F255D"/>
    <w:rsid w:val="007F708D"/>
    <w:rsid w:val="00800216"/>
    <w:rsid w:val="00801E13"/>
    <w:rsid w:val="00802430"/>
    <w:rsid w:val="00803507"/>
    <w:rsid w:val="00807C82"/>
    <w:rsid w:val="00814B15"/>
    <w:rsid w:val="00816905"/>
    <w:rsid w:val="00821777"/>
    <w:rsid w:val="00821FF6"/>
    <w:rsid w:val="00822574"/>
    <w:rsid w:val="00825C4D"/>
    <w:rsid w:val="00826DA0"/>
    <w:rsid w:val="0083143E"/>
    <w:rsid w:val="00831CDE"/>
    <w:rsid w:val="00834304"/>
    <w:rsid w:val="00834FAA"/>
    <w:rsid w:val="00836086"/>
    <w:rsid w:val="00845373"/>
    <w:rsid w:val="00846121"/>
    <w:rsid w:val="0084708F"/>
    <w:rsid w:val="008477C8"/>
    <w:rsid w:val="0085114D"/>
    <w:rsid w:val="00852217"/>
    <w:rsid w:val="00855408"/>
    <w:rsid w:val="00856D65"/>
    <w:rsid w:val="00861B41"/>
    <w:rsid w:val="00861BE3"/>
    <w:rsid w:val="00863434"/>
    <w:rsid w:val="00865E4C"/>
    <w:rsid w:val="008701E4"/>
    <w:rsid w:val="00871069"/>
    <w:rsid w:val="00875A32"/>
    <w:rsid w:val="00876086"/>
    <w:rsid w:val="008825B0"/>
    <w:rsid w:val="00884AD6"/>
    <w:rsid w:val="008873D4"/>
    <w:rsid w:val="0089126C"/>
    <w:rsid w:val="0089296D"/>
    <w:rsid w:val="00893E85"/>
    <w:rsid w:val="00894031"/>
    <w:rsid w:val="00895508"/>
    <w:rsid w:val="008A6CB4"/>
    <w:rsid w:val="008B5CF6"/>
    <w:rsid w:val="008B7C02"/>
    <w:rsid w:val="008B7D2B"/>
    <w:rsid w:val="008C0049"/>
    <w:rsid w:val="008C0E88"/>
    <w:rsid w:val="008C4592"/>
    <w:rsid w:val="008C4976"/>
    <w:rsid w:val="008C53CB"/>
    <w:rsid w:val="008D1E6A"/>
    <w:rsid w:val="008D2A16"/>
    <w:rsid w:val="008E2C57"/>
    <w:rsid w:val="008E31FF"/>
    <w:rsid w:val="008E6F06"/>
    <w:rsid w:val="008E7FC9"/>
    <w:rsid w:val="008F029B"/>
    <w:rsid w:val="008F3FC9"/>
    <w:rsid w:val="008F585B"/>
    <w:rsid w:val="00900097"/>
    <w:rsid w:val="009003A8"/>
    <w:rsid w:val="00902500"/>
    <w:rsid w:val="00902EFF"/>
    <w:rsid w:val="0090465F"/>
    <w:rsid w:val="00906401"/>
    <w:rsid w:val="0091155E"/>
    <w:rsid w:val="00912A92"/>
    <w:rsid w:val="0091728D"/>
    <w:rsid w:val="0092180B"/>
    <w:rsid w:val="00921F14"/>
    <w:rsid w:val="009231A3"/>
    <w:rsid w:val="00924AC8"/>
    <w:rsid w:val="0092597A"/>
    <w:rsid w:val="00927267"/>
    <w:rsid w:val="00930FB1"/>
    <w:rsid w:val="0093139F"/>
    <w:rsid w:val="00932443"/>
    <w:rsid w:val="00937AE2"/>
    <w:rsid w:val="0094427A"/>
    <w:rsid w:val="00945245"/>
    <w:rsid w:val="009556EB"/>
    <w:rsid w:val="00956683"/>
    <w:rsid w:val="0095759C"/>
    <w:rsid w:val="00963DA3"/>
    <w:rsid w:val="00967162"/>
    <w:rsid w:val="009707DB"/>
    <w:rsid w:val="009721DB"/>
    <w:rsid w:val="00974923"/>
    <w:rsid w:val="00980D3D"/>
    <w:rsid w:val="00987A30"/>
    <w:rsid w:val="00992CF3"/>
    <w:rsid w:val="00994868"/>
    <w:rsid w:val="009968D6"/>
    <w:rsid w:val="009A1CAB"/>
    <w:rsid w:val="009A60D1"/>
    <w:rsid w:val="009B6FD3"/>
    <w:rsid w:val="009C1750"/>
    <w:rsid w:val="009C2E29"/>
    <w:rsid w:val="009C554B"/>
    <w:rsid w:val="009C719E"/>
    <w:rsid w:val="009C7A10"/>
    <w:rsid w:val="009D3ACD"/>
    <w:rsid w:val="009E5273"/>
    <w:rsid w:val="009E5DDB"/>
    <w:rsid w:val="009F4CA7"/>
    <w:rsid w:val="00A10D66"/>
    <w:rsid w:val="00A119FE"/>
    <w:rsid w:val="00A14114"/>
    <w:rsid w:val="00A14699"/>
    <w:rsid w:val="00A16413"/>
    <w:rsid w:val="00A16E1D"/>
    <w:rsid w:val="00A17D5B"/>
    <w:rsid w:val="00A23E43"/>
    <w:rsid w:val="00A25216"/>
    <w:rsid w:val="00A30F65"/>
    <w:rsid w:val="00A33A89"/>
    <w:rsid w:val="00A40EAC"/>
    <w:rsid w:val="00A418BC"/>
    <w:rsid w:val="00A46DE0"/>
    <w:rsid w:val="00A50D73"/>
    <w:rsid w:val="00A52CAD"/>
    <w:rsid w:val="00A53FC7"/>
    <w:rsid w:val="00A62CE1"/>
    <w:rsid w:val="00A668A3"/>
    <w:rsid w:val="00A6741E"/>
    <w:rsid w:val="00A726EC"/>
    <w:rsid w:val="00A735F5"/>
    <w:rsid w:val="00A75E40"/>
    <w:rsid w:val="00A77D1D"/>
    <w:rsid w:val="00A84A6A"/>
    <w:rsid w:val="00A857C0"/>
    <w:rsid w:val="00A90FED"/>
    <w:rsid w:val="00AA2996"/>
    <w:rsid w:val="00AA52BF"/>
    <w:rsid w:val="00AA559A"/>
    <w:rsid w:val="00AB2AF1"/>
    <w:rsid w:val="00AC45BD"/>
    <w:rsid w:val="00AD168E"/>
    <w:rsid w:val="00AD306C"/>
    <w:rsid w:val="00AD68C4"/>
    <w:rsid w:val="00AE09B3"/>
    <w:rsid w:val="00AE0ED3"/>
    <w:rsid w:val="00AE1A83"/>
    <w:rsid w:val="00AE31A7"/>
    <w:rsid w:val="00AE6221"/>
    <w:rsid w:val="00AF5165"/>
    <w:rsid w:val="00AF606D"/>
    <w:rsid w:val="00AF6128"/>
    <w:rsid w:val="00B00913"/>
    <w:rsid w:val="00B01593"/>
    <w:rsid w:val="00B01DC6"/>
    <w:rsid w:val="00B023F2"/>
    <w:rsid w:val="00B04705"/>
    <w:rsid w:val="00B10A4D"/>
    <w:rsid w:val="00B14BC1"/>
    <w:rsid w:val="00B17C40"/>
    <w:rsid w:val="00B17E71"/>
    <w:rsid w:val="00B17FDE"/>
    <w:rsid w:val="00B2379C"/>
    <w:rsid w:val="00B25189"/>
    <w:rsid w:val="00B2687D"/>
    <w:rsid w:val="00B32DDB"/>
    <w:rsid w:val="00B34528"/>
    <w:rsid w:val="00B34CC9"/>
    <w:rsid w:val="00B35833"/>
    <w:rsid w:val="00B402FC"/>
    <w:rsid w:val="00B439DA"/>
    <w:rsid w:val="00B46604"/>
    <w:rsid w:val="00B530CD"/>
    <w:rsid w:val="00B55F5E"/>
    <w:rsid w:val="00B5752E"/>
    <w:rsid w:val="00B63A11"/>
    <w:rsid w:val="00B63B6A"/>
    <w:rsid w:val="00B64C24"/>
    <w:rsid w:val="00B6608F"/>
    <w:rsid w:val="00B679FB"/>
    <w:rsid w:val="00B76D1E"/>
    <w:rsid w:val="00B80EC6"/>
    <w:rsid w:val="00B84CF6"/>
    <w:rsid w:val="00B879AA"/>
    <w:rsid w:val="00B92D1D"/>
    <w:rsid w:val="00B938C5"/>
    <w:rsid w:val="00B95940"/>
    <w:rsid w:val="00BA6C2B"/>
    <w:rsid w:val="00BB46F3"/>
    <w:rsid w:val="00BB4CB1"/>
    <w:rsid w:val="00BB4F98"/>
    <w:rsid w:val="00BC5C12"/>
    <w:rsid w:val="00BC7154"/>
    <w:rsid w:val="00BC731E"/>
    <w:rsid w:val="00BD366B"/>
    <w:rsid w:val="00BD6D50"/>
    <w:rsid w:val="00BE18B9"/>
    <w:rsid w:val="00BE1EB2"/>
    <w:rsid w:val="00BE2495"/>
    <w:rsid w:val="00BF1578"/>
    <w:rsid w:val="00BF2AAA"/>
    <w:rsid w:val="00C01058"/>
    <w:rsid w:val="00C03107"/>
    <w:rsid w:val="00C07A9A"/>
    <w:rsid w:val="00C21F94"/>
    <w:rsid w:val="00C27913"/>
    <w:rsid w:val="00C27E4F"/>
    <w:rsid w:val="00C30314"/>
    <w:rsid w:val="00C32964"/>
    <w:rsid w:val="00C33B68"/>
    <w:rsid w:val="00C36A79"/>
    <w:rsid w:val="00C401D2"/>
    <w:rsid w:val="00C405D4"/>
    <w:rsid w:val="00C4431F"/>
    <w:rsid w:val="00C4513B"/>
    <w:rsid w:val="00C5390B"/>
    <w:rsid w:val="00C54697"/>
    <w:rsid w:val="00C563A8"/>
    <w:rsid w:val="00C65535"/>
    <w:rsid w:val="00C71E85"/>
    <w:rsid w:val="00C72884"/>
    <w:rsid w:val="00C73885"/>
    <w:rsid w:val="00C747B1"/>
    <w:rsid w:val="00C82191"/>
    <w:rsid w:val="00C83134"/>
    <w:rsid w:val="00C85545"/>
    <w:rsid w:val="00C90CF4"/>
    <w:rsid w:val="00C92EB6"/>
    <w:rsid w:val="00C93389"/>
    <w:rsid w:val="00CA0914"/>
    <w:rsid w:val="00CA6AB4"/>
    <w:rsid w:val="00CA6CF4"/>
    <w:rsid w:val="00CB4930"/>
    <w:rsid w:val="00CC2E7D"/>
    <w:rsid w:val="00CD10A5"/>
    <w:rsid w:val="00CD2076"/>
    <w:rsid w:val="00CD29B5"/>
    <w:rsid w:val="00CD6331"/>
    <w:rsid w:val="00CE670B"/>
    <w:rsid w:val="00CF4908"/>
    <w:rsid w:val="00CF51EC"/>
    <w:rsid w:val="00CF73AE"/>
    <w:rsid w:val="00D040DD"/>
    <w:rsid w:val="00D075BE"/>
    <w:rsid w:val="00D13986"/>
    <w:rsid w:val="00D21D83"/>
    <w:rsid w:val="00D235B7"/>
    <w:rsid w:val="00D23C02"/>
    <w:rsid w:val="00D25F28"/>
    <w:rsid w:val="00D26071"/>
    <w:rsid w:val="00D27973"/>
    <w:rsid w:val="00D35E1A"/>
    <w:rsid w:val="00D42211"/>
    <w:rsid w:val="00D50F46"/>
    <w:rsid w:val="00D57677"/>
    <w:rsid w:val="00D66223"/>
    <w:rsid w:val="00D71625"/>
    <w:rsid w:val="00D77C2A"/>
    <w:rsid w:val="00D8084C"/>
    <w:rsid w:val="00D8546D"/>
    <w:rsid w:val="00D915EA"/>
    <w:rsid w:val="00DA7C0C"/>
    <w:rsid w:val="00DB08A9"/>
    <w:rsid w:val="00DB2EC8"/>
    <w:rsid w:val="00DC5B3B"/>
    <w:rsid w:val="00DD129F"/>
    <w:rsid w:val="00DE02BD"/>
    <w:rsid w:val="00DF42FF"/>
    <w:rsid w:val="00E01C0E"/>
    <w:rsid w:val="00E03F9A"/>
    <w:rsid w:val="00E04694"/>
    <w:rsid w:val="00E063CE"/>
    <w:rsid w:val="00E12B1E"/>
    <w:rsid w:val="00E17262"/>
    <w:rsid w:val="00E200EF"/>
    <w:rsid w:val="00E253A2"/>
    <w:rsid w:val="00E3309D"/>
    <w:rsid w:val="00E43C1C"/>
    <w:rsid w:val="00E47EBA"/>
    <w:rsid w:val="00E50156"/>
    <w:rsid w:val="00E51643"/>
    <w:rsid w:val="00E53470"/>
    <w:rsid w:val="00E539F6"/>
    <w:rsid w:val="00E551F6"/>
    <w:rsid w:val="00E60BBE"/>
    <w:rsid w:val="00E6519D"/>
    <w:rsid w:val="00E67696"/>
    <w:rsid w:val="00E677D5"/>
    <w:rsid w:val="00E71A58"/>
    <w:rsid w:val="00E72A7A"/>
    <w:rsid w:val="00E75C94"/>
    <w:rsid w:val="00E93820"/>
    <w:rsid w:val="00E94A86"/>
    <w:rsid w:val="00E96143"/>
    <w:rsid w:val="00EA0987"/>
    <w:rsid w:val="00EA0C68"/>
    <w:rsid w:val="00EA32BC"/>
    <w:rsid w:val="00EA4302"/>
    <w:rsid w:val="00EB4511"/>
    <w:rsid w:val="00EC03D7"/>
    <w:rsid w:val="00ED4FDC"/>
    <w:rsid w:val="00ED62C6"/>
    <w:rsid w:val="00ED64C1"/>
    <w:rsid w:val="00EE3446"/>
    <w:rsid w:val="00EE3E78"/>
    <w:rsid w:val="00EE4B1B"/>
    <w:rsid w:val="00EE7F19"/>
    <w:rsid w:val="00EF150D"/>
    <w:rsid w:val="00EF1F5A"/>
    <w:rsid w:val="00EF3741"/>
    <w:rsid w:val="00EF47BF"/>
    <w:rsid w:val="00F00320"/>
    <w:rsid w:val="00F04811"/>
    <w:rsid w:val="00F0488C"/>
    <w:rsid w:val="00F10F11"/>
    <w:rsid w:val="00F1290A"/>
    <w:rsid w:val="00F15AAA"/>
    <w:rsid w:val="00F15BEF"/>
    <w:rsid w:val="00F24407"/>
    <w:rsid w:val="00F24931"/>
    <w:rsid w:val="00F24FAA"/>
    <w:rsid w:val="00F32B91"/>
    <w:rsid w:val="00F3364D"/>
    <w:rsid w:val="00F437CC"/>
    <w:rsid w:val="00F44537"/>
    <w:rsid w:val="00F44B6A"/>
    <w:rsid w:val="00F47067"/>
    <w:rsid w:val="00F50FC3"/>
    <w:rsid w:val="00F525EB"/>
    <w:rsid w:val="00F5617E"/>
    <w:rsid w:val="00F619C3"/>
    <w:rsid w:val="00F63DDE"/>
    <w:rsid w:val="00F63FB7"/>
    <w:rsid w:val="00F6421B"/>
    <w:rsid w:val="00F649D2"/>
    <w:rsid w:val="00F6602B"/>
    <w:rsid w:val="00F73A0C"/>
    <w:rsid w:val="00F756DB"/>
    <w:rsid w:val="00F84E7D"/>
    <w:rsid w:val="00F85066"/>
    <w:rsid w:val="00F8681C"/>
    <w:rsid w:val="00F87A4D"/>
    <w:rsid w:val="00F9785E"/>
    <w:rsid w:val="00FA5D4D"/>
    <w:rsid w:val="00FB0EE2"/>
    <w:rsid w:val="00FB542E"/>
    <w:rsid w:val="00FC0E5F"/>
    <w:rsid w:val="00FC1A95"/>
    <w:rsid w:val="00FC56DE"/>
    <w:rsid w:val="00FC684B"/>
    <w:rsid w:val="00FD3265"/>
    <w:rsid w:val="00FD5F92"/>
    <w:rsid w:val="00FE1DC1"/>
    <w:rsid w:val="00FE2F78"/>
    <w:rsid w:val="00FE65D5"/>
    <w:rsid w:val="00FF7B96"/>
    <w:rsid w:val="11D0C0D9"/>
    <w:rsid w:val="7BDB84E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4FA0"/>
    <w:pPr>
      <w:spacing w:after="240" w:line="276" w:lineRule="auto"/>
      <w:jc w:val="both"/>
    </w:pPr>
    <w:rPr>
      <w:rFonts w:ascii="Arial" w:eastAsia="Times New Roman" w:hAnsi="Arial"/>
      <w:szCs w:val="24"/>
      <w:lang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ind w:left="357" w:hanging="357"/>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customStyle="1" w:styleId="ts-alignment-element">
    <w:name w:val="ts-alignment-element"/>
    <w:basedOn w:val="Standardnpsmoodstavce"/>
    <w:rsid w:val="00E551F6"/>
  </w:style>
  <w:style w:type="character" w:customStyle="1" w:styleId="ts-alignment-element-highlighted">
    <w:name w:val="ts-alignment-element-highlighted"/>
    <w:basedOn w:val="Standardnpsmoodstavce"/>
    <w:rsid w:val="00E551F6"/>
  </w:style>
  <w:style w:type="character" w:styleId="Sledovanodkaz">
    <w:name w:val="FollowedHyperlink"/>
    <w:basedOn w:val="Standardnpsmoodstavce"/>
    <w:uiPriority w:val="99"/>
    <w:semiHidden/>
    <w:unhideWhenUsed/>
    <w:rsid w:val="003F3E6A"/>
    <w:rPr>
      <w:color w:val="800080" w:themeColor="followedHyperlink"/>
      <w:u w:val="single"/>
    </w:rPr>
  </w:style>
  <w:style w:type="paragraph" w:styleId="Textkomente">
    <w:name w:val="annotation text"/>
    <w:basedOn w:val="Normln"/>
    <w:link w:val="TextkomenteChar"/>
    <w:uiPriority w:val="99"/>
    <w:unhideWhenUsed/>
    <w:rsid w:val="00803507"/>
    <w:pPr>
      <w:spacing w:line="240" w:lineRule="auto"/>
    </w:pPr>
    <w:rPr>
      <w:szCs w:val="20"/>
    </w:rPr>
  </w:style>
  <w:style w:type="character" w:customStyle="1" w:styleId="TextkomenteChar">
    <w:name w:val="Text komentáře Char"/>
    <w:basedOn w:val="Standardnpsmoodstavce"/>
    <w:link w:val="Textkomente"/>
    <w:uiPriority w:val="99"/>
    <w:rsid w:val="00803507"/>
    <w:rPr>
      <w:rFonts w:ascii="Arial" w:eastAsia="Times New Roman" w:hAnsi="Arial"/>
      <w:lang w:eastAsia="cs-CZ"/>
    </w:rPr>
  </w:style>
  <w:style w:type="character" w:customStyle="1" w:styleId="PedmtkomenteChar">
    <w:name w:val="Předmět komentáře Char"/>
    <w:basedOn w:val="TextkomenteChar"/>
    <w:link w:val="Pedmtkomente"/>
    <w:uiPriority w:val="99"/>
    <w:semiHidden/>
    <w:rsid w:val="00803507"/>
    <w:rPr>
      <w:rFonts w:ascii="Arial" w:eastAsia="Times New Roman" w:hAnsi="Arial"/>
      <w:b/>
      <w:bCs/>
      <w:lang w:eastAsia="cs-CZ"/>
    </w:rPr>
  </w:style>
  <w:style w:type="paragraph" w:styleId="Pedmtkomente">
    <w:name w:val="annotation subject"/>
    <w:basedOn w:val="Textkomente"/>
    <w:next w:val="Textkomente"/>
    <w:link w:val="PedmtkomenteChar"/>
    <w:uiPriority w:val="99"/>
    <w:semiHidden/>
    <w:unhideWhenUsed/>
    <w:rsid w:val="00803507"/>
    <w:rPr>
      <w:b/>
      <w:bCs/>
    </w:rPr>
  </w:style>
  <w:style w:type="character" w:customStyle="1" w:styleId="RozloendokumentuChar">
    <w:name w:val="Rozložení dokumentu Char"/>
    <w:basedOn w:val="Standardnpsmoodstavce"/>
    <w:link w:val="Rozloendokumentu"/>
    <w:uiPriority w:val="99"/>
    <w:semiHidden/>
    <w:rsid w:val="00803507"/>
    <w:rPr>
      <w:rFonts w:ascii="Tahoma" w:hAnsi="Tahoma" w:cs="Tahoma"/>
      <w:sz w:val="16"/>
      <w:szCs w:val="16"/>
      <w:lang w:eastAsia="cs-CZ"/>
    </w:rPr>
  </w:style>
  <w:style w:type="paragraph" w:styleId="Rozloendokumentu">
    <w:name w:val="Document Map"/>
    <w:basedOn w:val="Normln"/>
    <w:link w:val="RozloendokumentuChar"/>
    <w:uiPriority w:val="99"/>
    <w:semiHidden/>
    <w:rsid w:val="00803507"/>
    <w:pPr>
      <w:spacing w:after="0" w:line="288" w:lineRule="auto"/>
      <w:jc w:val="left"/>
    </w:pPr>
    <w:rPr>
      <w:rFonts w:ascii="Tahoma" w:eastAsia="Calibri" w:hAnsi="Tahoma" w:cs="Tahoma"/>
      <w:sz w:val="16"/>
      <w:szCs w:val="16"/>
    </w:rPr>
  </w:style>
  <w:style w:type="paragraph" w:customStyle="1" w:styleId="Nadpis12">
    <w:name w:val="Nadpis 12"/>
    <w:basedOn w:val="Normln"/>
    <w:uiPriority w:val="9"/>
    <w:qFormat/>
    <w:rsid w:val="00803507"/>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803507"/>
  </w:style>
  <w:style w:type="character" w:customStyle="1" w:styleId="odkaz-style-wrapper">
    <w:name w:val="odkaz-style-wrapper"/>
    <w:basedOn w:val="Standardnpsmoodstavce"/>
    <w:rsid w:val="00803507"/>
  </w:style>
  <w:style w:type="character" w:customStyle="1" w:styleId="tabulka">
    <w:name w:val="tabulka"/>
    <w:basedOn w:val="Standardnpsmoodstavce"/>
    <w:rsid w:val="00803507"/>
  </w:style>
  <w:style w:type="paragraph" w:customStyle="1" w:styleId="Default">
    <w:name w:val="Default"/>
    <w:rsid w:val="00803507"/>
    <w:pPr>
      <w:autoSpaceDE w:val="0"/>
      <w:autoSpaceDN w:val="0"/>
      <w:adjustRightInd w:val="0"/>
    </w:pPr>
    <w:rPr>
      <w:rFonts w:cs="Calibri"/>
      <w:color w:val="000000"/>
      <w:sz w:val="24"/>
      <w:szCs w:val="24"/>
    </w:rPr>
  </w:style>
  <w:style w:type="character" w:customStyle="1" w:styleId="FormtovanvHTMLChar">
    <w:name w:val="Formátovaný v HTML Char"/>
    <w:basedOn w:val="Standardnpsmoodstavce"/>
    <w:link w:val="FormtovanvHTML"/>
    <w:uiPriority w:val="99"/>
    <w:semiHidden/>
    <w:rsid w:val="00803507"/>
    <w:rPr>
      <w:rFonts w:ascii="Courier New" w:eastAsia="Times New Roman" w:hAnsi="Courier New" w:cs="Courier New"/>
      <w:lang w:eastAsia="cs-CZ"/>
    </w:rPr>
  </w:style>
  <w:style w:type="paragraph" w:styleId="FormtovanvHTML">
    <w:name w:val="HTML Preformatted"/>
    <w:basedOn w:val="Normln"/>
    <w:link w:val="FormtovanvHTMLChar"/>
    <w:uiPriority w:val="99"/>
    <w:semiHidden/>
    <w:unhideWhenUsed/>
    <w:rsid w:val="00803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paragraph" w:customStyle="1" w:styleId="cay">
    <w:name w:val="c_ay"/>
    <w:basedOn w:val="Normln"/>
    <w:rsid w:val="00803507"/>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803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s://csu.gov.cz/update-of-the-compilation-method-international-trade-in-goods-change-of-ownership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czsocz-my.sharepoint.com/personal/karolina_zabojnikova_czso_cz/Documents/Dokumenty/Anal&#253;za/Q/2024Q4/eng/Makroanal&#253;za%20grafy_eng.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czsocz-my.sharepoint.com/personal/karolina_zabojnikova_czso_cz/Documents/Dokumenty/Anal&#253;za/Q/2024Q4/eng/Makroanal&#253;za%20grafy_eng.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324074074074073E-2"/>
          <c:y val="4.0005727376861394E-2"/>
          <c:w val="0.88059911616161612"/>
          <c:h val="0.76044243986254301"/>
        </c:manualLayout>
      </c:layout>
      <c:barChart>
        <c:barDir val="col"/>
        <c:grouping val="clustered"/>
        <c:varyColors val="0"/>
        <c:ser>
          <c:idx val="2"/>
          <c:order val="2"/>
          <c:tx>
            <c:strRef>
              <c:f>'Vnější vztahy'!$E$6</c:f>
              <c:strCache>
                <c:ptCount val="1"/>
                <c:pt idx="0">
                  <c:v>Balance</c:v>
                </c:pt>
              </c:strCache>
            </c:strRef>
          </c:tx>
          <c:spPr>
            <a:solidFill>
              <a:srgbClr val="A6A6A6"/>
            </a:solidFill>
            <a:ln>
              <a:noFill/>
            </a:ln>
            <a:effectLst/>
          </c:spPr>
          <c:invertIfNegative val="0"/>
          <c:cat>
            <c:multiLvlStrRef>
              <c:f>'Vnější vztahy'!$A$7:$B$30</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'Vnější vztahy'!$E$7:$E$30</c:f>
              <c:numCache>
                <c:formatCode>0.0</c:formatCode>
                <c:ptCount val="24"/>
                <c:pt idx="0">
                  <c:v>48.244762452000003</c:v>
                </c:pt>
                <c:pt idx="1">
                  <c:v>56.993667721000001</c:v>
                </c:pt>
                <c:pt idx="2">
                  <c:v>27.532477373999999</c:v>
                </c:pt>
                <c:pt idx="3">
                  <c:v>12.923809864000001</c:v>
                </c:pt>
                <c:pt idx="4">
                  <c:v>36.182428658999996</c:v>
                </c:pt>
                <c:pt idx="5">
                  <c:v>9.2911503559999993</c:v>
                </c:pt>
                <c:pt idx="6">
                  <c:v>55.286836668000007</c:v>
                </c:pt>
                <c:pt idx="7">
                  <c:v>78.879761297999991</c:v>
                </c:pt>
                <c:pt idx="8">
                  <c:v>60.916821217999995</c:v>
                </c:pt>
                <c:pt idx="9">
                  <c:v>13.848192235000001</c:v>
                </c:pt>
                <c:pt idx="10">
                  <c:v>-54.700282055000002</c:v>
                </c:pt>
                <c:pt idx="11">
                  <c:v>-29.269374235000001</c:v>
                </c:pt>
                <c:pt idx="12">
                  <c:v>-12.635912592</c:v>
                </c:pt>
                <c:pt idx="13">
                  <c:v>-73.225200095999995</c:v>
                </c:pt>
                <c:pt idx="14">
                  <c:v>-64.314002961</c:v>
                </c:pt>
                <c:pt idx="15">
                  <c:v>-54.639469009000003</c:v>
                </c:pt>
                <c:pt idx="16">
                  <c:v>40.885161205999999</c:v>
                </c:pt>
                <c:pt idx="17">
                  <c:v>36.180839551999995</c:v>
                </c:pt>
                <c:pt idx="18">
                  <c:v>-1.2235418870000001</c:v>
                </c:pt>
                <c:pt idx="19">
                  <c:v>46.660049057999998</c:v>
                </c:pt>
                <c:pt idx="20">
                  <c:v>83.861406485000003</c:v>
                </c:pt>
                <c:pt idx="21">
                  <c:v>71.623099046000007</c:v>
                </c:pt>
                <c:pt idx="22">
                  <c:v>28.836845807000003</c:v>
                </c:pt>
                <c:pt idx="23">
                  <c:v>43.716757235999999</c:v>
                </c:pt>
              </c:numCache>
            </c:numRef>
          </c:val>
          <c:extLst>
            <c:ext xmlns:c16="http://schemas.microsoft.com/office/drawing/2014/chart" uri="{C3380CC4-5D6E-409C-BE32-E72D297353CC}">
              <c16:uniqueId val="{00000000-0FDC-4A1C-969C-4A0458B8636B}"/>
            </c:ext>
          </c:extLst>
        </c:ser>
        <c:dLbls>
          <c:showLegendKey val="0"/>
          <c:showVal val="0"/>
          <c:showCatName val="0"/>
          <c:showSerName val="0"/>
          <c:showPercent val="0"/>
          <c:showBubbleSize val="0"/>
        </c:dLbls>
        <c:gapWidth val="90"/>
        <c:axId val="1842150016"/>
        <c:axId val="1842137120"/>
      </c:barChart>
      <c:lineChart>
        <c:grouping val="standard"/>
        <c:varyColors val="0"/>
        <c:ser>
          <c:idx val="0"/>
          <c:order val="0"/>
          <c:tx>
            <c:strRef>
              <c:f>'Vnější vztahy'!$C$6</c:f>
              <c:strCache>
                <c:ptCount val="1"/>
                <c:pt idx="0">
                  <c:v>Export</c:v>
                </c:pt>
              </c:strCache>
            </c:strRef>
          </c:tx>
          <c:spPr>
            <a:ln w="28575" cap="rnd">
              <a:noFill/>
              <a:round/>
            </a:ln>
            <a:effectLst/>
          </c:spPr>
          <c:marker>
            <c:symbol val="dash"/>
            <c:size val="9"/>
            <c:spPr>
              <a:solidFill>
                <a:srgbClr val="0071BC"/>
              </a:solidFill>
              <a:ln w="9525">
                <a:noFill/>
              </a:ln>
              <a:effectLst/>
            </c:spPr>
          </c:marker>
          <c:cat>
            <c:multiLvlStrRef>
              <c:f>'Vnější vztahy'!$A$7:$B$30</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'Vnější vztahy'!$C$7:$C$30</c:f>
              <c:numCache>
                <c:formatCode>0.0</c:formatCode>
                <c:ptCount val="24"/>
                <c:pt idx="0">
                  <c:v>3.7143750821000054</c:v>
                </c:pt>
                <c:pt idx="1">
                  <c:v>3.3683840658000008</c:v>
                </c:pt>
                <c:pt idx="2">
                  <c:v>4.8286280231999967</c:v>
                </c:pt>
                <c:pt idx="3">
                  <c:v>-3.1636168855000051</c:v>
                </c:pt>
                <c:pt idx="4">
                  <c:v>-6.4135636115999972</c:v>
                </c:pt>
                <c:pt idx="5">
                  <c:v>-25.037497579399997</c:v>
                </c:pt>
                <c:pt idx="6">
                  <c:v>-3.5785611728999953</c:v>
                </c:pt>
                <c:pt idx="7">
                  <c:v>7.411852265899995</c:v>
                </c:pt>
                <c:pt idx="8">
                  <c:v>10.962313304399999</c:v>
                </c:pt>
                <c:pt idx="9">
                  <c:v>41.981094956100009</c:v>
                </c:pt>
                <c:pt idx="10">
                  <c:v>3.4515742189000065</c:v>
                </c:pt>
                <c:pt idx="11">
                  <c:v>2.749198525500006</c:v>
                </c:pt>
                <c:pt idx="12">
                  <c:v>8.0064988441999958</c:v>
                </c:pt>
                <c:pt idx="13">
                  <c:v>11.287163968300007</c:v>
                </c:pt>
                <c:pt idx="14">
                  <c:v>22.470879917399998</c:v>
                </c:pt>
                <c:pt idx="15">
                  <c:v>13.234980039600003</c:v>
                </c:pt>
                <c:pt idx="16">
                  <c:v>10.691327997000002</c:v>
                </c:pt>
                <c:pt idx="17">
                  <c:v>0.90534101039999371</c:v>
                </c:pt>
                <c:pt idx="18">
                  <c:v>-6.7264620790000009</c:v>
                </c:pt>
                <c:pt idx="19">
                  <c:v>-1.1504207308999952</c:v>
                </c:pt>
                <c:pt idx="20">
                  <c:v>-0.1781985149000036</c:v>
                </c:pt>
                <c:pt idx="21" formatCode="General">
                  <c:v>4.4477201289000021</c:v>
                </c:pt>
                <c:pt idx="22" formatCode="General">
                  <c:v>10.501310061400005</c:v>
                </c:pt>
                <c:pt idx="23" formatCode="General">
                  <c:v>4.5227802535000023</c:v>
                </c:pt>
              </c:numCache>
            </c:numRef>
          </c:val>
          <c:smooth val="0"/>
          <c:extLst>
            <c:ext xmlns:c16="http://schemas.microsoft.com/office/drawing/2014/chart" uri="{C3380CC4-5D6E-409C-BE32-E72D297353CC}">
              <c16:uniqueId val="{00000001-0FDC-4A1C-969C-4A0458B8636B}"/>
            </c:ext>
          </c:extLst>
        </c:ser>
        <c:ser>
          <c:idx val="1"/>
          <c:order val="1"/>
          <c:tx>
            <c:strRef>
              <c:f>'Vnější vztahy'!$D$6</c:f>
              <c:strCache>
                <c:ptCount val="1"/>
                <c:pt idx="0">
                  <c:v>Import</c:v>
                </c:pt>
              </c:strCache>
            </c:strRef>
          </c:tx>
          <c:spPr>
            <a:ln w="28575" cap="rnd">
              <a:noFill/>
              <a:round/>
            </a:ln>
            <a:effectLst/>
          </c:spPr>
          <c:marker>
            <c:symbol val="dash"/>
            <c:size val="9"/>
            <c:spPr>
              <a:solidFill>
                <a:srgbClr val="BD1B21"/>
              </a:solidFill>
              <a:ln w="9525">
                <a:noFill/>
              </a:ln>
              <a:effectLst/>
            </c:spPr>
          </c:marker>
          <c:cat>
            <c:multiLvlStrRef>
              <c:f>'Vnější vztahy'!$A$7:$B$30</c:f>
              <c:multiLvlStrCache>
                <c:ptCount val="24"/>
                <c:lvl>
                  <c:pt idx="0">
                    <c:v>1</c:v>
                  </c:pt>
                  <c:pt idx="1">
                    <c:v>2</c:v>
                  </c:pt>
                  <c:pt idx="2">
                    <c:v>3</c:v>
                  </c:pt>
                  <c:pt idx="3">
                    <c:v>4</c:v>
                  </c:pt>
                  <c:pt idx="4">
                    <c:v>1</c:v>
                  </c:pt>
                  <c:pt idx="5">
                    <c:v>2</c:v>
                  </c:pt>
                  <c:pt idx="6">
                    <c:v>3</c:v>
                  </c:pt>
                  <c:pt idx="7">
                    <c:v>4</c:v>
                  </c:pt>
                  <c:pt idx="8">
                    <c:v>1</c:v>
                  </c:pt>
                  <c:pt idx="9">
                    <c:v>2</c:v>
                  </c:pt>
                  <c:pt idx="10">
                    <c:v>3</c:v>
                  </c:pt>
                  <c:pt idx="11">
                    <c:v>4</c:v>
                  </c:pt>
                  <c:pt idx="12">
                    <c:v>1</c:v>
                  </c:pt>
                  <c:pt idx="13">
                    <c:v>2</c:v>
                  </c:pt>
                  <c:pt idx="14">
                    <c:v>3</c:v>
                  </c:pt>
                  <c:pt idx="15">
                    <c:v>4</c:v>
                  </c:pt>
                  <c:pt idx="16">
                    <c:v>1</c:v>
                  </c:pt>
                  <c:pt idx="17">
                    <c:v>2</c:v>
                  </c:pt>
                  <c:pt idx="18">
                    <c:v>3</c:v>
                  </c:pt>
                  <c:pt idx="19">
                    <c:v>4</c:v>
                  </c:pt>
                  <c:pt idx="20">
                    <c:v>1</c:v>
                  </c:pt>
                  <c:pt idx="21">
                    <c:v>2</c:v>
                  </c:pt>
                  <c:pt idx="22">
                    <c:v>3</c:v>
                  </c:pt>
                  <c:pt idx="23">
                    <c:v>4</c:v>
                  </c:pt>
                </c:lvl>
                <c:lvl>
                  <c:pt idx="0">
                    <c:v>2019</c:v>
                  </c:pt>
                  <c:pt idx="4">
                    <c:v>2020</c:v>
                  </c:pt>
                  <c:pt idx="8">
                    <c:v>2021</c:v>
                  </c:pt>
                  <c:pt idx="12">
                    <c:v>2022</c:v>
                  </c:pt>
                  <c:pt idx="16">
                    <c:v>2023</c:v>
                  </c:pt>
                  <c:pt idx="20">
                    <c:v>2024</c:v>
                  </c:pt>
                </c:lvl>
              </c:multiLvlStrCache>
            </c:multiLvlStrRef>
          </c:cat>
          <c:val>
            <c:numRef>
              <c:f>'Vnější vztahy'!$D$7:$D$30</c:f>
              <c:numCache>
                <c:formatCode>0.0</c:formatCode>
                <c:ptCount val="24"/>
                <c:pt idx="0">
                  <c:v>4.8123766788999944</c:v>
                </c:pt>
                <c:pt idx="1">
                  <c:v>1.0619237693999963</c:v>
                </c:pt>
                <c:pt idx="2">
                  <c:v>1.0984183013000006</c:v>
                </c:pt>
                <c:pt idx="3">
                  <c:v>-3.3198043863000066</c:v>
                </c:pt>
                <c:pt idx="4">
                  <c:v>-5.3981676209999989</c:v>
                </c:pt>
                <c:pt idx="5">
                  <c:v>-21.285728278400001</c:v>
                </c:pt>
                <c:pt idx="6">
                  <c:v>-6.8912364523999941</c:v>
                </c:pt>
                <c:pt idx="7">
                  <c:v>0.22314936540000474</c:v>
                </c:pt>
                <c:pt idx="8">
                  <c:v>8.4767312925000056</c:v>
                </c:pt>
                <c:pt idx="9">
                  <c:v>41.887499316600014</c:v>
                </c:pt>
                <c:pt idx="10">
                  <c:v>17.303793961099998</c:v>
                </c:pt>
                <c:pt idx="11">
                  <c:v>14.923030300799994</c:v>
                </c:pt>
                <c:pt idx="12">
                  <c:v>16.659765110899997</c:v>
                </c:pt>
                <c:pt idx="13">
                  <c:v>20.193090002000005</c:v>
                </c:pt>
                <c:pt idx="14">
                  <c:v>22.188267180799997</c:v>
                </c:pt>
                <c:pt idx="15">
                  <c:v>15.2991180633</c:v>
                </c:pt>
                <c:pt idx="16">
                  <c:v>5.5018043466999984</c:v>
                </c:pt>
                <c:pt idx="17">
                  <c:v>-8.2960208406999953</c:v>
                </c:pt>
                <c:pt idx="18">
                  <c:v>-11.801975368499996</c:v>
                </c:pt>
                <c:pt idx="19">
                  <c:v>-9.5344571271999996</c:v>
                </c:pt>
                <c:pt idx="20">
                  <c:v>-4.0372515911000022</c:v>
                </c:pt>
                <c:pt idx="21" formatCode="General">
                  <c:v>1.3635382479999976</c:v>
                </c:pt>
                <c:pt idx="22" formatCode="General">
                  <c:v>7.5449746000000033</c:v>
                </c:pt>
                <c:pt idx="23" formatCode="General">
                  <c:v>4.988011342799993</c:v>
                </c:pt>
              </c:numCache>
            </c:numRef>
          </c:val>
          <c:smooth val="0"/>
          <c:extLst>
            <c:ext xmlns:c16="http://schemas.microsoft.com/office/drawing/2014/chart" uri="{C3380CC4-5D6E-409C-BE32-E72D297353CC}">
              <c16:uniqueId val="{00000002-0FDC-4A1C-969C-4A0458B8636B}"/>
            </c:ext>
          </c:extLst>
        </c:ser>
        <c:dLbls>
          <c:showLegendKey val="0"/>
          <c:showVal val="0"/>
          <c:showCatName val="0"/>
          <c:showSerName val="0"/>
          <c:showPercent val="0"/>
          <c:showBubbleSize val="0"/>
        </c:dLbls>
        <c:marker val="1"/>
        <c:smooth val="0"/>
        <c:axId val="1621653648"/>
        <c:axId val="1621653232"/>
      </c:lineChart>
      <c:catAx>
        <c:axId val="162165364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crossAx val="1621653232"/>
        <c:crosses val="autoZero"/>
        <c:auto val="1"/>
        <c:lblAlgn val="ctr"/>
        <c:lblOffset val="100"/>
        <c:noMultiLvlLbl val="0"/>
      </c:catAx>
      <c:valAx>
        <c:axId val="1621653232"/>
        <c:scaling>
          <c:orientation val="minMax"/>
          <c:min val="-4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crossAx val="1621653648"/>
        <c:crosses val="autoZero"/>
        <c:crossBetween val="between"/>
      </c:valAx>
      <c:valAx>
        <c:axId val="1842137120"/>
        <c:scaling>
          <c:orientation val="minMax"/>
          <c:min val="-8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crossAx val="1842150016"/>
        <c:crosses val="max"/>
        <c:crossBetween val="between"/>
      </c:valAx>
      <c:catAx>
        <c:axId val="1842150016"/>
        <c:scaling>
          <c:orientation val="minMax"/>
        </c:scaling>
        <c:delete val="1"/>
        <c:axPos val="b"/>
        <c:numFmt formatCode="General" sourceLinked="1"/>
        <c:majorTickMark val="out"/>
        <c:minorTickMark val="none"/>
        <c:tickLblPos val="nextTo"/>
        <c:crossAx val="1842137120"/>
        <c:crosses val="autoZero"/>
        <c:auto val="1"/>
        <c:lblAlgn val="ctr"/>
        <c:lblOffset val="100"/>
        <c:noMultiLvlLbl val="0"/>
      </c:catAx>
      <c:spPr>
        <a:noFill/>
        <a:ln>
          <a:noFill/>
        </a:ln>
        <a:effectLst/>
      </c:spPr>
    </c:plotArea>
    <c:legend>
      <c:legendPos val="b"/>
      <c:layout>
        <c:manualLayout>
          <c:xMode val="edge"/>
          <c:yMode val="edge"/>
          <c:x val="6.7334595959595941E-2"/>
          <c:y val="0.9241869988545246"/>
          <c:w val="0.85464057239057234"/>
          <c:h val="5.3991695303550975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mn-cs"/>
            </a:defRPr>
          </a:pPr>
          <a:endParaRPr lang="cs-CZ"/>
        </a:p>
      </c:txPr>
    </c:legend>
    <c:plotVisOnly val="1"/>
    <c:dispBlanksAs val="gap"/>
    <c:showDLblsOverMax val="0"/>
  </c:chart>
  <c:spPr>
    <a:solidFill>
      <a:schemeClr val="bg1"/>
    </a:solidFill>
    <a:ln w="9525" cap="flat" cmpd="sng" algn="ctr">
      <a:noFill/>
      <a:round/>
    </a:ln>
    <a:effectLst/>
  </c:spPr>
  <c:txPr>
    <a:bodyPr/>
    <a:lstStyle/>
    <a:p>
      <a:pPr>
        <a:defRPr sz="800" baseline="0">
          <a:latin typeface="Arial" panose="020B0604020202020204" pitchFamily="34" charset="0"/>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069916774474014E-2"/>
          <c:y val="4.15424531457926E-2"/>
          <c:w val="0.88202003907252513"/>
          <c:h val="0.83555297762624581"/>
        </c:manualLayout>
      </c:layout>
      <c:barChart>
        <c:barDir val="col"/>
        <c:grouping val="clustered"/>
        <c:varyColors val="0"/>
        <c:ser>
          <c:idx val="2"/>
          <c:order val="2"/>
          <c:tx>
            <c:strRef>
              <c:f>'Vnější vztahy_a'!$D$4</c:f>
              <c:strCache>
                <c:ptCount val="1"/>
                <c:pt idx="0">
                  <c:v>Balance</c:v>
                </c:pt>
              </c:strCache>
            </c:strRef>
          </c:tx>
          <c:spPr>
            <a:solidFill>
              <a:schemeClr val="bg1">
                <a:lumMod val="50000"/>
              </a:schemeClr>
            </a:solidFill>
            <a:ln>
              <a:noFill/>
            </a:ln>
            <a:effectLst/>
          </c:spPr>
          <c:invertIfNegative val="0"/>
          <c:cat>
            <c:strRef>
              <c:f>'Vnější vztahy_a'!$A$9:$A$23</c:f>
              <c:strCache>
                <c:ptCount val="15"/>
                <c:pt idx="0">
                  <c:v>2010</c:v>
                </c:pt>
                <c:pt idx="1">
                  <c:v>2011</c:v>
                </c:pt>
                <c:pt idx="2">
                  <c:v>2012</c:v>
                </c:pt>
                <c:pt idx="3">
                  <c:v>2013</c:v>
                </c:pt>
                <c:pt idx="4">
                  <c:v>2014</c:v>
                </c:pt>
                <c:pt idx="5">
                  <c:v> 2015</c:v>
                </c:pt>
                <c:pt idx="6">
                  <c:v>2016</c:v>
                </c:pt>
                <c:pt idx="7">
                  <c:v>2017</c:v>
                </c:pt>
                <c:pt idx="8">
                  <c:v>2018</c:v>
                </c:pt>
                <c:pt idx="9">
                  <c:v>2019</c:v>
                </c:pt>
                <c:pt idx="10">
                  <c:v>2020</c:v>
                </c:pt>
                <c:pt idx="11">
                  <c:v>2021</c:v>
                </c:pt>
                <c:pt idx="12">
                  <c:v>2022</c:v>
                </c:pt>
                <c:pt idx="13">
                  <c:v>2023</c:v>
                </c:pt>
                <c:pt idx="14">
                  <c:v>2024</c:v>
                </c:pt>
              </c:strCache>
            </c:strRef>
          </c:cat>
          <c:val>
            <c:numRef>
              <c:f>'Vnější vztahy_a'!$D$9:$D$23</c:f>
              <c:numCache>
                <c:formatCode>General</c:formatCode>
                <c:ptCount val="15"/>
                <c:pt idx="0">
                  <c:v>-20.579000000000001</c:v>
                </c:pt>
                <c:pt idx="1">
                  <c:v>11.977</c:v>
                </c:pt>
                <c:pt idx="2">
                  <c:v>64.41</c:v>
                </c:pt>
                <c:pt idx="3">
                  <c:v>106.518</c:v>
                </c:pt>
                <c:pt idx="4">
                  <c:v>146.00899999999999</c:v>
                </c:pt>
                <c:pt idx="5">
                  <c:v>130.97677807700001</c:v>
                </c:pt>
                <c:pt idx="6">
                  <c:v>163.65449183600001</c:v>
                </c:pt>
                <c:pt idx="7">
                  <c:v>163.466347926</c:v>
                </c:pt>
                <c:pt idx="8">
                  <c:v>98.465823833000002</c:v>
                </c:pt>
                <c:pt idx="9">
                  <c:v>145.69471741100003</c:v>
                </c:pt>
                <c:pt idx="10">
                  <c:v>179.640176981</c:v>
                </c:pt>
                <c:pt idx="11">
                  <c:v>-9.2046428370000104</c:v>
                </c:pt>
                <c:pt idx="12">
                  <c:v>-204.81458465799997</c:v>
                </c:pt>
                <c:pt idx="13">
                  <c:v>122.50250792899999</c:v>
                </c:pt>
                <c:pt idx="14">
                  <c:v>228.03810857400001</c:v>
                </c:pt>
              </c:numCache>
            </c:numRef>
          </c:val>
          <c:extLst>
            <c:ext xmlns:c16="http://schemas.microsoft.com/office/drawing/2014/chart" uri="{C3380CC4-5D6E-409C-BE32-E72D297353CC}">
              <c16:uniqueId val="{00000000-4397-4DE6-8AF4-11FA603F52B9}"/>
            </c:ext>
          </c:extLst>
        </c:ser>
        <c:dLbls>
          <c:showLegendKey val="0"/>
          <c:showVal val="0"/>
          <c:showCatName val="0"/>
          <c:showSerName val="0"/>
          <c:showPercent val="0"/>
          <c:showBubbleSize val="0"/>
        </c:dLbls>
        <c:gapWidth val="100"/>
        <c:axId val="1171842912"/>
        <c:axId val="1599917024"/>
      </c:barChart>
      <c:lineChart>
        <c:grouping val="standard"/>
        <c:varyColors val="0"/>
        <c:ser>
          <c:idx val="0"/>
          <c:order val="0"/>
          <c:tx>
            <c:strRef>
              <c:f>'Vnější vztahy_a'!$B$4</c:f>
              <c:strCache>
                <c:ptCount val="1"/>
                <c:pt idx="0">
                  <c:v>Export</c:v>
                </c:pt>
              </c:strCache>
            </c:strRef>
          </c:tx>
          <c:spPr>
            <a:ln w="28575" cap="rnd">
              <a:noFill/>
              <a:round/>
            </a:ln>
            <a:effectLst/>
          </c:spPr>
          <c:marker>
            <c:symbol val="dash"/>
            <c:size val="10"/>
            <c:spPr>
              <a:solidFill>
                <a:srgbClr val="0070C0"/>
              </a:solidFill>
              <a:ln w="9525">
                <a:solidFill>
                  <a:srgbClr val="0070C0"/>
                </a:solidFill>
              </a:ln>
              <a:effectLst/>
            </c:spPr>
          </c:marker>
          <c:cat>
            <c:strRef>
              <c:f>'Vnější vztahy_a'!$A$9:$A$23</c:f>
              <c:strCache>
                <c:ptCount val="15"/>
                <c:pt idx="0">
                  <c:v>2010</c:v>
                </c:pt>
                <c:pt idx="1">
                  <c:v>2011</c:v>
                </c:pt>
                <c:pt idx="2">
                  <c:v>2012</c:v>
                </c:pt>
                <c:pt idx="3">
                  <c:v>2013</c:v>
                </c:pt>
                <c:pt idx="4">
                  <c:v>2014</c:v>
                </c:pt>
                <c:pt idx="5">
                  <c:v> 2015</c:v>
                </c:pt>
                <c:pt idx="6">
                  <c:v>2016</c:v>
                </c:pt>
                <c:pt idx="7">
                  <c:v>2017</c:v>
                </c:pt>
                <c:pt idx="8">
                  <c:v>2018</c:v>
                </c:pt>
                <c:pt idx="9">
                  <c:v>2019</c:v>
                </c:pt>
                <c:pt idx="10">
                  <c:v>2020</c:v>
                </c:pt>
                <c:pt idx="11">
                  <c:v>2021</c:v>
                </c:pt>
                <c:pt idx="12">
                  <c:v>2022</c:v>
                </c:pt>
                <c:pt idx="13">
                  <c:v>2023</c:v>
                </c:pt>
                <c:pt idx="14">
                  <c:v>2024</c:v>
                </c:pt>
              </c:strCache>
            </c:strRef>
          </c:cat>
          <c:val>
            <c:numRef>
              <c:f>'Vnější vztahy_a'!$B$9:$B$23</c:f>
              <c:numCache>
                <c:formatCode>General</c:formatCode>
                <c:ptCount val="15"/>
                <c:pt idx="0">
                  <c:v>14.827022335007905</c:v>
                </c:pt>
                <c:pt idx="1">
                  <c:v>10.112037607700053</c:v>
                </c:pt>
                <c:pt idx="2">
                  <c:v>6.0251090942966021</c:v>
                </c:pt>
                <c:pt idx="3">
                  <c:v>2.2153513610284965</c:v>
                </c:pt>
                <c:pt idx="4">
                  <c:v>13.027208809035864</c:v>
                </c:pt>
                <c:pt idx="5">
                  <c:v>3.612768163576892</c:v>
                </c:pt>
                <c:pt idx="6">
                  <c:v>1.1074296541764621</c:v>
                </c:pt>
                <c:pt idx="7">
                  <c:v>6.4802705295808352</c:v>
                </c:pt>
                <c:pt idx="8">
                  <c:v>2.9418083571864679</c:v>
                </c:pt>
                <c:pt idx="9">
                  <c:v>2.0884439685547518</c:v>
                </c:pt>
                <c:pt idx="10">
                  <c:v>-7.0747075448299643</c:v>
                </c:pt>
                <c:pt idx="11">
                  <c:v>13.140723420675538</c:v>
                </c:pt>
                <c:pt idx="12">
                  <c:v>13.550170704130682</c:v>
                </c:pt>
                <c:pt idx="13">
                  <c:v>0.79694469771656307</c:v>
                </c:pt>
                <c:pt idx="14">
                  <c:v>4.6525170878743634</c:v>
                </c:pt>
              </c:numCache>
            </c:numRef>
          </c:val>
          <c:smooth val="0"/>
          <c:extLst>
            <c:ext xmlns:c16="http://schemas.microsoft.com/office/drawing/2014/chart" uri="{C3380CC4-5D6E-409C-BE32-E72D297353CC}">
              <c16:uniqueId val="{00000001-4397-4DE6-8AF4-11FA603F52B9}"/>
            </c:ext>
          </c:extLst>
        </c:ser>
        <c:ser>
          <c:idx val="1"/>
          <c:order val="1"/>
          <c:tx>
            <c:strRef>
              <c:f>'Vnější vztahy_a'!$C$4</c:f>
              <c:strCache>
                <c:ptCount val="1"/>
                <c:pt idx="0">
                  <c:v>Import</c:v>
                </c:pt>
              </c:strCache>
            </c:strRef>
          </c:tx>
          <c:spPr>
            <a:ln w="28575" cap="rnd">
              <a:noFill/>
              <a:round/>
            </a:ln>
            <a:effectLst/>
          </c:spPr>
          <c:marker>
            <c:symbol val="dash"/>
            <c:size val="10"/>
            <c:spPr>
              <a:solidFill>
                <a:srgbClr val="BD1B21"/>
              </a:solidFill>
              <a:ln w="9525">
                <a:solidFill>
                  <a:srgbClr val="BD1B21"/>
                </a:solidFill>
              </a:ln>
              <a:effectLst/>
            </c:spPr>
          </c:marker>
          <c:cat>
            <c:strRef>
              <c:f>'Vnější vztahy_a'!$A$9:$A$23</c:f>
              <c:strCache>
                <c:ptCount val="15"/>
                <c:pt idx="0">
                  <c:v>2010</c:v>
                </c:pt>
                <c:pt idx="1">
                  <c:v>2011</c:v>
                </c:pt>
                <c:pt idx="2">
                  <c:v>2012</c:v>
                </c:pt>
                <c:pt idx="3">
                  <c:v>2013</c:v>
                </c:pt>
                <c:pt idx="4">
                  <c:v>2014</c:v>
                </c:pt>
                <c:pt idx="5">
                  <c:v> 2015</c:v>
                </c:pt>
                <c:pt idx="6">
                  <c:v>2016</c:v>
                </c:pt>
                <c:pt idx="7">
                  <c:v>2017</c:v>
                </c:pt>
                <c:pt idx="8">
                  <c:v>2018</c:v>
                </c:pt>
                <c:pt idx="9">
                  <c:v>2019</c:v>
                </c:pt>
                <c:pt idx="10">
                  <c:v>2020</c:v>
                </c:pt>
                <c:pt idx="11">
                  <c:v>2021</c:v>
                </c:pt>
                <c:pt idx="12">
                  <c:v>2022</c:v>
                </c:pt>
                <c:pt idx="13">
                  <c:v>2023</c:v>
                </c:pt>
                <c:pt idx="14">
                  <c:v>2024</c:v>
                </c:pt>
              </c:strCache>
            </c:strRef>
          </c:cat>
          <c:val>
            <c:numRef>
              <c:f>'Vnější vztahy_a'!$C$9:$C$23</c:f>
              <c:numCache>
                <c:formatCode>General</c:formatCode>
                <c:ptCount val="15"/>
                <c:pt idx="0">
                  <c:v>17.636423931022911</c:v>
                </c:pt>
                <c:pt idx="1">
                  <c:v>8.6415161627225725</c:v>
                </c:pt>
                <c:pt idx="2">
                  <c:v>4.0042767307394715</c:v>
                </c:pt>
                <c:pt idx="3">
                  <c:v>0.68681070942259659</c:v>
                </c:pt>
                <c:pt idx="4">
                  <c:v>12.071376353644107</c:v>
                </c:pt>
                <c:pt idx="5">
                  <c:v>4.2889556626306211</c:v>
                </c:pt>
                <c:pt idx="6">
                  <c:v>0.11038963287046219</c:v>
                </c:pt>
                <c:pt idx="7">
                  <c:v>6.8245079237178157</c:v>
                </c:pt>
                <c:pt idx="8">
                  <c:v>5.0260247733996914</c:v>
                </c:pt>
                <c:pt idx="9">
                  <c:v>0.80432261722676923</c:v>
                </c:pt>
                <c:pt idx="10">
                  <c:v>-8.3226511448622933</c:v>
                </c:pt>
                <c:pt idx="11">
                  <c:v>19.675778990593603</c:v>
                </c:pt>
                <c:pt idx="12">
                  <c:v>18.545883799731584</c:v>
                </c:pt>
                <c:pt idx="13">
                  <c:v>-6.3353146664739706</c:v>
                </c:pt>
                <c:pt idx="14">
                  <c:v>2.3414633609236661</c:v>
                </c:pt>
              </c:numCache>
            </c:numRef>
          </c:val>
          <c:smooth val="0"/>
          <c:extLst>
            <c:ext xmlns:c16="http://schemas.microsoft.com/office/drawing/2014/chart" uri="{C3380CC4-5D6E-409C-BE32-E72D297353CC}">
              <c16:uniqueId val="{00000002-4397-4DE6-8AF4-11FA603F52B9}"/>
            </c:ext>
          </c:extLst>
        </c:ser>
        <c:dLbls>
          <c:showLegendKey val="0"/>
          <c:showVal val="0"/>
          <c:showCatName val="0"/>
          <c:showSerName val="0"/>
          <c:showPercent val="0"/>
          <c:showBubbleSize val="0"/>
        </c:dLbls>
        <c:marker val="1"/>
        <c:smooth val="0"/>
        <c:axId val="1603910352"/>
        <c:axId val="1603910768"/>
      </c:lineChart>
      <c:catAx>
        <c:axId val="160391035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603910768"/>
        <c:crosses val="autoZero"/>
        <c:auto val="1"/>
        <c:lblAlgn val="ctr"/>
        <c:lblOffset val="100"/>
        <c:noMultiLvlLbl val="0"/>
      </c:catAx>
      <c:valAx>
        <c:axId val="1603910768"/>
        <c:scaling>
          <c:orientation val="minMax"/>
          <c:max val="21"/>
          <c:min val="-1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603910352"/>
        <c:crosses val="autoZero"/>
        <c:crossBetween val="between"/>
        <c:majorUnit val="3"/>
      </c:valAx>
      <c:valAx>
        <c:axId val="1599917024"/>
        <c:scaling>
          <c:orientation val="minMax"/>
          <c:max val="315"/>
          <c:min val="-225"/>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crossAx val="1171842912"/>
        <c:crosses val="max"/>
        <c:crossBetween val="between"/>
        <c:majorUnit val="45"/>
      </c:valAx>
      <c:catAx>
        <c:axId val="1171842912"/>
        <c:scaling>
          <c:orientation val="minMax"/>
        </c:scaling>
        <c:delete val="1"/>
        <c:axPos val="b"/>
        <c:numFmt formatCode="General" sourceLinked="1"/>
        <c:majorTickMark val="out"/>
        <c:minorTickMark val="none"/>
        <c:tickLblPos val="nextTo"/>
        <c:crossAx val="1599917024"/>
        <c:crosses val="autoZero"/>
        <c:auto val="1"/>
        <c:lblAlgn val="ctr"/>
        <c:lblOffset val="100"/>
        <c:noMultiLvlLbl val="0"/>
      </c:catAx>
      <c:spPr>
        <a:noFill/>
        <a:ln>
          <a:noFill/>
        </a:ln>
        <a:effectLst/>
      </c:spPr>
    </c:plotArea>
    <c:legend>
      <c:legendPos val="b"/>
      <c:layout>
        <c:manualLayout>
          <c:xMode val="edge"/>
          <c:yMode val="edge"/>
          <c:x val="6.7324160543034778E-2"/>
          <c:y val="0.92127482102101654"/>
          <c:w val="0.85470865828300857"/>
          <c:h val="5.6065659081278391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mn-cs"/>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baseline="0">
          <a:solidFill>
            <a:sysClr val="windowText" lastClr="000000"/>
          </a:solidFill>
          <a:latin typeface="Arial" panose="020B0604020202020204" pitchFamily="34" charset="0"/>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0204C7C21F48A488F44995C5F8FB06D" ma:contentTypeVersion="11" ma:contentTypeDescription="Vytvoří nový dokument" ma:contentTypeScope="" ma:versionID="1df8c39b067b5d25b5f5e865a8e6deb3">
  <xsd:schema xmlns:xsd="http://www.w3.org/2001/XMLSchema" xmlns:xs="http://www.w3.org/2001/XMLSchema" xmlns:p="http://schemas.microsoft.com/office/2006/metadata/properties" xmlns:ns3="b8c0c86d-151e-4fca-b0d5-747e6692fa1d" targetNamespace="http://schemas.microsoft.com/office/2006/metadata/properties" ma:root="true" ma:fieldsID="0a1e36cc980726b26aea9439dfb6e5b7" ns3:_="">
    <xsd:import namespace="b8c0c86d-151e-4fca-b0d5-747e6692fa1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0c86d-151e-4fca-b0d5-747e6692f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8A1E1-1E99-4B4F-B9B5-70567730AA3A}">
  <ds:schemaRefs>
    <ds:schemaRef ds:uri="http://schemas.microsoft.com/sharepoint/v3/contenttype/forms"/>
  </ds:schemaRefs>
</ds:datastoreItem>
</file>

<file path=customXml/itemProps2.xml><?xml version="1.0" encoding="utf-8"?>
<ds:datastoreItem xmlns:ds="http://schemas.openxmlformats.org/officeDocument/2006/customXml" ds:itemID="{6E43242F-3FB6-473C-87F1-89DD6C1DF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0c86d-151e-4fca-b0d5-747e6692f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681AD-41B0-431A-9D34-CF6700A12FAC}">
  <ds:schemaRefs>
    <ds:schemaRef ds:uri="http://schemas.microsoft.com/office/2006/documentManagement/types"/>
    <ds:schemaRef ds:uri="http://purl.org/dc/elements/1.1/"/>
    <ds:schemaRef ds:uri="b8c0c86d-151e-4fca-b0d5-747e6692fa1d"/>
    <ds:schemaRef ds:uri="http://www.w3.org/XML/1998/namespace"/>
    <ds:schemaRef ds:uri="http://schemas.microsoft.com/office/infopath/2007/PartnerControls"/>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9EBC049D-0E58-4443-9115-A6A0C4B5D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2075</Words>
  <Characters>12246</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3</cp:revision>
  <cp:lastPrinted>2014-07-17T14:07:00Z</cp:lastPrinted>
  <dcterms:created xsi:type="dcterms:W3CDTF">2025-04-24T09:24:00Z</dcterms:created>
  <dcterms:modified xsi:type="dcterms:W3CDTF">2025-04-24T09:33:00Z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0x01010070204C7C21F48A488F44995C5F8FB06D</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