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DC9CC" w14:textId="77777777" w:rsidR="00C67783" w:rsidRPr="00531339" w:rsidRDefault="0080527C" w:rsidP="0080527C">
      <w:pPr>
        <w:pStyle w:val="Nadpis2"/>
        <w:jc w:val="left"/>
      </w:pPr>
      <w:bookmarkStart w:id="0" w:name="_GoBack"/>
      <w:bookmarkEnd w:id="0"/>
      <w:r w:rsidRPr="00531339">
        <w:t xml:space="preserve">Methodological notes </w:t>
      </w:r>
    </w:p>
    <w:p w14:paraId="71435D64" w14:textId="77777777" w:rsidR="0080527C" w:rsidRPr="00531339" w:rsidRDefault="0080527C" w:rsidP="0080527C">
      <w:pPr>
        <w:pStyle w:val="Nadpis2"/>
        <w:jc w:val="left"/>
      </w:pPr>
      <w:r w:rsidRPr="00531339">
        <w:t xml:space="preserve">of </w:t>
      </w:r>
      <w:r w:rsidR="00C67783" w:rsidRPr="00531339">
        <w:t>international trade in goods</w:t>
      </w:r>
      <w:r w:rsidR="002850CA" w:rsidRPr="00531339">
        <w:t xml:space="preserve"> (change of ownership)</w:t>
      </w:r>
    </w:p>
    <w:p w14:paraId="4062ADB4" w14:textId="77777777" w:rsidR="00A20088" w:rsidRPr="00531339" w:rsidRDefault="00A20088" w:rsidP="00C67783">
      <w:pPr>
        <w:spacing w:after="120"/>
        <w:rPr>
          <w:rFonts w:ascii="Arial" w:hAnsi="Arial" w:cs="Arial"/>
          <w:color w:val="FF0000"/>
          <w:sz w:val="22"/>
          <w:szCs w:val="22"/>
          <w:lang w:val="en-GB"/>
        </w:rPr>
      </w:pPr>
    </w:p>
    <w:p w14:paraId="24AEAD48" w14:textId="28A206A0" w:rsidR="008A7F74" w:rsidRPr="00531339" w:rsidRDefault="008A7F74" w:rsidP="00480DA4">
      <w:pPr>
        <w:pStyle w:val="poznmky0"/>
        <w:spacing w:before="0" w:beforeAutospacing="0" w:after="120" w:afterAutospacing="0"/>
        <w:jc w:val="both"/>
        <w:rPr>
          <w:rStyle w:val="Zdraznn"/>
          <w:rFonts w:ascii="Arial" w:hAnsi="Arial" w:cs="Arial"/>
          <w:i w:val="0"/>
          <w:sz w:val="18"/>
          <w:szCs w:val="18"/>
          <w:lang w:val="en-GB"/>
        </w:rPr>
      </w:pPr>
      <w:r w:rsidRPr="00531339">
        <w:rPr>
          <w:rStyle w:val="Zdraznn"/>
          <w:rFonts w:ascii="Arial" w:hAnsi="Arial" w:cs="Arial"/>
          <w:i w:val="0"/>
          <w:sz w:val="18"/>
          <w:szCs w:val="18"/>
          <w:lang w:val="en-GB"/>
        </w:rPr>
        <w:t xml:space="preserve">Since 2020, the Czech Statistical Office has changed the terminology </w:t>
      </w:r>
      <w:r w:rsidR="00480DA4" w:rsidRPr="00531339">
        <w:rPr>
          <w:rStyle w:val="Zdraznn"/>
          <w:rFonts w:ascii="Arial" w:hAnsi="Arial" w:cs="Arial"/>
          <w:i w:val="0"/>
          <w:sz w:val="18"/>
          <w:szCs w:val="18"/>
          <w:lang w:val="en-GB"/>
        </w:rPr>
        <w:t>and the manner in which data is </w:t>
      </w:r>
      <w:r w:rsidRPr="00531339">
        <w:rPr>
          <w:rStyle w:val="Zdraznn"/>
          <w:rFonts w:ascii="Arial" w:hAnsi="Arial" w:cs="Arial"/>
          <w:i w:val="0"/>
          <w:sz w:val="18"/>
          <w:szCs w:val="18"/>
          <w:lang w:val="en-GB"/>
        </w:rPr>
        <w:t xml:space="preserve">presented. The external trade is now referred to as international trade. </w:t>
      </w:r>
      <w:r w:rsidRPr="00813871">
        <w:rPr>
          <w:rStyle w:val="Zdraznn"/>
          <w:rFonts w:ascii="Arial" w:hAnsi="Arial" w:cs="Arial"/>
          <w:b/>
          <w:i w:val="0"/>
          <w:sz w:val="18"/>
          <w:szCs w:val="18"/>
          <w:lang w:val="en-GB"/>
        </w:rPr>
        <w:t>The data based on the change of ownership between residents and non-residents</w:t>
      </w:r>
      <w:r w:rsidRPr="00531339">
        <w:rPr>
          <w:rStyle w:val="Zdraznn"/>
          <w:rFonts w:ascii="Arial" w:hAnsi="Arial" w:cs="Arial"/>
          <w:i w:val="0"/>
          <w:sz w:val="18"/>
          <w:szCs w:val="18"/>
          <w:lang w:val="en-GB"/>
        </w:rPr>
        <w:t xml:space="preserve"> (formerly called the </w:t>
      </w:r>
      <w:r w:rsidRPr="00531339">
        <w:rPr>
          <w:rFonts w:ascii="Arial" w:hAnsi="Arial" w:cs="Arial"/>
          <w:i/>
          <w:sz w:val="18"/>
          <w:szCs w:val="18"/>
          <w:lang w:val="en-GB"/>
        </w:rPr>
        <w:t>'</w:t>
      </w:r>
      <w:r w:rsidRPr="00531339">
        <w:rPr>
          <w:rStyle w:val="Zdraznn"/>
          <w:rFonts w:ascii="Arial" w:hAnsi="Arial" w:cs="Arial"/>
          <w:i w:val="0"/>
          <w:sz w:val="18"/>
          <w:szCs w:val="18"/>
          <w:lang w:val="en-GB"/>
        </w:rPr>
        <w:t>national concept of external trade</w:t>
      </w:r>
      <w:r w:rsidRPr="00813871">
        <w:rPr>
          <w:rFonts w:ascii="Arial" w:hAnsi="Arial" w:cs="Arial"/>
          <w:i/>
          <w:sz w:val="18"/>
          <w:szCs w:val="18"/>
          <w:lang w:val="en-GB"/>
        </w:rPr>
        <w:t>')</w:t>
      </w:r>
      <w:r w:rsidRPr="00813871">
        <w:rPr>
          <w:rStyle w:val="Zdraznn"/>
          <w:rFonts w:ascii="Arial" w:hAnsi="Arial" w:cs="Arial"/>
          <w:i w:val="0"/>
          <w:sz w:val="18"/>
          <w:szCs w:val="18"/>
          <w:lang w:val="en-GB"/>
        </w:rPr>
        <w:t>,</w:t>
      </w:r>
      <w:r w:rsidRPr="00813871">
        <w:rPr>
          <w:rStyle w:val="Zdraznn"/>
          <w:rFonts w:ascii="Arial" w:hAnsi="Arial" w:cs="Arial"/>
          <w:b/>
          <w:i w:val="0"/>
          <w:sz w:val="18"/>
          <w:szCs w:val="18"/>
          <w:lang w:val="en-GB"/>
        </w:rPr>
        <w:t xml:space="preserve"> is now referred to as </w:t>
      </w:r>
      <w:r w:rsidRPr="00813871">
        <w:rPr>
          <w:rFonts w:ascii="Arial" w:hAnsi="Arial" w:cs="Arial"/>
          <w:b/>
          <w:i/>
          <w:sz w:val="18"/>
          <w:szCs w:val="18"/>
          <w:lang w:val="en-GB"/>
        </w:rPr>
        <w:t>'</w:t>
      </w:r>
      <w:r w:rsidRPr="00813871">
        <w:rPr>
          <w:rStyle w:val="Zdraznn"/>
          <w:rFonts w:ascii="Arial" w:hAnsi="Arial" w:cs="Arial"/>
          <w:b/>
          <w:i w:val="0"/>
          <w:sz w:val="18"/>
          <w:szCs w:val="18"/>
          <w:lang w:val="en-GB"/>
        </w:rPr>
        <w:t>international trade in goods (change of ownership)</w:t>
      </w:r>
      <w:r w:rsidRPr="00813871">
        <w:rPr>
          <w:rFonts w:ascii="Arial" w:hAnsi="Arial" w:cs="Arial"/>
          <w:b/>
          <w:i/>
          <w:sz w:val="18"/>
          <w:szCs w:val="18"/>
          <w:lang w:val="en-GB"/>
        </w:rPr>
        <w:t>'</w:t>
      </w:r>
      <w:r w:rsidRPr="00813871">
        <w:rPr>
          <w:rStyle w:val="Zdraznn"/>
          <w:rFonts w:ascii="Arial" w:hAnsi="Arial" w:cs="Arial"/>
          <w:b/>
          <w:i w:val="0"/>
          <w:sz w:val="18"/>
          <w:szCs w:val="18"/>
          <w:lang w:val="en-GB"/>
        </w:rPr>
        <w:t>.</w:t>
      </w:r>
      <w:r w:rsidRPr="00531339">
        <w:rPr>
          <w:rStyle w:val="Zdraznn"/>
          <w:rFonts w:ascii="Arial" w:hAnsi="Arial" w:cs="Arial"/>
          <w:i w:val="0"/>
          <w:sz w:val="18"/>
          <w:szCs w:val="18"/>
          <w:lang w:val="en-GB"/>
        </w:rPr>
        <w:t xml:space="preserve"> The </w:t>
      </w:r>
      <w:r w:rsidRPr="00531339">
        <w:rPr>
          <w:rFonts w:ascii="Arial" w:hAnsi="Arial" w:cs="Arial"/>
          <w:i/>
          <w:sz w:val="18"/>
          <w:szCs w:val="18"/>
          <w:lang w:val="en-GB"/>
        </w:rPr>
        <w:t>'</w:t>
      </w:r>
      <w:r w:rsidRPr="00531339">
        <w:rPr>
          <w:rStyle w:val="Zdraznn"/>
          <w:rFonts w:ascii="Arial" w:hAnsi="Arial" w:cs="Arial"/>
          <w:i w:val="0"/>
          <w:sz w:val="18"/>
          <w:szCs w:val="18"/>
          <w:lang w:val="en-GB"/>
        </w:rPr>
        <w:t>cross-border concept of external trade</w:t>
      </w:r>
      <w:r w:rsidRPr="00531339">
        <w:rPr>
          <w:rFonts w:ascii="Arial" w:hAnsi="Arial" w:cs="Arial"/>
          <w:i/>
          <w:sz w:val="18"/>
          <w:szCs w:val="18"/>
          <w:lang w:val="en-GB"/>
        </w:rPr>
        <w:t>'</w:t>
      </w:r>
      <w:r w:rsidRPr="00531339">
        <w:rPr>
          <w:rStyle w:val="Zdraznn"/>
          <w:rFonts w:ascii="Arial" w:hAnsi="Arial" w:cs="Arial"/>
          <w:i w:val="0"/>
          <w:sz w:val="18"/>
          <w:szCs w:val="18"/>
          <w:lang w:val="en-GB"/>
        </w:rPr>
        <w:t xml:space="preserve"> is now referred to as Cross</w:t>
      </w:r>
      <w:r w:rsidR="00A218E4">
        <w:rPr>
          <w:rStyle w:val="Zdraznn"/>
          <w:rFonts w:ascii="Arial" w:hAnsi="Arial" w:cs="Arial"/>
          <w:i w:val="0"/>
          <w:sz w:val="18"/>
          <w:szCs w:val="18"/>
          <w:lang w:val="en-GB"/>
        </w:rPr>
        <w:t xml:space="preserve"> </w:t>
      </w:r>
      <w:r w:rsidRPr="00531339">
        <w:rPr>
          <w:rStyle w:val="Zdraznn"/>
          <w:rFonts w:ascii="Arial" w:hAnsi="Arial" w:cs="Arial"/>
          <w:i w:val="0"/>
          <w:sz w:val="18"/>
          <w:szCs w:val="18"/>
          <w:lang w:val="en-GB"/>
        </w:rPr>
        <w:t>border movements of goods.</w:t>
      </w:r>
    </w:p>
    <w:p w14:paraId="5C3A634B" w14:textId="77777777" w:rsidR="008A7F74" w:rsidRPr="00531339" w:rsidRDefault="008A7F74" w:rsidP="00480DA4">
      <w:pPr>
        <w:spacing w:after="120"/>
        <w:jc w:val="both"/>
        <w:rPr>
          <w:rStyle w:val="Hypertextovodkaz"/>
          <w:rFonts w:ascii="Arial" w:hAnsi="Arial" w:cs="Arial"/>
          <w:i/>
          <w:iCs/>
          <w:sz w:val="18"/>
          <w:szCs w:val="18"/>
          <w:lang w:val="en-GB"/>
        </w:rPr>
      </w:pPr>
      <w:r w:rsidRPr="00531339">
        <w:rPr>
          <w:rStyle w:val="Zdraznn"/>
          <w:rFonts w:ascii="Arial" w:hAnsi="Arial" w:cs="Arial"/>
          <w:sz w:val="18"/>
          <w:szCs w:val="18"/>
          <w:lang w:val="en-GB"/>
        </w:rPr>
        <w:t xml:space="preserve">Further information:  </w:t>
      </w:r>
      <w:hyperlink r:id="rId8" w:history="1">
        <w:r w:rsidRPr="00531339">
          <w:rPr>
            <w:rStyle w:val="Hypertextovodkaz"/>
            <w:rFonts w:ascii="Arial" w:hAnsi="Arial" w:cs="Arial"/>
            <w:i/>
            <w:iCs/>
            <w:sz w:val="18"/>
            <w:szCs w:val="18"/>
            <w:lang w:val="en-GB"/>
          </w:rPr>
          <w:t>https://www.czso.cz/csu/czso/changes-in-international-trade-statistics</w:t>
        </w:r>
      </w:hyperlink>
      <w:r w:rsidRPr="00531339">
        <w:rPr>
          <w:rStyle w:val="Hypertextovodkaz"/>
          <w:rFonts w:ascii="Arial" w:hAnsi="Arial" w:cs="Arial"/>
          <w:i/>
          <w:iCs/>
          <w:sz w:val="18"/>
          <w:szCs w:val="18"/>
          <w:lang w:val="en-GB"/>
        </w:rPr>
        <w:t>.</w:t>
      </w:r>
    </w:p>
    <w:p w14:paraId="5B860FEA" w14:textId="3FD0F335" w:rsidR="00531339" w:rsidRPr="00531339" w:rsidRDefault="00C67783" w:rsidP="00531339">
      <w:pPr>
        <w:pStyle w:val="Textkomente"/>
        <w:jc w:val="both"/>
        <w:rPr>
          <w:rStyle w:val="Zdraznn"/>
          <w:rFonts w:ascii="Arial" w:hAnsi="Arial" w:cs="Arial"/>
          <w:i w:val="0"/>
          <w:sz w:val="18"/>
          <w:szCs w:val="18"/>
          <w:lang w:val="en-GB"/>
        </w:rPr>
      </w:pPr>
      <w:r w:rsidRPr="00531339">
        <w:rPr>
          <w:rStyle w:val="Zdraznn"/>
          <w:rFonts w:ascii="Arial" w:hAnsi="Arial"/>
          <w:b/>
          <w:bCs/>
          <w:i w:val="0"/>
          <w:sz w:val="18"/>
          <w:szCs w:val="18"/>
          <w:lang w:val="en-GB"/>
        </w:rPr>
        <w:t>International trade in goods (change of ownership)</w:t>
      </w:r>
      <w:r w:rsidRPr="00531339">
        <w:rPr>
          <w:rStyle w:val="Zdraznn"/>
          <w:rFonts w:ascii="Arial" w:hAnsi="Arial"/>
          <w:i w:val="0"/>
          <w:sz w:val="18"/>
          <w:szCs w:val="18"/>
          <w:lang w:val="en-GB"/>
        </w:rPr>
        <w:t xml:space="preserve"> reflects export and import performance of the Czech economy, i.e. the </w:t>
      </w:r>
      <w:r w:rsidR="002850CA" w:rsidRPr="00531339">
        <w:rPr>
          <w:rStyle w:val="Zdraznn"/>
          <w:rFonts w:ascii="Arial" w:hAnsi="Arial"/>
          <w:i w:val="0"/>
          <w:sz w:val="18"/>
          <w:szCs w:val="18"/>
          <w:lang w:val="en-GB"/>
        </w:rPr>
        <w:t>international</w:t>
      </w:r>
      <w:r w:rsidRPr="00531339">
        <w:rPr>
          <w:rStyle w:val="Zdraznn"/>
          <w:rFonts w:ascii="Arial" w:hAnsi="Arial"/>
          <w:i w:val="0"/>
          <w:sz w:val="18"/>
          <w:szCs w:val="18"/>
          <w:lang w:val="en-GB"/>
        </w:rPr>
        <w:t xml:space="preserve"> trade balance of the Czech Republic as well. It measures real trade i</w:t>
      </w:r>
      <w:r w:rsidR="00813871">
        <w:rPr>
          <w:rStyle w:val="Zdraznn"/>
          <w:rFonts w:ascii="Arial" w:hAnsi="Arial"/>
          <w:i w:val="0"/>
          <w:sz w:val="18"/>
          <w:szCs w:val="18"/>
          <w:lang w:val="en-GB"/>
        </w:rPr>
        <w:t>n goods carried out between the </w:t>
      </w:r>
      <w:r w:rsidRPr="00531339">
        <w:rPr>
          <w:rStyle w:val="Zdraznn"/>
          <w:rFonts w:ascii="Arial" w:hAnsi="Arial"/>
          <w:i w:val="0"/>
          <w:sz w:val="18"/>
          <w:szCs w:val="18"/>
          <w:lang w:val="en-GB"/>
        </w:rPr>
        <w:t>Czech and foreign entities, i.e. a change of ownership between residents and non-residents</w:t>
      </w:r>
      <w:r w:rsidR="00813871">
        <w:rPr>
          <w:rStyle w:val="Zdraznn"/>
          <w:rFonts w:ascii="Arial" w:hAnsi="Arial"/>
          <w:i w:val="0"/>
          <w:sz w:val="18"/>
          <w:szCs w:val="18"/>
          <w:lang w:val="en-GB"/>
        </w:rPr>
        <w:t xml:space="preserve">. </w:t>
      </w:r>
      <w:r w:rsidR="00531339" w:rsidRPr="00531339">
        <w:rPr>
          <w:rStyle w:val="Zdraznn"/>
          <w:rFonts w:ascii="Arial" w:hAnsi="Arial" w:cs="Arial"/>
          <w:i w:val="0"/>
          <w:sz w:val="18"/>
          <w:szCs w:val="18"/>
          <w:lang w:val="en-GB"/>
        </w:rPr>
        <w:t>For this reason it better reflects the real Czech Republic's international trade balance than can be obtained from statistics on the cross</w:t>
      </w:r>
      <w:r w:rsidR="00A218E4">
        <w:rPr>
          <w:rStyle w:val="Zdraznn"/>
          <w:rFonts w:ascii="Arial" w:hAnsi="Arial" w:cs="Arial"/>
          <w:i w:val="0"/>
          <w:sz w:val="18"/>
          <w:szCs w:val="18"/>
          <w:lang w:val="en-GB"/>
        </w:rPr>
        <w:t xml:space="preserve"> </w:t>
      </w:r>
      <w:r w:rsidR="00531339" w:rsidRPr="00531339">
        <w:rPr>
          <w:rStyle w:val="Zdraznn"/>
          <w:rFonts w:ascii="Arial" w:hAnsi="Arial" w:cs="Arial"/>
          <w:i w:val="0"/>
          <w:sz w:val="18"/>
          <w:szCs w:val="18"/>
          <w:lang w:val="en-GB"/>
        </w:rPr>
        <w:t>border movement of goods.</w:t>
      </w:r>
    </w:p>
    <w:p w14:paraId="6AF21397" w14:textId="24E78D70" w:rsidR="001B5220" w:rsidRPr="00531339" w:rsidRDefault="001B5220" w:rsidP="00480DA4">
      <w:pPr>
        <w:pStyle w:val="Zkladntext"/>
        <w:spacing w:before="120" w:after="120"/>
        <w:rPr>
          <w:rFonts w:cs="Arial"/>
          <w:iCs/>
          <w:sz w:val="18"/>
          <w:szCs w:val="18"/>
        </w:rPr>
      </w:pPr>
      <w:r w:rsidRPr="00531339">
        <w:rPr>
          <w:rFonts w:cs="Arial"/>
          <w:iCs/>
          <w:sz w:val="18"/>
          <w:szCs w:val="18"/>
        </w:rPr>
        <w:t xml:space="preserve">There </w:t>
      </w:r>
      <w:r w:rsidRPr="00813871">
        <w:rPr>
          <w:rFonts w:cs="Arial"/>
          <w:b/>
          <w:iCs/>
          <w:sz w:val="18"/>
          <w:szCs w:val="18"/>
        </w:rPr>
        <w:t>are two main data sources</w:t>
      </w:r>
      <w:r w:rsidRPr="00531339">
        <w:rPr>
          <w:rFonts w:cs="Arial"/>
          <w:iCs/>
          <w:sz w:val="18"/>
          <w:szCs w:val="18"/>
        </w:rPr>
        <w:t xml:space="preserve"> used for compiling data on </w:t>
      </w:r>
      <w:r w:rsidR="004D6982">
        <w:rPr>
          <w:rFonts w:cs="Arial"/>
          <w:iCs/>
          <w:sz w:val="18"/>
          <w:szCs w:val="18"/>
        </w:rPr>
        <w:t>i</w:t>
      </w:r>
      <w:r w:rsidRPr="00531339">
        <w:rPr>
          <w:rFonts w:cs="Arial"/>
          <w:iCs/>
          <w:sz w:val="18"/>
          <w:szCs w:val="18"/>
        </w:rPr>
        <w:t xml:space="preserve">nternational trade in goods (change of ownership): </w:t>
      </w:r>
    </w:p>
    <w:p w14:paraId="63E66F08" w14:textId="77777777" w:rsidR="001B5220" w:rsidRPr="00531339" w:rsidRDefault="00A90B5D" w:rsidP="00480DA4">
      <w:pPr>
        <w:pStyle w:val="Zkladntext"/>
        <w:numPr>
          <w:ilvl w:val="0"/>
          <w:numId w:val="4"/>
        </w:numPr>
        <w:tabs>
          <w:tab w:val="left" w:pos="-720"/>
          <w:tab w:val="left" w:pos="1"/>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before="120"/>
        <w:ind w:left="568" w:hanging="284"/>
        <w:rPr>
          <w:rFonts w:cs="Arial"/>
          <w:iCs/>
          <w:sz w:val="18"/>
          <w:szCs w:val="18"/>
        </w:rPr>
      </w:pPr>
      <w:r w:rsidRPr="00531339">
        <w:rPr>
          <w:rFonts w:cs="Arial"/>
          <w:iCs/>
          <w:sz w:val="18"/>
          <w:szCs w:val="18"/>
        </w:rPr>
        <w:t>D</w:t>
      </w:r>
      <w:r w:rsidR="001B5220" w:rsidRPr="00531339">
        <w:rPr>
          <w:rFonts w:cs="Arial"/>
          <w:iCs/>
          <w:sz w:val="18"/>
          <w:szCs w:val="18"/>
        </w:rPr>
        <w:t>ata from statistics on cross-border movements of goods pertaining to import</w:t>
      </w:r>
      <w:r w:rsidR="00480DA4" w:rsidRPr="00531339">
        <w:rPr>
          <w:rFonts w:cs="Arial"/>
          <w:iCs/>
          <w:sz w:val="18"/>
          <w:szCs w:val="18"/>
        </w:rPr>
        <w:t>s and exports declared by Czech</w:t>
      </w:r>
      <w:r w:rsidR="00480DA4" w:rsidRPr="00531339">
        <w:rPr>
          <w:rFonts w:cs="Arial"/>
          <w:iCs/>
          <w:sz w:val="18"/>
          <w:szCs w:val="18"/>
        </w:rPr>
        <w:noBreakHyphen/>
      </w:r>
      <w:r w:rsidR="001B5220" w:rsidRPr="00531339">
        <w:rPr>
          <w:rFonts w:cs="Arial"/>
          <w:iCs/>
          <w:sz w:val="18"/>
          <w:szCs w:val="18"/>
        </w:rPr>
        <w:t>residents (through Intrastat and Extrastat forms);</w:t>
      </w:r>
    </w:p>
    <w:p w14:paraId="1A3E6465" w14:textId="77777777" w:rsidR="001B5220" w:rsidRPr="00531339" w:rsidRDefault="00A90B5D" w:rsidP="00480DA4">
      <w:pPr>
        <w:pStyle w:val="Zkladntext"/>
        <w:numPr>
          <w:ilvl w:val="0"/>
          <w:numId w:val="4"/>
        </w:numPr>
        <w:tabs>
          <w:tab w:val="left" w:pos="-720"/>
          <w:tab w:val="left" w:pos="1"/>
          <w:tab w:val="left" w:pos="567"/>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s>
        <w:spacing w:after="120"/>
        <w:ind w:left="567" w:hanging="283"/>
        <w:rPr>
          <w:rFonts w:cs="Arial"/>
          <w:iCs/>
          <w:sz w:val="18"/>
          <w:szCs w:val="18"/>
        </w:rPr>
      </w:pPr>
      <w:r w:rsidRPr="00531339">
        <w:rPr>
          <w:rFonts w:cs="Arial"/>
          <w:iCs/>
          <w:sz w:val="18"/>
          <w:szCs w:val="18"/>
        </w:rPr>
        <w:t>D</w:t>
      </w:r>
      <w:r w:rsidR="001B5220" w:rsidRPr="00531339">
        <w:rPr>
          <w:rFonts w:cs="Arial"/>
          <w:iCs/>
          <w:sz w:val="18"/>
          <w:szCs w:val="18"/>
        </w:rPr>
        <w:t xml:space="preserve">ata from VAT tax returns – this data is used to determine the value of </w:t>
      </w:r>
      <w:r w:rsidRPr="00531339">
        <w:rPr>
          <w:rFonts w:cs="Arial"/>
          <w:iCs/>
          <w:sz w:val="18"/>
          <w:szCs w:val="18"/>
        </w:rPr>
        <w:t>goods purchased and sold by </w:t>
      </w:r>
      <w:r w:rsidR="00480DA4" w:rsidRPr="00531339">
        <w:rPr>
          <w:rFonts w:cs="Arial"/>
          <w:iCs/>
          <w:sz w:val="18"/>
          <w:szCs w:val="18"/>
        </w:rPr>
        <w:t>non</w:t>
      </w:r>
      <w:r w:rsidR="00480DA4" w:rsidRPr="00531339">
        <w:rPr>
          <w:rFonts w:cs="Arial"/>
          <w:iCs/>
          <w:sz w:val="18"/>
          <w:szCs w:val="18"/>
        </w:rPr>
        <w:noBreakHyphen/>
      </w:r>
      <w:r w:rsidR="001B5220" w:rsidRPr="00531339">
        <w:rPr>
          <w:rFonts w:cs="Arial"/>
          <w:iCs/>
          <w:sz w:val="18"/>
          <w:szCs w:val="18"/>
        </w:rPr>
        <w:t>resident entities in the territory of the Czech Republic. However, since this data from VAT tax returns does not contain information about the commodity structure of purchases and sales of non-residents in the territory of the Czech Republic, the commodity structure for such purchases and sales needs to be derived from other statistical sources. These sources are the commodity structure of cross-border movement</w:t>
      </w:r>
      <w:r w:rsidRPr="00531339">
        <w:rPr>
          <w:rFonts w:cs="Arial"/>
          <w:iCs/>
          <w:sz w:val="18"/>
          <w:szCs w:val="18"/>
        </w:rPr>
        <w:t>s of goods of non</w:t>
      </w:r>
      <w:r w:rsidRPr="00531339">
        <w:rPr>
          <w:rFonts w:cs="Arial"/>
          <w:iCs/>
          <w:sz w:val="18"/>
          <w:szCs w:val="18"/>
        </w:rPr>
        <w:noBreakHyphen/>
      </w:r>
      <w:r w:rsidR="00677773" w:rsidRPr="00531339">
        <w:rPr>
          <w:rFonts w:cs="Arial"/>
          <w:iCs/>
          <w:sz w:val="18"/>
          <w:szCs w:val="18"/>
        </w:rPr>
        <w:t>residents and </w:t>
      </w:r>
      <w:r w:rsidR="001B5220" w:rsidRPr="00531339">
        <w:rPr>
          <w:rFonts w:cs="Arial"/>
          <w:iCs/>
          <w:sz w:val="18"/>
          <w:szCs w:val="18"/>
        </w:rPr>
        <w:t>also industry statistics (pertaining to those Czech-residents who sell their pro</w:t>
      </w:r>
      <w:r w:rsidRPr="00531339">
        <w:rPr>
          <w:rFonts w:cs="Arial"/>
          <w:iCs/>
          <w:sz w:val="18"/>
          <w:szCs w:val="18"/>
        </w:rPr>
        <w:t>duction to non</w:t>
      </w:r>
      <w:r w:rsidRPr="00531339">
        <w:rPr>
          <w:rFonts w:cs="Arial"/>
          <w:iCs/>
          <w:sz w:val="18"/>
          <w:szCs w:val="18"/>
        </w:rPr>
        <w:noBreakHyphen/>
      </w:r>
      <w:r w:rsidR="00677773" w:rsidRPr="00531339">
        <w:rPr>
          <w:rFonts w:cs="Arial"/>
          <w:iCs/>
          <w:sz w:val="18"/>
          <w:szCs w:val="18"/>
        </w:rPr>
        <w:t>residents in the </w:t>
      </w:r>
      <w:r w:rsidR="001B5220" w:rsidRPr="00531339">
        <w:rPr>
          <w:rFonts w:cs="Arial"/>
          <w:iCs/>
          <w:sz w:val="18"/>
          <w:szCs w:val="18"/>
        </w:rPr>
        <w:t xml:space="preserve">territory of the Czech Republic). </w:t>
      </w:r>
    </w:p>
    <w:p w14:paraId="669E2C0A" w14:textId="37426DB4" w:rsidR="00480DA4" w:rsidRPr="00531339" w:rsidRDefault="001B5220" w:rsidP="00480DA4">
      <w:pPr>
        <w:pStyle w:val="Zkladntextodsazen3"/>
        <w:spacing w:after="80"/>
        <w:ind w:firstLine="0"/>
        <w:rPr>
          <w:rFonts w:cs="Arial"/>
          <w:bCs/>
          <w:sz w:val="18"/>
          <w:szCs w:val="18"/>
          <w:lang w:val="en-GB"/>
        </w:rPr>
      </w:pPr>
      <w:r w:rsidRPr="00531339">
        <w:rPr>
          <w:rFonts w:cs="Arial"/>
          <w:iCs/>
          <w:sz w:val="18"/>
          <w:szCs w:val="18"/>
          <w:lang w:val="en-GB"/>
        </w:rPr>
        <w:t xml:space="preserve">Data on international trade in goods (change of ownership) is </w:t>
      </w:r>
      <w:r w:rsidRPr="00531339">
        <w:rPr>
          <w:rFonts w:cs="Arial"/>
          <w:b/>
          <w:iCs/>
          <w:sz w:val="18"/>
          <w:szCs w:val="18"/>
          <w:lang w:val="en-GB"/>
        </w:rPr>
        <w:t>the basic source data for the compilation of GDP</w:t>
      </w:r>
      <w:r w:rsidRPr="00531339">
        <w:rPr>
          <w:rFonts w:cs="Arial"/>
          <w:iCs/>
          <w:sz w:val="18"/>
          <w:szCs w:val="18"/>
          <w:lang w:val="en-GB"/>
        </w:rPr>
        <w:t xml:space="preserve"> (based on the expenditure method) and also for the current account of the balance of payments.</w:t>
      </w:r>
      <w:r w:rsidR="00480DA4" w:rsidRPr="00531339">
        <w:rPr>
          <w:rFonts w:cs="Arial"/>
          <w:bCs/>
          <w:sz w:val="18"/>
          <w:szCs w:val="18"/>
          <w:lang w:val="en-GB"/>
        </w:rPr>
        <w:t xml:space="preserve"> </w:t>
      </w:r>
      <w:r w:rsidR="00A90B5D" w:rsidRPr="00531339">
        <w:rPr>
          <w:rFonts w:cs="Arial"/>
          <w:bCs/>
          <w:sz w:val="18"/>
          <w:szCs w:val="18"/>
          <w:lang w:val="en-GB"/>
        </w:rPr>
        <w:t>Besides these data, the </w:t>
      </w:r>
      <w:r w:rsidR="00480DA4" w:rsidRPr="00531339">
        <w:rPr>
          <w:rFonts w:cs="Arial"/>
          <w:bCs/>
          <w:sz w:val="18"/>
          <w:szCs w:val="18"/>
          <w:lang w:val="en-GB"/>
        </w:rPr>
        <w:t xml:space="preserve">later macroeconomic statistics include other items as, for instance, imports of goods by individuals, smuggling, etc. What also differs is the evaluation when imports in the </w:t>
      </w:r>
      <w:r w:rsidR="00A1388A" w:rsidRPr="00531339">
        <w:rPr>
          <w:rFonts w:cs="Arial"/>
          <w:bCs/>
          <w:sz w:val="18"/>
          <w:szCs w:val="18"/>
          <w:lang w:val="en-GB"/>
        </w:rPr>
        <w:t>international</w:t>
      </w:r>
      <w:r w:rsidR="00480DA4" w:rsidRPr="00531339">
        <w:rPr>
          <w:rFonts w:cs="Arial"/>
          <w:bCs/>
          <w:sz w:val="18"/>
          <w:szCs w:val="18"/>
          <w:lang w:val="en-GB"/>
        </w:rPr>
        <w:t xml:space="preserve"> tr</w:t>
      </w:r>
      <w:r w:rsidR="00A90B5D" w:rsidRPr="00531339">
        <w:rPr>
          <w:rFonts w:cs="Arial"/>
          <w:bCs/>
          <w:sz w:val="18"/>
          <w:szCs w:val="18"/>
          <w:lang w:val="en-GB"/>
        </w:rPr>
        <w:t>ade</w:t>
      </w:r>
      <w:r w:rsidR="00A1388A" w:rsidRPr="00531339">
        <w:rPr>
          <w:rFonts w:cs="Arial"/>
          <w:bCs/>
          <w:sz w:val="18"/>
          <w:szCs w:val="18"/>
          <w:lang w:val="en-GB"/>
        </w:rPr>
        <w:t xml:space="preserve"> in goods (change of ownership)</w:t>
      </w:r>
      <w:r w:rsidR="00A90B5D" w:rsidRPr="00531339">
        <w:rPr>
          <w:rFonts w:cs="Arial"/>
          <w:bCs/>
          <w:sz w:val="18"/>
          <w:szCs w:val="18"/>
          <w:lang w:val="en-GB"/>
        </w:rPr>
        <w:t xml:space="preserve"> statistics are expressed in </w:t>
      </w:r>
      <w:r w:rsidR="00480DA4" w:rsidRPr="00531339">
        <w:rPr>
          <w:rFonts w:cs="Arial"/>
          <w:bCs/>
          <w:sz w:val="18"/>
          <w:szCs w:val="18"/>
          <w:lang w:val="en-GB"/>
        </w:rPr>
        <w:t>prices on the borders of the importing country (CIF), while national accounts (sector accounts and quarterly estimates of the GDP) and balance of payments use the value of imports on the border of the exporting country (FOB). Exports are in all statistical domains evaluated identically in prices on the border of the exporting count</w:t>
      </w:r>
      <w:r w:rsidR="00EA37F1">
        <w:rPr>
          <w:rFonts w:cs="Arial"/>
          <w:bCs/>
          <w:sz w:val="18"/>
          <w:szCs w:val="18"/>
          <w:lang w:val="en-GB"/>
        </w:rPr>
        <w:t>ry (FOB). The </w:t>
      </w:r>
      <w:r w:rsidR="00A90B5D" w:rsidRPr="00531339">
        <w:rPr>
          <w:rFonts w:cs="Arial"/>
          <w:bCs/>
          <w:sz w:val="18"/>
          <w:szCs w:val="18"/>
          <w:lang w:val="en-GB"/>
        </w:rPr>
        <w:t>difference in </w:t>
      </w:r>
      <w:r w:rsidR="00480DA4" w:rsidRPr="00531339">
        <w:rPr>
          <w:rFonts w:cs="Arial"/>
          <w:bCs/>
          <w:sz w:val="18"/>
          <w:szCs w:val="18"/>
          <w:lang w:val="en-GB"/>
        </w:rPr>
        <w:t xml:space="preserve">between both the evaluations of goods consists in costs for transport and insurance of the goods. </w:t>
      </w:r>
    </w:p>
    <w:p w14:paraId="5D0C620F" w14:textId="77777777" w:rsidR="00C67783" w:rsidRPr="00531339" w:rsidRDefault="00C67783" w:rsidP="00C67783">
      <w:pPr>
        <w:spacing w:after="120"/>
        <w:jc w:val="both"/>
        <w:rPr>
          <w:rFonts w:ascii="Arial" w:hAnsi="Arial"/>
          <w:bCs/>
          <w:sz w:val="18"/>
          <w:szCs w:val="20"/>
          <w:lang w:val="en-GB"/>
        </w:rPr>
      </w:pPr>
      <w:r w:rsidRPr="00531339">
        <w:rPr>
          <w:rFonts w:ascii="Arial" w:hAnsi="Arial"/>
          <w:b/>
          <w:bCs/>
          <w:sz w:val="18"/>
          <w:szCs w:val="20"/>
          <w:lang w:val="en-GB"/>
        </w:rPr>
        <w:t xml:space="preserve">Cross border movements of goods </w:t>
      </w:r>
      <w:r w:rsidRPr="00531339">
        <w:rPr>
          <w:rFonts w:ascii="Arial" w:hAnsi="Arial"/>
          <w:bCs/>
          <w:sz w:val="18"/>
          <w:szCs w:val="20"/>
          <w:lang w:val="en-GB"/>
        </w:rPr>
        <w:t xml:space="preserve">reflects only physical movements of goods across the border regardless of whether the trade between the Czech and foreign entities occurs. </w:t>
      </w:r>
      <w:r w:rsidR="00E1745E" w:rsidRPr="00531339">
        <w:rPr>
          <w:rFonts w:ascii="Arial" w:hAnsi="Arial"/>
          <w:bCs/>
          <w:sz w:val="18"/>
          <w:szCs w:val="20"/>
          <w:lang w:val="en-GB"/>
        </w:rPr>
        <w:t>Th</w:t>
      </w:r>
      <w:r w:rsidR="00A90B5D" w:rsidRPr="00531339">
        <w:rPr>
          <w:rFonts w:ascii="Arial" w:hAnsi="Arial"/>
          <w:bCs/>
          <w:sz w:val="18"/>
          <w:szCs w:val="20"/>
          <w:lang w:val="en-GB"/>
        </w:rPr>
        <w:t>is</w:t>
      </w:r>
      <w:r w:rsidR="00E1745E" w:rsidRPr="00531339">
        <w:rPr>
          <w:rFonts w:ascii="Arial" w:hAnsi="Arial"/>
          <w:bCs/>
          <w:sz w:val="18"/>
          <w:szCs w:val="20"/>
          <w:lang w:val="en-GB"/>
        </w:rPr>
        <w:t xml:space="preserve"> concept is an impo</w:t>
      </w:r>
      <w:r w:rsidR="00A90B5D" w:rsidRPr="00531339">
        <w:rPr>
          <w:rFonts w:ascii="Arial" w:hAnsi="Arial"/>
          <w:bCs/>
          <w:sz w:val="18"/>
          <w:szCs w:val="20"/>
          <w:lang w:val="en-GB"/>
        </w:rPr>
        <w:t>rtant source of information for needs of the</w:t>
      </w:r>
      <w:r w:rsidR="00A90B5D" w:rsidRPr="00531339">
        <w:rPr>
          <w:rFonts w:ascii="Arial" w:hAnsi="Arial" w:cs="Arial"/>
          <w:sz w:val="16"/>
          <w:szCs w:val="16"/>
          <w:lang w:val="en-GB"/>
        </w:rPr>
        <w:t xml:space="preserve"> </w:t>
      </w:r>
      <w:r w:rsidR="00A90B5D" w:rsidRPr="00531339">
        <w:rPr>
          <w:rFonts w:ascii="Arial" w:hAnsi="Arial"/>
          <w:bCs/>
          <w:sz w:val="18"/>
          <w:szCs w:val="20"/>
          <w:lang w:val="en-GB"/>
        </w:rPr>
        <w:t>statistical office of the European Union.</w:t>
      </w:r>
      <w:r w:rsidR="00E1745E" w:rsidRPr="00531339">
        <w:rPr>
          <w:rFonts w:ascii="Arial" w:hAnsi="Arial"/>
          <w:bCs/>
          <w:sz w:val="18"/>
          <w:szCs w:val="20"/>
          <w:lang w:val="en-GB"/>
        </w:rPr>
        <w:t xml:space="preserve"> </w:t>
      </w:r>
      <w:r w:rsidRPr="00531339">
        <w:rPr>
          <w:rFonts w:ascii="Arial" w:hAnsi="Arial"/>
          <w:bCs/>
          <w:sz w:val="18"/>
          <w:szCs w:val="20"/>
          <w:lang w:val="en-GB"/>
        </w:rPr>
        <w:t>These data are internationally comparable and can be used as indicators of development of value of the trade.</w:t>
      </w:r>
    </w:p>
    <w:p w14:paraId="3F1ABEE7" w14:textId="378C12B0" w:rsidR="00C67783" w:rsidRPr="00531339" w:rsidRDefault="00C67783" w:rsidP="00C67783">
      <w:pPr>
        <w:spacing w:after="120"/>
        <w:jc w:val="both"/>
        <w:rPr>
          <w:rFonts w:ascii="Arial" w:hAnsi="Arial"/>
          <w:sz w:val="18"/>
          <w:szCs w:val="20"/>
          <w:lang w:val="en-GB"/>
        </w:rPr>
      </w:pPr>
      <w:r w:rsidRPr="00531339">
        <w:rPr>
          <w:rFonts w:ascii="Arial" w:hAnsi="Arial"/>
          <w:b/>
          <w:bCs/>
          <w:sz w:val="18"/>
          <w:szCs w:val="20"/>
          <w:lang w:val="en-GB"/>
        </w:rPr>
        <w:t xml:space="preserve">Statistics on cross border movements of goods </w:t>
      </w:r>
      <w:r w:rsidRPr="00531339">
        <w:rPr>
          <w:rFonts w:ascii="Arial" w:hAnsi="Arial"/>
          <w:bCs/>
          <w:sz w:val="18"/>
          <w:szCs w:val="20"/>
          <w:lang w:val="en-GB"/>
        </w:rPr>
        <w:t>is made up of the sum of intra-Com</w:t>
      </w:r>
      <w:r w:rsidR="00A90B5D" w:rsidRPr="00531339">
        <w:rPr>
          <w:rFonts w:ascii="Arial" w:hAnsi="Arial"/>
          <w:bCs/>
          <w:sz w:val="18"/>
          <w:szCs w:val="20"/>
          <w:lang w:val="en-GB"/>
        </w:rPr>
        <w:t>munity (with the EU </w:t>
      </w:r>
      <w:r w:rsidRPr="00531339">
        <w:rPr>
          <w:rFonts w:ascii="Arial" w:hAnsi="Arial"/>
          <w:bCs/>
          <w:sz w:val="18"/>
          <w:szCs w:val="20"/>
          <w:lang w:val="en-GB"/>
        </w:rPr>
        <w:t xml:space="preserve">Member States) </w:t>
      </w:r>
      <w:r w:rsidR="00487BDF" w:rsidRPr="00531339">
        <w:rPr>
          <w:rFonts w:ascii="Arial" w:hAnsi="Arial"/>
          <w:bCs/>
          <w:sz w:val="18"/>
          <w:szCs w:val="20"/>
          <w:lang w:val="en-GB"/>
        </w:rPr>
        <w:t xml:space="preserve">movements of goods </w:t>
      </w:r>
      <w:r w:rsidRPr="00531339">
        <w:rPr>
          <w:rFonts w:ascii="Arial" w:hAnsi="Arial"/>
          <w:bCs/>
          <w:sz w:val="18"/>
          <w:szCs w:val="20"/>
          <w:lang w:val="en-GB"/>
        </w:rPr>
        <w:t>and non-EU countries</w:t>
      </w:r>
      <w:r w:rsidR="00487BDF" w:rsidRPr="00531339">
        <w:rPr>
          <w:rFonts w:ascii="Arial" w:hAnsi="Arial"/>
          <w:bCs/>
          <w:sz w:val="18"/>
          <w:szCs w:val="20"/>
          <w:lang w:val="en-GB"/>
        </w:rPr>
        <w:t xml:space="preserve"> movements of goods</w:t>
      </w:r>
      <w:r w:rsidRPr="00531339">
        <w:rPr>
          <w:rFonts w:ascii="Arial" w:hAnsi="Arial"/>
          <w:bCs/>
          <w:sz w:val="18"/>
          <w:szCs w:val="20"/>
          <w:lang w:val="en-GB"/>
        </w:rPr>
        <w:t xml:space="preserve">. </w:t>
      </w:r>
      <w:r w:rsidRPr="00531339">
        <w:rPr>
          <w:rFonts w:ascii="Arial" w:hAnsi="Arial"/>
          <w:sz w:val="18"/>
          <w:szCs w:val="20"/>
          <w:lang w:val="en-GB"/>
        </w:rPr>
        <w:t xml:space="preserve">Data on </w:t>
      </w:r>
      <w:r w:rsidR="00487BDF" w:rsidRPr="00531339">
        <w:rPr>
          <w:rFonts w:ascii="Arial" w:hAnsi="Arial"/>
          <w:sz w:val="18"/>
          <w:szCs w:val="20"/>
          <w:lang w:val="en-GB"/>
        </w:rPr>
        <w:t xml:space="preserve">movements of </w:t>
      </w:r>
      <w:r w:rsidRPr="00531339">
        <w:rPr>
          <w:rFonts w:ascii="Arial" w:hAnsi="Arial"/>
          <w:sz w:val="18"/>
          <w:szCs w:val="20"/>
          <w:lang w:val="en-GB"/>
        </w:rPr>
        <w:t xml:space="preserve">goods </w:t>
      </w:r>
      <w:r w:rsidR="00487BDF" w:rsidRPr="00531339">
        <w:rPr>
          <w:rFonts w:ascii="Arial" w:hAnsi="Arial"/>
          <w:sz w:val="18"/>
          <w:szCs w:val="20"/>
          <w:lang w:val="en-GB"/>
        </w:rPr>
        <w:t xml:space="preserve">moved </w:t>
      </w:r>
      <w:r w:rsidRPr="00531339">
        <w:rPr>
          <w:rFonts w:ascii="Arial" w:hAnsi="Arial"/>
          <w:sz w:val="18"/>
          <w:szCs w:val="20"/>
          <w:lang w:val="en-GB"/>
        </w:rPr>
        <w:t xml:space="preserve">among </w:t>
      </w:r>
      <w:r w:rsidR="00487BDF" w:rsidRPr="00531339">
        <w:rPr>
          <w:rFonts w:ascii="Arial" w:hAnsi="Arial"/>
          <w:sz w:val="18"/>
          <w:szCs w:val="20"/>
          <w:lang w:val="en-GB"/>
        </w:rPr>
        <w:t xml:space="preserve">the </w:t>
      </w:r>
      <w:r w:rsidRPr="00531339">
        <w:rPr>
          <w:rFonts w:ascii="Arial" w:hAnsi="Arial"/>
          <w:sz w:val="18"/>
          <w:szCs w:val="20"/>
          <w:lang w:val="en-GB"/>
        </w:rPr>
        <w:t>EU Member States are supplied by reporting units to the customs office on the Intrastat forms, with information on</w:t>
      </w:r>
      <w:r w:rsidR="00813871">
        <w:rPr>
          <w:rFonts w:ascii="Arial" w:hAnsi="Arial"/>
          <w:sz w:val="18"/>
          <w:szCs w:val="20"/>
          <w:lang w:val="en-GB"/>
        </w:rPr>
        <w:t> </w:t>
      </w:r>
      <w:r w:rsidRPr="00531339">
        <w:rPr>
          <w:rFonts w:ascii="Arial" w:hAnsi="Arial"/>
          <w:sz w:val="18"/>
          <w:szCs w:val="20"/>
          <w:lang w:val="en-GB"/>
        </w:rPr>
        <w:t>dispatches of goods or arrivals of goods. Data on imported and exported goods</w:t>
      </w:r>
      <w:r w:rsidR="00980FE1" w:rsidRPr="00531339">
        <w:rPr>
          <w:rFonts w:ascii="Arial" w:hAnsi="Arial"/>
          <w:sz w:val="18"/>
          <w:szCs w:val="20"/>
          <w:lang w:val="en-GB"/>
        </w:rPr>
        <w:t xml:space="preserve"> </w:t>
      </w:r>
      <w:r w:rsidR="00487BDF" w:rsidRPr="00531339">
        <w:rPr>
          <w:rFonts w:ascii="Arial" w:hAnsi="Arial"/>
          <w:sz w:val="18"/>
          <w:szCs w:val="20"/>
          <w:lang w:val="en-GB"/>
        </w:rPr>
        <w:t xml:space="preserve">moved </w:t>
      </w:r>
      <w:r w:rsidR="00980FE1" w:rsidRPr="00531339">
        <w:rPr>
          <w:rFonts w:ascii="Arial" w:hAnsi="Arial"/>
          <w:sz w:val="18"/>
          <w:szCs w:val="20"/>
          <w:lang w:val="en-GB"/>
        </w:rPr>
        <w:t>from</w:t>
      </w:r>
      <w:r w:rsidRPr="00531339">
        <w:rPr>
          <w:rFonts w:ascii="Arial" w:hAnsi="Arial"/>
          <w:sz w:val="18"/>
          <w:szCs w:val="20"/>
          <w:lang w:val="en-GB"/>
        </w:rPr>
        <w:t> non-EU countries are given in a Single Administrative Document. The Intrastat data processing includes mathematical and statistical imputations, which compensate for information lost due to non-response and introduction of statistical thresholds.</w:t>
      </w:r>
    </w:p>
    <w:p w14:paraId="001A7B83" w14:textId="48147A25" w:rsidR="008A7F74" w:rsidRDefault="008A7F74">
      <w:pPr>
        <w:jc w:val="both"/>
        <w:rPr>
          <w:rFonts w:ascii="Arial" w:hAnsi="Arial"/>
          <w:b/>
          <w:bCs/>
          <w:color w:val="FF0000"/>
          <w:sz w:val="18"/>
          <w:lang w:val="en-GB"/>
        </w:rPr>
      </w:pPr>
    </w:p>
    <w:p w14:paraId="549EC212" w14:textId="69880434" w:rsidR="00BF68DB" w:rsidRDefault="00BF68DB">
      <w:pPr>
        <w:jc w:val="both"/>
        <w:rPr>
          <w:rFonts w:ascii="Arial" w:hAnsi="Arial"/>
          <w:b/>
          <w:bCs/>
          <w:color w:val="FF0000"/>
          <w:sz w:val="18"/>
          <w:lang w:val="en-GB"/>
        </w:rPr>
      </w:pPr>
    </w:p>
    <w:p w14:paraId="34CA0B98" w14:textId="48BE7979" w:rsidR="00BF68DB" w:rsidRDefault="00BF68DB">
      <w:pPr>
        <w:jc w:val="both"/>
        <w:rPr>
          <w:rFonts w:ascii="Arial" w:hAnsi="Arial"/>
          <w:b/>
          <w:bCs/>
          <w:color w:val="FF0000"/>
          <w:sz w:val="18"/>
          <w:lang w:val="en-GB"/>
        </w:rPr>
      </w:pPr>
    </w:p>
    <w:p w14:paraId="5FC272B5" w14:textId="77777777" w:rsidR="00BF68DB" w:rsidRPr="00531339" w:rsidRDefault="00BF68DB">
      <w:pPr>
        <w:jc w:val="both"/>
        <w:rPr>
          <w:rFonts w:ascii="Arial" w:hAnsi="Arial"/>
          <w:b/>
          <w:bCs/>
          <w:color w:val="FF0000"/>
          <w:sz w:val="18"/>
          <w:lang w:val="en-GB"/>
        </w:rPr>
      </w:pPr>
    </w:p>
    <w:p w14:paraId="13011108" w14:textId="77777777" w:rsidR="002C2B4A" w:rsidRPr="00531339" w:rsidRDefault="002C2B4A">
      <w:pPr>
        <w:jc w:val="both"/>
        <w:rPr>
          <w:rFonts w:ascii="Arial" w:hAnsi="Arial"/>
          <w:b/>
          <w:bCs/>
          <w:sz w:val="18"/>
          <w:lang w:val="en-GB"/>
        </w:rPr>
      </w:pPr>
      <w:r w:rsidRPr="00531339">
        <w:rPr>
          <w:rFonts w:ascii="Arial" w:hAnsi="Arial"/>
          <w:b/>
          <w:bCs/>
          <w:sz w:val="18"/>
          <w:lang w:val="en-GB"/>
        </w:rPr>
        <w:t>_______________________</w:t>
      </w:r>
    </w:p>
    <w:p w14:paraId="2AF71B7A" w14:textId="76EF832B" w:rsidR="002134DC" w:rsidRPr="00531339" w:rsidRDefault="00D445CE" w:rsidP="00A90B5D">
      <w:pPr>
        <w:spacing w:before="120" w:after="80"/>
        <w:jc w:val="both"/>
        <w:rPr>
          <w:rFonts w:ascii="Arial" w:hAnsi="Arial" w:cs="Arial"/>
          <w:b/>
          <w:sz w:val="17"/>
          <w:lang w:val="en-GB"/>
        </w:rPr>
      </w:pPr>
      <w:r w:rsidRPr="00531339">
        <w:rPr>
          <w:rFonts w:ascii="Arial" w:hAnsi="Arial" w:cs="Arial"/>
          <w:b/>
          <w:sz w:val="17"/>
          <w:lang w:val="en-GB"/>
        </w:rPr>
        <w:t xml:space="preserve">The data for individual </w:t>
      </w:r>
      <w:r w:rsidR="00360E38">
        <w:rPr>
          <w:rFonts w:ascii="Arial" w:hAnsi="Arial" w:cs="Arial"/>
          <w:b/>
          <w:sz w:val="17"/>
          <w:lang w:val="en-GB"/>
        </w:rPr>
        <w:t>quarters</w:t>
      </w:r>
      <w:r w:rsidRPr="00531339">
        <w:rPr>
          <w:rFonts w:ascii="Arial" w:hAnsi="Arial" w:cs="Arial"/>
          <w:b/>
          <w:sz w:val="17"/>
          <w:lang w:val="en-GB"/>
        </w:rPr>
        <w:t xml:space="preserve"> of 20</w:t>
      </w:r>
      <w:r w:rsidR="002C60EC">
        <w:rPr>
          <w:rFonts w:ascii="Arial" w:hAnsi="Arial" w:cs="Arial"/>
          <w:b/>
          <w:sz w:val="17"/>
          <w:lang w:val="en-GB"/>
        </w:rPr>
        <w:t>20</w:t>
      </w:r>
      <w:r w:rsidRPr="00531339">
        <w:rPr>
          <w:rFonts w:ascii="Arial" w:hAnsi="Arial" w:cs="Arial"/>
          <w:b/>
          <w:sz w:val="17"/>
          <w:lang w:val="en-GB"/>
        </w:rPr>
        <w:t xml:space="preserve"> </w:t>
      </w:r>
      <w:r w:rsidR="003D6893">
        <w:rPr>
          <w:rFonts w:ascii="Arial" w:hAnsi="Arial" w:cs="Arial"/>
          <w:b/>
          <w:sz w:val="17"/>
          <w:lang w:val="en-GB"/>
        </w:rPr>
        <w:t xml:space="preserve">and 2021 </w:t>
      </w:r>
      <w:r w:rsidRPr="00531339">
        <w:rPr>
          <w:rFonts w:ascii="Arial" w:hAnsi="Arial" w:cs="Arial"/>
          <w:b/>
          <w:sz w:val="17"/>
          <w:lang w:val="en-GB"/>
        </w:rPr>
        <w:t xml:space="preserve">are final. The data for individual </w:t>
      </w:r>
      <w:r w:rsidR="00360E38">
        <w:rPr>
          <w:rFonts w:ascii="Arial" w:hAnsi="Arial" w:cs="Arial"/>
          <w:b/>
          <w:sz w:val="17"/>
          <w:lang w:val="en-GB"/>
        </w:rPr>
        <w:t>quarters</w:t>
      </w:r>
      <w:r w:rsidRPr="00531339">
        <w:rPr>
          <w:rFonts w:ascii="Arial" w:hAnsi="Arial" w:cs="Arial"/>
          <w:b/>
          <w:sz w:val="17"/>
          <w:lang w:val="en-GB"/>
        </w:rPr>
        <w:t xml:space="preserve"> of </w:t>
      </w:r>
      <w:r w:rsidR="00DE4ABB">
        <w:rPr>
          <w:rFonts w:ascii="Arial" w:hAnsi="Arial" w:cs="Arial"/>
          <w:b/>
          <w:sz w:val="17"/>
          <w:lang w:val="en-GB"/>
        </w:rPr>
        <w:t xml:space="preserve">2022 </w:t>
      </w:r>
      <w:r w:rsidR="00BF68DB">
        <w:rPr>
          <w:rFonts w:ascii="Arial" w:hAnsi="Arial" w:cs="Arial"/>
          <w:b/>
          <w:sz w:val="17"/>
          <w:lang w:val="en-GB"/>
        </w:rPr>
        <w:t>a</w:t>
      </w:r>
      <w:r w:rsidRPr="00531339">
        <w:rPr>
          <w:rFonts w:ascii="Arial" w:hAnsi="Arial" w:cs="Arial"/>
          <w:b/>
          <w:sz w:val="17"/>
          <w:lang w:val="en-GB"/>
        </w:rPr>
        <w:t xml:space="preserve">re preliminary. </w:t>
      </w:r>
    </w:p>
    <w:p w14:paraId="64E5E8AC" w14:textId="0594D12C" w:rsidR="0080527C" w:rsidRPr="00D7274F" w:rsidRDefault="0080527C" w:rsidP="0081156F">
      <w:pPr>
        <w:spacing w:after="120"/>
        <w:jc w:val="both"/>
        <w:rPr>
          <w:rFonts w:ascii="Arial" w:hAnsi="Arial" w:cs="Arial"/>
          <w:sz w:val="17"/>
          <w:szCs w:val="17"/>
          <w:lang w:val="en-GB"/>
        </w:rPr>
      </w:pPr>
      <w:r w:rsidRPr="00D7274F">
        <w:rPr>
          <w:rFonts w:ascii="Arial" w:hAnsi="Arial" w:cs="Arial"/>
          <w:sz w:val="17"/>
          <w:szCs w:val="17"/>
          <w:lang w:val="en-GB"/>
        </w:rPr>
        <w:t xml:space="preserve">Casual differences on the last digit position arise from rounding off the </w:t>
      </w:r>
      <w:r w:rsidR="00980FE1" w:rsidRPr="00D7274F">
        <w:rPr>
          <w:rFonts w:ascii="Arial" w:hAnsi="Arial" w:cs="Arial"/>
          <w:sz w:val="17"/>
          <w:szCs w:val="17"/>
          <w:lang w:val="en-GB"/>
        </w:rPr>
        <w:t>figures</w:t>
      </w:r>
      <w:r w:rsidRPr="00D7274F">
        <w:rPr>
          <w:rFonts w:ascii="Arial" w:hAnsi="Arial" w:cs="Arial"/>
          <w:sz w:val="17"/>
          <w:szCs w:val="17"/>
          <w:lang w:val="en-GB"/>
        </w:rPr>
        <w:t>.</w:t>
      </w:r>
    </w:p>
    <w:p w14:paraId="74EAFC03" w14:textId="685C1CC5" w:rsidR="00D7274F" w:rsidRPr="00D7274F" w:rsidRDefault="00D7274F" w:rsidP="00D7274F">
      <w:pPr>
        <w:spacing w:after="120"/>
        <w:jc w:val="both"/>
        <w:rPr>
          <w:rFonts w:ascii="Arial" w:hAnsi="Arial" w:cs="Arial"/>
          <w:sz w:val="17"/>
          <w:szCs w:val="17"/>
          <w:lang w:val="en-GB"/>
        </w:rPr>
      </w:pPr>
      <w:r w:rsidRPr="00D7274F">
        <w:rPr>
          <w:rFonts w:ascii="Arial" w:hAnsi="Arial" w:cs="Arial"/>
          <w:sz w:val="17"/>
          <w:szCs w:val="17"/>
          <w:lang w:val="en-GB"/>
        </w:rPr>
        <w:t>In accordance with the methodology of Eurostat, selected data for exports and imports of military equipment and weapons for the current period are for safety reasons included in other goods codes and another te</w:t>
      </w:r>
      <w:r>
        <w:rPr>
          <w:rFonts w:ascii="Arial" w:hAnsi="Arial" w:cs="Arial"/>
          <w:sz w:val="17"/>
          <w:szCs w:val="17"/>
          <w:lang w:val="en-GB"/>
        </w:rPr>
        <w:t>rritorial structure so that the </w:t>
      </w:r>
      <w:r w:rsidRPr="00D7274F">
        <w:rPr>
          <w:rFonts w:ascii="Arial" w:hAnsi="Arial" w:cs="Arial"/>
          <w:sz w:val="17"/>
          <w:szCs w:val="17"/>
          <w:lang w:val="en-GB"/>
        </w:rPr>
        <w:t>macroeconomic aggregate of international trade in goods is not influenced.</w:t>
      </w:r>
    </w:p>
    <w:p w14:paraId="631BFA3B" w14:textId="77777777" w:rsidR="008A7F74" w:rsidRPr="00D7274F" w:rsidRDefault="008A7F74" w:rsidP="008A7F74">
      <w:pPr>
        <w:jc w:val="both"/>
        <w:rPr>
          <w:rFonts w:ascii="Arial" w:hAnsi="Arial" w:cs="Arial"/>
          <w:sz w:val="17"/>
          <w:szCs w:val="17"/>
          <w:lang w:val="en-GB"/>
        </w:rPr>
      </w:pPr>
      <w:r w:rsidRPr="00D7274F">
        <w:rPr>
          <w:rFonts w:ascii="Arial" w:hAnsi="Arial" w:cs="Arial"/>
          <w:sz w:val="17"/>
          <w:szCs w:val="17"/>
          <w:lang w:val="en-GB"/>
        </w:rPr>
        <w:t xml:space="preserve">EU27_2020 (European Union) - member states of the European Union from 1 February 2020: </w:t>
      </w:r>
    </w:p>
    <w:p w14:paraId="435B8AEA" w14:textId="0255CBA4" w:rsidR="008A7F74" w:rsidRPr="00531339" w:rsidRDefault="008A7F74" w:rsidP="008A7F74">
      <w:pPr>
        <w:spacing w:after="120"/>
        <w:jc w:val="both"/>
        <w:rPr>
          <w:rFonts w:ascii="Arial" w:hAnsi="Arial" w:cs="Arial"/>
          <w:sz w:val="17"/>
          <w:lang w:val="en-GB"/>
        </w:rPr>
      </w:pPr>
      <w:r w:rsidRPr="00D7274F">
        <w:rPr>
          <w:rFonts w:ascii="Arial" w:hAnsi="Arial" w:cs="Arial"/>
          <w:sz w:val="17"/>
          <w:szCs w:val="17"/>
          <w:lang w:val="en-GB"/>
        </w:rPr>
        <w:t>Austria, Belgium, Bulgaria, Croatia, Cyprus</w:t>
      </w:r>
      <w:r w:rsidRPr="00531339">
        <w:rPr>
          <w:rFonts w:ascii="Arial" w:hAnsi="Arial" w:cs="Arial"/>
          <w:sz w:val="17"/>
          <w:lang w:val="en-GB"/>
        </w:rPr>
        <w:t>, Czech Republic, Denmark, Estonia, Finland, France, Germany, Greece, Hungary, Ireland, Italy, Latvia, Lithuania, Luxembourg, Malta, Netherlands, Poland, Portugal, Romania, Slovakia, Slovenia, Spain, Sweden</w:t>
      </w:r>
      <w:r w:rsidR="001146D2">
        <w:rPr>
          <w:rFonts w:ascii="Arial" w:hAnsi="Arial" w:cs="Arial"/>
          <w:sz w:val="17"/>
          <w:lang w:val="en-GB"/>
        </w:rPr>
        <w:t>.</w:t>
      </w:r>
      <w:r w:rsidRPr="00531339">
        <w:rPr>
          <w:rFonts w:ascii="Arial" w:hAnsi="Arial" w:cs="Arial"/>
          <w:sz w:val="17"/>
          <w:lang w:val="en-GB"/>
        </w:rPr>
        <w:t xml:space="preserve"> </w:t>
      </w:r>
    </w:p>
    <w:p w14:paraId="29ED18E9" w14:textId="77777777" w:rsidR="00D445CE" w:rsidRPr="00531339" w:rsidRDefault="00D445CE" w:rsidP="00D445CE">
      <w:pPr>
        <w:jc w:val="both"/>
        <w:rPr>
          <w:rFonts w:ascii="Arial" w:hAnsi="Arial" w:cs="Arial"/>
          <w:sz w:val="17"/>
          <w:lang w:val="en-GB"/>
        </w:rPr>
      </w:pPr>
      <w:r w:rsidRPr="00531339">
        <w:rPr>
          <w:rFonts w:ascii="Arial" w:hAnsi="Arial" w:cs="Arial"/>
          <w:sz w:val="17"/>
          <w:lang w:val="en-GB"/>
        </w:rPr>
        <w:t>Eurozone19 (Euro area – monetary union of 19 European Union member states):</w:t>
      </w:r>
    </w:p>
    <w:p w14:paraId="07E17DB0" w14:textId="4CFB7F98" w:rsidR="000B55D7" w:rsidRPr="00531339" w:rsidRDefault="00D445CE" w:rsidP="00D445CE">
      <w:pPr>
        <w:jc w:val="both"/>
        <w:rPr>
          <w:rFonts w:ascii="Arial" w:hAnsi="Arial" w:cs="Arial"/>
          <w:sz w:val="17"/>
          <w:lang w:val="en-GB"/>
        </w:rPr>
      </w:pPr>
      <w:r w:rsidRPr="00531339">
        <w:rPr>
          <w:rFonts w:ascii="Arial" w:hAnsi="Arial" w:cs="Arial"/>
          <w:sz w:val="17"/>
          <w:lang w:val="en-GB"/>
        </w:rPr>
        <w:t>Austria, Belgium, Cyprus, Estonia, Finland, France, Germany, Greece, Ireland, Italy, Latvia, Lithuania, Luxembourg, Malta, Netherlands, Port</w:t>
      </w:r>
      <w:r w:rsidR="001146D2">
        <w:rPr>
          <w:rFonts w:ascii="Arial" w:hAnsi="Arial" w:cs="Arial"/>
          <w:sz w:val="17"/>
          <w:lang w:val="en-GB"/>
        </w:rPr>
        <w:t>ugal, Slovakia, Slovenia, Spain.</w:t>
      </w:r>
    </w:p>
    <w:sectPr w:rsidR="000B55D7" w:rsidRPr="00531339" w:rsidSect="008A7F74">
      <w:headerReference w:type="even" r:id="rId9"/>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49E2C" w14:textId="77777777" w:rsidR="00FA44E2" w:rsidRDefault="00FA44E2">
      <w:r>
        <w:separator/>
      </w:r>
    </w:p>
  </w:endnote>
  <w:endnote w:type="continuationSeparator" w:id="0">
    <w:p w14:paraId="1247DD05" w14:textId="77777777" w:rsidR="00FA44E2" w:rsidRDefault="00FA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2ED34" w14:textId="77777777" w:rsidR="00FA44E2" w:rsidRDefault="00FA44E2">
      <w:r>
        <w:separator/>
      </w:r>
    </w:p>
  </w:footnote>
  <w:footnote w:type="continuationSeparator" w:id="0">
    <w:p w14:paraId="6E8F086B" w14:textId="77777777" w:rsidR="00FA44E2" w:rsidRDefault="00FA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FA59" w14:textId="77777777" w:rsidR="002C2B4A" w:rsidRDefault="00DF2DF6">
    <w:pPr>
      <w:pStyle w:val="Zhlav"/>
      <w:framePr w:wrap="around" w:vAnchor="text" w:hAnchor="margin" w:xAlign="center" w:y="1"/>
      <w:rPr>
        <w:rStyle w:val="slostrnky"/>
      </w:rPr>
    </w:pPr>
    <w:r>
      <w:rPr>
        <w:rStyle w:val="slostrnky"/>
      </w:rPr>
      <w:fldChar w:fldCharType="begin"/>
    </w:r>
    <w:r w:rsidR="002C2B4A">
      <w:rPr>
        <w:rStyle w:val="slostrnky"/>
      </w:rPr>
      <w:instrText xml:space="preserve">PAGE  </w:instrText>
    </w:r>
    <w:r>
      <w:rPr>
        <w:rStyle w:val="slostrnky"/>
      </w:rPr>
      <w:fldChar w:fldCharType="end"/>
    </w:r>
  </w:p>
  <w:p w14:paraId="4C770C96" w14:textId="77777777" w:rsidR="002C2B4A" w:rsidRDefault="002C2B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9AE"/>
    <w:multiLevelType w:val="hybridMultilevel"/>
    <w:tmpl w:val="48AED296"/>
    <w:lvl w:ilvl="0" w:tplc="04050001">
      <w:start w:val="1"/>
      <w:numFmt w:val="bullet"/>
      <w:lvlText w:val=""/>
      <w:lvlJc w:val="left"/>
      <w:pPr>
        <w:ind w:left="1145" w:hanging="360"/>
      </w:pPr>
      <w:rPr>
        <w:rFonts w:ascii="Symbol" w:hAnsi="Symbol" w:hint="default"/>
      </w:rPr>
    </w:lvl>
    <w:lvl w:ilvl="1" w:tplc="04050003">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5C2598C"/>
    <w:multiLevelType w:val="hybridMultilevel"/>
    <w:tmpl w:val="1654EE9E"/>
    <w:lvl w:ilvl="0" w:tplc="4F2A70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7E9469D"/>
    <w:multiLevelType w:val="hybridMultilevel"/>
    <w:tmpl w:val="D73CA5C4"/>
    <w:lvl w:ilvl="0" w:tplc="F5AEAAA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4112C5"/>
    <w:multiLevelType w:val="hybridMultilevel"/>
    <w:tmpl w:val="5F966BBC"/>
    <w:lvl w:ilvl="0" w:tplc="5484C1C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708"/>
  <w:hyphenationZone w:val="425"/>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41"/>
    <w:rsid w:val="0000248C"/>
    <w:rsid w:val="000A2C40"/>
    <w:rsid w:val="000B55D7"/>
    <w:rsid w:val="001146D2"/>
    <w:rsid w:val="00120738"/>
    <w:rsid w:val="0013104C"/>
    <w:rsid w:val="00186B38"/>
    <w:rsid w:val="001A7959"/>
    <w:rsid w:val="001B5220"/>
    <w:rsid w:val="001D0D59"/>
    <w:rsid w:val="001F5B55"/>
    <w:rsid w:val="002134DC"/>
    <w:rsid w:val="002240E0"/>
    <w:rsid w:val="00232F75"/>
    <w:rsid w:val="002850CA"/>
    <w:rsid w:val="002C2B4A"/>
    <w:rsid w:val="002C60EC"/>
    <w:rsid w:val="002D7806"/>
    <w:rsid w:val="002F5E38"/>
    <w:rsid w:val="00330EBC"/>
    <w:rsid w:val="00360E38"/>
    <w:rsid w:val="003917A8"/>
    <w:rsid w:val="003C4594"/>
    <w:rsid w:val="003D6893"/>
    <w:rsid w:val="003E274E"/>
    <w:rsid w:val="0043587F"/>
    <w:rsid w:val="00480DA4"/>
    <w:rsid w:val="00487BDF"/>
    <w:rsid w:val="004D624A"/>
    <w:rsid w:val="004D6982"/>
    <w:rsid w:val="005248FF"/>
    <w:rsid w:val="00531339"/>
    <w:rsid w:val="00532165"/>
    <w:rsid w:val="005D55B5"/>
    <w:rsid w:val="005D74AA"/>
    <w:rsid w:val="00601211"/>
    <w:rsid w:val="006139A6"/>
    <w:rsid w:val="00635499"/>
    <w:rsid w:val="0064454E"/>
    <w:rsid w:val="00677773"/>
    <w:rsid w:val="006D0512"/>
    <w:rsid w:val="006D34B5"/>
    <w:rsid w:val="006D7565"/>
    <w:rsid w:val="00751077"/>
    <w:rsid w:val="00783DF1"/>
    <w:rsid w:val="007C6D81"/>
    <w:rsid w:val="00803C77"/>
    <w:rsid w:val="0080527C"/>
    <w:rsid w:val="0080785A"/>
    <w:rsid w:val="00807A83"/>
    <w:rsid w:val="0081156F"/>
    <w:rsid w:val="00813871"/>
    <w:rsid w:val="00814FAE"/>
    <w:rsid w:val="008158B3"/>
    <w:rsid w:val="00871168"/>
    <w:rsid w:val="008A13BB"/>
    <w:rsid w:val="008A7F74"/>
    <w:rsid w:val="008B7857"/>
    <w:rsid w:val="008F3F58"/>
    <w:rsid w:val="00914887"/>
    <w:rsid w:val="0095353A"/>
    <w:rsid w:val="009543A4"/>
    <w:rsid w:val="00980FE1"/>
    <w:rsid w:val="009A6BD1"/>
    <w:rsid w:val="009D59DD"/>
    <w:rsid w:val="00A1388A"/>
    <w:rsid w:val="00A20088"/>
    <w:rsid w:val="00A218E4"/>
    <w:rsid w:val="00A26727"/>
    <w:rsid w:val="00A6234E"/>
    <w:rsid w:val="00A90B5D"/>
    <w:rsid w:val="00AD1448"/>
    <w:rsid w:val="00AD37B5"/>
    <w:rsid w:val="00AE4F41"/>
    <w:rsid w:val="00AF65C6"/>
    <w:rsid w:val="00B35F96"/>
    <w:rsid w:val="00B73E4B"/>
    <w:rsid w:val="00B75EB6"/>
    <w:rsid w:val="00BC6FFB"/>
    <w:rsid w:val="00BF2555"/>
    <w:rsid w:val="00BF68DB"/>
    <w:rsid w:val="00C07C2C"/>
    <w:rsid w:val="00C67783"/>
    <w:rsid w:val="00CA28F8"/>
    <w:rsid w:val="00CC1090"/>
    <w:rsid w:val="00D368BD"/>
    <w:rsid w:val="00D445CE"/>
    <w:rsid w:val="00D567DE"/>
    <w:rsid w:val="00D7274F"/>
    <w:rsid w:val="00DD6AC9"/>
    <w:rsid w:val="00DE35D4"/>
    <w:rsid w:val="00DE3779"/>
    <w:rsid w:val="00DE4ABB"/>
    <w:rsid w:val="00DF2DF6"/>
    <w:rsid w:val="00E1745E"/>
    <w:rsid w:val="00E61392"/>
    <w:rsid w:val="00EA37F1"/>
    <w:rsid w:val="00EC3527"/>
    <w:rsid w:val="00EC4F2A"/>
    <w:rsid w:val="00EE7308"/>
    <w:rsid w:val="00F51A01"/>
    <w:rsid w:val="00FA44E2"/>
    <w:rsid w:val="00FC5D25"/>
    <w:rsid w:val="00FE0A47"/>
    <w:rsid w:val="00FF55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A5952"/>
  <w15:docId w15:val="{94E4E821-49DB-4C05-9B23-82566781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1A01"/>
    <w:rPr>
      <w:sz w:val="24"/>
      <w:szCs w:val="24"/>
    </w:rPr>
  </w:style>
  <w:style w:type="paragraph" w:styleId="Nadpis1">
    <w:name w:val="heading 1"/>
    <w:basedOn w:val="Normln"/>
    <w:next w:val="Normln"/>
    <w:qFormat/>
    <w:rsid w:val="00F51A01"/>
    <w:pPr>
      <w:keepNext/>
      <w:outlineLvl w:val="0"/>
    </w:pPr>
    <w:rPr>
      <w:rFonts w:ascii="Arial" w:eastAsia="Batang" w:hAnsi="Arial"/>
      <w:b/>
      <w:bCs/>
      <w:sz w:val="18"/>
    </w:rPr>
  </w:style>
  <w:style w:type="paragraph" w:styleId="Nadpis2">
    <w:name w:val="heading 2"/>
    <w:basedOn w:val="Normln"/>
    <w:next w:val="Normln"/>
    <w:qFormat/>
    <w:rsid w:val="00F51A01"/>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F51A01"/>
    <w:rPr>
      <w:sz w:val="20"/>
      <w:szCs w:val="20"/>
    </w:rPr>
  </w:style>
  <w:style w:type="character" w:styleId="Znakapoznpodarou">
    <w:name w:val="footnote reference"/>
    <w:semiHidden/>
    <w:rsid w:val="00F51A01"/>
    <w:rPr>
      <w:vertAlign w:val="superscript"/>
    </w:rPr>
  </w:style>
  <w:style w:type="paragraph" w:styleId="Nzev">
    <w:name w:val="Title"/>
    <w:basedOn w:val="Normln"/>
    <w:qFormat/>
    <w:rsid w:val="00F51A0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F51A01"/>
    <w:pPr>
      <w:jc w:val="both"/>
    </w:pPr>
    <w:rPr>
      <w:rFonts w:ascii="Arial" w:hAnsi="Arial"/>
      <w:sz w:val="22"/>
      <w:lang w:val="en-GB"/>
    </w:rPr>
  </w:style>
  <w:style w:type="paragraph" w:styleId="Zkladntextodsazen">
    <w:name w:val="Body Text Indent"/>
    <w:basedOn w:val="Normln"/>
    <w:semiHidden/>
    <w:rsid w:val="00F51A01"/>
    <w:pPr>
      <w:spacing w:line="360" w:lineRule="auto"/>
      <w:ind w:firstLine="708"/>
      <w:jc w:val="both"/>
    </w:pPr>
    <w:rPr>
      <w:rFonts w:ascii="Arial" w:hAnsi="Arial"/>
      <w:sz w:val="19"/>
    </w:rPr>
  </w:style>
  <w:style w:type="paragraph" w:styleId="Zkladntextodsazen2">
    <w:name w:val="Body Text Indent 2"/>
    <w:basedOn w:val="Normln"/>
    <w:semiHidden/>
    <w:rsid w:val="00F51A01"/>
    <w:pPr>
      <w:spacing w:line="360" w:lineRule="auto"/>
      <w:ind w:firstLine="708"/>
      <w:jc w:val="both"/>
    </w:pPr>
    <w:rPr>
      <w:rFonts w:ascii="Arial" w:hAnsi="Arial"/>
      <w:sz w:val="20"/>
      <w:lang w:val="en-GB"/>
    </w:rPr>
  </w:style>
  <w:style w:type="paragraph" w:styleId="Zhlav">
    <w:name w:val="header"/>
    <w:basedOn w:val="Normln"/>
    <w:semiHidden/>
    <w:rsid w:val="00F51A01"/>
    <w:pPr>
      <w:tabs>
        <w:tab w:val="center" w:pos="4536"/>
        <w:tab w:val="right" w:pos="9072"/>
      </w:tabs>
    </w:pPr>
  </w:style>
  <w:style w:type="character" w:styleId="slostrnky">
    <w:name w:val="page number"/>
    <w:basedOn w:val="Standardnpsmoodstavce"/>
    <w:semiHidden/>
    <w:rsid w:val="00F51A01"/>
  </w:style>
  <w:style w:type="paragraph" w:styleId="Zpat">
    <w:name w:val="footer"/>
    <w:basedOn w:val="Normln"/>
    <w:semiHidden/>
    <w:rsid w:val="00F51A01"/>
    <w:pPr>
      <w:tabs>
        <w:tab w:val="center" w:pos="4536"/>
        <w:tab w:val="right" w:pos="9072"/>
      </w:tabs>
    </w:pPr>
  </w:style>
  <w:style w:type="paragraph" w:styleId="Zkladntextodsazen3">
    <w:name w:val="Body Text Indent 3"/>
    <w:basedOn w:val="Normln"/>
    <w:semiHidden/>
    <w:rsid w:val="00F51A01"/>
    <w:pPr>
      <w:ind w:firstLine="708"/>
      <w:jc w:val="both"/>
    </w:pPr>
    <w:rPr>
      <w:rFonts w:ascii="Arial" w:hAnsi="Arial"/>
      <w:sz w:val="16"/>
      <w:szCs w:val="20"/>
    </w:rPr>
  </w:style>
  <w:style w:type="paragraph" w:styleId="Zkladntext2">
    <w:name w:val="Body Text 2"/>
    <w:basedOn w:val="Normln"/>
    <w:semiHidden/>
    <w:rsid w:val="00F51A01"/>
    <w:pPr>
      <w:jc w:val="both"/>
    </w:pPr>
    <w:rPr>
      <w:rFonts w:ascii="Arial" w:hAnsi="Arial"/>
      <w:sz w:val="20"/>
    </w:rPr>
  </w:style>
  <w:style w:type="paragraph" w:styleId="Zkladntext3">
    <w:name w:val="Body Text 3"/>
    <w:basedOn w:val="Normln"/>
    <w:semiHidden/>
    <w:rsid w:val="00F51A01"/>
    <w:pPr>
      <w:autoSpaceDE w:val="0"/>
      <w:autoSpaceDN w:val="0"/>
      <w:adjustRightInd w:val="0"/>
    </w:pPr>
    <w:rPr>
      <w:rFonts w:ascii="Arial" w:hAnsi="Arial"/>
      <w:sz w:val="18"/>
      <w:szCs w:val="20"/>
      <w:lang w:val="en-GB"/>
    </w:rPr>
  </w:style>
  <w:style w:type="character" w:styleId="Hypertextovodkaz">
    <w:name w:val="Hyperlink"/>
    <w:uiPriority w:val="99"/>
    <w:unhideWhenUsed/>
    <w:rsid w:val="00DE3779"/>
    <w:rPr>
      <w:color w:val="0000FF"/>
      <w:u w:val="single"/>
    </w:rPr>
  </w:style>
  <w:style w:type="character" w:styleId="Zdraznn">
    <w:name w:val="Emphasis"/>
    <w:uiPriority w:val="20"/>
    <w:qFormat/>
    <w:rsid w:val="00DE3779"/>
    <w:rPr>
      <w:i/>
      <w:iCs/>
    </w:rPr>
  </w:style>
  <w:style w:type="paragraph" w:customStyle="1" w:styleId="poznamkytexty">
    <w:name w:val="poznamkytexty"/>
    <w:basedOn w:val="Normln"/>
    <w:rsid w:val="00DE3779"/>
    <w:pPr>
      <w:spacing w:before="100" w:beforeAutospacing="1" w:after="100" w:afterAutospacing="1"/>
    </w:pPr>
  </w:style>
  <w:style w:type="paragraph" w:styleId="Odstavecseseznamem">
    <w:name w:val="List Paragraph"/>
    <w:basedOn w:val="Normln"/>
    <w:uiPriority w:val="34"/>
    <w:qFormat/>
    <w:rsid w:val="00DE3779"/>
    <w:pPr>
      <w:ind w:left="708"/>
    </w:pPr>
  </w:style>
  <w:style w:type="paragraph" w:customStyle="1" w:styleId="poznmky0">
    <w:name w:val="poznmky0"/>
    <w:basedOn w:val="Normln"/>
    <w:rsid w:val="008A7F74"/>
    <w:pPr>
      <w:spacing w:before="100" w:beforeAutospacing="1" w:after="100" w:afterAutospacing="1"/>
    </w:pPr>
  </w:style>
  <w:style w:type="character" w:styleId="Siln">
    <w:name w:val="Strong"/>
    <w:uiPriority w:val="22"/>
    <w:qFormat/>
    <w:rsid w:val="00C67783"/>
    <w:rPr>
      <w:b/>
      <w:bCs/>
    </w:rPr>
  </w:style>
  <w:style w:type="paragraph" w:styleId="Textbubliny">
    <w:name w:val="Balloon Text"/>
    <w:basedOn w:val="Normln"/>
    <w:link w:val="TextbublinyChar"/>
    <w:uiPriority w:val="99"/>
    <w:semiHidden/>
    <w:unhideWhenUsed/>
    <w:rsid w:val="00A2672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6727"/>
    <w:rPr>
      <w:rFonts w:ascii="Segoe UI" w:hAnsi="Segoe UI" w:cs="Segoe UI"/>
      <w:sz w:val="18"/>
      <w:szCs w:val="18"/>
    </w:rPr>
  </w:style>
  <w:style w:type="character" w:styleId="Odkaznakoment">
    <w:name w:val="annotation reference"/>
    <w:basedOn w:val="Standardnpsmoodstavce"/>
    <w:uiPriority w:val="99"/>
    <w:semiHidden/>
    <w:unhideWhenUsed/>
    <w:rsid w:val="005D55B5"/>
    <w:rPr>
      <w:sz w:val="16"/>
      <w:szCs w:val="16"/>
    </w:rPr>
  </w:style>
  <w:style w:type="paragraph" w:styleId="Textkomente">
    <w:name w:val="annotation text"/>
    <w:basedOn w:val="Normln"/>
    <w:link w:val="TextkomenteChar"/>
    <w:uiPriority w:val="99"/>
    <w:semiHidden/>
    <w:unhideWhenUsed/>
    <w:rsid w:val="005D55B5"/>
    <w:rPr>
      <w:sz w:val="20"/>
      <w:szCs w:val="20"/>
    </w:rPr>
  </w:style>
  <w:style w:type="character" w:customStyle="1" w:styleId="TextkomenteChar">
    <w:name w:val="Text komentáře Char"/>
    <w:basedOn w:val="Standardnpsmoodstavce"/>
    <w:link w:val="Textkomente"/>
    <w:uiPriority w:val="99"/>
    <w:semiHidden/>
    <w:rsid w:val="005D55B5"/>
  </w:style>
  <w:style w:type="paragraph" w:styleId="Pedmtkomente">
    <w:name w:val="annotation subject"/>
    <w:basedOn w:val="Textkomente"/>
    <w:next w:val="Textkomente"/>
    <w:link w:val="PedmtkomenteChar"/>
    <w:uiPriority w:val="99"/>
    <w:semiHidden/>
    <w:unhideWhenUsed/>
    <w:rsid w:val="005D55B5"/>
    <w:rPr>
      <w:b/>
      <w:bCs/>
    </w:rPr>
  </w:style>
  <w:style w:type="character" w:customStyle="1" w:styleId="PedmtkomenteChar">
    <w:name w:val="Předmět komentáře Char"/>
    <w:basedOn w:val="TextkomenteChar"/>
    <w:link w:val="Pedmtkomente"/>
    <w:uiPriority w:val="99"/>
    <w:semiHidden/>
    <w:rsid w:val="005D5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759">
      <w:bodyDiv w:val="1"/>
      <w:marLeft w:val="0"/>
      <w:marRight w:val="0"/>
      <w:marTop w:val="0"/>
      <w:marBottom w:val="0"/>
      <w:divBdr>
        <w:top w:val="none" w:sz="0" w:space="0" w:color="auto"/>
        <w:left w:val="none" w:sz="0" w:space="0" w:color="auto"/>
        <w:bottom w:val="none" w:sz="0" w:space="0" w:color="auto"/>
        <w:right w:val="none" w:sz="0" w:space="0" w:color="auto"/>
      </w:divBdr>
    </w:div>
    <w:div w:id="536504204">
      <w:bodyDiv w:val="1"/>
      <w:marLeft w:val="0"/>
      <w:marRight w:val="0"/>
      <w:marTop w:val="0"/>
      <w:marBottom w:val="0"/>
      <w:divBdr>
        <w:top w:val="none" w:sz="0" w:space="0" w:color="auto"/>
        <w:left w:val="none" w:sz="0" w:space="0" w:color="auto"/>
        <w:bottom w:val="none" w:sz="0" w:space="0" w:color="auto"/>
        <w:right w:val="none" w:sz="0" w:space="0" w:color="auto"/>
      </w:divBdr>
      <w:divsChild>
        <w:div w:id="1609464775">
          <w:marLeft w:val="0"/>
          <w:marRight w:val="0"/>
          <w:marTop w:val="0"/>
          <w:marBottom w:val="0"/>
          <w:divBdr>
            <w:top w:val="none" w:sz="0" w:space="0" w:color="auto"/>
            <w:left w:val="none" w:sz="0" w:space="0" w:color="auto"/>
            <w:bottom w:val="none" w:sz="0" w:space="0" w:color="auto"/>
            <w:right w:val="none" w:sz="0" w:space="0" w:color="auto"/>
          </w:divBdr>
          <w:divsChild>
            <w:div w:id="240405952">
              <w:marLeft w:val="0"/>
              <w:marRight w:val="0"/>
              <w:marTop w:val="0"/>
              <w:marBottom w:val="0"/>
              <w:divBdr>
                <w:top w:val="none" w:sz="0" w:space="0" w:color="auto"/>
                <w:left w:val="none" w:sz="0" w:space="0" w:color="auto"/>
                <w:bottom w:val="none" w:sz="0" w:space="0" w:color="auto"/>
                <w:right w:val="none" w:sz="0" w:space="0" w:color="auto"/>
              </w:divBdr>
              <w:divsChild>
                <w:div w:id="885799160">
                  <w:marLeft w:val="0"/>
                  <w:marRight w:val="0"/>
                  <w:marTop w:val="0"/>
                  <w:marBottom w:val="0"/>
                  <w:divBdr>
                    <w:top w:val="none" w:sz="0" w:space="0" w:color="auto"/>
                    <w:left w:val="none" w:sz="0" w:space="0" w:color="auto"/>
                    <w:bottom w:val="none" w:sz="0" w:space="0" w:color="auto"/>
                    <w:right w:val="none" w:sz="0" w:space="0" w:color="auto"/>
                  </w:divBdr>
                  <w:divsChild>
                    <w:div w:id="875855539">
                      <w:marLeft w:val="0"/>
                      <w:marRight w:val="0"/>
                      <w:marTop w:val="0"/>
                      <w:marBottom w:val="0"/>
                      <w:divBdr>
                        <w:top w:val="none" w:sz="0" w:space="0" w:color="auto"/>
                        <w:left w:val="none" w:sz="0" w:space="0" w:color="auto"/>
                        <w:bottom w:val="none" w:sz="0" w:space="0" w:color="auto"/>
                        <w:right w:val="none" w:sz="0" w:space="0" w:color="auto"/>
                      </w:divBdr>
                      <w:divsChild>
                        <w:div w:id="1247956725">
                          <w:marLeft w:val="0"/>
                          <w:marRight w:val="0"/>
                          <w:marTop w:val="0"/>
                          <w:marBottom w:val="0"/>
                          <w:divBdr>
                            <w:top w:val="none" w:sz="0" w:space="0" w:color="auto"/>
                            <w:left w:val="none" w:sz="0" w:space="0" w:color="auto"/>
                            <w:bottom w:val="none" w:sz="0" w:space="0" w:color="auto"/>
                            <w:right w:val="none" w:sz="0" w:space="0" w:color="auto"/>
                          </w:divBdr>
                          <w:divsChild>
                            <w:div w:id="1052774980">
                              <w:marLeft w:val="0"/>
                              <w:marRight w:val="0"/>
                              <w:marTop w:val="0"/>
                              <w:marBottom w:val="0"/>
                              <w:divBdr>
                                <w:top w:val="none" w:sz="0" w:space="0" w:color="auto"/>
                                <w:left w:val="none" w:sz="0" w:space="0" w:color="auto"/>
                                <w:bottom w:val="none" w:sz="0" w:space="0" w:color="auto"/>
                                <w:right w:val="none" w:sz="0" w:space="0" w:color="auto"/>
                              </w:divBdr>
                              <w:divsChild>
                                <w:div w:id="4927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hanges-in-international-trade-statis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DC35-8944-4DAA-B838-4CEA393F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774</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creator>csu</dc:creator>
  <cp:lastModifiedBy>Bartlová Monika</cp:lastModifiedBy>
  <cp:revision>17</cp:revision>
  <cp:lastPrinted>2017-01-30T08:27:00Z</cp:lastPrinted>
  <dcterms:created xsi:type="dcterms:W3CDTF">2020-04-22T07:43:00Z</dcterms:created>
  <dcterms:modified xsi:type="dcterms:W3CDTF">2022-10-11T07:41:00Z</dcterms:modified>
</cp:coreProperties>
</file>