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93" w:rsidRPr="00FE6403" w:rsidRDefault="008C1793" w:rsidP="008C1793">
      <w:pPr>
        <w:pStyle w:val="Nadpis1"/>
        <w:rPr>
          <w:sz w:val="28"/>
        </w:rPr>
      </w:pPr>
      <w:bookmarkStart w:id="0" w:name="_Metodická_příloha"/>
      <w:bookmarkStart w:id="1" w:name="_5._Metodická_příloha"/>
      <w:bookmarkStart w:id="2" w:name="_4._Mezinárodní_srovnání"/>
      <w:bookmarkStart w:id="3" w:name="_Toc481748803"/>
      <w:bookmarkStart w:id="4" w:name="_Toc481748804"/>
      <w:bookmarkEnd w:id="0"/>
      <w:bookmarkEnd w:id="1"/>
      <w:bookmarkEnd w:id="2"/>
      <w:r w:rsidRPr="00FE6403">
        <w:rPr>
          <w:sz w:val="28"/>
        </w:rPr>
        <w:t>4. Mezinárodní srovnání výdajů na zdravotní péči</w:t>
      </w:r>
      <w:bookmarkEnd w:id="3"/>
    </w:p>
    <w:p w:rsidR="008C1793" w:rsidRPr="00D35655" w:rsidRDefault="008C1793" w:rsidP="008C1793">
      <w:pPr>
        <w:keepNext/>
        <w:spacing w:before="240" w:after="120"/>
        <w:jc w:val="both"/>
        <w:rPr>
          <w:rFonts w:cs="Arial"/>
          <w:color w:val="000000"/>
          <w:szCs w:val="20"/>
        </w:rPr>
      </w:pPr>
      <w:r w:rsidRPr="00D35655">
        <w:rPr>
          <w:rFonts w:cs="Arial"/>
          <w:color w:val="000000"/>
          <w:szCs w:val="20"/>
        </w:rPr>
        <w:t xml:space="preserve">V této části je prezentováno porovnání základních ukazatelů výdajů na zdravotní péči ve vybraných zemích </w:t>
      </w:r>
      <w:r>
        <w:rPr>
          <w:rFonts w:cs="Arial"/>
          <w:color w:val="000000"/>
          <w:szCs w:val="20"/>
        </w:rPr>
        <w:t xml:space="preserve">Evropské Unie (EU) a Evropského sdružení volného obchodu (EFTA – Státy EFTA jsou Island, Lichtenštejnsko, Norsko a Švýcarsko a Organizace </w:t>
      </w:r>
      <w:r w:rsidRPr="00D35655">
        <w:rPr>
          <w:rFonts w:cs="Arial"/>
          <w:color w:val="000000"/>
          <w:szCs w:val="20"/>
        </w:rPr>
        <w:t>pro hospodářskou spolupráci a rozvoj</w:t>
      </w:r>
      <w:r>
        <w:rPr>
          <w:rFonts w:cs="Arial"/>
          <w:color w:val="000000"/>
          <w:szCs w:val="20"/>
        </w:rPr>
        <w:t xml:space="preserve"> (OECD). </w:t>
      </w:r>
      <w:r w:rsidRPr="00D35655">
        <w:rPr>
          <w:rFonts w:cs="Arial"/>
          <w:color w:val="000000"/>
          <w:szCs w:val="20"/>
        </w:rPr>
        <w:t>Předkládané statistiky přinášejí pohled na financování našeho zdrav</w:t>
      </w:r>
      <w:r>
        <w:rPr>
          <w:rFonts w:cs="Arial"/>
          <w:color w:val="000000"/>
          <w:szCs w:val="20"/>
        </w:rPr>
        <w:t xml:space="preserve">otnictví v širším mezinárodním </w:t>
      </w:r>
      <w:r w:rsidRPr="00D35655">
        <w:rPr>
          <w:rFonts w:cs="Arial"/>
          <w:color w:val="000000"/>
          <w:szCs w:val="20"/>
        </w:rPr>
        <w:t>kontextu a mohou tak poskytnout užitečné podklady pro jeho hodnocení a přispět do diskuze o jeho budoucím směřování. Údaje byly převzaty z publikace He</w:t>
      </w:r>
      <w:r>
        <w:rPr>
          <w:rFonts w:cs="Arial"/>
          <w:color w:val="000000"/>
          <w:szCs w:val="20"/>
        </w:rPr>
        <w:t>alth at a Glance 2017</w:t>
      </w:r>
      <w:r w:rsidRPr="00D35655">
        <w:rPr>
          <w:rFonts w:cs="Arial"/>
          <w:color w:val="000000"/>
          <w:szCs w:val="20"/>
        </w:rPr>
        <w:t xml:space="preserve"> a doplněny dalšími údaji z databáze ukazatelů Organizace pro hospodářskou spolupráci a rozvoj (OECD)</w:t>
      </w:r>
      <w:r w:rsidRPr="004C303E">
        <w:rPr>
          <w:rFonts w:cs="Arial"/>
          <w:szCs w:val="20"/>
        </w:rPr>
        <w:t xml:space="preserve"> </w:t>
      </w:r>
      <w:r w:rsidRPr="00341B64">
        <w:rPr>
          <w:rFonts w:cs="Arial"/>
          <w:szCs w:val="20"/>
        </w:rPr>
        <w:t>http://www.oecd-ilibrary.org/</w:t>
      </w:r>
      <w:r>
        <w:rPr>
          <w:rFonts w:cs="Arial"/>
          <w:szCs w:val="20"/>
        </w:rPr>
        <w:t>.</w:t>
      </w:r>
    </w:p>
    <w:p w:rsidR="008C1793" w:rsidRPr="001E3731" w:rsidRDefault="008C1793" w:rsidP="008C1793">
      <w:pPr>
        <w:spacing w:before="120"/>
        <w:jc w:val="both"/>
        <w:rPr>
          <w:b/>
          <w:i/>
          <w:szCs w:val="20"/>
        </w:rPr>
      </w:pPr>
      <w:r w:rsidRPr="001E3731">
        <w:rPr>
          <w:b/>
          <w:i/>
          <w:szCs w:val="20"/>
        </w:rPr>
        <w:t>Nejvíce</w:t>
      </w:r>
      <w:r>
        <w:rPr>
          <w:b/>
          <w:i/>
          <w:szCs w:val="20"/>
        </w:rPr>
        <w:t xml:space="preserve"> peněz </w:t>
      </w:r>
      <w:r w:rsidRPr="001E3731">
        <w:rPr>
          <w:b/>
          <w:i/>
          <w:szCs w:val="20"/>
        </w:rPr>
        <w:t>za zdravotní pé</w:t>
      </w:r>
      <w:r>
        <w:rPr>
          <w:b/>
          <w:i/>
          <w:szCs w:val="20"/>
        </w:rPr>
        <w:t xml:space="preserve">či na jednoho obyvatele </w:t>
      </w:r>
      <w:r w:rsidRPr="001E3731">
        <w:rPr>
          <w:b/>
          <w:i/>
          <w:szCs w:val="20"/>
        </w:rPr>
        <w:t>v roce 201</w:t>
      </w:r>
      <w:r>
        <w:rPr>
          <w:b/>
          <w:i/>
          <w:szCs w:val="20"/>
        </w:rPr>
        <w:t>6</w:t>
      </w:r>
      <w:r w:rsidRPr="001E3731">
        <w:rPr>
          <w:b/>
          <w:i/>
          <w:szCs w:val="20"/>
        </w:rPr>
        <w:t xml:space="preserve"> </w:t>
      </w:r>
      <w:r>
        <w:rPr>
          <w:b/>
          <w:i/>
          <w:szCs w:val="20"/>
        </w:rPr>
        <w:t>vydaly Spojené státy</w:t>
      </w:r>
    </w:p>
    <w:p w:rsidR="008C1793" w:rsidRPr="001E3731" w:rsidRDefault="008C1793" w:rsidP="008C1793">
      <w:pPr>
        <w:spacing w:before="120"/>
        <w:jc w:val="both"/>
        <w:rPr>
          <w:rFonts w:cs="Arial"/>
          <w:color w:val="000000"/>
          <w:szCs w:val="20"/>
        </w:rPr>
      </w:pPr>
      <w:r w:rsidRPr="001E3731">
        <w:rPr>
          <w:rFonts w:cs="Arial"/>
          <w:color w:val="000000"/>
          <w:szCs w:val="20"/>
        </w:rPr>
        <w:t xml:space="preserve">Jednoznačně nejvyšší částky na zdravotní péči v přepočtu na jednoho obyvatele mezi státy </w:t>
      </w:r>
      <w:r>
        <w:rPr>
          <w:rFonts w:cs="Arial"/>
          <w:color w:val="000000"/>
          <w:szCs w:val="20"/>
        </w:rPr>
        <w:t>OECD</w:t>
      </w:r>
      <w:r w:rsidRPr="001E373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zaplatily</w:t>
      </w:r>
      <w:r w:rsidRPr="001E3731">
        <w:rPr>
          <w:rFonts w:cs="Arial"/>
          <w:color w:val="000000"/>
          <w:szCs w:val="20"/>
        </w:rPr>
        <w:t xml:space="preserve"> v roce 201</w:t>
      </w:r>
      <w:r>
        <w:rPr>
          <w:rFonts w:cs="Arial"/>
          <w:color w:val="000000"/>
          <w:szCs w:val="20"/>
        </w:rPr>
        <w:t>6</w:t>
      </w:r>
      <w:r w:rsidRPr="001E373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Spojené státy</w:t>
      </w:r>
      <w:r w:rsidRPr="001E3731">
        <w:rPr>
          <w:rFonts w:cs="Arial"/>
          <w:color w:val="000000"/>
          <w:szCs w:val="20"/>
        </w:rPr>
        <w:t xml:space="preserve">, kdy se jednalo o </w:t>
      </w:r>
      <w:r>
        <w:rPr>
          <w:rFonts w:cs="Arial"/>
          <w:color w:val="000000"/>
          <w:szCs w:val="20"/>
        </w:rPr>
        <w:t>téměř 10</w:t>
      </w:r>
      <w:r w:rsidRPr="001E3731">
        <w:rPr>
          <w:rFonts w:cs="Arial"/>
          <w:color w:val="000000"/>
          <w:szCs w:val="20"/>
        </w:rPr>
        <w:t xml:space="preserve"> tisíc </w:t>
      </w:r>
      <w:r>
        <w:rPr>
          <w:rFonts w:cs="Arial"/>
          <w:color w:val="000000"/>
          <w:szCs w:val="20"/>
        </w:rPr>
        <w:t>USD</w:t>
      </w:r>
      <w:r w:rsidRPr="001E3731">
        <w:rPr>
          <w:rFonts w:cs="Arial"/>
          <w:color w:val="000000"/>
          <w:szCs w:val="20"/>
        </w:rPr>
        <w:t xml:space="preserve"> přepočtenýc</w:t>
      </w:r>
      <w:r>
        <w:rPr>
          <w:rFonts w:cs="Arial"/>
          <w:color w:val="000000"/>
          <w:szCs w:val="20"/>
        </w:rPr>
        <w:t xml:space="preserve">h podle parity kupní síly </w:t>
      </w:r>
      <w:r w:rsidRPr="001E3731">
        <w:rPr>
          <w:rFonts w:cs="Arial"/>
          <w:color w:val="000000"/>
          <w:szCs w:val="20"/>
        </w:rPr>
        <w:t>(viz graf č</w:t>
      </w:r>
      <w:r>
        <w:rPr>
          <w:rFonts w:cs="Arial"/>
          <w:color w:val="000000"/>
          <w:szCs w:val="20"/>
        </w:rPr>
        <w:t xml:space="preserve"> </w:t>
      </w:r>
      <w:r w:rsidRPr="001E3731">
        <w:rPr>
          <w:rFonts w:cs="Arial"/>
          <w:color w:val="000000"/>
          <w:szCs w:val="20"/>
        </w:rPr>
        <w:t xml:space="preserve">4.1). K hranici </w:t>
      </w:r>
      <w:r>
        <w:rPr>
          <w:rFonts w:cs="Arial"/>
          <w:color w:val="000000"/>
          <w:szCs w:val="20"/>
        </w:rPr>
        <w:t>8</w:t>
      </w:r>
      <w:r w:rsidRPr="001E3731">
        <w:rPr>
          <w:rFonts w:cs="Arial"/>
          <w:color w:val="000000"/>
          <w:szCs w:val="20"/>
        </w:rPr>
        <w:t xml:space="preserve"> tisíc </w:t>
      </w:r>
      <w:r>
        <w:rPr>
          <w:rFonts w:cs="Arial"/>
          <w:color w:val="000000"/>
          <w:szCs w:val="20"/>
        </w:rPr>
        <w:t>USD</w:t>
      </w:r>
      <w:r w:rsidRPr="001E3731">
        <w:rPr>
          <w:rFonts w:cs="Arial"/>
          <w:color w:val="000000"/>
          <w:szCs w:val="20"/>
        </w:rPr>
        <w:t xml:space="preserve"> vynaložených na zdravotní péči na jednoho obyvatele se přiblížilo v</w:t>
      </w:r>
      <w:r>
        <w:rPr>
          <w:rFonts w:cs="Arial"/>
          <w:color w:val="000000"/>
          <w:szCs w:val="20"/>
        </w:rPr>
        <w:t xml:space="preserve"> daném </w:t>
      </w:r>
      <w:r w:rsidRPr="001E3731">
        <w:rPr>
          <w:rFonts w:cs="Arial"/>
          <w:color w:val="000000"/>
          <w:szCs w:val="20"/>
        </w:rPr>
        <w:t xml:space="preserve">roce </w:t>
      </w:r>
      <w:r>
        <w:rPr>
          <w:rFonts w:cs="Arial"/>
          <w:color w:val="000000"/>
          <w:szCs w:val="20"/>
        </w:rPr>
        <w:t xml:space="preserve">Švýcarsko a Lucembursko, následované Norskem </w:t>
      </w:r>
      <w:r w:rsidR="00FC12FB">
        <w:rPr>
          <w:rFonts w:cs="Arial"/>
          <w:color w:val="000000"/>
          <w:szCs w:val="20"/>
        </w:rPr>
        <w:t xml:space="preserve">s </w:t>
      </w:r>
      <w:r>
        <w:rPr>
          <w:rFonts w:cs="Arial"/>
          <w:color w:val="000000"/>
          <w:szCs w:val="20"/>
        </w:rPr>
        <w:t>téměř 7 tisíc</w:t>
      </w:r>
      <w:r w:rsidR="00FC12FB">
        <w:rPr>
          <w:rFonts w:cs="Arial"/>
          <w:color w:val="000000"/>
          <w:szCs w:val="20"/>
        </w:rPr>
        <w:t>i</w:t>
      </w:r>
      <w:r>
        <w:rPr>
          <w:rFonts w:cs="Arial"/>
          <w:color w:val="000000"/>
          <w:szCs w:val="20"/>
        </w:rPr>
        <w:t xml:space="preserve"> USD. Za uvedenými zeměmi pak následují Německo, </w:t>
      </w:r>
      <w:r w:rsidRPr="001E3731">
        <w:rPr>
          <w:rFonts w:cs="Arial"/>
          <w:color w:val="000000"/>
          <w:szCs w:val="20"/>
        </w:rPr>
        <w:t>Švédsko</w:t>
      </w:r>
      <w:r>
        <w:rPr>
          <w:rFonts w:cs="Arial"/>
          <w:color w:val="000000"/>
          <w:szCs w:val="20"/>
        </w:rPr>
        <w:t>,</w:t>
      </w:r>
      <w:r w:rsidRPr="001E3731">
        <w:rPr>
          <w:rFonts w:cs="Arial"/>
          <w:color w:val="000000"/>
          <w:szCs w:val="20"/>
        </w:rPr>
        <w:t xml:space="preserve"> Nizozemsko, </w:t>
      </w:r>
      <w:r>
        <w:rPr>
          <w:rFonts w:cs="Arial"/>
          <w:color w:val="000000"/>
          <w:szCs w:val="20"/>
        </w:rPr>
        <w:t>Rakousko či Dánsko</w:t>
      </w:r>
      <w:r w:rsidRPr="001E3731">
        <w:rPr>
          <w:rFonts w:cs="Arial"/>
          <w:color w:val="000000"/>
          <w:szCs w:val="20"/>
        </w:rPr>
        <w:t xml:space="preserve">, jejichž výdaje na zdravotní péči na jednoho obyvatele se pohybují </w:t>
      </w:r>
      <w:r>
        <w:rPr>
          <w:rFonts w:cs="Arial"/>
          <w:color w:val="000000"/>
          <w:szCs w:val="20"/>
        </w:rPr>
        <w:t xml:space="preserve">nad hranicí 5 tisíc </w:t>
      </w:r>
      <w:r w:rsidR="00FC12FB">
        <w:rPr>
          <w:rFonts w:cs="Arial"/>
          <w:color w:val="000000"/>
          <w:szCs w:val="20"/>
        </w:rPr>
        <w:t>USD</w:t>
      </w:r>
      <w:r>
        <w:rPr>
          <w:rFonts w:cs="Arial"/>
          <w:color w:val="000000"/>
          <w:szCs w:val="20"/>
        </w:rPr>
        <w:t>. Na opačné straně žebříčku jsou Chorvatsko, Turecko a Mexiko s výdaji na jednoho obyvatele okolo jednoho tisíce USD</w:t>
      </w:r>
      <w:r w:rsidRPr="001E3731">
        <w:rPr>
          <w:rFonts w:cs="Arial"/>
          <w:color w:val="000000"/>
          <w:szCs w:val="20"/>
        </w:rPr>
        <w:t xml:space="preserve">. V průměru bylo na zdravotní péči na jednoho obyvatele </w:t>
      </w:r>
      <w:r>
        <w:rPr>
          <w:rFonts w:cs="Arial"/>
          <w:color w:val="000000"/>
          <w:szCs w:val="20"/>
        </w:rPr>
        <w:t xml:space="preserve">v uvedených zemích OECD </w:t>
      </w:r>
      <w:r w:rsidRPr="001E3731">
        <w:rPr>
          <w:rFonts w:cs="Arial"/>
          <w:color w:val="000000"/>
          <w:szCs w:val="20"/>
        </w:rPr>
        <w:t>vydáno v roce 201</w:t>
      </w:r>
      <w:r>
        <w:rPr>
          <w:rFonts w:cs="Arial"/>
          <w:color w:val="000000"/>
          <w:szCs w:val="20"/>
        </w:rPr>
        <w:t xml:space="preserve">6 zhruba 4 000 USD. </w:t>
      </w:r>
      <w:r w:rsidRPr="001E3731">
        <w:rPr>
          <w:rFonts w:cs="Arial"/>
          <w:color w:val="000000"/>
          <w:szCs w:val="20"/>
        </w:rPr>
        <w:t xml:space="preserve">Česká republika patří mezi </w:t>
      </w:r>
      <w:r>
        <w:rPr>
          <w:rFonts w:cs="Arial"/>
          <w:color w:val="000000"/>
          <w:szCs w:val="20"/>
        </w:rPr>
        <w:t>státy</w:t>
      </w:r>
      <w:r w:rsidRPr="001E373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s </w:t>
      </w:r>
      <w:r w:rsidRPr="001E3731">
        <w:rPr>
          <w:rFonts w:cs="Arial"/>
          <w:color w:val="000000"/>
          <w:szCs w:val="20"/>
        </w:rPr>
        <w:t xml:space="preserve"> nižšími výdaji na zdravotní péči na obyvatele </w:t>
      </w:r>
      <w:r>
        <w:rPr>
          <w:rFonts w:cs="Arial"/>
          <w:color w:val="000000"/>
          <w:szCs w:val="20"/>
        </w:rPr>
        <w:t>(hodnota</w:t>
      </w:r>
      <w:r w:rsidRPr="001E373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okolo 2 500 USD). Z grafu č. 4.1 je patrná </w:t>
      </w:r>
      <w:r w:rsidRPr="001E3731">
        <w:rPr>
          <w:rFonts w:cs="Arial"/>
          <w:color w:val="000000"/>
          <w:szCs w:val="20"/>
        </w:rPr>
        <w:t>změna těc</w:t>
      </w:r>
      <w:r>
        <w:rPr>
          <w:rFonts w:cs="Arial"/>
          <w:color w:val="000000"/>
          <w:szCs w:val="20"/>
        </w:rPr>
        <w:t>hto výdajů mezi lety 2010 a 2016. V</w:t>
      </w:r>
      <w:r w:rsidRPr="001E3731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 xml:space="preserve">naprosté </w:t>
      </w:r>
      <w:r w:rsidRPr="001E3731">
        <w:rPr>
          <w:rFonts w:cs="Arial"/>
          <w:color w:val="000000"/>
          <w:szCs w:val="20"/>
        </w:rPr>
        <w:t>většině sledovaných zemí došlo k jejich nárůstu, pokles byl zaznamenán pouze v případě Řecka a Chorvatska. Více o vývoji tohoto ukazatele v čase viz graf č. 4.2 a příslušný text.</w:t>
      </w:r>
    </w:p>
    <w:p w:rsidR="008C1793" w:rsidRPr="001E3731" w:rsidRDefault="008C1793" w:rsidP="008C1793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 xml:space="preserve">Graf č. 4.1 Průměrné výdaje na zdravotní péči na jednoho obyvatele v zemích </w:t>
      </w:r>
      <w:r>
        <w:rPr>
          <w:rFonts w:cs="Arial"/>
          <w:b/>
          <w:sz w:val="18"/>
          <w:szCs w:val="18"/>
        </w:rPr>
        <w:t xml:space="preserve">OECD </w:t>
      </w:r>
      <w:r w:rsidRPr="001E3731">
        <w:rPr>
          <w:rFonts w:cs="Arial"/>
          <w:b/>
          <w:sz w:val="18"/>
          <w:szCs w:val="18"/>
        </w:rPr>
        <w:t xml:space="preserve">(v </w:t>
      </w:r>
      <w:r>
        <w:rPr>
          <w:rFonts w:cs="Arial"/>
          <w:b/>
          <w:sz w:val="18"/>
          <w:szCs w:val="18"/>
        </w:rPr>
        <w:t xml:space="preserve">USD </w:t>
      </w:r>
      <w:r w:rsidRPr="001E3731">
        <w:rPr>
          <w:rFonts w:cs="Arial"/>
          <w:b/>
          <w:sz w:val="18"/>
          <w:szCs w:val="18"/>
        </w:rPr>
        <w:t>PPP)</w:t>
      </w:r>
    </w:p>
    <w:p w:rsidR="008C1793" w:rsidRPr="001E3731" w:rsidRDefault="008C1793" w:rsidP="008C1793">
      <w:pPr>
        <w:spacing w:before="240"/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28B13F66" wp14:editId="32D9EAB2">
            <wp:extent cx="6084000" cy="3960000"/>
            <wp:effectExtent l="0" t="0" r="0" b="2540"/>
            <wp:docPr id="84" name="Graf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793" w:rsidRPr="001E3731" w:rsidRDefault="008C1793" w:rsidP="008C1793">
      <w:pPr>
        <w:jc w:val="both"/>
        <w:rPr>
          <w:rFonts w:cs="Arial"/>
          <w:i/>
          <w:noProof/>
          <w:sz w:val="16"/>
          <w:szCs w:val="16"/>
        </w:rPr>
      </w:pPr>
      <w:r>
        <w:rPr>
          <w:rFonts w:cs="Arial"/>
          <w:i/>
          <w:noProof/>
          <w:sz w:val="16"/>
          <w:szCs w:val="16"/>
        </w:rPr>
        <w:t>D</w:t>
      </w:r>
      <w:r w:rsidRPr="001E3731">
        <w:rPr>
          <w:rFonts w:cs="Arial"/>
          <w:i/>
          <w:noProof/>
          <w:sz w:val="16"/>
          <w:szCs w:val="16"/>
        </w:rPr>
        <w:t>ata za rok 201</w:t>
      </w:r>
      <w:r>
        <w:rPr>
          <w:rFonts w:cs="Arial"/>
          <w:i/>
          <w:noProof/>
          <w:sz w:val="16"/>
          <w:szCs w:val="16"/>
        </w:rPr>
        <w:t>6</w:t>
      </w:r>
      <w:r w:rsidRPr="001E3731">
        <w:rPr>
          <w:rFonts w:cs="Arial"/>
          <w:i/>
          <w:noProof/>
          <w:sz w:val="16"/>
          <w:szCs w:val="16"/>
        </w:rPr>
        <w:t xml:space="preserve"> - odhad OECD </w:t>
      </w:r>
    </w:p>
    <w:p w:rsidR="008C1793" w:rsidRPr="001E3731" w:rsidRDefault="008C1793" w:rsidP="008C1793">
      <w:pPr>
        <w:pageBreakBefore/>
        <w:spacing w:before="200" w:after="120"/>
        <w:jc w:val="both"/>
        <w:rPr>
          <w:rFonts w:cs="Arial"/>
          <w:color w:val="000000"/>
          <w:szCs w:val="20"/>
        </w:rPr>
      </w:pPr>
      <w:r w:rsidRPr="001E3731">
        <w:rPr>
          <w:b/>
          <w:i/>
          <w:szCs w:val="20"/>
        </w:rPr>
        <w:lastRenderedPageBreak/>
        <w:t>Nejvyšší reálný pokles výdajů na zdravotní péči v letech 2009 – 201</w:t>
      </w:r>
      <w:r>
        <w:rPr>
          <w:b/>
          <w:i/>
          <w:szCs w:val="20"/>
        </w:rPr>
        <w:t>6</w:t>
      </w:r>
      <w:r w:rsidRPr="001E3731">
        <w:rPr>
          <w:b/>
          <w:i/>
          <w:szCs w:val="20"/>
        </w:rPr>
        <w:t xml:space="preserve"> byl zaznamenán v Řecku</w:t>
      </w:r>
      <w:r w:rsidRPr="001E3731">
        <w:rPr>
          <w:rFonts w:cs="Arial"/>
          <w:color w:val="000000"/>
          <w:szCs w:val="20"/>
        </w:rPr>
        <w:t xml:space="preserve"> </w:t>
      </w:r>
    </w:p>
    <w:p w:rsidR="008C1793" w:rsidRDefault="008C1793" w:rsidP="008C1793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 xml:space="preserve">V letech 2005 až 2009 výdaje na zdravotní péči ve stálých cenách rostly v naprosté většině </w:t>
      </w:r>
      <w:r>
        <w:rPr>
          <w:rFonts w:cs="Arial"/>
          <w:szCs w:val="20"/>
        </w:rPr>
        <w:t xml:space="preserve">uvedených </w:t>
      </w:r>
      <w:r w:rsidRPr="001E3731">
        <w:rPr>
          <w:rFonts w:cs="Arial"/>
          <w:szCs w:val="20"/>
        </w:rPr>
        <w:t xml:space="preserve">zemí. </w:t>
      </w:r>
      <w:r>
        <w:t xml:space="preserve">V letech 2009 – 2016 došlo v řadě zemí k výraznému obratu v ročních výdajích na zdravotní péči ve srovnání s obdobím po finanční krizi. Obecně se růst výdajů ve většině zemí OECD zpomalil. Pouze Švýcarsko a Maďarsko zaznamenaly vyšší průměrný růst ve srovnání s předchozím obdobím. </w:t>
      </w:r>
      <w:r w:rsidRPr="001E3731">
        <w:rPr>
          <w:rFonts w:cs="Arial"/>
          <w:szCs w:val="20"/>
        </w:rPr>
        <w:t>Nejvýznamnější obrat ve vývoji výdajů na zdravotní péči mezi dvěma sledovanými obdobími zaznamenalo Řecko, kdy prům</w:t>
      </w:r>
      <w:r>
        <w:rPr>
          <w:rFonts w:cs="Arial"/>
          <w:szCs w:val="20"/>
        </w:rPr>
        <w:t>ěrné roční tempo růstu pokleslo</w:t>
      </w:r>
      <w:r w:rsidRPr="001E3731">
        <w:rPr>
          <w:rFonts w:cs="Arial"/>
          <w:szCs w:val="20"/>
        </w:rPr>
        <w:t xml:space="preserve"> ze 4,5</w:t>
      </w:r>
      <w:r>
        <w:rPr>
          <w:rFonts w:cs="Arial"/>
          <w:szCs w:val="20"/>
        </w:rPr>
        <w:t> % na -5</w:t>
      </w:r>
      <w:r w:rsidRPr="001E373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0 % a Portugalsko z 2 % na -1 %. </w:t>
      </w:r>
    </w:p>
    <w:p w:rsidR="008C1793" w:rsidRPr="001E3731" w:rsidRDefault="008C1793" w:rsidP="008C1793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>Graf č. 4.2 Průměrné roční tempo růstu výdajů na zdravotní péči na jednoho obyvatele ve stálých cenách (v %)</w:t>
      </w:r>
    </w:p>
    <w:p w:rsidR="008C1793" w:rsidRPr="001E3731" w:rsidRDefault="008C1793" w:rsidP="008C1793">
      <w:pPr>
        <w:spacing w:before="240"/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6D0D82CE" wp14:editId="3A60185D">
            <wp:extent cx="6084000" cy="3924000"/>
            <wp:effectExtent l="0" t="0" r="0" b="0"/>
            <wp:docPr id="85" name="Graf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1793" w:rsidRPr="001E3731" w:rsidRDefault="008C1793" w:rsidP="008C1793">
      <w:pPr>
        <w:jc w:val="both"/>
        <w:rPr>
          <w:rFonts w:cs="Arial"/>
          <w:b/>
          <w:sz w:val="2"/>
          <w:szCs w:val="2"/>
        </w:rPr>
      </w:pPr>
    </w:p>
    <w:p w:rsidR="008C1793" w:rsidRPr="001E3731" w:rsidRDefault="008C1793" w:rsidP="008C1793">
      <w:pPr>
        <w:jc w:val="both"/>
        <w:rPr>
          <w:rFonts w:cs="Arial"/>
          <w:i/>
          <w:noProof/>
          <w:sz w:val="16"/>
          <w:szCs w:val="16"/>
        </w:rPr>
      </w:pPr>
      <w:r>
        <w:rPr>
          <w:rFonts w:cs="Arial"/>
          <w:i/>
          <w:noProof/>
          <w:sz w:val="16"/>
          <w:szCs w:val="16"/>
        </w:rPr>
        <w:t>D</w:t>
      </w:r>
      <w:r w:rsidRPr="001E3731">
        <w:rPr>
          <w:rFonts w:cs="Arial"/>
          <w:i/>
          <w:noProof/>
          <w:sz w:val="16"/>
          <w:szCs w:val="16"/>
        </w:rPr>
        <w:t>ata za rok 201</w:t>
      </w:r>
      <w:r>
        <w:rPr>
          <w:rFonts w:cs="Arial"/>
          <w:i/>
          <w:noProof/>
          <w:sz w:val="16"/>
          <w:szCs w:val="16"/>
        </w:rPr>
        <w:t>6</w:t>
      </w:r>
      <w:r w:rsidRPr="001E3731">
        <w:rPr>
          <w:rFonts w:cs="Arial"/>
          <w:i/>
          <w:noProof/>
          <w:sz w:val="16"/>
          <w:szCs w:val="16"/>
        </w:rPr>
        <w:t xml:space="preserve"> - odhad OECD </w:t>
      </w:r>
    </w:p>
    <w:p w:rsidR="008C1793" w:rsidRDefault="008C1793" w:rsidP="008C1793">
      <w:pPr>
        <w:spacing w:before="240" w:after="120"/>
        <w:jc w:val="both"/>
        <w:rPr>
          <w:b/>
          <w:i/>
          <w:szCs w:val="20"/>
        </w:rPr>
      </w:pPr>
      <w:r w:rsidRPr="004033EF">
        <w:rPr>
          <w:b/>
          <w:i/>
          <w:szCs w:val="20"/>
        </w:rPr>
        <w:t xml:space="preserve">Nejvyšší podíl výdajů na zdravotní péči na HDP vykazují Spojené státy </w:t>
      </w:r>
    </w:p>
    <w:p w:rsidR="008C1793" w:rsidRDefault="008C1793" w:rsidP="008C1793">
      <w:pPr>
        <w:spacing w:before="120"/>
        <w:jc w:val="both"/>
        <w:rPr>
          <w:rFonts w:cs="Arial"/>
          <w:szCs w:val="20"/>
        </w:rPr>
      </w:pPr>
      <w:r>
        <w:t xml:space="preserve">Celkové výdaje na zdravotnictví představovaly v USA v roce 2016 až 17 % HDP, což je nejvíce ze všech členských zemí OECD, </w:t>
      </w:r>
      <w:r>
        <w:rPr>
          <w:rFonts w:cs="Arial"/>
          <w:szCs w:val="20"/>
        </w:rPr>
        <w:t>následovány Švýcarskem 12 %. Poměrně velkou skupinu, která se pohybovala na úrovni 11 %</w:t>
      </w:r>
      <w:r w:rsidR="00FC12F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tvoří evropské země Německo, Švédsko, Francie, Nizozemsko, Dánsko, ale také Japonsko.</w:t>
      </w:r>
      <w:r w:rsidRPr="001E3731">
        <w:rPr>
          <w:rFonts w:cs="Arial"/>
          <w:szCs w:val="20"/>
        </w:rPr>
        <w:t xml:space="preserve"> </w:t>
      </w:r>
      <w:r>
        <w:t xml:space="preserve">Celkové běžné výdaje na zdravotní péči v České republice činily v daném roce </w:t>
      </w:r>
      <w:r w:rsidRPr="00FC12FB">
        <w:rPr>
          <w:bCs/>
        </w:rPr>
        <w:t>7,6 % HDP</w:t>
      </w:r>
      <w:r>
        <w:t xml:space="preserve">. Průměrné výdaje na zdravotnictví v členských zemích OECD přitom činily 9,0 % k HDP. </w:t>
      </w:r>
      <w:r w:rsidRPr="00803675">
        <w:rPr>
          <w:rStyle w:val="Siln"/>
          <w:b w:val="0"/>
        </w:rPr>
        <w:t xml:space="preserve">Země střední a východní Evropy včetně </w:t>
      </w:r>
      <w:r w:rsidRPr="000B446A">
        <w:rPr>
          <w:rFonts w:cs="Arial"/>
          <w:szCs w:val="20"/>
        </w:rPr>
        <w:t>Slovenska</w:t>
      </w:r>
      <w:r w:rsidRPr="00803675">
        <w:rPr>
          <w:rStyle w:val="Siln"/>
          <w:b w:val="0"/>
        </w:rPr>
        <w:t xml:space="preserve"> vydaly na zdravotnictví přibližně </w:t>
      </w:r>
      <w:r>
        <w:rPr>
          <w:rStyle w:val="Siln"/>
          <w:b w:val="0"/>
        </w:rPr>
        <w:t xml:space="preserve">6 % - 8 % HDP. </w:t>
      </w:r>
      <w:r>
        <w:t>Nejméně finančních prostředků na zdravotnictví k poměru k HDP vydaly v Turecku 4 %.</w:t>
      </w:r>
    </w:p>
    <w:p w:rsidR="008C1793" w:rsidRPr="001E3731" w:rsidRDefault="008C1793" w:rsidP="008C1793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V grafu 4.3 je nastíněn také vývoj podílu výdajů na zdravotní péči na HDP i v letech 20</w:t>
      </w:r>
      <w:r>
        <w:rPr>
          <w:rFonts w:cs="Arial"/>
          <w:szCs w:val="20"/>
        </w:rPr>
        <w:t>16</w:t>
      </w:r>
      <w:r w:rsidRPr="001E3731">
        <w:rPr>
          <w:rFonts w:cs="Arial"/>
          <w:szCs w:val="20"/>
        </w:rPr>
        <w:t xml:space="preserve"> a 2010. Vývoj podílu výdajů na zdravotní péči na HDP byl </w:t>
      </w:r>
      <w:r>
        <w:rPr>
          <w:rFonts w:cs="Arial"/>
          <w:szCs w:val="20"/>
        </w:rPr>
        <w:t xml:space="preserve">v roce 2010 </w:t>
      </w:r>
      <w:r w:rsidRPr="001E3731">
        <w:rPr>
          <w:rFonts w:cs="Arial"/>
          <w:szCs w:val="20"/>
        </w:rPr>
        <w:t>významně ovlivněn světovou finanční a ekonomickou krizí a ukazuje na určitou setrvačnost financování zdravotnictví v závislosti na vývoji celé ekonomiky. Mezi lety 2010 a 201</w:t>
      </w:r>
      <w:r>
        <w:rPr>
          <w:rFonts w:cs="Arial"/>
          <w:szCs w:val="20"/>
        </w:rPr>
        <w:t>6</w:t>
      </w:r>
      <w:r w:rsidRPr="001E3731">
        <w:rPr>
          <w:rFonts w:cs="Arial"/>
          <w:szCs w:val="20"/>
        </w:rPr>
        <w:t xml:space="preserve"> lze vývoj u většiny sledovaných států označit spíše za stagnaci. Výjimkou j</w:t>
      </w:r>
      <w:r>
        <w:rPr>
          <w:rFonts w:cs="Arial"/>
          <w:szCs w:val="20"/>
        </w:rPr>
        <w:t>e</w:t>
      </w:r>
      <w:r w:rsidRPr="001E3731">
        <w:rPr>
          <w:rFonts w:cs="Arial"/>
          <w:szCs w:val="20"/>
        </w:rPr>
        <w:t xml:space="preserve"> Irsko</w:t>
      </w:r>
      <w:r>
        <w:rPr>
          <w:rFonts w:cs="Arial"/>
          <w:szCs w:val="20"/>
        </w:rPr>
        <w:t xml:space="preserve">, </w:t>
      </w:r>
      <w:r w:rsidRPr="001E3731">
        <w:rPr>
          <w:rFonts w:cs="Arial"/>
          <w:szCs w:val="20"/>
        </w:rPr>
        <w:t xml:space="preserve">kde mezi </w:t>
      </w:r>
      <w:r>
        <w:rPr>
          <w:rFonts w:cs="Arial"/>
          <w:szCs w:val="20"/>
        </w:rPr>
        <w:t xml:space="preserve">roky </w:t>
      </w:r>
      <w:r w:rsidRPr="001E3731">
        <w:rPr>
          <w:rFonts w:cs="Arial"/>
          <w:szCs w:val="20"/>
        </w:rPr>
        <w:t>2010 a 201</w:t>
      </w:r>
      <w:r>
        <w:rPr>
          <w:rFonts w:cs="Arial"/>
          <w:szCs w:val="20"/>
        </w:rPr>
        <w:t>6</w:t>
      </w:r>
      <w:r w:rsidRPr="001E3731">
        <w:rPr>
          <w:rFonts w:cs="Arial"/>
          <w:szCs w:val="20"/>
        </w:rPr>
        <w:t xml:space="preserve"> došlo k relativně významnému poklesu podílu výdajů na zdravotní péči </w:t>
      </w:r>
      <w:r w:rsidR="00FC12FB">
        <w:rPr>
          <w:rFonts w:cs="Arial"/>
          <w:szCs w:val="20"/>
        </w:rPr>
        <w:t>ve vztahu k </w:t>
      </w:r>
      <w:r w:rsidRPr="001E3731">
        <w:rPr>
          <w:rFonts w:cs="Arial"/>
          <w:szCs w:val="20"/>
        </w:rPr>
        <w:t>HDP</w:t>
      </w:r>
      <w:r w:rsidR="00FC12FB">
        <w:rPr>
          <w:rFonts w:cs="Arial"/>
          <w:szCs w:val="20"/>
        </w:rPr>
        <w:t>, který byl ovšem zapříčiněn výrazným meziročním nárůstem HDP v této zemi</w:t>
      </w:r>
      <w:r w:rsidRPr="001E3731">
        <w:rPr>
          <w:rFonts w:cs="Arial"/>
          <w:szCs w:val="20"/>
        </w:rPr>
        <w:t>.</w:t>
      </w:r>
    </w:p>
    <w:p w:rsidR="00005515" w:rsidRDefault="00005515" w:rsidP="008C1793">
      <w:pPr>
        <w:spacing w:before="240"/>
        <w:jc w:val="both"/>
      </w:pPr>
    </w:p>
    <w:p w:rsidR="008C1793" w:rsidRDefault="008C1793" w:rsidP="008C1793">
      <w:pPr>
        <w:spacing w:before="240"/>
        <w:jc w:val="both"/>
        <w:rPr>
          <w:rFonts w:cs="Arial"/>
          <w:b/>
          <w:sz w:val="18"/>
          <w:szCs w:val="18"/>
        </w:rPr>
      </w:pPr>
      <w:r>
        <w:lastRenderedPageBreak/>
        <w:t>G</w:t>
      </w:r>
      <w:r w:rsidRPr="001E3731">
        <w:rPr>
          <w:rFonts w:cs="Arial"/>
          <w:b/>
          <w:sz w:val="18"/>
          <w:szCs w:val="18"/>
        </w:rPr>
        <w:t xml:space="preserve">raf č. 4.3 Podíl výdajů na zdravotní péči na HDP v zemích </w:t>
      </w:r>
      <w:r>
        <w:rPr>
          <w:rFonts w:cs="Arial"/>
          <w:b/>
          <w:sz w:val="18"/>
          <w:szCs w:val="18"/>
        </w:rPr>
        <w:t>OECD v roce 20</w:t>
      </w:r>
      <w:r w:rsidR="0084681E">
        <w:rPr>
          <w:rFonts w:cs="Arial"/>
          <w:b/>
          <w:sz w:val="18"/>
          <w:szCs w:val="18"/>
        </w:rPr>
        <w:t>10 a 2016</w:t>
      </w:r>
      <w:r w:rsidRPr="001E3731">
        <w:rPr>
          <w:rFonts w:cs="Arial"/>
          <w:b/>
          <w:sz w:val="18"/>
          <w:szCs w:val="18"/>
        </w:rPr>
        <w:t xml:space="preserve"> (v %)</w:t>
      </w:r>
    </w:p>
    <w:p w:rsidR="008C1793" w:rsidRDefault="008C1793" w:rsidP="0084681E">
      <w:pPr>
        <w:jc w:val="both"/>
        <w:rPr>
          <w:rFonts w:cs="Arial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393879F" wp14:editId="1DC69E74">
            <wp:extent cx="6084000" cy="3240000"/>
            <wp:effectExtent l="0" t="0" r="0" b="0"/>
            <wp:docPr id="86" name="Graf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1793" w:rsidRPr="00852AC8" w:rsidRDefault="008C1793" w:rsidP="008C1793">
      <w:pPr>
        <w:jc w:val="both"/>
        <w:rPr>
          <w:rFonts w:cs="Arial"/>
          <w:i/>
          <w:noProof/>
          <w:sz w:val="16"/>
          <w:szCs w:val="16"/>
        </w:rPr>
      </w:pPr>
      <w:r w:rsidRPr="00852AC8">
        <w:rPr>
          <w:rFonts w:cs="Arial"/>
          <w:i/>
          <w:noProof/>
          <w:sz w:val="16"/>
          <w:szCs w:val="16"/>
        </w:rPr>
        <w:t xml:space="preserve">Data  za rok 2016 - odhad OECD </w:t>
      </w:r>
    </w:p>
    <w:p w:rsidR="008C1793" w:rsidRPr="00852AC8" w:rsidRDefault="008C1793" w:rsidP="008C1793">
      <w:pPr>
        <w:pStyle w:val="Textpoznpodarou"/>
        <w:spacing w:before="0" w:after="0" w:line="288" w:lineRule="auto"/>
        <w:rPr>
          <w:i/>
        </w:rPr>
      </w:pPr>
      <w:r w:rsidRPr="00271AC3">
        <w:rPr>
          <w:i/>
        </w:rPr>
        <w:t xml:space="preserve">Údaje za </w:t>
      </w:r>
      <w:r w:rsidR="0084681E" w:rsidRPr="00271AC3">
        <w:rPr>
          <w:i/>
        </w:rPr>
        <w:t xml:space="preserve">Spojené státy dosáhly hodnoty </w:t>
      </w:r>
      <w:r w:rsidR="00271AC3" w:rsidRPr="00271AC3">
        <w:rPr>
          <w:i/>
        </w:rPr>
        <w:t>17% v roce 2016 a 16%</w:t>
      </w:r>
      <w:r w:rsidR="0084681E" w:rsidRPr="00271AC3">
        <w:rPr>
          <w:i/>
        </w:rPr>
        <w:t xml:space="preserve"> v roce 2010</w:t>
      </w:r>
    </w:p>
    <w:p w:rsidR="008C1793" w:rsidRPr="001E3731" w:rsidRDefault="008C1793" w:rsidP="008C1793">
      <w:pPr>
        <w:spacing w:before="120" w:after="120"/>
        <w:jc w:val="both"/>
        <w:rPr>
          <w:b/>
          <w:i/>
          <w:szCs w:val="20"/>
        </w:rPr>
      </w:pPr>
      <w:r w:rsidRPr="000916A2">
        <w:rPr>
          <w:b/>
          <w:i/>
          <w:szCs w:val="20"/>
        </w:rPr>
        <w:t>Ve většině sledovaných zemí převládá financování zdravotní péče z veřejných zdrojů</w:t>
      </w:r>
    </w:p>
    <w:p w:rsidR="0084681E" w:rsidRDefault="008C1793" w:rsidP="008C1793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 xml:space="preserve">Jednotlivé státy se výrazně odlišují ve způsobu financování zdravotní péče, obecně lze říci, že ve všech sledovaných zemích </w:t>
      </w:r>
      <w:r>
        <w:rPr>
          <w:rFonts w:cs="Arial"/>
          <w:szCs w:val="20"/>
        </w:rPr>
        <w:t>OECD</w:t>
      </w:r>
      <w:r w:rsidRPr="001E3731">
        <w:rPr>
          <w:rFonts w:cs="Arial"/>
          <w:szCs w:val="20"/>
        </w:rPr>
        <w:t xml:space="preserve"> převládá financování z </w:t>
      </w:r>
      <w:r>
        <w:rPr>
          <w:rFonts w:cs="Arial"/>
          <w:szCs w:val="20"/>
        </w:rPr>
        <w:t xml:space="preserve">veřejných zdrojů nad soukromými. USA spolu s Mexikem patří k zemím, kde jsou výdaje z veřejných a soukromých zdrojů zhruba rovnoměrně rozděleny. </w:t>
      </w:r>
      <w:r>
        <w:t xml:space="preserve">Ve Spojených státech je hlavním zdrojem financování zdravotní péče </w:t>
      </w:r>
      <w:r>
        <w:rPr>
          <w:rFonts w:cs="Arial"/>
          <w:szCs w:val="20"/>
        </w:rPr>
        <w:t xml:space="preserve">soukromé dobrovolné pojištění (35 %) a v Mexiku přímé platby domácností (41 %). </w:t>
      </w:r>
      <w:r w:rsidRPr="001E3731">
        <w:rPr>
          <w:rFonts w:cs="Arial"/>
          <w:szCs w:val="20"/>
        </w:rPr>
        <w:t>Z grafu č. 4.4 je patrné, že nejvyšší podíl veřejných zdrojů na financování zdravotní péče vykazovalo v roce 201</w:t>
      </w:r>
      <w:r>
        <w:rPr>
          <w:rFonts w:cs="Arial"/>
          <w:szCs w:val="20"/>
        </w:rPr>
        <w:t>5</w:t>
      </w:r>
      <w:r w:rsidRPr="001E3731">
        <w:rPr>
          <w:rFonts w:cs="Arial"/>
          <w:szCs w:val="20"/>
        </w:rPr>
        <w:t xml:space="preserve"> Norsko </w:t>
      </w:r>
      <w:r>
        <w:rPr>
          <w:rFonts w:cs="Arial"/>
          <w:szCs w:val="20"/>
        </w:rPr>
        <w:t>a</w:t>
      </w:r>
      <w:r w:rsidRPr="001E3731">
        <w:rPr>
          <w:rFonts w:cs="Arial"/>
          <w:szCs w:val="20"/>
        </w:rPr>
        <w:t xml:space="preserve"> Německo (85 %), </w:t>
      </w:r>
      <w:r>
        <w:rPr>
          <w:rFonts w:cs="Arial"/>
          <w:szCs w:val="20"/>
        </w:rPr>
        <w:t>následovány Dánskem, Švédskem a Japonskem (84 %).</w:t>
      </w:r>
      <w:r w:rsidRPr="001E3731">
        <w:rPr>
          <w:rFonts w:cs="Arial"/>
          <w:szCs w:val="20"/>
        </w:rPr>
        <w:t xml:space="preserve"> </w:t>
      </w:r>
    </w:p>
    <w:p w:rsidR="008C1793" w:rsidRDefault="008C1793" w:rsidP="008C1793">
      <w:pPr>
        <w:spacing w:before="16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 xml:space="preserve">Graf č. 4.4 Struktura výdajů na zdravotní péči podle zdrojů financování v zemích </w:t>
      </w:r>
      <w:r>
        <w:rPr>
          <w:rFonts w:cs="Arial"/>
          <w:b/>
          <w:sz w:val="18"/>
          <w:szCs w:val="18"/>
        </w:rPr>
        <w:t xml:space="preserve">OECD </w:t>
      </w:r>
      <w:r w:rsidRPr="001E3731">
        <w:rPr>
          <w:rFonts w:cs="Arial"/>
          <w:b/>
          <w:sz w:val="18"/>
          <w:szCs w:val="18"/>
        </w:rPr>
        <w:t>v roce 201</w:t>
      </w:r>
      <w:r>
        <w:rPr>
          <w:rFonts w:cs="Arial"/>
          <w:b/>
          <w:sz w:val="18"/>
          <w:szCs w:val="18"/>
        </w:rPr>
        <w:t>5</w:t>
      </w:r>
      <w:r w:rsidRPr="001E3731">
        <w:rPr>
          <w:rFonts w:cs="Arial"/>
          <w:b/>
          <w:sz w:val="18"/>
          <w:szCs w:val="18"/>
        </w:rPr>
        <w:t xml:space="preserve"> (v %)</w:t>
      </w:r>
    </w:p>
    <w:p w:rsidR="008C1793" w:rsidRPr="001E3731" w:rsidRDefault="008C1793" w:rsidP="008C1793">
      <w:pPr>
        <w:jc w:val="both"/>
        <w:rPr>
          <w:rFonts w:cs="Arial"/>
          <w:color w:val="C00000"/>
          <w:szCs w:val="20"/>
        </w:rPr>
      </w:pPr>
      <w:r>
        <w:rPr>
          <w:noProof/>
        </w:rPr>
        <w:drawing>
          <wp:inline distT="0" distB="0" distL="0" distR="0" wp14:anchorId="67B98AC0" wp14:editId="540CD3F2">
            <wp:extent cx="6120000" cy="3528000"/>
            <wp:effectExtent l="0" t="0" r="0" b="0"/>
            <wp:docPr id="87" name="Graf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681E" w:rsidRDefault="0084681E" w:rsidP="0084681E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Výdaje z veřejných rozpočtů jsou také v České republice jedny z nejvyšších ze zemí OECD (83 %). </w:t>
      </w:r>
      <w:r w:rsidRPr="001E3731">
        <w:rPr>
          <w:rFonts w:cs="Arial"/>
          <w:szCs w:val="20"/>
        </w:rPr>
        <w:t xml:space="preserve">Naopak nejnižší veřejné výdaje na zdravotní péči zaznamenáváme </w:t>
      </w:r>
      <w:r>
        <w:rPr>
          <w:rFonts w:cs="Arial"/>
          <w:szCs w:val="20"/>
        </w:rPr>
        <w:t>v již zmiňovaných Spojených státech a Mexiku, ale také Lotyšsku a Řeck</w:t>
      </w:r>
      <w:r w:rsidR="00FC12FB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(v průměru 58 %). Lotyšsko mělo v roce 2015 nejvyšší přímé platby domácností na zdravotní péči z uvedených států OECD (42 %).</w:t>
      </w:r>
    </w:p>
    <w:p w:rsidR="0084681E" w:rsidRPr="001E3731" w:rsidRDefault="0084681E" w:rsidP="0084681E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Německo</w:t>
      </w:r>
      <w:r w:rsidRPr="001E373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Japonsko, Francie či Slovensko</w:t>
      </w:r>
      <w:r w:rsidRPr="001E37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patří </w:t>
      </w:r>
      <w:r w:rsidRPr="001E3731">
        <w:rPr>
          <w:rFonts w:cs="Arial"/>
          <w:szCs w:val="20"/>
        </w:rPr>
        <w:t>k zemím se systémem založeným především na všeobecném zdravotním pojištění, které se v těchto zemích podílí na veškerých výdajích na zdravotní péči více než 7</w:t>
      </w:r>
      <w:r>
        <w:rPr>
          <w:rFonts w:cs="Arial"/>
          <w:szCs w:val="20"/>
        </w:rPr>
        <w:t>5</w:t>
      </w:r>
      <w:r w:rsidRPr="001E3731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Do této skupiny patří i Česká republika, kde zdravotní pojišťovny hradí až dvě třetiny běžných nákladů na zdravotní péči. Ve  </w:t>
      </w:r>
      <w:r w:rsidRPr="001E3731">
        <w:rPr>
          <w:rFonts w:cs="Arial"/>
          <w:szCs w:val="20"/>
        </w:rPr>
        <w:t xml:space="preserve">Švédsku, </w:t>
      </w:r>
      <w:r>
        <w:rPr>
          <w:rFonts w:cs="Arial"/>
          <w:szCs w:val="20"/>
        </w:rPr>
        <w:t xml:space="preserve">Dánsku a </w:t>
      </w:r>
      <w:r w:rsidRPr="001E3731">
        <w:rPr>
          <w:rFonts w:cs="Arial"/>
          <w:szCs w:val="20"/>
        </w:rPr>
        <w:t xml:space="preserve">Velké Británii, je naopak zdravotní péče financovaná především nebo výhradně přímo z rozpočtů centrálních a místních vlád s jejich podílem </w:t>
      </w:r>
      <w:r>
        <w:rPr>
          <w:rFonts w:cs="Arial"/>
          <w:szCs w:val="20"/>
        </w:rPr>
        <w:t>80 % a více.</w:t>
      </w:r>
      <w:r w:rsidRPr="001E3731">
        <w:rPr>
          <w:rFonts w:cs="Arial"/>
          <w:szCs w:val="20"/>
        </w:rPr>
        <w:t xml:space="preserve"> Soukromé zdravotní pojištění či připojištění hraje významnější roli </w:t>
      </w:r>
      <w:r>
        <w:rPr>
          <w:rFonts w:cs="Arial"/>
          <w:szCs w:val="20"/>
        </w:rPr>
        <w:t xml:space="preserve">kromě výše uvedených Spojených států např. také </w:t>
      </w:r>
      <w:r w:rsidRPr="001E3731">
        <w:rPr>
          <w:rFonts w:cs="Arial"/>
          <w:szCs w:val="20"/>
        </w:rPr>
        <w:t xml:space="preserve">ve Slovinsku, Francii a Irsku, kde představuje více než desetinu výdajů na zdravotní péči. Domácnosti se velmi významně podílí na financování zdravotní péče </w:t>
      </w:r>
      <w:r>
        <w:rPr>
          <w:rFonts w:cs="Arial"/>
          <w:szCs w:val="20"/>
        </w:rPr>
        <w:t>v  Lotyšsku a Mexiku (více než 40 %) a také v Řecku (35 %).</w:t>
      </w:r>
      <w:r w:rsidRPr="001E3731">
        <w:rPr>
          <w:rFonts w:cs="Arial"/>
          <w:szCs w:val="20"/>
        </w:rPr>
        <w:t xml:space="preserve"> V České republice se domácn</w:t>
      </w:r>
      <w:r>
        <w:rPr>
          <w:rFonts w:cs="Arial"/>
          <w:szCs w:val="20"/>
        </w:rPr>
        <w:t xml:space="preserve">osti na zdravotní péči podílí </w:t>
      </w:r>
      <w:r w:rsidR="00FC12FB">
        <w:rPr>
          <w:rFonts w:cs="Arial"/>
          <w:szCs w:val="20"/>
        </w:rPr>
        <w:t xml:space="preserve">ze </w:t>
      </w:r>
      <w:r>
        <w:rPr>
          <w:rFonts w:cs="Arial"/>
          <w:szCs w:val="20"/>
        </w:rPr>
        <w:t>14</w:t>
      </w:r>
      <w:r w:rsidRPr="001E3731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stejně</w:t>
      </w:r>
      <w:r w:rsidRPr="001E3731">
        <w:rPr>
          <w:rFonts w:cs="Arial"/>
          <w:szCs w:val="20"/>
        </w:rPr>
        <w:t xml:space="preserve"> je tomu také v</w:t>
      </w:r>
      <w:r>
        <w:rPr>
          <w:rFonts w:cs="Arial"/>
          <w:szCs w:val="20"/>
        </w:rPr>
        <w:t> Norsku a Dánsku.</w:t>
      </w:r>
      <w:r w:rsidRPr="001E3731">
        <w:rPr>
          <w:rFonts w:cs="Arial"/>
          <w:szCs w:val="20"/>
        </w:rPr>
        <w:t xml:space="preserve"> </w:t>
      </w:r>
      <w:r w:rsidR="00FC12FB">
        <w:rPr>
          <w:rFonts w:cs="Arial"/>
          <w:szCs w:val="20"/>
        </w:rPr>
        <w:t xml:space="preserve">Naopak podíl domácností na financování zdravotní péče byl ze sledovaných zemích nejnižší ve </w:t>
      </w:r>
      <w:r w:rsidRPr="001E3731">
        <w:rPr>
          <w:rFonts w:cs="Arial"/>
          <w:szCs w:val="20"/>
        </w:rPr>
        <w:t xml:space="preserve">Francii, </w:t>
      </w:r>
      <w:r w:rsidR="00FC12FB">
        <w:rPr>
          <w:rFonts w:cs="Arial"/>
          <w:szCs w:val="20"/>
        </w:rPr>
        <w:t xml:space="preserve">pouze </w:t>
      </w:r>
      <w:r w:rsidRPr="001E3731">
        <w:rPr>
          <w:rFonts w:cs="Arial"/>
          <w:szCs w:val="20"/>
        </w:rPr>
        <w:t xml:space="preserve">7 %. </w:t>
      </w:r>
    </w:p>
    <w:p w:rsidR="008C1793" w:rsidRPr="001E3731" w:rsidRDefault="008C1793" w:rsidP="008C1793">
      <w:pPr>
        <w:spacing w:before="240" w:after="120"/>
        <w:jc w:val="both"/>
        <w:rPr>
          <w:b/>
          <w:i/>
          <w:szCs w:val="20"/>
        </w:rPr>
      </w:pPr>
      <w:r>
        <w:rPr>
          <w:b/>
          <w:i/>
          <w:szCs w:val="20"/>
        </w:rPr>
        <w:t>Z</w:t>
      </w:r>
      <w:r w:rsidRPr="001E3731">
        <w:rPr>
          <w:b/>
          <w:i/>
          <w:szCs w:val="20"/>
        </w:rPr>
        <w:t xml:space="preserve">a lůžkovou a ambulantní péči </w:t>
      </w:r>
      <w:r>
        <w:rPr>
          <w:b/>
          <w:i/>
          <w:szCs w:val="20"/>
        </w:rPr>
        <w:t>bylo v zemích OECD</w:t>
      </w:r>
      <w:r w:rsidRPr="001E3731">
        <w:rPr>
          <w:b/>
          <w:i/>
          <w:szCs w:val="20"/>
        </w:rPr>
        <w:t xml:space="preserve"> </w:t>
      </w:r>
      <w:r w:rsidR="00FC12FB" w:rsidRPr="001E3731">
        <w:rPr>
          <w:b/>
          <w:i/>
          <w:szCs w:val="20"/>
        </w:rPr>
        <w:t xml:space="preserve">vydáno </w:t>
      </w:r>
      <w:r>
        <w:rPr>
          <w:b/>
          <w:i/>
          <w:szCs w:val="20"/>
        </w:rPr>
        <w:t xml:space="preserve">v průměru </w:t>
      </w:r>
      <w:r w:rsidRPr="001E3731">
        <w:rPr>
          <w:b/>
          <w:i/>
          <w:szCs w:val="20"/>
        </w:rPr>
        <w:t xml:space="preserve">60 % </w:t>
      </w:r>
      <w:r w:rsidR="00FC12FB">
        <w:rPr>
          <w:b/>
          <w:i/>
          <w:szCs w:val="20"/>
        </w:rPr>
        <w:t xml:space="preserve">z celkových </w:t>
      </w:r>
      <w:r w:rsidRPr="001E3731">
        <w:rPr>
          <w:b/>
          <w:i/>
          <w:szCs w:val="20"/>
        </w:rPr>
        <w:t xml:space="preserve">výdajů na </w:t>
      </w:r>
      <w:r w:rsidR="00FC12FB">
        <w:rPr>
          <w:b/>
          <w:i/>
          <w:szCs w:val="20"/>
        </w:rPr>
        <w:t>zdravotní péči</w:t>
      </w:r>
    </w:p>
    <w:p w:rsidR="008C1793" w:rsidRPr="001E3731" w:rsidRDefault="008C1793" w:rsidP="008C1793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Více než polovina všech výdajů na zdravot</w:t>
      </w:r>
      <w:r>
        <w:rPr>
          <w:rFonts w:cs="Arial"/>
          <w:szCs w:val="20"/>
        </w:rPr>
        <w:t>ní péči byla v roce 2015</w:t>
      </w:r>
      <w:r w:rsidRPr="001E3731">
        <w:rPr>
          <w:rFonts w:cs="Arial"/>
          <w:szCs w:val="20"/>
        </w:rPr>
        <w:t xml:space="preserve"> ve všech sledovaných zemích </w:t>
      </w:r>
      <w:r>
        <w:rPr>
          <w:rFonts w:cs="Arial"/>
          <w:szCs w:val="20"/>
        </w:rPr>
        <w:t>OECD vynaložena</w:t>
      </w:r>
      <w:r w:rsidRPr="001E3731">
        <w:rPr>
          <w:rFonts w:cs="Arial"/>
          <w:szCs w:val="20"/>
        </w:rPr>
        <w:t xml:space="preserve"> na lůžkovou a ambulantní péči (včetně </w:t>
      </w:r>
      <w:r>
        <w:rPr>
          <w:rFonts w:cs="Arial"/>
          <w:szCs w:val="20"/>
        </w:rPr>
        <w:t>doplňkových</w:t>
      </w:r>
      <w:r w:rsidRPr="001E3731">
        <w:rPr>
          <w:rFonts w:cs="Arial"/>
          <w:szCs w:val="20"/>
        </w:rPr>
        <w:t xml:space="preserve"> služeb jako jsou laboratorní a zobrazovací vyšetření a zdravotnická doprava). </w:t>
      </w:r>
      <w:r>
        <w:rPr>
          <w:rFonts w:cs="Arial"/>
          <w:szCs w:val="20"/>
        </w:rPr>
        <w:t xml:space="preserve">V Portugalsku se jednalo dokonce až o tři čtvrtiny celkových běžných výdajů. </w:t>
      </w:r>
      <w:r w:rsidRPr="001E3731">
        <w:rPr>
          <w:rFonts w:cs="Arial"/>
          <w:szCs w:val="20"/>
        </w:rPr>
        <w:t xml:space="preserve">V průměru všech </w:t>
      </w:r>
      <w:r>
        <w:rPr>
          <w:rFonts w:cs="Arial"/>
          <w:szCs w:val="20"/>
        </w:rPr>
        <w:t>uvedených zemí OECD</w:t>
      </w:r>
      <w:r w:rsidRPr="001E3731">
        <w:rPr>
          <w:rFonts w:cs="Arial"/>
          <w:szCs w:val="20"/>
        </w:rPr>
        <w:t xml:space="preserve"> se jednalo ve zmiňovaném roce o 6</w:t>
      </w:r>
      <w:r>
        <w:rPr>
          <w:rFonts w:cs="Arial"/>
          <w:szCs w:val="20"/>
        </w:rPr>
        <w:t>1</w:t>
      </w:r>
      <w:r w:rsidRPr="001E3731">
        <w:rPr>
          <w:rFonts w:cs="Arial"/>
          <w:szCs w:val="20"/>
        </w:rPr>
        <w:t xml:space="preserve"> % veškerých financí vydaných za zdravotní péči. </w:t>
      </w:r>
      <w:r>
        <w:rPr>
          <w:rFonts w:cs="Arial"/>
          <w:szCs w:val="20"/>
        </w:rPr>
        <w:t xml:space="preserve">Výdaje na léky a zdravotnické potřeby tvořily v průměru 19 %, na dlouhodobou péči zdravotní </w:t>
      </w:r>
      <w:r w:rsidRPr="001E3731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1E3731">
        <w:rPr>
          <w:rFonts w:cs="Arial"/>
          <w:szCs w:val="20"/>
        </w:rPr>
        <w:t xml:space="preserve"> % a </w:t>
      </w:r>
      <w:r>
        <w:rPr>
          <w:rFonts w:cs="Arial"/>
          <w:szCs w:val="20"/>
        </w:rPr>
        <w:t xml:space="preserve">na </w:t>
      </w:r>
      <w:r w:rsidRPr="001E3731">
        <w:rPr>
          <w:rFonts w:cs="Arial"/>
          <w:szCs w:val="20"/>
        </w:rPr>
        <w:t>preventivní péč</w:t>
      </w:r>
      <w:r>
        <w:rPr>
          <w:rFonts w:cs="Arial"/>
          <w:szCs w:val="20"/>
        </w:rPr>
        <w:t>i a správu systému zdravotnictví odčerpaly</w:t>
      </w:r>
      <w:r w:rsidRPr="001E37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6</w:t>
      </w:r>
      <w:r w:rsidRPr="001E3731">
        <w:rPr>
          <w:rFonts w:cs="Arial"/>
          <w:szCs w:val="20"/>
        </w:rPr>
        <w:t xml:space="preserve"> % (viz graf 4.5). </w:t>
      </w:r>
    </w:p>
    <w:p w:rsidR="008C1793" w:rsidRPr="001E3731" w:rsidRDefault="008C1793" w:rsidP="008C1793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 xml:space="preserve">Graf č. 4.5 Struktura výdajů na zdravotní péči podle druhu péče v zemích </w:t>
      </w:r>
      <w:r>
        <w:rPr>
          <w:rFonts w:cs="Arial"/>
          <w:b/>
          <w:sz w:val="18"/>
          <w:szCs w:val="18"/>
        </w:rPr>
        <w:t>OECD</w:t>
      </w:r>
      <w:r w:rsidRPr="001E3731">
        <w:rPr>
          <w:rFonts w:cs="Arial"/>
          <w:b/>
          <w:sz w:val="18"/>
          <w:szCs w:val="18"/>
        </w:rPr>
        <w:t xml:space="preserve"> v roce 201</w:t>
      </w:r>
      <w:r>
        <w:rPr>
          <w:rFonts w:cs="Arial"/>
          <w:b/>
          <w:sz w:val="18"/>
          <w:szCs w:val="18"/>
        </w:rPr>
        <w:t>5</w:t>
      </w:r>
      <w:r w:rsidRPr="001E3731">
        <w:rPr>
          <w:rFonts w:cs="Arial"/>
          <w:b/>
          <w:sz w:val="18"/>
          <w:szCs w:val="18"/>
        </w:rPr>
        <w:t xml:space="preserve"> (v %)</w:t>
      </w:r>
    </w:p>
    <w:p w:rsidR="008C1793" w:rsidRPr="001E3731" w:rsidRDefault="008C1793" w:rsidP="0084681E">
      <w:pPr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0B2BCFD9" wp14:editId="2AD15EA6">
            <wp:extent cx="6120000" cy="3600000"/>
            <wp:effectExtent l="0" t="0" r="0" b="635"/>
            <wp:docPr id="88" name="Graf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1793" w:rsidRPr="001E3731" w:rsidRDefault="008C1793" w:rsidP="008C1793">
      <w:pPr>
        <w:jc w:val="both"/>
        <w:rPr>
          <w:i/>
          <w:noProof/>
          <w:sz w:val="16"/>
          <w:szCs w:val="16"/>
        </w:rPr>
      </w:pPr>
      <w:r w:rsidRPr="001E3731">
        <w:rPr>
          <w:i/>
          <w:noProof/>
          <w:sz w:val="16"/>
          <w:szCs w:val="16"/>
        </w:rPr>
        <w:t>* Zahrnuje léčebně-rehabilitační lůžkovou a jednodenní péči</w:t>
      </w:r>
      <w:r>
        <w:rPr>
          <w:i/>
          <w:noProof/>
          <w:sz w:val="16"/>
          <w:szCs w:val="16"/>
        </w:rPr>
        <w:t>.</w:t>
      </w:r>
    </w:p>
    <w:p w:rsidR="008C1793" w:rsidRPr="001E3731" w:rsidRDefault="008C1793" w:rsidP="008C1793">
      <w:pPr>
        <w:jc w:val="both"/>
        <w:rPr>
          <w:i/>
          <w:noProof/>
          <w:sz w:val="16"/>
          <w:szCs w:val="16"/>
        </w:rPr>
      </w:pPr>
      <w:r w:rsidRPr="001E3731">
        <w:rPr>
          <w:i/>
          <w:noProof/>
          <w:sz w:val="16"/>
          <w:szCs w:val="16"/>
        </w:rPr>
        <w:t xml:space="preserve">** Zahrnuje domácí péči a </w:t>
      </w:r>
      <w:r>
        <w:rPr>
          <w:i/>
          <w:noProof/>
          <w:sz w:val="16"/>
          <w:szCs w:val="16"/>
        </w:rPr>
        <w:t xml:space="preserve">doplňkové </w:t>
      </w:r>
      <w:r w:rsidRPr="001E3731">
        <w:rPr>
          <w:i/>
          <w:noProof/>
          <w:sz w:val="16"/>
          <w:szCs w:val="16"/>
        </w:rPr>
        <w:t xml:space="preserve"> služby</w:t>
      </w:r>
      <w:r>
        <w:rPr>
          <w:i/>
          <w:noProof/>
          <w:sz w:val="16"/>
          <w:szCs w:val="16"/>
        </w:rPr>
        <w:t xml:space="preserve"> (laboratorní a zobrazovací vy</w:t>
      </w:r>
      <w:r w:rsidRPr="001E3731">
        <w:rPr>
          <w:i/>
          <w:noProof/>
          <w:sz w:val="16"/>
          <w:szCs w:val="16"/>
        </w:rPr>
        <w:t>šetření a zdravotnickou dopravu)</w:t>
      </w:r>
      <w:r>
        <w:rPr>
          <w:i/>
          <w:noProof/>
          <w:sz w:val="16"/>
          <w:szCs w:val="16"/>
        </w:rPr>
        <w:t>.</w:t>
      </w:r>
    </w:p>
    <w:p w:rsidR="008C1793" w:rsidRPr="001E3731" w:rsidRDefault="008C1793" w:rsidP="008C1793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Pokud se zaměříme na strukturu výdajů na zdravotní péči podle konkrétních druhů péče v jednotlivých státech, je patrné, že jsou mezi zeměmi výrazné rozdíly. Lůžková péče zaujímá nejvyšší podíl v</w:t>
      </w:r>
      <w:r>
        <w:rPr>
          <w:rFonts w:cs="Arial"/>
          <w:szCs w:val="20"/>
        </w:rPr>
        <w:t xml:space="preserve">ýdajů </w:t>
      </w:r>
      <w:r>
        <w:rPr>
          <w:rFonts w:cs="Arial"/>
          <w:szCs w:val="20"/>
        </w:rPr>
        <w:lastRenderedPageBreak/>
        <w:t xml:space="preserve">na zdravotní péči v Řecku a Polsku v průměru 38 % </w:t>
      </w:r>
      <w:r w:rsidRPr="001E3731">
        <w:rPr>
          <w:rFonts w:cs="Arial"/>
          <w:szCs w:val="20"/>
        </w:rPr>
        <w:t>a naopak nejméně například ve Švédsku</w:t>
      </w:r>
      <w:r>
        <w:rPr>
          <w:rFonts w:cs="Arial"/>
          <w:szCs w:val="20"/>
        </w:rPr>
        <w:t xml:space="preserve"> nebo Švýcarsku 22 %. </w:t>
      </w:r>
      <w:r w:rsidRPr="001E3731">
        <w:rPr>
          <w:rFonts w:cs="Arial"/>
          <w:szCs w:val="20"/>
        </w:rPr>
        <w:t>Ambulantní péče nejvíce z rozpočtu na zdravot</w:t>
      </w:r>
      <w:r>
        <w:rPr>
          <w:rFonts w:cs="Arial"/>
          <w:szCs w:val="20"/>
        </w:rPr>
        <w:t>ní péči ukrajuje v Portugalsku (48 %) n</w:t>
      </w:r>
      <w:r w:rsidRPr="001E3731">
        <w:rPr>
          <w:rFonts w:cs="Arial"/>
          <w:szCs w:val="20"/>
        </w:rPr>
        <w:t>ebo také v Estonsku (</w:t>
      </w:r>
      <w:r>
        <w:rPr>
          <w:rFonts w:cs="Arial"/>
          <w:szCs w:val="20"/>
        </w:rPr>
        <w:t>41 %)</w:t>
      </w:r>
      <w:r w:rsidRPr="001E3731">
        <w:rPr>
          <w:rFonts w:cs="Arial"/>
          <w:szCs w:val="20"/>
        </w:rPr>
        <w:t xml:space="preserve"> a nejméně v</w:t>
      </w:r>
      <w:r>
        <w:rPr>
          <w:rFonts w:cs="Arial"/>
          <w:szCs w:val="20"/>
        </w:rPr>
        <w:t> Belgii 24 %.</w:t>
      </w:r>
      <w:r w:rsidRPr="001E3731">
        <w:rPr>
          <w:rFonts w:cs="Arial"/>
          <w:szCs w:val="20"/>
        </w:rPr>
        <w:t xml:space="preserve"> Ještě větší rozdíly </w:t>
      </w:r>
      <w:r>
        <w:rPr>
          <w:rFonts w:cs="Arial"/>
          <w:szCs w:val="20"/>
        </w:rPr>
        <w:t>mezi jednotlivými státy</w:t>
      </w:r>
      <w:r w:rsidRPr="001E3731">
        <w:rPr>
          <w:rFonts w:cs="Arial"/>
          <w:szCs w:val="20"/>
        </w:rPr>
        <w:t xml:space="preserve"> zaznamenáváme </w:t>
      </w:r>
      <w:r>
        <w:rPr>
          <w:rFonts w:cs="Arial"/>
          <w:szCs w:val="20"/>
        </w:rPr>
        <w:t>ve výdajích</w:t>
      </w:r>
      <w:r w:rsidRPr="001E3731">
        <w:rPr>
          <w:rFonts w:cs="Arial"/>
          <w:szCs w:val="20"/>
        </w:rPr>
        <w:t xml:space="preserve"> na dlouhodobou péči</w:t>
      </w:r>
      <w:r>
        <w:rPr>
          <w:rFonts w:cs="Arial"/>
          <w:szCs w:val="20"/>
        </w:rPr>
        <w:t xml:space="preserve"> zdravotní</w:t>
      </w:r>
      <w:r w:rsidRPr="001E3731">
        <w:rPr>
          <w:rFonts w:cs="Arial"/>
          <w:szCs w:val="20"/>
        </w:rPr>
        <w:t xml:space="preserve">. V tomto případě se hodnoty pohybují od méně než 2 % </w:t>
      </w:r>
      <w:r>
        <w:rPr>
          <w:rFonts w:cs="Arial"/>
          <w:szCs w:val="20"/>
        </w:rPr>
        <w:t xml:space="preserve">na Slovensku a v Řecku až po více než 25 % v Belgii </w:t>
      </w:r>
      <w:r w:rsidRPr="001E3731">
        <w:rPr>
          <w:rFonts w:cs="Arial"/>
          <w:szCs w:val="20"/>
        </w:rPr>
        <w:t xml:space="preserve">a Švédsku. Významné rozdíly jsou i v případě výdajů za </w:t>
      </w:r>
      <w:r>
        <w:rPr>
          <w:rFonts w:cs="Arial"/>
          <w:szCs w:val="20"/>
        </w:rPr>
        <w:t xml:space="preserve">léky. Nejméně, zhruba desetinu všech výdajů na zdravotní péči, zaplatili za léky </w:t>
      </w:r>
      <w:r w:rsidRPr="001E3731">
        <w:rPr>
          <w:rFonts w:cs="Arial"/>
          <w:szCs w:val="20"/>
        </w:rPr>
        <w:t xml:space="preserve">v Dánsku, Norsku a </w:t>
      </w:r>
      <w:r>
        <w:rPr>
          <w:rFonts w:cs="Arial"/>
          <w:szCs w:val="20"/>
        </w:rPr>
        <w:t>také v Lucembursku. N</w:t>
      </w:r>
      <w:r w:rsidRPr="001E3731">
        <w:rPr>
          <w:rFonts w:cs="Arial"/>
          <w:szCs w:val="20"/>
        </w:rPr>
        <w:t xml:space="preserve">aopak nejvíce </w:t>
      </w:r>
      <w:r>
        <w:rPr>
          <w:rFonts w:cs="Arial"/>
          <w:szCs w:val="20"/>
        </w:rPr>
        <w:t xml:space="preserve">peněz za léky bylo vydáno </w:t>
      </w:r>
      <w:r w:rsidRPr="001E3731">
        <w:rPr>
          <w:rFonts w:cs="Arial"/>
          <w:szCs w:val="20"/>
        </w:rPr>
        <w:t xml:space="preserve">na Slovensku </w:t>
      </w:r>
      <w:r>
        <w:rPr>
          <w:rFonts w:cs="Arial"/>
          <w:szCs w:val="20"/>
        </w:rPr>
        <w:t xml:space="preserve">a v Maďarsku </w:t>
      </w:r>
      <w:r w:rsidRPr="001E3731">
        <w:rPr>
          <w:rFonts w:cs="Arial"/>
          <w:szCs w:val="20"/>
        </w:rPr>
        <w:t>(více než 3</w:t>
      </w:r>
      <w:r>
        <w:rPr>
          <w:rFonts w:cs="Arial"/>
          <w:szCs w:val="20"/>
        </w:rPr>
        <w:t>0</w:t>
      </w:r>
      <w:r w:rsidRPr="001E3731">
        <w:rPr>
          <w:rFonts w:cs="Arial"/>
          <w:szCs w:val="20"/>
        </w:rPr>
        <w:t> %). Výdaje na kolektivní služby, tedy</w:t>
      </w:r>
      <w:r>
        <w:rPr>
          <w:rFonts w:cs="Arial"/>
          <w:szCs w:val="20"/>
        </w:rPr>
        <w:t> </w:t>
      </w:r>
      <w:r w:rsidRPr="001E3731">
        <w:rPr>
          <w:rFonts w:cs="Arial"/>
          <w:szCs w:val="20"/>
        </w:rPr>
        <w:t xml:space="preserve">prevenci a správu systému zdravotní péče, se pohybovaly od </w:t>
      </w:r>
      <w:r>
        <w:rPr>
          <w:rFonts w:cs="Arial"/>
          <w:szCs w:val="20"/>
        </w:rPr>
        <w:t>3</w:t>
      </w:r>
      <w:r w:rsidRPr="001E3731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v Norsku</w:t>
      </w:r>
      <w:r w:rsidRPr="001E37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Portugalsku </w:t>
      </w:r>
      <w:r w:rsidRPr="001E3731">
        <w:rPr>
          <w:rFonts w:cs="Arial"/>
          <w:szCs w:val="20"/>
        </w:rPr>
        <w:t>až po 9 % v</w:t>
      </w:r>
      <w:r>
        <w:rPr>
          <w:rFonts w:cs="Arial"/>
          <w:szCs w:val="20"/>
        </w:rPr>
        <w:t> evropských zemích jako je Velká Británie</w:t>
      </w:r>
      <w:r w:rsidRPr="001E3731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Švýcarsko.</w:t>
      </w:r>
    </w:p>
    <w:p w:rsidR="008C1793" w:rsidRPr="001E3731" w:rsidRDefault="008C1793" w:rsidP="008C1793">
      <w:pPr>
        <w:spacing w:before="240" w:after="120"/>
        <w:jc w:val="both"/>
        <w:rPr>
          <w:rFonts w:cs="Arial"/>
          <w:szCs w:val="20"/>
        </w:rPr>
      </w:pPr>
      <w:r w:rsidRPr="001E3731">
        <w:rPr>
          <w:b/>
          <w:i/>
          <w:szCs w:val="20"/>
        </w:rPr>
        <w:t>V Bulharsku jsou ze soukromých zdrojů hrazeny přibližně dvě třetiny výdajů za léky</w:t>
      </w:r>
      <w:r w:rsidRPr="001E3731">
        <w:rPr>
          <w:rFonts w:cs="Arial"/>
          <w:szCs w:val="20"/>
        </w:rPr>
        <w:t xml:space="preserve"> </w:t>
      </w:r>
    </w:p>
    <w:p w:rsidR="008C1793" w:rsidRDefault="008C1793" w:rsidP="008C1793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Výdaje za léky představují významnou položku v</w:t>
      </w:r>
      <w:r>
        <w:rPr>
          <w:rFonts w:cs="Arial"/>
          <w:szCs w:val="20"/>
        </w:rPr>
        <w:t xml:space="preserve"> běžných </w:t>
      </w:r>
      <w:r w:rsidRPr="001E3731">
        <w:rPr>
          <w:rFonts w:cs="Arial"/>
          <w:szCs w:val="20"/>
        </w:rPr>
        <w:t>výdajích na zdravotní péči a v</w:t>
      </w:r>
      <w:r>
        <w:rPr>
          <w:rFonts w:cs="Arial"/>
          <w:szCs w:val="20"/>
        </w:rPr>
        <w:t xml:space="preserve"> zemích OCED se pohybují v rozpětí od 10 % v Dánsku až po 35 % na Slovensku.  Průměrná hodnota zemí OECD je 19 % (viz předchozí graf). </w:t>
      </w:r>
      <w:r w:rsidRPr="001E3731">
        <w:rPr>
          <w:rFonts w:cs="Arial"/>
          <w:szCs w:val="20"/>
        </w:rPr>
        <w:t xml:space="preserve">Jak je </w:t>
      </w:r>
      <w:r>
        <w:rPr>
          <w:rFonts w:cs="Arial"/>
          <w:szCs w:val="20"/>
        </w:rPr>
        <w:t xml:space="preserve">patrné </w:t>
      </w:r>
      <w:r w:rsidRPr="001E3731">
        <w:rPr>
          <w:rFonts w:cs="Arial"/>
          <w:szCs w:val="20"/>
        </w:rPr>
        <w:t xml:space="preserve">z grafu 4.6, zdroj financování léků se v jednotlivých zemích výrazně odlišuje. V Německu </w:t>
      </w:r>
      <w:r>
        <w:rPr>
          <w:rFonts w:cs="Arial"/>
          <w:szCs w:val="20"/>
        </w:rPr>
        <w:t xml:space="preserve">a </w:t>
      </w:r>
      <w:r w:rsidRPr="001E3731">
        <w:rPr>
          <w:rFonts w:cs="Arial"/>
          <w:szCs w:val="20"/>
        </w:rPr>
        <w:t>Nizozemsku jsou léky z více než 8</w:t>
      </w:r>
      <w:r>
        <w:rPr>
          <w:rFonts w:cs="Arial"/>
          <w:szCs w:val="20"/>
        </w:rPr>
        <w:t>0 % hrazeny z veřejných zdrojů. V osmi</w:t>
      </w:r>
      <w:r>
        <w:t xml:space="preserve"> státech zahrnují veřejné a povinné programy méně než polovinu částky vynaložené na léky</w:t>
      </w:r>
      <w:r>
        <w:rPr>
          <w:rFonts w:cs="Arial"/>
          <w:szCs w:val="20"/>
        </w:rPr>
        <w:t xml:space="preserve">. Nejméně je tomu v Lotyšsku a Polsku, ve kterých </w:t>
      </w:r>
      <w:r w:rsidR="00FC12FB">
        <w:rPr>
          <w:rFonts w:cs="Arial"/>
          <w:szCs w:val="20"/>
        </w:rPr>
        <w:t xml:space="preserve">jsou </w:t>
      </w:r>
      <w:r>
        <w:rPr>
          <w:rFonts w:cs="Arial"/>
          <w:szCs w:val="20"/>
        </w:rPr>
        <w:t>až dvě třetiny výdajů na léky hrazeny z rozpočtů domácností. Ve Spojených státech a Kanadě pochází třetina výdajů na léky ze soukromého pojištění.</w:t>
      </w:r>
    </w:p>
    <w:p w:rsidR="008C1793" w:rsidRDefault="008C1793" w:rsidP="008C1793">
      <w:pPr>
        <w:spacing w:before="240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 xml:space="preserve">Graf č. 4.6 Struktura výdajů na </w:t>
      </w:r>
      <w:r>
        <w:rPr>
          <w:rFonts w:cs="Arial"/>
          <w:b/>
          <w:sz w:val="18"/>
          <w:szCs w:val="18"/>
        </w:rPr>
        <w:t>léky*</w:t>
      </w:r>
      <w:r w:rsidRPr="001E3731">
        <w:rPr>
          <w:rFonts w:cs="Arial"/>
          <w:b/>
          <w:sz w:val="18"/>
          <w:szCs w:val="18"/>
        </w:rPr>
        <w:t xml:space="preserve"> podle zdrojů financování v zemích </w:t>
      </w:r>
      <w:r>
        <w:rPr>
          <w:rFonts w:cs="Arial"/>
          <w:b/>
          <w:sz w:val="18"/>
          <w:szCs w:val="18"/>
        </w:rPr>
        <w:t xml:space="preserve">OECD </w:t>
      </w:r>
      <w:r w:rsidRPr="001E3731">
        <w:rPr>
          <w:rFonts w:cs="Arial"/>
          <w:b/>
          <w:sz w:val="18"/>
          <w:szCs w:val="18"/>
        </w:rPr>
        <w:t>v roce 201</w:t>
      </w:r>
      <w:r>
        <w:rPr>
          <w:rFonts w:cs="Arial"/>
          <w:b/>
          <w:sz w:val="18"/>
          <w:szCs w:val="18"/>
        </w:rPr>
        <w:t>5</w:t>
      </w:r>
      <w:r w:rsidRPr="001E3731">
        <w:rPr>
          <w:rFonts w:cs="Arial"/>
          <w:b/>
          <w:sz w:val="18"/>
          <w:szCs w:val="18"/>
        </w:rPr>
        <w:t xml:space="preserve"> (v %)</w:t>
      </w:r>
    </w:p>
    <w:p w:rsidR="008C1793" w:rsidRDefault="008C1793" w:rsidP="008C1793">
      <w:pPr>
        <w:rPr>
          <w:noProof/>
        </w:rPr>
      </w:pPr>
      <w:r>
        <w:rPr>
          <w:noProof/>
        </w:rPr>
        <w:drawing>
          <wp:inline distT="0" distB="0" distL="0" distR="0" wp14:anchorId="3D28BD3A" wp14:editId="5EF03961">
            <wp:extent cx="6120000" cy="3600000"/>
            <wp:effectExtent l="0" t="0" r="0" b="635"/>
            <wp:docPr id="89" name="Graf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1793" w:rsidRPr="007A14C3" w:rsidRDefault="008C1793" w:rsidP="008C1793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* </w:t>
      </w:r>
      <w:r w:rsidRPr="007A14C3">
        <w:rPr>
          <w:rFonts w:cs="Arial"/>
          <w:i/>
          <w:sz w:val="16"/>
          <w:szCs w:val="16"/>
        </w:rPr>
        <w:t>V mezinárodním srovnání jsou k dispozici výdaje za ambulantně poskytované léky</w:t>
      </w:r>
    </w:p>
    <w:p w:rsidR="008C1793" w:rsidRPr="00852AC8" w:rsidRDefault="008C1793" w:rsidP="008C1793">
      <w:pPr>
        <w:pStyle w:val="Textpoznpodarou"/>
        <w:spacing w:before="0" w:after="0" w:line="288" w:lineRule="auto"/>
        <w:rPr>
          <w:i/>
        </w:rPr>
      </w:pPr>
      <w:r w:rsidRPr="00852AC8">
        <w:rPr>
          <w:i/>
        </w:rPr>
        <w:t xml:space="preserve">Údaje za </w:t>
      </w:r>
      <w:r>
        <w:rPr>
          <w:i/>
        </w:rPr>
        <w:t>Českou republiku v grafu č. 4.6</w:t>
      </w:r>
      <w:r w:rsidRPr="00852AC8">
        <w:rPr>
          <w:i/>
        </w:rPr>
        <w:t xml:space="preserve"> byly aktualizovány v souladu se zpracováním zdravotnických účtů za rok 201</w:t>
      </w:r>
      <w:r>
        <w:rPr>
          <w:i/>
        </w:rPr>
        <w:t>5</w:t>
      </w:r>
      <w:bookmarkEnd w:id="4"/>
    </w:p>
    <w:sectPr w:rsidR="008C1793" w:rsidRPr="00852AC8" w:rsidSect="004B6A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418" w:left="1134" w:header="680" w:footer="680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AF" w:rsidRDefault="008638AF" w:rsidP="00E71A58">
      <w:r>
        <w:separator/>
      </w:r>
    </w:p>
  </w:endnote>
  <w:endnote w:type="continuationSeparator" w:id="0">
    <w:p w:rsidR="008638AF" w:rsidRDefault="008638A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2" w:rsidRDefault="0021607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bookmarkStart w:id="5" w:name="_GoBack"/>
    <w:bookmarkEnd w:id="5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407607" wp14:editId="4EFCB013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4B6A6A">
      <w:rPr>
        <w:rFonts w:ascii="Arial" w:hAnsi="Arial" w:cs="Arial"/>
        <w:noProof/>
        <w:sz w:val="16"/>
        <w:szCs w:val="16"/>
      </w:rPr>
      <w:t>46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2" w:rsidRDefault="0021607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4EFBB852" wp14:editId="29DAFF73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216072" w:rsidRDefault="0021607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4B6A6A">
      <w:rPr>
        <w:rFonts w:ascii="Arial" w:hAnsi="Arial" w:cs="Arial"/>
        <w:noProof/>
        <w:sz w:val="16"/>
        <w:szCs w:val="16"/>
      </w:rPr>
      <w:t>49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6A" w:rsidRDefault="004B6A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AF" w:rsidRDefault="008638AF" w:rsidP="00E71A58">
      <w:r>
        <w:separator/>
      </w:r>
    </w:p>
  </w:footnote>
  <w:footnote w:type="continuationSeparator" w:id="0">
    <w:p w:rsidR="008638AF" w:rsidRDefault="008638A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2" w:rsidRPr="002175EE" w:rsidRDefault="0021607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2" w:rsidRPr="002175EE" w:rsidRDefault="0021607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6A" w:rsidRDefault="004B6A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C21"/>
    <w:multiLevelType w:val="hybridMultilevel"/>
    <w:tmpl w:val="99D6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550C"/>
    <w:multiLevelType w:val="hybridMultilevel"/>
    <w:tmpl w:val="86B43882"/>
    <w:lvl w:ilvl="0" w:tplc="46C2DFC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7A27793"/>
    <w:multiLevelType w:val="hybridMultilevel"/>
    <w:tmpl w:val="D486A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26586"/>
    <w:multiLevelType w:val="hybridMultilevel"/>
    <w:tmpl w:val="5F2EFD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B521B"/>
    <w:multiLevelType w:val="hybridMultilevel"/>
    <w:tmpl w:val="2DC43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80405"/>
    <w:multiLevelType w:val="multilevel"/>
    <w:tmpl w:val="B94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21244"/>
    <w:multiLevelType w:val="hybridMultilevel"/>
    <w:tmpl w:val="939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32BB"/>
    <w:multiLevelType w:val="hybridMultilevel"/>
    <w:tmpl w:val="29F85DA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FD6DEF"/>
    <w:multiLevelType w:val="multilevel"/>
    <w:tmpl w:val="58CE6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66454"/>
    <w:multiLevelType w:val="hybridMultilevel"/>
    <w:tmpl w:val="936055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AC752F"/>
    <w:multiLevelType w:val="hybridMultilevel"/>
    <w:tmpl w:val="F1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04B67"/>
    <w:multiLevelType w:val="hybridMultilevel"/>
    <w:tmpl w:val="141024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8760B6"/>
    <w:multiLevelType w:val="hybridMultilevel"/>
    <w:tmpl w:val="2EF61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814446"/>
    <w:multiLevelType w:val="hybridMultilevel"/>
    <w:tmpl w:val="12C803C8"/>
    <w:lvl w:ilvl="0" w:tplc="CD9C6B54">
      <w:start w:val="2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52F38"/>
    <w:multiLevelType w:val="multilevel"/>
    <w:tmpl w:val="7BD287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3F919ED"/>
    <w:multiLevelType w:val="multilevel"/>
    <w:tmpl w:val="B0E2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815B2"/>
    <w:multiLevelType w:val="hybridMultilevel"/>
    <w:tmpl w:val="132CDB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B35327"/>
    <w:multiLevelType w:val="hybridMultilevel"/>
    <w:tmpl w:val="0CBCD77C"/>
    <w:lvl w:ilvl="0" w:tplc="C8061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F9C"/>
    <w:multiLevelType w:val="hybridMultilevel"/>
    <w:tmpl w:val="5C0C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645A0C"/>
    <w:multiLevelType w:val="hybridMultilevel"/>
    <w:tmpl w:val="D004D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F7E70"/>
    <w:multiLevelType w:val="hybridMultilevel"/>
    <w:tmpl w:val="0128A08A"/>
    <w:lvl w:ilvl="0" w:tplc="49A0ED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844F8"/>
    <w:multiLevelType w:val="hybridMultilevel"/>
    <w:tmpl w:val="1C3A2F2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FF5011"/>
    <w:multiLevelType w:val="hybridMultilevel"/>
    <w:tmpl w:val="AAAE5906"/>
    <w:lvl w:ilvl="0" w:tplc="BB289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854D3E"/>
    <w:multiLevelType w:val="multilevel"/>
    <w:tmpl w:val="C57A8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5B952ED8"/>
    <w:multiLevelType w:val="multilevel"/>
    <w:tmpl w:val="83DAB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3050CCD"/>
    <w:multiLevelType w:val="multilevel"/>
    <w:tmpl w:val="61B8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4">
    <w:nsid w:val="6F893287"/>
    <w:multiLevelType w:val="multilevel"/>
    <w:tmpl w:val="418C03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3FE39F3"/>
    <w:multiLevelType w:val="hybridMultilevel"/>
    <w:tmpl w:val="405C553E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15C6D"/>
    <w:multiLevelType w:val="hybridMultilevel"/>
    <w:tmpl w:val="A598291C"/>
    <w:lvl w:ilvl="0" w:tplc="5F1AC2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B762E6D"/>
    <w:multiLevelType w:val="hybridMultilevel"/>
    <w:tmpl w:val="586A2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71231"/>
    <w:multiLevelType w:val="hybridMultilevel"/>
    <w:tmpl w:val="EF7631D6"/>
    <w:lvl w:ilvl="0" w:tplc="D4C2B7B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F4163"/>
    <w:multiLevelType w:val="hybridMultilevel"/>
    <w:tmpl w:val="A78ADFC6"/>
    <w:lvl w:ilvl="0" w:tplc="242AA788">
      <w:numFmt w:val="bullet"/>
      <w:lvlText w:val="-"/>
      <w:lvlJc w:val="left"/>
      <w:pPr>
        <w:ind w:left="30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30"/>
  </w:num>
  <w:num w:numId="5">
    <w:abstractNumId w:val="3"/>
  </w:num>
  <w:num w:numId="6">
    <w:abstractNumId w:val="11"/>
  </w:num>
  <w:num w:numId="7">
    <w:abstractNumId w:val="24"/>
  </w:num>
  <w:num w:numId="8">
    <w:abstractNumId w:val="34"/>
  </w:num>
  <w:num w:numId="9">
    <w:abstractNumId w:val="23"/>
  </w:num>
  <w:num w:numId="10">
    <w:abstractNumId w:val="32"/>
  </w:num>
  <w:num w:numId="11">
    <w:abstractNumId w:val="10"/>
  </w:num>
  <w:num w:numId="12">
    <w:abstractNumId w:val="37"/>
  </w:num>
  <w:num w:numId="13">
    <w:abstractNumId w:val="28"/>
  </w:num>
  <w:num w:numId="14">
    <w:abstractNumId w:val="31"/>
  </w:num>
  <w:num w:numId="15">
    <w:abstractNumId w:val="33"/>
  </w:num>
  <w:num w:numId="16">
    <w:abstractNumId w:val="4"/>
  </w:num>
  <w:num w:numId="17">
    <w:abstractNumId w:val="16"/>
  </w:num>
  <w:num w:numId="18">
    <w:abstractNumId w:val="35"/>
  </w:num>
  <w:num w:numId="19">
    <w:abstractNumId w:val="0"/>
  </w:num>
  <w:num w:numId="20">
    <w:abstractNumId w:val="40"/>
  </w:num>
  <w:num w:numId="21">
    <w:abstractNumId w:val="6"/>
  </w:num>
  <w:num w:numId="22">
    <w:abstractNumId w:val="27"/>
  </w:num>
  <w:num w:numId="23">
    <w:abstractNumId w:val="17"/>
  </w:num>
  <w:num w:numId="24">
    <w:abstractNumId w:val="14"/>
  </w:num>
  <w:num w:numId="25">
    <w:abstractNumId w:val="39"/>
  </w:num>
  <w:num w:numId="26">
    <w:abstractNumId w:val="19"/>
  </w:num>
  <w:num w:numId="27">
    <w:abstractNumId w:val="12"/>
  </w:num>
  <w:num w:numId="28">
    <w:abstractNumId w:val="36"/>
  </w:num>
  <w:num w:numId="29">
    <w:abstractNumId w:val="15"/>
  </w:num>
  <w:num w:numId="30">
    <w:abstractNumId w:val="21"/>
  </w:num>
  <w:num w:numId="31">
    <w:abstractNumId w:val="9"/>
  </w:num>
  <w:num w:numId="32">
    <w:abstractNumId w:val="38"/>
  </w:num>
  <w:num w:numId="33">
    <w:abstractNumId w:val="25"/>
  </w:num>
  <w:num w:numId="34">
    <w:abstractNumId w:val="7"/>
  </w:num>
  <w:num w:numId="35">
    <w:abstractNumId w:val="18"/>
  </w:num>
  <w:num w:numId="36">
    <w:abstractNumId w:val="20"/>
  </w:num>
  <w:num w:numId="37">
    <w:abstractNumId w:val="13"/>
  </w:num>
  <w:num w:numId="38">
    <w:abstractNumId w:val="1"/>
  </w:num>
  <w:num w:numId="39">
    <w:abstractNumId w:val="8"/>
  </w:num>
  <w:num w:numId="40">
    <w:abstractNumId w:val="26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2F19"/>
    <w:rsid w:val="00005515"/>
    <w:rsid w:val="00005868"/>
    <w:rsid w:val="0000767A"/>
    <w:rsid w:val="00007BF6"/>
    <w:rsid w:val="00010702"/>
    <w:rsid w:val="0002040C"/>
    <w:rsid w:val="00025165"/>
    <w:rsid w:val="000307D2"/>
    <w:rsid w:val="000353CA"/>
    <w:rsid w:val="0004694F"/>
    <w:rsid w:val="00052D0B"/>
    <w:rsid w:val="00060D56"/>
    <w:rsid w:val="00062EC5"/>
    <w:rsid w:val="0006345C"/>
    <w:rsid w:val="00074403"/>
    <w:rsid w:val="0007543A"/>
    <w:rsid w:val="00083528"/>
    <w:rsid w:val="00087634"/>
    <w:rsid w:val="000915F5"/>
    <w:rsid w:val="00096004"/>
    <w:rsid w:val="000A1183"/>
    <w:rsid w:val="000A2D10"/>
    <w:rsid w:val="000C3408"/>
    <w:rsid w:val="000C547E"/>
    <w:rsid w:val="000D0933"/>
    <w:rsid w:val="000D1765"/>
    <w:rsid w:val="000D21E1"/>
    <w:rsid w:val="000D2433"/>
    <w:rsid w:val="000D3D85"/>
    <w:rsid w:val="000D5E39"/>
    <w:rsid w:val="000E5DE5"/>
    <w:rsid w:val="000F6E14"/>
    <w:rsid w:val="00101535"/>
    <w:rsid w:val="00110E3B"/>
    <w:rsid w:val="001149A1"/>
    <w:rsid w:val="00121C92"/>
    <w:rsid w:val="00123EF0"/>
    <w:rsid w:val="001319EB"/>
    <w:rsid w:val="00133BA8"/>
    <w:rsid w:val="001351C9"/>
    <w:rsid w:val="001405FA"/>
    <w:rsid w:val="001425C3"/>
    <w:rsid w:val="00154ED5"/>
    <w:rsid w:val="00157587"/>
    <w:rsid w:val="00162BF0"/>
    <w:rsid w:val="00162D56"/>
    <w:rsid w:val="00163793"/>
    <w:rsid w:val="00164260"/>
    <w:rsid w:val="0016731E"/>
    <w:rsid w:val="001714F2"/>
    <w:rsid w:val="00172311"/>
    <w:rsid w:val="00175160"/>
    <w:rsid w:val="0017751B"/>
    <w:rsid w:val="00185010"/>
    <w:rsid w:val="00190B38"/>
    <w:rsid w:val="00193560"/>
    <w:rsid w:val="001A177C"/>
    <w:rsid w:val="001A3B66"/>
    <w:rsid w:val="001A552F"/>
    <w:rsid w:val="001B3110"/>
    <w:rsid w:val="001B61BC"/>
    <w:rsid w:val="001C1D52"/>
    <w:rsid w:val="001D189A"/>
    <w:rsid w:val="001E1749"/>
    <w:rsid w:val="001E3731"/>
    <w:rsid w:val="001F4597"/>
    <w:rsid w:val="00200B56"/>
    <w:rsid w:val="00210AA5"/>
    <w:rsid w:val="00213704"/>
    <w:rsid w:val="00213C72"/>
    <w:rsid w:val="00214E6F"/>
    <w:rsid w:val="00216072"/>
    <w:rsid w:val="002175EE"/>
    <w:rsid w:val="0022139E"/>
    <w:rsid w:val="00223335"/>
    <w:rsid w:val="002237C6"/>
    <w:rsid w:val="002252E0"/>
    <w:rsid w:val="002255F6"/>
    <w:rsid w:val="00226272"/>
    <w:rsid w:val="00227AA9"/>
    <w:rsid w:val="00236443"/>
    <w:rsid w:val="0024085E"/>
    <w:rsid w:val="00240B6D"/>
    <w:rsid w:val="002436BA"/>
    <w:rsid w:val="00244A15"/>
    <w:rsid w:val="0024799E"/>
    <w:rsid w:val="00247A40"/>
    <w:rsid w:val="00254100"/>
    <w:rsid w:val="0026319A"/>
    <w:rsid w:val="00264C1E"/>
    <w:rsid w:val="00270041"/>
    <w:rsid w:val="00271AC3"/>
    <w:rsid w:val="00281EE4"/>
    <w:rsid w:val="0028438F"/>
    <w:rsid w:val="00290B98"/>
    <w:rsid w:val="00290F1C"/>
    <w:rsid w:val="002A310D"/>
    <w:rsid w:val="002A795D"/>
    <w:rsid w:val="002B4648"/>
    <w:rsid w:val="002B6C95"/>
    <w:rsid w:val="002B7526"/>
    <w:rsid w:val="002C1EDC"/>
    <w:rsid w:val="002C43BD"/>
    <w:rsid w:val="002D246F"/>
    <w:rsid w:val="002D700F"/>
    <w:rsid w:val="002E02A1"/>
    <w:rsid w:val="002E7C59"/>
    <w:rsid w:val="002F59C4"/>
    <w:rsid w:val="00304771"/>
    <w:rsid w:val="00306C5B"/>
    <w:rsid w:val="003209D6"/>
    <w:rsid w:val="00323231"/>
    <w:rsid w:val="00330C8E"/>
    <w:rsid w:val="0034055C"/>
    <w:rsid w:val="00341C9C"/>
    <w:rsid w:val="00341E61"/>
    <w:rsid w:val="00344398"/>
    <w:rsid w:val="00344A9F"/>
    <w:rsid w:val="003452B6"/>
    <w:rsid w:val="00345347"/>
    <w:rsid w:val="0035195A"/>
    <w:rsid w:val="00352ACB"/>
    <w:rsid w:val="00356E1F"/>
    <w:rsid w:val="003657F3"/>
    <w:rsid w:val="00370B28"/>
    <w:rsid w:val="00375B3D"/>
    <w:rsid w:val="00380B0F"/>
    <w:rsid w:val="00381C1A"/>
    <w:rsid w:val="0038205A"/>
    <w:rsid w:val="00385D98"/>
    <w:rsid w:val="00394B23"/>
    <w:rsid w:val="00396A34"/>
    <w:rsid w:val="00397972"/>
    <w:rsid w:val="003A2B4D"/>
    <w:rsid w:val="003A478C"/>
    <w:rsid w:val="003A5525"/>
    <w:rsid w:val="003A6B38"/>
    <w:rsid w:val="003B34FF"/>
    <w:rsid w:val="003B4169"/>
    <w:rsid w:val="003B5A32"/>
    <w:rsid w:val="003B5B99"/>
    <w:rsid w:val="003C627D"/>
    <w:rsid w:val="003C6CC2"/>
    <w:rsid w:val="003D5919"/>
    <w:rsid w:val="003E037E"/>
    <w:rsid w:val="003E0671"/>
    <w:rsid w:val="003F174C"/>
    <w:rsid w:val="003F313C"/>
    <w:rsid w:val="004004F4"/>
    <w:rsid w:val="0040155D"/>
    <w:rsid w:val="00403484"/>
    <w:rsid w:val="00406353"/>
    <w:rsid w:val="004117C8"/>
    <w:rsid w:val="00416281"/>
    <w:rsid w:val="00416C0A"/>
    <w:rsid w:val="004236AB"/>
    <w:rsid w:val="004242B2"/>
    <w:rsid w:val="00426A61"/>
    <w:rsid w:val="00437DC6"/>
    <w:rsid w:val="0044625F"/>
    <w:rsid w:val="00452EBE"/>
    <w:rsid w:val="00467087"/>
    <w:rsid w:val="00470E57"/>
    <w:rsid w:val="00476265"/>
    <w:rsid w:val="0048086F"/>
    <w:rsid w:val="00480E40"/>
    <w:rsid w:val="0048139F"/>
    <w:rsid w:val="004859A8"/>
    <w:rsid w:val="004868D6"/>
    <w:rsid w:val="004A081C"/>
    <w:rsid w:val="004A44A2"/>
    <w:rsid w:val="004A77DF"/>
    <w:rsid w:val="004B2C1E"/>
    <w:rsid w:val="004B55B7"/>
    <w:rsid w:val="004B6A6A"/>
    <w:rsid w:val="004B7591"/>
    <w:rsid w:val="004C3867"/>
    <w:rsid w:val="004C4ABE"/>
    <w:rsid w:val="004C4CD0"/>
    <w:rsid w:val="004C70DC"/>
    <w:rsid w:val="004D0211"/>
    <w:rsid w:val="004D5E24"/>
    <w:rsid w:val="004E1007"/>
    <w:rsid w:val="004E3E1A"/>
    <w:rsid w:val="004F06F5"/>
    <w:rsid w:val="004F0E28"/>
    <w:rsid w:val="004F209C"/>
    <w:rsid w:val="004F78C3"/>
    <w:rsid w:val="00501EFA"/>
    <w:rsid w:val="005108C0"/>
    <w:rsid w:val="00511873"/>
    <w:rsid w:val="00513B7E"/>
    <w:rsid w:val="00514041"/>
    <w:rsid w:val="0051478D"/>
    <w:rsid w:val="005151FB"/>
    <w:rsid w:val="00520DCA"/>
    <w:rsid w:val="005221B3"/>
    <w:rsid w:val="0052495E"/>
    <w:rsid w:val="00525137"/>
    <w:rsid w:val="005251DD"/>
    <w:rsid w:val="00527720"/>
    <w:rsid w:val="00532D7D"/>
    <w:rsid w:val="005376AD"/>
    <w:rsid w:val="005376E3"/>
    <w:rsid w:val="00542E84"/>
    <w:rsid w:val="00544082"/>
    <w:rsid w:val="00550483"/>
    <w:rsid w:val="00550FE5"/>
    <w:rsid w:val="005513E1"/>
    <w:rsid w:val="00551573"/>
    <w:rsid w:val="00557A96"/>
    <w:rsid w:val="00561D72"/>
    <w:rsid w:val="00572C92"/>
    <w:rsid w:val="00583FFD"/>
    <w:rsid w:val="0058445D"/>
    <w:rsid w:val="00586971"/>
    <w:rsid w:val="00591143"/>
    <w:rsid w:val="00593152"/>
    <w:rsid w:val="00593E87"/>
    <w:rsid w:val="005956E7"/>
    <w:rsid w:val="005A21E0"/>
    <w:rsid w:val="005A7316"/>
    <w:rsid w:val="005B20AA"/>
    <w:rsid w:val="005C04E2"/>
    <w:rsid w:val="005C2045"/>
    <w:rsid w:val="005D1BF3"/>
    <w:rsid w:val="005D514D"/>
    <w:rsid w:val="005D5802"/>
    <w:rsid w:val="005E0178"/>
    <w:rsid w:val="005E1DD5"/>
    <w:rsid w:val="005E316C"/>
    <w:rsid w:val="005E73F3"/>
    <w:rsid w:val="005F153A"/>
    <w:rsid w:val="005F2EE2"/>
    <w:rsid w:val="006016D1"/>
    <w:rsid w:val="00602EF3"/>
    <w:rsid w:val="00604307"/>
    <w:rsid w:val="0060487F"/>
    <w:rsid w:val="00606B1B"/>
    <w:rsid w:val="0061689B"/>
    <w:rsid w:val="00624093"/>
    <w:rsid w:val="00625E0F"/>
    <w:rsid w:val="00633AEB"/>
    <w:rsid w:val="00633F6D"/>
    <w:rsid w:val="006352A8"/>
    <w:rsid w:val="00635866"/>
    <w:rsid w:val="00635B35"/>
    <w:rsid w:val="00635FC7"/>
    <w:rsid w:val="006366C8"/>
    <w:rsid w:val="006374C2"/>
    <w:rsid w:val="006404A7"/>
    <w:rsid w:val="006419F8"/>
    <w:rsid w:val="006451E4"/>
    <w:rsid w:val="00645EF8"/>
    <w:rsid w:val="006523BB"/>
    <w:rsid w:val="00653860"/>
    <w:rsid w:val="00655906"/>
    <w:rsid w:val="0065667A"/>
    <w:rsid w:val="00657E87"/>
    <w:rsid w:val="006710C9"/>
    <w:rsid w:val="00674BA1"/>
    <w:rsid w:val="00675DD1"/>
    <w:rsid w:val="00675E37"/>
    <w:rsid w:val="00677696"/>
    <w:rsid w:val="0068260E"/>
    <w:rsid w:val="0069246C"/>
    <w:rsid w:val="006941CE"/>
    <w:rsid w:val="00695BEF"/>
    <w:rsid w:val="00696417"/>
    <w:rsid w:val="00697219"/>
    <w:rsid w:val="006977F6"/>
    <w:rsid w:val="00697A13"/>
    <w:rsid w:val="00697C9B"/>
    <w:rsid w:val="006A109C"/>
    <w:rsid w:val="006A31C8"/>
    <w:rsid w:val="006A420D"/>
    <w:rsid w:val="006A4247"/>
    <w:rsid w:val="006A429F"/>
    <w:rsid w:val="006B7581"/>
    <w:rsid w:val="006B78D8"/>
    <w:rsid w:val="006C0C43"/>
    <w:rsid w:val="006C113F"/>
    <w:rsid w:val="006C47BD"/>
    <w:rsid w:val="006D211A"/>
    <w:rsid w:val="006D3ACC"/>
    <w:rsid w:val="006D61F6"/>
    <w:rsid w:val="006E09D5"/>
    <w:rsid w:val="006E1FDB"/>
    <w:rsid w:val="006E279A"/>
    <w:rsid w:val="006E313B"/>
    <w:rsid w:val="006E5DFC"/>
    <w:rsid w:val="007051F5"/>
    <w:rsid w:val="0070676A"/>
    <w:rsid w:val="00711D97"/>
    <w:rsid w:val="007211F5"/>
    <w:rsid w:val="007271FD"/>
    <w:rsid w:val="00730AE8"/>
    <w:rsid w:val="00736D17"/>
    <w:rsid w:val="00741493"/>
    <w:rsid w:val="00746E1B"/>
    <w:rsid w:val="0074736D"/>
    <w:rsid w:val="00747BB9"/>
    <w:rsid w:val="00750951"/>
    <w:rsid w:val="00752180"/>
    <w:rsid w:val="00755D3A"/>
    <w:rsid w:val="007572C9"/>
    <w:rsid w:val="0075757C"/>
    <w:rsid w:val="007609C6"/>
    <w:rsid w:val="00760D36"/>
    <w:rsid w:val="0077264D"/>
    <w:rsid w:val="00774CA3"/>
    <w:rsid w:val="00776527"/>
    <w:rsid w:val="00784861"/>
    <w:rsid w:val="007949E3"/>
    <w:rsid w:val="007A01BD"/>
    <w:rsid w:val="007A4E4E"/>
    <w:rsid w:val="007A68E8"/>
    <w:rsid w:val="007A7B9B"/>
    <w:rsid w:val="007B47EE"/>
    <w:rsid w:val="007B60D9"/>
    <w:rsid w:val="007C740E"/>
    <w:rsid w:val="007D3A47"/>
    <w:rsid w:val="007D6E98"/>
    <w:rsid w:val="007E12CE"/>
    <w:rsid w:val="007E7E61"/>
    <w:rsid w:val="007F4A5E"/>
    <w:rsid w:val="007F6B36"/>
    <w:rsid w:val="00802A57"/>
    <w:rsid w:val="00814887"/>
    <w:rsid w:val="00814A8E"/>
    <w:rsid w:val="008207EF"/>
    <w:rsid w:val="00821FF6"/>
    <w:rsid w:val="0083143E"/>
    <w:rsid w:val="00834FAA"/>
    <w:rsid w:val="0083596D"/>
    <w:rsid w:val="00836086"/>
    <w:rsid w:val="0084681E"/>
    <w:rsid w:val="00853E06"/>
    <w:rsid w:val="00855FB6"/>
    <w:rsid w:val="00857578"/>
    <w:rsid w:val="008605E5"/>
    <w:rsid w:val="00860953"/>
    <w:rsid w:val="008620CA"/>
    <w:rsid w:val="008638AF"/>
    <w:rsid w:val="00863FDA"/>
    <w:rsid w:val="0087055B"/>
    <w:rsid w:val="00876086"/>
    <w:rsid w:val="008877B0"/>
    <w:rsid w:val="008B309A"/>
    <w:rsid w:val="008B5772"/>
    <w:rsid w:val="008B7C02"/>
    <w:rsid w:val="008C0E88"/>
    <w:rsid w:val="008C1793"/>
    <w:rsid w:val="008D1923"/>
    <w:rsid w:val="008D2A16"/>
    <w:rsid w:val="008D7DD3"/>
    <w:rsid w:val="008E31FF"/>
    <w:rsid w:val="008E401B"/>
    <w:rsid w:val="008E41B4"/>
    <w:rsid w:val="008F60FD"/>
    <w:rsid w:val="009003A8"/>
    <w:rsid w:val="00901E8E"/>
    <w:rsid w:val="009020FE"/>
    <w:rsid w:val="00902EFF"/>
    <w:rsid w:val="0090382A"/>
    <w:rsid w:val="00903ADB"/>
    <w:rsid w:val="00917F10"/>
    <w:rsid w:val="00921F14"/>
    <w:rsid w:val="009233F1"/>
    <w:rsid w:val="009248E3"/>
    <w:rsid w:val="00930E84"/>
    <w:rsid w:val="00931794"/>
    <w:rsid w:val="0094427A"/>
    <w:rsid w:val="00944EA6"/>
    <w:rsid w:val="009552B1"/>
    <w:rsid w:val="00957CD1"/>
    <w:rsid w:val="00972CA2"/>
    <w:rsid w:val="00973454"/>
    <w:rsid w:val="00974923"/>
    <w:rsid w:val="0098715D"/>
    <w:rsid w:val="00991A9E"/>
    <w:rsid w:val="009A23E5"/>
    <w:rsid w:val="009A76CB"/>
    <w:rsid w:val="009B6FD3"/>
    <w:rsid w:val="009C00F3"/>
    <w:rsid w:val="009C3912"/>
    <w:rsid w:val="009C7B08"/>
    <w:rsid w:val="009D15E0"/>
    <w:rsid w:val="009D2120"/>
    <w:rsid w:val="009D307C"/>
    <w:rsid w:val="009D7138"/>
    <w:rsid w:val="009E14B5"/>
    <w:rsid w:val="009E3131"/>
    <w:rsid w:val="009E3D07"/>
    <w:rsid w:val="009E5300"/>
    <w:rsid w:val="009E5C6B"/>
    <w:rsid w:val="009F30E4"/>
    <w:rsid w:val="009F4437"/>
    <w:rsid w:val="00A00BE4"/>
    <w:rsid w:val="00A074EF"/>
    <w:rsid w:val="00A077BC"/>
    <w:rsid w:val="00A10D66"/>
    <w:rsid w:val="00A15646"/>
    <w:rsid w:val="00A1636E"/>
    <w:rsid w:val="00A202A7"/>
    <w:rsid w:val="00A204CF"/>
    <w:rsid w:val="00A219A9"/>
    <w:rsid w:val="00A23E43"/>
    <w:rsid w:val="00A33EFD"/>
    <w:rsid w:val="00A34DA0"/>
    <w:rsid w:val="00A35033"/>
    <w:rsid w:val="00A460B2"/>
    <w:rsid w:val="00A46DE0"/>
    <w:rsid w:val="00A475AC"/>
    <w:rsid w:val="00A5222D"/>
    <w:rsid w:val="00A52B44"/>
    <w:rsid w:val="00A52EC2"/>
    <w:rsid w:val="00A5555E"/>
    <w:rsid w:val="00A55FDE"/>
    <w:rsid w:val="00A57446"/>
    <w:rsid w:val="00A62CE1"/>
    <w:rsid w:val="00A75E40"/>
    <w:rsid w:val="00A857C0"/>
    <w:rsid w:val="00A90201"/>
    <w:rsid w:val="00A902A5"/>
    <w:rsid w:val="00A91F5C"/>
    <w:rsid w:val="00A94AB5"/>
    <w:rsid w:val="00A953D4"/>
    <w:rsid w:val="00AA0168"/>
    <w:rsid w:val="00AA315F"/>
    <w:rsid w:val="00AA3BA1"/>
    <w:rsid w:val="00AA559A"/>
    <w:rsid w:val="00AB2AF1"/>
    <w:rsid w:val="00AB3CE2"/>
    <w:rsid w:val="00AB64E8"/>
    <w:rsid w:val="00AC1752"/>
    <w:rsid w:val="00AC4A24"/>
    <w:rsid w:val="00AD239A"/>
    <w:rsid w:val="00AD306C"/>
    <w:rsid w:val="00AD4FBF"/>
    <w:rsid w:val="00AD5913"/>
    <w:rsid w:val="00AE33C2"/>
    <w:rsid w:val="00AF25EE"/>
    <w:rsid w:val="00B01CAD"/>
    <w:rsid w:val="00B17C49"/>
    <w:rsid w:val="00B17E71"/>
    <w:rsid w:val="00B17FDE"/>
    <w:rsid w:val="00B2098B"/>
    <w:rsid w:val="00B32BCC"/>
    <w:rsid w:val="00B32DDB"/>
    <w:rsid w:val="00B36A65"/>
    <w:rsid w:val="00B372C8"/>
    <w:rsid w:val="00B40A03"/>
    <w:rsid w:val="00B40CFB"/>
    <w:rsid w:val="00B44676"/>
    <w:rsid w:val="00B448FC"/>
    <w:rsid w:val="00B46099"/>
    <w:rsid w:val="00B4643E"/>
    <w:rsid w:val="00B513EB"/>
    <w:rsid w:val="00B551E6"/>
    <w:rsid w:val="00B63AFC"/>
    <w:rsid w:val="00B6608F"/>
    <w:rsid w:val="00B76CB5"/>
    <w:rsid w:val="00B76D1E"/>
    <w:rsid w:val="00B801AF"/>
    <w:rsid w:val="00B80EDA"/>
    <w:rsid w:val="00B81475"/>
    <w:rsid w:val="00B85CB1"/>
    <w:rsid w:val="00B95940"/>
    <w:rsid w:val="00B97BEC"/>
    <w:rsid w:val="00BA0E5F"/>
    <w:rsid w:val="00BA493B"/>
    <w:rsid w:val="00BA4D62"/>
    <w:rsid w:val="00BB0015"/>
    <w:rsid w:val="00BB10A9"/>
    <w:rsid w:val="00BB5FF0"/>
    <w:rsid w:val="00BC2F06"/>
    <w:rsid w:val="00BC3543"/>
    <w:rsid w:val="00BC39BB"/>
    <w:rsid w:val="00BC5568"/>
    <w:rsid w:val="00BC66E8"/>
    <w:rsid w:val="00BD2BDC"/>
    <w:rsid w:val="00BD366B"/>
    <w:rsid w:val="00BD3FB1"/>
    <w:rsid w:val="00BD6D50"/>
    <w:rsid w:val="00BD7706"/>
    <w:rsid w:val="00BE23F8"/>
    <w:rsid w:val="00BF011D"/>
    <w:rsid w:val="00BF26C4"/>
    <w:rsid w:val="00C01506"/>
    <w:rsid w:val="00C107E7"/>
    <w:rsid w:val="00C21F94"/>
    <w:rsid w:val="00C274E0"/>
    <w:rsid w:val="00C3177E"/>
    <w:rsid w:val="00C36AC9"/>
    <w:rsid w:val="00C41EFF"/>
    <w:rsid w:val="00C41FBD"/>
    <w:rsid w:val="00C45E27"/>
    <w:rsid w:val="00C47265"/>
    <w:rsid w:val="00C51E92"/>
    <w:rsid w:val="00C556F4"/>
    <w:rsid w:val="00C64B75"/>
    <w:rsid w:val="00C6634F"/>
    <w:rsid w:val="00C8098B"/>
    <w:rsid w:val="00C80F44"/>
    <w:rsid w:val="00C85E96"/>
    <w:rsid w:val="00C901F9"/>
    <w:rsid w:val="00C90CF4"/>
    <w:rsid w:val="00C91D7C"/>
    <w:rsid w:val="00C92654"/>
    <w:rsid w:val="00C93389"/>
    <w:rsid w:val="00C93C0D"/>
    <w:rsid w:val="00C97E34"/>
    <w:rsid w:val="00CA0463"/>
    <w:rsid w:val="00CA24C7"/>
    <w:rsid w:val="00CA5A12"/>
    <w:rsid w:val="00CB7349"/>
    <w:rsid w:val="00CC14C1"/>
    <w:rsid w:val="00CC1931"/>
    <w:rsid w:val="00CC1CC4"/>
    <w:rsid w:val="00CC2E9C"/>
    <w:rsid w:val="00CC475C"/>
    <w:rsid w:val="00CD288B"/>
    <w:rsid w:val="00CE26E9"/>
    <w:rsid w:val="00CE3173"/>
    <w:rsid w:val="00CE6149"/>
    <w:rsid w:val="00CF3148"/>
    <w:rsid w:val="00CF51EC"/>
    <w:rsid w:val="00D03353"/>
    <w:rsid w:val="00D03693"/>
    <w:rsid w:val="00D040DD"/>
    <w:rsid w:val="00D10241"/>
    <w:rsid w:val="00D15A3E"/>
    <w:rsid w:val="00D16F21"/>
    <w:rsid w:val="00D30233"/>
    <w:rsid w:val="00D32AAF"/>
    <w:rsid w:val="00D347C8"/>
    <w:rsid w:val="00D3681A"/>
    <w:rsid w:val="00D41CE2"/>
    <w:rsid w:val="00D516DE"/>
    <w:rsid w:val="00D51805"/>
    <w:rsid w:val="00D56ADA"/>
    <w:rsid w:val="00D602CE"/>
    <w:rsid w:val="00D60433"/>
    <w:rsid w:val="00D615CD"/>
    <w:rsid w:val="00D61A47"/>
    <w:rsid w:val="00D67975"/>
    <w:rsid w:val="00D709E7"/>
    <w:rsid w:val="00D7363A"/>
    <w:rsid w:val="00D76ECF"/>
    <w:rsid w:val="00D842D3"/>
    <w:rsid w:val="00DA2A27"/>
    <w:rsid w:val="00DA3AAF"/>
    <w:rsid w:val="00DA45FF"/>
    <w:rsid w:val="00DA5852"/>
    <w:rsid w:val="00DB210A"/>
    <w:rsid w:val="00DB4F3B"/>
    <w:rsid w:val="00DC2E00"/>
    <w:rsid w:val="00DC5B3B"/>
    <w:rsid w:val="00DD39C0"/>
    <w:rsid w:val="00DE2D8F"/>
    <w:rsid w:val="00DE3724"/>
    <w:rsid w:val="00DE6B5D"/>
    <w:rsid w:val="00DE6F11"/>
    <w:rsid w:val="00DF00E1"/>
    <w:rsid w:val="00DF4DBA"/>
    <w:rsid w:val="00DF5641"/>
    <w:rsid w:val="00E01C0E"/>
    <w:rsid w:val="00E03893"/>
    <w:rsid w:val="00E04694"/>
    <w:rsid w:val="00E069D1"/>
    <w:rsid w:val="00E17090"/>
    <w:rsid w:val="00E1763E"/>
    <w:rsid w:val="00E22935"/>
    <w:rsid w:val="00E23CFF"/>
    <w:rsid w:val="00E263D4"/>
    <w:rsid w:val="00E2712D"/>
    <w:rsid w:val="00E40102"/>
    <w:rsid w:val="00E42B4D"/>
    <w:rsid w:val="00E438DF"/>
    <w:rsid w:val="00E5040E"/>
    <w:rsid w:val="00E55504"/>
    <w:rsid w:val="00E65D1A"/>
    <w:rsid w:val="00E663CD"/>
    <w:rsid w:val="00E71A58"/>
    <w:rsid w:val="00E81B7C"/>
    <w:rsid w:val="00E8493B"/>
    <w:rsid w:val="00E90C72"/>
    <w:rsid w:val="00E93764"/>
    <w:rsid w:val="00E97C6C"/>
    <w:rsid w:val="00EA0C68"/>
    <w:rsid w:val="00EA29F0"/>
    <w:rsid w:val="00EB3661"/>
    <w:rsid w:val="00EB7DA1"/>
    <w:rsid w:val="00ED286F"/>
    <w:rsid w:val="00EE1E7F"/>
    <w:rsid w:val="00EE39DC"/>
    <w:rsid w:val="00EE3E78"/>
    <w:rsid w:val="00EE5A6E"/>
    <w:rsid w:val="00EF1AEF"/>
    <w:rsid w:val="00EF1F5A"/>
    <w:rsid w:val="00EF3E4D"/>
    <w:rsid w:val="00EF4D97"/>
    <w:rsid w:val="00EF5416"/>
    <w:rsid w:val="00F014FF"/>
    <w:rsid w:val="00F02F8E"/>
    <w:rsid w:val="00F0328F"/>
    <w:rsid w:val="00F03967"/>
    <w:rsid w:val="00F04811"/>
    <w:rsid w:val="00F0488C"/>
    <w:rsid w:val="00F12246"/>
    <w:rsid w:val="00F15BEF"/>
    <w:rsid w:val="00F24FAA"/>
    <w:rsid w:val="00F3364D"/>
    <w:rsid w:val="00F41C6D"/>
    <w:rsid w:val="00F42351"/>
    <w:rsid w:val="00F45E8A"/>
    <w:rsid w:val="00F53404"/>
    <w:rsid w:val="00F5536C"/>
    <w:rsid w:val="00F6371C"/>
    <w:rsid w:val="00F63DDE"/>
    <w:rsid w:val="00F63FB7"/>
    <w:rsid w:val="00F6458A"/>
    <w:rsid w:val="00F67236"/>
    <w:rsid w:val="00F71B42"/>
    <w:rsid w:val="00F73A0C"/>
    <w:rsid w:val="00F85872"/>
    <w:rsid w:val="00F954C5"/>
    <w:rsid w:val="00F95636"/>
    <w:rsid w:val="00FA499A"/>
    <w:rsid w:val="00FB007E"/>
    <w:rsid w:val="00FB2302"/>
    <w:rsid w:val="00FC0C8F"/>
    <w:rsid w:val="00FC0E5F"/>
    <w:rsid w:val="00FC12FB"/>
    <w:rsid w:val="00FC1CDE"/>
    <w:rsid w:val="00FC56DE"/>
    <w:rsid w:val="00FD0311"/>
    <w:rsid w:val="00FD0F42"/>
    <w:rsid w:val="00FD730E"/>
    <w:rsid w:val="00FD778F"/>
    <w:rsid w:val="00FE04DC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214E6F"/>
  </w:style>
  <w:style w:type="character" w:styleId="Zvraznn">
    <w:name w:val="Emphasis"/>
    <w:basedOn w:val="Standardnpsmoodstavce"/>
    <w:uiPriority w:val="20"/>
    <w:qFormat/>
    <w:rsid w:val="00214E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214E6F"/>
  </w:style>
  <w:style w:type="character" w:styleId="Zvraznn">
    <w:name w:val="Emphasis"/>
    <w:basedOn w:val="Standardnpsmoodstavce"/>
    <w:uiPriority w:val="20"/>
    <w:qFormat/>
    <w:rsid w:val="00214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212688224410729E-2"/>
          <c:y val="3.5392535392535389E-2"/>
          <c:w val="0.91009949914690769"/>
          <c:h val="0.7695806306150061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graf4.1!$C$3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953735"/>
              </a:solidFill>
            </a:ln>
          </c:spPr>
          <c:invertIfNegative val="0"/>
          <c:dPt>
            <c:idx val="15"/>
            <c:invertIfNegative val="0"/>
            <c:bubble3D val="0"/>
            <c:spPr>
              <a:solidFill>
                <a:srgbClr val="9E2A3D"/>
              </a:solidFill>
              <a:ln>
                <a:solidFill>
                  <a:srgbClr val="953735"/>
                </a:solidFill>
              </a:ln>
            </c:spPr>
          </c:dPt>
          <c:cat>
            <c:strRef>
              <c:f>graf4.1!$A$4:$A$36</c:f>
              <c:strCache>
                <c:ptCount val="33"/>
                <c:pt idx="0">
                  <c:v>Spojené státy</c:v>
                </c:pt>
                <c:pt idx="1">
                  <c:v>Švýcarsko</c:v>
                </c:pt>
                <c:pt idx="2">
                  <c:v>Lucembursko</c:v>
                </c:pt>
                <c:pt idx="3">
                  <c:v>Norsko</c:v>
                </c:pt>
                <c:pt idx="4">
                  <c:v>Německo</c:v>
                </c:pt>
                <c:pt idx="5">
                  <c:v>Švédsko</c:v>
                </c:pt>
                <c:pt idx="6">
                  <c:v>Nizozemsko</c:v>
                </c:pt>
                <c:pt idx="7">
                  <c:v>Rakousko</c:v>
                </c:pt>
                <c:pt idx="8">
                  <c:v>Dánsko</c:v>
                </c:pt>
                <c:pt idx="9">
                  <c:v>Belgie</c:v>
                </c:pt>
                <c:pt idx="10">
                  <c:v>Francie</c:v>
                </c:pt>
                <c:pt idx="11">
                  <c:v>Japonsko</c:v>
                </c:pt>
                <c:pt idx="12">
                  <c:v>Island</c:v>
                </c:pt>
                <c:pt idx="13">
                  <c:v>Velká Británie</c:v>
                </c:pt>
                <c:pt idx="14">
                  <c:v>Finsko</c:v>
                </c:pt>
                <c:pt idx="15">
                  <c:v>OECD</c:v>
                </c:pt>
                <c:pt idx="16">
                  <c:v>Itálie</c:v>
                </c:pt>
                <c:pt idx="17">
                  <c:v>Španělsko</c:v>
                </c:pt>
                <c:pt idx="18">
                  <c:v>Slovinsko</c:v>
                </c:pt>
                <c:pt idx="19">
                  <c:v>Izrael</c:v>
                </c:pt>
                <c:pt idx="20">
                  <c:v>Portugalsko</c:v>
                </c:pt>
                <c:pt idx="21">
                  <c:v>Korea</c:v>
                </c:pt>
                <c:pt idx="22">
                  <c:v>Česko</c:v>
                </c:pt>
                <c:pt idx="23">
                  <c:v>Řecko</c:v>
                </c:pt>
                <c:pt idx="24">
                  <c:v>Slovensko</c:v>
                </c:pt>
                <c:pt idx="25">
                  <c:v>Maďarsko</c:v>
                </c:pt>
                <c:pt idx="26">
                  <c:v>Estonsko</c:v>
                </c:pt>
                <c:pt idx="27">
                  <c:v>Polsko</c:v>
                </c:pt>
                <c:pt idx="28">
                  <c:v>Litva</c:v>
                </c:pt>
                <c:pt idx="29">
                  <c:v>Lotyšsko</c:v>
                </c:pt>
                <c:pt idx="30">
                  <c:v>Chorvatsko</c:v>
                </c:pt>
                <c:pt idx="31">
                  <c:v>Turecko</c:v>
                </c:pt>
                <c:pt idx="32">
                  <c:v>Mexiko</c:v>
                </c:pt>
              </c:strCache>
            </c:strRef>
          </c:cat>
          <c:val>
            <c:numRef>
              <c:f>graf4.1!$C$4:$C$36</c:f>
              <c:numCache>
                <c:formatCode>#,##0</c:formatCode>
                <c:ptCount val="33"/>
                <c:pt idx="0">
                  <c:v>9892</c:v>
                </c:pt>
                <c:pt idx="1">
                  <c:v>7919</c:v>
                </c:pt>
                <c:pt idx="2">
                  <c:v>7462.8</c:v>
                </c:pt>
                <c:pt idx="3">
                  <c:v>6647.5</c:v>
                </c:pt>
                <c:pt idx="4">
                  <c:v>5552</c:v>
                </c:pt>
                <c:pt idx="5">
                  <c:v>5488</c:v>
                </c:pt>
                <c:pt idx="6">
                  <c:v>5385.4</c:v>
                </c:pt>
                <c:pt idx="7">
                  <c:v>5227.3</c:v>
                </c:pt>
                <c:pt idx="8">
                  <c:v>5205</c:v>
                </c:pt>
                <c:pt idx="9">
                  <c:v>4839.8</c:v>
                </c:pt>
                <c:pt idx="10">
                  <c:v>4600</c:v>
                </c:pt>
                <c:pt idx="11">
                  <c:v>4519.3</c:v>
                </c:pt>
                <c:pt idx="12">
                  <c:v>4376</c:v>
                </c:pt>
                <c:pt idx="13">
                  <c:v>4192.5</c:v>
                </c:pt>
                <c:pt idx="14">
                  <c:v>4033.4</c:v>
                </c:pt>
                <c:pt idx="15">
                  <c:v>4003</c:v>
                </c:pt>
                <c:pt idx="16">
                  <c:v>3391.2</c:v>
                </c:pt>
                <c:pt idx="17">
                  <c:v>3248.4</c:v>
                </c:pt>
                <c:pt idx="18">
                  <c:v>2834.8</c:v>
                </c:pt>
                <c:pt idx="19">
                  <c:v>2822.3</c:v>
                </c:pt>
                <c:pt idx="20">
                  <c:v>2734.4</c:v>
                </c:pt>
                <c:pt idx="21">
                  <c:v>2728.8</c:v>
                </c:pt>
                <c:pt idx="22">
                  <c:v>2544.3000000000002</c:v>
                </c:pt>
                <c:pt idx="23">
                  <c:v>2223</c:v>
                </c:pt>
                <c:pt idx="24">
                  <c:v>2149.5</c:v>
                </c:pt>
                <c:pt idx="25">
                  <c:v>2101.1</c:v>
                </c:pt>
                <c:pt idx="26">
                  <c:v>1989</c:v>
                </c:pt>
                <c:pt idx="27">
                  <c:v>1797.8</c:v>
                </c:pt>
                <c:pt idx="28">
                  <c:v>1466.3</c:v>
                </c:pt>
                <c:pt idx="29">
                  <c:v>1466</c:v>
                </c:pt>
                <c:pt idx="30">
                  <c:v>1108.6032297361658</c:v>
                </c:pt>
                <c:pt idx="31">
                  <c:v>1087.5</c:v>
                </c:pt>
                <c:pt idx="32">
                  <c:v>1080.3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97031168"/>
        <c:axId val="338756160"/>
      </c:barChart>
      <c:barChart>
        <c:barDir val="col"/>
        <c:grouping val="clustered"/>
        <c:varyColors val="0"/>
        <c:ser>
          <c:idx val="0"/>
          <c:order val="0"/>
          <c:tx>
            <c:strRef>
              <c:f>graf4.1!$B$3</c:f>
              <c:strCache>
                <c:ptCount val="1"/>
                <c:pt idx="0">
                  <c:v> 2010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376092"/>
              </a:solidFill>
            </a:ln>
          </c:spPr>
          <c:invertIfNegative val="0"/>
          <c:cat>
            <c:strRef>
              <c:f>graf4.1!$A$4:$A$36</c:f>
              <c:strCache>
                <c:ptCount val="33"/>
                <c:pt idx="0">
                  <c:v>Spojené státy</c:v>
                </c:pt>
                <c:pt idx="1">
                  <c:v>Švýcarsko</c:v>
                </c:pt>
                <c:pt idx="2">
                  <c:v>Lucembursko</c:v>
                </c:pt>
                <c:pt idx="3">
                  <c:v>Norsko</c:v>
                </c:pt>
                <c:pt idx="4">
                  <c:v>Německo</c:v>
                </c:pt>
                <c:pt idx="5">
                  <c:v>Švédsko</c:v>
                </c:pt>
                <c:pt idx="6">
                  <c:v>Nizozemsko</c:v>
                </c:pt>
                <c:pt idx="7">
                  <c:v>Rakousko</c:v>
                </c:pt>
                <c:pt idx="8">
                  <c:v>Dánsko</c:v>
                </c:pt>
                <c:pt idx="9">
                  <c:v>Belgie</c:v>
                </c:pt>
                <c:pt idx="10">
                  <c:v>Francie</c:v>
                </c:pt>
                <c:pt idx="11">
                  <c:v>Japonsko</c:v>
                </c:pt>
                <c:pt idx="12">
                  <c:v>Island</c:v>
                </c:pt>
                <c:pt idx="13">
                  <c:v>Velká Británie</c:v>
                </c:pt>
                <c:pt idx="14">
                  <c:v>Finsko</c:v>
                </c:pt>
                <c:pt idx="15">
                  <c:v>OECD</c:v>
                </c:pt>
                <c:pt idx="16">
                  <c:v>Itálie</c:v>
                </c:pt>
                <c:pt idx="17">
                  <c:v>Španělsko</c:v>
                </c:pt>
                <c:pt idx="18">
                  <c:v>Slovinsko</c:v>
                </c:pt>
                <c:pt idx="19">
                  <c:v>Izrael</c:v>
                </c:pt>
                <c:pt idx="20">
                  <c:v>Portugalsko</c:v>
                </c:pt>
                <c:pt idx="21">
                  <c:v>Korea</c:v>
                </c:pt>
                <c:pt idx="22">
                  <c:v>Česko</c:v>
                </c:pt>
                <c:pt idx="23">
                  <c:v>Řecko</c:v>
                </c:pt>
                <c:pt idx="24">
                  <c:v>Slovensko</c:v>
                </c:pt>
                <c:pt idx="25">
                  <c:v>Maďarsko</c:v>
                </c:pt>
                <c:pt idx="26">
                  <c:v>Estonsko</c:v>
                </c:pt>
                <c:pt idx="27">
                  <c:v>Polsko</c:v>
                </c:pt>
                <c:pt idx="28">
                  <c:v>Litva</c:v>
                </c:pt>
                <c:pt idx="29">
                  <c:v>Lotyšsko</c:v>
                </c:pt>
                <c:pt idx="30">
                  <c:v>Chorvatsko</c:v>
                </c:pt>
                <c:pt idx="31">
                  <c:v>Turecko</c:v>
                </c:pt>
                <c:pt idx="32">
                  <c:v>Mexiko</c:v>
                </c:pt>
              </c:strCache>
            </c:strRef>
          </c:cat>
          <c:val>
            <c:numRef>
              <c:f>graf4.1!$B$4:$B$36</c:f>
              <c:numCache>
                <c:formatCode>#,##0</c:formatCode>
                <c:ptCount val="33"/>
                <c:pt idx="0">
                  <c:v>7932</c:v>
                </c:pt>
                <c:pt idx="1">
                  <c:v>5686.3</c:v>
                </c:pt>
                <c:pt idx="2">
                  <c:v>6386.5</c:v>
                </c:pt>
                <c:pt idx="3">
                  <c:v>5167.6000000000004</c:v>
                </c:pt>
                <c:pt idx="4">
                  <c:v>4413</c:v>
                </c:pt>
                <c:pt idx="5">
                  <c:v>2894.0274379502462</c:v>
                </c:pt>
                <c:pt idx="6">
                  <c:v>4638.2</c:v>
                </c:pt>
                <c:pt idx="7">
                  <c:v>4237.7</c:v>
                </c:pt>
                <c:pt idx="8">
                  <c:v>4470.1000000000004</c:v>
                </c:pt>
                <c:pt idx="9">
                  <c:v>3980</c:v>
                </c:pt>
                <c:pt idx="10">
                  <c:v>3872</c:v>
                </c:pt>
                <c:pt idx="11">
                  <c:v>3204.9</c:v>
                </c:pt>
                <c:pt idx="12">
                  <c:v>2524.4431275543434</c:v>
                </c:pt>
                <c:pt idx="13">
                  <c:v>3040.7</c:v>
                </c:pt>
                <c:pt idx="14">
                  <c:v>3442.1</c:v>
                </c:pt>
                <c:pt idx="16">
                  <c:v>3140.5</c:v>
                </c:pt>
                <c:pt idx="17">
                  <c:v>2885.7</c:v>
                </c:pt>
                <c:pt idx="18">
                  <c:v>2379.5</c:v>
                </c:pt>
                <c:pt idx="19">
                  <c:v>2033.6</c:v>
                </c:pt>
                <c:pt idx="20">
                  <c:v>2686.7</c:v>
                </c:pt>
                <c:pt idx="21">
                  <c:v>1976</c:v>
                </c:pt>
                <c:pt idx="22">
                  <c:v>1920.5</c:v>
                </c:pt>
                <c:pt idx="23">
                  <c:v>2696.2</c:v>
                </c:pt>
                <c:pt idx="24">
                  <c:v>1951.1</c:v>
                </c:pt>
                <c:pt idx="25">
                  <c:v>1622.5</c:v>
                </c:pt>
                <c:pt idx="26">
                  <c:v>1369.6</c:v>
                </c:pt>
                <c:pt idx="27">
                  <c:v>1353.7</c:v>
                </c:pt>
                <c:pt idx="28">
                  <c:v>1081.7</c:v>
                </c:pt>
                <c:pt idx="29">
                  <c:v>821.22208321551386</c:v>
                </c:pt>
                <c:pt idx="30">
                  <c:v>1152.3237085070627</c:v>
                </c:pt>
                <c:pt idx="31">
                  <c:v>872.5</c:v>
                </c:pt>
                <c:pt idx="32">
                  <c:v>911.4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330539520"/>
        <c:axId val="338756736"/>
      </c:barChart>
      <c:catAx>
        <c:axId val="297031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338756160"/>
        <c:crosses val="autoZero"/>
        <c:auto val="1"/>
        <c:lblAlgn val="ctr"/>
        <c:lblOffset val="100"/>
        <c:noMultiLvlLbl val="0"/>
      </c:catAx>
      <c:valAx>
        <c:axId val="338756160"/>
        <c:scaling>
          <c:orientation val="minMax"/>
          <c:max val="10000"/>
        </c:scaling>
        <c:delete val="0"/>
        <c:axPos val="l"/>
        <c:majorGridlines>
          <c:spPr>
            <a:ln>
              <a:solidFill>
                <a:sysClr val="window" lastClr="FFFFFF">
                  <a:lumMod val="75000"/>
                </a:sys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solidFill>
              <a:sysClr val="window" lastClr="FFFFFF">
                <a:lumMod val="75000"/>
              </a:sys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297031168"/>
        <c:crosses val="autoZero"/>
        <c:crossBetween val="between"/>
        <c:majorUnit val="1000"/>
        <c:minorUnit val="500"/>
      </c:valAx>
      <c:valAx>
        <c:axId val="338756736"/>
        <c:scaling>
          <c:orientation val="minMax"/>
        </c:scaling>
        <c:delete val="1"/>
        <c:axPos val="r"/>
        <c:numFmt formatCode="#,##0" sourceLinked="1"/>
        <c:majorTickMark val="out"/>
        <c:minorTickMark val="none"/>
        <c:tickLblPos val="none"/>
        <c:crossAx val="330539520"/>
        <c:crosses val="max"/>
        <c:crossBetween val="between"/>
      </c:valAx>
      <c:catAx>
        <c:axId val="330539520"/>
        <c:scaling>
          <c:orientation val="minMax"/>
        </c:scaling>
        <c:delete val="1"/>
        <c:axPos val="b"/>
        <c:majorTickMark val="out"/>
        <c:minorTickMark val="none"/>
        <c:tickLblPos val="none"/>
        <c:crossAx val="33875673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8331354355353473"/>
          <c:y val="5.8158686360000968E-2"/>
          <c:w val="0.13498092081212867"/>
          <c:h val="4.3599384878652281E-2"/>
        </c:manualLayout>
      </c:layout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08343192852201E-2"/>
          <c:y val="2.5931155157329504E-2"/>
          <c:w val="0.91663974370353463"/>
          <c:h val="0.726958095755272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graf4.2!$B$3</c:f>
              <c:strCache>
                <c:ptCount val="1"/>
                <c:pt idx="0">
                  <c:v> 2005-09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376092"/>
              </a:solidFill>
            </a:ln>
          </c:spPr>
          <c:invertIfNegative val="0"/>
          <c:cat>
            <c:strRef>
              <c:f>graf4.2!$A$4:$A$33</c:f>
              <c:strCache>
                <c:ptCount val="30"/>
                <c:pt idx="0">
                  <c:v>Estonsko</c:v>
                </c:pt>
                <c:pt idx="1">
                  <c:v>Polsko</c:v>
                </c:pt>
                <c:pt idx="2">
                  <c:v>Švýcarsko</c:v>
                </c:pt>
                <c:pt idx="3">
                  <c:v>Rakousko</c:v>
                </c:pt>
                <c:pt idx="4">
                  <c:v>Maďarsko</c:v>
                </c:pt>
                <c:pt idx="5">
                  <c:v>Lotyšsko</c:v>
                </c:pt>
                <c:pt idx="6">
                  <c:v>Spojené státy</c:v>
                </c:pt>
                <c:pt idx="7">
                  <c:v>Slovensko</c:v>
                </c:pt>
                <c:pt idx="8">
                  <c:v>Norsko</c:v>
                </c:pt>
                <c:pt idx="9">
                  <c:v>Německo</c:v>
                </c:pt>
                <c:pt idx="10">
                  <c:v>Japonsko</c:v>
                </c:pt>
                <c:pt idx="11">
                  <c:v>Turecko</c:v>
                </c:pt>
                <c:pt idx="12">
                  <c:v>OECD</c:v>
                </c:pt>
                <c:pt idx="13">
                  <c:v>Kanada</c:v>
                </c:pt>
                <c:pt idx="14">
                  <c:v>Belgie</c:v>
                </c:pt>
                <c:pt idx="15">
                  <c:v>Nizozemsko</c:v>
                </c:pt>
                <c:pt idx="16">
                  <c:v>Finsko</c:v>
                </c:pt>
                <c:pt idx="17">
                  <c:v>Rakousko</c:v>
                </c:pt>
                <c:pt idx="18">
                  <c:v>Lucembursko</c:v>
                </c:pt>
                <c:pt idx="19">
                  <c:v>Švédsko</c:v>
                </c:pt>
                <c:pt idx="20">
                  <c:v>Velká Británie</c:v>
                </c:pt>
                <c:pt idx="21">
                  <c:v>Francie</c:v>
                </c:pt>
                <c:pt idx="22">
                  <c:v>Slovinsko</c:v>
                </c:pt>
                <c:pt idx="23">
                  <c:v>Nový Zéland</c:v>
                </c:pt>
                <c:pt idx="24">
                  <c:v>Dánsko</c:v>
                </c:pt>
                <c:pt idx="25">
                  <c:v>Španělsko</c:v>
                </c:pt>
                <c:pt idx="26">
                  <c:v>Česká republikace</c:v>
                </c:pt>
                <c:pt idx="27">
                  <c:v>Itálie</c:v>
                </c:pt>
                <c:pt idx="28">
                  <c:v>Portugalsko</c:v>
                </c:pt>
                <c:pt idx="29">
                  <c:v>Řecko</c:v>
                </c:pt>
              </c:strCache>
            </c:strRef>
          </c:cat>
          <c:val>
            <c:numRef>
              <c:f>graf4.2!$B$4:$B$33</c:f>
              <c:numCache>
                <c:formatCode>0%</c:formatCode>
                <c:ptCount val="30"/>
                <c:pt idx="0">
                  <c:v>6.0000000000000032E-2</c:v>
                </c:pt>
                <c:pt idx="1">
                  <c:v>7.0000000000000021E-2</c:v>
                </c:pt>
                <c:pt idx="2">
                  <c:v>1.0000000000000005E-2</c:v>
                </c:pt>
                <c:pt idx="3">
                  <c:v>3.0000000000000002E-2</c:v>
                </c:pt>
                <c:pt idx="4">
                  <c:v>-4.0000000000000036E-3</c:v>
                </c:pt>
                <c:pt idx="5">
                  <c:v>7.0000000000000021E-2</c:v>
                </c:pt>
                <c:pt idx="6">
                  <c:v>3.0000000000000002E-2</c:v>
                </c:pt>
                <c:pt idx="7">
                  <c:v>0.12000000000000002</c:v>
                </c:pt>
                <c:pt idx="8">
                  <c:v>2.0000000000000011E-2</c:v>
                </c:pt>
                <c:pt idx="9">
                  <c:v>2.0000000000000011E-2</c:v>
                </c:pt>
                <c:pt idx="10">
                  <c:v>3.0000000000000002E-2</c:v>
                </c:pt>
                <c:pt idx="11">
                  <c:v>0.05</c:v>
                </c:pt>
                <c:pt idx="12">
                  <c:v>4.0000000000000022E-2</c:v>
                </c:pt>
                <c:pt idx="13">
                  <c:v>3.0000000000000002E-2</c:v>
                </c:pt>
                <c:pt idx="14">
                  <c:v>3.0000000000000002E-2</c:v>
                </c:pt>
                <c:pt idx="15">
                  <c:v>3.0000000000000002E-2</c:v>
                </c:pt>
                <c:pt idx="16">
                  <c:v>3.0000000000000002E-2</c:v>
                </c:pt>
                <c:pt idx="17">
                  <c:v>2.0000000000000011E-2</c:v>
                </c:pt>
                <c:pt idx="18">
                  <c:v>2.0000000000000011E-2</c:v>
                </c:pt>
                <c:pt idx="19">
                  <c:v>2.0000000000000011E-2</c:v>
                </c:pt>
                <c:pt idx="20">
                  <c:v>4.0000000000000022E-2</c:v>
                </c:pt>
                <c:pt idx="21">
                  <c:v>2.0000000000000011E-2</c:v>
                </c:pt>
                <c:pt idx="22">
                  <c:v>3.0000000000000002E-2</c:v>
                </c:pt>
                <c:pt idx="23">
                  <c:v>0.05</c:v>
                </c:pt>
                <c:pt idx="24">
                  <c:v>3.0000000000000002E-2</c:v>
                </c:pt>
                <c:pt idx="25">
                  <c:v>3.0000000000000002E-2</c:v>
                </c:pt>
                <c:pt idx="26">
                  <c:v>0.05</c:v>
                </c:pt>
                <c:pt idx="27">
                  <c:v>2.0000000000000011E-2</c:v>
                </c:pt>
                <c:pt idx="28">
                  <c:v>2.0000000000000011E-2</c:v>
                </c:pt>
                <c:pt idx="29">
                  <c:v>4.5354580444510594E-2</c:v>
                </c:pt>
              </c:numCache>
            </c:numRef>
          </c:val>
        </c:ser>
        <c:ser>
          <c:idx val="1"/>
          <c:order val="1"/>
          <c:tx>
            <c:strRef>
              <c:f>graf4.2!$C$3</c:f>
              <c:strCache>
                <c:ptCount val="1"/>
                <c:pt idx="0">
                  <c:v> 2009-16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953735"/>
              </a:solidFill>
            </a:ln>
          </c:spPr>
          <c:invertIfNegative val="0"/>
          <c:cat>
            <c:strRef>
              <c:f>graf4.2!$A$4:$A$33</c:f>
              <c:strCache>
                <c:ptCount val="30"/>
                <c:pt idx="0">
                  <c:v>Estonsko</c:v>
                </c:pt>
                <c:pt idx="1">
                  <c:v>Polsko</c:v>
                </c:pt>
                <c:pt idx="2">
                  <c:v>Švýcarsko</c:v>
                </c:pt>
                <c:pt idx="3">
                  <c:v>Rakousko</c:v>
                </c:pt>
                <c:pt idx="4">
                  <c:v>Maďarsko</c:v>
                </c:pt>
                <c:pt idx="5">
                  <c:v>Lotyšsko</c:v>
                </c:pt>
                <c:pt idx="6">
                  <c:v>Spojené státy</c:v>
                </c:pt>
                <c:pt idx="7">
                  <c:v>Slovensko</c:v>
                </c:pt>
                <c:pt idx="8">
                  <c:v>Norsko</c:v>
                </c:pt>
                <c:pt idx="9">
                  <c:v>Německo</c:v>
                </c:pt>
                <c:pt idx="10">
                  <c:v>Japonsko</c:v>
                </c:pt>
                <c:pt idx="11">
                  <c:v>Turecko</c:v>
                </c:pt>
                <c:pt idx="12">
                  <c:v>OECD</c:v>
                </c:pt>
                <c:pt idx="13">
                  <c:v>Kanada</c:v>
                </c:pt>
                <c:pt idx="14">
                  <c:v>Belgie</c:v>
                </c:pt>
                <c:pt idx="15">
                  <c:v>Nizozemsko</c:v>
                </c:pt>
                <c:pt idx="16">
                  <c:v>Finsko</c:v>
                </c:pt>
                <c:pt idx="17">
                  <c:v>Rakousko</c:v>
                </c:pt>
                <c:pt idx="18">
                  <c:v>Lucembursko</c:v>
                </c:pt>
                <c:pt idx="19">
                  <c:v>Švédsko</c:v>
                </c:pt>
                <c:pt idx="20">
                  <c:v>Velká Británie</c:v>
                </c:pt>
                <c:pt idx="21">
                  <c:v>Francie</c:v>
                </c:pt>
                <c:pt idx="22">
                  <c:v>Slovinsko</c:v>
                </c:pt>
                <c:pt idx="23">
                  <c:v>Nový Zéland</c:v>
                </c:pt>
                <c:pt idx="24">
                  <c:v>Dánsko</c:v>
                </c:pt>
                <c:pt idx="25">
                  <c:v>Španělsko</c:v>
                </c:pt>
                <c:pt idx="26">
                  <c:v>Česká republikace</c:v>
                </c:pt>
                <c:pt idx="27">
                  <c:v>Itálie</c:v>
                </c:pt>
                <c:pt idx="28">
                  <c:v>Portugalsko</c:v>
                </c:pt>
                <c:pt idx="29">
                  <c:v>Řecko</c:v>
                </c:pt>
              </c:strCache>
            </c:strRef>
          </c:cat>
          <c:val>
            <c:numRef>
              <c:f>graf4.2!$C$4:$C$33</c:f>
              <c:numCache>
                <c:formatCode>0%</c:formatCode>
                <c:ptCount val="30"/>
                <c:pt idx="0">
                  <c:v>4.0000000000000022E-2</c:v>
                </c:pt>
                <c:pt idx="1">
                  <c:v>3.0000000000000002E-2</c:v>
                </c:pt>
                <c:pt idx="2">
                  <c:v>3.0000000000000002E-2</c:v>
                </c:pt>
                <c:pt idx="3">
                  <c:v>3.0000000000000002E-2</c:v>
                </c:pt>
                <c:pt idx="4">
                  <c:v>3.0000000000000002E-2</c:v>
                </c:pt>
                <c:pt idx="5">
                  <c:v>2.0000000000000011E-2</c:v>
                </c:pt>
                <c:pt idx="6">
                  <c:v>2.0000000000000011E-2</c:v>
                </c:pt>
                <c:pt idx="7">
                  <c:v>2.0000000000000011E-2</c:v>
                </c:pt>
                <c:pt idx="8">
                  <c:v>1.0000000000000005E-2</c:v>
                </c:pt>
                <c:pt idx="9">
                  <c:v>2.0000000000000011E-2</c:v>
                </c:pt>
                <c:pt idx="10">
                  <c:v>2.0000000000000011E-2</c:v>
                </c:pt>
                <c:pt idx="11">
                  <c:v>2.0000000000000011E-2</c:v>
                </c:pt>
                <c:pt idx="12">
                  <c:v>1.0000000000000005E-2</c:v>
                </c:pt>
                <c:pt idx="13">
                  <c:v>1.0000000000000005E-2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  <c:pt idx="18">
                  <c:v>1.0000000000000005E-2</c:v>
                </c:pt>
                <c:pt idx="19">
                  <c:v>1.0000000000000005E-2</c:v>
                </c:pt>
                <c:pt idx="20">
                  <c:v>1.0000000000000005E-2</c:v>
                </c:pt>
                <c:pt idx="21">
                  <c:v>1.0000000000000005E-2</c:v>
                </c:pt>
                <c:pt idx="22">
                  <c:v>1.0000000000000005E-2</c:v>
                </c:pt>
                <c:pt idx="23">
                  <c:v>1.0000000000000005E-2</c:v>
                </c:pt>
                <c:pt idx="24">
                  <c:v>3.0000000000000018E-3</c:v>
                </c:pt>
                <c:pt idx="25">
                  <c:v>3.0000000000000018E-3</c:v>
                </c:pt>
                <c:pt idx="26">
                  <c:v>1.0000000000000009E-3</c:v>
                </c:pt>
                <c:pt idx="27">
                  <c:v>-3.0000000000000018E-3</c:v>
                </c:pt>
                <c:pt idx="28">
                  <c:v>-1.0000000000000005E-2</c:v>
                </c:pt>
                <c:pt idx="29">
                  <c:v>-5.0391438062080803E-2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297032192"/>
        <c:axId val="278264000"/>
      </c:barChart>
      <c:catAx>
        <c:axId val="2970321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cs-CZ"/>
          </a:p>
        </c:txPr>
        <c:crossAx val="278264000"/>
        <c:crossesAt val="0"/>
        <c:auto val="1"/>
        <c:lblAlgn val="ctr"/>
        <c:lblOffset val="100"/>
        <c:noMultiLvlLbl val="0"/>
      </c:catAx>
      <c:valAx>
        <c:axId val="278264000"/>
        <c:scaling>
          <c:orientation val="minMax"/>
          <c:max val="8.5000000000000048E-2"/>
          <c:min val="-6.0000000000000032E-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97032192"/>
        <c:crosses val="autoZero"/>
        <c:crossBetween val="between"/>
        <c:majorUnit val="1.0000000000000005E-2"/>
        <c:minorUnit val="1.0000000000000011E-3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39788961162463443"/>
          <c:y val="0.9463089214161714"/>
          <c:w val="0.20422060768973918"/>
          <c:h val="5.3691133435906722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 4.3'!$B$4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83A5CF"/>
            </a:solidFill>
            <a:ln>
              <a:solidFill>
                <a:srgbClr val="4F81BD"/>
              </a:solidFill>
            </a:ln>
          </c:spPr>
          <c:invertIfNegative val="0"/>
          <c:dPt>
            <c:idx val="12"/>
            <c:invertIfNegative val="0"/>
            <c:bubble3D val="0"/>
            <c:spPr>
              <a:solidFill>
                <a:srgbClr val="0071BC"/>
              </a:solidFill>
              <a:ln>
                <a:solidFill>
                  <a:srgbClr val="4F81BD"/>
                </a:solidFill>
              </a:ln>
            </c:spPr>
          </c:dPt>
          <c:cat>
            <c:strRef>
              <c:f>'graf 4.3'!$A$5:$A$36</c:f>
              <c:strCache>
                <c:ptCount val="32"/>
                <c:pt idx="0">
                  <c:v>Spojené státy</c:v>
                </c:pt>
                <c:pt idx="1">
                  <c:v>Švýcarsko</c:v>
                </c:pt>
                <c:pt idx="2">
                  <c:v>Německo</c:v>
                </c:pt>
                <c:pt idx="3">
                  <c:v>Francie</c:v>
                </c:pt>
                <c:pt idx="4">
                  <c:v>Nizozemsko</c:v>
                </c:pt>
                <c:pt idx="5">
                  <c:v>Japonsko</c:v>
                </c:pt>
                <c:pt idx="6">
                  <c:v>Švédsko</c:v>
                </c:pt>
                <c:pt idx="7">
                  <c:v>Dánsko</c:v>
                </c:pt>
                <c:pt idx="8">
                  <c:v>Rakousko</c:v>
                </c:pt>
                <c:pt idx="9">
                  <c:v>Belgie</c:v>
                </c:pt>
                <c:pt idx="10">
                  <c:v>Velká Británie</c:v>
                </c:pt>
                <c:pt idx="11">
                  <c:v>Portugalsko</c:v>
                </c:pt>
                <c:pt idx="12">
                  <c:v>OECD</c:v>
                </c:pt>
                <c:pt idx="13">
                  <c:v>Itálie</c:v>
                </c:pt>
                <c:pt idx="14">
                  <c:v>Španělsko</c:v>
                </c:pt>
                <c:pt idx="15">
                  <c:v>Finsko</c:v>
                </c:pt>
                <c:pt idx="16">
                  <c:v>Slovinsko</c:v>
                </c:pt>
                <c:pt idx="17">
                  <c:v>Irsko</c:v>
                </c:pt>
                <c:pt idx="18">
                  <c:v>Řecko</c:v>
                </c:pt>
                <c:pt idx="19">
                  <c:v>Maďarsko</c:v>
                </c:pt>
                <c:pt idx="20">
                  <c:v>Korea</c:v>
                </c:pt>
                <c:pt idx="21">
                  <c:v>Česká republika</c:v>
                </c:pt>
                <c:pt idx="22">
                  <c:v>Slovensko</c:v>
                </c:pt>
                <c:pt idx="23">
                  <c:v>Izrael</c:v>
                </c:pt>
                <c:pt idx="24">
                  <c:v>Litva</c:v>
                </c:pt>
                <c:pt idx="25">
                  <c:v>Estonsko</c:v>
                </c:pt>
                <c:pt idx="26">
                  <c:v>Lucembursko</c:v>
                </c:pt>
                <c:pt idx="27">
                  <c:v>Rusko</c:v>
                </c:pt>
                <c:pt idx="28">
                  <c:v>Polsko</c:v>
                </c:pt>
                <c:pt idx="29">
                  <c:v>Mexiko</c:v>
                </c:pt>
                <c:pt idx="30">
                  <c:v>Čína</c:v>
                </c:pt>
                <c:pt idx="31">
                  <c:v>Turecko</c:v>
                </c:pt>
              </c:strCache>
            </c:strRef>
          </c:cat>
          <c:val>
            <c:numRef>
              <c:f>'graf 4.3'!$B$5:$B$36</c:f>
              <c:numCache>
                <c:formatCode>0%</c:formatCode>
                <c:ptCount val="32"/>
                <c:pt idx="0">
                  <c:v>0.17200000000000001</c:v>
                </c:pt>
                <c:pt idx="1">
                  <c:v>0.12400000000000005</c:v>
                </c:pt>
                <c:pt idx="2">
                  <c:v>0.113</c:v>
                </c:pt>
                <c:pt idx="3">
                  <c:v>0.11</c:v>
                </c:pt>
                <c:pt idx="4">
                  <c:v>0.11</c:v>
                </c:pt>
                <c:pt idx="5">
                  <c:v>0.11</c:v>
                </c:pt>
                <c:pt idx="6">
                  <c:v>0.11</c:v>
                </c:pt>
                <c:pt idx="7">
                  <c:v>0.10400000000000002</c:v>
                </c:pt>
                <c:pt idx="8">
                  <c:v>0.10400000000000002</c:v>
                </c:pt>
                <c:pt idx="9">
                  <c:v>0.10400000000000002</c:v>
                </c:pt>
                <c:pt idx="10">
                  <c:v>9.7000000000000003E-2</c:v>
                </c:pt>
                <c:pt idx="11">
                  <c:v>9.0000000000000024E-2</c:v>
                </c:pt>
                <c:pt idx="12">
                  <c:v>9.0000000000000024E-2</c:v>
                </c:pt>
                <c:pt idx="13">
                  <c:v>9.0000000000000024E-2</c:v>
                </c:pt>
                <c:pt idx="14">
                  <c:v>9.0000000000000024E-2</c:v>
                </c:pt>
                <c:pt idx="15">
                  <c:v>9.0000000000000024E-2</c:v>
                </c:pt>
                <c:pt idx="16">
                  <c:v>9.0000000000000024E-2</c:v>
                </c:pt>
                <c:pt idx="17">
                  <c:v>8.0000000000000043E-2</c:v>
                </c:pt>
                <c:pt idx="18">
                  <c:v>8.0000000000000043E-2</c:v>
                </c:pt>
                <c:pt idx="19">
                  <c:v>8.0000000000000043E-2</c:v>
                </c:pt>
                <c:pt idx="20">
                  <c:v>8.0000000000000043E-2</c:v>
                </c:pt>
                <c:pt idx="21">
                  <c:v>7.5999999999999998E-2</c:v>
                </c:pt>
                <c:pt idx="22">
                  <c:v>7.0000000000000021E-2</c:v>
                </c:pt>
                <c:pt idx="23">
                  <c:v>7.0000000000000021E-2</c:v>
                </c:pt>
                <c:pt idx="24">
                  <c:v>7.0000000000000021E-2</c:v>
                </c:pt>
                <c:pt idx="25">
                  <c:v>6.7000000000000004E-2</c:v>
                </c:pt>
                <c:pt idx="26">
                  <c:v>6.0000000000000032E-2</c:v>
                </c:pt>
                <c:pt idx="27">
                  <c:v>6.0000000000000032E-2</c:v>
                </c:pt>
                <c:pt idx="28">
                  <c:v>6.0000000000000032E-2</c:v>
                </c:pt>
                <c:pt idx="29">
                  <c:v>6.0000000000000032E-2</c:v>
                </c:pt>
                <c:pt idx="30">
                  <c:v>6.0000000000000032E-2</c:v>
                </c:pt>
                <c:pt idx="31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323875840"/>
        <c:axId val="338758464"/>
      </c:barChart>
      <c:lineChart>
        <c:grouping val="standard"/>
        <c:varyColors val="0"/>
        <c:ser>
          <c:idx val="1"/>
          <c:order val="1"/>
          <c:tx>
            <c:strRef>
              <c:f>'graf 4.3'!$C$4</c:f>
              <c:strCache>
                <c:ptCount val="1"/>
                <c:pt idx="0">
                  <c:v> 2010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7"/>
          </c:marker>
          <c:cat>
            <c:strRef>
              <c:f>'graf 4.3'!$A$5:$A$36</c:f>
              <c:strCache>
                <c:ptCount val="32"/>
                <c:pt idx="0">
                  <c:v>Spojené státy</c:v>
                </c:pt>
                <c:pt idx="1">
                  <c:v>Švýcarsko</c:v>
                </c:pt>
                <c:pt idx="2">
                  <c:v>Německo</c:v>
                </c:pt>
                <c:pt idx="3">
                  <c:v>Francie</c:v>
                </c:pt>
                <c:pt idx="4">
                  <c:v>Nizozemsko</c:v>
                </c:pt>
                <c:pt idx="5">
                  <c:v>Japonsko</c:v>
                </c:pt>
                <c:pt idx="6">
                  <c:v>Švédsko</c:v>
                </c:pt>
                <c:pt idx="7">
                  <c:v>Dánsko</c:v>
                </c:pt>
                <c:pt idx="8">
                  <c:v>Rakousko</c:v>
                </c:pt>
                <c:pt idx="9">
                  <c:v>Belgie</c:v>
                </c:pt>
                <c:pt idx="10">
                  <c:v>Velká Británie</c:v>
                </c:pt>
                <c:pt idx="11">
                  <c:v>Portugalsko</c:v>
                </c:pt>
                <c:pt idx="12">
                  <c:v>OECD</c:v>
                </c:pt>
                <c:pt idx="13">
                  <c:v>Itálie</c:v>
                </c:pt>
                <c:pt idx="14">
                  <c:v>Španělsko</c:v>
                </c:pt>
                <c:pt idx="15">
                  <c:v>Finsko</c:v>
                </c:pt>
                <c:pt idx="16">
                  <c:v>Slovinsko</c:v>
                </c:pt>
                <c:pt idx="17">
                  <c:v>Irsko</c:v>
                </c:pt>
                <c:pt idx="18">
                  <c:v>Řecko</c:v>
                </c:pt>
                <c:pt idx="19">
                  <c:v>Maďarsko</c:v>
                </c:pt>
                <c:pt idx="20">
                  <c:v>Korea</c:v>
                </c:pt>
                <c:pt idx="21">
                  <c:v>Česká republika</c:v>
                </c:pt>
                <c:pt idx="22">
                  <c:v>Slovensko</c:v>
                </c:pt>
                <c:pt idx="23">
                  <c:v>Izrael</c:v>
                </c:pt>
                <c:pt idx="24">
                  <c:v>Litva</c:v>
                </c:pt>
                <c:pt idx="25">
                  <c:v>Estonsko</c:v>
                </c:pt>
                <c:pt idx="26">
                  <c:v>Lucembursko</c:v>
                </c:pt>
                <c:pt idx="27">
                  <c:v>Rusko</c:v>
                </c:pt>
                <c:pt idx="28">
                  <c:v>Polsko</c:v>
                </c:pt>
                <c:pt idx="29">
                  <c:v>Mexiko</c:v>
                </c:pt>
                <c:pt idx="30">
                  <c:v>Čína</c:v>
                </c:pt>
                <c:pt idx="31">
                  <c:v>Turecko</c:v>
                </c:pt>
              </c:strCache>
            </c:strRef>
          </c:cat>
          <c:val>
            <c:numRef>
              <c:f>'graf 4.3'!$C$5:$C$36</c:f>
              <c:numCache>
                <c:formatCode>0%</c:formatCode>
                <c:ptCount val="32"/>
                <c:pt idx="0">
                  <c:v>0.16400000000000001</c:v>
                </c:pt>
                <c:pt idx="1">
                  <c:v>0.10700000000000005</c:v>
                </c:pt>
                <c:pt idx="2">
                  <c:v>0.11</c:v>
                </c:pt>
                <c:pt idx="3">
                  <c:v>0.10700000000000005</c:v>
                </c:pt>
                <c:pt idx="4">
                  <c:v>0.10400000000000002</c:v>
                </c:pt>
                <c:pt idx="5">
                  <c:v>9.5000000000000043E-2</c:v>
                </c:pt>
                <c:pt idx="6">
                  <c:v>8.5000000000000006E-2</c:v>
                </c:pt>
                <c:pt idx="7">
                  <c:v>0.10400000000000002</c:v>
                </c:pt>
                <c:pt idx="8">
                  <c:v>0.10100000000000002</c:v>
                </c:pt>
                <c:pt idx="9">
                  <c:v>9.9000000000000046E-2</c:v>
                </c:pt>
                <c:pt idx="10">
                  <c:v>8.5000000000000006E-2</c:v>
                </c:pt>
                <c:pt idx="11">
                  <c:v>9.8000000000000087E-2</c:v>
                </c:pt>
                <c:pt idx="12">
                  <c:v>9.0000000000000024E-2</c:v>
                </c:pt>
                <c:pt idx="13">
                  <c:v>9.0000000000000024E-2</c:v>
                </c:pt>
                <c:pt idx="14">
                  <c:v>9.0000000000000024E-2</c:v>
                </c:pt>
                <c:pt idx="15">
                  <c:v>8.9000000000000065E-2</c:v>
                </c:pt>
                <c:pt idx="16">
                  <c:v>8.6000000000000021E-2</c:v>
                </c:pt>
                <c:pt idx="17">
                  <c:v>0.10600000000000002</c:v>
                </c:pt>
                <c:pt idx="18">
                  <c:v>9.0000000000000024E-2</c:v>
                </c:pt>
                <c:pt idx="19">
                  <c:v>7.5999999999999998E-2</c:v>
                </c:pt>
                <c:pt idx="20">
                  <c:v>6.4000000000000057E-2</c:v>
                </c:pt>
                <c:pt idx="21">
                  <c:v>8.5000000000000006E-2</c:v>
                </c:pt>
                <c:pt idx="22">
                  <c:v>7.8000000000000014E-2</c:v>
                </c:pt>
                <c:pt idx="23">
                  <c:v>7.0000000000000021E-2</c:v>
                </c:pt>
                <c:pt idx="24">
                  <c:v>6.9000000000000034E-2</c:v>
                </c:pt>
                <c:pt idx="25">
                  <c:v>6.3E-2</c:v>
                </c:pt>
                <c:pt idx="26">
                  <c:v>7.0999999999999994E-2</c:v>
                </c:pt>
                <c:pt idx="27">
                  <c:v>6.8000000000000019E-2</c:v>
                </c:pt>
                <c:pt idx="28">
                  <c:v>6.4000000000000057E-2</c:v>
                </c:pt>
                <c:pt idx="29">
                  <c:v>6.0000000000000032E-2</c:v>
                </c:pt>
                <c:pt idx="30">
                  <c:v>4.9000000000000037E-2</c:v>
                </c:pt>
                <c:pt idx="31">
                  <c:v>5.1000000000000004E-2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875840"/>
        <c:axId val="338758464"/>
      </c:lineChart>
      <c:catAx>
        <c:axId val="3238758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338758464"/>
        <c:crosses val="autoZero"/>
        <c:auto val="1"/>
        <c:lblAlgn val="ctr"/>
        <c:lblOffset val="100"/>
        <c:noMultiLvlLbl val="0"/>
      </c:catAx>
      <c:valAx>
        <c:axId val="338758464"/>
        <c:scaling>
          <c:orientation val="minMax"/>
          <c:max val="0.13500000000000001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323875840"/>
        <c:crosses val="autoZero"/>
        <c:crossBetween val="between"/>
        <c:majorUnit val="1.0000000000000005E-2"/>
        <c:minorUnit val="1.0000000000000011E-3"/>
      </c:val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graf4.4!$B$3</c:f>
              <c:strCache>
                <c:ptCount val="1"/>
                <c:pt idx="0">
                  <c:v> Vládní rozpočty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953735"/>
              </a:solidFill>
            </a:ln>
          </c:spPr>
          <c:invertIfNegative val="0"/>
          <c:dPt>
            <c:idx val="19"/>
            <c:invertIfNegative val="0"/>
            <c:bubble3D val="0"/>
            <c:spPr>
              <a:solidFill>
                <a:srgbClr val="B02E44"/>
              </a:solidFill>
              <a:ln>
                <a:solidFill>
                  <a:srgbClr val="953735"/>
                </a:solidFill>
              </a:ln>
            </c:spPr>
          </c:dPt>
          <c:cat>
            <c:strRef>
              <c:f>graf4.4!$A$4:$A$36</c:f>
              <c:strCache>
                <c:ptCount val="33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Japonsko</c:v>
                </c:pt>
                <c:pt idx="4">
                  <c:v>Švédsko</c:v>
                </c:pt>
                <c:pt idx="5">
                  <c:v>Česká republika</c:v>
                </c:pt>
                <c:pt idx="6">
                  <c:v>Lucembursko</c:v>
                </c:pt>
                <c:pt idx="7">
                  <c:v>Island</c:v>
                </c:pt>
                <c:pt idx="8">
                  <c:v>Nizozemí</c:v>
                </c:pt>
                <c:pt idx="9">
                  <c:v>Slovenská republika</c:v>
                </c:pt>
                <c:pt idx="10">
                  <c:v>Velká Británie</c:v>
                </c:pt>
                <c:pt idx="11">
                  <c:v>Nový Zéland</c:v>
                </c:pt>
                <c:pt idx="12">
                  <c:v>Francie</c:v>
                </c:pt>
                <c:pt idx="13">
                  <c:v>Turecko</c:v>
                </c:pt>
                <c:pt idx="14">
                  <c:v>Belgie</c:v>
                </c:pt>
                <c:pt idx="15">
                  <c:v>Estonsko</c:v>
                </c:pt>
                <c:pt idx="16">
                  <c:v>Rakousko</c:v>
                </c:pt>
                <c:pt idx="17">
                  <c:v>Itálie</c:v>
                </c:pt>
                <c:pt idx="18">
                  <c:v>Finsko</c:v>
                </c:pt>
                <c:pt idx="19">
                  <c:v>OECD35</c:v>
                </c:pt>
                <c:pt idx="20">
                  <c:v>Slovinsko</c:v>
                </c:pt>
                <c:pt idx="21">
                  <c:v>Španělsko</c:v>
                </c:pt>
                <c:pt idx="22">
                  <c:v>Kanada</c:v>
                </c:pt>
                <c:pt idx="23">
                  <c:v>Irsko</c:v>
                </c:pt>
                <c:pt idx="24">
                  <c:v>Polsko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Izrael</c:v>
                </c:pt>
                <c:pt idx="29">
                  <c:v>Řecko</c:v>
                </c:pt>
                <c:pt idx="30">
                  <c:v>Lotyšsko</c:v>
                </c:pt>
                <c:pt idx="31">
                  <c:v>Mexiko</c:v>
                </c:pt>
                <c:pt idx="32">
                  <c:v>Spojené státy</c:v>
                </c:pt>
              </c:strCache>
            </c:strRef>
          </c:cat>
          <c:val>
            <c:numRef>
              <c:f>graf4.4!$B$4:$B$36</c:f>
              <c:numCache>
                <c:formatCode>0%</c:formatCode>
                <c:ptCount val="33"/>
                <c:pt idx="0">
                  <c:v>0.74000000000000044</c:v>
                </c:pt>
                <c:pt idx="1">
                  <c:v>7.0000000000000021E-2</c:v>
                </c:pt>
                <c:pt idx="2">
                  <c:v>0.84000000000000041</c:v>
                </c:pt>
                <c:pt idx="3">
                  <c:v>9.0000000000000024E-2</c:v>
                </c:pt>
                <c:pt idx="4">
                  <c:v>0.84000000000000041</c:v>
                </c:pt>
                <c:pt idx="5">
                  <c:v>0.12000000000000002</c:v>
                </c:pt>
                <c:pt idx="6">
                  <c:v>9.0000000000000024E-2</c:v>
                </c:pt>
                <c:pt idx="7">
                  <c:v>0.52</c:v>
                </c:pt>
                <c:pt idx="8">
                  <c:v>9.0000000000000024E-2</c:v>
                </c:pt>
                <c:pt idx="9">
                  <c:v>4.0000000000000022E-2</c:v>
                </c:pt>
                <c:pt idx="10">
                  <c:v>0.8</c:v>
                </c:pt>
                <c:pt idx="11">
                  <c:v>0.71000000000000041</c:v>
                </c:pt>
                <c:pt idx="12">
                  <c:v>4.0000000000000022E-2</c:v>
                </c:pt>
                <c:pt idx="13">
                  <c:v>0.22</c:v>
                </c:pt>
                <c:pt idx="14">
                  <c:v>0.1800000000000001</c:v>
                </c:pt>
                <c:pt idx="15">
                  <c:v>0.11</c:v>
                </c:pt>
                <c:pt idx="16">
                  <c:v>0.31000000000000022</c:v>
                </c:pt>
                <c:pt idx="17">
                  <c:v>0.75000000000000044</c:v>
                </c:pt>
                <c:pt idx="18">
                  <c:v>0.61000000000000043</c:v>
                </c:pt>
                <c:pt idx="19">
                  <c:v>0.36000000000000021</c:v>
                </c:pt>
                <c:pt idx="20">
                  <c:v>3.0000000000000002E-2</c:v>
                </c:pt>
                <c:pt idx="21">
                  <c:v>0.66000000000000059</c:v>
                </c:pt>
                <c:pt idx="22">
                  <c:v>0.69000000000000039</c:v>
                </c:pt>
                <c:pt idx="23">
                  <c:v>0.7000000000000004</c:v>
                </c:pt>
                <c:pt idx="24">
                  <c:v>9.0000000000000024E-2</c:v>
                </c:pt>
                <c:pt idx="25">
                  <c:v>0.11</c:v>
                </c:pt>
                <c:pt idx="26">
                  <c:v>0.65000000000000058</c:v>
                </c:pt>
                <c:pt idx="27">
                  <c:v>0.22</c:v>
                </c:pt>
                <c:pt idx="28">
                  <c:v>0.17</c:v>
                </c:pt>
                <c:pt idx="29">
                  <c:v>0.30000000000000021</c:v>
                </c:pt>
                <c:pt idx="30">
                  <c:v>0.56999999999999995</c:v>
                </c:pt>
                <c:pt idx="31">
                  <c:v>0.2400000000000001</c:v>
                </c:pt>
                <c:pt idx="3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graf4.4!$C$3</c:f>
              <c:strCache>
                <c:ptCount val="1"/>
                <c:pt idx="0">
                  <c:v>Veřejné pojištění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376092"/>
              </a:solidFill>
            </a:ln>
          </c:spPr>
          <c:invertIfNegative val="0"/>
          <c:dPt>
            <c:idx val="19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solidFill>
                  <a:srgbClr val="376092"/>
                </a:solidFill>
              </a:ln>
            </c:spPr>
          </c:dPt>
          <c:cat>
            <c:strRef>
              <c:f>graf4.4!$A$4:$A$36</c:f>
              <c:strCache>
                <c:ptCount val="33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Japonsko</c:v>
                </c:pt>
                <c:pt idx="4">
                  <c:v>Švédsko</c:v>
                </c:pt>
                <c:pt idx="5">
                  <c:v>Česká republika</c:v>
                </c:pt>
                <c:pt idx="6">
                  <c:v>Lucembursko</c:v>
                </c:pt>
                <c:pt idx="7">
                  <c:v>Island</c:v>
                </c:pt>
                <c:pt idx="8">
                  <c:v>Nizozemí</c:v>
                </c:pt>
                <c:pt idx="9">
                  <c:v>Slovenská republika</c:v>
                </c:pt>
                <c:pt idx="10">
                  <c:v>Velká Británie</c:v>
                </c:pt>
                <c:pt idx="11">
                  <c:v>Nový Zéland</c:v>
                </c:pt>
                <c:pt idx="12">
                  <c:v>Francie</c:v>
                </c:pt>
                <c:pt idx="13">
                  <c:v>Turecko</c:v>
                </c:pt>
                <c:pt idx="14">
                  <c:v>Belgie</c:v>
                </c:pt>
                <c:pt idx="15">
                  <c:v>Estonsko</c:v>
                </c:pt>
                <c:pt idx="16">
                  <c:v>Rakousko</c:v>
                </c:pt>
                <c:pt idx="17">
                  <c:v>Itálie</c:v>
                </c:pt>
                <c:pt idx="18">
                  <c:v>Finsko</c:v>
                </c:pt>
                <c:pt idx="19">
                  <c:v>OECD35</c:v>
                </c:pt>
                <c:pt idx="20">
                  <c:v>Slovinsko</c:v>
                </c:pt>
                <c:pt idx="21">
                  <c:v>Španělsko</c:v>
                </c:pt>
                <c:pt idx="22">
                  <c:v>Kanada</c:v>
                </c:pt>
                <c:pt idx="23">
                  <c:v>Irsko</c:v>
                </c:pt>
                <c:pt idx="24">
                  <c:v>Polsko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Izrael</c:v>
                </c:pt>
                <c:pt idx="29">
                  <c:v>Řecko</c:v>
                </c:pt>
                <c:pt idx="30">
                  <c:v>Lotyšsko</c:v>
                </c:pt>
                <c:pt idx="31">
                  <c:v>Mexiko</c:v>
                </c:pt>
                <c:pt idx="32">
                  <c:v>Spojené státy</c:v>
                </c:pt>
              </c:strCache>
            </c:strRef>
          </c:cat>
          <c:val>
            <c:numRef>
              <c:f>graf4.4!$C$4:$C$36</c:f>
              <c:numCache>
                <c:formatCode>0%</c:formatCode>
                <c:ptCount val="33"/>
                <c:pt idx="0">
                  <c:v>0.11</c:v>
                </c:pt>
                <c:pt idx="1">
                  <c:v>0.78</c:v>
                </c:pt>
                <c:pt idx="2">
                  <c:v>0</c:v>
                </c:pt>
                <c:pt idx="3">
                  <c:v>0.75000000000000044</c:v>
                </c:pt>
                <c:pt idx="4">
                  <c:v>0</c:v>
                </c:pt>
                <c:pt idx="5">
                  <c:v>0.7000000000000004</c:v>
                </c:pt>
                <c:pt idx="6">
                  <c:v>0.73000000000000043</c:v>
                </c:pt>
                <c:pt idx="7">
                  <c:v>0.2900000000000002</c:v>
                </c:pt>
                <c:pt idx="8">
                  <c:v>0.71000000000000041</c:v>
                </c:pt>
                <c:pt idx="9">
                  <c:v>0.75000000000000044</c:v>
                </c:pt>
                <c:pt idx="10">
                  <c:v>0</c:v>
                </c:pt>
                <c:pt idx="11">
                  <c:v>9.0000000000000024E-2</c:v>
                </c:pt>
                <c:pt idx="12">
                  <c:v>0.75000000000000044</c:v>
                </c:pt>
                <c:pt idx="13">
                  <c:v>0.56000000000000005</c:v>
                </c:pt>
                <c:pt idx="14">
                  <c:v>0.59</c:v>
                </c:pt>
                <c:pt idx="15">
                  <c:v>0.65000000000000058</c:v>
                </c:pt>
                <c:pt idx="16">
                  <c:v>0.45</c:v>
                </c:pt>
                <c:pt idx="17">
                  <c:v>0</c:v>
                </c:pt>
                <c:pt idx="18">
                  <c:v>0.13</c:v>
                </c:pt>
                <c:pt idx="19">
                  <c:v>0.36000000000000021</c:v>
                </c:pt>
                <c:pt idx="20">
                  <c:v>0.69000000000000039</c:v>
                </c:pt>
                <c:pt idx="21">
                  <c:v>0.05</c:v>
                </c:pt>
                <c:pt idx="22">
                  <c:v>1.0000000000000005E-2</c:v>
                </c:pt>
                <c:pt idx="23">
                  <c:v>0</c:v>
                </c:pt>
                <c:pt idx="24">
                  <c:v>0.61000000000000043</c:v>
                </c:pt>
                <c:pt idx="25">
                  <c:v>0.56000000000000005</c:v>
                </c:pt>
                <c:pt idx="26">
                  <c:v>1.0000000000000005E-2</c:v>
                </c:pt>
                <c:pt idx="27">
                  <c:v>0.42000000000000021</c:v>
                </c:pt>
                <c:pt idx="28">
                  <c:v>0.46</c:v>
                </c:pt>
                <c:pt idx="29">
                  <c:v>0.2900000000000002</c:v>
                </c:pt>
                <c:pt idx="30">
                  <c:v>0</c:v>
                </c:pt>
                <c:pt idx="31">
                  <c:v>0.28000000000000008</c:v>
                </c:pt>
                <c:pt idx="32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graf4.4!$D$3</c:f>
              <c:strCache>
                <c:ptCount val="1"/>
                <c:pt idx="0">
                  <c:v>Domácnosti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77933C"/>
              </a:solidFill>
            </a:ln>
          </c:spPr>
          <c:invertIfNegative val="0"/>
          <c:dPt>
            <c:idx val="19"/>
            <c:invertIfNegative val="0"/>
            <c:bubble3D val="0"/>
            <c:spPr>
              <a:solidFill>
                <a:srgbClr val="679E2A"/>
              </a:solidFill>
              <a:ln>
                <a:solidFill>
                  <a:srgbClr val="77933C"/>
                </a:solidFill>
              </a:ln>
            </c:spPr>
          </c:dPt>
          <c:cat>
            <c:strRef>
              <c:f>graf4.4!$A$4:$A$36</c:f>
              <c:strCache>
                <c:ptCount val="33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Japonsko</c:v>
                </c:pt>
                <c:pt idx="4">
                  <c:v>Švédsko</c:v>
                </c:pt>
                <c:pt idx="5">
                  <c:v>Česká republika</c:v>
                </c:pt>
                <c:pt idx="6">
                  <c:v>Lucembursko</c:v>
                </c:pt>
                <c:pt idx="7">
                  <c:v>Island</c:v>
                </c:pt>
                <c:pt idx="8">
                  <c:v>Nizozemí</c:v>
                </c:pt>
                <c:pt idx="9">
                  <c:v>Slovenská republika</c:v>
                </c:pt>
                <c:pt idx="10">
                  <c:v>Velká Británie</c:v>
                </c:pt>
                <c:pt idx="11">
                  <c:v>Nový Zéland</c:v>
                </c:pt>
                <c:pt idx="12">
                  <c:v>Francie</c:v>
                </c:pt>
                <c:pt idx="13">
                  <c:v>Turecko</c:v>
                </c:pt>
                <c:pt idx="14">
                  <c:v>Belgie</c:v>
                </c:pt>
                <c:pt idx="15">
                  <c:v>Estonsko</c:v>
                </c:pt>
                <c:pt idx="16">
                  <c:v>Rakousko</c:v>
                </c:pt>
                <c:pt idx="17">
                  <c:v>Itálie</c:v>
                </c:pt>
                <c:pt idx="18">
                  <c:v>Finsko</c:v>
                </c:pt>
                <c:pt idx="19">
                  <c:v>OECD35</c:v>
                </c:pt>
                <c:pt idx="20">
                  <c:v>Slovinsko</c:v>
                </c:pt>
                <c:pt idx="21">
                  <c:v>Španělsko</c:v>
                </c:pt>
                <c:pt idx="22">
                  <c:v>Kanada</c:v>
                </c:pt>
                <c:pt idx="23">
                  <c:v>Irsko</c:v>
                </c:pt>
                <c:pt idx="24">
                  <c:v>Polsko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Izrael</c:v>
                </c:pt>
                <c:pt idx="29">
                  <c:v>Řecko</c:v>
                </c:pt>
                <c:pt idx="30">
                  <c:v>Lotyšsko</c:v>
                </c:pt>
                <c:pt idx="31">
                  <c:v>Mexiko</c:v>
                </c:pt>
                <c:pt idx="32">
                  <c:v>Spojené státy</c:v>
                </c:pt>
              </c:strCache>
            </c:strRef>
          </c:cat>
          <c:val>
            <c:numRef>
              <c:f>graf4.4!$D$4:$D$36</c:f>
              <c:numCache>
                <c:formatCode>0%</c:formatCode>
                <c:ptCount val="33"/>
                <c:pt idx="0">
                  <c:v>0.14000000000000001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0.13</c:v>
                </c:pt>
                <c:pt idx="4">
                  <c:v>0.15000000000000011</c:v>
                </c:pt>
                <c:pt idx="5">
                  <c:v>0.15000000000000011</c:v>
                </c:pt>
                <c:pt idx="6">
                  <c:v>0.11</c:v>
                </c:pt>
                <c:pt idx="7">
                  <c:v>0.17</c:v>
                </c:pt>
                <c:pt idx="8">
                  <c:v>0.12000000000000002</c:v>
                </c:pt>
                <c:pt idx="9">
                  <c:v>0.1800000000000001</c:v>
                </c:pt>
                <c:pt idx="10">
                  <c:v>0.15000000000000011</c:v>
                </c:pt>
                <c:pt idx="11">
                  <c:v>0.13</c:v>
                </c:pt>
                <c:pt idx="12">
                  <c:v>7.0000000000000021E-2</c:v>
                </c:pt>
                <c:pt idx="13">
                  <c:v>0.17</c:v>
                </c:pt>
                <c:pt idx="14">
                  <c:v>0.1800000000000001</c:v>
                </c:pt>
                <c:pt idx="15">
                  <c:v>0.23</c:v>
                </c:pt>
                <c:pt idx="16">
                  <c:v>0.1800000000000001</c:v>
                </c:pt>
                <c:pt idx="17">
                  <c:v>0.23</c:v>
                </c:pt>
                <c:pt idx="18">
                  <c:v>0.2</c:v>
                </c:pt>
                <c:pt idx="19">
                  <c:v>0.2</c:v>
                </c:pt>
                <c:pt idx="20">
                  <c:v>0.13</c:v>
                </c:pt>
                <c:pt idx="21">
                  <c:v>0.2400000000000001</c:v>
                </c:pt>
                <c:pt idx="22">
                  <c:v>0.15000000000000011</c:v>
                </c:pt>
                <c:pt idx="23">
                  <c:v>0.15000000000000011</c:v>
                </c:pt>
                <c:pt idx="24">
                  <c:v>0.23</c:v>
                </c:pt>
                <c:pt idx="25">
                  <c:v>0.2900000000000002</c:v>
                </c:pt>
                <c:pt idx="26">
                  <c:v>0.28000000000000008</c:v>
                </c:pt>
                <c:pt idx="27">
                  <c:v>0.28000000000000008</c:v>
                </c:pt>
                <c:pt idx="28">
                  <c:v>0.23</c:v>
                </c:pt>
                <c:pt idx="29">
                  <c:v>0.3500000000000002</c:v>
                </c:pt>
                <c:pt idx="30">
                  <c:v>0.42000000000000021</c:v>
                </c:pt>
                <c:pt idx="31">
                  <c:v>0.4100000000000002</c:v>
                </c:pt>
                <c:pt idx="32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graf4.4!$E$3</c:f>
              <c:strCache>
                <c:ptCount val="1"/>
                <c:pt idx="0">
                  <c:v> Soukromé pojištění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E46C0A"/>
              </a:solidFill>
            </a:ln>
          </c:spPr>
          <c:invertIfNegative val="0"/>
          <c:dPt>
            <c:idx val="19"/>
            <c:invertIfNegative val="0"/>
            <c:bubble3D val="0"/>
            <c:spPr>
              <a:solidFill>
                <a:srgbClr val="E46C0A"/>
              </a:solidFill>
              <a:ln>
                <a:solidFill>
                  <a:srgbClr val="E46C0A"/>
                </a:solidFill>
              </a:ln>
            </c:spPr>
          </c:dPt>
          <c:cat>
            <c:strRef>
              <c:f>graf4.4!$A$4:$A$36</c:f>
              <c:strCache>
                <c:ptCount val="33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Japonsko</c:v>
                </c:pt>
                <c:pt idx="4">
                  <c:v>Švédsko</c:v>
                </c:pt>
                <c:pt idx="5">
                  <c:v>Česká republika</c:v>
                </c:pt>
                <c:pt idx="6">
                  <c:v>Lucembursko</c:v>
                </c:pt>
                <c:pt idx="7">
                  <c:v>Island</c:v>
                </c:pt>
                <c:pt idx="8">
                  <c:v>Nizozemí</c:v>
                </c:pt>
                <c:pt idx="9">
                  <c:v>Slovenská republika</c:v>
                </c:pt>
                <c:pt idx="10">
                  <c:v>Velká Británie</c:v>
                </c:pt>
                <c:pt idx="11">
                  <c:v>Nový Zéland</c:v>
                </c:pt>
                <c:pt idx="12">
                  <c:v>Francie</c:v>
                </c:pt>
                <c:pt idx="13">
                  <c:v>Turecko</c:v>
                </c:pt>
                <c:pt idx="14">
                  <c:v>Belgie</c:v>
                </c:pt>
                <c:pt idx="15">
                  <c:v>Estonsko</c:v>
                </c:pt>
                <c:pt idx="16">
                  <c:v>Rakousko</c:v>
                </c:pt>
                <c:pt idx="17">
                  <c:v>Itálie</c:v>
                </c:pt>
                <c:pt idx="18">
                  <c:v>Finsko</c:v>
                </c:pt>
                <c:pt idx="19">
                  <c:v>OECD35</c:v>
                </c:pt>
                <c:pt idx="20">
                  <c:v>Slovinsko</c:v>
                </c:pt>
                <c:pt idx="21">
                  <c:v>Španělsko</c:v>
                </c:pt>
                <c:pt idx="22">
                  <c:v>Kanada</c:v>
                </c:pt>
                <c:pt idx="23">
                  <c:v>Irsko</c:v>
                </c:pt>
                <c:pt idx="24">
                  <c:v>Polsko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Izrael</c:v>
                </c:pt>
                <c:pt idx="29">
                  <c:v>Řecko</c:v>
                </c:pt>
                <c:pt idx="30">
                  <c:v>Lotyšsko</c:v>
                </c:pt>
                <c:pt idx="31">
                  <c:v>Mexiko</c:v>
                </c:pt>
                <c:pt idx="32">
                  <c:v>Spojené státy</c:v>
                </c:pt>
              </c:strCache>
            </c:strRef>
          </c:cat>
          <c:val>
            <c:numRef>
              <c:f>graf4.4!$E$4:$E$36</c:f>
              <c:numCache>
                <c:formatCode>0%</c:formatCode>
                <c:ptCount val="33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2.0000000000000011E-2</c:v>
                </c:pt>
                <c:pt idx="4">
                  <c:v>1.0000000000000005E-2</c:v>
                </c:pt>
                <c:pt idx="5">
                  <c:v>0</c:v>
                </c:pt>
                <c:pt idx="6">
                  <c:v>6.0000000000000032E-2</c:v>
                </c:pt>
                <c:pt idx="7">
                  <c:v>0</c:v>
                </c:pt>
                <c:pt idx="8">
                  <c:v>6.0000000000000032E-2</c:v>
                </c:pt>
                <c:pt idx="9">
                  <c:v>0</c:v>
                </c:pt>
                <c:pt idx="10">
                  <c:v>3.0000000000000002E-2</c:v>
                </c:pt>
                <c:pt idx="11">
                  <c:v>0.05</c:v>
                </c:pt>
                <c:pt idx="12">
                  <c:v>0.14000000000000001</c:v>
                </c:pt>
                <c:pt idx="13">
                  <c:v>0</c:v>
                </c:pt>
                <c:pt idx="14">
                  <c:v>0.05</c:v>
                </c:pt>
                <c:pt idx="15">
                  <c:v>0</c:v>
                </c:pt>
                <c:pt idx="16">
                  <c:v>0.05</c:v>
                </c:pt>
                <c:pt idx="17">
                  <c:v>2.0000000000000011E-2</c:v>
                </c:pt>
                <c:pt idx="18">
                  <c:v>3.0000000000000002E-2</c:v>
                </c:pt>
                <c:pt idx="19">
                  <c:v>6.0000000000000032E-2</c:v>
                </c:pt>
                <c:pt idx="20">
                  <c:v>0.15000000000000011</c:v>
                </c:pt>
                <c:pt idx="21">
                  <c:v>4.0000000000000022E-2</c:v>
                </c:pt>
                <c:pt idx="22">
                  <c:v>0.13</c:v>
                </c:pt>
                <c:pt idx="23">
                  <c:v>0.12000000000000002</c:v>
                </c:pt>
                <c:pt idx="24">
                  <c:v>0.05</c:v>
                </c:pt>
                <c:pt idx="25">
                  <c:v>2.0000000000000011E-2</c:v>
                </c:pt>
                <c:pt idx="26">
                  <c:v>0.05</c:v>
                </c:pt>
                <c:pt idx="27">
                  <c:v>7.0000000000000021E-2</c:v>
                </c:pt>
                <c:pt idx="28">
                  <c:v>0.11</c:v>
                </c:pt>
                <c:pt idx="29">
                  <c:v>4.0000000000000022E-2</c:v>
                </c:pt>
                <c:pt idx="30">
                  <c:v>1.0000000000000005E-2</c:v>
                </c:pt>
                <c:pt idx="31">
                  <c:v>0.05</c:v>
                </c:pt>
                <c:pt idx="32">
                  <c:v>0.3500000000000002</c:v>
                </c:pt>
              </c:numCache>
            </c:numRef>
          </c:val>
        </c:ser>
        <c:ser>
          <c:idx val="4"/>
          <c:order val="4"/>
          <c:tx>
            <c:strRef>
              <c:f>graf4.4!$F$3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rgbClr val="83A5CF"/>
            </a:solidFill>
            <a:ln>
              <a:solidFill>
                <a:srgbClr val="376092"/>
              </a:solidFill>
            </a:ln>
          </c:spPr>
          <c:invertIfNegative val="0"/>
          <c:dPt>
            <c:idx val="19"/>
            <c:invertIfNegative val="0"/>
            <c:bubble3D val="0"/>
            <c:spPr>
              <a:solidFill>
                <a:srgbClr val="77CADB"/>
              </a:solidFill>
              <a:ln>
                <a:solidFill>
                  <a:srgbClr val="376092"/>
                </a:solidFill>
              </a:ln>
            </c:spPr>
          </c:dPt>
          <c:cat>
            <c:strRef>
              <c:f>graf4.4!$A$4:$A$36</c:f>
              <c:strCache>
                <c:ptCount val="33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Japonsko</c:v>
                </c:pt>
                <c:pt idx="4">
                  <c:v>Švédsko</c:v>
                </c:pt>
                <c:pt idx="5">
                  <c:v>Česká republika</c:v>
                </c:pt>
                <c:pt idx="6">
                  <c:v>Lucembursko</c:v>
                </c:pt>
                <c:pt idx="7">
                  <c:v>Island</c:v>
                </c:pt>
                <c:pt idx="8">
                  <c:v>Nizozemí</c:v>
                </c:pt>
                <c:pt idx="9">
                  <c:v>Slovenská republika</c:v>
                </c:pt>
                <c:pt idx="10">
                  <c:v>Velká Británie</c:v>
                </c:pt>
                <c:pt idx="11">
                  <c:v>Nový Zéland</c:v>
                </c:pt>
                <c:pt idx="12">
                  <c:v>Francie</c:v>
                </c:pt>
                <c:pt idx="13">
                  <c:v>Turecko</c:v>
                </c:pt>
                <c:pt idx="14">
                  <c:v>Belgie</c:v>
                </c:pt>
                <c:pt idx="15">
                  <c:v>Estonsko</c:v>
                </c:pt>
                <c:pt idx="16">
                  <c:v>Rakousko</c:v>
                </c:pt>
                <c:pt idx="17">
                  <c:v>Itálie</c:v>
                </c:pt>
                <c:pt idx="18">
                  <c:v>Finsko</c:v>
                </c:pt>
                <c:pt idx="19">
                  <c:v>OECD35</c:v>
                </c:pt>
                <c:pt idx="20">
                  <c:v>Slovinsko</c:v>
                </c:pt>
                <c:pt idx="21">
                  <c:v>Španělsko</c:v>
                </c:pt>
                <c:pt idx="22">
                  <c:v>Kanada</c:v>
                </c:pt>
                <c:pt idx="23">
                  <c:v>Irsko</c:v>
                </c:pt>
                <c:pt idx="24">
                  <c:v>Polsko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Izrael</c:v>
                </c:pt>
                <c:pt idx="29">
                  <c:v>Řecko</c:v>
                </c:pt>
                <c:pt idx="30">
                  <c:v>Lotyšsko</c:v>
                </c:pt>
                <c:pt idx="31">
                  <c:v>Mexiko</c:v>
                </c:pt>
                <c:pt idx="32">
                  <c:v>Spojené státy</c:v>
                </c:pt>
              </c:strCache>
            </c:strRef>
          </c:cat>
          <c:val>
            <c:numRef>
              <c:f>graf4.4!$F$4:$F$36</c:f>
              <c:numCache>
                <c:formatCode>0%</c:formatCode>
                <c:ptCount val="33"/>
                <c:pt idx="0">
                  <c:v>0</c:v>
                </c:pt>
                <c:pt idx="1">
                  <c:v>1.0000000000000005E-2</c:v>
                </c:pt>
                <c:pt idx="2">
                  <c:v>0</c:v>
                </c:pt>
                <c:pt idx="3">
                  <c:v>1.0000000000000005E-2</c:v>
                </c:pt>
                <c:pt idx="4">
                  <c:v>0</c:v>
                </c:pt>
                <c:pt idx="5">
                  <c:v>3.0000000000000002E-2</c:v>
                </c:pt>
                <c:pt idx="6">
                  <c:v>1.0000000000000005E-2</c:v>
                </c:pt>
                <c:pt idx="7">
                  <c:v>2.0000000000000011E-2</c:v>
                </c:pt>
                <c:pt idx="8">
                  <c:v>1.0000000000000005E-2</c:v>
                </c:pt>
                <c:pt idx="9">
                  <c:v>2.0000000000000011E-2</c:v>
                </c:pt>
                <c:pt idx="10">
                  <c:v>2.0000000000000011E-2</c:v>
                </c:pt>
                <c:pt idx="11">
                  <c:v>2.0000000000000011E-2</c:v>
                </c:pt>
                <c:pt idx="12">
                  <c:v>0</c:v>
                </c:pt>
                <c:pt idx="13">
                  <c:v>0.05</c:v>
                </c:pt>
                <c:pt idx="14">
                  <c:v>0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0</c:v>
                </c:pt>
                <c:pt idx="18">
                  <c:v>3.0000000000000002E-2</c:v>
                </c:pt>
                <c:pt idx="19">
                  <c:v>2.0000000000000011E-2</c:v>
                </c:pt>
                <c:pt idx="20">
                  <c:v>0</c:v>
                </c:pt>
                <c:pt idx="21">
                  <c:v>0</c:v>
                </c:pt>
                <c:pt idx="22">
                  <c:v>2.0000000000000011E-2</c:v>
                </c:pt>
                <c:pt idx="23">
                  <c:v>3.0000000000000002E-2</c:v>
                </c:pt>
                <c:pt idx="24">
                  <c:v>2.0000000000000011E-2</c:v>
                </c:pt>
                <c:pt idx="25">
                  <c:v>2.0000000000000011E-2</c:v>
                </c:pt>
                <c:pt idx="26">
                  <c:v>1.0000000000000005E-2</c:v>
                </c:pt>
                <c:pt idx="27">
                  <c:v>1.0000000000000005E-2</c:v>
                </c:pt>
                <c:pt idx="28">
                  <c:v>3.0000000000000002E-2</c:v>
                </c:pt>
                <c:pt idx="29">
                  <c:v>2.0000000000000011E-2</c:v>
                </c:pt>
                <c:pt idx="30">
                  <c:v>0</c:v>
                </c:pt>
                <c:pt idx="31">
                  <c:v>2.0000000000000011E-2</c:v>
                </c:pt>
                <c:pt idx="32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330540544"/>
        <c:axId val="338632704"/>
      </c:barChart>
      <c:catAx>
        <c:axId val="33054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338632704"/>
        <c:crosses val="autoZero"/>
        <c:auto val="1"/>
        <c:lblAlgn val="ctr"/>
        <c:lblOffset val="100"/>
        <c:noMultiLvlLbl val="0"/>
      </c:catAx>
      <c:valAx>
        <c:axId val="338632704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crossAx val="330540544"/>
        <c:crosses val="autoZero"/>
        <c:crossBetween val="between"/>
        <c:majorUnit val="0.1"/>
        <c:minorUnit val="5.0000000000000024E-2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12226764022708979"/>
          <c:y val="0.88595012017521957"/>
          <c:w val="0.75546455204098772"/>
          <c:h val="6.30825403887421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graf4.5!$B$3</c:f>
              <c:strCache>
                <c:ptCount val="1"/>
                <c:pt idx="0">
                  <c:v> Lůžková péče*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943735"/>
              </a:solidFill>
            </a:ln>
          </c:spPr>
          <c:invertIfNegative val="0"/>
          <c:dPt>
            <c:idx val="13"/>
            <c:invertIfNegative val="0"/>
            <c:bubble3D val="0"/>
            <c:spPr>
              <a:solidFill>
                <a:srgbClr val="B02E44"/>
              </a:solidFill>
              <a:ln>
                <a:solidFill>
                  <a:srgbClr val="943735"/>
                </a:solidFill>
              </a:ln>
            </c:spPr>
          </c:dPt>
          <c:cat>
            <c:strRef>
              <c:f>graf4.5!$A$4:$A$34</c:f>
              <c:strCache>
                <c:ptCount val="31"/>
                <c:pt idx="0">
                  <c:v>Portugalsko</c:v>
                </c:pt>
                <c:pt idx="1">
                  <c:v>Izrael</c:v>
                </c:pt>
                <c:pt idx="2">
                  <c:v>Estonsko</c:v>
                </c:pt>
                <c:pt idx="3">
                  <c:v>Polsko</c:v>
                </c:pt>
                <c:pt idx="4">
                  <c:v>Řecko</c:v>
                </c:pt>
                <c:pt idx="5">
                  <c:v>Spojené státy</c:v>
                </c:pt>
                <c:pt idx="6">
                  <c:v>Španělsko</c:v>
                </c:pt>
                <c:pt idx="7">
                  <c:v>Itálie</c:v>
                </c:pt>
                <c:pt idx="8">
                  <c:v>Finsko</c:v>
                </c:pt>
                <c:pt idx="9">
                  <c:v>Rakousko</c:v>
                </c:pt>
                <c:pt idx="10">
                  <c:v>Slovinsko</c:v>
                </c:pt>
                <c:pt idx="11">
                  <c:v>Island</c:v>
                </c:pt>
                <c:pt idx="12">
                  <c:v>Francie</c:v>
                </c:pt>
                <c:pt idx="13">
                  <c:v>OECD</c:v>
                </c:pt>
                <c:pt idx="14">
                  <c:v>Lotyšsko</c:v>
                </c:pt>
                <c:pt idx="15">
                  <c:v>Dánsko</c:v>
                </c:pt>
                <c:pt idx="16">
                  <c:v>Mexiko</c:v>
                </c:pt>
                <c:pt idx="17">
                  <c:v>Slovenská republika</c:v>
                </c:pt>
                <c:pt idx="18">
                  <c:v>Česká republika</c:v>
                </c:pt>
                <c:pt idx="19">
                  <c:v>Maďarsko</c:v>
                </c:pt>
                <c:pt idx="20">
                  <c:v>Luxembourg</c:v>
                </c:pt>
                <c:pt idx="21">
                  <c:v>Velká Británie</c:v>
                </c:pt>
                <c:pt idx="22">
                  <c:v>Norsko</c:v>
                </c:pt>
                <c:pt idx="23">
                  <c:v>Japonsko</c:v>
                </c:pt>
                <c:pt idx="24">
                  <c:v>Irsko</c:v>
                </c:pt>
                <c:pt idx="25">
                  <c:v>Německo</c:v>
                </c:pt>
                <c:pt idx="26">
                  <c:v>Švýcarsko</c:v>
                </c:pt>
                <c:pt idx="27">
                  <c:v>Švédsko</c:v>
                </c:pt>
                <c:pt idx="28">
                  <c:v>Kanada</c:v>
                </c:pt>
                <c:pt idx="29">
                  <c:v>Belgie</c:v>
                </c:pt>
                <c:pt idx="30">
                  <c:v>Nizozemsko</c:v>
                </c:pt>
              </c:strCache>
            </c:strRef>
          </c:cat>
          <c:val>
            <c:numRef>
              <c:f>graf4.5!$B$4:$B$34</c:f>
              <c:numCache>
                <c:formatCode>0</c:formatCode>
                <c:ptCount val="31"/>
                <c:pt idx="0">
                  <c:v>26</c:v>
                </c:pt>
                <c:pt idx="1">
                  <c:v>26</c:v>
                </c:pt>
                <c:pt idx="2">
                  <c:v>27</c:v>
                </c:pt>
                <c:pt idx="3">
                  <c:v>36</c:v>
                </c:pt>
                <c:pt idx="4">
                  <c:v>40</c:v>
                </c:pt>
                <c:pt idx="5">
                  <c:v>17</c:v>
                </c:pt>
                <c:pt idx="6">
                  <c:v>26</c:v>
                </c:pt>
                <c:pt idx="7">
                  <c:v>32</c:v>
                </c:pt>
                <c:pt idx="8">
                  <c:v>26</c:v>
                </c:pt>
                <c:pt idx="9">
                  <c:v>34</c:v>
                </c:pt>
                <c:pt idx="10">
                  <c:v>30</c:v>
                </c:pt>
                <c:pt idx="11">
                  <c:v>31</c:v>
                </c:pt>
                <c:pt idx="12">
                  <c:v>33</c:v>
                </c:pt>
                <c:pt idx="13">
                  <c:v>28</c:v>
                </c:pt>
                <c:pt idx="14">
                  <c:v>27</c:v>
                </c:pt>
                <c:pt idx="15">
                  <c:v>26</c:v>
                </c:pt>
                <c:pt idx="16">
                  <c:v>26</c:v>
                </c:pt>
                <c:pt idx="17">
                  <c:v>29</c:v>
                </c:pt>
                <c:pt idx="18">
                  <c:v>26</c:v>
                </c:pt>
                <c:pt idx="19">
                  <c:v>29</c:v>
                </c:pt>
                <c:pt idx="20">
                  <c:v>28</c:v>
                </c:pt>
                <c:pt idx="21">
                  <c:v>29</c:v>
                </c:pt>
                <c:pt idx="22">
                  <c:v>29</c:v>
                </c:pt>
                <c:pt idx="23">
                  <c:v>28</c:v>
                </c:pt>
                <c:pt idx="24">
                  <c:v>31</c:v>
                </c:pt>
                <c:pt idx="25">
                  <c:v>28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30</c:v>
                </c:pt>
                <c:pt idx="30">
                  <c:v>26</c:v>
                </c:pt>
              </c:numCache>
            </c:numRef>
          </c:val>
        </c:ser>
        <c:ser>
          <c:idx val="1"/>
          <c:order val="1"/>
          <c:tx>
            <c:strRef>
              <c:f>graf4.5!$C$3</c:f>
              <c:strCache>
                <c:ptCount val="1"/>
                <c:pt idx="0">
                  <c:v> Ambulantní péče**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376092"/>
              </a:solidFill>
            </a:ln>
          </c:spPr>
          <c:invertIfNegative val="0"/>
          <c:dPt>
            <c:idx val="13"/>
            <c:invertIfNegative val="0"/>
            <c:bubble3D val="0"/>
            <c:spPr>
              <a:solidFill>
                <a:srgbClr val="376092"/>
              </a:solidFill>
              <a:ln>
                <a:solidFill>
                  <a:srgbClr val="376092"/>
                </a:solidFill>
              </a:ln>
            </c:spPr>
          </c:dPt>
          <c:cat>
            <c:strRef>
              <c:f>graf4.5!$A$4:$A$34</c:f>
              <c:strCache>
                <c:ptCount val="31"/>
                <c:pt idx="0">
                  <c:v>Portugalsko</c:v>
                </c:pt>
                <c:pt idx="1">
                  <c:v>Izrael</c:v>
                </c:pt>
                <c:pt idx="2">
                  <c:v>Estonsko</c:v>
                </c:pt>
                <c:pt idx="3">
                  <c:v>Polsko</c:v>
                </c:pt>
                <c:pt idx="4">
                  <c:v>Řecko</c:v>
                </c:pt>
                <c:pt idx="5">
                  <c:v>Spojené státy</c:v>
                </c:pt>
                <c:pt idx="6">
                  <c:v>Španělsko</c:v>
                </c:pt>
                <c:pt idx="7">
                  <c:v>Itálie</c:v>
                </c:pt>
                <c:pt idx="8">
                  <c:v>Finsko</c:v>
                </c:pt>
                <c:pt idx="9">
                  <c:v>Rakousko</c:v>
                </c:pt>
                <c:pt idx="10">
                  <c:v>Slovinsko</c:v>
                </c:pt>
                <c:pt idx="11">
                  <c:v>Island</c:v>
                </c:pt>
                <c:pt idx="12">
                  <c:v>Francie</c:v>
                </c:pt>
                <c:pt idx="13">
                  <c:v>OECD</c:v>
                </c:pt>
                <c:pt idx="14">
                  <c:v>Lotyšsko</c:v>
                </c:pt>
                <c:pt idx="15">
                  <c:v>Dánsko</c:v>
                </c:pt>
                <c:pt idx="16">
                  <c:v>Mexiko</c:v>
                </c:pt>
                <c:pt idx="17">
                  <c:v>Slovenská republika</c:v>
                </c:pt>
                <c:pt idx="18">
                  <c:v>Česká republika</c:v>
                </c:pt>
                <c:pt idx="19">
                  <c:v>Maďarsko</c:v>
                </c:pt>
                <c:pt idx="20">
                  <c:v>Luxembourg</c:v>
                </c:pt>
                <c:pt idx="21">
                  <c:v>Velká Británie</c:v>
                </c:pt>
                <c:pt idx="22">
                  <c:v>Norsko</c:v>
                </c:pt>
                <c:pt idx="23">
                  <c:v>Japonsko</c:v>
                </c:pt>
                <c:pt idx="24">
                  <c:v>Irsko</c:v>
                </c:pt>
                <c:pt idx="25">
                  <c:v>Německo</c:v>
                </c:pt>
                <c:pt idx="26">
                  <c:v>Švýcarsko</c:v>
                </c:pt>
                <c:pt idx="27">
                  <c:v>Švédsko</c:v>
                </c:pt>
                <c:pt idx="28">
                  <c:v>Kanada</c:v>
                </c:pt>
                <c:pt idx="29">
                  <c:v>Belgie</c:v>
                </c:pt>
                <c:pt idx="30">
                  <c:v>Nizozemsko</c:v>
                </c:pt>
              </c:strCache>
            </c:strRef>
          </c:cat>
          <c:val>
            <c:numRef>
              <c:f>graf4.5!$C$4:$C$34</c:f>
              <c:numCache>
                <c:formatCode>0</c:formatCode>
                <c:ptCount val="31"/>
                <c:pt idx="0">
                  <c:v>48</c:v>
                </c:pt>
                <c:pt idx="1">
                  <c:v>46</c:v>
                </c:pt>
                <c:pt idx="2">
                  <c:v>41</c:v>
                </c:pt>
                <c:pt idx="3">
                  <c:v>30</c:v>
                </c:pt>
                <c:pt idx="4">
                  <c:v>25</c:v>
                </c:pt>
                <c:pt idx="5">
                  <c:v>47</c:v>
                </c:pt>
                <c:pt idx="6">
                  <c:v>38</c:v>
                </c:pt>
                <c:pt idx="7">
                  <c:v>31</c:v>
                </c:pt>
                <c:pt idx="8">
                  <c:v>38</c:v>
                </c:pt>
                <c:pt idx="9">
                  <c:v>28</c:v>
                </c:pt>
                <c:pt idx="10">
                  <c:v>32</c:v>
                </c:pt>
                <c:pt idx="11">
                  <c:v>30</c:v>
                </c:pt>
                <c:pt idx="12">
                  <c:v>28</c:v>
                </c:pt>
                <c:pt idx="13">
                  <c:v>33</c:v>
                </c:pt>
                <c:pt idx="14">
                  <c:v>33</c:v>
                </c:pt>
                <c:pt idx="15">
                  <c:v>34</c:v>
                </c:pt>
                <c:pt idx="16">
                  <c:v>34</c:v>
                </c:pt>
                <c:pt idx="17">
                  <c:v>30</c:v>
                </c:pt>
                <c:pt idx="18">
                  <c:v>33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29</c:v>
                </c:pt>
                <c:pt idx="23">
                  <c:v>29</c:v>
                </c:pt>
                <c:pt idx="24">
                  <c:v>26</c:v>
                </c:pt>
                <c:pt idx="25">
                  <c:v>28</c:v>
                </c:pt>
                <c:pt idx="26">
                  <c:v>34</c:v>
                </c:pt>
                <c:pt idx="27">
                  <c:v>33</c:v>
                </c:pt>
                <c:pt idx="28">
                  <c:v>34</c:v>
                </c:pt>
                <c:pt idx="29">
                  <c:v>24</c:v>
                </c:pt>
                <c:pt idx="30">
                  <c:v>28</c:v>
                </c:pt>
              </c:numCache>
            </c:numRef>
          </c:val>
        </c:ser>
        <c:ser>
          <c:idx val="2"/>
          <c:order val="2"/>
          <c:tx>
            <c:strRef>
              <c:f>graf4.5!$D$3</c:f>
              <c:strCache>
                <c:ptCount val="1"/>
                <c:pt idx="0">
                  <c:v> Léky a zdravotnické potřeby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77933C"/>
              </a:solidFill>
            </a:ln>
          </c:spPr>
          <c:invertIfNegative val="0"/>
          <c:dPt>
            <c:idx val="13"/>
            <c:invertIfNegative val="0"/>
            <c:bubble3D val="0"/>
            <c:spPr>
              <a:solidFill>
                <a:srgbClr val="679E2A"/>
              </a:solidFill>
              <a:ln>
                <a:solidFill>
                  <a:srgbClr val="77933C"/>
                </a:solidFill>
              </a:ln>
            </c:spPr>
          </c:dPt>
          <c:cat>
            <c:strRef>
              <c:f>graf4.5!$A$4:$A$34</c:f>
              <c:strCache>
                <c:ptCount val="31"/>
                <c:pt idx="0">
                  <c:v>Portugalsko</c:v>
                </c:pt>
                <c:pt idx="1">
                  <c:v>Izrael</c:v>
                </c:pt>
                <c:pt idx="2">
                  <c:v>Estonsko</c:v>
                </c:pt>
                <c:pt idx="3">
                  <c:v>Polsko</c:v>
                </c:pt>
                <c:pt idx="4">
                  <c:v>Řecko</c:v>
                </c:pt>
                <c:pt idx="5">
                  <c:v>Spojené státy</c:v>
                </c:pt>
                <c:pt idx="6">
                  <c:v>Španělsko</c:v>
                </c:pt>
                <c:pt idx="7">
                  <c:v>Itálie</c:v>
                </c:pt>
                <c:pt idx="8">
                  <c:v>Finsko</c:v>
                </c:pt>
                <c:pt idx="9">
                  <c:v>Rakousko</c:v>
                </c:pt>
                <c:pt idx="10">
                  <c:v>Slovinsko</c:v>
                </c:pt>
                <c:pt idx="11">
                  <c:v>Island</c:v>
                </c:pt>
                <c:pt idx="12">
                  <c:v>Francie</c:v>
                </c:pt>
                <c:pt idx="13">
                  <c:v>OECD</c:v>
                </c:pt>
                <c:pt idx="14">
                  <c:v>Lotyšsko</c:v>
                </c:pt>
                <c:pt idx="15">
                  <c:v>Dánsko</c:v>
                </c:pt>
                <c:pt idx="16">
                  <c:v>Mexiko</c:v>
                </c:pt>
                <c:pt idx="17">
                  <c:v>Slovenská republika</c:v>
                </c:pt>
                <c:pt idx="18">
                  <c:v>Česká republika</c:v>
                </c:pt>
                <c:pt idx="19">
                  <c:v>Maďarsko</c:v>
                </c:pt>
                <c:pt idx="20">
                  <c:v>Luxembourg</c:v>
                </c:pt>
                <c:pt idx="21">
                  <c:v>Velká Británie</c:v>
                </c:pt>
                <c:pt idx="22">
                  <c:v>Norsko</c:v>
                </c:pt>
                <c:pt idx="23">
                  <c:v>Japonsko</c:v>
                </c:pt>
                <c:pt idx="24">
                  <c:v>Irsko</c:v>
                </c:pt>
                <c:pt idx="25">
                  <c:v>Německo</c:v>
                </c:pt>
                <c:pt idx="26">
                  <c:v>Švýcarsko</c:v>
                </c:pt>
                <c:pt idx="27">
                  <c:v>Švédsko</c:v>
                </c:pt>
                <c:pt idx="28">
                  <c:v>Kanada</c:v>
                </c:pt>
                <c:pt idx="29">
                  <c:v>Belgie</c:v>
                </c:pt>
                <c:pt idx="30">
                  <c:v>Nizozemsko</c:v>
                </c:pt>
              </c:strCache>
            </c:strRef>
          </c:cat>
          <c:val>
            <c:numRef>
              <c:f>graf4.5!$D$4:$D$34</c:f>
              <c:numCache>
                <c:formatCode>0</c:formatCode>
                <c:ptCount val="31"/>
                <c:pt idx="0">
                  <c:v>20</c:v>
                </c:pt>
                <c:pt idx="1">
                  <c:v>14</c:v>
                </c:pt>
                <c:pt idx="2">
                  <c:v>21</c:v>
                </c:pt>
                <c:pt idx="3">
                  <c:v>23</c:v>
                </c:pt>
                <c:pt idx="4">
                  <c:v>28</c:v>
                </c:pt>
                <c:pt idx="5">
                  <c:v>14</c:v>
                </c:pt>
                <c:pt idx="6">
                  <c:v>22</c:v>
                </c:pt>
                <c:pt idx="7">
                  <c:v>21</c:v>
                </c:pt>
                <c:pt idx="8">
                  <c:v>15</c:v>
                </c:pt>
                <c:pt idx="9">
                  <c:v>17</c:v>
                </c:pt>
                <c:pt idx="10">
                  <c:v>22</c:v>
                </c:pt>
                <c:pt idx="11">
                  <c:v>14</c:v>
                </c:pt>
                <c:pt idx="12">
                  <c:v>20</c:v>
                </c:pt>
                <c:pt idx="13">
                  <c:v>19</c:v>
                </c:pt>
                <c:pt idx="14">
                  <c:v>30</c:v>
                </c:pt>
                <c:pt idx="15">
                  <c:v>10</c:v>
                </c:pt>
                <c:pt idx="16">
                  <c:v>30</c:v>
                </c:pt>
                <c:pt idx="17">
                  <c:v>35</c:v>
                </c:pt>
                <c:pt idx="18">
                  <c:v>20</c:v>
                </c:pt>
                <c:pt idx="19">
                  <c:v>32</c:v>
                </c:pt>
                <c:pt idx="20">
                  <c:v>11</c:v>
                </c:pt>
                <c:pt idx="21">
                  <c:v>14</c:v>
                </c:pt>
                <c:pt idx="22">
                  <c:v>11</c:v>
                </c:pt>
                <c:pt idx="23">
                  <c:v>20</c:v>
                </c:pt>
                <c:pt idx="24">
                  <c:v>14</c:v>
                </c:pt>
                <c:pt idx="25">
                  <c:v>20</c:v>
                </c:pt>
                <c:pt idx="26">
                  <c:v>16</c:v>
                </c:pt>
                <c:pt idx="27">
                  <c:v>12</c:v>
                </c:pt>
                <c:pt idx="28">
                  <c:v>20</c:v>
                </c:pt>
                <c:pt idx="29">
                  <c:v>16</c:v>
                </c:pt>
                <c:pt idx="30">
                  <c:v>13</c:v>
                </c:pt>
              </c:numCache>
            </c:numRef>
          </c:val>
        </c:ser>
        <c:ser>
          <c:idx val="3"/>
          <c:order val="3"/>
          <c:tx>
            <c:strRef>
              <c:f>graf4.5!$E$3</c:f>
              <c:strCache>
                <c:ptCount val="1"/>
                <c:pt idx="0">
                  <c:v> Dlouhodobá péče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E46C0A"/>
              </a:solidFill>
            </a:ln>
          </c:spPr>
          <c:invertIfNegative val="0"/>
          <c:dPt>
            <c:idx val="13"/>
            <c:invertIfNegative val="0"/>
            <c:bubble3D val="0"/>
            <c:spPr>
              <a:solidFill>
                <a:srgbClr val="E46C0A"/>
              </a:solidFill>
              <a:ln>
                <a:solidFill>
                  <a:srgbClr val="E46C0A"/>
                </a:solidFill>
              </a:ln>
            </c:spPr>
          </c:dPt>
          <c:cat>
            <c:strRef>
              <c:f>graf4.5!$A$4:$A$34</c:f>
              <c:strCache>
                <c:ptCount val="31"/>
                <c:pt idx="0">
                  <c:v>Portugalsko</c:v>
                </c:pt>
                <c:pt idx="1">
                  <c:v>Izrael</c:v>
                </c:pt>
                <c:pt idx="2">
                  <c:v>Estonsko</c:v>
                </c:pt>
                <c:pt idx="3">
                  <c:v>Polsko</c:v>
                </c:pt>
                <c:pt idx="4">
                  <c:v>Řecko</c:v>
                </c:pt>
                <c:pt idx="5">
                  <c:v>Spojené státy</c:v>
                </c:pt>
                <c:pt idx="6">
                  <c:v>Španělsko</c:v>
                </c:pt>
                <c:pt idx="7">
                  <c:v>Itálie</c:v>
                </c:pt>
                <c:pt idx="8">
                  <c:v>Finsko</c:v>
                </c:pt>
                <c:pt idx="9">
                  <c:v>Rakousko</c:v>
                </c:pt>
                <c:pt idx="10">
                  <c:v>Slovinsko</c:v>
                </c:pt>
                <c:pt idx="11">
                  <c:v>Island</c:v>
                </c:pt>
                <c:pt idx="12">
                  <c:v>Francie</c:v>
                </c:pt>
                <c:pt idx="13">
                  <c:v>OECD</c:v>
                </c:pt>
                <c:pt idx="14">
                  <c:v>Lotyšsko</c:v>
                </c:pt>
                <c:pt idx="15">
                  <c:v>Dánsko</c:v>
                </c:pt>
                <c:pt idx="16">
                  <c:v>Mexiko</c:v>
                </c:pt>
                <c:pt idx="17">
                  <c:v>Slovenská republika</c:v>
                </c:pt>
                <c:pt idx="18">
                  <c:v>Česká republika</c:v>
                </c:pt>
                <c:pt idx="19">
                  <c:v>Maďarsko</c:v>
                </c:pt>
                <c:pt idx="20">
                  <c:v>Luxembourg</c:v>
                </c:pt>
                <c:pt idx="21">
                  <c:v>Velká Británie</c:v>
                </c:pt>
                <c:pt idx="22">
                  <c:v>Norsko</c:v>
                </c:pt>
                <c:pt idx="23">
                  <c:v>Japonsko</c:v>
                </c:pt>
                <c:pt idx="24">
                  <c:v>Irsko</c:v>
                </c:pt>
                <c:pt idx="25">
                  <c:v>Německo</c:v>
                </c:pt>
                <c:pt idx="26">
                  <c:v>Švýcarsko</c:v>
                </c:pt>
                <c:pt idx="27">
                  <c:v>Švédsko</c:v>
                </c:pt>
                <c:pt idx="28">
                  <c:v>Kanada</c:v>
                </c:pt>
                <c:pt idx="29">
                  <c:v>Belgie</c:v>
                </c:pt>
                <c:pt idx="30">
                  <c:v>Nizozemsko</c:v>
                </c:pt>
              </c:strCache>
            </c:strRef>
          </c:cat>
          <c:val>
            <c:numRef>
              <c:f>graf4.5!$E$4:$E$34</c:f>
              <c:numCache>
                <c:formatCode>0</c:formatCode>
                <c:ptCount val="31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2</c:v>
                </c:pt>
                <c:pt idx="5">
                  <c:v>5</c:v>
                </c:pt>
                <c:pt idx="6">
                  <c:v>9</c:v>
                </c:pt>
                <c:pt idx="7">
                  <c:v>10</c:v>
                </c:pt>
                <c:pt idx="8">
                  <c:v>17</c:v>
                </c:pt>
                <c:pt idx="9">
                  <c:v>15</c:v>
                </c:pt>
                <c:pt idx="10">
                  <c:v>10</c:v>
                </c:pt>
                <c:pt idx="11">
                  <c:v>20</c:v>
                </c:pt>
                <c:pt idx="12">
                  <c:v>11</c:v>
                </c:pt>
                <c:pt idx="13">
                  <c:v>14</c:v>
                </c:pt>
                <c:pt idx="14">
                  <c:v>5</c:v>
                </c:pt>
                <c:pt idx="15">
                  <c:v>24</c:v>
                </c:pt>
                <c:pt idx="16">
                  <c:v>0</c:v>
                </c:pt>
                <c:pt idx="17">
                  <c:v>0</c:v>
                </c:pt>
                <c:pt idx="18">
                  <c:v>13</c:v>
                </c:pt>
                <c:pt idx="19">
                  <c:v>4</c:v>
                </c:pt>
                <c:pt idx="20">
                  <c:v>24</c:v>
                </c:pt>
                <c:pt idx="21">
                  <c:v>18</c:v>
                </c:pt>
                <c:pt idx="22">
                  <c:v>28</c:v>
                </c:pt>
                <c:pt idx="23">
                  <c:v>19</c:v>
                </c:pt>
                <c:pt idx="24">
                  <c:v>23</c:v>
                </c:pt>
                <c:pt idx="25">
                  <c:v>16</c:v>
                </c:pt>
                <c:pt idx="26">
                  <c:v>19</c:v>
                </c:pt>
                <c:pt idx="27">
                  <c:v>26</c:v>
                </c:pt>
                <c:pt idx="28">
                  <c:v>14</c:v>
                </c:pt>
                <c:pt idx="29">
                  <c:v>24</c:v>
                </c:pt>
                <c:pt idx="30">
                  <c:v>25</c:v>
                </c:pt>
              </c:numCache>
            </c:numRef>
          </c:val>
        </c:ser>
        <c:ser>
          <c:idx val="4"/>
          <c:order val="4"/>
          <c:tx>
            <c:strRef>
              <c:f>graf4.5!$F$3</c:f>
              <c:strCache>
                <c:ptCount val="1"/>
                <c:pt idx="0">
                  <c:v> Prevence a administrativa</c:v>
                </c:pt>
              </c:strCache>
            </c:strRef>
          </c:tx>
          <c:spPr>
            <a:solidFill>
              <a:srgbClr val="83A5CF"/>
            </a:solidFill>
            <a:ln>
              <a:solidFill>
                <a:srgbClr val="376092"/>
              </a:solidFill>
            </a:ln>
          </c:spPr>
          <c:invertIfNegative val="0"/>
          <c:dPt>
            <c:idx val="13"/>
            <c:invertIfNegative val="0"/>
            <c:bubble3D val="0"/>
            <c:spPr>
              <a:solidFill>
                <a:srgbClr val="77CADB"/>
              </a:solidFill>
              <a:ln>
                <a:solidFill>
                  <a:srgbClr val="376092"/>
                </a:solidFill>
              </a:ln>
            </c:spPr>
          </c:dPt>
          <c:cat>
            <c:strRef>
              <c:f>graf4.5!$A$4:$A$34</c:f>
              <c:strCache>
                <c:ptCount val="31"/>
                <c:pt idx="0">
                  <c:v>Portugalsko</c:v>
                </c:pt>
                <c:pt idx="1">
                  <c:v>Izrael</c:v>
                </c:pt>
                <c:pt idx="2">
                  <c:v>Estonsko</c:v>
                </c:pt>
                <c:pt idx="3">
                  <c:v>Polsko</c:v>
                </c:pt>
                <c:pt idx="4">
                  <c:v>Řecko</c:v>
                </c:pt>
                <c:pt idx="5">
                  <c:v>Spojené státy</c:v>
                </c:pt>
                <c:pt idx="6">
                  <c:v>Španělsko</c:v>
                </c:pt>
                <c:pt idx="7">
                  <c:v>Itálie</c:v>
                </c:pt>
                <c:pt idx="8">
                  <c:v>Finsko</c:v>
                </c:pt>
                <c:pt idx="9">
                  <c:v>Rakousko</c:v>
                </c:pt>
                <c:pt idx="10">
                  <c:v>Slovinsko</c:v>
                </c:pt>
                <c:pt idx="11">
                  <c:v>Island</c:v>
                </c:pt>
                <c:pt idx="12">
                  <c:v>Francie</c:v>
                </c:pt>
                <c:pt idx="13">
                  <c:v>OECD</c:v>
                </c:pt>
                <c:pt idx="14">
                  <c:v>Lotyšsko</c:v>
                </c:pt>
                <c:pt idx="15">
                  <c:v>Dánsko</c:v>
                </c:pt>
                <c:pt idx="16">
                  <c:v>Mexiko</c:v>
                </c:pt>
                <c:pt idx="17">
                  <c:v>Slovenská republika</c:v>
                </c:pt>
                <c:pt idx="18">
                  <c:v>Česká republika</c:v>
                </c:pt>
                <c:pt idx="19">
                  <c:v>Maďarsko</c:v>
                </c:pt>
                <c:pt idx="20">
                  <c:v>Luxembourg</c:v>
                </c:pt>
                <c:pt idx="21">
                  <c:v>Velká Británie</c:v>
                </c:pt>
                <c:pt idx="22">
                  <c:v>Norsko</c:v>
                </c:pt>
                <c:pt idx="23">
                  <c:v>Japonsko</c:v>
                </c:pt>
                <c:pt idx="24">
                  <c:v>Irsko</c:v>
                </c:pt>
                <c:pt idx="25">
                  <c:v>Německo</c:v>
                </c:pt>
                <c:pt idx="26">
                  <c:v>Švýcarsko</c:v>
                </c:pt>
                <c:pt idx="27">
                  <c:v>Švédsko</c:v>
                </c:pt>
                <c:pt idx="28">
                  <c:v>Kanada</c:v>
                </c:pt>
                <c:pt idx="29">
                  <c:v>Belgie</c:v>
                </c:pt>
                <c:pt idx="30">
                  <c:v>Nizozemsko</c:v>
                </c:pt>
              </c:strCache>
            </c:strRef>
          </c:cat>
          <c:val>
            <c:numRef>
              <c:f>graf4.5!$F$4:$F$34</c:f>
              <c:numCache>
                <c:formatCode>0</c:formatCode>
                <c:ptCount val="31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8</c:v>
                </c:pt>
                <c:pt idx="13">
                  <c:v>6</c:v>
                </c:pt>
                <c:pt idx="14">
                  <c:v>5</c:v>
                </c:pt>
                <c:pt idx="15">
                  <c:v>6</c:v>
                </c:pt>
                <c:pt idx="16">
                  <c:v>10</c:v>
                </c:pt>
                <c:pt idx="17">
                  <c:v>6</c:v>
                </c:pt>
                <c:pt idx="18">
                  <c:v>8</c:v>
                </c:pt>
                <c:pt idx="19">
                  <c:v>5</c:v>
                </c:pt>
                <c:pt idx="20">
                  <c:v>7</c:v>
                </c:pt>
                <c:pt idx="21">
                  <c:v>9</c:v>
                </c:pt>
                <c:pt idx="22">
                  <c:v>3</c:v>
                </c:pt>
                <c:pt idx="23">
                  <c:v>4</c:v>
                </c:pt>
                <c:pt idx="24">
                  <c:v>6</c:v>
                </c:pt>
                <c:pt idx="25">
                  <c:v>8</c:v>
                </c:pt>
                <c:pt idx="26">
                  <c:v>9</c:v>
                </c:pt>
                <c:pt idx="27">
                  <c:v>7</c:v>
                </c:pt>
                <c:pt idx="28">
                  <c:v>10</c:v>
                </c:pt>
                <c:pt idx="29">
                  <c:v>6</c:v>
                </c:pt>
                <c:pt idx="3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96891648"/>
        <c:axId val="338762496"/>
      </c:barChart>
      <c:catAx>
        <c:axId val="196891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338762496"/>
        <c:crosses val="autoZero"/>
        <c:auto val="1"/>
        <c:lblAlgn val="ctr"/>
        <c:lblOffset val="100"/>
        <c:noMultiLvlLbl val="0"/>
      </c:catAx>
      <c:valAx>
        <c:axId val="338762496"/>
        <c:scaling>
          <c:orientation val="minMax"/>
          <c:max val="1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96891648"/>
        <c:crosses val="autoZero"/>
        <c:crossBetween val="between"/>
        <c:majorUnit val="10"/>
        <c:minorUnit val="5"/>
      </c:valAx>
    </c:plotArea>
    <c:legend>
      <c:legendPos val="b"/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List1!$B$6</c:f>
              <c:strCache>
                <c:ptCount val="1"/>
                <c:pt idx="0">
                  <c:v>Vládní systémy včetně veřejného zdravotního pojištění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953735"/>
              </a:solidFill>
            </a:ln>
          </c:spPr>
          <c:invertIfNegative val="0"/>
          <c:dPt>
            <c:idx val="14"/>
            <c:invertIfNegative val="0"/>
            <c:bubble3D val="0"/>
            <c:spPr>
              <a:solidFill>
                <a:srgbClr val="9E2A3D"/>
              </a:solidFill>
              <a:ln>
                <a:solidFill>
                  <a:srgbClr val="953735"/>
                </a:solidFill>
              </a:ln>
            </c:spPr>
          </c:dPt>
          <c:cat>
            <c:strRef>
              <c:f>List1!$A$7:$A$37</c:f>
              <c:strCache>
                <c:ptCount val="31"/>
                <c:pt idx="0">
                  <c:v>Germany</c:v>
                </c:pt>
                <c:pt idx="1">
                  <c:v>Luxembourg</c:v>
                </c:pt>
                <c:pt idx="2">
                  <c:v>Ireland</c:v>
                </c:pt>
                <c:pt idx="3">
                  <c:v>Japan</c:v>
                </c:pt>
                <c:pt idx="4">
                  <c:v>France</c:v>
                </c:pt>
                <c:pt idx="5">
                  <c:v>Slovak Republic</c:v>
                </c:pt>
                <c:pt idx="6">
                  <c:v>Belgium</c:v>
                </c:pt>
                <c:pt idx="7">
                  <c:v>Austria</c:v>
                </c:pt>
                <c:pt idx="8">
                  <c:v>United Kingdom</c:v>
                </c:pt>
                <c:pt idx="9">
                  <c:v>Netherlands</c:v>
                </c:pt>
                <c:pt idx="10">
                  <c:v>Italy</c:v>
                </c:pt>
                <c:pt idx="11">
                  <c:v>Czech Republic</c:v>
                </c:pt>
                <c:pt idx="12">
                  <c:v>Spain</c:v>
                </c:pt>
                <c:pt idx="13">
                  <c:v>Norway</c:v>
                </c:pt>
                <c:pt idx="14">
                  <c:v>OECD30</c:v>
                </c:pt>
                <c:pt idx="15">
                  <c:v>Finland</c:v>
                </c:pt>
                <c:pt idx="16">
                  <c:v>Switzerland</c:v>
                </c:pt>
                <c:pt idx="17">
                  <c:v>Portugal</c:v>
                </c:pt>
                <c:pt idx="18">
                  <c:v>Greece</c:v>
                </c:pt>
                <c:pt idx="19">
                  <c:v>Korea</c:v>
                </c:pt>
                <c:pt idx="20">
                  <c:v>Estonia</c:v>
                </c:pt>
                <c:pt idx="21">
                  <c:v>Sweden</c:v>
                </c:pt>
                <c:pt idx="22">
                  <c:v>Hungary</c:v>
                </c:pt>
                <c:pt idx="23">
                  <c:v>Slovenia</c:v>
                </c:pt>
                <c:pt idx="24">
                  <c:v>Australia</c:v>
                </c:pt>
                <c:pt idx="25">
                  <c:v>Denmark</c:v>
                </c:pt>
                <c:pt idx="26">
                  <c:v>Iceland</c:v>
                </c:pt>
                <c:pt idx="27">
                  <c:v>United States</c:v>
                </c:pt>
                <c:pt idx="28">
                  <c:v>Canada</c:v>
                </c:pt>
                <c:pt idx="29">
                  <c:v>Latvia</c:v>
                </c:pt>
                <c:pt idx="30">
                  <c:v>Poland</c:v>
                </c:pt>
              </c:strCache>
            </c:strRef>
          </c:cat>
          <c:val>
            <c:numRef>
              <c:f>List1!$B$7:$B$37</c:f>
              <c:numCache>
                <c:formatCode>0</c:formatCode>
                <c:ptCount val="31"/>
                <c:pt idx="0">
                  <c:v>83.9</c:v>
                </c:pt>
                <c:pt idx="1">
                  <c:v>80.2</c:v>
                </c:pt>
                <c:pt idx="2">
                  <c:v>74.599999999999994</c:v>
                </c:pt>
                <c:pt idx="3">
                  <c:v>72.3</c:v>
                </c:pt>
                <c:pt idx="4">
                  <c:v>70.900000000000006</c:v>
                </c:pt>
                <c:pt idx="5">
                  <c:v>70.7</c:v>
                </c:pt>
                <c:pt idx="6">
                  <c:v>69.2</c:v>
                </c:pt>
                <c:pt idx="7">
                  <c:v>68.400000000000006</c:v>
                </c:pt>
                <c:pt idx="8">
                  <c:v>67.400000000000006</c:v>
                </c:pt>
                <c:pt idx="9">
                  <c:v>64.8</c:v>
                </c:pt>
                <c:pt idx="10">
                  <c:v>62.5</c:v>
                </c:pt>
                <c:pt idx="11">
                  <c:v>58</c:v>
                </c:pt>
                <c:pt idx="12">
                  <c:v>59.3</c:v>
                </c:pt>
                <c:pt idx="13">
                  <c:v>58</c:v>
                </c:pt>
                <c:pt idx="14">
                  <c:v>56.8</c:v>
                </c:pt>
                <c:pt idx="15">
                  <c:v>55.5</c:v>
                </c:pt>
                <c:pt idx="16">
                  <c:v>54.8</c:v>
                </c:pt>
                <c:pt idx="17">
                  <c:v>54.7</c:v>
                </c:pt>
                <c:pt idx="18">
                  <c:v>51.7</c:v>
                </c:pt>
                <c:pt idx="19">
                  <c:v>51.6</c:v>
                </c:pt>
                <c:pt idx="20">
                  <c:v>51.4</c:v>
                </c:pt>
                <c:pt idx="21">
                  <c:v>51.3</c:v>
                </c:pt>
                <c:pt idx="22">
                  <c:v>50.6</c:v>
                </c:pt>
                <c:pt idx="23">
                  <c:v>49.5</c:v>
                </c:pt>
                <c:pt idx="24">
                  <c:v>48</c:v>
                </c:pt>
                <c:pt idx="25">
                  <c:v>43.7</c:v>
                </c:pt>
                <c:pt idx="26">
                  <c:v>38.1</c:v>
                </c:pt>
                <c:pt idx="27">
                  <c:v>36.5</c:v>
                </c:pt>
                <c:pt idx="28">
                  <c:v>36.300000000000004</c:v>
                </c:pt>
                <c:pt idx="29">
                  <c:v>35</c:v>
                </c:pt>
                <c:pt idx="30">
                  <c:v>34.1</c:v>
                </c:pt>
              </c:numCache>
            </c:numRef>
          </c:val>
        </c:ser>
        <c:ser>
          <c:idx val="1"/>
          <c:order val="1"/>
          <c:tx>
            <c:strRef>
              <c:f>List1!$C$6</c:f>
              <c:strCache>
                <c:ptCount val="1"/>
                <c:pt idx="0">
                  <c:v>Domácnosti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376092"/>
              </a:solidFill>
            </a:ln>
          </c:spPr>
          <c:invertIfNegative val="0"/>
          <c:dPt>
            <c:idx val="14"/>
            <c:invertIfNegative val="0"/>
            <c:bubble3D val="0"/>
            <c:spPr>
              <a:solidFill>
                <a:srgbClr val="376092"/>
              </a:solidFill>
              <a:ln>
                <a:solidFill>
                  <a:srgbClr val="376092"/>
                </a:solidFill>
              </a:ln>
            </c:spPr>
          </c:dPt>
          <c:cat>
            <c:strRef>
              <c:f>List1!$A$7:$A$37</c:f>
              <c:strCache>
                <c:ptCount val="31"/>
                <c:pt idx="0">
                  <c:v>Germany</c:v>
                </c:pt>
                <c:pt idx="1">
                  <c:v>Luxembourg</c:v>
                </c:pt>
                <c:pt idx="2">
                  <c:v>Ireland</c:v>
                </c:pt>
                <c:pt idx="3">
                  <c:v>Japan</c:v>
                </c:pt>
                <c:pt idx="4">
                  <c:v>France</c:v>
                </c:pt>
                <c:pt idx="5">
                  <c:v>Slovak Republic</c:v>
                </c:pt>
                <c:pt idx="6">
                  <c:v>Belgium</c:v>
                </c:pt>
                <c:pt idx="7">
                  <c:v>Austria</c:v>
                </c:pt>
                <c:pt idx="8">
                  <c:v>United Kingdom</c:v>
                </c:pt>
                <c:pt idx="9">
                  <c:v>Netherlands</c:v>
                </c:pt>
                <c:pt idx="10">
                  <c:v>Italy</c:v>
                </c:pt>
                <c:pt idx="11">
                  <c:v>Czech Republic</c:v>
                </c:pt>
                <c:pt idx="12">
                  <c:v>Spain</c:v>
                </c:pt>
                <c:pt idx="13">
                  <c:v>Norway</c:v>
                </c:pt>
                <c:pt idx="14">
                  <c:v>OECD30</c:v>
                </c:pt>
                <c:pt idx="15">
                  <c:v>Finland</c:v>
                </c:pt>
                <c:pt idx="16">
                  <c:v>Switzerland</c:v>
                </c:pt>
                <c:pt idx="17">
                  <c:v>Portugal</c:v>
                </c:pt>
                <c:pt idx="18">
                  <c:v>Greece</c:v>
                </c:pt>
                <c:pt idx="19">
                  <c:v>Korea</c:v>
                </c:pt>
                <c:pt idx="20">
                  <c:v>Estonia</c:v>
                </c:pt>
                <c:pt idx="21">
                  <c:v>Sweden</c:v>
                </c:pt>
                <c:pt idx="22">
                  <c:v>Hungary</c:v>
                </c:pt>
                <c:pt idx="23">
                  <c:v>Slovenia</c:v>
                </c:pt>
                <c:pt idx="24">
                  <c:v>Australia</c:v>
                </c:pt>
                <c:pt idx="25">
                  <c:v>Denmark</c:v>
                </c:pt>
                <c:pt idx="26">
                  <c:v>Iceland</c:v>
                </c:pt>
                <c:pt idx="27">
                  <c:v>United States</c:v>
                </c:pt>
                <c:pt idx="28">
                  <c:v>Canada</c:v>
                </c:pt>
                <c:pt idx="29">
                  <c:v>Latvia</c:v>
                </c:pt>
                <c:pt idx="30">
                  <c:v>Poland</c:v>
                </c:pt>
              </c:strCache>
            </c:strRef>
          </c:cat>
          <c:val>
            <c:numRef>
              <c:f>List1!$C$7:$C$37</c:f>
              <c:numCache>
                <c:formatCode>0</c:formatCode>
                <c:ptCount val="31"/>
                <c:pt idx="0">
                  <c:v>15.7</c:v>
                </c:pt>
                <c:pt idx="1">
                  <c:v>12.6</c:v>
                </c:pt>
                <c:pt idx="2">
                  <c:v>25.4</c:v>
                </c:pt>
                <c:pt idx="3">
                  <c:v>26.8</c:v>
                </c:pt>
                <c:pt idx="4">
                  <c:v>17</c:v>
                </c:pt>
                <c:pt idx="5">
                  <c:v>29.3</c:v>
                </c:pt>
                <c:pt idx="6">
                  <c:v>30.6</c:v>
                </c:pt>
                <c:pt idx="7">
                  <c:v>30.9</c:v>
                </c:pt>
                <c:pt idx="8">
                  <c:v>32.6</c:v>
                </c:pt>
                <c:pt idx="9">
                  <c:v>33.9</c:v>
                </c:pt>
                <c:pt idx="10">
                  <c:v>37.5</c:v>
                </c:pt>
                <c:pt idx="11">
                  <c:v>42</c:v>
                </c:pt>
                <c:pt idx="12">
                  <c:v>40.700000000000003</c:v>
                </c:pt>
                <c:pt idx="13">
                  <c:v>42.1</c:v>
                </c:pt>
                <c:pt idx="14">
                  <c:v>38.6</c:v>
                </c:pt>
                <c:pt idx="15">
                  <c:v>44</c:v>
                </c:pt>
                <c:pt idx="16">
                  <c:v>40.1</c:v>
                </c:pt>
                <c:pt idx="17">
                  <c:v>44</c:v>
                </c:pt>
                <c:pt idx="18">
                  <c:v>48.3</c:v>
                </c:pt>
                <c:pt idx="19">
                  <c:v>47.4</c:v>
                </c:pt>
                <c:pt idx="20">
                  <c:v>48.3</c:v>
                </c:pt>
                <c:pt idx="21">
                  <c:v>48.7</c:v>
                </c:pt>
                <c:pt idx="22">
                  <c:v>45.2</c:v>
                </c:pt>
                <c:pt idx="23">
                  <c:v>24</c:v>
                </c:pt>
                <c:pt idx="24">
                  <c:v>51.3</c:v>
                </c:pt>
                <c:pt idx="25">
                  <c:v>50.6</c:v>
                </c:pt>
                <c:pt idx="26">
                  <c:v>57.6</c:v>
                </c:pt>
                <c:pt idx="27">
                  <c:v>29.1</c:v>
                </c:pt>
                <c:pt idx="28">
                  <c:v>33.200000000000003</c:v>
                </c:pt>
                <c:pt idx="29">
                  <c:v>64.8</c:v>
                </c:pt>
                <c:pt idx="30">
                  <c:v>65.7</c:v>
                </c:pt>
              </c:numCache>
            </c:numRef>
          </c:val>
        </c:ser>
        <c:ser>
          <c:idx val="2"/>
          <c:order val="2"/>
          <c:tx>
            <c:strRef>
              <c:f>List1!$D$6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77933C"/>
              </a:solidFill>
            </a:ln>
          </c:spPr>
          <c:invertIfNegative val="0"/>
          <c:dPt>
            <c:idx val="14"/>
            <c:invertIfNegative val="0"/>
            <c:bubble3D val="0"/>
            <c:spPr>
              <a:solidFill>
                <a:srgbClr val="517D21"/>
              </a:solidFill>
              <a:ln>
                <a:solidFill>
                  <a:srgbClr val="77933C"/>
                </a:solidFill>
              </a:ln>
            </c:spPr>
          </c:dPt>
          <c:cat>
            <c:strRef>
              <c:f>List1!$A$7:$A$37</c:f>
              <c:strCache>
                <c:ptCount val="31"/>
                <c:pt idx="0">
                  <c:v>Germany</c:v>
                </c:pt>
                <c:pt idx="1">
                  <c:v>Luxembourg</c:v>
                </c:pt>
                <c:pt idx="2">
                  <c:v>Ireland</c:v>
                </c:pt>
                <c:pt idx="3">
                  <c:v>Japan</c:v>
                </c:pt>
                <c:pt idx="4">
                  <c:v>France</c:v>
                </c:pt>
                <c:pt idx="5">
                  <c:v>Slovak Republic</c:v>
                </c:pt>
                <c:pt idx="6">
                  <c:v>Belgium</c:v>
                </c:pt>
                <c:pt idx="7">
                  <c:v>Austria</c:v>
                </c:pt>
                <c:pt idx="8">
                  <c:v>United Kingdom</c:v>
                </c:pt>
                <c:pt idx="9">
                  <c:v>Netherlands</c:v>
                </c:pt>
                <c:pt idx="10">
                  <c:v>Italy</c:v>
                </c:pt>
                <c:pt idx="11">
                  <c:v>Czech Republic</c:v>
                </c:pt>
                <c:pt idx="12">
                  <c:v>Spain</c:v>
                </c:pt>
                <c:pt idx="13">
                  <c:v>Norway</c:v>
                </c:pt>
                <c:pt idx="14">
                  <c:v>OECD30</c:v>
                </c:pt>
                <c:pt idx="15">
                  <c:v>Finland</c:v>
                </c:pt>
                <c:pt idx="16">
                  <c:v>Switzerland</c:v>
                </c:pt>
                <c:pt idx="17">
                  <c:v>Portugal</c:v>
                </c:pt>
                <c:pt idx="18">
                  <c:v>Greece</c:v>
                </c:pt>
                <c:pt idx="19">
                  <c:v>Korea</c:v>
                </c:pt>
                <c:pt idx="20">
                  <c:v>Estonia</c:v>
                </c:pt>
                <c:pt idx="21">
                  <c:v>Sweden</c:v>
                </c:pt>
                <c:pt idx="22">
                  <c:v>Hungary</c:v>
                </c:pt>
                <c:pt idx="23">
                  <c:v>Slovenia</c:v>
                </c:pt>
                <c:pt idx="24">
                  <c:v>Australia</c:v>
                </c:pt>
                <c:pt idx="25">
                  <c:v>Denmark</c:v>
                </c:pt>
                <c:pt idx="26">
                  <c:v>Iceland</c:v>
                </c:pt>
                <c:pt idx="27">
                  <c:v>United States</c:v>
                </c:pt>
                <c:pt idx="28">
                  <c:v>Canada</c:v>
                </c:pt>
                <c:pt idx="29">
                  <c:v>Latvia</c:v>
                </c:pt>
                <c:pt idx="30">
                  <c:v>Poland</c:v>
                </c:pt>
              </c:strCache>
            </c:strRef>
          </c:cat>
          <c:val>
            <c:numRef>
              <c:f>List1!$D$7:$D$37</c:f>
              <c:numCache>
                <c:formatCode>0</c:formatCode>
                <c:ptCount val="31"/>
                <c:pt idx="0">
                  <c:v>0.4</c:v>
                </c:pt>
                <c:pt idx="1">
                  <c:v>7.2</c:v>
                </c:pt>
                <c:pt idx="2">
                  <c:v>0</c:v>
                </c:pt>
                <c:pt idx="3">
                  <c:v>1</c:v>
                </c:pt>
                <c:pt idx="4">
                  <c:v>12.2</c:v>
                </c:pt>
                <c:pt idx="5">
                  <c:v>0</c:v>
                </c:pt>
                <c:pt idx="6">
                  <c:v>0.2</c:v>
                </c:pt>
                <c:pt idx="7">
                  <c:v>0.60000000000000042</c:v>
                </c:pt>
                <c:pt idx="8">
                  <c:v>0</c:v>
                </c:pt>
                <c:pt idx="9">
                  <c:v>1.3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4.6000000000000005</c:v>
                </c:pt>
                <c:pt idx="15">
                  <c:v>0.5</c:v>
                </c:pt>
                <c:pt idx="16">
                  <c:v>5.0999999999999996</c:v>
                </c:pt>
                <c:pt idx="17">
                  <c:v>1.2</c:v>
                </c:pt>
                <c:pt idx="18">
                  <c:v>0</c:v>
                </c:pt>
                <c:pt idx="19">
                  <c:v>1</c:v>
                </c:pt>
                <c:pt idx="20">
                  <c:v>0.2</c:v>
                </c:pt>
                <c:pt idx="21">
                  <c:v>0</c:v>
                </c:pt>
                <c:pt idx="22">
                  <c:v>4.2</c:v>
                </c:pt>
                <c:pt idx="23">
                  <c:v>26.5</c:v>
                </c:pt>
                <c:pt idx="24">
                  <c:v>0.60000000000000053</c:v>
                </c:pt>
                <c:pt idx="25">
                  <c:v>5.7</c:v>
                </c:pt>
                <c:pt idx="26">
                  <c:v>4.3</c:v>
                </c:pt>
                <c:pt idx="27">
                  <c:v>34.4</c:v>
                </c:pt>
                <c:pt idx="28">
                  <c:v>30.5</c:v>
                </c:pt>
                <c:pt idx="29">
                  <c:v>0.2</c:v>
                </c:pt>
                <c:pt idx="3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33595648"/>
        <c:axId val="338636160"/>
      </c:barChart>
      <c:catAx>
        <c:axId val="3335956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crossAx val="338636160"/>
        <c:crosses val="autoZero"/>
        <c:auto val="1"/>
        <c:lblAlgn val="ctr"/>
        <c:lblOffset val="100"/>
        <c:noMultiLvlLbl val="0"/>
      </c:catAx>
      <c:valAx>
        <c:axId val="338636160"/>
        <c:scaling>
          <c:orientation val="minMax"/>
          <c:max val="1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crossAx val="333595648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570C-98B5-4072-B288-0D86B3F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1</TotalTime>
  <Pages>5</Pages>
  <Words>1426</Words>
  <Characters>8417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2</cp:revision>
  <cp:lastPrinted>2018-06-06T04:58:00Z</cp:lastPrinted>
  <dcterms:created xsi:type="dcterms:W3CDTF">2018-06-06T07:05:00Z</dcterms:created>
  <dcterms:modified xsi:type="dcterms:W3CDTF">2018-06-06T07:05:00Z</dcterms:modified>
</cp:coreProperties>
</file>