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A2E50" w14:textId="77777777" w:rsidR="00D20B26" w:rsidRDefault="00D20B26" w:rsidP="000C2CF1">
      <w:pPr>
        <w:pStyle w:val="Nadpis1"/>
      </w:pPr>
      <w:bookmarkStart w:id="0" w:name="_Toc193366677"/>
      <w:bookmarkStart w:id="1" w:name="_Toc216777590"/>
      <w:bookmarkStart w:id="2" w:name="_Toc200969294"/>
    </w:p>
    <w:p w14:paraId="3D17B5EE" w14:textId="2D5F3BE9" w:rsidR="000C2CF1" w:rsidRDefault="000C2CF1" w:rsidP="000C2CF1">
      <w:pPr>
        <w:pStyle w:val="Nadpis1"/>
      </w:pPr>
      <w:r>
        <w:t>6. Trh práce</w:t>
      </w:r>
      <w:bookmarkEnd w:id="0"/>
      <w:bookmarkEnd w:id="1"/>
    </w:p>
    <w:tbl>
      <w:tblPr>
        <w:tblW w:w="9674" w:type="dxa"/>
        <w:tblInd w:w="-3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5"/>
        <w:gridCol w:w="160"/>
        <w:gridCol w:w="7769"/>
      </w:tblGrid>
      <w:tr w:rsidR="000C2CF1" w:rsidRPr="009F0D7F" w14:paraId="3801CB02" w14:textId="77777777" w:rsidTr="00135A1D">
        <w:trPr>
          <w:trHeight w:val="155"/>
        </w:trPr>
        <w:tc>
          <w:tcPr>
            <w:tcW w:w="1814" w:type="dxa"/>
            <w:tcMar>
              <w:left w:w="0" w:type="dxa"/>
            </w:tcMar>
          </w:tcPr>
          <w:p w14:paraId="51AB326B" w14:textId="77777777" w:rsidR="000C2CF1" w:rsidRPr="00FE6C23" w:rsidRDefault="000C2CF1" w:rsidP="00135A1D">
            <w:pPr>
              <w:pStyle w:val="Marginlie"/>
              <w:rPr>
                <w:color w:val="0D0D0D" w:themeColor="text1" w:themeTint="F2"/>
                <w:spacing w:val="0"/>
              </w:rPr>
            </w:pPr>
            <w:r w:rsidRPr="00FE6C23">
              <w:rPr>
                <w:color w:val="0D0D0D" w:themeColor="text1" w:themeTint="F2"/>
                <w:spacing w:val="0"/>
              </w:rPr>
              <w:t>Pokračoval odvětvově diferencovaný růst zaměstnanosti</w:t>
            </w:r>
            <w:r>
              <w:rPr>
                <w:color w:val="0D0D0D" w:themeColor="text1" w:themeTint="F2"/>
                <w:spacing w:val="0"/>
              </w:rPr>
              <w:t xml:space="preserve"> sycený z významné části ze zahraničí. Mírně ale </w:t>
            </w:r>
            <w:r w:rsidRPr="00F96464">
              <w:rPr>
                <w:color w:val="0D0D0D" w:themeColor="text1" w:themeTint="F2"/>
                <w:spacing w:val="-6"/>
              </w:rPr>
              <w:t>přibylo i nezaměstnaných.</w:t>
            </w:r>
            <w:r w:rsidRPr="00FE6C23">
              <w:rPr>
                <w:color w:val="0D0D0D" w:themeColor="text1" w:themeTint="F2"/>
                <w:spacing w:val="0"/>
              </w:rPr>
              <w:t xml:space="preserve"> Mzdový růst </w:t>
            </w:r>
            <w:r>
              <w:rPr>
                <w:color w:val="0D0D0D" w:themeColor="text1" w:themeTint="F2"/>
                <w:spacing w:val="0"/>
              </w:rPr>
              <w:t>si udržoval svižné tempo.</w:t>
            </w:r>
          </w:p>
        </w:tc>
        <w:tc>
          <w:tcPr>
            <w:tcW w:w="185" w:type="dxa"/>
            <w:tcMar>
              <w:left w:w="0" w:type="dxa"/>
            </w:tcMar>
          </w:tcPr>
          <w:p w14:paraId="2FBA0D3C" w14:textId="77777777" w:rsidR="000C2CF1" w:rsidRPr="00FE6C23" w:rsidRDefault="000C2CF1" w:rsidP="00135A1D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69" w:type="dxa"/>
            <w:tcMar>
              <w:left w:w="0" w:type="dxa"/>
            </w:tcMar>
          </w:tcPr>
          <w:p w14:paraId="0F9A92E3" w14:textId="77777777" w:rsidR="000C2CF1" w:rsidRPr="00FE6C23" w:rsidRDefault="000C2CF1" w:rsidP="00135A1D">
            <w:pPr>
              <w:spacing w:after="200"/>
              <w:rPr>
                <w:color w:val="0D0D0D" w:themeColor="text1" w:themeTint="F2"/>
                <w:spacing w:val="-2"/>
                <w:szCs w:val="20"/>
              </w:rPr>
            </w:pPr>
            <w:r w:rsidRPr="00BE685C">
              <w:rPr>
                <w:color w:val="0D0D0D" w:themeColor="text1" w:themeTint="F2"/>
                <w:spacing w:val="-4"/>
                <w:szCs w:val="20"/>
              </w:rPr>
              <w:t>Posílení výkonu ekonomiky se letos postupně promítalo i do trhu práce. Růst zaměstnanosti</w:t>
            </w:r>
            <w:r w:rsidRPr="00BE685C">
              <w:rPr>
                <w:color w:val="0D0D0D" w:themeColor="text1" w:themeTint="F2"/>
                <w:spacing w:val="-2"/>
                <w:szCs w:val="20"/>
              </w:rPr>
              <w:t xml:space="preserve"> zrychlil, jeho těžiště však stále spočívalo ve službách, které </w:t>
            </w:r>
            <w:r>
              <w:rPr>
                <w:color w:val="0D0D0D" w:themeColor="text1" w:themeTint="F2"/>
                <w:spacing w:val="-2"/>
                <w:szCs w:val="20"/>
              </w:rPr>
              <w:t>profitovaly</w:t>
            </w:r>
            <w:r w:rsidRPr="00BE685C">
              <w:rPr>
                <w:color w:val="0D0D0D" w:themeColor="text1" w:themeTint="F2"/>
                <w:spacing w:val="-2"/>
                <w:szCs w:val="20"/>
              </w:rPr>
              <w:t xml:space="preserve"> z rostoucí tuzemské poptávky. Růst některých oblastí investic se odrazil ve výkonech</w:t>
            </w:r>
            <w:r>
              <w:rPr>
                <w:color w:val="0D0D0D" w:themeColor="text1" w:themeTint="F2"/>
                <w:spacing w:val="-2"/>
                <w:szCs w:val="20"/>
              </w:rPr>
              <w:t>,</w:t>
            </w:r>
            <w:r w:rsidRPr="00BE685C">
              <w:rPr>
                <w:color w:val="0D0D0D" w:themeColor="text1" w:themeTint="F2"/>
                <w:spacing w:val="-2"/>
                <w:szCs w:val="20"/>
              </w:rPr>
              <w:t xml:space="preserve"> zaměstnanosti i mzdách </w:t>
            </w:r>
            <w:r>
              <w:rPr>
                <w:color w:val="0D0D0D" w:themeColor="text1" w:themeTint="F2"/>
                <w:spacing w:val="-2"/>
                <w:szCs w:val="20"/>
              </w:rPr>
              <w:t xml:space="preserve">ve </w:t>
            </w:r>
            <w:r w:rsidRPr="00BE685C">
              <w:rPr>
                <w:color w:val="0D0D0D" w:themeColor="text1" w:themeTint="F2"/>
                <w:spacing w:val="-2"/>
                <w:szCs w:val="20"/>
              </w:rPr>
              <w:t>stavebnictví. Ve zvýšené míře pokračoval příliv pracovníků ze zahraničí, vedle Ukrajiny také ze vzdálených asijských států. Očekávání firem v oblasti zaměstnanosti se</w:t>
            </w:r>
            <w:r>
              <w:rPr>
                <w:color w:val="0D0D0D" w:themeColor="text1" w:themeTint="F2"/>
                <w:spacing w:val="-2"/>
                <w:szCs w:val="20"/>
              </w:rPr>
              <w:t xml:space="preserve"> na</w:t>
            </w:r>
            <w:r w:rsidRPr="00BE685C">
              <w:rPr>
                <w:color w:val="0D0D0D" w:themeColor="text1" w:themeTint="F2"/>
                <w:spacing w:val="-2"/>
                <w:szCs w:val="20"/>
              </w:rPr>
              <w:t xml:space="preserve"> jaře zlepšila a následně stabilizovala, pozitivní posun byl patrný v obchodu i stavebnictví. Míra nezaměstnanosti se lehce zvýšila, přibylo i dlouhodobě nezaměstnaných, jejich počet </w:t>
            </w:r>
            <w:r>
              <w:rPr>
                <w:color w:val="0D0D0D" w:themeColor="text1" w:themeTint="F2"/>
                <w:spacing w:val="-2"/>
                <w:szCs w:val="20"/>
              </w:rPr>
              <w:t xml:space="preserve">ale </w:t>
            </w:r>
            <w:r w:rsidRPr="00BE685C">
              <w:rPr>
                <w:color w:val="0D0D0D" w:themeColor="text1" w:themeTint="F2"/>
                <w:spacing w:val="-2"/>
                <w:szCs w:val="20"/>
              </w:rPr>
              <w:t>zůstal relativně nízký. Nabídka volných pracovních míst stagnovala a přetrvával</w:t>
            </w:r>
            <w:r>
              <w:rPr>
                <w:color w:val="0D0D0D" w:themeColor="text1" w:themeTint="F2"/>
                <w:spacing w:val="-2"/>
                <w:szCs w:val="20"/>
              </w:rPr>
              <w:t xml:space="preserve"> také </w:t>
            </w:r>
            <w:r w:rsidRPr="00BE685C">
              <w:rPr>
                <w:color w:val="0D0D0D" w:themeColor="text1" w:themeTint="F2"/>
                <w:spacing w:val="-2"/>
                <w:szCs w:val="20"/>
              </w:rPr>
              <w:t>dlouhodobý</w:t>
            </w:r>
            <w:r w:rsidRPr="00FE6C23">
              <w:rPr>
                <w:color w:val="0D0D0D" w:themeColor="text1" w:themeTint="F2"/>
                <w:spacing w:val="-2"/>
                <w:szCs w:val="20"/>
              </w:rPr>
              <w:t xml:space="preserve"> strukturální nesoulad nabídky a poptávky. Svižný růst nominálních mezd pokračoval a z jejich </w:t>
            </w:r>
            <w:proofErr w:type="spellStart"/>
            <w:r w:rsidRPr="00FE6C23">
              <w:rPr>
                <w:color w:val="0D0D0D" w:themeColor="text1" w:themeTint="F2"/>
                <w:spacing w:val="-2"/>
                <w:szCs w:val="20"/>
              </w:rPr>
              <w:t>mezikvartálních</w:t>
            </w:r>
            <w:proofErr w:type="spellEnd"/>
            <w:r w:rsidRPr="00FE6C23">
              <w:rPr>
                <w:color w:val="0D0D0D" w:themeColor="text1" w:themeTint="F2"/>
                <w:spacing w:val="-2"/>
                <w:szCs w:val="20"/>
              </w:rPr>
              <w:t xml:space="preserve"> temp nebyla zatím zřetelně patrná tendence k oslabování dynamiky. Souběžná stabilizace cenové hladiny v ekonomice vedla k rychlému růstu reálných mezd, jenž byl od počátku letošního roku patrný ve všech hlavních odvětvích. Kupní síla hrubých zaměstnaneckých výdělků dosáhla </w:t>
            </w:r>
            <w:r>
              <w:rPr>
                <w:color w:val="0D0D0D" w:themeColor="text1" w:themeTint="F2"/>
                <w:spacing w:val="-2"/>
                <w:szCs w:val="20"/>
              </w:rPr>
              <w:t xml:space="preserve">ovšem pouze </w:t>
            </w:r>
            <w:r w:rsidRPr="00FE6C23">
              <w:rPr>
                <w:color w:val="0D0D0D" w:themeColor="text1" w:themeTint="F2"/>
                <w:spacing w:val="-2"/>
                <w:szCs w:val="20"/>
              </w:rPr>
              <w:t>úrovně ze 2. čtvrtletí roku 2019.</w:t>
            </w:r>
          </w:p>
        </w:tc>
      </w:tr>
      <w:tr w:rsidR="000C2CF1" w:rsidRPr="009F0D7F" w14:paraId="7F716719" w14:textId="77777777" w:rsidTr="00135A1D">
        <w:trPr>
          <w:trHeight w:val="155"/>
        </w:trPr>
        <w:tc>
          <w:tcPr>
            <w:tcW w:w="1814" w:type="dxa"/>
            <w:tcMar>
              <w:left w:w="0" w:type="dxa"/>
            </w:tcMar>
          </w:tcPr>
          <w:p w14:paraId="37D5DC93" w14:textId="77777777" w:rsidR="000C2CF1" w:rsidRDefault="000C2CF1" w:rsidP="00135A1D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  <w:r>
              <w:rPr>
                <w:color w:val="0D0D0D" w:themeColor="text1" w:themeTint="F2"/>
                <w:spacing w:val="-4"/>
              </w:rPr>
              <w:t>Zaměstnanost se mezikvartálně zvyšovala. Počet pracujících v Česku se během letošního roku opět posunul na historické maximum.</w:t>
            </w:r>
          </w:p>
        </w:tc>
        <w:tc>
          <w:tcPr>
            <w:tcW w:w="185" w:type="dxa"/>
            <w:tcMar>
              <w:left w:w="0" w:type="dxa"/>
            </w:tcMar>
          </w:tcPr>
          <w:p w14:paraId="227BCCDE" w14:textId="77777777" w:rsidR="000C2CF1" w:rsidRPr="009F0D7F" w:rsidRDefault="000C2CF1" w:rsidP="00135A1D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69" w:type="dxa"/>
            <w:tcMar>
              <w:left w:w="0" w:type="dxa"/>
            </w:tcMar>
          </w:tcPr>
          <w:p w14:paraId="026F35D9" w14:textId="77777777" w:rsidR="000C2CF1" w:rsidRDefault="000C2CF1" w:rsidP="00135A1D">
            <w:pPr>
              <w:rPr>
                <w:spacing w:val="-4"/>
              </w:rPr>
            </w:pPr>
            <w:r>
              <w:rPr>
                <w:spacing w:val="-4"/>
              </w:rPr>
              <w:t>Tempo růstu zaměstnanosti se letos zpočátku zvyšovalo. Celková zaměstnanost</w:t>
            </w:r>
            <w:r w:rsidRPr="00C058D0">
              <w:rPr>
                <w:color w:val="0D0D0D" w:themeColor="text1" w:themeTint="F2"/>
                <w:spacing w:val="-4"/>
                <w:vertAlign w:val="superscript"/>
              </w:rPr>
              <w:footnoteReference w:id="1"/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br/>
              <w:t xml:space="preserve">v 1. čtvrtletí 2025 mezikvartálně vzrostla o 0,4 % a v následujícím období o 0,5 %. Na tomto oživení se podílela některá odvětví tržních služeb a také průmysl, kde se situace částečně stabilizovala (a ve 2. čtvrtletí se zde počet pracovníků mezikvartálně již nesnižoval). Ve </w:t>
            </w:r>
            <w:r>
              <w:rPr>
                <w:spacing w:val="-4"/>
              </w:rPr>
              <w:br/>
              <w:t>3. čtvrtletí se však celkové svižné tempo neudrželo (+0,1 %), především vlivem dílčí korekce v uskupení o</w:t>
            </w:r>
            <w:r w:rsidRPr="002F66E0">
              <w:rPr>
                <w:spacing w:val="-4"/>
              </w:rPr>
              <w:t xml:space="preserve">bchod, </w:t>
            </w:r>
            <w:r w:rsidRPr="00373E37">
              <w:rPr>
                <w:spacing w:val="-6"/>
              </w:rPr>
              <w:t>doprava, ubytování a pohostinství. Zaměstnanost v celé ekonomice aktuálně dosáhla rekordních</w:t>
            </w:r>
            <w:r>
              <w:rPr>
                <w:spacing w:val="-4"/>
              </w:rPr>
              <w:t xml:space="preserve"> 5,51</w:t>
            </w:r>
            <w:r w:rsidRPr="00C058D0">
              <w:rPr>
                <w:spacing w:val="-4"/>
              </w:rPr>
              <w:t xml:space="preserve"> mil. osob a ve sro</w:t>
            </w:r>
            <w:r>
              <w:rPr>
                <w:spacing w:val="-4"/>
              </w:rPr>
              <w:t>vnání s </w:t>
            </w:r>
            <w:r w:rsidRPr="00C058D0">
              <w:rPr>
                <w:spacing w:val="-4"/>
              </w:rPr>
              <w:t>maximální hodnotou z období poslední konjunktury (4</w:t>
            </w:r>
            <w:r>
              <w:rPr>
                <w:spacing w:val="-4"/>
              </w:rPr>
              <w:t>. čtvrtletí 2018) byla vyšší o 2,6 % (+139 tis.), z rozhodující</w:t>
            </w:r>
            <w:r w:rsidRPr="00C058D0">
              <w:rPr>
                <w:spacing w:val="-4"/>
              </w:rPr>
              <w:t xml:space="preserve"> části </w:t>
            </w:r>
            <w:r>
              <w:rPr>
                <w:spacing w:val="-4"/>
              </w:rPr>
              <w:t xml:space="preserve">díky rozvoji </w:t>
            </w:r>
            <w:r w:rsidRPr="00C058D0">
              <w:rPr>
                <w:spacing w:val="-4"/>
              </w:rPr>
              <w:t>veřejných služeb</w:t>
            </w:r>
            <w:r>
              <w:rPr>
                <w:rStyle w:val="Znakapoznpodarou"/>
                <w:spacing w:val="-4"/>
              </w:rPr>
              <w:footnoteReference w:id="2"/>
            </w:r>
            <w:r>
              <w:rPr>
                <w:spacing w:val="-4"/>
              </w:rPr>
              <w:t>.</w:t>
            </w:r>
          </w:p>
        </w:tc>
      </w:tr>
      <w:tr w:rsidR="000C2CF1" w:rsidRPr="009F0D7F" w14:paraId="7DEFECDF" w14:textId="77777777" w:rsidTr="00135A1D">
        <w:trPr>
          <w:trHeight w:val="155"/>
        </w:trPr>
        <w:tc>
          <w:tcPr>
            <w:tcW w:w="1814" w:type="dxa"/>
            <w:tcMar>
              <w:left w:w="0" w:type="dxa"/>
            </w:tcMar>
          </w:tcPr>
          <w:p w14:paraId="3C8D1CCD" w14:textId="77777777" w:rsidR="000C2CF1" w:rsidRDefault="000C2CF1" w:rsidP="00135A1D">
            <w:pPr>
              <w:pStyle w:val="Marginlie"/>
              <w:rPr>
                <w:color w:val="0D0D0D" w:themeColor="text1" w:themeTint="F2"/>
                <w:spacing w:val="-4"/>
              </w:rPr>
            </w:pPr>
            <w:r>
              <w:rPr>
                <w:color w:val="0D0D0D" w:themeColor="text1" w:themeTint="F2"/>
                <w:spacing w:val="-4"/>
              </w:rPr>
              <w:t xml:space="preserve">Meziroční nárůst počtu pracovníků podpořili zaměstnanci i drobní podnikatelé. </w:t>
            </w:r>
          </w:p>
          <w:p w14:paraId="0C96B27A" w14:textId="77777777" w:rsidR="000C2CF1" w:rsidRDefault="000C2CF1" w:rsidP="00135A1D">
            <w:pPr>
              <w:pStyle w:val="Marginlie"/>
              <w:rPr>
                <w:color w:val="0D0D0D" w:themeColor="text1" w:themeTint="F2"/>
                <w:spacing w:val="-4"/>
              </w:rPr>
            </w:pPr>
          </w:p>
          <w:p w14:paraId="0C49A92C" w14:textId="77777777" w:rsidR="000C2CF1" w:rsidRDefault="000C2CF1" w:rsidP="00135A1D">
            <w:pPr>
              <w:pStyle w:val="Marginlie"/>
              <w:rPr>
                <w:color w:val="0D0D0D" w:themeColor="text1" w:themeTint="F2"/>
                <w:spacing w:val="-4"/>
              </w:rPr>
            </w:pPr>
          </w:p>
          <w:p w14:paraId="00EBAEF7" w14:textId="77777777" w:rsidR="000C2CF1" w:rsidRDefault="000C2CF1" w:rsidP="00135A1D">
            <w:pPr>
              <w:pStyle w:val="Marginlie"/>
              <w:rPr>
                <w:color w:val="0D0D0D" w:themeColor="text1" w:themeTint="F2"/>
                <w:spacing w:val="-4"/>
              </w:rPr>
            </w:pPr>
            <w:r>
              <w:rPr>
                <w:color w:val="0D0D0D" w:themeColor="text1" w:themeTint="F2"/>
                <w:spacing w:val="-4"/>
              </w:rPr>
              <w:t>Těžiště růstu zaměstnanosti spočívalo nadále ve veřejných službách.</w:t>
            </w:r>
          </w:p>
          <w:p w14:paraId="6CA3F320" w14:textId="77777777" w:rsidR="000C2CF1" w:rsidRDefault="000C2CF1" w:rsidP="00135A1D">
            <w:pPr>
              <w:pStyle w:val="Marginlie"/>
              <w:rPr>
                <w:color w:val="0D0D0D" w:themeColor="text1" w:themeTint="F2"/>
                <w:spacing w:val="-4"/>
              </w:rPr>
            </w:pPr>
            <w:r>
              <w:rPr>
                <w:color w:val="0D0D0D" w:themeColor="text1" w:themeTint="F2"/>
                <w:spacing w:val="-4"/>
              </w:rPr>
              <w:t xml:space="preserve">Dařilo se i vyspělejším podnikovým službám, </w:t>
            </w:r>
            <w:r w:rsidRPr="00910D77">
              <w:rPr>
                <w:color w:val="0D0D0D" w:themeColor="text1" w:themeTint="F2"/>
                <w:spacing w:val="-6"/>
              </w:rPr>
              <w:t>nemovitostem, obchodu</w:t>
            </w:r>
            <w:r>
              <w:rPr>
                <w:color w:val="0D0D0D" w:themeColor="text1" w:themeTint="F2"/>
                <w:spacing w:val="-4"/>
              </w:rPr>
              <w:t xml:space="preserve"> </w:t>
            </w:r>
            <w:r>
              <w:rPr>
                <w:color w:val="0D0D0D" w:themeColor="text1" w:themeTint="F2"/>
                <w:spacing w:val="-4"/>
              </w:rPr>
              <w:br/>
              <w:t xml:space="preserve">i cestovnímu ruchu. </w:t>
            </w:r>
          </w:p>
          <w:p w14:paraId="68B2F1B5" w14:textId="77777777" w:rsidR="000C2CF1" w:rsidRDefault="000C2CF1" w:rsidP="00135A1D">
            <w:pPr>
              <w:pStyle w:val="Marginlie"/>
              <w:rPr>
                <w:color w:val="0D0D0D" w:themeColor="text1" w:themeTint="F2"/>
                <w:spacing w:val="-4"/>
              </w:rPr>
            </w:pPr>
          </w:p>
          <w:p w14:paraId="33EFA577" w14:textId="77777777" w:rsidR="000C2CF1" w:rsidRDefault="000C2CF1" w:rsidP="00135A1D">
            <w:pPr>
              <w:pStyle w:val="Marginlie"/>
              <w:rPr>
                <w:color w:val="0D0D0D" w:themeColor="text1" w:themeTint="F2"/>
                <w:spacing w:val="-4"/>
              </w:rPr>
            </w:pPr>
          </w:p>
          <w:p w14:paraId="0BAB919D" w14:textId="77777777" w:rsidR="000C2CF1" w:rsidRDefault="000C2CF1" w:rsidP="00135A1D">
            <w:pPr>
              <w:pStyle w:val="Marginlie"/>
              <w:rPr>
                <w:color w:val="0D0D0D" w:themeColor="text1" w:themeTint="F2"/>
                <w:spacing w:val="-4"/>
              </w:rPr>
            </w:pPr>
          </w:p>
          <w:p w14:paraId="4FFDDD2C" w14:textId="77777777" w:rsidR="000C2CF1" w:rsidRDefault="000C2CF1" w:rsidP="00135A1D">
            <w:pPr>
              <w:pStyle w:val="Marginlie"/>
              <w:rPr>
                <w:color w:val="0D0D0D" w:themeColor="text1" w:themeTint="F2"/>
                <w:spacing w:val="-4"/>
              </w:rPr>
            </w:pPr>
            <w:r>
              <w:rPr>
                <w:color w:val="0D0D0D" w:themeColor="text1" w:themeTint="F2"/>
                <w:spacing w:val="-4"/>
              </w:rPr>
              <w:t>Ve finančnictví i oblasti ICT letos pracovníků nepřibývalo a počty sebezaměstnaných zde dokonce klesaly.</w:t>
            </w:r>
          </w:p>
          <w:p w14:paraId="591AB01C" w14:textId="77777777" w:rsidR="000C2CF1" w:rsidRDefault="000C2CF1" w:rsidP="00135A1D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185" w:type="dxa"/>
            <w:tcMar>
              <w:left w:w="0" w:type="dxa"/>
            </w:tcMar>
          </w:tcPr>
          <w:p w14:paraId="6FE2F4D1" w14:textId="77777777" w:rsidR="000C2CF1" w:rsidRPr="009F0D7F" w:rsidRDefault="000C2CF1" w:rsidP="00135A1D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69" w:type="dxa"/>
            <w:tcMar>
              <w:left w:w="0" w:type="dxa"/>
            </w:tcMar>
          </w:tcPr>
          <w:p w14:paraId="70D6DD2D" w14:textId="77777777" w:rsidR="000C2CF1" w:rsidRPr="00C058D0" w:rsidRDefault="000C2CF1" w:rsidP="00135A1D">
            <w:pPr>
              <w:rPr>
                <w:spacing w:val="-4"/>
              </w:rPr>
            </w:pPr>
            <w:r>
              <w:rPr>
                <w:spacing w:val="-4"/>
              </w:rPr>
              <w:t>Za 1. až 3. čtvrtletí 2025 celková zaměstnanost narostla meziročně o rovné 1 %</w:t>
            </w:r>
            <w:r>
              <w:rPr>
                <w:rStyle w:val="Znakapoznpodarou"/>
                <w:spacing w:val="-4"/>
              </w:rPr>
              <w:footnoteReference w:id="3"/>
            </w:r>
            <w:r>
              <w:rPr>
                <w:spacing w:val="-4"/>
              </w:rPr>
              <w:t>. K tomu přispěli jak zaměstnanci (+49 tis.), tak sebezaměstnaní (+6 tis.)</w:t>
            </w:r>
            <w:r>
              <w:rPr>
                <w:rStyle w:val="Znakapoznpodarou"/>
                <w:spacing w:val="-4"/>
              </w:rPr>
              <w:footnoteReference w:id="4"/>
            </w:r>
            <w:r>
              <w:rPr>
                <w:spacing w:val="-4"/>
              </w:rPr>
              <w:t>, přičemž obě skupiny rostly procentuálně srovnatelně. Z pohledu odvětví byly stále pro celkovou dynamiku zaměstnanosti v ekonomice určující v</w:t>
            </w:r>
            <w:r w:rsidRPr="00C058D0">
              <w:rPr>
                <w:spacing w:val="-4"/>
              </w:rPr>
              <w:t>eřejné služby</w:t>
            </w:r>
            <w:r w:rsidRPr="00C058D0">
              <w:rPr>
                <w:rStyle w:val="Znakapoznpodarou"/>
                <w:spacing w:val="-4"/>
              </w:rPr>
              <w:footnoteReference w:id="5"/>
            </w:r>
            <w:r w:rsidRPr="00C058D0">
              <w:rPr>
                <w:spacing w:val="-4"/>
              </w:rPr>
              <w:t>,</w:t>
            </w:r>
            <w:r>
              <w:rPr>
                <w:spacing w:val="-4"/>
              </w:rPr>
              <w:t xml:space="preserve"> kde letos růst mírně zrychlil (na 2,0 %), což souviselo především s rozvojem vzdělávání a zdravotní i sociální péče. </w:t>
            </w:r>
            <w:r w:rsidRPr="007B183D">
              <w:rPr>
                <w:spacing w:val="-6"/>
              </w:rPr>
              <w:t xml:space="preserve">Relativně nejvíce se </w:t>
            </w:r>
            <w:r>
              <w:rPr>
                <w:spacing w:val="-6"/>
              </w:rPr>
              <w:t>ale</w:t>
            </w:r>
            <w:r w:rsidRPr="007B183D">
              <w:rPr>
                <w:spacing w:val="-6"/>
              </w:rPr>
              <w:t xml:space="preserve"> zvýšil</w:t>
            </w:r>
            <w:r>
              <w:rPr>
                <w:spacing w:val="-6"/>
              </w:rPr>
              <w:t>a</w:t>
            </w:r>
            <w:r w:rsidRPr="007B183D">
              <w:rPr>
                <w:spacing w:val="-6"/>
              </w:rPr>
              <w:t xml:space="preserve"> zaměstnanost</w:t>
            </w:r>
            <w:r>
              <w:rPr>
                <w:spacing w:val="-4"/>
              </w:rPr>
              <w:t xml:space="preserve"> v malém odvětví činnosti oblasti nemovitostí (+3,5 %), kde obdobně jako vloni přibylo jak zaměstnanců, tak sebezaměstnaných. To platí i pro p</w:t>
            </w:r>
            <w:r w:rsidRPr="007B183D">
              <w:rPr>
                <w:spacing w:val="-4"/>
              </w:rPr>
              <w:t>rofesní, vědecké, technické a administrativní činnosti</w:t>
            </w:r>
            <w:r>
              <w:rPr>
                <w:spacing w:val="-4"/>
              </w:rPr>
              <w:t xml:space="preserve"> (+1,2 %), jež soustřeďují zejména specialisty poskytující vyspělé služby převážně pro podnikovou sféru. Počet pracovníků zde ovšem letos rostl nejméně za poslední pětiletí. Sílil naopak růst v ostatních činnostech služeb</w:t>
            </w:r>
            <w:r>
              <w:rPr>
                <w:rStyle w:val="Znakapoznpodarou"/>
                <w:spacing w:val="-4"/>
              </w:rPr>
              <w:footnoteReference w:id="6"/>
            </w:r>
            <w:r>
              <w:rPr>
                <w:spacing w:val="-4"/>
              </w:rPr>
              <w:t xml:space="preserve">, kde letos přibylo 3,4 % pracovníků a zaměstnanost v tomto odvětví, výrazně poznamenaném protipandemickými restrikcemi, tak poprvé překonala úroveň z předkrizového roku 2019. </w:t>
            </w:r>
            <w:r>
              <w:rPr>
                <w:spacing w:val="-4"/>
              </w:rPr>
              <w:br/>
            </w:r>
            <w:r>
              <w:rPr>
                <w:spacing w:val="-4"/>
              </w:rPr>
              <w:lastRenderedPageBreak/>
              <w:t>V uskupení o</w:t>
            </w:r>
            <w:r w:rsidRPr="00A13F9E">
              <w:rPr>
                <w:spacing w:val="-4"/>
              </w:rPr>
              <w:t>bchod, doprava, ubytování a pohostinství</w:t>
            </w:r>
            <w:r>
              <w:rPr>
                <w:spacing w:val="-4"/>
              </w:rPr>
              <w:t xml:space="preserve"> přetrvával mírnější růst (+1,1 %). Na jedné straně se dařilo obchodu a aktivitám navázaným na cestovní ruch, současně však ubývala pracovní místa v dopravě a skladování, což souviselo s přetrvávající slabou dynamikou výkonu v průmyslu. V okruhu nejvyspělejších služeb zařazených do kvartérního sektoru ekonomiky roste v posledních čtvrtletích celková zaměstnanost jen slabě – v oblasti ICT, stejně jako ve finančnictví, se letos počet pracovníků zvýšil pouze o 0,1 %. V obou případech za tím stál úbytek sebezaměstnaných (těch zde přitom v minulých letech svižně přibývalo). Zatímco celkové růstové tempo zaměstnanosti je letos v oblasti ICT nejslabší od období recese v roce 2012, u peněžnictví a pojišťovnictví jde o potvrzení dlouhodobějšího trendu související s rozvojem digitalizace. </w:t>
            </w:r>
          </w:p>
        </w:tc>
      </w:tr>
      <w:tr w:rsidR="000C2CF1" w:rsidRPr="009F0D7F" w14:paraId="12B18360" w14:textId="77777777" w:rsidTr="00135A1D">
        <w:trPr>
          <w:trHeight w:val="155"/>
        </w:trPr>
        <w:tc>
          <w:tcPr>
            <w:tcW w:w="1814" w:type="dxa"/>
            <w:tcMar>
              <w:left w:w="0" w:type="dxa"/>
            </w:tcMar>
          </w:tcPr>
          <w:p w14:paraId="785F2C02" w14:textId="77777777" w:rsidR="000C2CF1" w:rsidRDefault="000C2CF1" w:rsidP="00135A1D">
            <w:pPr>
              <w:pStyle w:val="Marginlie"/>
              <w:rPr>
                <w:color w:val="0D0D0D" w:themeColor="text1" w:themeTint="F2"/>
              </w:rPr>
            </w:pPr>
            <w:r w:rsidRPr="007928AC">
              <w:rPr>
                <w:color w:val="0D0D0D" w:themeColor="text1" w:themeTint="F2"/>
              </w:rPr>
              <w:lastRenderedPageBreak/>
              <w:t>Ve stavebnictví růst zaměstnanosti zrychlil i díky posílení role drobných podnikatelů.</w:t>
            </w:r>
          </w:p>
          <w:p w14:paraId="76283273" w14:textId="77777777" w:rsidR="000C2CF1" w:rsidRDefault="000C2CF1" w:rsidP="00135A1D">
            <w:pPr>
              <w:pStyle w:val="Marginlie"/>
              <w:rPr>
                <w:color w:val="0D0D0D" w:themeColor="text1" w:themeTint="F2"/>
              </w:rPr>
            </w:pPr>
          </w:p>
          <w:p w14:paraId="7F244B00" w14:textId="77777777" w:rsidR="000C2CF1" w:rsidRDefault="000C2CF1" w:rsidP="00135A1D">
            <w:pPr>
              <w:pStyle w:val="Marginlie"/>
              <w:rPr>
                <w:color w:val="0D0D0D" w:themeColor="text1" w:themeTint="F2"/>
              </w:rPr>
            </w:pPr>
          </w:p>
          <w:p w14:paraId="2E5E4E7D" w14:textId="77777777" w:rsidR="000C2CF1" w:rsidRDefault="000C2CF1" w:rsidP="00135A1D">
            <w:pPr>
              <w:pStyle w:val="Marginlie"/>
              <w:spacing w:after="12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spacing w:val="-4"/>
              </w:rPr>
              <w:t>Pokles zaměstnanosti ve zpracovatelském průmyslu se zmírnil. Situace v řadě tradičních exportních oborů je stále obtížná.</w:t>
            </w:r>
          </w:p>
          <w:p w14:paraId="72F5E541" w14:textId="77777777" w:rsidR="000C2CF1" w:rsidRPr="007928AC" w:rsidRDefault="000C2CF1" w:rsidP="00135A1D">
            <w:pPr>
              <w:pStyle w:val="Marginlie"/>
              <w:spacing w:after="120"/>
              <w:rPr>
                <w:color w:val="0D0D0D" w:themeColor="text1" w:themeTint="F2"/>
              </w:rPr>
            </w:pPr>
          </w:p>
        </w:tc>
        <w:tc>
          <w:tcPr>
            <w:tcW w:w="185" w:type="dxa"/>
            <w:tcMar>
              <w:left w:w="0" w:type="dxa"/>
            </w:tcMar>
          </w:tcPr>
          <w:p w14:paraId="5E68D244" w14:textId="77777777" w:rsidR="000C2CF1" w:rsidRPr="009F0D7F" w:rsidRDefault="000C2CF1" w:rsidP="00135A1D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69" w:type="dxa"/>
            <w:tcMar>
              <w:left w:w="0" w:type="dxa"/>
            </w:tcMar>
          </w:tcPr>
          <w:p w14:paraId="76576B05" w14:textId="77777777" w:rsidR="000C2CF1" w:rsidRPr="00C058D0" w:rsidRDefault="000C2CF1" w:rsidP="00135A1D">
            <w:pPr>
              <w:spacing w:after="200"/>
              <w:rPr>
                <w:spacing w:val="-4"/>
              </w:rPr>
            </w:pPr>
            <w:r>
              <w:rPr>
                <w:spacing w:val="-4"/>
              </w:rPr>
              <w:t xml:space="preserve">Mimo sektor služeb letos přibylo pracovníků jen ve stavebnictví (+2 %), k čemuž přispěli </w:t>
            </w:r>
            <w:r>
              <w:rPr>
                <w:spacing w:val="-4"/>
              </w:rPr>
              <w:br/>
              <w:t>vcelku srovnatelně drobní podnikatel</w:t>
            </w:r>
            <w:r w:rsidRPr="00EC4680">
              <w:rPr>
                <w:color w:val="0D0D0D" w:themeColor="text1" w:themeTint="F2"/>
                <w:spacing w:val="-4"/>
              </w:rPr>
              <w:t>é</w:t>
            </w:r>
            <w:r>
              <w:rPr>
                <w:color w:val="0D0D0D" w:themeColor="text1" w:themeTint="F2"/>
                <w:spacing w:val="-4"/>
              </w:rPr>
              <w:t xml:space="preserve"> i zaměstnanci</w:t>
            </w:r>
            <w:r w:rsidRPr="00EC4680">
              <w:rPr>
                <w:color w:val="0D0D0D" w:themeColor="text1" w:themeTint="F2"/>
                <w:spacing w:val="-4"/>
              </w:rPr>
              <w:t xml:space="preserve">. Naopak ve zpracovatelském průmyslu pracovníků meziročně ubývá </w:t>
            </w:r>
            <w:r>
              <w:rPr>
                <w:color w:val="0D0D0D" w:themeColor="text1" w:themeTint="F2"/>
                <w:spacing w:val="-4"/>
              </w:rPr>
              <w:t>třetím rokem</w:t>
            </w:r>
            <w:r w:rsidRPr="00EC4680">
              <w:rPr>
                <w:color w:val="0D0D0D" w:themeColor="text1" w:themeTint="F2"/>
                <w:spacing w:val="-4"/>
              </w:rPr>
              <w:t xml:space="preserve"> v řadě.</w:t>
            </w:r>
            <w:r>
              <w:rPr>
                <w:spacing w:val="-4"/>
              </w:rPr>
              <w:t xml:space="preserve"> Letošní pokles je zde však relativně mírnější (–0,4 %), stejně jako loni se však na něm podíleli zaměstnanci i sebezaměstnaní. </w:t>
            </w:r>
            <w:r>
              <w:rPr>
                <w:spacing w:val="-5"/>
              </w:rPr>
              <w:t>Oslabená tuzemská i zahraniční poptávka po zboží</w:t>
            </w:r>
            <w:r>
              <w:rPr>
                <w:spacing w:val="-4"/>
              </w:rPr>
              <w:t xml:space="preserve">, jakož i přetrvávající nákladové tlaky související hlavně s energetickou náročností výroby zatím neposkytují větší prostor pro růst nových pracovních </w:t>
            </w:r>
            <w:r w:rsidRPr="000E154C">
              <w:rPr>
                <w:spacing w:val="-6"/>
              </w:rPr>
              <w:t xml:space="preserve">míst. V ostatním průmyslu byla situace celkově </w:t>
            </w:r>
            <w:r>
              <w:rPr>
                <w:spacing w:val="-6"/>
              </w:rPr>
              <w:t>poněkud</w:t>
            </w:r>
            <w:r w:rsidRPr="000E154C">
              <w:rPr>
                <w:spacing w:val="-6"/>
              </w:rPr>
              <w:t xml:space="preserve"> příznivější, neboť mírný růst zaměstnanosti</w:t>
            </w:r>
            <w:r>
              <w:rPr>
                <w:spacing w:val="-4"/>
              </w:rPr>
              <w:t xml:space="preserve"> v energetice, vodním </w:t>
            </w:r>
            <w:r w:rsidRPr="00C058D0">
              <w:rPr>
                <w:spacing w:val="-4"/>
              </w:rPr>
              <w:t>a odpadovém hospodářství stačil kompenzovat prohlubující se útlum v relativně</w:t>
            </w:r>
            <w:r>
              <w:rPr>
                <w:spacing w:val="-4"/>
              </w:rPr>
              <w:t xml:space="preserve"> malém oboru těžby a dobývání. Zaměstnanost zde tak fakticky stagnovala čtvrtým rokem v řadě. To v zásadě platí i pro primární sektor</w:t>
            </w:r>
            <w:r w:rsidRPr="00C058D0">
              <w:rPr>
                <w:spacing w:val="-4"/>
              </w:rPr>
              <w:t xml:space="preserve"> zemědě</w:t>
            </w:r>
            <w:r>
              <w:rPr>
                <w:spacing w:val="-4"/>
              </w:rPr>
              <w:t>lství, lesnictví a rybářství.</w:t>
            </w:r>
          </w:p>
        </w:tc>
      </w:tr>
      <w:tr w:rsidR="000C2CF1" w:rsidRPr="009F0D7F" w14:paraId="2E34561A" w14:textId="77777777" w:rsidTr="00135A1D">
        <w:trPr>
          <w:trHeight w:val="155"/>
        </w:trPr>
        <w:tc>
          <w:tcPr>
            <w:tcW w:w="1814" w:type="dxa"/>
            <w:tcMar>
              <w:left w:w="0" w:type="dxa"/>
            </w:tcMar>
          </w:tcPr>
          <w:p w14:paraId="3F09A45C" w14:textId="77777777" w:rsidR="000C2CF1" w:rsidRDefault="000C2CF1" w:rsidP="00135A1D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  <w:r>
              <w:rPr>
                <w:color w:val="0D0D0D" w:themeColor="text1" w:themeTint="F2"/>
                <w:spacing w:val="-4"/>
              </w:rPr>
              <w:t>Odpracovaná doba se zvyšovala rychleji než fyzický počet pracovníků, především ve stavebnictví.</w:t>
            </w:r>
          </w:p>
        </w:tc>
        <w:tc>
          <w:tcPr>
            <w:tcW w:w="185" w:type="dxa"/>
            <w:tcMar>
              <w:left w:w="0" w:type="dxa"/>
            </w:tcMar>
          </w:tcPr>
          <w:p w14:paraId="6FF336E2" w14:textId="77777777" w:rsidR="000C2CF1" w:rsidRPr="009F0D7F" w:rsidRDefault="000C2CF1" w:rsidP="00135A1D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69" w:type="dxa"/>
            <w:tcMar>
              <w:left w:w="0" w:type="dxa"/>
            </w:tcMar>
          </w:tcPr>
          <w:p w14:paraId="608D77A8" w14:textId="77777777" w:rsidR="000C2CF1" w:rsidRPr="00C058D0" w:rsidRDefault="000C2CF1" w:rsidP="00135A1D">
            <w:pPr>
              <w:spacing w:after="200"/>
              <w:rPr>
                <w:spacing w:val="-4"/>
              </w:rPr>
            </w:pPr>
            <w:r>
              <w:rPr>
                <w:spacing w:val="-4"/>
              </w:rPr>
              <w:t>Celkový počet odpracovaných hodin</w:t>
            </w:r>
            <w:r>
              <w:rPr>
                <w:rStyle w:val="Znakapoznpodarou"/>
                <w:spacing w:val="-4"/>
              </w:rPr>
              <w:footnoteReference w:id="7"/>
            </w:r>
            <w:r>
              <w:rPr>
                <w:spacing w:val="-4"/>
              </w:rPr>
              <w:t xml:space="preserve"> v ekonomice se letos za tři čtvrtletí meziročně zvýšil o 2,1 %</w:t>
            </w:r>
            <w:r>
              <w:rPr>
                <w:rStyle w:val="Znakapoznpodarou"/>
                <w:spacing w:val="-4"/>
              </w:rPr>
              <w:footnoteReference w:id="8"/>
            </w:r>
            <w:r>
              <w:rPr>
                <w:spacing w:val="-4"/>
              </w:rPr>
              <w:t xml:space="preserve"> a během roku navíc tempo zrychlovalo. Stejně jako v předchozích letech (od ústupu pandemie covidu-19) narůstal počet hodin rychleji než počet zaměstnaných (ve fyzických osobách). Totéž platilo letos pro zaměstnance i </w:t>
            </w:r>
            <w:proofErr w:type="spellStart"/>
            <w:r>
              <w:rPr>
                <w:spacing w:val="-4"/>
              </w:rPr>
              <w:t>sebezaměstnané</w:t>
            </w:r>
            <w:proofErr w:type="spellEnd"/>
            <w:r>
              <w:rPr>
                <w:spacing w:val="-4"/>
              </w:rPr>
              <w:t>, z pohledu hlavních odvětví pak celkově zejména pro stavebnictví (kde rostla odpracovaná doba oproti zaměstnanosti dvojnásobně), v menší míře i pro většinu i pro další oblasti (vyjma některých váhově malých odvětví služeb</w:t>
            </w:r>
            <w:r>
              <w:rPr>
                <w:rStyle w:val="Znakapoznpodarou"/>
                <w:spacing w:val="-4"/>
              </w:rPr>
              <w:footnoteReference w:id="9"/>
            </w:r>
            <w:r>
              <w:rPr>
                <w:spacing w:val="-4"/>
              </w:rPr>
              <w:t xml:space="preserve">). To patrně souvisí s nedostatkem manuálních (kvalifikovaných i méně kvalifikovaných) pracovníků, ale i specialistů na trhu. Projevil se rovněž fakt, že v posledních letech mírně přibývá pracujících s dvěma a více zaměstnáními. </w:t>
            </w:r>
          </w:p>
        </w:tc>
      </w:tr>
      <w:tr w:rsidR="000C2CF1" w:rsidRPr="009F0D7F" w14:paraId="7081F462" w14:textId="77777777" w:rsidTr="00135A1D">
        <w:trPr>
          <w:trHeight w:val="155"/>
        </w:trPr>
        <w:tc>
          <w:tcPr>
            <w:tcW w:w="1814" w:type="dxa"/>
            <w:tcMar>
              <w:left w:w="0" w:type="dxa"/>
            </w:tcMar>
          </w:tcPr>
          <w:p w14:paraId="28D7F6C4" w14:textId="77777777" w:rsidR="000C2CF1" w:rsidRPr="007C71EB" w:rsidRDefault="000C2CF1" w:rsidP="00135A1D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  <w:r w:rsidRPr="007C71EB">
              <w:rPr>
                <w:color w:val="0D0D0D" w:themeColor="text1" w:themeTint="F2"/>
                <w:spacing w:val="-4"/>
              </w:rPr>
              <w:t>Růst produktivity práce se obnovil. Patrný byl letos v ICT či stavebnictví.</w:t>
            </w:r>
          </w:p>
        </w:tc>
        <w:tc>
          <w:tcPr>
            <w:tcW w:w="185" w:type="dxa"/>
            <w:tcMar>
              <w:left w:w="0" w:type="dxa"/>
            </w:tcMar>
          </w:tcPr>
          <w:p w14:paraId="00229672" w14:textId="77777777" w:rsidR="000C2CF1" w:rsidRPr="007C71EB" w:rsidRDefault="000C2CF1" w:rsidP="00135A1D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69" w:type="dxa"/>
            <w:tcMar>
              <w:left w:w="0" w:type="dxa"/>
            </w:tcMar>
          </w:tcPr>
          <w:p w14:paraId="49F253B4" w14:textId="77777777" w:rsidR="000C2CF1" w:rsidRPr="007C71EB" w:rsidRDefault="000C2CF1" w:rsidP="00135A1D">
            <w:pPr>
              <w:rPr>
                <w:color w:val="0D0D0D" w:themeColor="text1" w:themeTint="F2"/>
                <w:spacing w:val="-4"/>
              </w:rPr>
            </w:pPr>
            <w:r w:rsidRPr="007C71EB">
              <w:rPr>
                <w:color w:val="0D0D0D" w:themeColor="text1" w:themeTint="F2"/>
                <w:spacing w:val="-4"/>
              </w:rPr>
              <w:t>Zrychlení výkonu ekonomiky vedlo letos i při relativně významném růstu odpracovaných hodin k posilování produktivity práce. Hodinová produktivita</w:t>
            </w:r>
            <w:r w:rsidRPr="007C71EB">
              <w:rPr>
                <w:rStyle w:val="Znakapoznpodarou"/>
                <w:color w:val="0D0D0D" w:themeColor="text1" w:themeTint="F2"/>
                <w:spacing w:val="-4"/>
              </w:rPr>
              <w:footnoteReference w:id="10"/>
            </w:r>
            <w:r w:rsidRPr="007C71EB">
              <w:rPr>
                <w:color w:val="0D0D0D" w:themeColor="text1" w:themeTint="F2"/>
                <w:spacing w:val="-4"/>
              </w:rPr>
              <w:t xml:space="preserve"> se v 1.</w:t>
            </w:r>
            <w:r>
              <w:rPr>
                <w:color w:val="0D0D0D" w:themeColor="text1" w:themeTint="F2"/>
                <w:spacing w:val="-4"/>
              </w:rPr>
              <w:t xml:space="preserve"> </w:t>
            </w:r>
            <w:r w:rsidRPr="007C71EB">
              <w:rPr>
                <w:color w:val="0D0D0D" w:themeColor="text1" w:themeTint="F2"/>
                <w:spacing w:val="-4"/>
              </w:rPr>
              <w:t xml:space="preserve">až 3. čtvrtletí meziročně zvýšila o 0,5 % a rostla poprvé po roce 2021. Nejvíce se zvýšila v oblasti ICT (+7,2 %), svižně rostla i ve stavebnictví (2,4 %), finančnictví či ostatních službách. Naopak v průmyslu či podnikových službách pouze stagnovala. K pozitivnímu obratu došlo také u produktivity vyjádřené na pracovníka (ve fyzických osobách), která se meziročně mírně zvýšila již ve </w:t>
            </w:r>
            <w:r>
              <w:rPr>
                <w:color w:val="0D0D0D" w:themeColor="text1" w:themeTint="F2"/>
                <w:spacing w:val="-4"/>
              </w:rPr>
              <w:br/>
            </w:r>
            <w:r w:rsidRPr="007C71EB">
              <w:rPr>
                <w:color w:val="0D0D0D" w:themeColor="text1" w:themeTint="F2"/>
                <w:spacing w:val="-4"/>
              </w:rPr>
              <w:t>2. pololetí 2024.</w:t>
            </w:r>
            <w:r>
              <w:rPr>
                <w:color w:val="0D0D0D" w:themeColor="text1" w:themeTint="F2"/>
                <w:spacing w:val="-4"/>
              </w:rPr>
              <w:t xml:space="preserve"> Oproti roku 2019 byla tato produktivita mírně vyšší (+2,4 %), hlavně zásluhou zpracovatelského průmyslu, za předkrizovou úrovní naopak zaostala hlavně ve stavebnictví a činnostech v oblasti nemovitostí. Hodinová produktivita práce v celé ekonomice byla letos srovnatelná s úrovní z 1. až 3. čtvrtletí 2019 (+0,7 %).</w:t>
            </w:r>
          </w:p>
        </w:tc>
      </w:tr>
      <w:tr w:rsidR="000C2CF1" w:rsidRPr="009F0D7F" w14:paraId="19017B0A" w14:textId="77777777" w:rsidTr="00135A1D">
        <w:trPr>
          <w:trHeight w:val="155"/>
        </w:trPr>
        <w:tc>
          <w:tcPr>
            <w:tcW w:w="1814" w:type="dxa"/>
            <w:tcMar>
              <w:left w:w="0" w:type="dxa"/>
            </w:tcMar>
          </w:tcPr>
          <w:p w14:paraId="44895394" w14:textId="77777777" w:rsidR="000C2CF1" w:rsidRDefault="000C2CF1" w:rsidP="00135A1D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  <w:r w:rsidRPr="005609A1">
              <w:rPr>
                <w:color w:val="0D0D0D" w:themeColor="text1" w:themeTint="F2"/>
                <w:spacing w:val="-4"/>
              </w:rPr>
              <w:t xml:space="preserve">Počet cizinců v zaměstnaneckém postavení vystoupal na rekordních </w:t>
            </w:r>
            <w:r>
              <w:rPr>
                <w:color w:val="0D0D0D" w:themeColor="text1" w:themeTint="F2"/>
                <w:spacing w:val="-4"/>
              </w:rPr>
              <w:t>926</w:t>
            </w:r>
            <w:r w:rsidRPr="005609A1">
              <w:rPr>
                <w:color w:val="0D0D0D" w:themeColor="text1" w:themeTint="F2"/>
                <w:spacing w:val="-4"/>
              </w:rPr>
              <w:t xml:space="preserve"> tis. Jejich přírůstek </w:t>
            </w:r>
            <w:r>
              <w:rPr>
                <w:color w:val="0D0D0D" w:themeColor="text1" w:themeTint="F2"/>
                <w:spacing w:val="-4"/>
              </w:rPr>
              <w:t>byl stále tažen hlavně občany Ukrajiny.</w:t>
            </w:r>
            <w:r w:rsidRPr="005609A1">
              <w:rPr>
                <w:color w:val="0D0D0D" w:themeColor="text1" w:themeTint="F2"/>
                <w:spacing w:val="-4"/>
              </w:rPr>
              <w:t xml:space="preserve"> </w:t>
            </w:r>
          </w:p>
          <w:p w14:paraId="635837E5" w14:textId="77777777" w:rsidR="000C2CF1" w:rsidRDefault="000C2CF1" w:rsidP="00135A1D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  <w:r w:rsidRPr="005609A1">
              <w:rPr>
                <w:color w:val="0D0D0D" w:themeColor="text1" w:themeTint="F2"/>
                <w:spacing w:val="-4"/>
              </w:rPr>
              <w:lastRenderedPageBreak/>
              <w:t>Zrychlil příliv osob z některých asijských států</w:t>
            </w:r>
            <w:r>
              <w:rPr>
                <w:color w:val="0D0D0D" w:themeColor="text1" w:themeTint="F2"/>
                <w:spacing w:val="-4"/>
              </w:rPr>
              <w:t>. Počty p</w:t>
            </w:r>
            <w:r w:rsidRPr="005609A1">
              <w:rPr>
                <w:color w:val="0D0D0D" w:themeColor="text1" w:themeTint="F2"/>
                <w:spacing w:val="-4"/>
              </w:rPr>
              <w:t xml:space="preserve">racovníků ze střední </w:t>
            </w:r>
            <w:r>
              <w:rPr>
                <w:color w:val="0D0D0D" w:themeColor="text1" w:themeTint="F2"/>
                <w:spacing w:val="-4"/>
              </w:rPr>
              <w:t xml:space="preserve">a východní </w:t>
            </w:r>
            <w:r w:rsidRPr="005609A1">
              <w:rPr>
                <w:color w:val="0D0D0D" w:themeColor="text1" w:themeTint="F2"/>
                <w:spacing w:val="-4"/>
              </w:rPr>
              <w:t>Evropy</w:t>
            </w:r>
            <w:r>
              <w:rPr>
                <w:color w:val="0D0D0D" w:themeColor="text1" w:themeTint="F2"/>
                <w:spacing w:val="-4"/>
              </w:rPr>
              <w:t xml:space="preserve"> meziročně spíše stagnovaly. </w:t>
            </w:r>
          </w:p>
          <w:p w14:paraId="4A6531F2" w14:textId="77777777" w:rsidR="000C2CF1" w:rsidRDefault="000C2CF1" w:rsidP="00135A1D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</w:p>
          <w:p w14:paraId="2739DE04" w14:textId="77777777" w:rsidR="000C2CF1" w:rsidRDefault="000C2CF1" w:rsidP="00135A1D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</w:p>
          <w:p w14:paraId="720715C5" w14:textId="77777777" w:rsidR="000C2CF1" w:rsidRDefault="000C2CF1" w:rsidP="00135A1D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</w:p>
          <w:p w14:paraId="14DB0A00" w14:textId="77777777" w:rsidR="000C2CF1" w:rsidRDefault="000C2CF1" w:rsidP="00135A1D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</w:p>
          <w:p w14:paraId="321B56FA" w14:textId="77777777" w:rsidR="000C2CF1" w:rsidRDefault="000C2CF1" w:rsidP="00135A1D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  <w:r>
              <w:rPr>
                <w:color w:val="0D0D0D" w:themeColor="text1" w:themeTint="F2"/>
                <w:spacing w:val="-4"/>
              </w:rPr>
              <w:t>Silná koncentrace pracujících cizinců do Prahy dále posilovala.</w:t>
            </w:r>
          </w:p>
        </w:tc>
        <w:tc>
          <w:tcPr>
            <w:tcW w:w="185" w:type="dxa"/>
            <w:tcMar>
              <w:left w:w="0" w:type="dxa"/>
            </w:tcMar>
          </w:tcPr>
          <w:p w14:paraId="5DE47867" w14:textId="77777777" w:rsidR="000C2CF1" w:rsidRPr="009F0D7F" w:rsidRDefault="000C2CF1" w:rsidP="00135A1D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69" w:type="dxa"/>
            <w:tcMar>
              <w:left w:w="0" w:type="dxa"/>
            </w:tcMar>
          </w:tcPr>
          <w:p w14:paraId="20EC017A" w14:textId="77777777" w:rsidR="000C2CF1" w:rsidRPr="00DB22EB" w:rsidRDefault="000C2CF1" w:rsidP="00135A1D">
            <w:pPr>
              <w:rPr>
                <w:color w:val="0D0D0D" w:themeColor="text1" w:themeTint="F2"/>
                <w:spacing w:val="-4"/>
              </w:rPr>
            </w:pPr>
            <w:r>
              <w:rPr>
                <w:color w:val="0D0D0D" w:themeColor="text1" w:themeTint="F2"/>
                <w:spacing w:val="-4"/>
              </w:rPr>
              <w:t>Trh práce se v Česku dlouhodobě vlivem</w:t>
            </w:r>
            <w:r w:rsidRPr="007F303C">
              <w:rPr>
                <w:color w:val="0D0D0D" w:themeColor="text1" w:themeTint="F2"/>
                <w:spacing w:val="-4"/>
              </w:rPr>
              <w:t xml:space="preserve"> </w:t>
            </w:r>
            <w:r>
              <w:rPr>
                <w:color w:val="0D0D0D" w:themeColor="text1" w:themeTint="F2"/>
                <w:spacing w:val="-4"/>
              </w:rPr>
              <w:t>demografického stárnutí i nízké porodnosti potýká s nízkou zásobou</w:t>
            </w:r>
            <w:r w:rsidRPr="007F303C">
              <w:rPr>
                <w:color w:val="0D0D0D" w:themeColor="text1" w:themeTint="F2"/>
                <w:spacing w:val="-4"/>
              </w:rPr>
              <w:t xml:space="preserve"> volných pracovních sil</w:t>
            </w:r>
            <w:r>
              <w:rPr>
                <w:color w:val="0D0D0D" w:themeColor="text1" w:themeTint="F2"/>
                <w:spacing w:val="-4"/>
              </w:rPr>
              <w:t>. To spolu se</w:t>
            </w:r>
            <w:r w:rsidRPr="007F303C">
              <w:rPr>
                <w:color w:val="0D0D0D" w:themeColor="text1" w:themeTint="F2"/>
                <w:spacing w:val="-4"/>
              </w:rPr>
              <w:t xml:space="preserve"> sílící</w:t>
            </w:r>
            <w:r>
              <w:rPr>
                <w:color w:val="0D0D0D" w:themeColor="text1" w:themeTint="F2"/>
                <w:spacing w:val="-4"/>
              </w:rPr>
              <w:t>m</w:t>
            </w:r>
            <w:r w:rsidRPr="007F303C">
              <w:rPr>
                <w:color w:val="0D0D0D" w:themeColor="text1" w:themeTint="F2"/>
                <w:spacing w:val="-4"/>
              </w:rPr>
              <w:t xml:space="preserve"> tlak</w:t>
            </w:r>
            <w:r>
              <w:rPr>
                <w:color w:val="0D0D0D" w:themeColor="text1" w:themeTint="F2"/>
                <w:spacing w:val="-4"/>
              </w:rPr>
              <w:t>em</w:t>
            </w:r>
            <w:r w:rsidRPr="007F303C">
              <w:rPr>
                <w:color w:val="0D0D0D" w:themeColor="text1" w:themeTint="F2"/>
                <w:spacing w:val="-4"/>
              </w:rPr>
              <w:t xml:space="preserve"> firem na optimalizaci výrobních nákladů</w:t>
            </w:r>
            <w:r>
              <w:rPr>
                <w:color w:val="0D0D0D" w:themeColor="text1" w:themeTint="F2"/>
                <w:spacing w:val="-4"/>
              </w:rPr>
              <w:t xml:space="preserve"> podněcuje</w:t>
            </w:r>
            <w:r w:rsidRPr="007F303C">
              <w:rPr>
                <w:color w:val="0D0D0D" w:themeColor="text1" w:themeTint="F2"/>
                <w:spacing w:val="-4"/>
              </w:rPr>
              <w:t xml:space="preserve"> poptávku tuzemských </w:t>
            </w:r>
            <w:r w:rsidRPr="00CE2E5A">
              <w:rPr>
                <w:color w:val="0D0D0D" w:themeColor="text1" w:themeTint="F2"/>
                <w:spacing w:val="-4"/>
              </w:rPr>
              <w:t xml:space="preserve">zaměstnavatelů po pracovnících ze zahraničí. </w:t>
            </w:r>
            <w:r>
              <w:rPr>
                <w:color w:val="0D0D0D" w:themeColor="text1" w:themeTint="F2"/>
                <w:spacing w:val="-4"/>
              </w:rPr>
              <w:t>V posledním období na</w:t>
            </w:r>
            <w:r w:rsidRPr="00661B27">
              <w:rPr>
                <w:color w:val="0D0D0D" w:themeColor="text1" w:themeTint="F2"/>
                <w:spacing w:val="-4"/>
              </w:rPr>
              <w:t>pomáhají</w:t>
            </w:r>
            <w:r>
              <w:rPr>
                <w:color w:val="0D0D0D" w:themeColor="text1" w:themeTint="F2"/>
                <w:spacing w:val="-4"/>
              </w:rPr>
              <w:t xml:space="preserve"> s</w:t>
            </w:r>
            <w:r w:rsidRPr="00882ADE">
              <w:rPr>
                <w:color w:val="0D0D0D" w:themeColor="text1" w:themeTint="F2"/>
                <w:spacing w:val="-4"/>
              </w:rPr>
              <w:t xml:space="preserve">nadnějšímu </w:t>
            </w:r>
            <w:r w:rsidRPr="00661B27">
              <w:rPr>
                <w:color w:val="0D0D0D" w:themeColor="text1" w:themeTint="F2"/>
                <w:spacing w:val="-4"/>
              </w:rPr>
              <w:t xml:space="preserve">zaměstnávání cizinců </w:t>
            </w:r>
            <w:r w:rsidRPr="007F303C">
              <w:rPr>
                <w:color w:val="0D0D0D" w:themeColor="text1" w:themeTint="F2"/>
                <w:spacing w:val="-4"/>
              </w:rPr>
              <w:t xml:space="preserve">legislativní </w:t>
            </w:r>
            <w:r w:rsidRPr="007F303C">
              <w:rPr>
                <w:color w:val="0D0D0D" w:themeColor="text1" w:themeTint="F2"/>
                <w:spacing w:val="-4"/>
              </w:rPr>
              <w:lastRenderedPageBreak/>
              <w:t>změny snižující administrativní náročnost v této oblasti. To se týká jak ukrajinských občanů</w:t>
            </w:r>
            <w:r w:rsidRPr="007F303C">
              <w:rPr>
                <w:rStyle w:val="Znakapoznpodarou"/>
                <w:color w:val="0D0D0D" w:themeColor="text1" w:themeTint="F2"/>
                <w:spacing w:val="-4"/>
              </w:rPr>
              <w:footnoteReference w:id="11"/>
            </w:r>
            <w:r w:rsidRPr="007F303C">
              <w:rPr>
                <w:color w:val="0D0D0D" w:themeColor="text1" w:themeTint="F2"/>
                <w:spacing w:val="-4"/>
              </w:rPr>
              <w:t xml:space="preserve">, tak i cizinců z dalších, nejen </w:t>
            </w:r>
            <w:r>
              <w:rPr>
                <w:color w:val="0D0D0D" w:themeColor="text1" w:themeTint="F2"/>
                <w:spacing w:val="-4"/>
              </w:rPr>
              <w:t>z</w:t>
            </w:r>
            <w:r w:rsidRPr="007F303C">
              <w:rPr>
                <w:color w:val="0D0D0D" w:themeColor="text1" w:themeTint="F2"/>
                <w:spacing w:val="-4"/>
              </w:rPr>
              <w:t> hospodářsky méně vyspělých zemí mimo EU</w:t>
            </w:r>
            <w:r w:rsidRPr="007F303C">
              <w:rPr>
                <w:rStyle w:val="Znakapoznpodarou"/>
                <w:color w:val="0D0D0D" w:themeColor="text1" w:themeTint="F2"/>
                <w:spacing w:val="-4"/>
              </w:rPr>
              <w:footnoteReference w:id="12"/>
            </w:r>
            <w:r>
              <w:rPr>
                <w:color w:val="0D0D0D" w:themeColor="text1" w:themeTint="F2"/>
                <w:spacing w:val="-4"/>
              </w:rPr>
              <w:t>. Dlouhodobý příliv</w:t>
            </w:r>
            <w:r w:rsidRPr="007F303C">
              <w:rPr>
                <w:color w:val="0D0D0D" w:themeColor="text1" w:themeTint="F2"/>
                <w:spacing w:val="-4"/>
              </w:rPr>
              <w:t xml:space="preserve"> zahraničních pra</w:t>
            </w:r>
            <w:r>
              <w:rPr>
                <w:color w:val="0D0D0D" w:themeColor="text1" w:themeTint="F2"/>
                <w:spacing w:val="-4"/>
              </w:rPr>
              <w:t>covníků do Česka proto pokračoval. V</w:t>
            </w:r>
            <w:r w:rsidRPr="007F303C">
              <w:rPr>
                <w:color w:val="0D0D0D" w:themeColor="text1" w:themeTint="F2"/>
                <w:spacing w:val="-4"/>
              </w:rPr>
              <w:t> dominantní skupině zaměst</w:t>
            </w:r>
            <w:r>
              <w:rPr>
                <w:color w:val="0D0D0D" w:themeColor="text1" w:themeTint="F2"/>
                <w:spacing w:val="-4"/>
              </w:rPr>
              <w:t>nanců jich letos na konci října bylo na úřadech práce dle kvalifikovaných odhadů MPSV registrováno rekordních 926 tis. To bylo meziročně o 88 tis. více</w:t>
            </w:r>
            <w:r>
              <w:rPr>
                <w:rStyle w:val="Znakapoznpodarou"/>
                <w:color w:val="0D0D0D" w:themeColor="text1" w:themeTint="F2"/>
                <w:spacing w:val="-4"/>
              </w:rPr>
              <w:footnoteReference w:id="13"/>
            </w:r>
            <w:r>
              <w:rPr>
                <w:color w:val="0D0D0D" w:themeColor="text1" w:themeTint="F2"/>
                <w:spacing w:val="-4"/>
              </w:rPr>
              <w:t>, přičemž tempo růstu ve srovnání s předchozími roky zrychlilo</w:t>
            </w:r>
            <w:r w:rsidRPr="007F303C">
              <w:rPr>
                <w:color w:val="0D0D0D" w:themeColor="text1" w:themeTint="F2"/>
                <w:spacing w:val="-4"/>
              </w:rPr>
              <w:t xml:space="preserve">. </w:t>
            </w:r>
            <w:r>
              <w:rPr>
                <w:color w:val="0D0D0D" w:themeColor="text1" w:themeTint="F2"/>
                <w:spacing w:val="-4"/>
              </w:rPr>
              <w:t xml:space="preserve">Nejvíce meziročně přibylo již tradičně občanů Ukrajiny (+51 tis. na 351 tis., z toho ženy +27 tis., na 188 tis.), dále Slovenska (+13 tis., na 228 tis.), Filipín (+4,3 tis., na 13,5 tis.) a Vietnamu (+2,3 tis., na 22,6 tis.). </w:t>
            </w:r>
            <w:r w:rsidRPr="00513948">
              <w:rPr>
                <w:color w:val="0D0D0D" w:themeColor="text1" w:themeTint="F2"/>
                <w:spacing w:val="-6"/>
              </w:rPr>
              <w:t>Z významnějších</w:t>
            </w:r>
            <w:r>
              <w:rPr>
                <w:color w:val="0D0D0D" w:themeColor="text1" w:themeTint="F2"/>
                <w:spacing w:val="-4"/>
              </w:rPr>
              <w:t xml:space="preserve"> skupin cizinců rostl relativně svižně počet občanů Indie, Číny a Kazachstánu a Uzbekistánu </w:t>
            </w:r>
            <w:r w:rsidRPr="00FE6C23">
              <w:rPr>
                <w:color w:val="0D0D0D" w:themeColor="text1" w:themeTint="F2"/>
                <w:spacing w:val="-6"/>
              </w:rPr>
              <w:t xml:space="preserve">(shodně okolo 20 %). Naopak u řady početných skupin pracovníků z chudších států střední </w:t>
            </w:r>
            <w:r>
              <w:rPr>
                <w:color w:val="0D0D0D" w:themeColor="text1" w:themeTint="F2"/>
                <w:spacing w:val="-6"/>
              </w:rPr>
              <w:br/>
            </w:r>
            <w:r w:rsidRPr="00FE6C23">
              <w:rPr>
                <w:color w:val="0D0D0D" w:themeColor="text1" w:themeTint="F2"/>
                <w:spacing w:val="-6"/>
              </w:rPr>
              <w:t>a východní Evropy – především z Polska, Bulharska a Rumunska, Makedonie, Turecka – jejich počet rostl minimálně (do 2 %), u Srbska a Bosny a Hercegoviny se mírně snižoval (do 2 %). To souvisí s postupným vyrovnáváním mzdové úrovně v tomto regionu. Třetina všech cizinců v zaměstnaneckém postavení v Česku byla registrována v Praze (spolu se Středočeským krajem celá polovina). Meziročně přibylo cizinců ve všech krajích – nejvíce v Praze (+18 %), Olomouckém (+14 %) a Pardubickém (+10 %), nejméně v</w:t>
            </w:r>
            <w:r>
              <w:rPr>
                <w:color w:val="0D0D0D" w:themeColor="text1" w:themeTint="F2"/>
                <w:spacing w:val="-6"/>
              </w:rPr>
              <w:t> </w:t>
            </w:r>
            <w:r w:rsidRPr="00FE6C23">
              <w:rPr>
                <w:color w:val="0D0D0D" w:themeColor="text1" w:themeTint="F2"/>
                <w:spacing w:val="-6"/>
              </w:rPr>
              <w:t>Libereckém</w:t>
            </w:r>
            <w:r>
              <w:rPr>
                <w:color w:val="0D0D0D" w:themeColor="text1" w:themeTint="F2"/>
                <w:spacing w:val="-6"/>
              </w:rPr>
              <w:t xml:space="preserve"> kraji</w:t>
            </w:r>
            <w:r w:rsidRPr="00FE6C23">
              <w:rPr>
                <w:color w:val="0D0D0D" w:themeColor="text1" w:themeTint="F2"/>
                <w:spacing w:val="-6"/>
              </w:rPr>
              <w:t xml:space="preserve"> (+3,5 %)</w:t>
            </w:r>
            <w:r w:rsidRPr="00FE6C23">
              <w:rPr>
                <w:rStyle w:val="Znakapoznpodarou"/>
                <w:color w:val="0D0D0D" w:themeColor="text1" w:themeTint="F2"/>
                <w:spacing w:val="-6"/>
              </w:rPr>
              <w:footnoteReference w:id="14"/>
            </w:r>
            <w:r w:rsidRPr="00FE6C23">
              <w:rPr>
                <w:color w:val="0D0D0D" w:themeColor="text1" w:themeTint="F2"/>
                <w:spacing w:val="-6"/>
              </w:rPr>
              <w:t>.</w:t>
            </w:r>
          </w:p>
        </w:tc>
      </w:tr>
      <w:tr w:rsidR="000C2CF1" w:rsidRPr="009F0D7F" w14:paraId="09C858E1" w14:textId="77777777" w:rsidTr="00135A1D">
        <w:trPr>
          <w:trHeight w:val="155"/>
        </w:trPr>
        <w:tc>
          <w:tcPr>
            <w:tcW w:w="1814" w:type="dxa"/>
            <w:tcMar>
              <w:left w:w="0" w:type="dxa"/>
            </w:tcMar>
          </w:tcPr>
          <w:p w14:paraId="68DA00AD" w14:textId="77777777" w:rsidR="000C2CF1" w:rsidRPr="005609A1" w:rsidRDefault="000C2CF1" w:rsidP="00135A1D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  <w:r>
              <w:rPr>
                <w:color w:val="0D0D0D" w:themeColor="text1" w:themeTint="F2"/>
                <w:spacing w:val="-4"/>
              </w:rPr>
              <w:lastRenderedPageBreak/>
              <w:t>Celková míra zaměstnanosti ve věku 15 až 64 let mírně rostla, a to výhradně zásluhou žen. Stála za tím široká paleta faktorů.</w:t>
            </w:r>
          </w:p>
        </w:tc>
        <w:tc>
          <w:tcPr>
            <w:tcW w:w="185" w:type="dxa"/>
            <w:tcMar>
              <w:left w:w="0" w:type="dxa"/>
            </w:tcMar>
          </w:tcPr>
          <w:p w14:paraId="0E58E915" w14:textId="77777777" w:rsidR="000C2CF1" w:rsidRPr="009F0D7F" w:rsidRDefault="000C2CF1" w:rsidP="00135A1D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69" w:type="dxa"/>
            <w:tcMar>
              <w:left w:w="0" w:type="dxa"/>
            </w:tcMar>
          </w:tcPr>
          <w:p w14:paraId="03F28441" w14:textId="77777777" w:rsidR="000C2CF1" w:rsidRPr="00CF13AA" w:rsidRDefault="000C2CF1" w:rsidP="00135A1D">
            <w:pPr>
              <w:spacing w:after="220"/>
              <w:rPr>
                <w:spacing w:val="-4"/>
              </w:rPr>
            </w:pPr>
            <w:r w:rsidRPr="00A47DAB">
              <w:rPr>
                <w:spacing w:val="-4"/>
              </w:rPr>
              <w:t xml:space="preserve">Výše </w:t>
            </w:r>
            <w:r w:rsidRPr="00FC62B7">
              <w:rPr>
                <w:color w:val="0D0D0D" w:themeColor="text1" w:themeTint="F2"/>
                <w:spacing w:val="-4"/>
              </w:rPr>
              <w:t xml:space="preserve">uvedené trendy se odrazily v pokračujícím </w:t>
            </w:r>
            <w:r>
              <w:rPr>
                <w:color w:val="0D0D0D" w:themeColor="text1" w:themeTint="F2"/>
                <w:spacing w:val="-4"/>
              </w:rPr>
              <w:t>růstu počtu pracovníků s vyšší kvalifikací (zejména specialistů, technických a odborných pracovníků i úředníků). Současně ubylo osob v některých manuálních profesích, zejména obsluha strojů a zařízení, nikoliv však p</w:t>
            </w:r>
            <w:r w:rsidRPr="004D3AFF">
              <w:rPr>
                <w:color w:val="0D0D0D" w:themeColor="text1" w:themeTint="F2"/>
                <w:spacing w:val="-4"/>
              </w:rPr>
              <w:t>omocn</w:t>
            </w:r>
            <w:r>
              <w:rPr>
                <w:color w:val="0D0D0D" w:themeColor="text1" w:themeTint="F2"/>
                <w:spacing w:val="-4"/>
              </w:rPr>
              <w:t>ých</w:t>
            </w:r>
            <w:r w:rsidRPr="004D3AFF">
              <w:rPr>
                <w:color w:val="0D0D0D" w:themeColor="text1" w:themeTint="F2"/>
                <w:spacing w:val="-4"/>
              </w:rPr>
              <w:t xml:space="preserve"> a nekvalifikovan</w:t>
            </w:r>
            <w:r>
              <w:rPr>
                <w:color w:val="0D0D0D" w:themeColor="text1" w:themeTint="F2"/>
                <w:spacing w:val="-4"/>
              </w:rPr>
              <w:t>ých pracovníků</w:t>
            </w:r>
            <w:r>
              <w:rPr>
                <w:rStyle w:val="Znakapoznpodarou"/>
                <w:color w:val="0D0D0D" w:themeColor="text1" w:themeTint="F2"/>
                <w:spacing w:val="-4"/>
              </w:rPr>
              <w:footnoteReference w:id="15"/>
            </w:r>
            <w:r>
              <w:rPr>
                <w:color w:val="0D0D0D" w:themeColor="text1" w:themeTint="F2"/>
                <w:spacing w:val="-4"/>
              </w:rPr>
              <w:t xml:space="preserve">. Pokračoval i dlouhodobý trend postupného stárnutí pracujících, neboť růst zaměstnanosti byl z drtivé většiny tažen lidmi ve věku nad </w:t>
            </w:r>
            <w:r>
              <w:rPr>
                <w:color w:val="0D0D0D" w:themeColor="text1" w:themeTint="F2"/>
                <w:spacing w:val="-4"/>
              </w:rPr>
              <w:br/>
              <w:t xml:space="preserve">45 let. </w:t>
            </w:r>
            <w:r w:rsidRPr="00A47DAB">
              <w:rPr>
                <w:spacing w:val="-4"/>
              </w:rPr>
              <w:t>Míra zaměstnanosti</w:t>
            </w:r>
            <w:r>
              <w:rPr>
                <w:rStyle w:val="Znakapoznpodarou"/>
                <w:spacing w:val="-4"/>
              </w:rPr>
              <w:footnoteReference w:id="16"/>
            </w:r>
            <w:r w:rsidRPr="00A47DAB">
              <w:rPr>
                <w:spacing w:val="-4"/>
              </w:rPr>
              <w:t xml:space="preserve"> (15–64letých) dosáhla </w:t>
            </w:r>
            <w:r>
              <w:rPr>
                <w:spacing w:val="-4"/>
              </w:rPr>
              <w:t>letos v říjnu</w:t>
            </w:r>
            <w:r w:rsidRPr="00A47DAB">
              <w:rPr>
                <w:spacing w:val="-4"/>
              </w:rPr>
              <w:t xml:space="preserve"> 75,</w:t>
            </w:r>
            <w:r>
              <w:rPr>
                <w:spacing w:val="-4"/>
              </w:rPr>
              <w:t>4</w:t>
            </w:r>
            <w:r w:rsidRPr="00A47DAB">
              <w:rPr>
                <w:spacing w:val="-4"/>
              </w:rPr>
              <w:t xml:space="preserve"> %, meziročně </w:t>
            </w:r>
            <w:r>
              <w:rPr>
                <w:spacing w:val="-4"/>
              </w:rPr>
              <w:t xml:space="preserve">vzrostla </w:t>
            </w:r>
            <w:r w:rsidRPr="00A47DAB">
              <w:rPr>
                <w:spacing w:val="-4"/>
              </w:rPr>
              <w:t>o 0,</w:t>
            </w:r>
            <w:r>
              <w:rPr>
                <w:spacing w:val="-4"/>
              </w:rPr>
              <w:t>2</w:t>
            </w:r>
            <w:r w:rsidRPr="00A47DAB">
              <w:rPr>
                <w:spacing w:val="-4"/>
              </w:rPr>
              <w:t xml:space="preserve"> p. b. </w:t>
            </w:r>
            <w:r w:rsidRPr="005869A8">
              <w:rPr>
                <w:rStyle w:val="normaltextrun"/>
                <w:rFonts w:eastAsiaTheme="majorEastAsia" w:cs="Arial"/>
                <w:szCs w:val="20"/>
              </w:rPr>
              <w:t>K růstu stále přispívaly jen ženy, u nichž míra vystoupala na 7</w:t>
            </w:r>
            <w:r>
              <w:rPr>
                <w:rStyle w:val="normaltextrun"/>
                <w:rFonts w:eastAsiaTheme="majorEastAsia" w:cs="Arial"/>
                <w:szCs w:val="20"/>
              </w:rPr>
              <w:t>0</w:t>
            </w:r>
            <w:r w:rsidRPr="005869A8">
              <w:rPr>
                <w:rStyle w:val="normaltextrun"/>
                <w:rFonts w:eastAsiaTheme="majorEastAsia" w:cs="Arial"/>
                <w:szCs w:val="20"/>
              </w:rPr>
              <w:t>,</w:t>
            </w:r>
            <w:r>
              <w:rPr>
                <w:rStyle w:val="normaltextrun"/>
                <w:rFonts w:eastAsiaTheme="majorEastAsia" w:cs="Arial"/>
                <w:szCs w:val="20"/>
              </w:rPr>
              <w:t>8</w:t>
            </w:r>
            <w:r w:rsidRPr="005869A8">
              <w:rPr>
                <w:rStyle w:val="normaltextrun"/>
                <w:rFonts w:eastAsiaTheme="majorEastAsia" w:cs="Arial"/>
                <w:szCs w:val="20"/>
              </w:rPr>
              <w:t xml:space="preserve"> % </w:t>
            </w:r>
            <w:r>
              <w:rPr>
                <w:rStyle w:val="normaltextrun"/>
                <w:rFonts w:eastAsiaTheme="majorEastAsia" w:cs="Arial"/>
                <w:szCs w:val="20"/>
              </w:rPr>
              <w:br/>
            </w:r>
            <w:r w:rsidRPr="005869A8">
              <w:rPr>
                <w:rStyle w:val="normaltextrun"/>
                <w:rFonts w:eastAsiaTheme="majorEastAsia" w:cs="Arial"/>
                <w:szCs w:val="20"/>
              </w:rPr>
              <w:t>(+</w:t>
            </w:r>
            <w:r>
              <w:rPr>
                <w:rStyle w:val="normaltextrun"/>
                <w:rFonts w:eastAsiaTheme="majorEastAsia" w:cs="Arial"/>
                <w:szCs w:val="20"/>
              </w:rPr>
              <w:t>1</w:t>
            </w:r>
            <w:r w:rsidRPr="005869A8">
              <w:rPr>
                <w:rStyle w:val="normaltextrun"/>
                <w:rFonts w:eastAsiaTheme="majorEastAsia" w:cs="Arial"/>
                <w:szCs w:val="20"/>
              </w:rPr>
              <w:t>,</w:t>
            </w:r>
            <w:r>
              <w:rPr>
                <w:rStyle w:val="normaltextrun"/>
                <w:rFonts w:eastAsiaTheme="majorEastAsia" w:cs="Arial"/>
                <w:szCs w:val="20"/>
              </w:rPr>
              <w:t>8</w:t>
            </w:r>
            <w:r w:rsidRPr="005869A8">
              <w:rPr>
                <w:rStyle w:val="normaltextrun"/>
                <w:rFonts w:eastAsiaTheme="majorEastAsia" w:cs="Arial"/>
                <w:szCs w:val="20"/>
              </w:rPr>
              <w:t xml:space="preserve"> p. b.), u mužů dosáhla 80,0 % (</w:t>
            </w:r>
            <w:r>
              <w:rPr>
                <w:rStyle w:val="normaltextrun"/>
                <w:rFonts w:eastAsiaTheme="majorEastAsia" w:cs="Arial"/>
                <w:szCs w:val="20"/>
              </w:rPr>
              <w:t>−</w:t>
            </w:r>
            <w:r w:rsidRPr="005869A8">
              <w:rPr>
                <w:rStyle w:val="normaltextrun"/>
                <w:rFonts w:eastAsiaTheme="majorEastAsia" w:cs="Arial"/>
                <w:szCs w:val="20"/>
              </w:rPr>
              <w:t>1,</w:t>
            </w:r>
            <w:r>
              <w:rPr>
                <w:rStyle w:val="normaltextrun"/>
                <w:rFonts w:eastAsiaTheme="majorEastAsia" w:cs="Arial"/>
                <w:szCs w:val="20"/>
              </w:rPr>
              <w:t>1</w:t>
            </w:r>
            <w:r w:rsidRPr="005869A8">
              <w:rPr>
                <w:rStyle w:val="normaltextrun"/>
                <w:rFonts w:eastAsiaTheme="majorEastAsia" w:cs="Arial"/>
                <w:szCs w:val="20"/>
              </w:rPr>
              <w:t xml:space="preserve"> p. b.).</w:t>
            </w:r>
            <w:r>
              <w:rPr>
                <w:rStyle w:val="normaltextrun"/>
                <w:rFonts w:eastAsiaTheme="majorEastAsia" w:cs="Arial"/>
                <w:szCs w:val="20"/>
              </w:rPr>
              <w:t xml:space="preserve"> </w:t>
            </w:r>
            <w:r w:rsidRPr="00C93058">
              <w:rPr>
                <w:rStyle w:val="normaltextrun"/>
                <w:rFonts w:eastAsiaTheme="majorEastAsia" w:cs="Arial"/>
                <w:szCs w:val="20"/>
              </w:rPr>
              <w:t>V posledních třech měsících se ale nůžky mezi muži a ženami již nerozvírají natolik intenzivně ja</w:t>
            </w:r>
            <w:r>
              <w:rPr>
                <w:rStyle w:val="normaltextrun"/>
                <w:rFonts w:eastAsiaTheme="majorEastAsia" w:cs="Arial"/>
                <w:szCs w:val="20"/>
              </w:rPr>
              <w:t>k</w:t>
            </w:r>
            <w:r w:rsidRPr="00C93058">
              <w:rPr>
                <w:rStyle w:val="normaltextrun"/>
                <w:rFonts w:eastAsiaTheme="majorEastAsia" w:cs="Arial"/>
                <w:szCs w:val="20"/>
              </w:rPr>
              <w:t>o dříve (tempo meziročního poklesu míry zaměstnanosti u mužů se již neprohlubuje a současně u žen růst slábne</w:t>
            </w:r>
            <w:r>
              <w:rPr>
                <w:rStyle w:val="normaltextrun"/>
                <w:rFonts w:eastAsiaTheme="majorEastAsia" w:cs="Arial"/>
                <w:szCs w:val="20"/>
              </w:rPr>
              <w:t xml:space="preserve">). </w:t>
            </w:r>
            <w:r w:rsidRPr="00C93058">
              <w:rPr>
                <w:rStyle w:val="normaltextrun"/>
                <w:rFonts w:eastAsiaTheme="majorEastAsia" w:cs="Arial"/>
                <w:szCs w:val="20"/>
              </w:rPr>
              <w:t xml:space="preserve">Pozici mužů zlepšuje </w:t>
            </w:r>
            <w:r>
              <w:rPr>
                <w:rStyle w:val="normaltextrun"/>
                <w:rFonts w:eastAsiaTheme="majorEastAsia" w:cs="Arial"/>
                <w:szCs w:val="20"/>
              </w:rPr>
              <w:t xml:space="preserve">hlavně </w:t>
            </w:r>
            <w:r w:rsidRPr="00C93058">
              <w:rPr>
                <w:rStyle w:val="normaltextrun"/>
                <w:rFonts w:eastAsiaTheme="majorEastAsia" w:cs="Arial"/>
                <w:szCs w:val="20"/>
              </w:rPr>
              <w:t>silně se rozvíjející stavebnictví</w:t>
            </w:r>
            <w:r>
              <w:rPr>
                <w:rStyle w:val="normaltextrun"/>
                <w:rFonts w:eastAsiaTheme="majorEastAsia" w:cs="Arial"/>
                <w:szCs w:val="20"/>
              </w:rPr>
              <w:t>.</w:t>
            </w:r>
            <w:r>
              <w:rPr>
                <w:rStyle w:val="normaltextrun"/>
                <w:rFonts w:cs="Arial"/>
              </w:rPr>
              <w:t xml:space="preserve"> </w:t>
            </w:r>
            <w:r w:rsidRPr="00A47DAB">
              <w:rPr>
                <w:spacing w:val="-4"/>
              </w:rPr>
              <w:t xml:space="preserve">Vývoj u žen souvisí s celkovým oživením </w:t>
            </w:r>
            <w:r>
              <w:rPr>
                <w:spacing w:val="-4"/>
              </w:rPr>
              <w:t>sektoru</w:t>
            </w:r>
            <w:r w:rsidRPr="00A47DAB">
              <w:rPr>
                <w:spacing w:val="-4"/>
              </w:rPr>
              <w:t xml:space="preserve"> služeb i stabilně rostoucí zaměstnaností ve veřejných službách, rozšiřováním zkrácených úvazků</w:t>
            </w:r>
            <w:r>
              <w:rPr>
                <w:rStyle w:val="Znakapoznpodarou"/>
                <w:spacing w:val="-4"/>
              </w:rPr>
              <w:footnoteReference w:id="17"/>
            </w:r>
            <w:r>
              <w:rPr>
                <w:spacing w:val="-4"/>
              </w:rPr>
              <w:t>, rostoucí vzdělaností žen</w:t>
            </w:r>
            <w:r>
              <w:rPr>
                <w:rStyle w:val="Znakapoznpodarou"/>
                <w:spacing w:val="-4"/>
              </w:rPr>
              <w:footnoteReference w:id="18"/>
            </w:r>
            <w:r w:rsidRPr="00A47DAB">
              <w:rPr>
                <w:spacing w:val="-4"/>
              </w:rPr>
              <w:t xml:space="preserve"> a také dosud stále rychlejším posunem hranice důchodového věku (oproti mužům)</w:t>
            </w:r>
            <w:r>
              <w:rPr>
                <w:rStyle w:val="Znakapoznpodarou"/>
                <w:spacing w:val="-4"/>
              </w:rPr>
              <w:footnoteReference w:id="19"/>
            </w:r>
            <w:r w:rsidRPr="00A47DAB">
              <w:rPr>
                <w:spacing w:val="-4"/>
              </w:rPr>
              <w:t>.</w:t>
            </w:r>
            <w:r>
              <w:rPr>
                <w:spacing w:val="-4"/>
              </w:rPr>
              <w:t xml:space="preserve"> </w:t>
            </w:r>
            <w:r>
              <w:rPr>
                <w:rFonts w:cs="Arial"/>
                <w:szCs w:val="20"/>
              </w:rPr>
              <w:t>Vliv může mít i pokračující propad porodnosti vedoucí k tomu, že klesá počet žen mimo ekonomickou aktivitu (na rodičovské dovolené).</w:t>
            </w:r>
          </w:p>
        </w:tc>
      </w:tr>
      <w:tr w:rsidR="000C2CF1" w:rsidRPr="009F0D7F" w14:paraId="5B91F654" w14:textId="77777777" w:rsidTr="00135A1D">
        <w:trPr>
          <w:trHeight w:val="155"/>
        </w:trPr>
        <w:tc>
          <w:tcPr>
            <w:tcW w:w="1814" w:type="dxa"/>
            <w:tcMar>
              <w:left w:w="0" w:type="dxa"/>
            </w:tcMar>
          </w:tcPr>
          <w:p w14:paraId="66066A1B" w14:textId="77777777" w:rsidR="000C2CF1" w:rsidRPr="00294CC7" w:rsidRDefault="000C2CF1" w:rsidP="00135A1D">
            <w:pPr>
              <w:pStyle w:val="Marginlie"/>
              <w:rPr>
                <w:color w:val="0D0D0D" w:themeColor="text1" w:themeTint="F2"/>
                <w:spacing w:val="-4"/>
              </w:rPr>
            </w:pPr>
            <w:r>
              <w:rPr>
                <w:color w:val="0D0D0D" w:themeColor="text1" w:themeTint="F2"/>
                <w:spacing w:val="-4"/>
              </w:rPr>
              <w:t>V průmyslu i službách mimo maloobchod setrvávala k</w:t>
            </w:r>
            <w:r w:rsidRPr="00294CC7">
              <w:rPr>
                <w:color w:val="0D0D0D" w:themeColor="text1" w:themeTint="F2"/>
                <w:spacing w:val="-4"/>
              </w:rPr>
              <w:t xml:space="preserve">rátkodobá </w:t>
            </w:r>
            <w:r w:rsidRPr="00294CC7">
              <w:rPr>
                <w:color w:val="0D0D0D" w:themeColor="text1" w:themeTint="F2"/>
                <w:spacing w:val="-4"/>
              </w:rPr>
              <w:lastRenderedPageBreak/>
              <w:t>očekávání podniků v oblasti zaměstnanosti</w:t>
            </w:r>
            <w:r>
              <w:rPr>
                <w:color w:val="0D0D0D" w:themeColor="text1" w:themeTint="F2"/>
                <w:spacing w:val="-4"/>
              </w:rPr>
              <w:t xml:space="preserve"> v negativním pásmu.</w:t>
            </w:r>
            <w:r w:rsidRPr="00294CC7">
              <w:rPr>
                <w:color w:val="0D0D0D" w:themeColor="text1" w:themeTint="F2"/>
                <w:spacing w:val="-4"/>
              </w:rPr>
              <w:t xml:space="preserve"> </w:t>
            </w:r>
          </w:p>
        </w:tc>
        <w:tc>
          <w:tcPr>
            <w:tcW w:w="185" w:type="dxa"/>
            <w:tcMar>
              <w:left w:w="0" w:type="dxa"/>
            </w:tcMar>
          </w:tcPr>
          <w:p w14:paraId="1F217AC2" w14:textId="77777777" w:rsidR="000C2CF1" w:rsidRPr="009F0D7F" w:rsidRDefault="000C2CF1" w:rsidP="00135A1D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69" w:type="dxa"/>
            <w:tcMar>
              <w:left w:w="0" w:type="dxa"/>
            </w:tcMar>
          </w:tcPr>
          <w:p w14:paraId="626F1BFF" w14:textId="77777777" w:rsidR="000C2CF1" w:rsidRDefault="000C2CF1" w:rsidP="00135A1D">
            <w:pPr>
              <w:rPr>
                <w:color w:val="0D0D0D" w:themeColor="text1" w:themeTint="F2"/>
                <w:spacing w:val="-4"/>
              </w:rPr>
            </w:pPr>
            <w:r w:rsidRPr="00CF13AA">
              <w:rPr>
                <w:color w:val="0D0D0D" w:themeColor="text1" w:themeTint="F2"/>
                <w:spacing w:val="-4"/>
              </w:rPr>
              <w:t>Krátkodobá očekávání tuzemských podniků v oblasti vlastní zaměstnanosti</w:t>
            </w:r>
            <w:r w:rsidRPr="00CF13AA">
              <w:rPr>
                <w:rStyle w:val="Znakapoznpodarou"/>
                <w:color w:val="0D0D0D" w:themeColor="text1" w:themeTint="F2"/>
                <w:spacing w:val="-4"/>
              </w:rPr>
              <w:footnoteReference w:id="20"/>
            </w:r>
            <w:r>
              <w:rPr>
                <w:color w:val="0D0D0D" w:themeColor="text1" w:themeTint="F2"/>
                <w:spacing w:val="-4"/>
              </w:rPr>
              <w:t xml:space="preserve"> se zlepšovala již během roku 2024.</w:t>
            </w:r>
            <w:r w:rsidRPr="00CF13AA">
              <w:rPr>
                <w:color w:val="0D0D0D" w:themeColor="text1" w:themeTint="F2"/>
                <w:spacing w:val="-4"/>
              </w:rPr>
              <w:t xml:space="preserve"> Počátek letošního roku přinesl (nejen v Česku, ale i </w:t>
            </w:r>
            <w:r>
              <w:rPr>
                <w:color w:val="0D0D0D" w:themeColor="text1" w:themeTint="F2"/>
                <w:spacing w:val="-4"/>
              </w:rPr>
              <w:t xml:space="preserve">v </w:t>
            </w:r>
            <w:r w:rsidRPr="00CF13AA">
              <w:rPr>
                <w:color w:val="0D0D0D" w:themeColor="text1" w:themeTint="F2"/>
                <w:spacing w:val="-4"/>
              </w:rPr>
              <w:t xml:space="preserve">EU či eurozóně) </w:t>
            </w:r>
            <w:r w:rsidRPr="00CF13AA">
              <w:rPr>
                <w:color w:val="0D0D0D" w:themeColor="text1" w:themeTint="F2"/>
                <w:spacing w:val="-4"/>
              </w:rPr>
              <w:lastRenderedPageBreak/>
              <w:t>krátkodobé posílen</w:t>
            </w:r>
            <w:r>
              <w:rPr>
                <w:color w:val="0D0D0D" w:themeColor="text1" w:themeTint="F2"/>
                <w:spacing w:val="-4"/>
              </w:rPr>
              <w:t>í</w:t>
            </w:r>
            <w:r w:rsidRPr="00CF13AA">
              <w:rPr>
                <w:color w:val="0D0D0D" w:themeColor="text1" w:themeTint="F2"/>
                <w:spacing w:val="-4"/>
              </w:rPr>
              <w:t xml:space="preserve"> negativních výhledů, které odrážely rostoucí nejistoty podnikatelů plynoucí patrně z vnějších (zahraničních) faktorů. Během 2. čtvrtletí se ovšem začaly výhledy opět mírně zlepšovat a v letním období vystoupal souhrnný indikátor očekávání zaměstnanosti v Česku na bezmála tříleté maximum (a jeho úroveň odpovídala dlouhodobému průměru). </w:t>
            </w:r>
            <w:r>
              <w:rPr>
                <w:color w:val="0D0D0D" w:themeColor="text1" w:themeTint="F2"/>
                <w:spacing w:val="-4"/>
              </w:rPr>
              <w:t>V další části roku k významnějším změnám nedošlo, nicméně ve stavebnictví i obchodu došlo k dílčí korekci předchozích výrazněji optimistic</w:t>
            </w:r>
            <w:r w:rsidRPr="0015417D">
              <w:rPr>
                <w:color w:val="0D0D0D" w:themeColor="text1" w:themeTint="F2"/>
                <w:spacing w:val="-4"/>
              </w:rPr>
              <w:t xml:space="preserve">kých výhledů. V průmyslu i službách </w:t>
            </w:r>
            <w:r w:rsidRPr="0015417D">
              <w:rPr>
                <w:color w:val="0D0D0D" w:themeColor="text1" w:themeTint="F2"/>
                <w:spacing w:val="-8"/>
              </w:rPr>
              <w:t>setrvávaly výhledy bez větších změn v negativním pásmu</w:t>
            </w:r>
            <w:r>
              <w:rPr>
                <w:rStyle w:val="Znakapoznpodarou"/>
                <w:color w:val="0D0D0D" w:themeColor="text1" w:themeTint="F2"/>
                <w:spacing w:val="-8"/>
              </w:rPr>
              <w:footnoteReference w:id="21"/>
            </w:r>
            <w:r>
              <w:rPr>
                <w:color w:val="0D0D0D" w:themeColor="text1" w:themeTint="F2"/>
                <w:spacing w:val="-8"/>
              </w:rPr>
              <w:t xml:space="preserve">. </w:t>
            </w:r>
            <w:r w:rsidRPr="00294CC7">
              <w:rPr>
                <w:rStyle w:val="eop"/>
                <w:rFonts w:eastAsia="MS Gothic" w:cs="Arial"/>
                <w:color w:val="0D0D0D" w:themeColor="text1" w:themeTint="F2"/>
                <w:spacing w:val="-4"/>
                <w:szCs w:val="20"/>
              </w:rPr>
              <w:t xml:space="preserve">Podíl podniků, pro něž </w:t>
            </w:r>
            <w:r w:rsidRPr="00294CC7">
              <w:rPr>
                <w:color w:val="0D0D0D" w:themeColor="text1" w:themeTint="F2"/>
                <w:spacing w:val="-4"/>
              </w:rPr>
              <w:t>představuje nedostatek pracovní síly jednu z významných růstových bariér</w:t>
            </w:r>
            <w:r w:rsidRPr="00294CC7">
              <w:rPr>
                <w:rStyle w:val="Znakapoznpodarou"/>
                <w:color w:val="0D0D0D" w:themeColor="text1" w:themeTint="F2"/>
                <w:spacing w:val="-4"/>
              </w:rPr>
              <w:footnoteReference w:id="22"/>
            </w:r>
            <w:r w:rsidRPr="00294CC7">
              <w:rPr>
                <w:color w:val="0D0D0D" w:themeColor="text1" w:themeTint="F2"/>
                <w:spacing w:val="-4"/>
              </w:rPr>
              <w:t>, byl letos na počátku 4. čtvrtletí tradičně nejvyšší ve stavebnictví (43 %.). Opačná situace panovala v průmyslu i službách (shodně 12 %), kde se role této bariéry meziročně mírně snížila, ve stavebnictví zůstala na podobné úrovni.</w:t>
            </w:r>
          </w:p>
        </w:tc>
      </w:tr>
      <w:tr w:rsidR="000C2CF1" w:rsidRPr="009F2A8A" w14:paraId="15366EEC" w14:textId="77777777" w:rsidTr="00135A1D">
        <w:trPr>
          <w:trHeight w:val="155"/>
        </w:trPr>
        <w:tc>
          <w:tcPr>
            <w:tcW w:w="1814" w:type="dxa"/>
            <w:vMerge w:val="restart"/>
            <w:tcMar>
              <w:left w:w="0" w:type="dxa"/>
            </w:tcMar>
          </w:tcPr>
          <w:p w14:paraId="09A3D58D" w14:textId="77777777" w:rsidR="000C2CF1" w:rsidRPr="00B43216" w:rsidRDefault="000C2CF1" w:rsidP="00135A1D">
            <w:pPr>
              <w:pStyle w:val="Marginlie"/>
              <w:spacing w:after="120"/>
              <w:rPr>
                <w:spacing w:val="-4"/>
              </w:rPr>
            </w:pPr>
          </w:p>
        </w:tc>
        <w:tc>
          <w:tcPr>
            <w:tcW w:w="185" w:type="dxa"/>
            <w:vMerge w:val="restart"/>
            <w:tcMar>
              <w:left w:w="0" w:type="dxa"/>
            </w:tcMar>
          </w:tcPr>
          <w:p w14:paraId="6D443E50" w14:textId="77777777" w:rsidR="000C2CF1" w:rsidRPr="00B43216" w:rsidRDefault="000C2CF1" w:rsidP="00135A1D">
            <w:pPr>
              <w:pStyle w:val="Textpoznpodarou"/>
              <w:spacing w:after="120"/>
              <w:jc w:val="both"/>
              <w:rPr>
                <w:spacing w:val="-4"/>
              </w:rPr>
            </w:pPr>
          </w:p>
        </w:tc>
        <w:tc>
          <w:tcPr>
            <w:tcW w:w="7769" w:type="dxa"/>
            <w:tcMar>
              <w:left w:w="0" w:type="dxa"/>
            </w:tcMar>
          </w:tcPr>
          <w:p w14:paraId="6E1776D3" w14:textId="77777777" w:rsidR="000C2CF1" w:rsidRPr="00CA5850" w:rsidRDefault="000C2CF1" w:rsidP="00135A1D">
            <w:pPr>
              <w:spacing w:after="0"/>
              <w:rPr>
                <w:spacing w:val="-2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Graf č. 13</w:t>
            </w:r>
            <w:r w:rsidRPr="0068569E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8569E">
              <w:rPr>
                <w:b/>
                <w:bCs/>
                <w:lang w:eastAsia="en-US"/>
              </w:rPr>
              <w:t xml:space="preserve">Celková zaměstnanost </w:t>
            </w:r>
            <w:r w:rsidRPr="0068569E">
              <w:rPr>
                <w:lang w:eastAsia="en-US"/>
              </w:rPr>
              <w:t>(</w:t>
            </w:r>
            <w:r w:rsidRPr="0068569E">
              <w:rPr>
                <w:spacing w:val="-2"/>
              </w:rPr>
              <w:t>meziročně v</w:t>
            </w:r>
            <w:r>
              <w:rPr>
                <w:spacing w:val="-2"/>
              </w:rPr>
              <w:t> %</w:t>
            </w:r>
            <w:r w:rsidRPr="0068569E">
              <w:rPr>
                <w:spacing w:val="-2"/>
              </w:rPr>
              <w:t>)</w:t>
            </w:r>
            <w:r w:rsidRPr="0068569E">
              <w:rPr>
                <w:b/>
                <w:bCs/>
                <w:spacing w:val="-2"/>
              </w:rPr>
              <w:t xml:space="preserve">, </w:t>
            </w:r>
            <w:r>
              <w:rPr>
                <w:b/>
                <w:bCs/>
                <w:spacing w:val="-2"/>
              </w:rPr>
              <w:t xml:space="preserve">příspěvky </w:t>
            </w:r>
            <w:r w:rsidRPr="0068569E">
              <w:rPr>
                <w:b/>
                <w:bCs/>
                <w:spacing w:val="-2"/>
              </w:rPr>
              <w:t xml:space="preserve">odvětví k meziroční změně zaměstnanosti </w:t>
            </w:r>
            <w:r w:rsidRPr="0068569E">
              <w:rPr>
                <w:spacing w:val="-2"/>
              </w:rPr>
              <w:t>(v</w:t>
            </w:r>
            <w:r>
              <w:rPr>
                <w:spacing w:val="-2"/>
              </w:rPr>
              <w:t> p. b.</w:t>
            </w:r>
            <w:r w:rsidRPr="0068569E">
              <w:rPr>
                <w:spacing w:val="-2"/>
              </w:rPr>
              <w:t>)</w:t>
            </w:r>
            <w:r w:rsidRPr="0068569E">
              <w:rPr>
                <w:b/>
                <w:bCs/>
                <w:spacing w:val="-2"/>
              </w:rPr>
              <w:t xml:space="preserve"> a očekávání vývoje zaměst</w:t>
            </w:r>
            <w:r>
              <w:rPr>
                <w:b/>
                <w:bCs/>
                <w:spacing w:val="-2"/>
              </w:rPr>
              <w:t>nanosti</w:t>
            </w:r>
            <w:r w:rsidRPr="0068569E">
              <w:rPr>
                <w:b/>
                <w:bCs/>
                <w:spacing w:val="-2"/>
              </w:rPr>
              <w:t xml:space="preserve"> </w:t>
            </w:r>
            <w:r w:rsidRPr="0068569E">
              <w:rPr>
                <w:spacing w:val="-2"/>
              </w:rPr>
              <w:t>(saldo v</w:t>
            </w:r>
            <w:r>
              <w:rPr>
                <w:spacing w:val="-2"/>
              </w:rPr>
              <w:t> p. b.)</w:t>
            </w:r>
          </w:p>
        </w:tc>
      </w:tr>
      <w:tr w:rsidR="000C2CF1" w:rsidRPr="00B43216" w14:paraId="215C3010" w14:textId="77777777" w:rsidTr="00135A1D">
        <w:tblPrEx>
          <w:tblCellMar>
            <w:left w:w="70" w:type="dxa"/>
            <w:right w:w="70" w:type="dxa"/>
          </w:tblCellMar>
        </w:tblPrEx>
        <w:trPr>
          <w:trHeight w:val="155"/>
        </w:trPr>
        <w:tc>
          <w:tcPr>
            <w:tcW w:w="1814" w:type="dxa"/>
            <w:vMerge/>
          </w:tcPr>
          <w:p w14:paraId="644A075C" w14:textId="77777777" w:rsidR="000C2CF1" w:rsidRPr="00B43216" w:rsidRDefault="000C2CF1" w:rsidP="00135A1D">
            <w:pPr>
              <w:pStyle w:val="Marginlie"/>
              <w:spacing w:after="120"/>
              <w:rPr>
                <w:spacing w:val="-4"/>
              </w:rPr>
            </w:pPr>
          </w:p>
        </w:tc>
        <w:tc>
          <w:tcPr>
            <w:tcW w:w="185" w:type="dxa"/>
            <w:vMerge/>
          </w:tcPr>
          <w:p w14:paraId="07093409" w14:textId="77777777" w:rsidR="000C2CF1" w:rsidRPr="00B43216" w:rsidRDefault="000C2CF1" w:rsidP="00135A1D">
            <w:pPr>
              <w:pStyle w:val="Textpoznpodarou"/>
              <w:spacing w:after="120"/>
              <w:jc w:val="both"/>
              <w:rPr>
                <w:spacing w:val="-4"/>
              </w:rPr>
            </w:pPr>
          </w:p>
        </w:tc>
        <w:tc>
          <w:tcPr>
            <w:tcW w:w="7769" w:type="dxa"/>
          </w:tcPr>
          <w:p w14:paraId="071DE80F" w14:textId="77777777" w:rsidR="000C2CF1" w:rsidRPr="00B43216" w:rsidRDefault="000C2CF1" w:rsidP="00135A1D">
            <w:pPr>
              <w:spacing w:after="0"/>
              <w:rPr>
                <w:spacing w:val="-4"/>
              </w:rPr>
            </w:pPr>
            <w:r>
              <w:rPr>
                <w:noProof/>
              </w:rPr>
              <w:drawing>
                <wp:inline distT="0" distB="0" distL="0" distR="0" wp14:anchorId="1702A0D0" wp14:editId="5AE01B23">
                  <wp:extent cx="4705348" cy="3812048"/>
                  <wp:effectExtent l="0" t="0" r="635" b="0"/>
                  <wp:docPr id="995363113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1A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0C2CF1" w:rsidRPr="00485ED5" w14:paraId="201582FF" w14:textId="77777777" w:rsidTr="00135A1D">
        <w:trPr>
          <w:trHeight w:val="671"/>
        </w:trPr>
        <w:tc>
          <w:tcPr>
            <w:tcW w:w="1814" w:type="dxa"/>
            <w:vMerge/>
            <w:tcMar>
              <w:left w:w="0" w:type="dxa"/>
            </w:tcMar>
          </w:tcPr>
          <w:p w14:paraId="68AC9A85" w14:textId="77777777" w:rsidR="000C2CF1" w:rsidRPr="00B43216" w:rsidRDefault="000C2CF1" w:rsidP="00135A1D">
            <w:pPr>
              <w:pStyle w:val="Marginlie"/>
              <w:spacing w:after="120"/>
              <w:rPr>
                <w:spacing w:val="-4"/>
              </w:rPr>
            </w:pPr>
          </w:p>
        </w:tc>
        <w:tc>
          <w:tcPr>
            <w:tcW w:w="185" w:type="dxa"/>
            <w:vMerge/>
            <w:tcMar>
              <w:left w:w="0" w:type="dxa"/>
            </w:tcMar>
          </w:tcPr>
          <w:p w14:paraId="40B0CFCF" w14:textId="77777777" w:rsidR="000C2CF1" w:rsidRPr="00B43216" w:rsidRDefault="000C2CF1" w:rsidP="00135A1D">
            <w:pPr>
              <w:pStyle w:val="Textpoznpodarou"/>
              <w:spacing w:after="120"/>
              <w:jc w:val="both"/>
              <w:rPr>
                <w:spacing w:val="-4"/>
              </w:rPr>
            </w:pPr>
          </w:p>
        </w:tc>
        <w:tc>
          <w:tcPr>
            <w:tcW w:w="7769" w:type="dxa"/>
            <w:tcMar>
              <w:left w:w="0" w:type="dxa"/>
            </w:tcMar>
          </w:tcPr>
          <w:p w14:paraId="5A211CD4" w14:textId="77777777" w:rsidR="000C2CF1" w:rsidRDefault="000C2CF1" w:rsidP="00135A1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color w:val="0D0D0D" w:themeColor="text1" w:themeTint="F2"/>
                <w:spacing w:val="-2"/>
                <w:sz w:val="14"/>
                <w:szCs w:val="14"/>
              </w:rPr>
              <w:t>*</w:t>
            </w:r>
            <w:r w:rsidRPr="00862F17">
              <w:rPr>
                <w:rFonts w:cs="Arial"/>
                <w:sz w:val="14"/>
                <w:szCs w:val="14"/>
              </w:rPr>
              <w:t xml:space="preserve"> Těžba a</w:t>
            </w:r>
            <w:r>
              <w:rPr>
                <w:rFonts w:cs="Arial"/>
                <w:sz w:val="14"/>
                <w:szCs w:val="14"/>
              </w:rPr>
              <w:t> </w:t>
            </w:r>
            <w:r w:rsidRPr="00862F17">
              <w:rPr>
                <w:rFonts w:cs="Arial"/>
                <w:sz w:val="14"/>
                <w:szCs w:val="14"/>
              </w:rPr>
              <w:t>energetika</w:t>
            </w:r>
            <w:r>
              <w:rPr>
                <w:rFonts w:cs="Arial"/>
                <w:sz w:val="14"/>
                <w:szCs w:val="14"/>
              </w:rPr>
              <w:t>;</w:t>
            </w:r>
            <w:r w:rsidRPr="00862F17">
              <w:rPr>
                <w:rFonts w:cs="Arial"/>
                <w:sz w:val="14"/>
                <w:szCs w:val="14"/>
              </w:rPr>
              <w:t xml:space="preserve"> Peněžnictví a</w:t>
            </w:r>
            <w:r>
              <w:rPr>
                <w:rFonts w:cs="Arial"/>
                <w:sz w:val="14"/>
                <w:szCs w:val="14"/>
              </w:rPr>
              <w:t> </w:t>
            </w:r>
            <w:r w:rsidRPr="00862F17">
              <w:rPr>
                <w:rFonts w:cs="Arial"/>
                <w:sz w:val="14"/>
                <w:szCs w:val="14"/>
              </w:rPr>
              <w:t>pojišťovnictví</w:t>
            </w:r>
            <w:r>
              <w:rPr>
                <w:rFonts w:cs="Arial"/>
                <w:sz w:val="14"/>
                <w:szCs w:val="14"/>
              </w:rPr>
              <w:t>;</w:t>
            </w:r>
            <w:r w:rsidRPr="00862F17">
              <w:rPr>
                <w:rFonts w:cs="Arial"/>
                <w:sz w:val="14"/>
                <w:szCs w:val="14"/>
              </w:rPr>
              <w:t xml:space="preserve"> Činnosti v</w:t>
            </w:r>
            <w:r>
              <w:rPr>
                <w:rFonts w:cs="Arial"/>
                <w:sz w:val="14"/>
                <w:szCs w:val="14"/>
              </w:rPr>
              <w:t> </w:t>
            </w:r>
            <w:r w:rsidRPr="00862F17">
              <w:rPr>
                <w:rFonts w:cs="Arial"/>
                <w:sz w:val="14"/>
                <w:szCs w:val="14"/>
              </w:rPr>
              <w:t>oblasti nemovitostí</w:t>
            </w:r>
            <w:r>
              <w:rPr>
                <w:rFonts w:cs="Arial"/>
                <w:sz w:val="14"/>
                <w:szCs w:val="14"/>
              </w:rPr>
              <w:t>;</w:t>
            </w:r>
            <w:r w:rsidRPr="00862F17">
              <w:rPr>
                <w:rFonts w:cs="Arial"/>
                <w:sz w:val="14"/>
                <w:szCs w:val="14"/>
              </w:rPr>
              <w:t xml:space="preserve"> Kulturní, zábavní a</w:t>
            </w:r>
            <w:r w:rsidRPr="00D47653">
              <w:rPr>
                <w:sz w:val="14"/>
                <w:szCs w:val="14"/>
              </w:rPr>
              <w:t> </w:t>
            </w:r>
            <w:r w:rsidRPr="00862F17">
              <w:rPr>
                <w:rFonts w:cs="Arial"/>
                <w:sz w:val="14"/>
                <w:szCs w:val="14"/>
              </w:rPr>
              <w:t>rekreační činnosti</w:t>
            </w:r>
            <w:r>
              <w:rPr>
                <w:rFonts w:cs="Arial"/>
                <w:sz w:val="14"/>
                <w:szCs w:val="14"/>
              </w:rPr>
              <w:t>.</w:t>
            </w:r>
          </w:p>
          <w:p w14:paraId="435BC8AF" w14:textId="77777777" w:rsidR="000C2CF1" w:rsidRDefault="000C2CF1" w:rsidP="00135A1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Poznámka: Saldo </w:t>
            </w:r>
            <w:r>
              <w:rPr>
                <w:rFonts w:cs="Arial"/>
                <w:color w:val="0D0D0D" w:themeColor="text1" w:themeTint="F2"/>
                <w:sz w:val="14"/>
                <w:szCs w:val="14"/>
              </w:rPr>
              <w:t>očekávání vyjadřuje rozdíl v p. b. mezi kategoriemi růst versus pokles zaměstnanosti v nejbližších třech měsících. Údaje jsou sezónně očištěny a vztahují se k druhému měsíci daného čtvrtletí.</w:t>
            </w:r>
          </w:p>
          <w:p w14:paraId="332EA8FB" w14:textId="77777777" w:rsidR="000C2CF1" w:rsidRPr="00485ED5" w:rsidRDefault="000C2CF1" w:rsidP="00135A1D">
            <w:pPr>
              <w:spacing w:after="200" w:line="240" w:lineRule="auto"/>
              <w:rPr>
                <w:rFonts w:cs="Arial"/>
                <w:color w:val="0D0D0D" w:themeColor="text1" w:themeTint="F2"/>
                <w:spacing w:val="-2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Zdroj: ČSÚ (národní účty), Eurostat (konjunkturální průzkumy).</w:t>
            </w:r>
          </w:p>
        </w:tc>
      </w:tr>
      <w:tr w:rsidR="000C2CF1" w:rsidRPr="00D82DBD" w14:paraId="1057A363" w14:textId="77777777" w:rsidTr="00135A1D">
        <w:trPr>
          <w:trHeight w:val="145"/>
        </w:trPr>
        <w:tc>
          <w:tcPr>
            <w:tcW w:w="1814" w:type="dxa"/>
            <w:tcMar>
              <w:left w:w="0" w:type="dxa"/>
            </w:tcMar>
          </w:tcPr>
          <w:p w14:paraId="744F33FF" w14:textId="77777777" w:rsidR="000C2CF1" w:rsidRDefault="000C2CF1" w:rsidP="00135A1D">
            <w:pPr>
              <w:pStyle w:val="Marginlie"/>
              <w:rPr>
                <w:color w:val="0D0D0D" w:themeColor="text1" w:themeTint="F2"/>
                <w:spacing w:val="-5"/>
              </w:rPr>
            </w:pPr>
            <w:r>
              <w:rPr>
                <w:color w:val="0D0D0D" w:themeColor="text1" w:themeTint="F2"/>
                <w:spacing w:val="-5"/>
              </w:rPr>
              <w:t xml:space="preserve">Obecná míra nezaměstnanosti se letos začala mírně zvyšovat. </w:t>
            </w:r>
            <w:r>
              <w:rPr>
                <w:color w:val="0D0D0D" w:themeColor="text1" w:themeTint="F2"/>
                <w:spacing w:val="-5"/>
              </w:rPr>
              <w:br/>
              <w:t xml:space="preserve">I přesto zůstává </w:t>
            </w:r>
            <w:r>
              <w:rPr>
                <w:color w:val="0D0D0D" w:themeColor="text1" w:themeTint="F2"/>
                <w:spacing w:val="-5"/>
              </w:rPr>
              <w:lastRenderedPageBreak/>
              <w:t xml:space="preserve">z historického </w:t>
            </w:r>
            <w:r>
              <w:rPr>
                <w:color w:val="0D0D0D" w:themeColor="text1" w:themeTint="F2"/>
                <w:spacing w:val="-5"/>
              </w:rPr>
              <w:br/>
              <w:t>i mezinárodního hlediska nízká.</w:t>
            </w:r>
          </w:p>
          <w:p w14:paraId="1D8AA2CB" w14:textId="77777777" w:rsidR="000C2CF1" w:rsidRDefault="000C2CF1" w:rsidP="00135A1D">
            <w:pPr>
              <w:pStyle w:val="Marginlie"/>
              <w:rPr>
                <w:color w:val="0D0D0D" w:themeColor="text1" w:themeTint="F2"/>
                <w:spacing w:val="-5"/>
              </w:rPr>
            </w:pPr>
            <w:r>
              <w:rPr>
                <w:color w:val="0D0D0D" w:themeColor="text1" w:themeTint="F2"/>
                <w:spacing w:val="-5"/>
              </w:rPr>
              <w:t xml:space="preserve">Velikost potenciální pracovní rezervy mírně klesla a zůstávala nízká. </w:t>
            </w:r>
          </w:p>
        </w:tc>
        <w:tc>
          <w:tcPr>
            <w:tcW w:w="185" w:type="dxa"/>
            <w:tcMar>
              <w:left w:w="0" w:type="dxa"/>
            </w:tcMar>
          </w:tcPr>
          <w:p w14:paraId="6A94019D" w14:textId="77777777" w:rsidR="000C2CF1" w:rsidRPr="008659E6" w:rsidRDefault="000C2CF1" w:rsidP="00135A1D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69" w:type="dxa"/>
            <w:tcMar>
              <w:left w:w="0" w:type="dxa"/>
            </w:tcMar>
          </w:tcPr>
          <w:p w14:paraId="4B0EC2E5" w14:textId="77777777" w:rsidR="000C2CF1" w:rsidRPr="00ED3E7B" w:rsidRDefault="000C2CF1" w:rsidP="00135A1D">
            <w:pPr>
              <w:spacing w:after="220"/>
              <w:rPr>
                <w:rFonts w:cs="Arial"/>
                <w:szCs w:val="20"/>
              </w:rPr>
            </w:pPr>
            <w:r w:rsidRPr="00B729E2">
              <w:rPr>
                <w:spacing w:val="-4"/>
              </w:rPr>
              <w:t>Obecná míra nezaměstnanosti</w:t>
            </w:r>
            <w:r w:rsidRPr="003C5183">
              <w:rPr>
                <w:rStyle w:val="normaltextrun"/>
                <w:rFonts w:eastAsia="MS Gothic" w:cs="Arial"/>
                <w:color w:val="0D0D0D" w:themeColor="text1" w:themeTint="F2"/>
                <w:spacing w:val="-6"/>
                <w:szCs w:val="20"/>
                <w:vertAlign w:val="superscript"/>
              </w:rPr>
              <w:footnoteReference w:id="23"/>
            </w:r>
            <w:r w:rsidRPr="00B729E2">
              <w:rPr>
                <w:spacing w:val="-4"/>
              </w:rPr>
              <w:t xml:space="preserve"> se po loňské stagnaci začala od letošního jara mírně zvyšovat. </w:t>
            </w:r>
            <w:r>
              <w:rPr>
                <w:spacing w:val="-4"/>
              </w:rPr>
              <w:t>N</w:t>
            </w:r>
            <w:r w:rsidRPr="00B729E2">
              <w:rPr>
                <w:spacing w:val="-4"/>
              </w:rPr>
              <w:t xml:space="preserve">ezaměstnanost 15–64letých </w:t>
            </w:r>
            <w:r>
              <w:rPr>
                <w:spacing w:val="-4"/>
              </w:rPr>
              <w:t xml:space="preserve">tak </w:t>
            </w:r>
            <w:r w:rsidRPr="00B729E2">
              <w:rPr>
                <w:spacing w:val="-4"/>
              </w:rPr>
              <w:t>v říjnu činila 3,2 %</w:t>
            </w:r>
            <w:r>
              <w:rPr>
                <w:rStyle w:val="Znakapoznpodarou"/>
                <w:spacing w:val="-4"/>
              </w:rPr>
              <w:footnoteReference w:id="24"/>
            </w:r>
            <w:r w:rsidRPr="00B729E2">
              <w:rPr>
                <w:spacing w:val="-4"/>
              </w:rPr>
              <w:t xml:space="preserve"> (muži: 2,8 %, ženy: 3,5 %</w:t>
            </w:r>
            <w:r>
              <w:rPr>
                <w:spacing w:val="-4"/>
              </w:rPr>
              <w:t>).</w:t>
            </w:r>
            <w:r w:rsidRPr="00B729E2">
              <w:rPr>
                <w:spacing w:val="-4"/>
              </w:rPr>
              <w:t xml:space="preserve"> </w:t>
            </w:r>
            <w:r>
              <w:rPr>
                <w:spacing w:val="-4"/>
              </w:rPr>
              <w:t>Nezaměstnanost se m</w:t>
            </w:r>
            <w:r w:rsidRPr="00B729E2">
              <w:rPr>
                <w:spacing w:val="-4"/>
              </w:rPr>
              <w:t>eziročn</w:t>
            </w:r>
            <w:r>
              <w:rPr>
                <w:spacing w:val="-4"/>
              </w:rPr>
              <w:t>ě</w:t>
            </w:r>
            <w:r w:rsidRPr="00B729E2">
              <w:rPr>
                <w:spacing w:val="-4"/>
              </w:rPr>
              <w:t xml:space="preserve"> </w:t>
            </w:r>
            <w:r>
              <w:rPr>
                <w:spacing w:val="-4"/>
              </w:rPr>
              <w:t>zvýšila více u mužů</w:t>
            </w:r>
            <w:r w:rsidRPr="00B729E2">
              <w:rPr>
                <w:spacing w:val="-4"/>
              </w:rPr>
              <w:t xml:space="preserve"> </w:t>
            </w:r>
            <w:r>
              <w:rPr>
                <w:spacing w:val="-4"/>
              </w:rPr>
              <w:t>(+</w:t>
            </w:r>
            <w:r w:rsidRPr="00B729E2">
              <w:rPr>
                <w:spacing w:val="-4"/>
              </w:rPr>
              <w:t>0,5 p. b.</w:t>
            </w:r>
            <w:r>
              <w:rPr>
                <w:spacing w:val="-4"/>
              </w:rPr>
              <w:t>)</w:t>
            </w:r>
            <w:r w:rsidRPr="00B729E2">
              <w:rPr>
                <w:spacing w:val="-4"/>
              </w:rPr>
              <w:t xml:space="preserve"> </w:t>
            </w:r>
            <w:r>
              <w:rPr>
                <w:spacing w:val="-4"/>
              </w:rPr>
              <w:t>než u</w:t>
            </w:r>
            <w:r w:rsidRPr="00B729E2">
              <w:rPr>
                <w:spacing w:val="-4"/>
              </w:rPr>
              <w:t xml:space="preserve"> žen </w:t>
            </w:r>
            <w:r>
              <w:rPr>
                <w:spacing w:val="-4"/>
              </w:rPr>
              <w:t>(+</w:t>
            </w:r>
            <w:r w:rsidRPr="00B729E2">
              <w:rPr>
                <w:spacing w:val="-4"/>
              </w:rPr>
              <w:t>0,2 p. b.</w:t>
            </w:r>
            <w:r>
              <w:rPr>
                <w:spacing w:val="-4"/>
              </w:rPr>
              <w:t xml:space="preserve">), což </w:t>
            </w:r>
            <w:r>
              <w:rPr>
                <w:spacing w:val="-4"/>
              </w:rPr>
              <w:lastRenderedPageBreak/>
              <w:t xml:space="preserve">souvisí hlavně se situací v průmyslu. </w:t>
            </w:r>
            <w:r>
              <w:rPr>
                <w:rStyle w:val="normaltextrun"/>
                <w:rFonts w:eastAsia="MS Gothic" w:cs="Arial"/>
                <w:color w:val="0D0D0D" w:themeColor="text1" w:themeTint="F2"/>
                <w:szCs w:val="20"/>
              </w:rPr>
              <w:t>P</w:t>
            </w:r>
            <w:r w:rsidRPr="00261E4E">
              <w:rPr>
                <w:rStyle w:val="normaltextrun"/>
                <w:rFonts w:eastAsia="MS Gothic" w:cs="Arial"/>
                <w:color w:val="0D0D0D" w:themeColor="text1" w:themeTint="F2"/>
                <w:szCs w:val="20"/>
              </w:rPr>
              <w:t xml:space="preserve">ropuštěné pracovníky z některých útlumových oborů </w:t>
            </w:r>
            <w:r>
              <w:rPr>
                <w:rStyle w:val="normaltextrun"/>
                <w:rFonts w:eastAsia="MS Gothic" w:cs="Arial"/>
                <w:color w:val="0D0D0D" w:themeColor="text1" w:themeTint="F2"/>
                <w:szCs w:val="20"/>
              </w:rPr>
              <w:t xml:space="preserve">ale </w:t>
            </w:r>
            <w:r w:rsidRPr="00261E4E">
              <w:rPr>
                <w:rStyle w:val="normaltextrun"/>
                <w:rFonts w:eastAsia="MS Gothic" w:cs="Arial"/>
                <w:color w:val="0D0D0D" w:themeColor="text1" w:themeTint="F2"/>
                <w:szCs w:val="20"/>
              </w:rPr>
              <w:t xml:space="preserve">dokázaly </w:t>
            </w:r>
            <w:r>
              <w:rPr>
                <w:rStyle w:val="normaltextrun"/>
                <w:rFonts w:eastAsia="MS Gothic" w:cs="Arial"/>
                <w:color w:val="0D0D0D" w:themeColor="text1" w:themeTint="F2"/>
                <w:szCs w:val="20"/>
              </w:rPr>
              <w:t>stále</w:t>
            </w:r>
            <w:r w:rsidRPr="00261E4E">
              <w:rPr>
                <w:rStyle w:val="normaltextrun"/>
                <w:rFonts w:eastAsia="MS Gothic" w:cs="Arial"/>
                <w:color w:val="0D0D0D" w:themeColor="text1" w:themeTint="F2"/>
                <w:szCs w:val="20"/>
              </w:rPr>
              <w:t xml:space="preserve"> z velké </w:t>
            </w:r>
            <w:r>
              <w:rPr>
                <w:rStyle w:val="normaltextrun"/>
                <w:rFonts w:eastAsia="MS Gothic" w:cs="Arial"/>
                <w:color w:val="0D0D0D" w:themeColor="text1" w:themeTint="F2"/>
                <w:szCs w:val="20"/>
              </w:rPr>
              <w:t>části</w:t>
            </w:r>
            <w:r w:rsidRPr="00261E4E">
              <w:rPr>
                <w:rStyle w:val="normaltextrun"/>
                <w:rFonts w:eastAsia="MS Gothic" w:cs="Arial"/>
                <w:color w:val="0D0D0D" w:themeColor="text1" w:themeTint="F2"/>
                <w:szCs w:val="20"/>
              </w:rPr>
              <w:t xml:space="preserve"> vstřebat </w:t>
            </w:r>
            <w:r>
              <w:rPr>
                <w:rStyle w:val="normaltextrun"/>
                <w:rFonts w:eastAsia="MS Gothic" w:cs="Arial"/>
                <w:color w:val="0D0D0D" w:themeColor="text1" w:themeTint="F2"/>
                <w:szCs w:val="20"/>
              </w:rPr>
              <w:t>z</w:t>
            </w:r>
            <w:r>
              <w:rPr>
                <w:rStyle w:val="normaltextrun"/>
                <w:rFonts w:eastAsia="MS Gothic" w:cs="Arial"/>
                <w:szCs w:val="20"/>
              </w:rPr>
              <w:t xml:space="preserve">ejména </w:t>
            </w:r>
            <w:r w:rsidRPr="00261E4E">
              <w:rPr>
                <w:rStyle w:val="normaltextrun"/>
                <w:rFonts w:eastAsia="MS Gothic" w:cs="Arial"/>
                <w:color w:val="0D0D0D" w:themeColor="text1" w:themeTint="F2"/>
                <w:szCs w:val="20"/>
              </w:rPr>
              <w:t>rozvíjející se služby</w:t>
            </w:r>
            <w:r>
              <w:rPr>
                <w:rFonts w:cs="Arial"/>
                <w:szCs w:val="20"/>
              </w:rPr>
              <w:t>. I proto se počet dlouhodobě nezaměstnaných razantně nezvýšil</w:t>
            </w:r>
            <w:r>
              <w:rPr>
                <w:rStyle w:val="Znakapoznpodarou"/>
                <w:szCs w:val="20"/>
              </w:rPr>
              <w:footnoteReference w:id="25"/>
            </w:r>
            <w:r w:rsidRPr="00261E4E">
              <w:rPr>
                <w:color w:val="0D0D0D" w:themeColor="text1" w:themeTint="F2"/>
              </w:rPr>
              <w:t>. V</w:t>
            </w:r>
            <w:r w:rsidRPr="00261E4E">
              <w:rPr>
                <w:color w:val="0D0D0D" w:themeColor="text1" w:themeTint="F2"/>
                <w:spacing w:val="-4"/>
              </w:rPr>
              <w:t>elikost potenciální pracovní rezervy (tj. ekonomicky neaktivních osob práci nehledajících, a</w:t>
            </w:r>
            <w:r>
              <w:rPr>
                <w:color w:val="0D0D0D" w:themeColor="text1" w:themeTint="F2"/>
                <w:spacing w:val="-4"/>
              </w:rPr>
              <w:t>le uvádějících ochotu pracovat) činila pouhých 76</w:t>
            </w:r>
            <w:r w:rsidRPr="00261E4E">
              <w:rPr>
                <w:color w:val="0D0D0D" w:themeColor="text1" w:themeTint="F2"/>
                <w:spacing w:val="-4"/>
              </w:rPr>
              <w:t xml:space="preserve"> tis. osob</w:t>
            </w:r>
            <w:r w:rsidRPr="00261E4E">
              <w:rPr>
                <w:rStyle w:val="Znakapoznpodarou"/>
                <w:color w:val="0D0D0D" w:themeColor="text1" w:themeTint="F2"/>
                <w:spacing w:val="-4"/>
              </w:rPr>
              <w:footnoteReference w:id="26"/>
            </w:r>
            <w:r w:rsidRPr="00261E4E">
              <w:rPr>
                <w:color w:val="0D0D0D" w:themeColor="text1" w:themeTint="F2"/>
                <w:spacing w:val="-4"/>
              </w:rPr>
              <w:t xml:space="preserve"> </w:t>
            </w:r>
            <w:r>
              <w:rPr>
                <w:color w:val="0D0D0D" w:themeColor="text1" w:themeTint="F2"/>
                <w:spacing w:val="-4"/>
              </w:rPr>
              <w:t>a meziročně se o šestinu snížila</w:t>
            </w:r>
            <w:r w:rsidRPr="00261E4E">
              <w:rPr>
                <w:color w:val="0D0D0D" w:themeColor="text1" w:themeTint="F2"/>
                <w:spacing w:val="-4"/>
              </w:rPr>
              <w:t xml:space="preserve">. To sice představuje nezanedbatelný problém pro řadu zaměstnavatelů, na druhou stranu jde ovšem také o pozitivní signál naznačující, že rozsah skryté nezaměstnanosti (ve formě „úniku“ do ekonomické neaktivity) není </w:t>
            </w:r>
            <w:r>
              <w:rPr>
                <w:color w:val="0D0D0D" w:themeColor="text1" w:themeTint="F2"/>
                <w:spacing w:val="-4"/>
              </w:rPr>
              <w:t xml:space="preserve">v posledních letech </w:t>
            </w:r>
            <w:r w:rsidRPr="00261E4E">
              <w:rPr>
                <w:color w:val="0D0D0D" w:themeColor="text1" w:themeTint="F2"/>
                <w:spacing w:val="-4"/>
              </w:rPr>
              <w:t>na tuzemském pracovním trhu významný.</w:t>
            </w:r>
          </w:p>
        </w:tc>
      </w:tr>
      <w:tr w:rsidR="000C2CF1" w:rsidRPr="00D82DBD" w14:paraId="5657DD78" w14:textId="77777777" w:rsidTr="00135A1D">
        <w:trPr>
          <w:trHeight w:val="145"/>
        </w:trPr>
        <w:tc>
          <w:tcPr>
            <w:tcW w:w="1814" w:type="dxa"/>
            <w:tcMar>
              <w:left w:w="0" w:type="dxa"/>
            </w:tcMar>
          </w:tcPr>
          <w:p w14:paraId="0D23B86D" w14:textId="77777777" w:rsidR="000C2CF1" w:rsidRPr="00461673" w:rsidRDefault="000C2CF1" w:rsidP="00135A1D">
            <w:pPr>
              <w:pStyle w:val="Marginlie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lastRenderedPageBreak/>
              <w:t>R</w:t>
            </w:r>
            <w:r w:rsidRPr="002F4E55">
              <w:rPr>
                <w:color w:val="0D0D0D" w:themeColor="text1" w:themeTint="F2"/>
              </w:rPr>
              <w:t xml:space="preserve">egistrovaných </w:t>
            </w:r>
            <w:r>
              <w:rPr>
                <w:color w:val="0D0D0D" w:themeColor="text1" w:themeTint="F2"/>
              </w:rPr>
              <w:t xml:space="preserve">uchazečů o práci mírně přibylo. Jejich podíl na populaci v produktivním věku byl nejvyšší od března 2017. </w:t>
            </w:r>
          </w:p>
          <w:p w14:paraId="2E66EE90" w14:textId="77777777" w:rsidR="000C2CF1" w:rsidRPr="008659E6" w:rsidRDefault="000C2CF1" w:rsidP="00135A1D">
            <w:pPr>
              <w:pStyle w:val="Marginlie"/>
              <w:rPr>
                <w:color w:val="0D0D0D" w:themeColor="text1" w:themeTint="F2"/>
                <w:spacing w:val="-5"/>
              </w:rPr>
            </w:pPr>
          </w:p>
        </w:tc>
        <w:tc>
          <w:tcPr>
            <w:tcW w:w="185" w:type="dxa"/>
            <w:tcMar>
              <w:left w:w="0" w:type="dxa"/>
            </w:tcMar>
          </w:tcPr>
          <w:p w14:paraId="3DDAD04C" w14:textId="77777777" w:rsidR="000C2CF1" w:rsidRPr="008659E6" w:rsidRDefault="000C2CF1" w:rsidP="00135A1D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69" w:type="dxa"/>
            <w:tcMar>
              <w:left w:w="0" w:type="dxa"/>
            </w:tcMar>
          </w:tcPr>
          <w:p w14:paraId="0E75C01D" w14:textId="77777777" w:rsidR="000C2CF1" w:rsidRPr="000B5026" w:rsidRDefault="000C2CF1" w:rsidP="00135A1D">
            <w:pPr>
              <w:spacing w:after="200"/>
              <w:rPr>
                <w:rFonts w:cs="Arial"/>
                <w:szCs w:val="20"/>
              </w:rPr>
            </w:pPr>
            <w:r>
              <w:rPr>
                <w:color w:val="0D0D0D" w:themeColor="text1" w:themeTint="F2"/>
                <w:spacing w:val="-6"/>
              </w:rPr>
              <w:t>Výraznější</w:t>
            </w:r>
            <w:r w:rsidRPr="00EA122A">
              <w:rPr>
                <w:color w:val="0D0D0D" w:themeColor="text1" w:themeTint="F2"/>
                <w:spacing w:val="-6"/>
              </w:rPr>
              <w:t xml:space="preserve"> ochlazení tuzemského pracovního trhu dosud nenaznačují ani údaje z úřadů práce (ÚP).</w:t>
            </w:r>
            <w:r w:rsidRPr="00EA122A">
              <w:rPr>
                <w:rStyle w:val="normaltextrun"/>
                <w:rFonts w:cs="Arial"/>
                <w:szCs w:val="20"/>
              </w:rPr>
              <w:t xml:space="preserve"> </w:t>
            </w:r>
            <w:r w:rsidRPr="00D7747E">
              <w:rPr>
                <w:rFonts w:cs="Arial"/>
                <w:szCs w:val="20"/>
              </w:rPr>
              <w:t xml:space="preserve">Sezonně neočištěný podíl registrovaných uchazečů o práci na celkové populaci </w:t>
            </w:r>
            <w:r>
              <w:rPr>
                <w:rFonts w:cs="Arial"/>
                <w:szCs w:val="20"/>
              </w:rPr>
              <w:br/>
            </w:r>
            <w:r w:rsidRPr="00D7747E">
              <w:rPr>
                <w:rFonts w:cs="Arial"/>
                <w:szCs w:val="20"/>
              </w:rPr>
              <w:t>15 až 64let</w:t>
            </w:r>
            <w:r>
              <w:rPr>
                <w:rFonts w:cs="Arial"/>
                <w:szCs w:val="20"/>
              </w:rPr>
              <w:t xml:space="preserve">ých dosáhl letos na konci října </w:t>
            </w:r>
            <w:r w:rsidRPr="00172F01">
              <w:rPr>
                <w:rStyle w:val="normaltextrun"/>
                <w:rFonts w:eastAsiaTheme="majorEastAsia" w:cs="Arial"/>
                <w:szCs w:val="20"/>
              </w:rPr>
              <w:t xml:space="preserve">4,6 % (muži: 4,1 %, ženy: 5,0 %). To </w:t>
            </w:r>
            <w:r>
              <w:rPr>
                <w:rStyle w:val="normaltextrun"/>
                <w:rFonts w:eastAsiaTheme="majorEastAsia" w:cs="Arial"/>
                <w:szCs w:val="20"/>
              </w:rPr>
              <w:t>bylo</w:t>
            </w:r>
            <w:r w:rsidRPr="00172F01">
              <w:rPr>
                <w:rStyle w:val="normaltextrun"/>
                <w:rFonts w:eastAsiaTheme="majorEastAsia" w:cs="Arial"/>
                <w:szCs w:val="20"/>
              </w:rPr>
              <w:t xml:space="preserve"> meziročně o 0,7 p. b. více (mírný růst nezaměstnanosti probíhal nepřetržitě i po celý loňský rok, letos </w:t>
            </w:r>
            <w:r w:rsidRPr="002B5A57">
              <w:rPr>
                <w:rStyle w:val="normaltextrun"/>
                <w:rFonts w:eastAsiaTheme="majorEastAsia" w:cs="Arial"/>
                <w:spacing w:val="-4"/>
                <w:szCs w:val="20"/>
              </w:rPr>
              <w:t>se tempo růstu lehce zvyšovalo</w:t>
            </w:r>
            <w:r w:rsidRPr="002B5A57">
              <w:rPr>
                <w:rStyle w:val="Znakapoznpodarou"/>
                <w:spacing w:val="-4"/>
                <w:szCs w:val="20"/>
              </w:rPr>
              <w:footnoteReference w:id="27"/>
            </w:r>
            <w:r w:rsidRPr="002B5A57">
              <w:rPr>
                <w:rStyle w:val="normaltextrun"/>
                <w:rFonts w:eastAsiaTheme="majorEastAsia" w:cs="Arial"/>
                <w:spacing w:val="-4"/>
                <w:szCs w:val="20"/>
              </w:rPr>
              <w:t xml:space="preserve">). </w:t>
            </w:r>
            <w:proofErr w:type="gramStart"/>
            <w:r w:rsidRPr="002B5A57">
              <w:rPr>
                <w:rStyle w:val="normaltextrun"/>
                <w:rFonts w:eastAsiaTheme="majorEastAsia" w:cs="Arial"/>
                <w:spacing w:val="-4"/>
                <w:szCs w:val="20"/>
              </w:rPr>
              <w:t>Vyšší</w:t>
            </w:r>
            <w:proofErr w:type="gramEnd"/>
            <w:r w:rsidRPr="002B5A57">
              <w:rPr>
                <w:rStyle w:val="normaltextrun"/>
                <w:rFonts w:eastAsiaTheme="majorEastAsia" w:cs="Arial"/>
                <w:spacing w:val="-4"/>
                <w:szCs w:val="20"/>
              </w:rPr>
              <w:t xml:space="preserve"> než nynější nezaměstnanost byla </w:t>
            </w:r>
            <w:r w:rsidRPr="00335C27">
              <w:rPr>
                <w:rStyle w:val="normaltextrun"/>
                <w:rFonts w:eastAsiaTheme="majorEastAsia" w:cs="Arial"/>
                <w:spacing w:val="-4"/>
                <w:szCs w:val="20"/>
              </w:rPr>
              <w:t xml:space="preserve">naposledy v březnu 2017. </w:t>
            </w:r>
            <w:r w:rsidRPr="00335C27">
              <w:rPr>
                <w:rFonts w:cs="Arial"/>
                <w:spacing w:val="-4"/>
                <w:szCs w:val="20"/>
              </w:rPr>
              <w:t>Nezaměstnanost je tradičně výrazně regionálně diferencovaná</w:t>
            </w:r>
            <w:r w:rsidRPr="00335C27">
              <w:rPr>
                <w:rStyle w:val="Znakapoznpodarou"/>
                <w:spacing w:val="-4"/>
                <w:szCs w:val="20"/>
              </w:rPr>
              <w:footnoteReference w:id="28"/>
            </w:r>
            <w:r w:rsidRPr="00335C27">
              <w:rPr>
                <w:rFonts w:cs="Arial"/>
                <w:spacing w:val="-4"/>
                <w:szCs w:val="20"/>
              </w:rPr>
              <w:t>.</w:t>
            </w:r>
          </w:p>
        </w:tc>
      </w:tr>
      <w:tr w:rsidR="000C2CF1" w:rsidRPr="00B43216" w14:paraId="435B1720" w14:textId="77777777" w:rsidTr="00135A1D">
        <w:trPr>
          <w:trHeight w:val="155"/>
        </w:trPr>
        <w:tc>
          <w:tcPr>
            <w:tcW w:w="1814" w:type="dxa"/>
            <w:vMerge w:val="restart"/>
            <w:tcMar>
              <w:left w:w="0" w:type="dxa"/>
            </w:tcMar>
          </w:tcPr>
          <w:p w14:paraId="03D822A2" w14:textId="77777777" w:rsidR="000C2CF1" w:rsidRPr="00B43216" w:rsidRDefault="000C2CF1" w:rsidP="00135A1D">
            <w:pPr>
              <w:pStyle w:val="Marginlie"/>
              <w:spacing w:after="120"/>
              <w:rPr>
                <w:spacing w:val="-4"/>
              </w:rPr>
            </w:pPr>
          </w:p>
        </w:tc>
        <w:tc>
          <w:tcPr>
            <w:tcW w:w="185" w:type="dxa"/>
            <w:vMerge w:val="restart"/>
            <w:tcMar>
              <w:left w:w="0" w:type="dxa"/>
            </w:tcMar>
          </w:tcPr>
          <w:p w14:paraId="15B552C2" w14:textId="77777777" w:rsidR="000C2CF1" w:rsidRPr="00B43216" w:rsidRDefault="000C2CF1" w:rsidP="00135A1D">
            <w:pPr>
              <w:pStyle w:val="Textpoznpodarou"/>
              <w:spacing w:after="120"/>
              <w:jc w:val="both"/>
              <w:rPr>
                <w:spacing w:val="-4"/>
              </w:rPr>
            </w:pPr>
          </w:p>
        </w:tc>
        <w:tc>
          <w:tcPr>
            <w:tcW w:w="7769" w:type="dxa"/>
            <w:tcMar>
              <w:left w:w="0" w:type="dxa"/>
            </w:tcMar>
          </w:tcPr>
          <w:p w14:paraId="68348EE7" w14:textId="77777777" w:rsidR="000C2CF1" w:rsidRPr="0021475C" w:rsidRDefault="000C2CF1" w:rsidP="00135A1D">
            <w:pPr>
              <w:spacing w:after="0"/>
              <w:rPr>
                <w:rFonts w:cs="Arial"/>
                <w:b/>
                <w:bCs/>
                <w:spacing w:val="-4"/>
              </w:rPr>
            </w:pPr>
            <w:r w:rsidRPr="0021475C">
              <w:rPr>
                <w:b/>
                <w:spacing w:val="-4"/>
              </w:rPr>
              <w:t xml:space="preserve">Graf č. 14 </w:t>
            </w:r>
            <w:r w:rsidRPr="0021475C">
              <w:rPr>
                <w:rFonts w:cs="Arial"/>
                <w:b/>
                <w:spacing w:val="-4"/>
              </w:rPr>
              <w:t xml:space="preserve">Obecná míra nezaměstnanosti </w:t>
            </w:r>
            <w:r w:rsidRPr="0021475C">
              <w:rPr>
                <w:rFonts w:cs="Arial"/>
                <w:bCs/>
                <w:spacing w:val="-4"/>
              </w:rPr>
              <w:t>(v</w:t>
            </w:r>
            <w:r>
              <w:rPr>
                <w:rFonts w:cs="Arial"/>
                <w:bCs/>
                <w:spacing w:val="-4"/>
              </w:rPr>
              <w:t> %</w:t>
            </w:r>
            <w:r w:rsidRPr="0021475C">
              <w:rPr>
                <w:rFonts w:cs="Arial"/>
                <w:bCs/>
                <w:spacing w:val="-4"/>
              </w:rPr>
              <w:t>, věk 15 až 64 let)</w:t>
            </w:r>
            <w:r w:rsidRPr="0021475C">
              <w:rPr>
                <w:rFonts w:cs="Arial"/>
                <w:b/>
                <w:spacing w:val="-4"/>
              </w:rPr>
              <w:t>,</w:t>
            </w:r>
            <w:r w:rsidRPr="0021475C">
              <w:rPr>
                <w:rFonts w:cs="Arial"/>
                <w:bCs/>
                <w:spacing w:val="-4"/>
              </w:rPr>
              <w:t xml:space="preserve"> </w:t>
            </w:r>
            <w:r w:rsidRPr="0021475C">
              <w:rPr>
                <w:rFonts w:cs="Arial"/>
                <w:b/>
                <w:bCs/>
                <w:spacing w:val="-4"/>
              </w:rPr>
              <w:t>očekávání vývoje nezaměstnanosti ze strany domácností*</w:t>
            </w:r>
            <w:r w:rsidRPr="0021475C">
              <w:rPr>
                <w:rFonts w:cs="Arial"/>
                <w:bCs/>
                <w:spacing w:val="-4"/>
              </w:rPr>
              <w:t xml:space="preserve"> (v p. b.), </w:t>
            </w:r>
            <w:r w:rsidRPr="0021475C">
              <w:rPr>
                <w:rFonts w:cs="Arial"/>
                <w:b/>
                <w:bCs/>
                <w:spacing w:val="-4"/>
              </w:rPr>
              <w:t xml:space="preserve">volná pracovní místa a pracující cizinci v pozici zaměstnanců </w:t>
            </w:r>
            <w:r w:rsidRPr="0021475C">
              <w:rPr>
                <w:rFonts w:cs="Arial"/>
                <w:bCs/>
                <w:spacing w:val="-4"/>
              </w:rPr>
              <w:t xml:space="preserve">(v </w:t>
            </w:r>
            <w:proofErr w:type="gramStart"/>
            <w:r w:rsidRPr="0021475C">
              <w:rPr>
                <w:rFonts w:cs="Arial"/>
                <w:bCs/>
                <w:spacing w:val="-4"/>
              </w:rPr>
              <w:t>tis.)*</w:t>
            </w:r>
            <w:proofErr w:type="gramEnd"/>
            <w:r w:rsidRPr="0021475C">
              <w:rPr>
                <w:rFonts w:cs="Arial"/>
                <w:bCs/>
                <w:spacing w:val="-4"/>
              </w:rPr>
              <w:t>*</w:t>
            </w:r>
          </w:p>
        </w:tc>
      </w:tr>
      <w:tr w:rsidR="000C2CF1" w:rsidRPr="00B43216" w14:paraId="45FCC134" w14:textId="77777777" w:rsidTr="00135A1D">
        <w:tblPrEx>
          <w:tblCellMar>
            <w:left w:w="70" w:type="dxa"/>
            <w:right w:w="70" w:type="dxa"/>
          </w:tblCellMar>
        </w:tblPrEx>
        <w:trPr>
          <w:trHeight w:val="155"/>
        </w:trPr>
        <w:tc>
          <w:tcPr>
            <w:tcW w:w="1814" w:type="dxa"/>
            <w:vMerge/>
          </w:tcPr>
          <w:p w14:paraId="1892ECFC" w14:textId="77777777" w:rsidR="000C2CF1" w:rsidRPr="00B43216" w:rsidRDefault="000C2CF1" w:rsidP="00135A1D">
            <w:pPr>
              <w:pStyle w:val="Marginlie"/>
              <w:spacing w:after="120"/>
              <w:rPr>
                <w:spacing w:val="-4"/>
              </w:rPr>
            </w:pPr>
          </w:p>
        </w:tc>
        <w:tc>
          <w:tcPr>
            <w:tcW w:w="185" w:type="dxa"/>
            <w:vMerge/>
          </w:tcPr>
          <w:p w14:paraId="579A4887" w14:textId="77777777" w:rsidR="000C2CF1" w:rsidRPr="00B43216" w:rsidRDefault="000C2CF1" w:rsidP="00135A1D">
            <w:pPr>
              <w:pStyle w:val="Textpoznpodarou"/>
              <w:spacing w:after="120"/>
              <w:jc w:val="both"/>
              <w:rPr>
                <w:spacing w:val="-4"/>
              </w:rPr>
            </w:pPr>
          </w:p>
        </w:tc>
        <w:tc>
          <w:tcPr>
            <w:tcW w:w="7769" w:type="dxa"/>
          </w:tcPr>
          <w:p w14:paraId="54DD39BC" w14:textId="77777777" w:rsidR="000C2CF1" w:rsidRPr="00B43216" w:rsidRDefault="000C2CF1" w:rsidP="00135A1D">
            <w:pPr>
              <w:spacing w:after="0"/>
              <w:rPr>
                <w:spacing w:val="-4"/>
              </w:rPr>
            </w:pPr>
            <w:r>
              <w:rPr>
                <w:noProof/>
              </w:rPr>
              <w:drawing>
                <wp:inline distT="0" distB="0" distL="0" distR="0" wp14:anchorId="627DE3CE" wp14:editId="12994ABA">
                  <wp:extent cx="4844716" cy="3547745"/>
                  <wp:effectExtent l="0" t="0" r="0" b="0"/>
                  <wp:docPr id="1087557009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3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0C2CF1" w:rsidRPr="00B43216" w14:paraId="3171B310" w14:textId="77777777" w:rsidTr="00135A1D">
        <w:trPr>
          <w:trHeight w:val="132"/>
        </w:trPr>
        <w:tc>
          <w:tcPr>
            <w:tcW w:w="1814" w:type="dxa"/>
            <w:vMerge/>
            <w:tcMar>
              <w:left w:w="0" w:type="dxa"/>
            </w:tcMar>
          </w:tcPr>
          <w:p w14:paraId="0C8CD4EA" w14:textId="77777777" w:rsidR="000C2CF1" w:rsidRPr="00B43216" w:rsidRDefault="000C2CF1" w:rsidP="00135A1D">
            <w:pPr>
              <w:pStyle w:val="Marginlie"/>
              <w:rPr>
                <w:spacing w:val="-4"/>
              </w:rPr>
            </w:pPr>
          </w:p>
        </w:tc>
        <w:tc>
          <w:tcPr>
            <w:tcW w:w="185" w:type="dxa"/>
            <w:vMerge/>
            <w:tcMar>
              <w:left w:w="0" w:type="dxa"/>
            </w:tcMar>
          </w:tcPr>
          <w:p w14:paraId="11D0D380" w14:textId="77777777" w:rsidR="000C2CF1" w:rsidRPr="00B43216" w:rsidRDefault="000C2CF1" w:rsidP="00135A1D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769" w:type="dxa"/>
            <w:tcMar>
              <w:left w:w="0" w:type="dxa"/>
            </w:tcMar>
          </w:tcPr>
          <w:p w14:paraId="134E9BB6" w14:textId="77777777" w:rsidR="000C2CF1" w:rsidRDefault="000C2CF1" w:rsidP="00135A1D">
            <w:pPr>
              <w:spacing w:before="60" w:after="0" w:line="240" w:lineRule="auto"/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</w:pPr>
            <w:r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>Pozn.: Míry nezaměstnanosti jsou sezónně očištěny</w:t>
            </w:r>
            <w:r w:rsidRPr="00D94F3D"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 xml:space="preserve">. </w:t>
            </w:r>
          </w:p>
          <w:p w14:paraId="49B85029" w14:textId="77777777" w:rsidR="000C2CF1" w:rsidRPr="00274FC3" w:rsidRDefault="000C2CF1" w:rsidP="00135A1D">
            <w:pPr>
              <w:spacing w:after="0" w:line="240" w:lineRule="auto"/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</w:pPr>
            <w:r w:rsidRPr="00D94F3D"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 xml:space="preserve">VPM = </w:t>
            </w:r>
            <w:r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 xml:space="preserve">pouze </w:t>
            </w:r>
            <w:r w:rsidRPr="00D94F3D"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>volná pracovní místa</w:t>
            </w:r>
            <w:r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 xml:space="preserve"> s délkou evidence do šesti</w:t>
            </w:r>
            <w:r w:rsidRPr="001D020B"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 xml:space="preserve"> měsíců.</w:t>
            </w:r>
            <w:r w:rsidRPr="00D94F3D"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 xml:space="preserve"> (stav na konci čtvrtletí)</w:t>
            </w:r>
          </w:p>
          <w:p w14:paraId="3EE813D4" w14:textId="77777777" w:rsidR="000C2CF1" w:rsidRDefault="000C2CF1" w:rsidP="00135A1D">
            <w:pPr>
              <w:spacing w:after="0" w:line="240" w:lineRule="auto"/>
              <w:rPr>
                <w:rFonts w:cs="Arial"/>
                <w:color w:val="0D0D0D" w:themeColor="text1" w:themeTint="F2"/>
                <w:spacing w:val="-2"/>
                <w:sz w:val="14"/>
                <w:szCs w:val="14"/>
              </w:rPr>
            </w:pPr>
            <w:r>
              <w:rPr>
                <w:rFonts w:cs="Arial"/>
                <w:color w:val="0D0D0D" w:themeColor="text1" w:themeTint="F2"/>
                <w:spacing w:val="-2"/>
                <w:sz w:val="14"/>
                <w:szCs w:val="14"/>
              </w:rPr>
              <w:t>*Sezónně očištěné saldo očekávání nezaměstnanosti v nejbližších 12 měsících (rozdíl mezi procentuální četností odpovědí domácností, růst a pokles vyjádřený v procentních bodech). Vztahuje se k prostřednímu měsíci daného čtvrtletí.</w:t>
            </w:r>
          </w:p>
          <w:p w14:paraId="684D8B2C" w14:textId="77777777" w:rsidR="000C2CF1" w:rsidRDefault="000C2CF1" w:rsidP="00135A1D">
            <w:pPr>
              <w:spacing w:after="0" w:line="240" w:lineRule="auto"/>
              <w:rPr>
                <w:rFonts w:cs="Arial"/>
                <w:color w:val="0D0D0D" w:themeColor="text1" w:themeTint="F2"/>
                <w:spacing w:val="-2"/>
                <w:sz w:val="14"/>
                <w:szCs w:val="14"/>
              </w:rPr>
            </w:pPr>
            <w:r>
              <w:rPr>
                <w:rFonts w:cs="Arial"/>
                <w:color w:val="0D0D0D" w:themeColor="text1" w:themeTint="F2"/>
                <w:spacing w:val="-2"/>
                <w:sz w:val="14"/>
                <w:szCs w:val="14"/>
              </w:rPr>
              <w:t>**Počet cizinců v postavení zaměstnanců evidovaných na úřadech práce v ČR na konci příslušného čtvrtletí.</w:t>
            </w:r>
          </w:p>
          <w:p w14:paraId="01E10B0D" w14:textId="77777777" w:rsidR="000C2CF1" w:rsidRPr="00485ED5" w:rsidRDefault="000C2CF1" w:rsidP="00135A1D">
            <w:pPr>
              <w:spacing w:after="200" w:line="240" w:lineRule="auto"/>
              <w:rPr>
                <w:rFonts w:cs="Arial"/>
                <w:color w:val="0D0D0D" w:themeColor="text1" w:themeTint="F2"/>
                <w:spacing w:val="-2"/>
                <w:sz w:val="14"/>
                <w:szCs w:val="14"/>
              </w:rPr>
            </w:pPr>
            <w:r>
              <w:rPr>
                <w:rFonts w:cs="Arial"/>
                <w:color w:val="0D0D0D" w:themeColor="text1" w:themeTint="F2"/>
                <w:spacing w:val="-2"/>
                <w:sz w:val="14"/>
                <w:szCs w:val="14"/>
              </w:rPr>
              <w:t>Zdroj: ČSÚ (VŠPS, konjunkturální průzkum), MPSV (VPM registrovaná na úřadech práce v ČR, zaměstnaní cizinci)</w:t>
            </w:r>
          </w:p>
        </w:tc>
      </w:tr>
      <w:tr w:rsidR="000C2CF1" w:rsidRPr="00016778" w14:paraId="482331FA" w14:textId="77777777" w:rsidTr="00135A1D">
        <w:trPr>
          <w:trHeight w:val="132"/>
        </w:trPr>
        <w:tc>
          <w:tcPr>
            <w:tcW w:w="1814" w:type="dxa"/>
            <w:tcMar>
              <w:left w:w="0" w:type="dxa"/>
            </w:tcMar>
          </w:tcPr>
          <w:p w14:paraId="71EF2F46" w14:textId="77777777" w:rsidR="000C2CF1" w:rsidRPr="00F96464" w:rsidRDefault="000C2CF1" w:rsidP="00135A1D">
            <w:pPr>
              <w:pStyle w:val="Marginlie"/>
              <w:rPr>
                <w:spacing w:val="0"/>
              </w:rPr>
            </w:pPr>
            <w:r w:rsidRPr="00F96464">
              <w:rPr>
                <w:spacing w:val="0"/>
              </w:rPr>
              <w:lastRenderedPageBreak/>
              <w:t xml:space="preserve">Zrychlení růstu ekonomiky se letos </w:t>
            </w:r>
            <w:r>
              <w:rPr>
                <w:spacing w:val="0"/>
              </w:rPr>
              <w:t xml:space="preserve">příliš neprojevilo </w:t>
            </w:r>
            <w:r w:rsidRPr="00F96464">
              <w:rPr>
                <w:spacing w:val="0"/>
              </w:rPr>
              <w:t>do vyšší nabídky volných míst prostřednictvím ÚP</w:t>
            </w:r>
            <w:r>
              <w:rPr>
                <w:spacing w:val="0"/>
              </w:rPr>
              <w:t>.</w:t>
            </w:r>
          </w:p>
        </w:tc>
        <w:tc>
          <w:tcPr>
            <w:tcW w:w="185" w:type="dxa"/>
            <w:tcMar>
              <w:left w:w="0" w:type="dxa"/>
            </w:tcMar>
          </w:tcPr>
          <w:p w14:paraId="7FF585B0" w14:textId="77777777" w:rsidR="000C2CF1" w:rsidRPr="00016778" w:rsidRDefault="000C2CF1" w:rsidP="00135A1D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69" w:type="dxa"/>
            <w:tcMar>
              <w:left w:w="0" w:type="dxa"/>
            </w:tcMar>
          </w:tcPr>
          <w:p w14:paraId="0916BB7C" w14:textId="77777777" w:rsidR="000C2CF1" w:rsidRPr="00150168" w:rsidRDefault="000C2CF1" w:rsidP="00135A1D">
            <w:pPr>
              <w:spacing w:after="200"/>
              <w:rPr>
                <w:rStyle w:val="normaltextrun"/>
                <w:color w:val="0D0D0D" w:themeColor="text1" w:themeTint="F2"/>
                <w:spacing w:val="-4"/>
              </w:rPr>
            </w:pPr>
            <w:r w:rsidRPr="00150168">
              <w:rPr>
                <w:color w:val="0D0D0D" w:themeColor="text1" w:themeTint="F2"/>
                <w:spacing w:val="-4"/>
              </w:rPr>
              <w:t>Úřady práce evidovaly (dle nové metodiky) letos na konci října 94,0 tis</w:t>
            </w:r>
            <w:r w:rsidRPr="00150168">
              <w:rPr>
                <w:rStyle w:val="Znakapoznpodarou"/>
                <w:color w:val="0D0D0D" w:themeColor="text1" w:themeTint="F2"/>
                <w:spacing w:val="-4"/>
              </w:rPr>
              <w:footnoteReference w:id="29"/>
            </w:r>
            <w:r w:rsidRPr="00150168">
              <w:rPr>
                <w:color w:val="0D0D0D" w:themeColor="text1" w:themeTint="F2"/>
                <w:spacing w:val="-4"/>
              </w:rPr>
              <w:t xml:space="preserve">. volných míst (v zásadě jen místa s dobou evidence kratší než 6 měsíců), o 13 % více než letos na konci ledna. </w:t>
            </w:r>
            <w:r w:rsidRPr="00150168">
              <w:rPr>
                <w:rStyle w:val="normaltextrun"/>
                <w:rFonts w:eastAsiaTheme="majorEastAsia" w:cs="Arial"/>
                <w:spacing w:val="-4"/>
                <w:szCs w:val="20"/>
              </w:rPr>
              <w:t xml:space="preserve">Během letošního léta i podzimu se počet míst meziměsíčně významně neměnil (bez ohledu na sezónní vlivy). Dopad zrychlujícího růstu ekonomiky není zatím na nabídce míst patrný. Na jedno volné místo připadalo aktuálně v Česku 3,6 uchazeče (vč. osob dočasně </w:t>
            </w:r>
            <w:r w:rsidRPr="00150168">
              <w:rPr>
                <w:rStyle w:val="normaltextrun"/>
                <w:rFonts w:eastAsiaTheme="majorEastAsia" w:cs="Arial"/>
                <w:szCs w:val="20"/>
              </w:rPr>
              <w:t>nedosažitelných). Přetrvával významný strukturální nesoulad nabídky a poptávky</w:t>
            </w:r>
            <w:r w:rsidRPr="00150168">
              <w:rPr>
                <w:rStyle w:val="normaltextrun"/>
                <w:rFonts w:eastAsiaTheme="majorEastAsia" w:cs="Arial"/>
                <w:spacing w:val="-4"/>
                <w:szCs w:val="20"/>
              </w:rPr>
              <w:t xml:space="preserve"> z kvalifikačního</w:t>
            </w:r>
            <w:r w:rsidRPr="00150168">
              <w:rPr>
                <w:color w:val="0D0D0D" w:themeColor="text1" w:themeTint="F2"/>
                <w:spacing w:val="-4"/>
                <w:vertAlign w:val="superscript"/>
              </w:rPr>
              <w:footnoteReference w:id="30"/>
            </w:r>
            <w:r w:rsidRPr="00150168">
              <w:rPr>
                <w:rStyle w:val="normaltextrun"/>
                <w:rFonts w:eastAsiaTheme="majorEastAsia" w:cs="Arial"/>
                <w:spacing w:val="-4"/>
                <w:szCs w:val="20"/>
              </w:rPr>
              <w:t xml:space="preserve"> i regionálního pohledu</w:t>
            </w:r>
            <w:r w:rsidRPr="00150168">
              <w:rPr>
                <w:rStyle w:val="Znakapoznpodarou"/>
                <w:rFonts w:eastAsiaTheme="majorEastAsia"/>
                <w:spacing w:val="-4"/>
                <w:szCs w:val="20"/>
              </w:rPr>
              <w:footnoteReference w:id="31"/>
            </w:r>
            <w:r w:rsidRPr="00150168">
              <w:rPr>
                <w:rStyle w:val="normaltextrun"/>
                <w:rFonts w:eastAsiaTheme="majorEastAsia" w:cs="Arial"/>
                <w:spacing w:val="-4"/>
                <w:szCs w:val="20"/>
              </w:rPr>
              <w:t xml:space="preserve">. </w:t>
            </w:r>
            <w:r w:rsidRPr="00150168">
              <w:rPr>
                <w:color w:val="0D0D0D" w:themeColor="text1" w:themeTint="F2"/>
                <w:spacing w:val="-4"/>
              </w:rPr>
              <w:t>Obavy lidí z růstu nezaměstnanosti (vyjádřené v rámci konjunkturálních průzkumů) letos v 1. čtvrtletí narůstaly, následně došlo ke stabilizaci a během podzimních měsíců se významně snížily (pod úroveň dlouhodobého průměru).</w:t>
            </w:r>
          </w:p>
        </w:tc>
      </w:tr>
      <w:tr w:rsidR="000C2CF1" w:rsidRPr="00016778" w14:paraId="58416CFB" w14:textId="77777777" w:rsidTr="00135A1D">
        <w:trPr>
          <w:trHeight w:val="132"/>
        </w:trPr>
        <w:tc>
          <w:tcPr>
            <w:tcW w:w="1814" w:type="dxa"/>
            <w:tcMar>
              <w:left w:w="0" w:type="dxa"/>
            </w:tcMar>
          </w:tcPr>
          <w:p w14:paraId="09412AED" w14:textId="77777777" w:rsidR="000C2CF1" w:rsidRDefault="000C2CF1" w:rsidP="00135A1D">
            <w:pPr>
              <w:pStyle w:val="Marginlie"/>
              <w:rPr>
                <w:color w:val="0D0D0D" w:themeColor="text1" w:themeTint="F2"/>
                <w:spacing w:val="0"/>
              </w:rPr>
            </w:pPr>
            <w:r>
              <w:rPr>
                <w:color w:val="0D0D0D" w:themeColor="text1" w:themeTint="F2"/>
                <w:spacing w:val="0"/>
              </w:rPr>
              <w:t xml:space="preserve">Svižný růst nominálních mezd přetrvával. </w:t>
            </w:r>
          </w:p>
          <w:p w14:paraId="2418772D" w14:textId="77777777" w:rsidR="000C2CF1" w:rsidRPr="00CF65F3" w:rsidRDefault="000C2CF1" w:rsidP="00135A1D">
            <w:pPr>
              <w:pStyle w:val="Marginlie"/>
              <w:rPr>
                <w:color w:val="0D0D0D" w:themeColor="text1" w:themeTint="F2"/>
                <w:spacing w:val="0"/>
              </w:rPr>
            </w:pPr>
            <w:r>
              <w:rPr>
                <w:color w:val="0D0D0D" w:themeColor="text1" w:themeTint="F2"/>
                <w:spacing w:val="0"/>
              </w:rPr>
              <w:t xml:space="preserve">Byl podpořen zlepšeným výkonem ekonomiky </w:t>
            </w:r>
            <w:r>
              <w:rPr>
                <w:color w:val="0D0D0D" w:themeColor="text1" w:themeTint="F2"/>
                <w:spacing w:val="0"/>
              </w:rPr>
              <w:br/>
              <w:t>a přetrvávajícím nedostatkem volné pracovní síly v řadě oborů.</w:t>
            </w:r>
          </w:p>
        </w:tc>
        <w:tc>
          <w:tcPr>
            <w:tcW w:w="185" w:type="dxa"/>
            <w:tcMar>
              <w:left w:w="0" w:type="dxa"/>
            </w:tcMar>
          </w:tcPr>
          <w:p w14:paraId="59A0D236" w14:textId="77777777" w:rsidR="000C2CF1" w:rsidRPr="00016778" w:rsidRDefault="000C2CF1" w:rsidP="00135A1D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69" w:type="dxa"/>
            <w:tcMar>
              <w:left w:w="0" w:type="dxa"/>
            </w:tcMar>
          </w:tcPr>
          <w:p w14:paraId="09AD4BCB" w14:textId="77777777" w:rsidR="000C2CF1" w:rsidRPr="00C04F71" w:rsidRDefault="000C2CF1" w:rsidP="00135A1D">
            <w:pPr>
              <w:spacing w:after="200"/>
              <w:rPr>
                <w:rStyle w:val="normaltextrun"/>
                <w:rFonts w:eastAsiaTheme="majorEastAsia" w:cs="Arial"/>
                <w:color w:val="000000"/>
                <w:szCs w:val="20"/>
              </w:rPr>
            </w:pPr>
            <w:r w:rsidRPr="00172F14">
              <w:rPr>
                <w:rStyle w:val="normaltextrun"/>
                <w:rFonts w:eastAsiaTheme="majorEastAsia" w:cs="Arial"/>
                <w:color w:val="000000"/>
                <w:szCs w:val="20"/>
              </w:rPr>
              <w:t>Ve 3. čtvrtletí 2025 dosáhla průměrná hrubá měsíční nominální mzda v národním hospodářst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>ví</w:t>
            </w:r>
            <w:r w:rsidRPr="00172F14"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 48 295 korun. Meziročně vzrostla o 7,1 % 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>(</w:t>
            </w:r>
            <w:r w:rsidRPr="00172F14">
              <w:rPr>
                <w:rStyle w:val="normaltextrun"/>
                <w:rFonts w:eastAsiaTheme="majorEastAsia" w:cs="Arial"/>
                <w:color w:val="000000"/>
                <w:szCs w:val="20"/>
              </w:rPr>
              <w:t>nepatrně nižší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>m</w:t>
            </w:r>
            <w:r w:rsidRPr="00172F14"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 temp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>em</w:t>
            </w:r>
            <w:r w:rsidRPr="00172F14"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 než v průměru za celý loňský rok i za letošní 2. čtvrtlet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>í</w:t>
            </w:r>
            <w:r w:rsidRPr="00172F14"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). Sezónně očištěná mzda posílila mezikvartálně o 1,7 %, což 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>nevybočuje</w:t>
            </w:r>
            <w:r w:rsidRPr="00172F14"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 z vývoje za poslední období. 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>P</w:t>
            </w:r>
            <w:r w:rsidRPr="00172F14"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řetrvávající svižný 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mzdový </w:t>
            </w:r>
            <w:r w:rsidRPr="00172F14"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růst </w:t>
            </w:r>
            <w:r w:rsidRPr="00C04F71"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souvisí s pozvolným posilováním výkonu tuzemské ekonomiky, včetně růstu produktivity práce (evidenční počet zaměstnanců v přepočtených osobách se ve 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br/>
            </w:r>
            <w:r w:rsidRPr="00C04F71"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3. čtvrtletí meziročně zvýšil jen o 0,3 %). 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Projevuje se i </w:t>
            </w:r>
            <w:r w:rsidRPr="00172F14">
              <w:rPr>
                <w:rStyle w:val="normaltextrun"/>
                <w:rFonts w:eastAsiaTheme="majorEastAsia" w:cs="Arial"/>
                <w:color w:val="000000"/>
                <w:szCs w:val="20"/>
              </w:rPr>
              <w:t>celkový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 </w:t>
            </w:r>
            <w:r w:rsidRPr="00172F14">
              <w:rPr>
                <w:rStyle w:val="normaltextrun"/>
                <w:rFonts w:eastAsiaTheme="majorEastAsia" w:cs="Arial"/>
                <w:color w:val="000000"/>
                <w:szCs w:val="20"/>
              </w:rPr>
              <w:t>nedostat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>ek volné</w:t>
            </w:r>
            <w:r w:rsidRPr="00172F14"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 pracovní síly, je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>n</w:t>
            </w:r>
            <w:r w:rsidRPr="00172F14"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ž je nejvíce viditelný ve stavebnictví, ale i 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>v</w:t>
            </w:r>
            <w:r>
              <w:rPr>
                <w:rStyle w:val="normaltextrun"/>
                <w:rFonts w:eastAsiaTheme="majorEastAsia" w:cs="Arial"/>
                <w:color w:val="000000"/>
              </w:rPr>
              <w:t xml:space="preserve"> </w:t>
            </w:r>
            <w:r w:rsidRPr="00172F14">
              <w:rPr>
                <w:rStyle w:val="normaltextrun"/>
                <w:rFonts w:eastAsiaTheme="majorEastAsia" w:cs="Arial"/>
                <w:color w:val="000000"/>
                <w:szCs w:val="20"/>
              </w:rPr>
              <w:t>některých službách (např. v dopravě). Vzhledem k přetrvávající poměrně nízké nezaměstnanosti (i jejich stabilních výhledů na nejbližší období) a klesajících obav domácností z jejího růstu, může docházet k větší fluktuaci pracovníků. Ti mohou být více motivováni ke změně pracovního místa s vidinou vyššího výdělku (mj. i vlivem státní politiky zaměstnanosti – růst nabídky rekvalifikací na ÚP, zvýšení podpory lidem v prvních měsících nezaměstnanosti).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 </w:t>
            </w:r>
            <w:r>
              <w:rPr>
                <w:rStyle w:val="normaltextrun"/>
                <w:rFonts w:eastAsia="MS Gothic" w:cs="Arial"/>
                <w:color w:val="0D0D0D" w:themeColor="text1" w:themeTint="F2"/>
                <w:spacing w:val="-6"/>
                <w:szCs w:val="20"/>
              </w:rPr>
              <w:t xml:space="preserve">Na druhou stranu </w:t>
            </w:r>
            <w:r>
              <w:rPr>
                <w:spacing w:val="-6"/>
              </w:rPr>
              <w:t>m</w:t>
            </w:r>
            <w:r>
              <w:rPr>
                <w:color w:val="0D0D0D" w:themeColor="text1" w:themeTint="F2"/>
                <w:spacing w:val="-6"/>
              </w:rPr>
              <w:t xml:space="preserve">zdový růst v ekonomice stále tlumila </w:t>
            </w:r>
            <w:r w:rsidRPr="00230A6B">
              <w:rPr>
                <w:color w:val="0D0D0D" w:themeColor="text1" w:themeTint="F2"/>
                <w:spacing w:val="-6"/>
              </w:rPr>
              <w:t>po</w:t>
            </w:r>
            <w:r>
              <w:rPr>
                <w:color w:val="0D0D0D" w:themeColor="text1" w:themeTint="F2"/>
                <w:spacing w:val="-6"/>
              </w:rPr>
              <w:t>třeba úspor v rozpočtové sféře a také</w:t>
            </w:r>
            <w:r w:rsidRPr="00230A6B">
              <w:rPr>
                <w:color w:val="0D0D0D" w:themeColor="text1" w:themeTint="F2"/>
              </w:rPr>
              <w:t xml:space="preserve"> </w:t>
            </w:r>
            <w:r>
              <w:rPr>
                <w:color w:val="0D0D0D" w:themeColor="text1" w:themeTint="F2"/>
                <w:spacing w:val="-6"/>
              </w:rPr>
              <w:t>vytrvale</w:t>
            </w:r>
            <w:r w:rsidRPr="00230A6B">
              <w:rPr>
                <w:color w:val="0D0D0D" w:themeColor="text1" w:themeTint="F2"/>
              </w:rPr>
              <w:t xml:space="preserve"> </w:t>
            </w:r>
            <w:r w:rsidRPr="00230A6B">
              <w:rPr>
                <w:color w:val="0D0D0D" w:themeColor="text1" w:themeTint="F2"/>
                <w:spacing w:val="-6"/>
              </w:rPr>
              <w:t>rostoucí počet zahraničních pracovník</w:t>
            </w:r>
            <w:r>
              <w:rPr>
                <w:color w:val="0D0D0D" w:themeColor="text1" w:themeTint="F2"/>
                <w:spacing w:val="-6"/>
              </w:rPr>
              <w:t>ů ze „třetích zemí“. Ti často obsazují</w:t>
            </w:r>
            <w:r w:rsidRPr="00230A6B">
              <w:rPr>
                <w:color w:val="0D0D0D" w:themeColor="text1" w:themeTint="F2"/>
                <w:spacing w:val="-6"/>
              </w:rPr>
              <w:t xml:space="preserve"> nízkokvalifik</w:t>
            </w:r>
            <w:r>
              <w:rPr>
                <w:color w:val="0D0D0D" w:themeColor="text1" w:themeTint="F2"/>
                <w:spacing w:val="-6"/>
              </w:rPr>
              <w:t>ované pozice</w:t>
            </w:r>
            <w:r w:rsidRPr="00230A6B">
              <w:rPr>
                <w:color w:val="0D0D0D" w:themeColor="text1" w:themeTint="F2"/>
                <w:spacing w:val="-6"/>
              </w:rPr>
              <w:t xml:space="preserve"> a jejich výdělky tudíž zprav</w:t>
            </w:r>
            <w:r>
              <w:rPr>
                <w:color w:val="0D0D0D" w:themeColor="text1" w:themeTint="F2"/>
                <w:spacing w:val="-6"/>
              </w:rPr>
              <w:t>idla nedosahují úrovně občanů Česka.</w:t>
            </w:r>
          </w:p>
        </w:tc>
      </w:tr>
      <w:tr w:rsidR="000C2CF1" w:rsidRPr="00016778" w14:paraId="4D818858" w14:textId="77777777" w:rsidTr="00135A1D">
        <w:trPr>
          <w:trHeight w:val="132"/>
        </w:trPr>
        <w:tc>
          <w:tcPr>
            <w:tcW w:w="1814" w:type="dxa"/>
            <w:tcMar>
              <w:left w:w="0" w:type="dxa"/>
            </w:tcMar>
          </w:tcPr>
          <w:p w14:paraId="60FEC8E6" w14:textId="77777777" w:rsidR="000C2CF1" w:rsidRPr="00CB26B8" w:rsidRDefault="000C2CF1" w:rsidP="00135A1D">
            <w:pPr>
              <w:pStyle w:val="Marginlie"/>
              <w:rPr>
                <w:color w:val="0D0D0D" w:themeColor="text1" w:themeTint="F2"/>
                <w:spacing w:val="0"/>
              </w:rPr>
            </w:pPr>
            <w:r>
              <w:rPr>
                <w:color w:val="0D0D0D" w:themeColor="text1" w:themeTint="F2"/>
                <w:spacing w:val="0"/>
              </w:rPr>
              <w:t>Kupní síla průměrné mzdy roste meziročně nepřetržitě od počátku loňského roku.</w:t>
            </w:r>
          </w:p>
          <w:p w14:paraId="296E1917" w14:textId="77777777" w:rsidR="000C2CF1" w:rsidRDefault="000C2CF1" w:rsidP="00135A1D">
            <w:pPr>
              <w:pStyle w:val="Marginlie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185" w:type="dxa"/>
            <w:tcMar>
              <w:left w:w="0" w:type="dxa"/>
            </w:tcMar>
          </w:tcPr>
          <w:p w14:paraId="7FC552A8" w14:textId="77777777" w:rsidR="000C2CF1" w:rsidRPr="00016778" w:rsidRDefault="000C2CF1" w:rsidP="00135A1D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69" w:type="dxa"/>
            <w:tcMar>
              <w:left w:w="0" w:type="dxa"/>
            </w:tcMar>
          </w:tcPr>
          <w:p w14:paraId="5000E5ED" w14:textId="77777777" w:rsidR="000C2CF1" w:rsidRPr="003E1845" w:rsidRDefault="000C2CF1" w:rsidP="00135A1D">
            <w:pPr>
              <w:spacing w:after="200"/>
              <w:rPr>
                <w:rFonts w:eastAsiaTheme="majorEastAsia" w:cs="Arial"/>
                <w:color w:val="000000"/>
                <w:szCs w:val="20"/>
              </w:rPr>
            </w:pPr>
            <w:r w:rsidRPr="00172F14">
              <w:rPr>
                <w:rStyle w:val="normaltextrun"/>
                <w:rFonts w:eastAsiaTheme="majorEastAsia" w:cs="Arial"/>
                <w:color w:val="000000"/>
                <w:szCs w:val="20"/>
              </w:rPr>
              <w:t>Při stabilizaci vývoje spotřebitelských cen tak vystoupal meziroční růst průměrné reálné mzdy ve 3. čtvrtletí na 4,5 % (obdobně i v úhrnu od počátku letošního roku). Přestože jde o v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>ýznamný</w:t>
            </w:r>
            <w:r w:rsidRPr="00172F14"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 růst, ve srovnání 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>s</w:t>
            </w:r>
            <w:r w:rsidRPr="00172F14"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 konjunkturními roky 2018 a 2019 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>z</w:t>
            </w:r>
            <w:r>
              <w:rPr>
                <w:rStyle w:val="normaltextrun"/>
                <w:rFonts w:eastAsiaTheme="majorEastAsia" w:cs="Arial"/>
                <w:color w:val="000000"/>
              </w:rPr>
              <w:t xml:space="preserve">aostává </w:t>
            </w:r>
            <w:r w:rsidRPr="00172F14"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zhruba 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br/>
            </w:r>
            <w:r w:rsidRPr="00172F14">
              <w:rPr>
                <w:rStyle w:val="normaltextrun"/>
                <w:rFonts w:eastAsiaTheme="majorEastAsia" w:cs="Arial"/>
                <w:color w:val="000000"/>
                <w:szCs w:val="20"/>
              </w:rPr>
              <w:t>o 1 p. b. Meziročně se kupní síla mezd zvýšila ve všech hlavních odvětví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ch 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br/>
              <w:t>(vč. nejvýznamnějších oborů zpracovatelského průmyslu)</w:t>
            </w:r>
            <w:r w:rsidRPr="00172F14">
              <w:rPr>
                <w:rStyle w:val="normaltextrun"/>
                <w:rFonts w:eastAsiaTheme="majorEastAsia" w:cs="Arial"/>
                <w:color w:val="000000"/>
                <w:szCs w:val="20"/>
              </w:rPr>
              <w:t>, což platilo i v předchozích letošních čtvrtletích. Na úrovn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>i</w:t>
            </w:r>
            <w:r w:rsidRPr="00172F14"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 celé ekonomiky roste meziročně reálná mzda nepřetržitě od počátku roku 2024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>. K</w:t>
            </w:r>
            <w:r w:rsidRPr="00172F14"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upní síla hrubých mezd 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se celkově </w:t>
            </w:r>
            <w:r w:rsidRPr="00172F14"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aktuálně nacházela na úrovni 2. čtvrtletí 2019, 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>u</w:t>
            </w:r>
            <w:r w:rsidRPr="00172F14"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 čistých výdělků již tuto úroveň patrně mírně překročila</w:t>
            </w:r>
            <w:r>
              <w:rPr>
                <w:rStyle w:val="Znakapoznpodarou"/>
                <w:rFonts w:eastAsia="MS Gothic"/>
                <w:color w:val="0D0D0D" w:themeColor="text1" w:themeTint="F2"/>
                <w:spacing w:val="-6"/>
                <w:szCs w:val="20"/>
              </w:rPr>
              <w:footnoteReference w:id="32"/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>.</w:t>
            </w:r>
          </w:p>
        </w:tc>
      </w:tr>
      <w:tr w:rsidR="000C2CF1" w:rsidRPr="00016778" w14:paraId="1655680A" w14:textId="77777777" w:rsidTr="00135A1D">
        <w:trPr>
          <w:trHeight w:val="132"/>
        </w:trPr>
        <w:tc>
          <w:tcPr>
            <w:tcW w:w="1814" w:type="dxa"/>
            <w:tcMar>
              <w:left w:w="0" w:type="dxa"/>
            </w:tcMar>
          </w:tcPr>
          <w:p w14:paraId="7D586A3D" w14:textId="77777777" w:rsidR="000C2CF1" w:rsidRPr="009C466F" w:rsidRDefault="000C2CF1" w:rsidP="00135A1D">
            <w:pPr>
              <w:pStyle w:val="Marginlie"/>
              <w:rPr>
                <w:color w:val="0D0D0D" w:themeColor="text1" w:themeTint="F2"/>
                <w:spacing w:val="0"/>
              </w:rPr>
            </w:pPr>
            <w:r w:rsidRPr="009C466F">
              <w:rPr>
                <w:color w:val="0D0D0D" w:themeColor="text1" w:themeTint="F2"/>
                <w:spacing w:val="0"/>
              </w:rPr>
              <w:t>Mzdy rostly relativně nejvíce ve vyspělých podnikových službách. Významně si ale polepšili i zaměstnanci působící</w:t>
            </w:r>
            <w:r>
              <w:rPr>
                <w:color w:val="0D0D0D" w:themeColor="text1" w:themeTint="F2"/>
                <w:spacing w:val="0"/>
              </w:rPr>
              <w:t xml:space="preserve"> v</w:t>
            </w:r>
            <w:r w:rsidRPr="009C466F">
              <w:rPr>
                <w:color w:val="0D0D0D" w:themeColor="text1" w:themeTint="F2"/>
                <w:spacing w:val="0"/>
              </w:rPr>
              <w:t xml:space="preserve"> </w:t>
            </w:r>
            <w:r>
              <w:rPr>
                <w:color w:val="0D0D0D" w:themeColor="text1" w:themeTint="F2"/>
                <w:spacing w:val="0"/>
              </w:rPr>
              <w:t>ř</w:t>
            </w:r>
            <w:r>
              <w:rPr>
                <w:color w:val="0D0D0D" w:themeColor="text1" w:themeTint="F2"/>
              </w:rPr>
              <w:t xml:space="preserve">adě </w:t>
            </w:r>
            <w:r w:rsidRPr="009C466F">
              <w:rPr>
                <w:color w:val="0D0D0D" w:themeColor="text1" w:themeTint="F2"/>
                <w:spacing w:val="0"/>
              </w:rPr>
              <w:t>o</w:t>
            </w:r>
            <w:r>
              <w:rPr>
                <w:color w:val="0D0D0D" w:themeColor="text1" w:themeTint="F2"/>
                <w:spacing w:val="0"/>
              </w:rPr>
              <w:t>dvětví</w:t>
            </w:r>
            <w:r w:rsidRPr="009C466F">
              <w:rPr>
                <w:color w:val="0D0D0D" w:themeColor="text1" w:themeTint="F2"/>
                <w:spacing w:val="0"/>
              </w:rPr>
              <w:t xml:space="preserve"> služeb s nižšími kvalifikačními nároky. </w:t>
            </w:r>
          </w:p>
        </w:tc>
        <w:tc>
          <w:tcPr>
            <w:tcW w:w="185" w:type="dxa"/>
            <w:tcMar>
              <w:left w:w="0" w:type="dxa"/>
            </w:tcMar>
          </w:tcPr>
          <w:p w14:paraId="43F090EF" w14:textId="77777777" w:rsidR="000C2CF1" w:rsidRPr="00016778" w:rsidRDefault="000C2CF1" w:rsidP="00135A1D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69" w:type="dxa"/>
            <w:tcMar>
              <w:left w:w="0" w:type="dxa"/>
            </w:tcMar>
          </w:tcPr>
          <w:p w14:paraId="7EF4F484" w14:textId="77777777" w:rsidR="000C2CF1" w:rsidRPr="006A2397" w:rsidRDefault="000C2CF1" w:rsidP="00135A1D">
            <w:pPr>
              <w:spacing w:after="200"/>
              <w:rPr>
                <w:rFonts w:eastAsia="MS Gothic" w:cs="Arial"/>
                <w:spacing w:val="-2"/>
              </w:rPr>
            </w:pPr>
            <w:r w:rsidRPr="006A2397"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 xml:space="preserve">Meziroční růst mezd ve 3. čtvrtletí se </w:t>
            </w:r>
            <w:r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 xml:space="preserve">ve </w:t>
            </w:r>
            <w:r w:rsidRPr="006A2397"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 xml:space="preserve">většině odvětví příliš nelišil od temp za celé 1. až 3. čtvrtletí. Mezi odvětvími jsou </w:t>
            </w:r>
            <w:r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 xml:space="preserve">však </w:t>
            </w:r>
            <w:r w:rsidRPr="006A2397"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 xml:space="preserve">tradičně patrné významnější rozdíly v dynamice mezd. Nadprůměrný nominální mzdový růst se koncentroval zejména v tržním segmentu služeb. </w:t>
            </w:r>
            <w:r w:rsidRPr="006A2397">
              <w:rPr>
                <w:rStyle w:val="normaltextrun"/>
                <w:rFonts w:eastAsiaTheme="majorEastAsia" w:cs="Arial"/>
                <w:color w:val="000000"/>
                <w:spacing w:val="-4"/>
                <w:szCs w:val="20"/>
              </w:rPr>
              <w:t>Ve 3. čtvrtletí rostly mzdy nejvíce v profesních, vědeckých a technických činnostech (+11,4 %),</w:t>
            </w:r>
            <w:r w:rsidRPr="006A2397"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 xml:space="preserve"> tedy v odvětví postaveném zejména na práci vysoce kvalifikovaných specialistů (což se odráží i v průměrné měsíční mzdové úrovni: 60,7 tis. korun). Svižně </w:t>
            </w:r>
            <w:r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 xml:space="preserve">však </w:t>
            </w:r>
            <w:r w:rsidRPr="006A2397"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 xml:space="preserve">rostly </w:t>
            </w:r>
            <w:r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br/>
            </w:r>
            <w:r w:rsidRPr="006A2397"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 xml:space="preserve">i výdělky v oblastech s nižšími kvalifikačními nároky – kulturní, zábavní a </w:t>
            </w:r>
            <w:r w:rsidRPr="001A0A3D">
              <w:rPr>
                <w:rStyle w:val="normaltextrun"/>
                <w:rFonts w:eastAsiaTheme="majorEastAsia" w:cs="Arial"/>
                <w:color w:val="000000"/>
                <w:spacing w:val="-4"/>
                <w:szCs w:val="20"/>
              </w:rPr>
              <w:t xml:space="preserve">rekreační činnosti </w:t>
            </w:r>
            <w:r w:rsidRPr="001A0A3D">
              <w:rPr>
                <w:rStyle w:val="normaltextrun"/>
                <w:rFonts w:eastAsiaTheme="majorEastAsia" w:cs="Arial"/>
                <w:color w:val="000000"/>
                <w:spacing w:val="-4"/>
                <w:szCs w:val="20"/>
              </w:rPr>
              <w:lastRenderedPageBreak/>
              <w:t xml:space="preserve">(+9,8 %), činnosti v oblasti nemovitostí (+8,8 %, při dvouciferném růstu zaměstnanosti v tomto malém odvětví), ubytování, stravování a pohostinství (+8,3 %), administrativní </w:t>
            </w:r>
            <w:r>
              <w:rPr>
                <w:rStyle w:val="normaltextrun"/>
                <w:rFonts w:eastAsiaTheme="majorEastAsia" w:cs="Arial"/>
                <w:color w:val="000000"/>
                <w:spacing w:val="-4"/>
                <w:szCs w:val="20"/>
              </w:rPr>
              <w:br/>
            </w:r>
            <w:r w:rsidRPr="001A0A3D">
              <w:rPr>
                <w:rStyle w:val="normaltextrun"/>
                <w:rFonts w:eastAsiaTheme="majorEastAsia" w:cs="Arial"/>
                <w:color w:val="000000"/>
                <w:spacing w:val="-4"/>
                <w:szCs w:val="20"/>
              </w:rPr>
              <w:t>a podpůrné činnosti (+8,2 %) či doprava a skladování (+8,9 %). V posledních dvou odvětvích k tomu došlo při souběžném poklesu počtu zaměstnanců (o více než 1 %, v rámci sektoru služeb ojedinělém), neboť se zde promítly přetrvávající problémy v průmyslu.</w:t>
            </w:r>
            <w:r w:rsidRPr="006A2397"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 xml:space="preserve"> </w:t>
            </w:r>
            <w:r>
              <w:rPr>
                <w:rStyle w:val="normaltextrun"/>
                <w:rFonts w:eastAsia="MS Gothic" w:cs="Arial"/>
                <w:szCs w:val="20"/>
              </w:rPr>
              <w:t xml:space="preserve"> </w:t>
            </w:r>
          </w:p>
        </w:tc>
      </w:tr>
      <w:tr w:rsidR="000C2CF1" w:rsidRPr="00016778" w14:paraId="27076E10" w14:textId="77777777" w:rsidTr="00135A1D">
        <w:trPr>
          <w:trHeight w:val="132"/>
        </w:trPr>
        <w:tc>
          <w:tcPr>
            <w:tcW w:w="1814" w:type="dxa"/>
            <w:tcMar>
              <w:left w:w="0" w:type="dxa"/>
            </w:tcMar>
          </w:tcPr>
          <w:p w14:paraId="6584F350" w14:textId="77777777" w:rsidR="000C2CF1" w:rsidRPr="005C6702" w:rsidRDefault="000C2CF1" w:rsidP="00135A1D">
            <w:pPr>
              <w:pStyle w:val="Marginlie"/>
              <w:rPr>
                <w:color w:val="0D0D0D" w:themeColor="text1" w:themeTint="F2"/>
                <w:spacing w:val="0"/>
              </w:rPr>
            </w:pPr>
            <w:r>
              <w:rPr>
                <w:color w:val="0D0D0D" w:themeColor="text1" w:themeTint="F2"/>
                <w:spacing w:val="0"/>
              </w:rPr>
              <w:lastRenderedPageBreak/>
              <w:t>V</w:t>
            </w:r>
            <w:r>
              <w:rPr>
                <w:color w:val="0D0D0D" w:themeColor="text1" w:themeTint="F2"/>
              </w:rPr>
              <w:t xml:space="preserve">e váhově významných odvětvích obchodu </w:t>
            </w:r>
            <w:r>
              <w:rPr>
                <w:color w:val="0D0D0D" w:themeColor="text1" w:themeTint="F2"/>
              </w:rPr>
              <w:br/>
              <w:t xml:space="preserve">a veřejných služeb se </w:t>
            </w:r>
            <w:r>
              <w:rPr>
                <w:color w:val="0D0D0D" w:themeColor="text1" w:themeTint="F2"/>
                <w:spacing w:val="0"/>
              </w:rPr>
              <w:t>mzdový růst v</w:t>
            </w:r>
            <w:r>
              <w:rPr>
                <w:color w:val="0D0D0D" w:themeColor="text1" w:themeTint="F2"/>
              </w:rPr>
              <w:t xml:space="preserve">ýznamně neodlišoval </w:t>
            </w:r>
            <w:r>
              <w:rPr>
                <w:color w:val="0D0D0D" w:themeColor="text1" w:themeTint="F2"/>
                <w:spacing w:val="0"/>
              </w:rPr>
              <w:t>od celé ekonomiky.</w:t>
            </w:r>
          </w:p>
        </w:tc>
        <w:tc>
          <w:tcPr>
            <w:tcW w:w="185" w:type="dxa"/>
            <w:tcMar>
              <w:left w:w="0" w:type="dxa"/>
            </w:tcMar>
          </w:tcPr>
          <w:p w14:paraId="3877404B" w14:textId="77777777" w:rsidR="000C2CF1" w:rsidRPr="00016778" w:rsidRDefault="000C2CF1" w:rsidP="00135A1D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69" w:type="dxa"/>
            <w:tcMar>
              <w:left w:w="0" w:type="dxa"/>
            </w:tcMar>
          </w:tcPr>
          <w:p w14:paraId="51EA5D3A" w14:textId="77777777" w:rsidR="000C2CF1" w:rsidRPr="00335C27" w:rsidRDefault="000C2CF1" w:rsidP="00135A1D">
            <w:pPr>
              <w:spacing w:after="200"/>
              <w:rPr>
                <w:rStyle w:val="normaltextrun"/>
                <w:rFonts w:eastAsiaTheme="majorEastAsia" w:cs="Arial"/>
                <w:color w:val="000000"/>
                <w:szCs w:val="20"/>
              </w:rPr>
            </w:pPr>
            <w:r w:rsidRPr="009C466F"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Ve většině dalších odvětví služeb se mzdový růst 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ve 3. čtvrtletí </w:t>
            </w:r>
            <w:r w:rsidRPr="009C466F">
              <w:rPr>
                <w:rStyle w:val="normaltextrun"/>
                <w:rFonts w:eastAsiaTheme="majorEastAsia" w:cs="Arial"/>
                <w:color w:val="000000"/>
                <w:szCs w:val="20"/>
              </w:rPr>
              <w:t>příliš neodlišoval od celé ekonomiky. Jde o obchod či odvětví s převahou státu, kde rostly nejvíce výdělky ve veřejné správě, obraně a soc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>iálním</w:t>
            </w:r>
            <w:r w:rsidRPr="009C466F"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 zabezpečení (+7,7 %), a to vlivem zvýšené preference oblastí souvisejících s bezpečností státu. Slabší růst mezd nastal v malém 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>„</w:t>
            </w:r>
            <w:proofErr w:type="spellStart"/>
            <w:r w:rsidRPr="009C466F">
              <w:rPr>
                <w:rStyle w:val="normaltextrun"/>
                <w:rFonts w:eastAsiaTheme="majorEastAsia" w:cs="Arial"/>
                <w:color w:val="000000"/>
                <w:szCs w:val="20"/>
              </w:rPr>
              <w:t>nízkov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>ýdělkovém</w:t>
            </w:r>
            <w:proofErr w:type="spellEnd"/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>“</w:t>
            </w:r>
            <w:r w:rsidRPr="009C466F"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 odvětví ostatních činností služeb</w:t>
            </w:r>
            <w:r w:rsidRPr="009C466F">
              <w:rPr>
                <w:rStyle w:val="Znakapoznpodarou"/>
                <w:rFonts w:eastAsia="MS Gothic"/>
                <w:color w:val="0D0D0D" w:themeColor="text1" w:themeTint="F2"/>
                <w:spacing w:val="-6"/>
              </w:rPr>
              <w:footnoteReference w:id="33"/>
            </w:r>
            <w:r w:rsidRPr="009C466F">
              <w:rPr>
                <w:rStyle w:val="Znakapoznpodarou"/>
                <w:rFonts w:eastAsia="MS Gothic"/>
                <w:color w:val="0D0D0D" w:themeColor="text1" w:themeTint="F2"/>
                <w:spacing w:val="-6"/>
              </w:rPr>
              <w:t xml:space="preserve"> </w:t>
            </w:r>
            <w:r w:rsidRPr="009C466F"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(+5,5 %). Mírně podprůměrným tempem rostly druhým rokem v řadě mzdy v peněžnictví a pojišťovnictví (v tomto odvětví </w:t>
            </w:r>
            <w:r w:rsidRPr="00F84BEF">
              <w:rPr>
                <w:rStyle w:val="normaltextrun"/>
                <w:rFonts w:eastAsiaTheme="majorEastAsia" w:cs="Arial"/>
                <w:color w:val="000000"/>
                <w:spacing w:val="-4"/>
                <w:szCs w:val="20"/>
              </w:rPr>
              <w:t xml:space="preserve">však hrají relativně nezanedbatelnou roli i nemzdové </w:t>
            </w:r>
            <w:r>
              <w:rPr>
                <w:rStyle w:val="normaltextrun"/>
                <w:rFonts w:eastAsiaTheme="majorEastAsia" w:cs="Arial"/>
                <w:color w:val="000000"/>
                <w:spacing w:val="-4"/>
                <w:szCs w:val="20"/>
              </w:rPr>
              <w:t xml:space="preserve">peněžní </w:t>
            </w:r>
            <w:r w:rsidRPr="00F84BEF">
              <w:rPr>
                <w:rStyle w:val="normaltextrun"/>
                <w:rFonts w:eastAsiaTheme="majorEastAsia" w:cs="Arial"/>
                <w:color w:val="000000"/>
                <w:spacing w:val="-4"/>
                <w:szCs w:val="20"/>
              </w:rPr>
              <w:t>benefity). V oblasti ICT se mzdy zvýšily</w:t>
            </w:r>
            <w:r w:rsidRPr="009C466F"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 o 7,7 % a potvrdily tak, že 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>dle úrovně výdělků dosahují</w:t>
            </w:r>
            <w:r w:rsidRPr="009C466F"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 v posledních letech mezi odvětvími 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>maxima</w:t>
            </w:r>
            <w:r w:rsidRPr="009C466F"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 (aktuálně 88,8 tis. 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>korun</w:t>
            </w:r>
            <w:r w:rsidRPr="009C466F"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). 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>Přetrvává s</w:t>
            </w:r>
            <w:r w:rsidRPr="009C466F">
              <w:rPr>
                <w:rStyle w:val="normaltextrun"/>
                <w:rFonts w:eastAsiaTheme="majorEastAsia" w:cs="Arial"/>
                <w:color w:val="000000"/>
                <w:szCs w:val="20"/>
              </w:rPr>
              <w:t>vižný mzdový růst, je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>n</w:t>
            </w:r>
            <w:r w:rsidRPr="009C466F">
              <w:rPr>
                <w:rStyle w:val="normaltextrun"/>
                <w:rFonts w:eastAsiaTheme="majorEastAsia" w:cs="Arial"/>
                <w:color w:val="000000"/>
                <w:szCs w:val="20"/>
              </w:rPr>
              <w:t>ž je zde patrný dlouhodoběji, avšak vysoký růst zaměstnanosti se již vloni fakticky zastavil (aktuálně: +0,5 %).</w:t>
            </w:r>
          </w:p>
        </w:tc>
      </w:tr>
      <w:tr w:rsidR="000C2CF1" w:rsidRPr="00016778" w14:paraId="63F0473B" w14:textId="77777777" w:rsidTr="00135A1D">
        <w:trPr>
          <w:trHeight w:val="132"/>
        </w:trPr>
        <w:tc>
          <w:tcPr>
            <w:tcW w:w="1814" w:type="dxa"/>
            <w:tcMar>
              <w:left w:w="0" w:type="dxa"/>
            </w:tcMar>
          </w:tcPr>
          <w:p w14:paraId="6316162E" w14:textId="77777777" w:rsidR="000C2CF1" w:rsidRDefault="000C2CF1" w:rsidP="00135A1D">
            <w:pPr>
              <w:pStyle w:val="Marginlie"/>
              <w:rPr>
                <w:color w:val="0D0D0D" w:themeColor="text1" w:themeTint="F2"/>
                <w:spacing w:val="0"/>
              </w:rPr>
            </w:pPr>
            <w:r>
              <w:rPr>
                <w:color w:val="0D0D0D" w:themeColor="text1" w:themeTint="F2"/>
                <w:spacing w:val="0"/>
              </w:rPr>
              <w:t>Stavebnictví vykázalo svižný růst mezd druhý rok v řadě, což souviselo s</w:t>
            </w:r>
            <w:r>
              <w:rPr>
                <w:color w:val="0D0D0D" w:themeColor="text1" w:themeTint="F2"/>
              </w:rPr>
              <w:t xml:space="preserve"> růstem </w:t>
            </w:r>
            <w:r w:rsidRPr="00EB4C79">
              <w:rPr>
                <w:color w:val="0D0D0D" w:themeColor="text1" w:themeTint="F2"/>
              </w:rPr>
              <w:t>zakázek i s nedostatkem</w:t>
            </w:r>
            <w:r>
              <w:rPr>
                <w:color w:val="0D0D0D" w:themeColor="text1" w:themeTint="F2"/>
                <w:spacing w:val="0"/>
              </w:rPr>
              <w:t xml:space="preserve"> pracovní síly</w:t>
            </w:r>
          </w:p>
          <w:p w14:paraId="615DCFA8" w14:textId="77777777" w:rsidR="000C2CF1" w:rsidRDefault="000C2CF1" w:rsidP="00135A1D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66F43DEA" w14:textId="77777777" w:rsidR="000C2CF1" w:rsidRDefault="000C2CF1" w:rsidP="00135A1D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42F82AB3" w14:textId="77777777" w:rsidR="000C2CF1" w:rsidRDefault="000C2CF1" w:rsidP="00135A1D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458AF60F" w14:textId="77777777" w:rsidR="000C2CF1" w:rsidRDefault="000C2CF1" w:rsidP="00135A1D">
            <w:pPr>
              <w:pStyle w:val="Marginlie"/>
              <w:rPr>
                <w:color w:val="0D0D0D" w:themeColor="text1" w:themeTint="F2"/>
                <w:spacing w:val="0"/>
              </w:rPr>
            </w:pPr>
            <w:r>
              <w:rPr>
                <w:color w:val="0D0D0D" w:themeColor="text1" w:themeTint="F2"/>
                <w:spacing w:val="0"/>
              </w:rPr>
              <w:t>Mzdové tempo p</w:t>
            </w:r>
            <w:r>
              <w:rPr>
                <w:color w:val="0D0D0D" w:themeColor="text1" w:themeTint="F2"/>
              </w:rPr>
              <w:t>růmyslu letos zmírnilo a na rozdíl od předchozích tří let bylo podprůměrné.</w:t>
            </w:r>
          </w:p>
          <w:p w14:paraId="7F0E7FE7" w14:textId="77777777" w:rsidR="000C2CF1" w:rsidRDefault="000C2CF1" w:rsidP="00135A1D">
            <w:pPr>
              <w:pStyle w:val="Marginlie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185" w:type="dxa"/>
            <w:tcMar>
              <w:left w:w="0" w:type="dxa"/>
            </w:tcMar>
          </w:tcPr>
          <w:p w14:paraId="6A4DB4AE" w14:textId="77777777" w:rsidR="000C2CF1" w:rsidRPr="00016778" w:rsidRDefault="000C2CF1" w:rsidP="00135A1D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69" w:type="dxa"/>
            <w:tcMar>
              <w:left w:w="0" w:type="dxa"/>
            </w:tcMar>
          </w:tcPr>
          <w:p w14:paraId="4219697A" w14:textId="77777777" w:rsidR="000C2CF1" w:rsidRPr="00335C27" w:rsidRDefault="000C2CF1" w:rsidP="00135A1D">
            <w:pPr>
              <w:spacing w:after="200"/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</w:pPr>
            <w:r w:rsidRPr="00335C27"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 xml:space="preserve">Z tradičních odvětví hmotné výroby pokračoval druhým rokem svižný mzdový růst </w:t>
            </w:r>
            <w:r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 xml:space="preserve">ve </w:t>
            </w:r>
            <w:r w:rsidRPr="00335C27"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 xml:space="preserve">stavebnictví (ve 3. čtvrtletí 2025 o 9,5 %), letos doplněný i posílením počtu zaměstnanců (+1,1 %). Během letošního roku sílil růst výdělků v zemědělství, lesnictví a rybářství (až na 8,6 %), což může souviset s větší potřebou práce vlivem očekávaných vyšších sklizní </w:t>
            </w:r>
            <w:r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br/>
            </w:r>
            <w:r w:rsidRPr="00335C27"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 xml:space="preserve">a </w:t>
            </w:r>
            <w:r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 xml:space="preserve">s </w:t>
            </w:r>
            <w:r w:rsidRPr="00335C27"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>nedostatkem levné pracovní síly. Úroveň výdělků v primárním sektoru byla t</w:t>
            </w:r>
            <w:r w:rsidRPr="00335C27">
              <w:rPr>
                <w:rStyle w:val="normaltextrun"/>
                <w:rFonts w:eastAsiaTheme="majorEastAsia" w:cs="Arial"/>
                <w:color w:val="000000"/>
                <w:spacing w:val="-2"/>
              </w:rPr>
              <w:t xml:space="preserve">otiž </w:t>
            </w:r>
            <w:r w:rsidRPr="00335C27"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>nízká (39,1 tis. korun). V průmyslu rostly letos mzdy (na rozdíl od předchozích tří let) podprůměrně. To platilo jak v menších odvětvích těžby, energetiky</w:t>
            </w:r>
            <w:r w:rsidRPr="00335C27">
              <w:rPr>
                <w:rStyle w:val="Znakapoznpodarou"/>
                <w:rFonts w:eastAsiaTheme="majorEastAsia"/>
                <w:color w:val="000000"/>
                <w:spacing w:val="-2"/>
                <w:szCs w:val="20"/>
              </w:rPr>
              <w:footnoteReference w:id="34"/>
            </w:r>
            <w:r w:rsidRPr="00335C27"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 xml:space="preserve"> i vodního </w:t>
            </w:r>
            <w:r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br/>
            </w:r>
            <w:r w:rsidRPr="00335C27"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>a odpadového hospodářství (shodně mezi 3,0 a 4,2 %), tak ve zpracovatelském průmyslu (+5,9 %). Zde se tempa ve 3. čtvrtletí 2025 mezi největšími zpracovatelskými obory příliš nelišila (+6,8 % ve výrobě stavebních materiálů, resp. +5,5 % v potravinářství). V předchozích letech ale platilo, že zejména ve 4. čtvrtletí se mzdová tempa mezi obory více diferencovala (což souvisí s výplatou celoročních bonusů a vánočních odměn). Co patrně zůstane letos většině zpracovatelských odvětví společné, je pokračující pokles počtu zaměstnanců (ten b</w:t>
            </w:r>
            <w:r w:rsidRPr="00335C27">
              <w:rPr>
                <w:rStyle w:val="normaltextrun"/>
                <w:rFonts w:eastAsiaTheme="majorEastAsia" w:cs="Arial"/>
                <w:color w:val="000000"/>
                <w:spacing w:val="-2"/>
              </w:rPr>
              <w:t xml:space="preserve">yl </w:t>
            </w:r>
            <w:r w:rsidRPr="00335C27"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>ve 3. čtvrtletí nejvyšší</w:t>
            </w:r>
            <w:r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>).</w:t>
            </w:r>
            <w:r w:rsidRPr="00335C27"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 xml:space="preserve"> </w:t>
            </w:r>
            <w:r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>V</w:t>
            </w:r>
            <w:r w:rsidRPr="00335C27"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 xml:space="preserve">e výrobě motorových vozidel dosáhl </w:t>
            </w:r>
            <w:r w:rsidRPr="00150168">
              <w:rPr>
                <w:rStyle w:val="normaltextrun"/>
                <w:rFonts w:eastAsiaTheme="majorEastAsia" w:cs="Arial"/>
                <w:color w:val="000000"/>
                <w:spacing w:val="-6"/>
                <w:szCs w:val="20"/>
              </w:rPr>
              <w:t>3,6 %, výjimkou bylo potravinářství, kde v posledních čtvrtletích zaměstnanců mírně přibývalo).</w:t>
            </w:r>
            <w:r w:rsidRPr="00335C27"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 xml:space="preserve"> </w:t>
            </w:r>
          </w:p>
        </w:tc>
      </w:tr>
      <w:tr w:rsidR="000C2CF1" w:rsidRPr="00016778" w14:paraId="3C60BD8A" w14:textId="77777777" w:rsidTr="00135A1D">
        <w:trPr>
          <w:trHeight w:val="132"/>
        </w:trPr>
        <w:tc>
          <w:tcPr>
            <w:tcW w:w="1814" w:type="dxa"/>
            <w:tcMar>
              <w:left w:w="0" w:type="dxa"/>
            </w:tcMar>
          </w:tcPr>
          <w:p w14:paraId="13E9A171" w14:textId="77777777" w:rsidR="000C2CF1" w:rsidRDefault="000C2CF1" w:rsidP="00135A1D">
            <w:pPr>
              <w:pStyle w:val="Marginlie"/>
              <w:rPr>
                <w:color w:val="0D0D0D" w:themeColor="text1" w:themeTint="F2"/>
                <w:spacing w:val="0"/>
              </w:rPr>
            </w:pPr>
            <w:r>
              <w:rPr>
                <w:color w:val="0D0D0D" w:themeColor="text1" w:themeTint="F2"/>
                <w:spacing w:val="0"/>
              </w:rPr>
              <w:t>Relativně nejvyšší růst mezd i zaměstnanosti vykázala mezi kraji Praha.</w:t>
            </w:r>
          </w:p>
        </w:tc>
        <w:tc>
          <w:tcPr>
            <w:tcW w:w="185" w:type="dxa"/>
            <w:tcMar>
              <w:left w:w="0" w:type="dxa"/>
            </w:tcMar>
          </w:tcPr>
          <w:p w14:paraId="04E31AF6" w14:textId="77777777" w:rsidR="000C2CF1" w:rsidRPr="00016778" w:rsidRDefault="000C2CF1" w:rsidP="00135A1D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69" w:type="dxa"/>
            <w:tcMar>
              <w:left w:w="0" w:type="dxa"/>
            </w:tcMar>
          </w:tcPr>
          <w:p w14:paraId="178DF79B" w14:textId="77777777" w:rsidR="000C2CF1" w:rsidRPr="00335C27" w:rsidRDefault="000C2CF1" w:rsidP="00135A1D">
            <w:pPr>
              <w:spacing w:after="200"/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</w:pPr>
            <w:r w:rsidRPr="00335C27"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 xml:space="preserve">Mezi regiony rostly ve 3. čtvrtletí průměrné nominální mzdy meziročně nejvíce v Praze </w:t>
            </w:r>
            <w:r w:rsidRPr="00335C27">
              <w:rPr>
                <w:rStyle w:val="normaltextrun"/>
                <w:rFonts w:eastAsiaTheme="majorEastAsia" w:cs="Arial"/>
                <w:color w:val="000000"/>
                <w:spacing w:val="-4"/>
                <w:szCs w:val="20"/>
              </w:rPr>
              <w:t>(+7,9 %, z ostatních krajů v Jihomoravském: +7,3 %), nejméně v kraji Libereckém (+5,4 %).</w:t>
            </w:r>
            <w:r w:rsidRPr="00335C27"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 xml:space="preserve"> Téměř identický obraz byl patrný i za celé 1. až 3. čtvrtletí 2025. Mzdová hladina převyšovala úroveň celé ekonomiky jen </w:t>
            </w:r>
            <w:r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>v</w:t>
            </w:r>
            <w:r>
              <w:rPr>
                <w:rStyle w:val="normaltextrun"/>
                <w:rFonts w:eastAsiaTheme="majorEastAsia" w:cs="Arial"/>
                <w:color w:val="000000"/>
                <w:spacing w:val="-2"/>
              </w:rPr>
              <w:t xml:space="preserve"> </w:t>
            </w:r>
            <w:r w:rsidRPr="00335C27"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 xml:space="preserve">Praze (+27 %) a těsně pod průměrem byla </w:t>
            </w:r>
            <w:r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 xml:space="preserve">v </w:t>
            </w:r>
            <w:r w:rsidRPr="00335C27"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>kraji Středočeském a Jihomoravském, naopak zaostávala nejvíce v kraji Karlovarském (-14 %) a o více než desetinu v Libereckém, Pardubickém a Zlínském kraji.</w:t>
            </w:r>
          </w:p>
        </w:tc>
      </w:tr>
      <w:tr w:rsidR="000C2CF1" w:rsidRPr="00016778" w14:paraId="50D00302" w14:textId="77777777" w:rsidTr="00135A1D">
        <w:trPr>
          <w:trHeight w:val="132"/>
        </w:trPr>
        <w:tc>
          <w:tcPr>
            <w:tcW w:w="1814" w:type="dxa"/>
            <w:tcMar>
              <w:left w:w="0" w:type="dxa"/>
            </w:tcMar>
          </w:tcPr>
          <w:p w14:paraId="665434DE" w14:textId="77777777" w:rsidR="000C2CF1" w:rsidRPr="00A3758A" w:rsidRDefault="000C2CF1" w:rsidP="00135A1D">
            <w:pPr>
              <w:pStyle w:val="Marginlie"/>
              <w:rPr>
                <w:color w:val="0D0D0D" w:themeColor="text1" w:themeTint="F2"/>
                <w:spacing w:val="-4"/>
              </w:rPr>
            </w:pPr>
            <w:r w:rsidRPr="00A3758A">
              <w:rPr>
                <w:color w:val="0D0D0D" w:themeColor="text1" w:themeTint="F2"/>
                <w:spacing w:val="-4"/>
              </w:rPr>
              <w:t xml:space="preserve">Relativně nejvíce rostly výdělky nejhůře placeným zaměstnancům. Celkové mzdové diference se </w:t>
            </w:r>
            <w:r>
              <w:rPr>
                <w:color w:val="0D0D0D" w:themeColor="text1" w:themeTint="F2"/>
                <w:spacing w:val="-4"/>
              </w:rPr>
              <w:t xml:space="preserve">meziročně </w:t>
            </w:r>
            <w:r w:rsidRPr="00A3758A">
              <w:rPr>
                <w:color w:val="0D0D0D" w:themeColor="text1" w:themeTint="F2"/>
                <w:spacing w:val="-4"/>
              </w:rPr>
              <w:t>téměř nezměnily.</w:t>
            </w:r>
          </w:p>
        </w:tc>
        <w:tc>
          <w:tcPr>
            <w:tcW w:w="185" w:type="dxa"/>
            <w:tcMar>
              <w:left w:w="0" w:type="dxa"/>
            </w:tcMar>
          </w:tcPr>
          <w:p w14:paraId="477D0B67" w14:textId="77777777" w:rsidR="000C2CF1" w:rsidRPr="00016778" w:rsidRDefault="000C2CF1" w:rsidP="00135A1D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69" w:type="dxa"/>
            <w:tcMar>
              <w:left w:w="0" w:type="dxa"/>
            </w:tcMar>
          </w:tcPr>
          <w:p w14:paraId="232B57B2" w14:textId="77777777" w:rsidR="000C2CF1" w:rsidRPr="00335C27" w:rsidRDefault="000C2CF1" w:rsidP="00135A1D">
            <w:pPr>
              <w:spacing w:after="0"/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</w:pPr>
            <w:r w:rsidRPr="00335C27"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>Medián mezd v celé ekonomice vzrostl ve 3. čtvrtletí meziročně o 6,2 % (podobným tempem u mužů –</w:t>
            </w:r>
            <w:r>
              <w:rPr>
                <w:rStyle w:val="normaltextrun"/>
                <w:rFonts w:eastAsiaTheme="majorEastAsia" w:cs="Arial"/>
                <w:color w:val="000000"/>
                <w:spacing w:val="-2"/>
              </w:rPr>
              <w:t xml:space="preserve"> </w:t>
            </w:r>
            <w:r w:rsidRPr="00335C27"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 xml:space="preserve">na 45,5 </w:t>
            </w:r>
            <w:r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>t</w:t>
            </w:r>
            <w:r>
              <w:rPr>
                <w:rStyle w:val="normaltextrun"/>
                <w:rFonts w:eastAsiaTheme="majorEastAsia" w:cs="Arial"/>
                <w:color w:val="000000"/>
                <w:spacing w:val="-2"/>
              </w:rPr>
              <w:t xml:space="preserve">is. </w:t>
            </w:r>
            <w:r w:rsidRPr="00335C27"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 xml:space="preserve">korun, </w:t>
            </w:r>
            <w:r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>u</w:t>
            </w:r>
            <w:r w:rsidRPr="00335C27"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 xml:space="preserve"> žen na 40,1 </w:t>
            </w:r>
            <w:r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>t</w:t>
            </w:r>
            <w:r>
              <w:rPr>
                <w:rStyle w:val="normaltextrun"/>
                <w:rFonts w:eastAsiaTheme="majorEastAsia" w:cs="Arial"/>
                <w:color w:val="000000"/>
                <w:spacing w:val="-2"/>
              </w:rPr>
              <w:t xml:space="preserve">is. </w:t>
            </w:r>
            <w:r w:rsidRPr="00335C27"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>korun</w:t>
            </w:r>
            <w:r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 xml:space="preserve"> </w:t>
            </w:r>
            <w:r>
              <w:rPr>
                <w:rStyle w:val="normaltextrun"/>
                <w:rFonts w:eastAsiaTheme="majorEastAsia" w:cs="Arial"/>
                <w:color w:val="000000"/>
                <w:spacing w:val="-2"/>
              </w:rPr>
              <w:t>měsíčně</w:t>
            </w:r>
            <w:r w:rsidRPr="00335C27"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 xml:space="preserve">). Desetina zaměstnanců s nejnižšími mzdami pobírala hrubou měsíční mzdu pod hranicí </w:t>
            </w:r>
            <w:r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br/>
            </w:r>
            <w:r w:rsidRPr="00335C27"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>22,6 tis. korun (dolní decil meziročně vzrostl o 7,4 %), desetina s nejvyššími mzdami měla výdělky nad hranicí 82,1 tis. korun (horní decil se zvýšil o 6,1 %). Celkové mzdové diference se meziročně téměř nezměnily. Mezera v prostředních výdělcích dle pohlaví činila 12,0 %. Relativně nejvíce rostly celkově nejnižší mzdy, hlavně díky řadě odvětví tržních služeb (ale zčásti i stát</w:t>
            </w:r>
            <w:r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>u</w:t>
            </w:r>
            <w:r w:rsidRPr="00335C27"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 xml:space="preserve"> – např. v kultuře a sociálních službách), kde se prohlubuje nedostatek volné pracovní síly a zároveň má stále </w:t>
            </w:r>
            <w:r w:rsidRPr="00BF0BD7">
              <w:rPr>
                <w:rStyle w:val="normaltextrun"/>
                <w:rFonts w:eastAsiaTheme="majorEastAsia" w:cs="Arial"/>
                <w:color w:val="000000"/>
                <w:spacing w:val="-6"/>
                <w:szCs w:val="20"/>
              </w:rPr>
              <w:t>(i po zrušení zaručených mezd v tržní sféře) dílčí vliv i pokračující růst zákonné minimální mzdy.</w:t>
            </w:r>
            <w:r w:rsidRPr="00335C27">
              <w:rPr>
                <w:rStyle w:val="normaltextrun"/>
                <w:rFonts w:eastAsiaTheme="majorEastAsia" w:cs="Arial"/>
                <w:color w:val="000000"/>
                <w:spacing w:val="-2"/>
                <w:szCs w:val="20"/>
              </w:rPr>
              <w:t xml:space="preserve"> </w:t>
            </w:r>
          </w:p>
        </w:tc>
      </w:tr>
      <w:tr w:rsidR="000C2CF1" w:rsidRPr="00716203" w14:paraId="72BF5682" w14:textId="77777777" w:rsidTr="00135A1D">
        <w:trPr>
          <w:trHeight w:val="336"/>
        </w:trPr>
        <w:tc>
          <w:tcPr>
            <w:tcW w:w="1814" w:type="dxa"/>
            <w:vMerge w:val="restart"/>
            <w:tcMar>
              <w:left w:w="0" w:type="dxa"/>
            </w:tcMar>
          </w:tcPr>
          <w:p w14:paraId="5710382B" w14:textId="77777777" w:rsidR="000C2CF1" w:rsidRPr="00A90A79" w:rsidRDefault="000C2CF1" w:rsidP="00135A1D">
            <w:pPr>
              <w:pStyle w:val="Marginlie"/>
              <w:rPr>
                <w:spacing w:val="-4"/>
              </w:rPr>
            </w:pPr>
          </w:p>
        </w:tc>
        <w:tc>
          <w:tcPr>
            <w:tcW w:w="185" w:type="dxa"/>
            <w:vMerge w:val="restart"/>
            <w:tcMar>
              <w:left w:w="0" w:type="dxa"/>
            </w:tcMar>
          </w:tcPr>
          <w:p w14:paraId="2447BEA9" w14:textId="77777777" w:rsidR="000C2CF1" w:rsidRPr="00B43216" w:rsidRDefault="000C2CF1" w:rsidP="00135A1D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769" w:type="dxa"/>
            <w:tcMar>
              <w:left w:w="0" w:type="dxa"/>
            </w:tcMar>
          </w:tcPr>
          <w:p w14:paraId="6F6A2897" w14:textId="77777777" w:rsidR="000C2CF1" w:rsidRDefault="000C2CF1" w:rsidP="00135A1D">
            <w:pPr>
              <w:spacing w:after="0"/>
              <w:rPr>
                <w:rFonts w:cs="Arial"/>
                <w:b/>
                <w:color w:val="0D0D0D" w:themeColor="text1" w:themeTint="F2"/>
                <w:spacing w:val="-6"/>
                <w:szCs w:val="20"/>
              </w:rPr>
            </w:pPr>
            <w:r w:rsidRPr="00BE517C">
              <w:rPr>
                <w:rFonts w:cs="Arial"/>
                <w:b/>
                <w:color w:val="0D0D0D" w:themeColor="text1" w:themeTint="F2"/>
                <w:spacing w:val="-6"/>
                <w:szCs w:val="20"/>
              </w:rPr>
              <w:t xml:space="preserve">Graf č. 15 Průměrná nominální </w:t>
            </w:r>
            <w:r>
              <w:rPr>
                <w:rFonts w:cs="Arial"/>
                <w:b/>
                <w:color w:val="0D0D0D" w:themeColor="text1" w:themeTint="F2"/>
                <w:spacing w:val="-6"/>
                <w:szCs w:val="20"/>
              </w:rPr>
              <w:t>i reálná mzda a mzdový medián</w:t>
            </w:r>
          </w:p>
          <w:p w14:paraId="56A428D5" w14:textId="77777777" w:rsidR="000C2CF1" w:rsidRPr="00BE517C" w:rsidRDefault="000C2CF1" w:rsidP="00135A1D">
            <w:pPr>
              <w:spacing w:after="0"/>
              <w:rPr>
                <w:rFonts w:cs="Arial"/>
                <w:b/>
                <w:color w:val="0D0D0D" w:themeColor="text1" w:themeTint="F2"/>
                <w:spacing w:val="-6"/>
                <w:szCs w:val="20"/>
              </w:rPr>
            </w:pPr>
            <w:r w:rsidRPr="00BE517C">
              <w:rPr>
                <w:rFonts w:cs="Arial"/>
                <w:color w:val="0D0D0D" w:themeColor="text1" w:themeTint="F2"/>
                <w:spacing w:val="-6"/>
                <w:szCs w:val="20"/>
              </w:rPr>
              <w:t>(meziroční změna, v %</w:t>
            </w:r>
            <w:r>
              <w:rPr>
                <w:rFonts w:cs="Arial"/>
                <w:color w:val="0D0D0D" w:themeColor="text1" w:themeTint="F2"/>
                <w:spacing w:val="-6"/>
                <w:szCs w:val="20"/>
              </w:rPr>
              <w:t>)</w:t>
            </w:r>
          </w:p>
        </w:tc>
      </w:tr>
      <w:tr w:rsidR="000C2CF1" w:rsidRPr="00716203" w14:paraId="5C0906F4" w14:textId="77777777" w:rsidTr="00135A1D">
        <w:tblPrEx>
          <w:tblCellMar>
            <w:left w:w="70" w:type="dxa"/>
            <w:right w:w="70" w:type="dxa"/>
          </w:tblCellMar>
        </w:tblPrEx>
        <w:trPr>
          <w:trHeight w:val="1935"/>
        </w:trPr>
        <w:tc>
          <w:tcPr>
            <w:tcW w:w="1814" w:type="dxa"/>
            <w:vMerge/>
          </w:tcPr>
          <w:p w14:paraId="31669EFB" w14:textId="77777777" w:rsidR="000C2CF1" w:rsidRPr="00A90A79" w:rsidRDefault="000C2CF1" w:rsidP="00135A1D">
            <w:pPr>
              <w:pStyle w:val="Marginlie"/>
              <w:rPr>
                <w:spacing w:val="-4"/>
              </w:rPr>
            </w:pPr>
          </w:p>
        </w:tc>
        <w:tc>
          <w:tcPr>
            <w:tcW w:w="185" w:type="dxa"/>
            <w:vMerge/>
          </w:tcPr>
          <w:p w14:paraId="48EDD06F" w14:textId="77777777" w:rsidR="000C2CF1" w:rsidRPr="00B43216" w:rsidRDefault="000C2CF1" w:rsidP="00135A1D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769" w:type="dxa"/>
          </w:tcPr>
          <w:p w14:paraId="66621694" w14:textId="77777777" w:rsidR="000C2CF1" w:rsidRPr="00A90A79" w:rsidRDefault="000C2CF1" w:rsidP="00135A1D">
            <w:pPr>
              <w:spacing w:before="40" w:after="0"/>
              <w:rPr>
                <w:rFonts w:cs="Arial"/>
                <w:b/>
                <w:color w:val="0D0D0D" w:themeColor="text1" w:themeTint="F2"/>
                <w:spacing w:val="-4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DD482D6" wp14:editId="7CAC073B">
                  <wp:extent cx="4689044" cy="3899535"/>
                  <wp:effectExtent l="0" t="0" r="0" b="5715"/>
                  <wp:docPr id="1965929521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F8BA8D-C232-E4D4-FC71-CB28352DF7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0C2CF1" w:rsidRPr="00716203" w14:paraId="735EADD0" w14:textId="77777777" w:rsidTr="00135A1D">
        <w:trPr>
          <w:trHeight w:val="475"/>
        </w:trPr>
        <w:tc>
          <w:tcPr>
            <w:tcW w:w="1814" w:type="dxa"/>
            <w:vMerge/>
            <w:tcMar>
              <w:left w:w="0" w:type="dxa"/>
            </w:tcMar>
          </w:tcPr>
          <w:p w14:paraId="615C9AA7" w14:textId="77777777" w:rsidR="000C2CF1" w:rsidRPr="00A90A79" w:rsidRDefault="000C2CF1" w:rsidP="00135A1D">
            <w:pPr>
              <w:pStyle w:val="Marginlie"/>
              <w:rPr>
                <w:spacing w:val="-4"/>
              </w:rPr>
            </w:pPr>
          </w:p>
        </w:tc>
        <w:tc>
          <w:tcPr>
            <w:tcW w:w="185" w:type="dxa"/>
            <w:vMerge/>
            <w:tcMar>
              <w:left w:w="0" w:type="dxa"/>
            </w:tcMar>
          </w:tcPr>
          <w:p w14:paraId="38A5D49B" w14:textId="77777777" w:rsidR="000C2CF1" w:rsidRPr="00B43216" w:rsidRDefault="000C2CF1" w:rsidP="00135A1D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769" w:type="dxa"/>
            <w:tcMar>
              <w:left w:w="0" w:type="dxa"/>
            </w:tcMar>
          </w:tcPr>
          <w:p w14:paraId="4CDA1347" w14:textId="77777777" w:rsidR="000C2CF1" w:rsidRDefault="000C2CF1" w:rsidP="00135A1D">
            <w:pPr>
              <w:spacing w:after="0" w:line="240" w:lineRule="auto"/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</w:pPr>
            <w:r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>*</w:t>
            </w:r>
            <w:r w:rsidRPr="00A90A79"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>Zahrnuj</w:t>
            </w:r>
            <w:r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>e odvětví s významnou rolí vládního sektoru</w:t>
            </w:r>
            <w:r w:rsidRPr="00A90A79"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>: Veřejná správa a obrana, povinné sociální zabezpečení; Vzdělávání; Zdravotní a sociální péče; Kulturn</w:t>
            </w:r>
            <w:r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 xml:space="preserve">í, zábavní a rekreační činnosti.                                                                                                                  </w:t>
            </w:r>
          </w:p>
          <w:p w14:paraId="652263E1" w14:textId="77777777" w:rsidR="000C2CF1" w:rsidRPr="00163F5D" w:rsidRDefault="000C2CF1" w:rsidP="00135A1D">
            <w:pPr>
              <w:spacing w:after="0" w:line="240" w:lineRule="auto"/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</w:pPr>
            <w:r w:rsidRPr="00A90A79"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>Zdroj: ČSÚ</w:t>
            </w:r>
          </w:p>
        </w:tc>
      </w:tr>
      <w:bookmarkEnd w:id="2"/>
    </w:tbl>
    <w:p w14:paraId="123F072A" w14:textId="77777777" w:rsidR="000C2CF1" w:rsidRPr="00A40EDD" w:rsidRDefault="000C2CF1" w:rsidP="000C2CF1">
      <w:pPr>
        <w:spacing w:after="0" w:line="240" w:lineRule="auto"/>
        <w:jc w:val="left"/>
        <w:rPr>
          <w:rFonts w:eastAsia="MS Gothic"/>
          <w:b/>
          <w:bCs/>
          <w:color w:val="86BF5E"/>
          <w:sz w:val="6"/>
          <w:szCs w:val="6"/>
        </w:rPr>
      </w:pPr>
    </w:p>
    <w:sectPr w:rsidR="000C2CF1" w:rsidRPr="00A40EDD" w:rsidSect="00E12D12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134" w:right="1134" w:bottom="1418" w:left="1134" w:header="680" w:footer="680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28D0D" w14:textId="77777777" w:rsidR="007F1744" w:rsidRDefault="007F1744" w:rsidP="00E71A58">
      <w:r>
        <w:separator/>
      </w:r>
    </w:p>
  </w:endnote>
  <w:endnote w:type="continuationSeparator" w:id="0">
    <w:p w14:paraId="584D84A3" w14:textId="77777777" w:rsidR="007F1744" w:rsidRDefault="007F1744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62E7" w14:textId="3B3F7B37" w:rsidR="004C456F" w:rsidRPr="00932443" w:rsidRDefault="004C456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2143298A" wp14:editId="2143298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21" name="Picture 15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fldChar w:fldCharType="begin"/>
    </w:r>
    <w:r w:rsidRPr="00932443">
      <w:rPr>
        <w:szCs w:val="16"/>
      </w:rPr>
      <w:instrText>PAGE   \* MERGEFORMAT</w:instrText>
    </w:r>
    <w:r w:rsidRPr="00932443">
      <w:rPr>
        <w:szCs w:val="16"/>
      </w:rPr>
      <w:fldChar w:fldCharType="separate"/>
    </w:r>
    <w:r w:rsidR="00233D05">
      <w:rPr>
        <w:szCs w:val="16"/>
      </w:rPr>
      <w:t>50</w:t>
    </w:r>
    <w:r w:rsidRPr="00932443">
      <w:rPr>
        <w:szCs w:val="16"/>
      </w:rPr>
      <w:fldChar w:fldCharType="end"/>
    </w:r>
    <w:r w:rsidRPr="00932443">
      <w:rPr>
        <w:szCs w:val="16"/>
      </w:rPr>
      <w:tab/>
    </w:r>
    <w:r w:rsidR="00C5418A">
      <w:rPr>
        <w:szCs w:val="16"/>
      </w:rPr>
      <w:t>1. až 3. čtvrtletí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9" w14:textId="15E32B36" w:rsidR="004C456F" w:rsidRPr="00932443" w:rsidRDefault="004C456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2143298C" wp14:editId="2143298D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22" name="Picture 16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tab/>
    </w:r>
    <w:r>
      <w:rPr>
        <w:szCs w:val="16"/>
      </w:rPr>
      <w:t xml:space="preserve">1. </w:t>
    </w:r>
    <w:r w:rsidR="00C5418A">
      <w:rPr>
        <w:szCs w:val="16"/>
      </w:rPr>
      <w:t>až 3. čtvrt</w:t>
    </w:r>
    <w:r>
      <w:rPr>
        <w:szCs w:val="16"/>
      </w:rPr>
      <w:t>letí 2025</w:t>
    </w:r>
    <w:r w:rsidRPr="00932443">
      <w:rPr>
        <w:szCs w:val="16"/>
      </w:rPr>
      <w:tab/>
    </w:r>
    <w:r w:rsidRPr="00932443">
      <w:rPr>
        <w:rStyle w:val="ZpatChar"/>
        <w:szCs w:val="16"/>
      </w:rPr>
      <w:fldChar w:fldCharType="begin"/>
    </w:r>
    <w:r w:rsidRPr="00932443">
      <w:rPr>
        <w:rStyle w:val="ZpatChar"/>
        <w:szCs w:val="16"/>
      </w:rPr>
      <w:instrText>PAGE   \* MERGEFORMAT</w:instrText>
    </w:r>
    <w:r w:rsidRPr="00932443">
      <w:rPr>
        <w:rStyle w:val="ZpatChar"/>
        <w:szCs w:val="16"/>
      </w:rPr>
      <w:fldChar w:fldCharType="separate"/>
    </w:r>
    <w:r w:rsidR="00233D05">
      <w:rPr>
        <w:rStyle w:val="ZpatChar"/>
        <w:szCs w:val="16"/>
      </w:rPr>
      <w:t>49</w:t>
    </w:r>
    <w:r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816C7" w14:textId="77777777" w:rsidR="007F1744" w:rsidRDefault="007F1744" w:rsidP="00EA4302">
      <w:pPr>
        <w:spacing w:after="0"/>
      </w:pPr>
      <w:r>
        <w:separator/>
      </w:r>
    </w:p>
  </w:footnote>
  <w:footnote w:type="continuationSeparator" w:id="0">
    <w:p w14:paraId="7CB036E2" w14:textId="77777777" w:rsidR="007F1744" w:rsidRDefault="007F1744" w:rsidP="00E71A58">
      <w:r>
        <w:continuationSeparator/>
      </w:r>
    </w:p>
  </w:footnote>
  <w:footnote w:id="1">
    <w:p w14:paraId="6E9E6B2D" w14:textId="77777777" w:rsidR="000C2CF1" w:rsidRPr="00F72E52" w:rsidRDefault="000C2CF1" w:rsidP="000C2CF1">
      <w:pPr>
        <w:pStyle w:val="Textpoznpodarou"/>
        <w:jc w:val="both"/>
        <w:rPr>
          <w:color w:val="0D0D0D" w:themeColor="text1" w:themeTint="F2"/>
          <w:spacing w:val="-2"/>
          <w:sz w:val="16"/>
          <w:szCs w:val="16"/>
        </w:rPr>
      </w:pPr>
      <w:r w:rsidRPr="00F72E52">
        <w:rPr>
          <w:rStyle w:val="Znakapoznpodarou"/>
          <w:color w:val="0D0D0D" w:themeColor="text1" w:themeTint="F2"/>
          <w:spacing w:val="-2"/>
          <w:sz w:val="16"/>
          <w:szCs w:val="16"/>
        </w:rPr>
        <w:footnoteRef/>
      </w:r>
      <w:r w:rsidRPr="00F72E52">
        <w:rPr>
          <w:color w:val="0D0D0D" w:themeColor="text1" w:themeTint="F2"/>
          <w:spacing w:val="-2"/>
          <w:sz w:val="16"/>
          <w:szCs w:val="16"/>
        </w:rPr>
        <w:t xml:space="preserve"> Údaje </w:t>
      </w:r>
      <w:r>
        <w:rPr>
          <w:color w:val="0D0D0D" w:themeColor="text1" w:themeTint="F2"/>
          <w:spacing w:val="-2"/>
          <w:sz w:val="16"/>
          <w:szCs w:val="16"/>
        </w:rPr>
        <w:t xml:space="preserve">o zaměstnanosti </w:t>
      </w:r>
      <w:r w:rsidRPr="00F72E52">
        <w:rPr>
          <w:color w:val="0D0D0D" w:themeColor="text1" w:themeTint="F2"/>
          <w:spacing w:val="-2"/>
          <w:sz w:val="16"/>
          <w:szCs w:val="16"/>
        </w:rPr>
        <w:t>vycház</w:t>
      </w:r>
      <w:r>
        <w:rPr>
          <w:color w:val="0D0D0D" w:themeColor="text1" w:themeTint="F2"/>
          <w:spacing w:val="-2"/>
          <w:sz w:val="16"/>
          <w:szCs w:val="16"/>
        </w:rPr>
        <w:t>ej</w:t>
      </w:r>
      <w:r w:rsidRPr="00F72E52">
        <w:rPr>
          <w:color w:val="0D0D0D" w:themeColor="text1" w:themeTint="F2"/>
          <w:spacing w:val="-2"/>
          <w:sz w:val="16"/>
          <w:szCs w:val="16"/>
        </w:rPr>
        <w:t>í z</w:t>
      </w:r>
      <w:r>
        <w:rPr>
          <w:color w:val="0D0D0D" w:themeColor="text1" w:themeTint="F2"/>
          <w:spacing w:val="-2"/>
          <w:sz w:val="16"/>
          <w:szCs w:val="16"/>
        </w:rPr>
        <w:t> </w:t>
      </w:r>
      <w:r w:rsidRPr="00F72E52">
        <w:rPr>
          <w:color w:val="0D0D0D" w:themeColor="text1" w:themeTint="F2"/>
          <w:spacing w:val="-2"/>
          <w:sz w:val="16"/>
          <w:szCs w:val="16"/>
        </w:rPr>
        <w:t>pojetí národních účtů. Jsou vyjádřeny ve fyzických osobách a</w:t>
      </w:r>
      <w:r>
        <w:rPr>
          <w:color w:val="0D0D0D" w:themeColor="text1" w:themeTint="F2"/>
          <w:spacing w:val="-2"/>
          <w:sz w:val="16"/>
          <w:szCs w:val="16"/>
        </w:rPr>
        <w:t> </w:t>
      </w:r>
      <w:r w:rsidRPr="00F72E52">
        <w:rPr>
          <w:color w:val="0D0D0D" w:themeColor="text1" w:themeTint="F2"/>
          <w:spacing w:val="-2"/>
          <w:sz w:val="16"/>
          <w:szCs w:val="16"/>
        </w:rPr>
        <w:t>očištěny o sezónní vlivy.</w:t>
      </w:r>
      <w:r>
        <w:rPr>
          <w:color w:val="0D0D0D" w:themeColor="text1" w:themeTint="F2"/>
          <w:spacing w:val="-2"/>
          <w:sz w:val="16"/>
          <w:szCs w:val="16"/>
        </w:rPr>
        <w:t xml:space="preserve"> Na rozdíl od údajů z podnikové statistiky či z </w:t>
      </w:r>
      <w:r w:rsidRPr="00946AFA">
        <w:rPr>
          <w:sz w:val="16"/>
          <w:szCs w:val="16"/>
        </w:rPr>
        <w:t xml:space="preserve">výběrového šetření pracovních sil </w:t>
      </w:r>
      <w:r>
        <w:rPr>
          <w:sz w:val="16"/>
          <w:szCs w:val="16"/>
        </w:rPr>
        <w:t>(VŠPS) zahrnují např. i odhad vlivu šedé ekonomiky.</w:t>
      </w:r>
    </w:p>
  </w:footnote>
  <w:footnote w:id="2">
    <w:p w14:paraId="4E828A38" w14:textId="77777777" w:rsidR="000C2CF1" w:rsidRPr="000412D4" w:rsidRDefault="000C2CF1" w:rsidP="000C2CF1">
      <w:pPr>
        <w:pStyle w:val="Textpoznpodarou"/>
        <w:rPr>
          <w:sz w:val="16"/>
          <w:szCs w:val="16"/>
        </w:rPr>
      </w:pPr>
      <w:r w:rsidRPr="000412D4">
        <w:rPr>
          <w:rStyle w:val="Znakapoznpodarou"/>
          <w:sz w:val="16"/>
          <w:szCs w:val="16"/>
        </w:rPr>
        <w:footnoteRef/>
      </w:r>
      <w:r w:rsidRPr="000412D4">
        <w:rPr>
          <w:sz w:val="16"/>
          <w:szCs w:val="16"/>
        </w:rPr>
        <w:t xml:space="preserve"> V odvětví veřejná správa a obrana, vzdělávání, zdravotní a sociální péče</w:t>
      </w:r>
      <w:r>
        <w:rPr>
          <w:sz w:val="16"/>
          <w:szCs w:val="16"/>
        </w:rPr>
        <w:t xml:space="preserve"> bylo letos ve 3. čtvrtletí ve srovnání s koncem roku 2018 zaměstnáno o 12 % (+117 tis.) osob více. Významný vliv mělo rovněž navýšení ve stavebnictví (+11 %), i</w:t>
      </w:r>
      <w:r w:rsidRPr="00591EF5">
        <w:rPr>
          <w:sz w:val="16"/>
          <w:szCs w:val="16"/>
        </w:rPr>
        <w:t>nformační</w:t>
      </w:r>
      <w:r>
        <w:rPr>
          <w:sz w:val="16"/>
          <w:szCs w:val="16"/>
        </w:rPr>
        <w:t>ch</w:t>
      </w:r>
      <w:r w:rsidRPr="00591EF5">
        <w:rPr>
          <w:sz w:val="16"/>
          <w:szCs w:val="16"/>
        </w:rPr>
        <w:t xml:space="preserve"> a komunikační</w:t>
      </w:r>
      <w:r>
        <w:rPr>
          <w:sz w:val="16"/>
          <w:szCs w:val="16"/>
        </w:rPr>
        <w:t>ch činnostech (+19</w:t>
      </w:r>
      <w:r w:rsidRPr="000412D4">
        <w:rPr>
          <w:sz w:val="16"/>
          <w:szCs w:val="16"/>
        </w:rPr>
        <w:t> </w:t>
      </w:r>
      <w:r>
        <w:rPr>
          <w:sz w:val="16"/>
          <w:szCs w:val="16"/>
        </w:rPr>
        <w:t>%), profesních</w:t>
      </w:r>
      <w:r w:rsidRPr="00591EF5">
        <w:rPr>
          <w:sz w:val="16"/>
          <w:szCs w:val="16"/>
        </w:rPr>
        <w:t>, vě</w:t>
      </w:r>
      <w:r>
        <w:rPr>
          <w:sz w:val="16"/>
          <w:szCs w:val="16"/>
        </w:rPr>
        <w:t>deckých, technických a administrativních činnostech (+6 %) a též v oblasti nemovitostí.</w:t>
      </w:r>
    </w:p>
  </w:footnote>
  <w:footnote w:id="3">
    <w:p w14:paraId="00FD5D57" w14:textId="77777777" w:rsidR="000C2CF1" w:rsidRPr="004F5EA9" w:rsidRDefault="000C2CF1" w:rsidP="000C2CF1">
      <w:pPr>
        <w:pStyle w:val="Textpoznpodarou"/>
        <w:rPr>
          <w:sz w:val="16"/>
          <w:szCs w:val="16"/>
        </w:rPr>
      </w:pPr>
      <w:r w:rsidRPr="004F5EA9">
        <w:rPr>
          <w:rStyle w:val="Znakapoznpodarou"/>
          <w:sz w:val="16"/>
          <w:szCs w:val="16"/>
        </w:rPr>
        <w:footnoteRef/>
      </w:r>
      <w:r w:rsidRPr="004F5EA9">
        <w:rPr>
          <w:sz w:val="16"/>
          <w:szCs w:val="16"/>
        </w:rPr>
        <w:t xml:space="preserve"> Na rozdíl od loňského roku se tak tuzemská zaměstnanost zvyšovala rychleji než v EU, kde </w:t>
      </w:r>
      <w:r>
        <w:rPr>
          <w:sz w:val="16"/>
          <w:szCs w:val="16"/>
        </w:rPr>
        <w:t xml:space="preserve">v 1. až 3. čtvrtletí 2025 </w:t>
      </w:r>
      <w:r w:rsidRPr="004F5EA9">
        <w:rPr>
          <w:sz w:val="16"/>
          <w:szCs w:val="16"/>
        </w:rPr>
        <w:t>činil její růst 0,</w:t>
      </w:r>
      <w:r>
        <w:rPr>
          <w:sz w:val="16"/>
          <w:szCs w:val="16"/>
        </w:rPr>
        <w:t>5</w:t>
      </w:r>
      <w:r w:rsidRPr="004F5EA9">
        <w:rPr>
          <w:sz w:val="16"/>
          <w:szCs w:val="16"/>
        </w:rPr>
        <w:t xml:space="preserve"> %.</w:t>
      </w:r>
      <w:r w:rsidRPr="004C5E0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Podobně jako v tuzemsku i v Unii se zvyšovala pracovní místa výhradně jen ve stavebnictví (+1,1 %) a </w:t>
      </w:r>
      <w:proofErr w:type="gramStart"/>
      <w:r>
        <w:rPr>
          <w:sz w:val="16"/>
          <w:szCs w:val="16"/>
        </w:rPr>
        <w:t xml:space="preserve">službách </w:t>
      </w:r>
      <w:r>
        <w:rPr>
          <w:spacing w:val="-3"/>
          <w:sz w:val="16"/>
          <w:szCs w:val="16"/>
        </w:rPr>
        <w:t>−</w:t>
      </w:r>
      <w:r>
        <w:rPr>
          <w:sz w:val="16"/>
          <w:szCs w:val="16"/>
        </w:rPr>
        <w:t xml:space="preserve"> nejvíce</w:t>
      </w:r>
      <w:proofErr w:type="gramEnd"/>
      <w:r>
        <w:rPr>
          <w:sz w:val="16"/>
          <w:szCs w:val="16"/>
        </w:rPr>
        <w:t xml:space="preserve"> v oblasti nemovitostí (+3,8 %), peněžnictví a pojišťovnictví (+1,3 %) a také v odvětvích s významnou rolí státu (+1,2 %). Pracovníků naopak ubývalo ve zpracovatelském průmyslu (</w:t>
      </w:r>
      <w:r>
        <w:rPr>
          <w:spacing w:val="-3"/>
          <w:sz w:val="16"/>
          <w:szCs w:val="16"/>
        </w:rPr>
        <w:t>−0,6 %), kde se situace letos spíše zhoršila, obdobně jako v primárním sektoru (−4,8 %). C</w:t>
      </w:r>
      <w:r w:rsidRPr="000B4BE2">
        <w:rPr>
          <w:spacing w:val="-3"/>
          <w:sz w:val="16"/>
          <w:szCs w:val="16"/>
        </w:rPr>
        <w:t>elkový počet</w:t>
      </w:r>
      <w:r>
        <w:rPr>
          <w:spacing w:val="-3"/>
          <w:sz w:val="16"/>
          <w:szCs w:val="16"/>
        </w:rPr>
        <w:t xml:space="preserve"> pracovníků letos vzrostl nejvíce na Maltě (+3,6 %) a z významných ekonomik hlavně ve Španělsku (+2,8</w:t>
      </w:r>
      <w:r w:rsidRPr="000B4BE2">
        <w:rPr>
          <w:spacing w:val="-3"/>
          <w:sz w:val="16"/>
          <w:szCs w:val="16"/>
        </w:rPr>
        <w:t> %)</w:t>
      </w:r>
      <w:r>
        <w:rPr>
          <w:spacing w:val="-3"/>
          <w:sz w:val="16"/>
          <w:szCs w:val="16"/>
        </w:rPr>
        <w:t xml:space="preserve"> a</w:t>
      </w:r>
      <w:r w:rsidRPr="000B4BE2">
        <w:rPr>
          <w:spacing w:val="-3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v Itálii (+1,1</w:t>
      </w:r>
      <w:r w:rsidRPr="000B4BE2">
        <w:rPr>
          <w:spacing w:val="-3"/>
          <w:sz w:val="16"/>
          <w:szCs w:val="16"/>
        </w:rPr>
        <w:t xml:space="preserve"> %</w:t>
      </w:r>
      <w:r>
        <w:rPr>
          <w:spacing w:val="-3"/>
          <w:sz w:val="16"/>
          <w:szCs w:val="16"/>
        </w:rPr>
        <w:t xml:space="preserve">). Zaměstnanost stagnovala ve Francii, v Německu i v dalších státech sousedících s Českem. K významnějšímu poklesu </w:t>
      </w:r>
      <w:r w:rsidRPr="00425501">
        <w:rPr>
          <w:spacing w:val="-6"/>
          <w:sz w:val="16"/>
          <w:szCs w:val="16"/>
        </w:rPr>
        <w:t xml:space="preserve">došlo </w:t>
      </w:r>
      <w:r>
        <w:rPr>
          <w:spacing w:val="-6"/>
          <w:sz w:val="16"/>
          <w:szCs w:val="16"/>
        </w:rPr>
        <w:t xml:space="preserve">pouze </w:t>
      </w:r>
      <w:r>
        <w:rPr>
          <w:spacing w:val="-6"/>
          <w:sz w:val="16"/>
          <w:szCs w:val="16"/>
        </w:rPr>
        <w:br/>
        <w:t xml:space="preserve">v </w:t>
      </w:r>
      <w:r w:rsidRPr="00425501">
        <w:rPr>
          <w:spacing w:val="-6"/>
          <w:sz w:val="16"/>
          <w:szCs w:val="16"/>
        </w:rPr>
        <w:t>Rumunsku (−</w:t>
      </w:r>
      <w:r>
        <w:rPr>
          <w:spacing w:val="-6"/>
          <w:sz w:val="16"/>
          <w:szCs w:val="16"/>
        </w:rPr>
        <w:t>3,7</w:t>
      </w:r>
      <w:r w:rsidRPr="00425501">
        <w:rPr>
          <w:spacing w:val="-6"/>
          <w:sz w:val="16"/>
          <w:szCs w:val="16"/>
        </w:rPr>
        <w:t xml:space="preserve"> %), Lotyšsku (−1,</w:t>
      </w:r>
      <w:r>
        <w:rPr>
          <w:spacing w:val="-6"/>
          <w:sz w:val="16"/>
          <w:szCs w:val="16"/>
        </w:rPr>
        <w:t>2</w:t>
      </w:r>
      <w:r w:rsidRPr="00425501">
        <w:rPr>
          <w:spacing w:val="-6"/>
          <w:sz w:val="16"/>
          <w:szCs w:val="16"/>
        </w:rPr>
        <w:t xml:space="preserve"> %), Finsku (−</w:t>
      </w:r>
      <w:r>
        <w:rPr>
          <w:spacing w:val="-6"/>
          <w:sz w:val="16"/>
          <w:szCs w:val="16"/>
        </w:rPr>
        <w:t>1</w:t>
      </w:r>
      <w:r w:rsidRPr="00425501">
        <w:rPr>
          <w:spacing w:val="-6"/>
          <w:sz w:val="16"/>
          <w:szCs w:val="16"/>
        </w:rPr>
        <w:t>,</w:t>
      </w:r>
      <w:r>
        <w:rPr>
          <w:spacing w:val="-6"/>
          <w:sz w:val="16"/>
          <w:szCs w:val="16"/>
        </w:rPr>
        <w:t>0</w:t>
      </w:r>
      <w:r w:rsidRPr="00425501">
        <w:rPr>
          <w:spacing w:val="-6"/>
          <w:sz w:val="16"/>
          <w:szCs w:val="16"/>
        </w:rPr>
        <w:t xml:space="preserve"> %)</w:t>
      </w:r>
      <w:r>
        <w:rPr>
          <w:spacing w:val="-6"/>
          <w:sz w:val="16"/>
          <w:szCs w:val="16"/>
        </w:rPr>
        <w:t xml:space="preserve"> a Slovinsku (</w:t>
      </w:r>
      <w:r w:rsidRPr="00425501">
        <w:rPr>
          <w:spacing w:val="-6"/>
          <w:sz w:val="16"/>
          <w:szCs w:val="16"/>
        </w:rPr>
        <w:t>−</w:t>
      </w:r>
      <w:r>
        <w:rPr>
          <w:spacing w:val="-6"/>
          <w:sz w:val="16"/>
          <w:szCs w:val="16"/>
        </w:rPr>
        <w:t>0,5 %).</w:t>
      </w:r>
      <w:r w:rsidRPr="00425501">
        <w:rPr>
          <w:spacing w:val="-6"/>
          <w:sz w:val="16"/>
          <w:szCs w:val="16"/>
        </w:rPr>
        <w:t xml:space="preserve"> </w:t>
      </w:r>
    </w:p>
  </w:footnote>
  <w:footnote w:id="4">
    <w:p w14:paraId="12F281AA" w14:textId="77777777" w:rsidR="000C2CF1" w:rsidRPr="004D3AFF" w:rsidRDefault="000C2CF1" w:rsidP="000C2CF1">
      <w:pPr>
        <w:pStyle w:val="Textpoznpodarou"/>
        <w:rPr>
          <w:sz w:val="16"/>
          <w:szCs w:val="16"/>
        </w:rPr>
      </w:pPr>
      <w:r w:rsidRPr="004D3AFF">
        <w:rPr>
          <w:rStyle w:val="Znakapoznpodarou"/>
          <w:sz w:val="16"/>
          <w:szCs w:val="16"/>
        </w:rPr>
        <w:footnoteRef/>
      </w:r>
      <w:r w:rsidRPr="004D3AFF">
        <w:rPr>
          <w:sz w:val="16"/>
          <w:szCs w:val="16"/>
        </w:rPr>
        <w:t xml:space="preserve"> Z podrobnějších údajů Výběrového šetření pracovních sil </w:t>
      </w:r>
      <w:r>
        <w:rPr>
          <w:sz w:val="16"/>
          <w:szCs w:val="16"/>
        </w:rPr>
        <w:t xml:space="preserve">(VŠPS) </w:t>
      </w:r>
      <w:r w:rsidRPr="004D3AFF">
        <w:rPr>
          <w:sz w:val="16"/>
          <w:szCs w:val="16"/>
        </w:rPr>
        <w:t>plyne, že ve 3. čtvrtletí 2025 se meziročně zvyšovaly jak počty podnikatel</w:t>
      </w:r>
      <w:r>
        <w:rPr>
          <w:sz w:val="16"/>
          <w:szCs w:val="16"/>
        </w:rPr>
        <w:t>ů</w:t>
      </w:r>
      <w:r w:rsidRPr="004D3AFF">
        <w:rPr>
          <w:sz w:val="16"/>
          <w:szCs w:val="16"/>
        </w:rPr>
        <w:t xml:space="preserve"> bez zaměstnanců, tak zaměstnavatelů.</w:t>
      </w:r>
    </w:p>
  </w:footnote>
  <w:footnote w:id="5">
    <w:p w14:paraId="7C650CEE" w14:textId="77777777" w:rsidR="000C2CF1" w:rsidRDefault="000C2CF1" w:rsidP="000C2CF1">
      <w:pPr>
        <w:pStyle w:val="Textpoznpodarou"/>
      </w:pPr>
      <w:r w:rsidRPr="00442EDD">
        <w:rPr>
          <w:rStyle w:val="Znakapoznpodarou"/>
          <w:sz w:val="16"/>
          <w:szCs w:val="16"/>
        </w:rPr>
        <w:footnoteRef/>
      </w:r>
      <w:r w:rsidRPr="00442ED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Pro zjednodušení </w:t>
      </w:r>
      <w:r>
        <w:rPr>
          <w:spacing w:val="-2"/>
          <w:sz w:val="16"/>
          <w:szCs w:val="16"/>
        </w:rPr>
        <w:t>z</w:t>
      </w:r>
      <w:r w:rsidRPr="00442EDD">
        <w:rPr>
          <w:spacing w:val="-2"/>
          <w:sz w:val="16"/>
          <w:szCs w:val="16"/>
        </w:rPr>
        <w:t>ahrnují od</w:t>
      </w:r>
      <w:r>
        <w:rPr>
          <w:spacing w:val="-2"/>
          <w:sz w:val="16"/>
          <w:szCs w:val="16"/>
        </w:rPr>
        <w:t>větví Veřejná správa a obrana, Vzdělávání, Z</w:t>
      </w:r>
      <w:r w:rsidRPr="00442EDD">
        <w:rPr>
          <w:spacing w:val="-2"/>
          <w:sz w:val="16"/>
          <w:szCs w:val="16"/>
        </w:rPr>
        <w:t>dravotní a sociální péče.</w:t>
      </w:r>
    </w:p>
  </w:footnote>
  <w:footnote w:id="6">
    <w:p w14:paraId="4BADF850" w14:textId="77777777" w:rsidR="000C2CF1" w:rsidRDefault="000C2CF1" w:rsidP="000C2CF1">
      <w:pPr>
        <w:pStyle w:val="Textpoznpodarou"/>
      </w:pPr>
      <w:r w:rsidRPr="00AF2AB5">
        <w:rPr>
          <w:rStyle w:val="Znakapoznpodarou"/>
          <w:sz w:val="16"/>
          <w:szCs w:val="16"/>
        </w:rPr>
        <w:footnoteRef/>
      </w:r>
      <w:r w:rsidRPr="00AF2AB5">
        <w:rPr>
          <w:sz w:val="16"/>
          <w:szCs w:val="16"/>
        </w:rPr>
        <w:t xml:space="preserve"> </w:t>
      </w:r>
      <w:r>
        <w:rPr>
          <w:sz w:val="16"/>
          <w:szCs w:val="16"/>
        </w:rPr>
        <w:t>Ty zahrnují</w:t>
      </w:r>
      <w:r w:rsidRPr="00AF2AB5">
        <w:rPr>
          <w:sz w:val="16"/>
          <w:szCs w:val="16"/>
        </w:rPr>
        <w:t xml:space="preserve"> vedle</w:t>
      </w:r>
      <w:r w:rsidRPr="00180D79">
        <w:rPr>
          <w:sz w:val="16"/>
          <w:szCs w:val="16"/>
        </w:rPr>
        <w:t xml:space="preserve"> kulturních, zábavních a rekreačních činností např. různé služby pro domácnosti (opravy výrobků, kadeřnické </w:t>
      </w:r>
      <w:r>
        <w:rPr>
          <w:sz w:val="16"/>
          <w:szCs w:val="16"/>
        </w:rPr>
        <w:br/>
      </w:r>
      <w:r w:rsidRPr="00180D79">
        <w:rPr>
          <w:sz w:val="16"/>
          <w:szCs w:val="16"/>
        </w:rPr>
        <w:t xml:space="preserve">a kosmetické činnosti aj.). Zaměstnanost </w:t>
      </w:r>
      <w:r>
        <w:rPr>
          <w:sz w:val="16"/>
          <w:szCs w:val="16"/>
        </w:rPr>
        <w:t xml:space="preserve">je </w:t>
      </w:r>
      <w:r w:rsidRPr="00180D79">
        <w:rPr>
          <w:sz w:val="16"/>
          <w:szCs w:val="16"/>
        </w:rPr>
        <w:t>v</w:t>
      </w:r>
      <w:r>
        <w:rPr>
          <w:sz w:val="16"/>
          <w:szCs w:val="16"/>
        </w:rPr>
        <w:t> </w:t>
      </w:r>
      <w:r w:rsidRPr="00180D79">
        <w:rPr>
          <w:sz w:val="16"/>
          <w:szCs w:val="16"/>
        </w:rPr>
        <w:t>t</w:t>
      </w:r>
      <w:r>
        <w:rPr>
          <w:sz w:val="16"/>
          <w:szCs w:val="16"/>
        </w:rPr>
        <w:t xml:space="preserve">omto odvětví tvořená z více než třetiny </w:t>
      </w:r>
      <w:r w:rsidRPr="00180D79">
        <w:rPr>
          <w:sz w:val="16"/>
          <w:szCs w:val="16"/>
        </w:rPr>
        <w:t>drobnými podnikateli</w:t>
      </w:r>
      <w:r>
        <w:rPr>
          <w:sz w:val="16"/>
          <w:szCs w:val="16"/>
        </w:rPr>
        <w:t xml:space="preserve">. </w:t>
      </w:r>
    </w:p>
  </w:footnote>
  <w:footnote w:id="7">
    <w:p w14:paraId="6C1C023B" w14:textId="77777777" w:rsidR="000C2CF1" w:rsidRPr="00443624" w:rsidRDefault="000C2CF1" w:rsidP="000C2CF1">
      <w:pPr>
        <w:pStyle w:val="Textpoznpodarou"/>
        <w:rPr>
          <w:sz w:val="16"/>
          <w:szCs w:val="16"/>
        </w:rPr>
      </w:pPr>
      <w:r w:rsidRPr="00443624">
        <w:rPr>
          <w:rStyle w:val="Znakapoznpodarou"/>
          <w:sz w:val="16"/>
          <w:szCs w:val="16"/>
        </w:rPr>
        <w:footnoteRef/>
      </w:r>
      <w:r w:rsidRPr="00443624">
        <w:rPr>
          <w:sz w:val="16"/>
          <w:szCs w:val="16"/>
        </w:rPr>
        <w:t xml:space="preserve"> Údaje </w:t>
      </w:r>
      <w:r w:rsidRPr="00443624">
        <w:rPr>
          <w:color w:val="0D0D0D" w:themeColor="text1" w:themeTint="F2"/>
          <w:spacing w:val="-2"/>
          <w:sz w:val="16"/>
          <w:szCs w:val="16"/>
        </w:rPr>
        <w:t>vycházejí z pojetí národních účtů</w:t>
      </w:r>
      <w:r>
        <w:rPr>
          <w:color w:val="0D0D0D" w:themeColor="text1" w:themeTint="F2"/>
          <w:spacing w:val="-2"/>
          <w:sz w:val="16"/>
          <w:szCs w:val="16"/>
        </w:rPr>
        <w:t xml:space="preserve"> a jsou </w:t>
      </w:r>
      <w:r w:rsidRPr="00F72E52">
        <w:rPr>
          <w:color w:val="0D0D0D" w:themeColor="text1" w:themeTint="F2"/>
          <w:spacing w:val="-2"/>
          <w:sz w:val="16"/>
          <w:szCs w:val="16"/>
        </w:rPr>
        <w:t>očištěny o sezónní vlivy</w:t>
      </w:r>
      <w:r>
        <w:rPr>
          <w:color w:val="0D0D0D" w:themeColor="text1" w:themeTint="F2"/>
          <w:spacing w:val="-2"/>
          <w:sz w:val="16"/>
          <w:szCs w:val="16"/>
        </w:rPr>
        <w:t>.</w:t>
      </w:r>
    </w:p>
  </w:footnote>
  <w:footnote w:id="8">
    <w:p w14:paraId="098E843A" w14:textId="77777777" w:rsidR="000C2CF1" w:rsidRPr="00B358BA" w:rsidRDefault="000C2CF1" w:rsidP="000C2CF1">
      <w:pPr>
        <w:pStyle w:val="Textpoznpodarou"/>
        <w:rPr>
          <w:sz w:val="16"/>
          <w:szCs w:val="16"/>
        </w:rPr>
      </w:pPr>
      <w:r w:rsidRPr="00B358BA">
        <w:rPr>
          <w:rStyle w:val="Znakapoznpodarou"/>
          <w:sz w:val="16"/>
          <w:szCs w:val="16"/>
        </w:rPr>
        <w:footnoteRef/>
      </w:r>
      <w:r w:rsidRPr="00B358BA">
        <w:rPr>
          <w:sz w:val="16"/>
          <w:szCs w:val="16"/>
        </w:rPr>
        <w:t xml:space="preserve"> </w:t>
      </w:r>
      <w:r w:rsidRPr="00B358BA">
        <w:rPr>
          <w:spacing w:val="-4"/>
          <w:sz w:val="16"/>
          <w:szCs w:val="16"/>
        </w:rPr>
        <w:t xml:space="preserve">Ve srovnání s 1. až 3. čtvrtletím 2019 byl letos počet odpracovaných hodin v ekonomice vyšší o 4,5 %, z toho u sebezaměstnaných o 8,3 %. </w:t>
      </w:r>
      <w:r w:rsidRPr="00B358BA">
        <w:rPr>
          <w:sz w:val="16"/>
          <w:szCs w:val="16"/>
        </w:rPr>
        <w:t>Analogické navýšení u počtu fyzických pracovníků činilo 2,7 %, z toho u sebezaměstnaných 3,9 %.</w:t>
      </w:r>
    </w:p>
  </w:footnote>
  <w:footnote w:id="9">
    <w:p w14:paraId="3B736309" w14:textId="77777777" w:rsidR="000C2CF1" w:rsidRPr="00930844" w:rsidRDefault="000C2CF1" w:rsidP="000C2CF1">
      <w:pPr>
        <w:pStyle w:val="Textpoznpodarou"/>
        <w:rPr>
          <w:sz w:val="16"/>
          <w:szCs w:val="16"/>
        </w:rPr>
      </w:pPr>
      <w:r w:rsidRPr="00930844">
        <w:rPr>
          <w:rStyle w:val="Znakapoznpodarou"/>
          <w:sz w:val="16"/>
          <w:szCs w:val="16"/>
        </w:rPr>
        <w:footnoteRef/>
      </w:r>
      <w:r w:rsidRPr="00930844">
        <w:rPr>
          <w:sz w:val="16"/>
          <w:szCs w:val="16"/>
        </w:rPr>
        <w:t xml:space="preserve"> Jde o činnosti v oblasti nemovitostí a ostatní činnosti služeb.</w:t>
      </w:r>
    </w:p>
  </w:footnote>
  <w:footnote w:id="10">
    <w:p w14:paraId="54AB326D" w14:textId="77777777" w:rsidR="000C2CF1" w:rsidRPr="00164965" w:rsidRDefault="000C2CF1" w:rsidP="000C2CF1">
      <w:pPr>
        <w:pStyle w:val="Textpoznpodarou"/>
        <w:rPr>
          <w:sz w:val="16"/>
          <w:szCs w:val="16"/>
        </w:rPr>
      </w:pPr>
      <w:r w:rsidRPr="00164965">
        <w:rPr>
          <w:rStyle w:val="Znakapoznpodarou"/>
          <w:sz w:val="16"/>
          <w:szCs w:val="16"/>
        </w:rPr>
        <w:footnoteRef/>
      </w:r>
      <w:r w:rsidRPr="00164965">
        <w:rPr>
          <w:sz w:val="16"/>
          <w:szCs w:val="16"/>
        </w:rPr>
        <w:t xml:space="preserve"> Vyjadřuje sezónně očištěné HDP </w:t>
      </w:r>
      <w:r>
        <w:rPr>
          <w:sz w:val="16"/>
          <w:szCs w:val="16"/>
        </w:rPr>
        <w:t xml:space="preserve">(resp. HPH na úrovni jednotlivých odvětví) </w:t>
      </w:r>
      <w:r w:rsidRPr="00164965">
        <w:rPr>
          <w:sz w:val="16"/>
          <w:szCs w:val="16"/>
        </w:rPr>
        <w:t>ve stálých cenách na o</w:t>
      </w:r>
      <w:r>
        <w:rPr>
          <w:sz w:val="16"/>
          <w:szCs w:val="16"/>
        </w:rPr>
        <w:t>d</w:t>
      </w:r>
      <w:r w:rsidRPr="00164965">
        <w:rPr>
          <w:sz w:val="16"/>
          <w:szCs w:val="16"/>
        </w:rPr>
        <w:t>pracovanou hodinu zaměstnanými osobami (po sezónním očištění).</w:t>
      </w:r>
    </w:p>
  </w:footnote>
  <w:footnote w:id="11">
    <w:p w14:paraId="46BA577D" w14:textId="77777777" w:rsidR="000C2CF1" w:rsidRPr="00B93369" w:rsidRDefault="000C2CF1" w:rsidP="000C2CF1">
      <w:pPr>
        <w:pStyle w:val="Textpoznpodarou"/>
        <w:rPr>
          <w:sz w:val="16"/>
          <w:szCs w:val="16"/>
        </w:rPr>
      </w:pPr>
      <w:r w:rsidRPr="00AD3730"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Oprávnění k zaměstnání (pracovní povolení, zaměstnanecké či modré karty) nepotřebovaly</w:t>
      </w:r>
      <w:r w:rsidRPr="00AD3730">
        <w:rPr>
          <w:sz w:val="16"/>
          <w:szCs w:val="16"/>
        </w:rPr>
        <w:t xml:space="preserve"> </w:t>
      </w:r>
      <w:r>
        <w:rPr>
          <w:sz w:val="16"/>
          <w:szCs w:val="16"/>
        </w:rPr>
        <w:t>na konci 3. čtvrtletí 2025 více než čtyři pětiny veškerých</w:t>
      </w:r>
      <w:r w:rsidRPr="00AD3730">
        <w:rPr>
          <w:sz w:val="16"/>
          <w:szCs w:val="16"/>
        </w:rPr>
        <w:t xml:space="preserve"> občanů Ukrajiny </w:t>
      </w:r>
      <w:r>
        <w:rPr>
          <w:sz w:val="16"/>
          <w:szCs w:val="16"/>
        </w:rPr>
        <w:t xml:space="preserve">(resp. 72 % mužů a 90 % </w:t>
      </w:r>
      <w:r w:rsidRPr="00B93369">
        <w:rPr>
          <w:sz w:val="16"/>
          <w:szCs w:val="16"/>
        </w:rPr>
        <w:t>žen) působících v ČR v zaměstnaneckém postavení.</w:t>
      </w:r>
    </w:p>
  </w:footnote>
  <w:footnote w:id="12">
    <w:p w14:paraId="75BB32B8" w14:textId="77777777" w:rsidR="000C2CF1" w:rsidRPr="00CF611C" w:rsidRDefault="000C2CF1" w:rsidP="000C2CF1">
      <w:pPr>
        <w:pStyle w:val="Textpoznpodarou"/>
        <w:rPr>
          <w:color w:val="0D0D0D" w:themeColor="text1" w:themeTint="F2"/>
          <w:sz w:val="16"/>
          <w:szCs w:val="16"/>
        </w:rPr>
      </w:pPr>
      <w:r w:rsidRPr="00B93369">
        <w:rPr>
          <w:rStyle w:val="Znakapoznpodarou"/>
          <w:sz w:val="16"/>
          <w:szCs w:val="16"/>
        </w:rPr>
        <w:footnoteRef/>
      </w:r>
      <w:r w:rsidRPr="00B93369">
        <w:rPr>
          <w:sz w:val="16"/>
          <w:szCs w:val="16"/>
        </w:rPr>
        <w:t xml:space="preserve"> Od 1. července 2024 nově nepotřebují v Česku pracovní povolení ani zaměstnanecké karty cizinci z některých ekonomicky vyspělých </w:t>
      </w:r>
      <w:r w:rsidRPr="00B93369">
        <w:rPr>
          <w:color w:val="0D0D0D" w:themeColor="text1" w:themeTint="F2"/>
          <w:sz w:val="16"/>
          <w:szCs w:val="16"/>
        </w:rPr>
        <w:t xml:space="preserve">zemí mimo EU (USA, Velká Británie, Kanada, Austrálie, Nový Zéland, Japonsko, Jižní Korea, Izrael a Singapur). Letos na konci října pracovalo z těchto zemí v Česku v zaměstnaneckém postavení 9,7 tis. osob, </w:t>
      </w:r>
      <w:r>
        <w:rPr>
          <w:color w:val="0D0D0D" w:themeColor="text1" w:themeTint="F2"/>
          <w:sz w:val="16"/>
          <w:szCs w:val="16"/>
        </w:rPr>
        <w:t>tedy srovnatelný počet jako ve stejném období roku 2024.</w:t>
      </w:r>
    </w:p>
  </w:footnote>
  <w:footnote w:id="13">
    <w:p w14:paraId="2995B4A8" w14:textId="77777777" w:rsidR="000C2CF1" w:rsidRDefault="000C2CF1" w:rsidP="000C2CF1">
      <w:pPr>
        <w:pStyle w:val="Textpoznpodarou"/>
      </w:pPr>
      <w:r w:rsidRPr="00432D0C">
        <w:rPr>
          <w:rStyle w:val="Znakapoznpodarou"/>
          <w:sz w:val="16"/>
          <w:szCs w:val="16"/>
        </w:rPr>
        <w:footnoteRef/>
      </w:r>
      <w:r w:rsidRPr="00432D0C">
        <w:rPr>
          <w:sz w:val="16"/>
          <w:szCs w:val="16"/>
        </w:rPr>
        <w:t xml:space="preserve"> </w:t>
      </w:r>
      <w:r w:rsidRPr="00590A80">
        <w:rPr>
          <w:color w:val="0D0D0D" w:themeColor="text1" w:themeTint="F2"/>
          <w:sz w:val="16"/>
          <w:szCs w:val="16"/>
        </w:rPr>
        <w:t xml:space="preserve">Vedle toho evidovalo MPO ve stejném období 135 tis. cizích státních příslušníků s živnostenským oprávněním v Česku (meziročně </w:t>
      </w:r>
      <w:r>
        <w:rPr>
          <w:color w:val="0D0D0D" w:themeColor="text1" w:themeTint="F2"/>
          <w:sz w:val="16"/>
          <w:szCs w:val="16"/>
        </w:rPr>
        <w:br/>
      </w:r>
      <w:r w:rsidRPr="00590A80">
        <w:rPr>
          <w:color w:val="0D0D0D" w:themeColor="text1" w:themeTint="F2"/>
          <w:sz w:val="16"/>
          <w:szCs w:val="16"/>
        </w:rPr>
        <w:t>o 10 % více). Na tomto růstu se skoro ze dvou třetin podíleli Ukrajinci, jichž v Česku podnikalo 48 tis., s odstupem následovali Slováci (27 tis.) a Vietnamci (21 tis.).</w:t>
      </w:r>
    </w:p>
  </w:footnote>
  <w:footnote w:id="14">
    <w:p w14:paraId="6F405597" w14:textId="77777777" w:rsidR="000C2CF1" w:rsidRPr="001C35A3" w:rsidRDefault="000C2CF1" w:rsidP="000C2CF1">
      <w:pPr>
        <w:pStyle w:val="Textpoznpodarou"/>
        <w:rPr>
          <w:sz w:val="16"/>
          <w:szCs w:val="16"/>
        </w:rPr>
      </w:pPr>
      <w:r w:rsidRPr="001C35A3">
        <w:rPr>
          <w:rStyle w:val="Znakapoznpodarou"/>
          <w:sz w:val="16"/>
          <w:szCs w:val="16"/>
        </w:rPr>
        <w:footnoteRef/>
      </w:r>
      <w:r w:rsidRPr="001C35A3">
        <w:rPr>
          <w:sz w:val="16"/>
          <w:szCs w:val="16"/>
        </w:rPr>
        <w:t xml:space="preserve"> Tento region s poměrně silným zastoupení</w:t>
      </w:r>
      <w:r>
        <w:rPr>
          <w:sz w:val="16"/>
          <w:szCs w:val="16"/>
        </w:rPr>
        <w:t>m</w:t>
      </w:r>
      <w:r w:rsidRPr="001C35A3">
        <w:rPr>
          <w:sz w:val="16"/>
          <w:szCs w:val="16"/>
        </w:rPr>
        <w:t xml:space="preserve"> průmyslu čelí v poslední době relativně vyšší nezaměstnanosti a úbytku pracovních míst (patrně i v subdodavatelských firmách automobilového průmyslu). </w:t>
      </w:r>
    </w:p>
  </w:footnote>
  <w:footnote w:id="15">
    <w:p w14:paraId="1220636A" w14:textId="77777777" w:rsidR="000C2CF1" w:rsidRPr="00436B10" w:rsidRDefault="000C2CF1" w:rsidP="000C2CF1">
      <w:pPr>
        <w:pStyle w:val="Textpoznpodarou"/>
        <w:rPr>
          <w:sz w:val="16"/>
          <w:szCs w:val="16"/>
        </w:rPr>
      </w:pPr>
      <w:r w:rsidRPr="00436B10">
        <w:rPr>
          <w:rStyle w:val="Znakapoznpodarou"/>
          <w:sz w:val="16"/>
          <w:szCs w:val="16"/>
        </w:rPr>
        <w:footnoteRef/>
      </w:r>
      <w:r w:rsidRPr="00436B10">
        <w:rPr>
          <w:sz w:val="16"/>
          <w:szCs w:val="16"/>
        </w:rPr>
        <w:t xml:space="preserve"> </w:t>
      </w:r>
      <w:r w:rsidRPr="00436B10">
        <w:rPr>
          <w:spacing w:val="-5"/>
          <w:sz w:val="16"/>
          <w:szCs w:val="16"/>
        </w:rPr>
        <w:t>Dle údajů VŠPS se jejich počet ve 3. čtvrtletí 2025 meziročně zvýšil o 5 %, což mohlo souviset se silným přílivem pracovníků ze zemí mimo EU.</w:t>
      </w:r>
      <w:r w:rsidRPr="00436B10">
        <w:rPr>
          <w:sz w:val="16"/>
          <w:szCs w:val="16"/>
        </w:rPr>
        <w:t xml:space="preserve"> </w:t>
      </w:r>
    </w:p>
  </w:footnote>
  <w:footnote w:id="16">
    <w:p w14:paraId="7F92A029" w14:textId="77777777" w:rsidR="000C2CF1" w:rsidRPr="00A47DAB" w:rsidRDefault="000C2CF1" w:rsidP="000C2CF1">
      <w:pPr>
        <w:pStyle w:val="Textpoznpodarou"/>
        <w:rPr>
          <w:sz w:val="16"/>
          <w:szCs w:val="16"/>
        </w:rPr>
      </w:pPr>
      <w:r w:rsidRPr="00A47DAB">
        <w:rPr>
          <w:rStyle w:val="Znakapoznpodarou"/>
          <w:sz w:val="16"/>
          <w:szCs w:val="16"/>
        </w:rPr>
        <w:footnoteRef/>
      </w:r>
      <w:r w:rsidRPr="00A47DAB">
        <w:rPr>
          <w:sz w:val="16"/>
          <w:szCs w:val="16"/>
        </w:rPr>
        <w:t xml:space="preserve"> Jedná se o údaje v novém modelu sezónního oči</w:t>
      </w:r>
      <w:r>
        <w:rPr>
          <w:sz w:val="16"/>
          <w:szCs w:val="16"/>
        </w:rPr>
        <w:t xml:space="preserve">štění – pomocí </w:t>
      </w:r>
      <w:proofErr w:type="spellStart"/>
      <w:r>
        <w:rPr>
          <w:sz w:val="16"/>
          <w:szCs w:val="16"/>
        </w:rPr>
        <w:t>trendcyklu</w:t>
      </w:r>
      <w:proofErr w:type="spellEnd"/>
      <w:r>
        <w:rPr>
          <w:sz w:val="16"/>
          <w:szCs w:val="16"/>
        </w:rPr>
        <w:t>. Inovo</w:t>
      </w:r>
      <w:r w:rsidRPr="00A47DAB">
        <w:rPr>
          <w:sz w:val="16"/>
          <w:szCs w:val="16"/>
        </w:rPr>
        <w:t>vaný model očištění lépe odráží změny charakteru trhu práce a sezónnosti.</w:t>
      </w:r>
      <w:r>
        <w:rPr>
          <w:sz w:val="16"/>
          <w:szCs w:val="16"/>
        </w:rPr>
        <w:t xml:space="preserve"> Obdobně je očištěna i měsíční míra nezaměstnanosti.</w:t>
      </w:r>
    </w:p>
  </w:footnote>
  <w:footnote w:id="17">
    <w:p w14:paraId="3717501D" w14:textId="77777777" w:rsidR="000C2CF1" w:rsidRPr="004E516A" w:rsidRDefault="000C2CF1" w:rsidP="000C2CF1">
      <w:pPr>
        <w:pStyle w:val="Textpoznpodarou"/>
        <w:rPr>
          <w:color w:val="0D0D0D" w:themeColor="text1" w:themeTint="F2"/>
          <w:sz w:val="16"/>
          <w:szCs w:val="16"/>
        </w:rPr>
      </w:pPr>
      <w:r w:rsidRPr="004E516A">
        <w:rPr>
          <w:rStyle w:val="Znakapoznpodarou"/>
          <w:color w:val="0D0D0D" w:themeColor="text1" w:themeTint="F2"/>
          <w:sz w:val="16"/>
          <w:szCs w:val="16"/>
        </w:rPr>
        <w:footnoteRef/>
      </w:r>
      <w:r w:rsidRPr="004E516A">
        <w:rPr>
          <w:color w:val="0D0D0D" w:themeColor="text1" w:themeTint="F2"/>
          <w:sz w:val="16"/>
          <w:szCs w:val="16"/>
        </w:rPr>
        <w:t xml:space="preserve"> Dle údajů z VŠPS tuto formu práce </w:t>
      </w:r>
      <w:r>
        <w:rPr>
          <w:color w:val="0D0D0D" w:themeColor="text1" w:themeTint="F2"/>
          <w:sz w:val="16"/>
          <w:szCs w:val="16"/>
        </w:rPr>
        <w:t xml:space="preserve">praktikovalo ve </w:t>
      </w:r>
      <w:r w:rsidRPr="004E516A">
        <w:rPr>
          <w:color w:val="0D0D0D" w:themeColor="text1" w:themeTint="F2"/>
          <w:sz w:val="16"/>
          <w:szCs w:val="16"/>
        </w:rPr>
        <w:t xml:space="preserve">3. čtvrtletí 2025 v Česku 355 tis. žen, resp. 14,5 % pracujících žen (a 5,3 % mužů, resp. 149 tis.). </w:t>
      </w:r>
      <w:r>
        <w:rPr>
          <w:color w:val="0D0D0D" w:themeColor="text1" w:themeTint="F2"/>
          <w:sz w:val="16"/>
          <w:szCs w:val="16"/>
        </w:rPr>
        <w:t>J</w:t>
      </w:r>
      <w:r w:rsidRPr="004E516A">
        <w:rPr>
          <w:color w:val="0D0D0D" w:themeColor="text1" w:themeTint="F2"/>
          <w:sz w:val="16"/>
          <w:szCs w:val="16"/>
        </w:rPr>
        <w:t xml:space="preserve">ejich počet se </w:t>
      </w:r>
      <w:r>
        <w:rPr>
          <w:color w:val="0D0D0D" w:themeColor="text1" w:themeTint="F2"/>
          <w:sz w:val="16"/>
          <w:szCs w:val="16"/>
        </w:rPr>
        <w:t xml:space="preserve">však </w:t>
      </w:r>
      <w:r w:rsidRPr="004E516A">
        <w:rPr>
          <w:color w:val="0D0D0D" w:themeColor="text1" w:themeTint="F2"/>
          <w:sz w:val="16"/>
          <w:szCs w:val="16"/>
        </w:rPr>
        <w:t>letos meziročně zvyšoval mírněji než v předchozích dvou letech (</w:t>
      </w:r>
      <w:r>
        <w:rPr>
          <w:color w:val="0D0D0D" w:themeColor="text1" w:themeTint="F2"/>
          <w:sz w:val="16"/>
          <w:szCs w:val="16"/>
        </w:rPr>
        <w:t xml:space="preserve">růst </w:t>
      </w:r>
      <w:r w:rsidRPr="004E516A">
        <w:rPr>
          <w:color w:val="0D0D0D" w:themeColor="text1" w:themeTint="F2"/>
          <w:sz w:val="16"/>
          <w:szCs w:val="16"/>
        </w:rPr>
        <w:t>nastal jen ve starších věkových skupinách žen – nad 45 let), u mužů dokonce celkově mírně poklesl.</w:t>
      </w:r>
      <w:r>
        <w:rPr>
          <w:color w:val="0D0D0D" w:themeColor="text1" w:themeTint="F2"/>
          <w:sz w:val="16"/>
          <w:szCs w:val="16"/>
        </w:rPr>
        <w:t xml:space="preserve"> V evropském kontextu tak Česko stále patří k zemím s výrazně podprůměrným zastoupením zkrácených úvazků. V EU takto ve 2. čtvrtletí 2025 pracovalo 29 % žen, v Německu a Rakousku 50 % žen, v Nizozemsku </w:t>
      </w:r>
      <w:r w:rsidRPr="0082433E">
        <w:rPr>
          <w:color w:val="0D0D0D" w:themeColor="text1" w:themeTint="F2"/>
          <w:sz w:val="16"/>
          <w:szCs w:val="16"/>
        </w:rPr>
        <w:t>dokonce přes 60 %. Na druhou stranu v rámci států, jež do Unie vstoupily až po roce 2000, měly oproti Česku vyšší podíl jen Estonsko (20 %) a Malta (19 %).</w:t>
      </w:r>
      <w:r>
        <w:rPr>
          <w:color w:val="0D0D0D" w:themeColor="text1" w:themeTint="F2"/>
          <w:sz w:val="16"/>
          <w:szCs w:val="16"/>
        </w:rPr>
        <w:t xml:space="preserve"> Meziročně se tento podíl zvýšil nejvíce v Lucembursku (+2,3 p b.) a Maďarsku (+1,3 p. b.), v Česku pak o 0,4. b.</w:t>
      </w:r>
    </w:p>
  </w:footnote>
  <w:footnote w:id="18">
    <w:p w14:paraId="14692EE5" w14:textId="77777777" w:rsidR="000C2CF1" w:rsidRPr="00DE6088" w:rsidRDefault="000C2CF1" w:rsidP="000C2CF1">
      <w:pPr>
        <w:pStyle w:val="Textpoznpodarou"/>
        <w:rPr>
          <w:sz w:val="16"/>
          <w:szCs w:val="16"/>
        </w:rPr>
      </w:pPr>
      <w:r w:rsidRPr="00DE6088">
        <w:rPr>
          <w:rStyle w:val="Znakapoznpodarou"/>
          <w:sz w:val="16"/>
          <w:szCs w:val="16"/>
        </w:rPr>
        <w:footnoteRef/>
      </w:r>
      <w:r w:rsidRPr="00DE6088">
        <w:rPr>
          <w:sz w:val="16"/>
          <w:szCs w:val="16"/>
        </w:rPr>
        <w:t xml:space="preserve"> S </w:t>
      </w:r>
      <w:r>
        <w:rPr>
          <w:sz w:val="16"/>
          <w:szCs w:val="16"/>
        </w:rPr>
        <w:t>rostoucí</w:t>
      </w:r>
      <w:r w:rsidRPr="00DE6088">
        <w:rPr>
          <w:sz w:val="16"/>
          <w:szCs w:val="16"/>
        </w:rPr>
        <w:t xml:space="preserve"> vzděl</w:t>
      </w:r>
      <w:r>
        <w:rPr>
          <w:sz w:val="16"/>
          <w:szCs w:val="16"/>
        </w:rPr>
        <w:t>aností s</w:t>
      </w:r>
      <w:r w:rsidRPr="00DE6088">
        <w:rPr>
          <w:sz w:val="16"/>
          <w:szCs w:val="16"/>
        </w:rPr>
        <w:t>e obecně pojí i vyšší p</w:t>
      </w:r>
      <w:r>
        <w:rPr>
          <w:sz w:val="16"/>
          <w:szCs w:val="16"/>
        </w:rPr>
        <w:t>a</w:t>
      </w:r>
      <w:r w:rsidRPr="00DE6088">
        <w:rPr>
          <w:sz w:val="16"/>
          <w:szCs w:val="16"/>
        </w:rPr>
        <w:t>r</w:t>
      </w:r>
      <w:r>
        <w:rPr>
          <w:sz w:val="16"/>
          <w:szCs w:val="16"/>
        </w:rPr>
        <w:t>t</w:t>
      </w:r>
      <w:r w:rsidRPr="00DE6088">
        <w:rPr>
          <w:sz w:val="16"/>
          <w:szCs w:val="16"/>
        </w:rPr>
        <w:t>icipace na trhu práce, zejména pak ve vyšší</w:t>
      </w:r>
      <w:r>
        <w:rPr>
          <w:sz w:val="16"/>
          <w:szCs w:val="16"/>
        </w:rPr>
        <w:t xml:space="preserve">m středním </w:t>
      </w:r>
      <w:r w:rsidRPr="00DE6088">
        <w:rPr>
          <w:sz w:val="16"/>
          <w:szCs w:val="16"/>
        </w:rPr>
        <w:t xml:space="preserve">či postproduktivním věku. </w:t>
      </w:r>
      <w:r w:rsidRPr="00DE6088">
        <w:rPr>
          <w:spacing w:val="-4"/>
          <w:sz w:val="16"/>
          <w:szCs w:val="16"/>
        </w:rPr>
        <w:t xml:space="preserve">Dle údajů VŠPS </w:t>
      </w:r>
      <w:r>
        <w:rPr>
          <w:spacing w:val="-4"/>
          <w:sz w:val="16"/>
          <w:szCs w:val="16"/>
        </w:rPr>
        <w:t>přib</w:t>
      </w:r>
      <w:r w:rsidRPr="00DE6088">
        <w:rPr>
          <w:spacing w:val="-4"/>
          <w:sz w:val="16"/>
          <w:szCs w:val="16"/>
        </w:rPr>
        <w:t xml:space="preserve">ylo letos </w:t>
      </w:r>
      <w:r>
        <w:rPr>
          <w:spacing w:val="-4"/>
          <w:sz w:val="16"/>
          <w:szCs w:val="16"/>
        </w:rPr>
        <w:t>ve 3</w:t>
      </w:r>
      <w:r w:rsidRPr="00DE6088">
        <w:rPr>
          <w:spacing w:val="-4"/>
          <w:sz w:val="16"/>
          <w:szCs w:val="16"/>
        </w:rPr>
        <w:t xml:space="preserve">. čtvrtletí </w:t>
      </w:r>
      <w:r>
        <w:rPr>
          <w:spacing w:val="-4"/>
          <w:sz w:val="16"/>
          <w:szCs w:val="16"/>
        </w:rPr>
        <w:t>vysokoškolsky</w:t>
      </w:r>
      <w:r w:rsidRPr="00DE6088">
        <w:rPr>
          <w:spacing w:val="-4"/>
          <w:sz w:val="16"/>
          <w:szCs w:val="16"/>
        </w:rPr>
        <w:t xml:space="preserve"> vzděl</w:t>
      </w:r>
      <w:r>
        <w:rPr>
          <w:spacing w:val="-4"/>
          <w:sz w:val="16"/>
          <w:szCs w:val="16"/>
        </w:rPr>
        <w:t>a</w:t>
      </w:r>
      <w:r w:rsidRPr="00DE6088">
        <w:rPr>
          <w:spacing w:val="-4"/>
          <w:sz w:val="16"/>
          <w:szCs w:val="16"/>
        </w:rPr>
        <w:t xml:space="preserve">ných pracujících žen meziročně o </w:t>
      </w:r>
      <w:r>
        <w:rPr>
          <w:spacing w:val="-4"/>
          <w:sz w:val="16"/>
          <w:szCs w:val="16"/>
        </w:rPr>
        <w:t>54</w:t>
      </w:r>
      <w:r w:rsidRPr="00DE6088">
        <w:rPr>
          <w:spacing w:val="-4"/>
          <w:sz w:val="16"/>
          <w:szCs w:val="16"/>
        </w:rPr>
        <w:t xml:space="preserve"> tis.</w:t>
      </w:r>
      <w:r>
        <w:rPr>
          <w:spacing w:val="-4"/>
          <w:sz w:val="16"/>
          <w:szCs w:val="16"/>
        </w:rPr>
        <w:t xml:space="preserve"> (u mužů činil přírůstek jen 12 tis.).</w:t>
      </w:r>
    </w:p>
  </w:footnote>
  <w:footnote w:id="19">
    <w:p w14:paraId="2238D02C" w14:textId="77777777" w:rsidR="000C2CF1" w:rsidRPr="002D4EC7" w:rsidRDefault="000C2CF1" w:rsidP="000C2CF1">
      <w:pPr>
        <w:pStyle w:val="Textpoznpodarou"/>
        <w:rPr>
          <w:sz w:val="16"/>
          <w:szCs w:val="16"/>
        </w:rPr>
      </w:pPr>
      <w:r w:rsidRPr="002D4EC7">
        <w:rPr>
          <w:rStyle w:val="Znakapoznpodarou"/>
          <w:sz w:val="16"/>
          <w:szCs w:val="16"/>
        </w:rPr>
        <w:footnoteRef/>
      </w:r>
      <w:r w:rsidRPr="002D4EC7">
        <w:rPr>
          <w:sz w:val="16"/>
          <w:szCs w:val="16"/>
        </w:rPr>
        <w:t xml:space="preserve"> </w:t>
      </w:r>
      <w:r w:rsidRPr="002D4EC7">
        <w:rPr>
          <w:spacing w:val="-4"/>
          <w:sz w:val="16"/>
          <w:szCs w:val="16"/>
        </w:rPr>
        <w:t xml:space="preserve">Tomu odpovídá i nárůst pracujících žen ve věku 60 a více let. Ten </w:t>
      </w:r>
      <w:r>
        <w:rPr>
          <w:spacing w:val="-4"/>
          <w:sz w:val="16"/>
          <w:szCs w:val="16"/>
        </w:rPr>
        <w:t>činil</w:t>
      </w:r>
      <w:r w:rsidRPr="002D4EC7">
        <w:rPr>
          <w:spacing w:val="-4"/>
          <w:sz w:val="16"/>
          <w:szCs w:val="16"/>
        </w:rPr>
        <w:t xml:space="preserve"> dle údajů VŠPS ve </w:t>
      </w:r>
      <w:r>
        <w:rPr>
          <w:spacing w:val="-4"/>
          <w:sz w:val="16"/>
          <w:szCs w:val="16"/>
        </w:rPr>
        <w:t>3</w:t>
      </w:r>
      <w:r w:rsidRPr="002D4EC7">
        <w:rPr>
          <w:spacing w:val="-4"/>
          <w:sz w:val="16"/>
          <w:szCs w:val="16"/>
        </w:rPr>
        <w:t xml:space="preserve">. čtvrtletí 2025 meziročně </w:t>
      </w:r>
      <w:r>
        <w:rPr>
          <w:spacing w:val="-4"/>
          <w:sz w:val="16"/>
          <w:szCs w:val="16"/>
        </w:rPr>
        <w:t>14</w:t>
      </w:r>
      <w:r w:rsidRPr="002D4EC7">
        <w:rPr>
          <w:spacing w:val="-4"/>
          <w:sz w:val="16"/>
          <w:szCs w:val="16"/>
        </w:rPr>
        <w:t xml:space="preserve"> % (+</w:t>
      </w:r>
      <w:r>
        <w:rPr>
          <w:spacing w:val="-4"/>
          <w:sz w:val="16"/>
          <w:szCs w:val="16"/>
        </w:rPr>
        <w:t>35</w:t>
      </w:r>
      <w:r w:rsidRPr="002D4EC7">
        <w:rPr>
          <w:spacing w:val="-4"/>
          <w:sz w:val="16"/>
          <w:szCs w:val="16"/>
        </w:rPr>
        <w:t xml:space="preserve"> tis. osob).</w:t>
      </w:r>
    </w:p>
  </w:footnote>
  <w:footnote w:id="20">
    <w:p w14:paraId="7896FEAC" w14:textId="77777777" w:rsidR="000C2CF1" w:rsidRPr="00126939" w:rsidRDefault="000C2CF1" w:rsidP="000C2CF1">
      <w:pPr>
        <w:pStyle w:val="Textpoznpodarou"/>
        <w:rPr>
          <w:sz w:val="16"/>
          <w:szCs w:val="16"/>
        </w:rPr>
      </w:pPr>
      <w:r w:rsidRPr="00126939">
        <w:rPr>
          <w:rStyle w:val="Znakapoznpodarou"/>
          <w:sz w:val="16"/>
          <w:szCs w:val="16"/>
        </w:rPr>
        <w:footnoteRef/>
      </w:r>
      <w:r w:rsidRPr="00126939">
        <w:rPr>
          <w:sz w:val="16"/>
          <w:szCs w:val="16"/>
        </w:rPr>
        <w:t xml:space="preserve"> </w:t>
      </w:r>
      <w:r>
        <w:rPr>
          <w:sz w:val="16"/>
          <w:szCs w:val="16"/>
        </w:rPr>
        <w:t>Není-li uvedeno jinak, jsou dále použity</w:t>
      </w:r>
      <w:r w:rsidRPr="00126939">
        <w:rPr>
          <w:sz w:val="16"/>
          <w:szCs w:val="16"/>
        </w:rPr>
        <w:t xml:space="preserve"> sezónně očištěné údaje.</w:t>
      </w:r>
    </w:p>
  </w:footnote>
  <w:footnote w:id="21">
    <w:p w14:paraId="53B512C1" w14:textId="77777777" w:rsidR="000C2CF1" w:rsidRPr="00492B7E" w:rsidRDefault="000C2CF1" w:rsidP="000C2CF1">
      <w:pPr>
        <w:spacing w:after="0" w:line="240" w:lineRule="auto"/>
        <w:jc w:val="left"/>
        <w:textAlignment w:val="baseline"/>
        <w:rPr>
          <w:rFonts w:cs="Arial"/>
          <w:b/>
          <w:bCs/>
          <w:color w:val="0D0D0D" w:themeColor="text1" w:themeTint="F2"/>
          <w:sz w:val="16"/>
          <w:szCs w:val="16"/>
        </w:rPr>
      </w:pPr>
      <w:r w:rsidRPr="0015417D">
        <w:rPr>
          <w:rStyle w:val="Znakapoznpodarou"/>
          <w:color w:val="0D0D0D" w:themeColor="text1" w:themeTint="F2"/>
          <w:sz w:val="16"/>
          <w:szCs w:val="16"/>
        </w:rPr>
        <w:footnoteRef/>
      </w:r>
      <w:r w:rsidRPr="0015417D">
        <w:rPr>
          <w:color w:val="0D0D0D" w:themeColor="text1" w:themeTint="F2"/>
          <w:sz w:val="16"/>
          <w:szCs w:val="16"/>
        </w:rPr>
        <w:t xml:space="preserve"> </w:t>
      </w:r>
      <w:r w:rsidRPr="0015417D">
        <w:rPr>
          <w:color w:val="0D0D0D" w:themeColor="text1" w:themeTint="F2"/>
          <w:spacing w:val="-8"/>
          <w:sz w:val="16"/>
          <w:szCs w:val="16"/>
        </w:rPr>
        <w:t>Dle konjunkturálního</w:t>
      </w:r>
      <w:r w:rsidRPr="0015417D">
        <w:rPr>
          <w:color w:val="0D0D0D" w:themeColor="text1" w:themeTint="F2"/>
          <w:spacing w:val="-4"/>
          <w:sz w:val="16"/>
          <w:szCs w:val="16"/>
        </w:rPr>
        <w:t xml:space="preserve"> průzkumu z listopadu 2025 </w:t>
      </w:r>
      <w:r w:rsidRPr="0015417D">
        <w:rPr>
          <w:rStyle w:val="normaltextrun"/>
          <w:rFonts w:eastAsia="MS Gothic" w:cs="Arial"/>
          <w:color w:val="0D0D0D" w:themeColor="text1" w:themeTint="F2"/>
          <w:sz w:val="16"/>
          <w:szCs w:val="16"/>
        </w:rPr>
        <w:t xml:space="preserve">předpokládalo (bez zohlednění sezónnosti) v tříměsíčním horizontu snižování počtu zaměstnanců 21 % firem ve službách, 16 % shodně v průmyslu i stavebnictví a jen 8 % v obchodě. Naopak úmysl rozšiřovat stavy pracovníků byl nejzřetelnější </w:t>
      </w:r>
      <w:r>
        <w:rPr>
          <w:rStyle w:val="normaltextrun"/>
          <w:rFonts w:eastAsia="MS Gothic" w:cs="Arial"/>
          <w:color w:val="0D0D0D" w:themeColor="text1" w:themeTint="F2"/>
          <w:sz w:val="16"/>
          <w:szCs w:val="16"/>
        </w:rPr>
        <w:t xml:space="preserve">v </w:t>
      </w:r>
      <w:r w:rsidRPr="0015417D">
        <w:rPr>
          <w:rStyle w:val="normaltextrun"/>
          <w:rFonts w:eastAsia="MS Gothic" w:cs="Arial"/>
          <w:color w:val="0D0D0D" w:themeColor="text1" w:themeTint="F2"/>
          <w:sz w:val="16"/>
          <w:szCs w:val="16"/>
        </w:rPr>
        <w:t xml:space="preserve">obchodě (+15 %), </w:t>
      </w:r>
      <w:r>
        <w:rPr>
          <w:rStyle w:val="normaltextrun"/>
          <w:rFonts w:eastAsia="MS Gothic" w:cs="Arial"/>
          <w:color w:val="0D0D0D" w:themeColor="text1" w:themeTint="F2"/>
          <w:sz w:val="16"/>
          <w:szCs w:val="16"/>
        </w:rPr>
        <w:t xml:space="preserve">ve </w:t>
      </w:r>
      <w:r w:rsidRPr="0015417D">
        <w:rPr>
          <w:rStyle w:val="normaltextrun"/>
          <w:rFonts w:eastAsia="MS Gothic" w:cs="Arial"/>
          <w:color w:val="0D0D0D" w:themeColor="text1" w:themeTint="F2"/>
          <w:sz w:val="16"/>
          <w:szCs w:val="16"/>
        </w:rPr>
        <w:t>vybraných službách i stavebnictví (shodně okolo 12 %)</w:t>
      </w:r>
      <w:r>
        <w:rPr>
          <w:rStyle w:val="normaltextrun"/>
          <w:rFonts w:eastAsia="MS Gothic" w:cs="Arial"/>
          <w:color w:val="0D0D0D" w:themeColor="text1" w:themeTint="F2"/>
          <w:sz w:val="16"/>
          <w:szCs w:val="16"/>
        </w:rPr>
        <w:t>,</w:t>
      </w:r>
      <w:r w:rsidRPr="0015417D">
        <w:rPr>
          <w:rStyle w:val="normaltextrun"/>
          <w:rFonts w:eastAsia="MS Gothic" w:cs="Arial"/>
          <w:color w:val="0D0D0D" w:themeColor="text1" w:themeTint="F2"/>
          <w:sz w:val="16"/>
          <w:szCs w:val="16"/>
        </w:rPr>
        <w:t xml:space="preserve"> v průmyslu šlo však jen</w:t>
      </w:r>
      <w:r>
        <w:rPr>
          <w:rStyle w:val="normaltextrun"/>
          <w:rFonts w:eastAsia="MS Gothic" w:cs="Arial"/>
          <w:color w:val="0D0D0D" w:themeColor="text1" w:themeTint="F2"/>
          <w:sz w:val="16"/>
          <w:szCs w:val="16"/>
        </w:rPr>
        <w:t xml:space="preserve"> </w:t>
      </w:r>
      <w:r>
        <w:rPr>
          <w:rStyle w:val="normaltextrun"/>
          <w:rFonts w:eastAsia="MS Gothic" w:cs="Arial"/>
          <w:color w:val="0D0D0D" w:themeColor="text1" w:themeTint="F2"/>
          <w:sz w:val="16"/>
          <w:szCs w:val="16"/>
        </w:rPr>
        <w:br/>
        <w:t>o</w:t>
      </w:r>
      <w:r w:rsidRPr="0015417D">
        <w:rPr>
          <w:rStyle w:val="normaltextrun"/>
          <w:rFonts w:eastAsia="MS Gothic" w:cs="Arial"/>
          <w:color w:val="0D0D0D" w:themeColor="text1" w:themeTint="F2"/>
          <w:sz w:val="16"/>
          <w:szCs w:val="16"/>
        </w:rPr>
        <w:t xml:space="preserve"> 7 % firem.</w:t>
      </w:r>
    </w:p>
  </w:footnote>
  <w:footnote w:id="22">
    <w:p w14:paraId="649D6322" w14:textId="77777777" w:rsidR="000C2CF1" w:rsidRPr="00A4613D" w:rsidRDefault="000C2CF1" w:rsidP="000C2CF1">
      <w:pPr>
        <w:pStyle w:val="Textpoznpodarou"/>
        <w:rPr>
          <w:sz w:val="16"/>
          <w:szCs w:val="16"/>
        </w:rPr>
      </w:pPr>
      <w:r w:rsidRPr="00A82316">
        <w:rPr>
          <w:rStyle w:val="Znakapoznpodarou"/>
          <w:color w:val="0D0D0D" w:themeColor="text1" w:themeTint="F2"/>
          <w:sz w:val="16"/>
          <w:szCs w:val="16"/>
        </w:rPr>
        <w:footnoteRef/>
      </w:r>
      <w:r w:rsidRPr="00A82316">
        <w:rPr>
          <w:color w:val="0D0D0D" w:themeColor="text1" w:themeTint="F2"/>
          <w:sz w:val="16"/>
          <w:szCs w:val="16"/>
        </w:rPr>
        <w:t xml:space="preserve"> Podniky mohly uvést více bariér současně.</w:t>
      </w:r>
    </w:p>
  </w:footnote>
  <w:footnote w:id="23">
    <w:p w14:paraId="04F0F435" w14:textId="77777777" w:rsidR="000C2CF1" w:rsidRPr="004E68B1" w:rsidRDefault="000C2CF1" w:rsidP="000C2CF1">
      <w:pPr>
        <w:pStyle w:val="Textpoznpodarou"/>
        <w:rPr>
          <w:spacing w:val="-3"/>
          <w:sz w:val="16"/>
          <w:szCs w:val="16"/>
        </w:rPr>
      </w:pPr>
      <w:r w:rsidRPr="004E68B1">
        <w:rPr>
          <w:rStyle w:val="Znakapoznpodarou"/>
          <w:spacing w:val="-3"/>
          <w:sz w:val="16"/>
          <w:szCs w:val="16"/>
        </w:rPr>
        <w:footnoteRef/>
      </w:r>
      <w:r>
        <w:rPr>
          <w:spacing w:val="-3"/>
          <w:sz w:val="16"/>
          <w:szCs w:val="16"/>
        </w:rPr>
        <w:t xml:space="preserve"> Ú</w:t>
      </w:r>
      <w:r w:rsidRPr="004E68B1">
        <w:rPr>
          <w:spacing w:val="-3"/>
          <w:sz w:val="16"/>
          <w:szCs w:val="16"/>
        </w:rPr>
        <w:t>daje o </w:t>
      </w:r>
      <w:r>
        <w:rPr>
          <w:spacing w:val="-3"/>
          <w:sz w:val="16"/>
          <w:szCs w:val="16"/>
        </w:rPr>
        <w:t xml:space="preserve">mírách </w:t>
      </w:r>
      <w:r w:rsidRPr="004E68B1">
        <w:rPr>
          <w:spacing w:val="-3"/>
          <w:sz w:val="16"/>
          <w:szCs w:val="16"/>
        </w:rPr>
        <w:t xml:space="preserve">nezaměstnanosti </w:t>
      </w:r>
      <w:r>
        <w:rPr>
          <w:spacing w:val="-3"/>
          <w:sz w:val="16"/>
          <w:szCs w:val="16"/>
        </w:rPr>
        <w:t xml:space="preserve">v Česku vycházejí </w:t>
      </w:r>
      <w:r w:rsidRPr="004E68B1">
        <w:rPr>
          <w:spacing w:val="-3"/>
          <w:sz w:val="16"/>
          <w:szCs w:val="16"/>
        </w:rPr>
        <w:t>z</w:t>
      </w:r>
      <w:r>
        <w:rPr>
          <w:spacing w:val="-3"/>
          <w:sz w:val="16"/>
          <w:szCs w:val="16"/>
        </w:rPr>
        <w:t xml:space="preserve"> VŠPS (dle metodiky ILO) a jsou sezónně očištěny pomocí </w:t>
      </w:r>
      <w:proofErr w:type="spellStart"/>
      <w:r>
        <w:rPr>
          <w:spacing w:val="-3"/>
          <w:sz w:val="16"/>
          <w:szCs w:val="16"/>
        </w:rPr>
        <w:t>trendcyklu</w:t>
      </w:r>
      <w:proofErr w:type="spellEnd"/>
      <w:r>
        <w:rPr>
          <w:spacing w:val="-3"/>
          <w:sz w:val="16"/>
          <w:szCs w:val="16"/>
        </w:rPr>
        <w:t>.</w:t>
      </w:r>
    </w:p>
  </w:footnote>
  <w:footnote w:id="24">
    <w:p w14:paraId="2AD55B77" w14:textId="77777777" w:rsidR="000C2CF1" w:rsidRPr="002B5A57" w:rsidRDefault="000C2CF1" w:rsidP="000C2CF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2B5A57">
        <w:rPr>
          <w:rStyle w:val="Znakapoznpodarou"/>
          <w:rFonts w:ascii="Arial" w:hAnsi="Arial" w:cs="Arial"/>
          <w:sz w:val="16"/>
          <w:szCs w:val="16"/>
        </w:rPr>
        <w:footnoteRef/>
      </w:r>
      <w:r w:rsidRPr="002B5A57">
        <w:rPr>
          <w:rFonts w:ascii="Arial" w:hAnsi="Arial" w:cs="Arial"/>
          <w:sz w:val="16"/>
          <w:szCs w:val="16"/>
        </w:rPr>
        <w:t xml:space="preserve"> </w:t>
      </w:r>
      <w:r w:rsidRPr="002B5A57">
        <w:rPr>
          <w:rStyle w:val="eop"/>
          <w:rFonts w:ascii="Arial" w:hAnsi="Arial" w:cs="Arial"/>
          <w:sz w:val="16"/>
          <w:szCs w:val="16"/>
        </w:rPr>
        <w:t xml:space="preserve">Trh práce zůstává i v evropském pohledu celkově stabilizovaný. Letos v říjnu činila sezónně očištěná míra nezaměstnanosti </w:t>
      </w:r>
      <w:r>
        <w:rPr>
          <w:rStyle w:val="eop"/>
          <w:rFonts w:ascii="Arial" w:hAnsi="Arial" w:cs="Arial"/>
          <w:sz w:val="16"/>
          <w:szCs w:val="16"/>
        </w:rPr>
        <w:br/>
      </w:r>
      <w:r w:rsidRPr="002B5A57">
        <w:rPr>
          <w:rStyle w:val="eop"/>
          <w:rFonts w:ascii="Arial" w:hAnsi="Arial" w:cs="Arial"/>
          <w:sz w:val="16"/>
          <w:szCs w:val="16"/>
        </w:rPr>
        <w:t>(15</w:t>
      </w:r>
      <w:r>
        <w:rPr>
          <w:rStyle w:val="eop"/>
          <w:rFonts w:ascii="Arial" w:hAnsi="Arial" w:cs="Arial"/>
          <w:sz w:val="16"/>
          <w:szCs w:val="16"/>
        </w:rPr>
        <w:t>–</w:t>
      </w:r>
      <w:r w:rsidRPr="002B5A57">
        <w:rPr>
          <w:rStyle w:val="eop"/>
          <w:rFonts w:ascii="Arial" w:hAnsi="Arial" w:cs="Arial"/>
          <w:sz w:val="16"/>
          <w:szCs w:val="16"/>
        </w:rPr>
        <w:t xml:space="preserve">74letých) v EU 6,0 % a v eurozóně 6,4 %. Meziměsíčně míry pošesté v řadě </w:t>
      </w:r>
      <w:proofErr w:type="gramStart"/>
      <w:r w:rsidRPr="002B5A57">
        <w:rPr>
          <w:rStyle w:val="eop"/>
          <w:rFonts w:ascii="Arial" w:hAnsi="Arial" w:cs="Arial"/>
          <w:sz w:val="16"/>
          <w:szCs w:val="16"/>
        </w:rPr>
        <w:t>stagnovaly</w:t>
      </w:r>
      <w:proofErr w:type="gramEnd"/>
      <w:r w:rsidRPr="002B5A57">
        <w:rPr>
          <w:rStyle w:val="eop"/>
          <w:rFonts w:ascii="Arial" w:hAnsi="Arial" w:cs="Arial"/>
          <w:sz w:val="16"/>
          <w:szCs w:val="16"/>
        </w:rPr>
        <w:t xml:space="preserve"> a i meziroční změna byla nevýznamná </w:t>
      </w:r>
      <w:r>
        <w:rPr>
          <w:rStyle w:val="eop"/>
          <w:rFonts w:ascii="Arial" w:hAnsi="Arial" w:cs="Arial"/>
          <w:sz w:val="16"/>
          <w:szCs w:val="16"/>
        </w:rPr>
        <w:br/>
      </w:r>
      <w:r w:rsidRPr="002B5A57">
        <w:rPr>
          <w:rStyle w:val="eop"/>
          <w:rFonts w:ascii="Arial" w:hAnsi="Arial" w:cs="Arial"/>
          <w:sz w:val="16"/>
          <w:szCs w:val="16"/>
        </w:rPr>
        <w:t xml:space="preserve">(+0,2 p. b., +0,1 p. b.). Nezaměstnanost v Česku patří v rámci EU dlouhodobě k nejnižším </w:t>
      </w:r>
      <w:r>
        <w:rPr>
          <w:rStyle w:val="eop"/>
          <w:rFonts w:ascii="Arial" w:hAnsi="Arial" w:cs="Arial"/>
          <w:sz w:val="16"/>
          <w:szCs w:val="16"/>
        </w:rPr>
        <w:t>–</w:t>
      </w:r>
      <w:r w:rsidRPr="002B5A57">
        <w:rPr>
          <w:rStyle w:val="eop"/>
          <w:rFonts w:ascii="Arial" w:hAnsi="Arial" w:cs="Arial"/>
          <w:sz w:val="16"/>
          <w:szCs w:val="16"/>
        </w:rPr>
        <w:t xml:space="preserve"> aktuálně spolu s Maltou (3,1 %), Polskem (3,2 %), Bulharskem (3,6 %) a Německem (3,8 %). Nejvyšší je naopak, i přes pokračující pokles, nezaměstnanost ve Španělsku (10,5 %, v čele států Unie je v tomto ohledu již více než čtyři roky v řadě). Stále se zhoršuje situace v některých severských státech – ve Finsku </w:t>
      </w:r>
      <w:r>
        <w:rPr>
          <w:rStyle w:val="eop"/>
          <w:rFonts w:ascii="Arial" w:hAnsi="Arial" w:cs="Arial"/>
          <w:sz w:val="16"/>
          <w:szCs w:val="16"/>
        </w:rPr>
        <w:t xml:space="preserve">i Švédsku se </w:t>
      </w:r>
      <w:r w:rsidRPr="002B5A57">
        <w:rPr>
          <w:rStyle w:val="eop"/>
          <w:rFonts w:ascii="Arial" w:hAnsi="Arial" w:cs="Arial"/>
          <w:sz w:val="16"/>
          <w:szCs w:val="16"/>
        </w:rPr>
        <w:t xml:space="preserve">nezaměstnanost </w:t>
      </w:r>
      <w:r>
        <w:rPr>
          <w:rStyle w:val="eop"/>
          <w:rFonts w:ascii="Arial" w:hAnsi="Arial" w:cs="Arial"/>
          <w:sz w:val="16"/>
          <w:szCs w:val="16"/>
        </w:rPr>
        <w:t xml:space="preserve">blíží </w:t>
      </w:r>
      <w:r w:rsidRPr="002B5A57">
        <w:rPr>
          <w:rStyle w:val="eop"/>
          <w:rFonts w:ascii="Arial" w:hAnsi="Arial" w:cs="Arial"/>
          <w:sz w:val="16"/>
          <w:szCs w:val="16"/>
        </w:rPr>
        <w:t xml:space="preserve">10 </w:t>
      </w:r>
      <w:r>
        <w:rPr>
          <w:rStyle w:val="eop"/>
          <w:rFonts w:ascii="Arial" w:hAnsi="Arial" w:cs="Arial"/>
          <w:sz w:val="16"/>
          <w:szCs w:val="16"/>
        </w:rPr>
        <w:t xml:space="preserve">%. </w:t>
      </w:r>
      <w:r w:rsidRPr="002B5A57">
        <w:rPr>
          <w:rStyle w:val="eop"/>
          <w:rFonts w:ascii="Arial" w:hAnsi="Arial" w:cs="Arial"/>
          <w:sz w:val="16"/>
          <w:szCs w:val="16"/>
        </w:rPr>
        <w:t>Poměrně vysoká nezaměstnanost byla stále i v Řecku (8,6 %), přestože meziročně zde klesla o 1,1 p. b. (nejvíce mezi členskými státy). Pokles nastal celkově ve třetině zemí – mj. dále v Portugalsku (</w:t>
      </w:r>
      <w:r>
        <w:rPr>
          <w:rStyle w:val="eop"/>
          <w:rFonts w:ascii="Arial" w:hAnsi="Arial" w:cs="Arial"/>
          <w:sz w:val="16"/>
          <w:szCs w:val="16"/>
        </w:rPr>
        <w:t>−</w:t>
      </w:r>
      <w:r w:rsidRPr="002B5A57">
        <w:rPr>
          <w:rStyle w:val="eop"/>
          <w:rFonts w:ascii="Arial" w:hAnsi="Arial" w:cs="Arial"/>
          <w:sz w:val="16"/>
          <w:szCs w:val="16"/>
        </w:rPr>
        <w:t xml:space="preserve">0,7), Kypru či Bulharsku (shodně </w:t>
      </w:r>
      <w:r>
        <w:rPr>
          <w:rStyle w:val="eop"/>
          <w:rFonts w:ascii="Arial" w:hAnsi="Arial" w:cs="Arial"/>
          <w:sz w:val="16"/>
          <w:szCs w:val="16"/>
        </w:rPr>
        <w:t>−</w:t>
      </w:r>
      <w:r w:rsidRPr="002B5A57">
        <w:rPr>
          <w:rStyle w:val="eop"/>
          <w:rFonts w:ascii="Arial" w:hAnsi="Arial" w:cs="Arial"/>
          <w:sz w:val="16"/>
          <w:szCs w:val="16"/>
        </w:rPr>
        <w:t>0,5). Největší nárůst naopak kromě Švédska a Finska zasáhl i Slovinsko (+0,9) a Irsko (+0,8).</w:t>
      </w:r>
    </w:p>
  </w:footnote>
  <w:footnote w:id="25">
    <w:p w14:paraId="56229F46" w14:textId="77777777" w:rsidR="000C2CF1" w:rsidRPr="00B10D2E" w:rsidRDefault="000C2CF1" w:rsidP="000C2CF1">
      <w:pPr>
        <w:pStyle w:val="Textpoznpodarou"/>
        <w:rPr>
          <w:sz w:val="16"/>
          <w:szCs w:val="16"/>
        </w:rPr>
      </w:pPr>
      <w:r w:rsidRPr="00B10D2E">
        <w:rPr>
          <w:rStyle w:val="Znakapoznpodarou"/>
          <w:sz w:val="16"/>
          <w:szCs w:val="16"/>
        </w:rPr>
        <w:footnoteRef/>
      </w:r>
      <w:r w:rsidRPr="00B10D2E">
        <w:rPr>
          <w:sz w:val="16"/>
          <w:szCs w:val="16"/>
        </w:rPr>
        <w:t xml:space="preserve"> Meziročně jich ve 3. čtvrtletí přibylo 14 tis. (na 49 tis.), a to podobným vlivem u mužů i žen. Osoby, jež byly bez práce déle než rok, se na celkovém počtu nezaměstnaných aktuálně podílely 31 %</w:t>
      </w:r>
      <w:r>
        <w:rPr>
          <w:sz w:val="16"/>
          <w:szCs w:val="16"/>
        </w:rPr>
        <w:t xml:space="preserve"> (o rok dříve 25 %), což je</w:t>
      </w:r>
      <w:r w:rsidRPr="00B10D2E">
        <w:rPr>
          <w:color w:val="0D0D0D" w:themeColor="text1" w:themeTint="F2"/>
          <w:sz w:val="16"/>
          <w:szCs w:val="16"/>
        </w:rPr>
        <w:t xml:space="preserve"> v dlouhodobém i mezinárodním kontextu podprůměrná hodnota.</w:t>
      </w:r>
    </w:p>
  </w:footnote>
  <w:footnote w:id="26">
    <w:p w14:paraId="09451F5E" w14:textId="77777777" w:rsidR="000C2CF1" w:rsidRPr="004A5CB3" w:rsidRDefault="000C2CF1" w:rsidP="000C2CF1">
      <w:pPr>
        <w:pStyle w:val="Textpoznpodarou"/>
        <w:rPr>
          <w:sz w:val="16"/>
          <w:szCs w:val="16"/>
        </w:rPr>
      </w:pPr>
      <w:r w:rsidRPr="004A5CB3"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Navíc pouze pětina z tohoto počtu byla ovšem schop</w:t>
      </w:r>
      <w:r w:rsidRPr="004A5CB3">
        <w:rPr>
          <w:sz w:val="16"/>
          <w:szCs w:val="16"/>
        </w:rPr>
        <w:t>n</w:t>
      </w:r>
      <w:r>
        <w:rPr>
          <w:sz w:val="16"/>
          <w:szCs w:val="16"/>
        </w:rPr>
        <w:t>a</w:t>
      </w:r>
      <w:r w:rsidRPr="004A5CB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nastoupit </w:t>
      </w:r>
      <w:r w:rsidRPr="004A5CB3">
        <w:rPr>
          <w:sz w:val="16"/>
          <w:szCs w:val="16"/>
        </w:rPr>
        <w:t xml:space="preserve">bezprostředně </w:t>
      </w:r>
      <w:r>
        <w:rPr>
          <w:sz w:val="16"/>
          <w:szCs w:val="16"/>
        </w:rPr>
        <w:t xml:space="preserve">(do 14 dnů) </w:t>
      </w:r>
      <w:r w:rsidRPr="004A5CB3">
        <w:rPr>
          <w:sz w:val="16"/>
          <w:szCs w:val="16"/>
        </w:rPr>
        <w:t>do práce</w:t>
      </w:r>
      <w:r>
        <w:rPr>
          <w:sz w:val="16"/>
          <w:szCs w:val="16"/>
        </w:rPr>
        <w:t>.</w:t>
      </w:r>
      <w:r w:rsidRPr="004A5CB3">
        <w:rPr>
          <w:sz w:val="16"/>
          <w:szCs w:val="16"/>
        </w:rPr>
        <w:t xml:space="preserve"> Významnou část pracovních rezerv totiž tvoří studenti a ženy na rodičovské dovolené.</w:t>
      </w:r>
    </w:p>
  </w:footnote>
  <w:footnote w:id="27">
    <w:p w14:paraId="3BD111F2" w14:textId="77777777" w:rsidR="000C2CF1" w:rsidRPr="00EA122A" w:rsidRDefault="000C2CF1" w:rsidP="000C2CF1">
      <w:pPr>
        <w:pStyle w:val="Textpoznpodarou"/>
        <w:rPr>
          <w:sz w:val="16"/>
          <w:szCs w:val="16"/>
        </w:rPr>
      </w:pPr>
      <w:r w:rsidRPr="00EA122A">
        <w:rPr>
          <w:rStyle w:val="Znakapoznpodarou"/>
          <w:sz w:val="16"/>
          <w:szCs w:val="16"/>
        </w:rPr>
        <w:footnoteRef/>
      </w:r>
      <w:r w:rsidRPr="00EA122A">
        <w:rPr>
          <w:sz w:val="16"/>
          <w:szCs w:val="16"/>
        </w:rPr>
        <w:t xml:space="preserve"> </w:t>
      </w:r>
      <w:r w:rsidRPr="00EA122A">
        <w:rPr>
          <w:rFonts w:cs="Arial"/>
          <w:sz w:val="16"/>
          <w:szCs w:val="16"/>
        </w:rPr>
        <w:t xml:space="preserve">Nynější nárůst registrovaných uchazečů o práci může souviset i s vyšší aktivitou ÚP v oblasti poradenství a rekvalifikací a </w:t>
      </w:r>
      <w:r>
        <w:rPr>
          <w:rFonts w:cs="Arial"/>
          <w:sz w:val="16"/>
          <w:szCs w:val="16"/>
        </w:rPr>
        <w:t xml:space="preserve">také </w:t>
      </w:r>
      <w:r>
        <w:rPr>
          <w:rFonts w:cs="Arial"/>
          <w:sz w:val="16"/>
          <w:szCs w:val="16"/>
        </w:rPr>
        <w:br/>
      </w:r>
      <w:r w:rsidRPr="000B5026">
        <w:rPr>
          <w:rFonts w:cs="Arial"/>
          <w:spacing w:val="-2"/>
          <w:sz w:val="16"/>
          <w:szCs w:val="16"/>
        </w:rPr>
        <w:t xml:space="preserve">s flexibilnější možností kontaktu ÚP (digitálně na dálku). Nelze vyloučit, že se může projevovat větší ochota i odvaha lidí měnit nevyhovující </w:t>
      </w:r>
      <w:r w:rsidRPr="00EA122A">
        <w:rPr>
          <w:rFonts w:cs="Arial"/>
          <w:sz w:val="16"/>
          <w:szCs w:val="16"/>
        </w:rPr>
        <w:t>pracovní místa (např. s motivací</w:t>
      </w:r>
      <w:r>
        <w:rPr>
          <w:rFonts w:cs="Arial"/>
          <w:sz w:val="16"/>
          <w:szCs w:val="16"/>
        </w:rPr>
        <w:t xml:space="preserve"> k vyššímu výdělku i očekávaným navýšením podpory státu v případě krátkodobé nezaměstnanosti).</w:t>
      </w:r>
    </w:p>
  </w:footnote>
  <w:footnote w:id="28">
    <w:p w14:paraId="5EAA3E9D" w14:textId="77777777" w:rsidR="000C2CF1" w:rsidRPr="000B5026" w:rsidRDefault="000C2CF1" w:rsidP="000C2CF1">
      <w:pPr>
        <w:pStyle w:val="Textpoznpodarou"/>
        <w:rPr>
          <w:sz w:val="16"/>
          <w:szCs w:val="16"/>
        </w:rPr>
      </w:pPr>
      <w:r w:rsidRPr="000B5026">
        <w:rPr>
          <w:rStyle w:val="Znakapoznpodarou"/>
          <w:sz w:val="16"/>
          <w:szCs w:val="16"/>
        </w:rPr>
        <w:footnoteRef/>
      </w:r>
      <w:r w:rsidRPr="000B5026">
        <w:rPr>
          <w:sz w:val="16"/>
          <w:szCs w:val="16"/>
        </w:rPr>
        <w:t xml:space="preserve"> </w:t>
      </w:r>
      <w:r w:rsidRPr="000B5026">
        <w:rPr>
          <w:rFonts w:cs="Arial"/>
          <w:sz w:val="16"/>
          <w:szCs w:val="16"/>
        </w:rPr>
        <w:t>Nejvyšší podíl nezaměstnaných (k obyvatelstvu ve věku 15</w:t>
      </w:r>
      <w:r>
        <w:rPr>
          <w:rFonts w:cs="Arial"/>
          <w:sz w:val="16"/>
          <w:szCs w:val="16"/>
        </w:rPr>
        <w:t>–</w:t>
      </w:r>
      <w:r w:rsidRPr="000B5026">
        <w:rPr>
          <w:rFonts w:cs="Arial"/>
          <w:sz w:val="16"/>
          <w:szCs w:val="16"/>
        </w:rPr>
        <w:t>64 let) měli aktuálně muži v okrese Karviná (9,</w:t>
      </w:r>
      <w:r>
        <w:rPr>
          <w:rFonts w:cs="Arial"/>
          <w:sz w:val="16"/>
          <w:szCs w:val="16"/>
        </w:rPr>
        <w:t>9</w:t>
      </w:r>
      <w:r w:rsidRPr="000B5026">
        <w:rPr>
          <w:rFonts w:cs="Arial"/>
          <w:sz w:val="16"/>
          <w:szCs w:val="16"/>
        </w:rPr>
        <w:t xml:space="preserve"> %) a ženy na Mostecku (11,</w:t>
      </w:r>
      <w:r>
        <w:rPr>
          <w:rFonts w:cs="Arial"/>
          <w:sz w:val="16"/>
          <w:szCs w:val="16"/>
        </w:rPr>
        <w:t>1</w:t>
      </w:r>
      <w:r w:rsidRPr="000B5026">
        <w:rPr>
          <w:rFonts w:cs="Arial"/>
          <w:sz w:val="16"/>
          <w:szCs w:val="16"/>
        </w:rPr>
        <w:t xml:space="preserve"> %). Celková nezaměstnanost vyšší než 6 % se celkem vyskytovala v deseti okresech (náležících do krajů Moravskoslezského, Ústeckého, Karlovarské</w:t>
      </w:r>
      <w:r>
        <w:rPr>
          <w:rFonts w:cs="Arial"/>
          <w:sz w:val="16"/>
          <w:szCs w:val="16"/>
        </w:rPr>
        <w:t>ho</w:t>
      </w:r>
      <w:r w:rsidRPr="000B5026">
        <w:rPr>
          <w:rFonts w:cs="Arial"/>
          <w:sz w:val="16"/>
          <w:szCs w:val="16"/>
        </w:rPr>
        <w:t xml:space="preserve"> a Jihomoravského), naopak pod 3 % byla v bezprostředním zázemí Prahy, </w:t>
      </w:r>
      <w:r>
        <w:rPr>
          <w:rFonts w:cs="Arial"/>
          <w:sz w:val="16"/>
          <w:szCs w:val="16"/>
        </w:rPr>
        <w:t>na</w:t>
      </w:r>
      <w:r w:rsidRPr="000B5026">
        <w:rPr>
          <w:rFonts w:cs="Arial"/>
          <w:sz w:val="16"/>
          <w:szCs w:val="16"/>
        </w:rPr>
        <w:t xml:space="preserve"> Rychnov</w:t>
      </w:r>
      <w:r>
        <w:rPr>
          <w:rFonts w:cs="Arial"/>
          <w:sz w:val="16"/>
          <w:szCs w:val="16"/>
        </w:rPr>
        <w:t>sku a</w:t>
      </w:r>
      <w:r w:rsidRPr="000B5026">
        <w:rPr>
          <w:rFonts w:cs="Arial"/>
          <w:sz w:val="16"/>
          <w:szCs w:val="16"/>
        </w:rPr>
        <w:t xml:space="preserve"> Pelhřimov</w:t>
      </w:r>
      <w:r>
        <w:rPr>
          <w:rFonts w:cs="Arial"/>
          <w:sz w:val="16"/>
          <w:szCs w:val="16"/>
        </w:rPr>
        <w:t>sku</w:t>
      </w:r>
      <w:r w:rsidRPr="000B5026">
        <w:rPr>
          <w:rFonts w:cs="Arial"/>
          <w:sz w:val="16"/>
          <w:szCs w:val="16"/>
        </w:rPr>
        <w:t xml:space="preserve">. </w:t>
      </w:r>
      <w:r w:rsidRPr="008B506B">
        <w:rPr>
          <w:rFonts w:cs="Arial"/>
          <w:spacing w:val="-2"/>
          <w:sz w:val="16"/>
          <w:szCs w:val="16"/>
        </w:rPr>
        <w:t>Meziročně vzrostla nezaměstnanost ve všech okresech ČR – nejvíce na Sokolovsku (z 5,7 % na 7,6 %) a Českolipsku (z 4,0 % na 5,7 %).</w:t>
      </w:r>
    </w:p>
  </w:footnote>
  <w:footnote w:id="29">
    <w:p w14:paraId="4430F4BC" w14:textId="77777777" w:rsidR="000C2CF1" w:rsidRPr="00A657A4" w:rsidRDefault="000C2CF1" w:rsidP="000C2CF1">
      <w:pPr>
        <w:pStyle w:val="Textpoznpodarou"/>
        <w:rPr>
          <w:rFonts w:cs="Arial"/>
          <w:sz w:val="16"/>
          <w:szCs w:val="16"/>
        </w:rPr>
      </w:pPr>
      <w:r w:rsidRPr="00723CD6">
        <w:rPr>
          <w:rStyle w:val="Znakapoznpodarou"/>
          <w:sz w:val="16"/>
          <w:szCs w:val="16"/>
        </w:rPr>
        <w:footnoteRef/>
      </w:r>
      <w:r w:rsidRPr="00723CD6">
        <w:rPr>
          <w:sz w:val="16"/>
          <w:szCs w:val="16"/>
        </w:rPr>
        <w:t xml:space="preserve"> </w:t>
      </w:r>
      <w:r w:rsidRPr="00723CD6">
        <w:rPr>
          <w:rStyle w:val="eop"/>
          <w:rFonts w:cs="Arial"/>
          <w:sz w:val="16"/>
          <w:szCs w:val="16"/>
        </w:rPr>
        <w:t>Dle experimentální statistiky ČSÚ (šetření u podniků p</w:t>
      </w:r>
      <w:r>
        <w:rPr>
          <w:rStyle w:val="eop"/>
          <w:rFonts w:cs="Arial"/>
          <w:sz w:val="16"/>
          <w:szCs w:val="16"/>
        </w:rPr>
        <w:t>rováděná od roku 2020) byla ve 3.</w:t>
      </w:r>
      <w:r w:rsidRPr="00723CD6">
        <w:rPr>
          <w:rStyle w:val="eop"/>
          <w:rFonts w:cs="Arial"/>
          <w:sz w:val="16"/>
          <w:szCs w:val="16"/>
        </w:rPr>
        <w:t xml:space="preserve"> čtvrtletí 2025 nabídka t</w:t>
      </w:r>
      <w:r>
        <w:rPr>
          <w:rStyle w:val="eop"/>
          <w:rFonts w:cs="Arial"/>
          <w:sz w:val="16"/>
          <w:szCs w:val="16"/>
        </w:rPr>
        <w:t>uzemských firem odhadnuta na 103</w:t>
      </w:r>
      <w:r w:rsidRPr="00723CD6">
        <w:rPr>
          <w:rStyle w:val="eop"/>
          <w:rFonts w:cs="Arial"/>
          <w:sz w:val="16"/>
          <w:szCs w:val="16"/>
        </w:rPr>
        <w:t xml:space="preserve"> tis. volných míst (jedná se jen o místa v pracovním poměru, nejde o přechodná zaměstnání, např. různé typy dohod). Počet míst se meziročně </w:t>
      </w:r>
      <w:r>
        <w:rPr>
          <w:rStyle w:val="eop"/>
          <w:rFonts w:cs="Arial"/>
          <w:sz w:val="16"/>
          <w:szCs w:val="16"/>
        </w:rPr>
        <w:t>mírně snížil</w:t>
      </w:r>
      <w:r w:rsidRPr="00723CD6">
        <w:rPr>
          <w:rStyle w:val="eop"/>
          <w:rFonts w:cs="Arial"/>
          <w:sz w:val="16"/>
          <w:szCs w:val="16"/>
        </w:rPr>
        <w:t xml:space="preserve"> o </w:t>
      </w:r>
      <w:r>
        <w:rPr>
          <w:rStyle w:val="eop"/>
          <w:rFonts w:cs="Arial"/>
          <w:sz w:val="16"/>
          <w:szCs w:val="16"/>
        </w:rPr>
        <w:t>5</w:t>
      </w:r>
      <w:r w:rsidRPr="00723CD6">
        <w:rPr>
          <w:rStyle w:val="eop"/>
          <w:rFonts w:cs="Arial"/>
          <w:sz w:val="16"/>
          <w:szCs w:val="16"/>
        </w:rPr>
        <w:t xml:space="preserve"> % (</w:t>
      </w:r>
      <w:r>
        <w:rPr>
          <w:rStyle w:val="eop"/>
          <w:rFonts w:cs="Arial"/>
          <w:sz w:val="16"/>
          <w:szCs w:val="16"/>
        </w:rPr>
        <w:t>podobně klesal i v předchozích letošních čtvrtletích</w:t>
      </w:r>
      <w:r w:rsidRPr="00723CD6">
        <w:rPr>
          <w:rStyle w:val="eop"/>
          <w:rFonts w:cs="Arial"/>
          <w:sz w:val="16"/>
          <w:szCs w:val="16"/>
        </w:rPr>
        <w:t xml:space="preserve">). </w:t>
      </w:r>
      <w:r>
        <w:rPr>
          <w:rStyle w:val="eop"/>
          <w:rFonts w:cs="Arial"/>
          <w:sz w:val="16"/>
          <w:szCs w:val="16"/>
        </w:rPr>
        <w:t>Na současném poklesu nabídky se podílely hlavně a</w:t>
      </w:r>
      <w:r w:rsidRPr="00723CD6">
        <w:rPr>
          <w:rStyle w:val="eop"/>
          <w:rFonts w:cs="Arial"/>
          <w:sz w:val="16"/>
          <w:szCs w:val="16"/>
        </w:rPr>
        <w:t>dministrativní a podpůrné činnosti</w:t>
      </w:r>
      <w:r>
        <w:rPr>
          <w:rStyle w:val="eop"/>
          <w:rFonts w:cs="Arial"/>
          <w:sz w:val="16"/>
          <w:szCs w:val="16"/>
        </w:rPr>
        <w:t xml:space="preserve"> (−2,2 tis.) a dále pak primární sektor ekonomiky, doprava a skladování, u</w:t>
      </w:r>
      <w:r w:rsidRPr="008E0B90">
        <w:rPr>
          <w:rStyle w:val="eop"/>
          <w:rFonts w:cs="Arial"/>
          <w:sz w:val="16"/>
          <w:szCs w:val="16"/>
        </w:rPr>
        <w:t>bytování, stravování a pohostinství</w:t>
      </w:r>
      <w:r>
        <w:rPr>
          <w:rStyle w:val="eop"/>
          <w:rFonts w:cs="Arial"/>
          <w:sz w:val="16"/>
          <w:szCs w:val="16"/>
        </w:rPr>
        <w:t xml:space="preserve"> a překvapivě také stavebnictví a informační a komunikační činnosti. Naopak nejvíce rostla nabídka míst ve vzdělávání a zpracovatelském průmyslu (shodně necelý 1 tis.). Nejvíce volných pozic se nacházelo v průmyslu (27 tis.), v odvětvích s významnou rolí státu (27 tis.) a obchodu (12 tis.). </w:t>
      </w:r>
    </w:p>
  </w:footnote>
  <w:footnote w:id="30">
    <w:p w14:paraId="2529B920" w14:textId="77777777" w:rsidR="000C2CF1" w:rsidRPr="00EA37B9" w:rsidRDefault="000C2CF1" w:rsidP="000C2CF1">
      <w:pPr>
        <w:pStyle w:val="Textpoznpodarou"/>
        <w:rPr>
          <w:sz w:val="16"/>
          <w:szCs w:val="16"/>
        </w:rPr>
      </w:pPr>
      <w:r w:rsidRPr="00EA37B9">
        <w:rPr>
          <w:rStyle w:val="Znakapoznpodarou"/>
          <w:sz w:val="16"/>
          <w:szCs w:val="16"/>
        </w:rPr>
        <w:footnoteRef/>
      </w:r>
      <w:r w:rsidRPr="00EA37B9">
        <w:rPr>
          <w:sz w:val="16"/>
          <w:szCs w:val="16"/>
        </w:rPr>
        <w:t xml:space="preserve"> </w:t>
      </w:r>
      <w:r w:rsidRPr="00AC17DD">
        <w:rPr>
          <w:sz w:val="16"/>
          <w:szCs w:val="16"/>
        </w:rPr>
        <w:t xml:space="preserve">U </w:t>
      </w:r>
      <w:r w:rsidRPr="00AC17DD">
        <w:rPr>
          <w:color w:val="0D0D0D" w:themeColor="text1" w:themeTint="F2"/>
          <w:sz w:val="16"/>
          <w:szCs w:val="16"/>
        </w:rPr>
        <w:t>téměř tří čtvrtin volných pracovních míst postačovalo uchazečům pouze základní vzdělání. Naopak více než třetina všech registrovaných uchazečů o práci disponuje alespoň maturitním vzděláním.</w:t>
      </w:r>
    </w:p>
  </w:footnote>
  <w:footnote w:id="31">
    <w:p w14:paraId="4CAFB885" w14:textId="77777777" w:rsidR="000C2CF1" w:rsidRPr="00CD2924" w:rsidRDefault="000C2CF1" w:rsidP="000C2CF1">
      <w:pPr>
        <w:pStyle w:val="Textpoznpodarou"/>
        <w:rPr>
          <w:sz w:val="16"/>
          <w:szCs w:val="16"/>
        </w:rPr>
      </w:pPr>
      <w:r w:rsidRPr="00CD2924">
        <w:rPr>
          <w:rStyle w:val="Znakapoznpodarou"/>
          <w:sz w:val="16"/>
          <w:szCs w:val="16"/>
        </w:rPr>
        <w:footnoteRef/>
      </w:r>
      <w:r w:rsidRPr="00CD2924">
        <w:rPr>
          <w:sz w:val="16"/>
          <w:szCs w:val="16"/>
        </w:rPr>
        <w:t xml:space="preserve"> </w:t>
      </w:r>
      <w:r w:rsidRPr="00CD2924">
        <w:rPr>
          <w:rStyle w:val="normaltextrun"/>
          <w:rFonts w:eastAsiaTheme="majorEastAsia" w:cs="Arial"/>
          <w:sz w:val="16"/>
          <w:szCs w:val="16"/>
        </w:rPr>
        <w:t xml:space="preserve">Nejvíce uchazečů na místo připadalo letos na konci října tradičně v okrese Karviná (22), dále Sokolov (17), Děčín (14), Hodonín (12), Most (10), Bruntál, Znojmo a Jablonec n. Nisou (shodně 9). Naopak vyrovnaný poměr mezi uchazeči a místy byl v okresech </w:t>
      </w:r>
      <w:r>
        <w:rPr>
          <w:rStyle w:val="normaltextrun"/>
          <w:rFonts w:eastAsiaTheme="majorEastAsia" w:cs="Arial"/>
          <w:sz w:val="16"/>
          <w:szCs w:val="16"/>
        </w:rPr>
        <w:br/>
      </w:r>
      <w:r w:rsidRPr="00CD2924">
        <w:rPr>
          <w:rStyle w:val="normaltextrun"/>
          <w:rFonts w:eastAsiaTheme="majorEastAsia" w:cs="Arial"/>
          <w:sz w:val="16"/>
          <w:szCs w:val="16"/>
        </w:rPr>
        <w:t xml:space="preserve">Praha-východ a západ (1,0) a méně než 1,5 uchazeče na místo připadalo v Praze, </w:t>
      </w:r>
      <w:r>
        <w:rPr>
          <w:rStyle w:val="normaltextrun"/>
          <w:rFonts w:eastAsiaTheme="majorEastAsia" w:cs="Arial"/>
          <w:sz w:val="16"/>
          <w:szCs w:val="16"/>
        </w:rPr>
        <w:t xml:space="preserve">na </w:t>
      </w:r>
      <w:r w:rsidRPr="00CD2924">
        <w:rPr>
          <w:rStyle w:val="normaltextrun"/>
          <w:rFonts w:eastAsiaTheme="majorEastAsia" w:cs="Arial"/>
          <w:sz w:val="16"/>
          <w:szCs w:val="16"/>
        </w:rPr>
        <w:t>Mladoboleslavsku, Prachaticku a Tachovsku.</w:t>
      </w:r>
    </w:p>
  </w:footnote>
  <w:footnote w:id="32">
    <w:p w14:paraId="0C46B37E" w14:textId="77777777" w:rsidR="000C2CF1" w:rsidRPr="003E1845" w:rsidRDefault="000C2CF1" w:rsidP="000C2CF1">
      <w:pPr>
        <w:pStyle w:val="Textpoznpodarou"/>
        <w:rPr>
          <w:spacing w:val="-4"/>
          <w:sz w:val="16"/>
          <w:szCs w:val="16"/>
        </w:rPr>
      </w:pPr>
      <w:r w:rsidRPr="003E1845">
        <w:rPr>
          <w:rStyle w:val="Znakapoznpodarou"/>
          <w:spacing w:val="-4"/>
          <w:sz w:val="16"/>
          <w:szCs w:val="16"/>
        </w:rPr>
        <w:footnoteRef/>
      </w:r>
      <w:r w:rsidRPr="003E1845">
        <w:rPr>
          <w:spacing w:val="-4"/>
          <w:sz w:val="16"/>
          <w:szCs w:val="16"/>
        </w:rPr>
        <w:t xml:space="preserve"> </w:t>
      </w:r>
      <w:r w:rsidRPr="003E1845">
        <w:rPr>
          <w:color w:val="0D0D0D" w:themeColor="text1" w:themeTint="F2"/>
          <w:spacing w:val="-4"/>
          <w:sz w:val="16"/>
          <w:szCs w:val="16"/>
        </w:rPr>
        <w:t>U čistých výdělků promlouvá do jejich vývoje ne</w:t>
      </w:r>
      <w:r>
        <w:rPr>
          <w:color w:val="0D0D0D" w:themeColor="text1" w:themeTint="F2"/>
          <w:spacing w:val="-4"/>
          <w:sz w:val="16"/>
          <w:szCs w:val="16"/>
        </w:rPr>
        <w:t>přízniv</w:t>
      </w:r>
      <w:r w:rsidRPr="003E1845">
        <w:rPr>
          <w:color w:val="0D0D0D" w:themeColor="text1" w:themeTint="F2"/>
          <w:spacing w:val="-4"/>
          <w:sz w:val="16"/>
          <w:szCs w:val="16"/>
        </w:rPr>
        <w:t>ě mírné zvýšení daňového zatížení práce vlivem znovuzavedení zaměstnaneckých odvodů na nemocenské pojištění (celkový odvod sociálního pojištění za zaměstnance se zvýšil z 6,5 % na 7,1 %), jež bylo schváleno v rámci vládního konsolidačního balíčku (s účinností od ledna 2024). K růstu kupní síly výdělků naopak přispělo zrušení superhrubé mzdy (ledna 2021).</w:t>
      </w:r>
    </w:p>
  </w:footnote>
  <w:footnote w:id="33">
    <w:p w14:paraId="0F608ED7" w14:textId="77777777" w:rsidR="000C2CF1" w:rsidRPr="009C466F" w:rsidRDefault="000C2CF1" w:rsidP="000C2CF1">
      <w:pPr>
        <w:pStyle w:val="Textpoznpodarou"/>
        <w:rPr>
          <w:sz w:val="16"/>
          <w:szCs w:val="16"/>
        </w:rPr>
      </w:pPr>
      <w:r w:rsidRPr="009C466F">
        <w:rPr>
          <w:rStyle w:val="Znakapoznpodarou"/>
          <w:sz w:val="16"/>
          <w:szCs w:val="16"/>
        </w:rPr>
        <w:footnoteRef/>
      </w:r>
      <w:r w:rsidRPr="009C466F">
        <w:rPr>
          <w:sz w:val="16"/>
          <w:szCs w:val="16"/>
        </w:rPr>
        <w:t xml:space="preserve"> </w:t>
      </w:r>
      <w:r w:rsidRPr="009C466F">
        <w:rPr>
          <w:rStyle w:val="normaltextrun"/>
          <w:rFonts w:eastAsiaTheme="majorEastAsia" w:cs="Arial"/>
          <w:color w:val="000000"/>
          <w:sz w:val="16"/>
          <w:szCs w:val="16"/>
        </w:rPr>
        <w:t>To zahrnuje podnikatelské, zaměstnavatelské a profesní organizace a také osobní služby (např. kadeřnictví, pohřebnictví), opravy výrobků a také zaměstnávání domácího personálu.</w:t>
      </w:r>
    </w:p>
  </w:footnote>
  <w:footnote w:id="34">
    <w:p w14:paraId="06548C13" w14:textId="77777777" w:rsidR="000C2CF1" w:rsidRPr="00335C27" w:rsidRDefault="000C2CF1" w:rsidP="000C2CF1">
      <w:pPr>
        <w:pStyle w:val="Textpoznpodarou"/>
        <w:rPr>
          <w:sz w:val="16"/>
          <w:szCs w:val="16"/>
        </w:rPr>
      </w:pPr>
      <w:r w:rsidRPr="00335C27">
        <w:rPr>
          <w:rStyle w:val="Znakapoznpodarou"/>
          <w:sz w:val="16"/>
          <w:szCs w:val="16"/>
        </w:rPr>
        <w:footnoteRef/>
      </w:r>
      <w:r w:rsidRPr="00335C27">
        <w:rPr>
          <w:sz w:val="16"/>
          <w:szCs w:val="16"/>
        </w:rPr>
        <w:t xml:space="preserve"> Zčásti se zde projevuje i vliv vyšší srovnávací základny. Ve 3. čtvrtletí 2024 se mzdy v energetice meziročně zvýšily o 8,9 % </w:t>
      </w:r>
      <w:r>
        <w:rPr>
          <w:sz w:val="16"/>
          <w:szCs w:val="16"/>
        </w:rPr>
        <w:br/>
      </w:r>
      <w:r w:rsidRPr="00335C27">
        <w:rPr>
          <w:sz w:val="16"/>
          <w:szCs w:val="16"/>
        </w:rPr>
        <w:t>a dosáhly měsíčně v průměru 66 tis. korun.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6" w14:textId="3C11EE3B" w:rsidR="004C456F" w:rsidRPr="00C27E4F" w:rsidRDefault="004C456F" w:rsidP="00C27E4F">
    <w:pPr>
      <w:pStyle w:val="Zhlav"/>
    </w:pPr>
    <w:r>
      <w:t>Vývoj ekonomiky České republiky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7" w14:textId="4F78F164" w:rsidR="004C456F" w:rsidRPr="006F5416" w:rsidRDefault="004C456F" w:rsidP="00937AE2">
    <w:pPr>
      <w:pStyle w:val="Zhlav"/>
    </w:pPr>
    <w:r>
      <w:t>Vývoj ekonomiky České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C5946"/>
    <w:multiLevelType w:val="hybridMultilevel"/>
    <w:tmpl w:val="4C1C2D78"/>
    <w:lvl w:ilvl="0" w:tplc="B01A5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5764B"/>
    <w:multiLevelType w:val="hybridMultilevel"/>
    <w:tmpl w:val="84788BC8"/>
    <w:lvl w:ilvl="0" w:tplc="1B96A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55121"/>
    <w:multiLevelType w:val="hybridMultilevel"/>
    <w:tmpl w:val="338E27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361065"/>
    <w:multiLevelType w:val="hybridMultilevel"/>
    <w:tmpl w:val="991072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145AAD"/>
    <w:multiLevelType w:val="hybridMultilevel"/>
    <w:tmpl w:val="96304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35353"/>
    <w:multiLevelType w:val="multilevel"/>
    <w:tmpl w:val="1C0E9EAE"/>
    <w:name w:val="Analyza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462C8E"/>
    <w:multiLevelType w:val="hybridMultilevel"/>
    <w:tmpl w:val="84B46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64F20"/>
    <w:multiLevelType w:val="hybridMultilevel"/>
    <w:tmpl w:val="ADE25A6C"/>
    <w:lvl w:ilvl="0" w:tplc="04050001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352333"/>
    <w:multiLevelType w:val="multilevel"/>
    <w:tmpl w:val="D0ACF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28DA62F8"/>
    <w:multiLevelType w:val="hybridMultilevel"/>
    <w:tmpl w:val="419C8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A7A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2420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D106E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11355C0"/>
    <w:multiLevelType w:val="multilevel"/>
    <w:tmpl w:val="697E8B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9914012"/>
    <w:multiLevelType w:val="multilevel"/>
    <w:tmpl w:val="F380FB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C1667"/>
    <w:multiLevelType w:val="hybridMultilevel"/>
    <w:tmpl w:val="735E7570"/>
    <w:lvl w:ilvl="0" w:tplc="5588AF8E">
      <w:start w:val="1"/>
      <w:numFmt w:val="decimal"/>
      <w:lvlText w:val="%1."/>
      <w:lvlJc w:val="left"/>
      <w:pPr>
        <w:ind w:left="4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20" w:hanging="360"/>
      </w:pPr>
    </w:lvl>
    <w:lvl w:ilvl="2" w:tplc="0405001B" w:tentative="1">
      <w:start w:val="1"/>
      <w:numFmt w:val="lowerRoman"/>
      <w:lvlText w:val="%3."/>
      <w:lvlJc w:val="right"/>
      <w:pPr>
        <w:ind w:left="6240" w:hanging="180"/>
      </w:pPr>
    </w:lvl>
    <w:lvl w:ilvl="3" w:tplc="0405000F" w:tentative="1">
      <w:start w:val="1"/>
      <w:numFmt w:val="decimal"/>
      <w:lvlText w:val="%4."/>
      <w:lvlJc w:val="left"/>
      <w:pPr>
        <w:ind w:left="6960" w:hanging="360"/>
      </w:pPr>
    </w:lvl>
    <w:lvl w:ilvl="4" w:tplc="04050019" w:tentative="1">
      <w:start w:val="1"/>
      <w:numFmt w:val="lowerLetter"/>
      <w:lvlText w:val="%5."/>
      <w:lvlJc w:val="left"/>
      <w:pPr>
        <w:ind w:left="7680" w:hanging="360"/>
      </w:pPr>
    </w:lvl>
    <w:lvl w:ilvl="5" w:tplc="0405001B" w:tentative="1">
      <w:start w:val="1"/>
      <w:numFmt w:val="lowerRoman"/>
      <w:lvlText w:val="%6."/>
      <w:lvlJc w:val="right"/>
      <w:pPr>
        <w:ind w:left="8400" w:hanging="180"/>
      </w:pPr>
    </w:lvl>
    <w:lvl w:ilvl="6" w:tplc="0405000F" w:tentative="1">
      <w:start w:val="1"/>
      <w:numFmt w:val="decimal"/>
      <w:lvlText w:val="%7."/>
      <w:lvlJc w:val="left"/>
      <w:pPr>
        <w:ind w:left="9120" w:hanging="360"/>
      </w:pPr>
    </w:lvl>
    <w:lvl w:ilvl="7" w:tplc="04050019" w:tentative="1">
      <w:start w:val="1"/>
      <w:numFmt w:val="lowerLetter"/>
      <w:lvlText w:val="%8."/>
      <w:lvlJc w:val="left"/>
      <w:pPr>
        <w:ind w:left="9840" w:hanging="360"/>
      </w:pPr>
    </w:lvl>
    <w:lvl w:ilvl="8" w:tplc="0405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27" w15:restartNumberingAfterBreak="0">
    <w:nsid w:val="3D4D0562"/>
    <w:multiLevelType w:val="hybridMultilevel"/>
    <w:tmpl w:val="E8A8F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B1D16"/>
    <w:multiLevelType w:val="hybridMultilevel"/>
    <w:tmpl w:val="CA440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558D6"/>
    <w:multiLevelType w:val="hybridMultilevel"/>
    <w:tmpl w:val="1B90B8E0"/>
    <w:lvl w:ilvl="0" w:tplc="4B66ED1E">
      <w:start w:val="1"/>
      <w:numFmt w:val="decimal"/>
      <w:lvlText w:val="%1."/>
      <w:lvlJc w:val="left"/>
      <w:pPr>
        <w:ind w:left="4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25" w:hanging="360"/>
      </w:pPr>
    </w:lvl>
    <w:lvl w:ilvl="2" w:tplc="0405001B" w:tentative="1">
      <w:start w:val="1"/>
      <w:numFmt w:val="lowerRoman"/>
      <w:lvlText w:val="%3."/>
      <w:lvlJc w:val="right"/>
      <w:pPr>
        <w:ind w:left="6345" w:hanging="180"/>
      </w:pPr>
    </w:lvl>
    <w:lvl w:ilvl="3" w:tplc="0405000F" w:tentative="1">
      <w:start w:val="1"/>
      <w:numFmt w:val="decimal"/>
      <w:lvlText w:val="%4."/>
      <w:lvlJc w:val="left"/>
      <w:pPr>
        <w:ind w:left="7065" w:hanging="360"/>
      </w:pPr>
    </w:lvl>
    <w:lvl w:ilvl="4" w:tplc="04050019" w:tentative="1">
      <w:start w:val="1"/>
      <w:numFmt w:val="lowerLetter"/>
      <w:lvlText w:val="%5."/>
      <w:lvlJc w:val="left"/>
      <w:pPr>
        <w:ind w:left="7785" w:hanging="360"/>
      </w:pPr>
    </w:lvl>
    <w:lvl w:ilvl="5" w:tplc="0405001B" w:tentative="1">
      <w:start w:val="1"/>
      <w:numFmt w:val="lowerRoman"/>
      <w:lvlText w:val="%6."/>
      <w:lvlJc w:val="right"/>
      <w:pPr>
        <w:ind w:left="8505" w:hanging="180"/>
      </w:pPr>
    </w:lvl>
    <w:lvl w:ilvl="6" w:tplc="0405000F" w:tentative="1">
      <w:start w:val="1"/>
      <w:numFmt w:val="decimal"/>
      <w:lvlText w:val="%7."/>
      <w:lvlJc w:val="left"/>
      <w:pPr>
        <w:ind w:left="9225" w:hanging="360"/>
      </w:pPr>
    </w:lvl>
    <w:lvl w:ilvl="7" w:tplc="04050019" w:tentative="1">
      <w:start w:val="1"/>
      <w:numFmt w:val="lowerLetter"/>
      <w:lvlText w:val="%8."/>
      <w:lvlJc w:val="left"/>
      <w:pPr>
        <w:ind w:left="9945" w:hanging="360"/>
      </w:pPr>
    </w:lvl>
    <w:lvl w:ilvl="8" w:tplc="0405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30" w15:restartNumberingAfterBreak="0">
    <w:nsid w:val="479678F7"/>
    <w:multiLevelType w:val="hybridMultilevel"/>
    <w:tmpl w:val="A4DE7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5051A8"/>
    <w:multiLevelType w:val="hybridMultilevel"/>
    <w:tmpl w:val="DEACE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DA4287"/>
    <w:multiLevelType w:val="multilevel"/>
    <w:tmpl w:val="1C0E9EAE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90F3B"/>
    <w:multiLevelType w:val="hybridMultilevel"/>
    <w:tmpl w:val="D64CB604"/>
    <w:lvl w:ilvl="0" w:tplc="67AC8A1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655F88"/>
    <w:multiLevelType w:val="hybridMultilevel"/>
    <w:tmpl w:val="70283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8567A6"/>
    <w:multiLevelType w:val="hybridMultilevel"/>
    <w:tmpl w:val="50E0F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CB210F"/>
    <w:multiLevelType w:val="multilevel"/>
    <w:tmpl w:val="D64CB60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D405E1"/>
    <w:multiLevelType w:val="multilevel"/>
    <w:tmpl w:val="5FCA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EF3AA7"/>
    <w:multiLevelType w:val="multilevel"/>
    <w:tmpl w:val="9092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B048D2"/>
    <w:multiLevelType w:val="hybridMultilevel"/>
    <w:tmpl w:val="D2A0F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747AF"/>
    <w:multiLevelType w:val="hybridMultilevel"/>
    <w:tmpl w:val="76204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51B2D"/>
    <w:multiLevelType w:val="hybridMultilevel"/>
    <w:tmpl w:val="858498FC"/>
    <w:lvl w:ilvl="0" w:tplc="B4A838D0">
      <w:start w:val="1"/>
      <w:numFmt w:val="bullet"/>
      <w:pStyle w:val="Normalodrka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A7946"/>
    <w:multiLevelType w:val="multilevel"/>
    <w:tmpl w:val="6F3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8E301A"/>
    <w:multiLevelType w:val="hybridMultilevel"/>
    <w:tmpl w:val="1A92D7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4960533">
    <w:abstractNumId w:val="31"/>
  </w:num>
  <w:num w:numId="2" w16cid:durableId="997685702">
    <w:abstractNumId w:val="8"/>
  </w:num>
  <w:num w:numId="3" w16cid:durableId="2038313518">
    <w:abstractNumId w:val="3"/>
  </w:num>
  <w:num w:numId="4" w16cid:durableId="331031531">
    <w:abstractNumId w:val="2"/>
  </w:num>
  <w:num w:numId="5" w16cid:durableId="1757743337">
    <w:abstractNumId w:val="1"/>
  </w:num>
  <w:num w:numId="6" w16cid:durableId="409816451">
    <w:abstractNumId w:val="0"/>
  </w:num>
  <w:num w:numId="7" w16cid:durableId="1318534121">
    <w:abstractNumId w:val="9"/>
  </w:num>
  <w:num w:numId="8" w16cid:durableId="262305282">
    <w:abstractNumId w:val="7"/>
  </w:num>
  <w:num w:numId="9" w16cid:durableId="136917715">
    <w:abstractNumId w:val="6"/>
  </w:num>
  <w:num w:numId="10" w16cid:durableId="2045862263">
    <w:abstractNumId w:val="5"/>
  </w:num>
  <w:num w:numId="11" w16cid:durableId="191305307">
    <w:abstractNumId w:val="4"/>
  </w:num>
  <w:num w:numId="12" w16cid:durableId="333654438">
    <w:abstractNumId w:val="18"/>
  </w:num>
  <w:num w:numId="13" w16cid:durableId="969557016">
    <w:abstractNumId w:val="34"/>
  </w:num>
  <w:num w:numId="14" w16cid:durableId="607392429">
    <w:abstractNumId w:val="15"/>
  </w:num>
  <w:num w:numId="15" w16cid:durableId="1953782534">
    <w:abstractNumId w:val="24"/>
  </w:num>
  <w:num w:numId="16" w16cid:durableId="2048219208">
    <w:abstractNumId w:val="19"/>
  </w:num>
  <w:num w:numId="17" w16cid:durableId="684745295">
    <w:abstractNumId w:val="35"/>
  </w:num>
  <w:num w:numId="18" w16cid:durableId="1764376373">
    <w:abstractNumId w:val="25"/>
  </w:num>
  <w:num w:numId="19" w16cid:durableId="807280038">
    <w:abstractNumId w:val="38"/>
  </w:num>
  <w:num w:numId="20" w16cid:durableId="1692685976">
    <w:abstractNumId w:val="43"/>
  </w:num>
  <w:num w:numId="21" w16cid:durableId="1978029892">
    <w:abstractNumId w:val="33"/>
  </w:num>
  <w:num w:numId="22" w16cid:durableId="718896653">
    <w:abstractNumId w:val="23"/>
  </w:num>
  <w:num w:numId="23" w16cid:durableId="159078720">
    <w:abstractNumId w:val="21"/>
  </w:num>
  <w:num w:numId="24" w16cid:durableId="1135441192">
    <w:abstractNumId w:val="22"/>
  </w:num>
  <w:num w:numId="25" w16cid:durableId="1815366340">
    <w:abstractNumId w:val="41"/>
  </w:num>
  <w:num w:numId="26" w16cid:durableId="1577863405">
    <w:abstractNumId w:val="42"/>
  </w:num>
  <w:num w:numId="27" w16cid:durableId="223610688">
    <w:abstractNumId w:val="43"/>
  </w:num>
  <w:num w:numId="28" w16cid:durableId="1207061094">
    <w:abstractNumId w:val="13"/>
  </w:num>
  <w:num w:numId="29" w16cid:durableId="1693920833">
    <w:abstractNumId w:val="27"/>
  </w:num>
  <w:num w:numId="30" w16cid:durableId="1876775477">
    <w:abstractNumId w:val="26"/>
  </w:num>
  <w:num w:numId="31" w16cid:durableId="179972127">
    <w:abstractNumId w:val="10"/>
  </w:num>
  <w:num w:numId="32" w16cid:durableId="970136012">
    <w:abstractNumId w:val="28"/>
  </w:num>
  <w:num w:numId="33" w16cid:durableId="1617836376">
    <w:abstractNumId w:val="12"/>
  </w:num>
  <w:num w:numId="34" w16cid:durableId="357007340">
    <w:abstractNumId w:val="45"/>
  </w:num>
  <w:num w:numId="35" w16cid:durableId="2131776467">
    <w:abstractNumId w:val="11"/>
  </w:num>
  <w:num w:numId="36" w16cid:durableId="1776095800">
    <w:abstractNumId w:val="37"/>
  </w:num>
  <w:num w:numId="37" w16cid:durableId="862209000">
    <w:abstractNumId w:val="30"/>
  </w:num>
  <w:num w:numId="38" w16cid:durableId="322010878">
    <w:abstractNumId w:val="29"/>
  </w:num>
  <w:num w:numId="39" w16cid:durableId="1458373311">
    <w:abstractNumId w:val="39"/>
  </w:num>
  <w:num w:numId="40" w16cid:durableId="288441997">
    <w:abstractNumId w:val="44"/>
  </w:num>
  <w:num w:numId="41" w16cid:durableId="952595072">
    <w:abstractNumId w:val="40"/>
  </w:num>
  <w:num w:numId="42" w16cid:durableId="1427652868">
    <w:abstractNumId w:val="32"/>
  </w:num>
  <w:num w:numId="43" w16cid:durableId="1024401835">
    <w:abstractNumId w:val="20"/>
  </w:num>
  <w:num w:numId="44" w16cid:durableId="428089243">
    <w:abstractNumId w:val="14"/>
  </w:num>
  <w:num w:numId="45" w16cid:durableId="82647767">
    <w:abstractNumId w:val="36"/>
  </w:num>
  <w:num w:numId="46" w16cid:durableId="215163427">
    <w:abstractNumId w:val="16"/>
  </w:num>
  <w:num w:numId="47" w16cid:durableId="222064403">
    <w:abstractNumId w:val="43"/>
  </w:num>
  <w:num w:numId="48" w16cid:durableId="1639922006">
    <w:abstractNumId w:val="43"/>
    <w:lvlOverride w:ilvl="0">
      <w:startOverride w:val="1"/>
    </w:lvlOverride>
  </w:num>
  <w:num w:numId="49" w16cid:durableId="15091015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62"/>
    <w:rsid w:val="0000209D"/>
    <w:rsid w:val="00004D5A"/>
    <w:rsid w:val="000056D5"/>
    <w:rsid w:val="00006ABD"/>
    <w:rsid w:val="0000767A"/>
    <w:rsid w:val="00010256"/>
    <w:rsid w:val="00010702"/>
    <w:rsid w:val="00011912"/>
    <w:rsid w:val="0002195D"/>
    <w:rsid w:val="000234D6"/>
    <w:rsid w:val="00023D29"/>
    <w:rsid w:val="00026389"/>
    <w:rsid w:val="00031AE0"/>
    <w:rsid w:val="000322EF"/>
    <w:rsid w:val="00033FCD"/>
    <w:rsid w:val="00040D10"/>
    <w:rsid w:val="00041CEC"/>
    <w:rsid w:val="0004694F"/>
    <w:rsid w:val="000522E4"/>
    <w:rsid w:val="00054EA4"/>
    <w:rsid w:val="00055507"/>
    <w:rsid w:val="000610E1"/>
    <w:rsid w:val="00062EC5"/>
    <w:rsid w:val="00062F22"/>
    <w:rsid w:val="000673C2"/>
    <w:rsid w:val="000712B3"/>
    <w:rsid w:val="0008263E"/>
    <w:rsid w:val="000829B1"/>
    <w:rsid w:val="00082C19"/>
    <w:rsid w:val="00085395"/>
    <w:rsid w:val="00087634"/>
    <w:rsid w:val="00087F2B"/>
    <w:rsid w:val="000912CC"/>
    <w:rsid w:val="00092201"/>
    <w:rsid w:val="00095135"/>
    <w:rsid w:val="000974D1"/>
    <w:rsid w:val="0009799E"/>
    <w:rsid w:val="000A1183"/>
    <w:rsid w:val="000A256D"/>
    <w:rsid w:val="000A3A2C"/>
    <w:rsid w:val="000A5265"/>
    <w:rsid w:val="000A57D4"/>
    <w:rsid w:val="000B7C8D"/>
    <w:rsid w:val="000C004E"/>
    <w:rsid w:val="000C2CF1"/>
    <w:rsid w:val="000C3408"/>
    <w:rsid w:val="000C6AFD"/>
    <w:rsid w:val="000D1B52"/>
    <w:rsid w:val="000D5637"/>
    <w:rsid w:val="000E15EA"/>
    <w:rsid w:val="000E6FBD"/>
    <w:rsid w:val="000F49A9"/>
    <w:rsid w:val="00100F5C"/>
    <w:rsid w:val="00101CDA"/>
    <w:rsid w:val="00102C41"/>
    <w:rsid w:val="00104C4C"/>
    <w:rsid w:val="00107F50"/>
    <w:rsid w:val="00116C7B"/>
    <w:rsid w:val="00117623"/>
    <w:rsid w:val="0012096D"/>
    <w:rsid w:val="0012192F"/>
    <w:rsid w:val="001224E5"/>
    <w:rsid w:val="00124940"/>
    <w:rsid w:val="00125D69"/>
    <w:rsid w:val="001405FA"/>
    <w:rsid w:val="00142254"/>
    <w:rsid w:val="001425C3"/>
    <w:rsid w:val="001476BD"/>
    <w:rsid w:val="00153D91"/>
    <w:rsid w:val="001612F4"/>
    <w:rsid w:val="00161AB8"/>
    <w:rsid w:val="0016256B"/>
    <w:rsid w:val="001625B5"/>
    <w:rsid w:val="00163793"/>
    <w:rsid w:val="0016649F"/>
    <w:rsid w:val="00170621"/>
    <w:rsid w:val="001706D6"/>
    <w:rsid w:val="001714F2"/>
    <w:rsid w:val="00175B9F"/>
    <w:rsid w:val="00175C9E"/>
    <w:rsid w:val="00181BBC"/>
    <w:rsid w:val="00184B08"/>
    <w:rsid w:val="00185010"/>
    <w:rsid w:val="0019143B"/>
    <w:rsid w:val="001A0487"/>
    <w:rsid w:val="001A4CA3"/>
    <w:rsid w:val="001A552F"/>
    <w:rsid w:val="001A5B6F"/>
    <w:rsid w:val="001A6170"/>
    <w:rsid w:val="001A7280"/>
    <w:rsid w:val="001B2CA9"/>
    <w:rsid w:val="001B3110"/>
    <w:rsid w:val="001B4729"/>
    <w:rsid w:val="001B6310"/>
    <w:rsid w:val="001B6C09"/>
    <w:rsid w:val="001B73E6"/>
    <w:rsid w:val="001C05CD"/>
    <w:rsid w:val="001C3924"/>
    <w:rsid w:val="001D1815"/>
    <w:rsid w:val="001D40D7"/>
    <w:rsid w:val="001D48D4"/>
    <w:rsid w:val="001D68B2"/>
    <w:rsid w:val="001E1C2E"/>
    <w:rsid w:val="001E504C"/>
    <w:rsid w:val="001E5850"/>
    <w:rsid w:val="001E6062"/>
    <w:rsid w:val="001E6753"/>
    <w:rsid w:val="001F4597"/>
    <w:rsid w:val="00203DA4"/>
    <w:rsid w:val="002118B9"/>
    <w:rsid w:val="00213E46"/>
    <w:rsid w:val="00214CF7"/>
    <w:rsid w:val="00216286"/>
    <w:rsid w:val="00216A01"/>
    <w:rsid w:val="002175EA"/>
    <w:rsid w:val="00217C5B"/>
    <w:rsid w:val="0022139E"/>
    <w:rsid w:val="00222729"/>
    <w:rsid w:val="002252E0"/>
    <w:rsid w:val="002255F6"/>
    <w:rsid w:val="00227850"/>
    <w:rsid w:val="00227A53"/>
    <w:rsid w:val="00230682"/>
    <w:rsid w:val="00230C6E"/>
    <w:rsid w:val="00233546"/>
    <w:rsid w:val="00233CD7"/>
    <w:rsid w:val="00233D05"/>
    <w:rsid w:val="00236443"/>
    <w:rsid w:val="00241B06"/>
    <w:rsid w:val="00242119"/>
    <w:rsid w:val="002421C4"/>
    <w:rsid w:val="00242C10"/>
    <w:rsid w:val="002436BA"/>
    <w:rsid w:val="00244A15"/>
    <w:rsid w:val="0024661A"/>
    <w:rsid w:val="00247319"/>
    <w:rsid w:val="0024799E"/>
    <w:rsid w:val="00247EE7"/>
    <w:rsid w:val="00252D48"/>
    <w:rsid w:val="00253C0F"/>
    <w:rsid w:val="002558C1"/>
    <w:rsid w:val="00255B30"/>
    <w:rsid w:val="00261A17"/>
    <w:rsid w:val="0027099B"/>
    <w:rsid w:val="00271465"/>
    <w:rsid w:val="00275385"/>
    <w:rsid w:val="0028207A"/>
    <w:rsid w:val="00282918"/>
    <w:rsid w:val="00285412"/>
    <w:rsid w:val="00291407"/>
    <w:rsid w:val="00291640"/>
    <w:rsid w:val="00295A5D"/>
    <w:rsid w:val="002A1407"/>
    <w:rsid w:val="002A16D4"/>
    <w:rsid w:val="002A230C"/>
    <w:rsid w:val="002A66B0"/>
    <w:rsid w:val="002B2299"/>
    <w:rsid w:val="002B4845"/>
    <w:rsid w:val="002B48B4"/>
    <w:rsid w:val="002C2FE9"/>
    <w:rsid w:val="002C43BD"/>
    <w:rsid w:val="002C5568"/>
    <w:rsid w:val="002D0E59"/>
    <w:rsid w:val="002E02A1"/>
    <w:rsid w:val="002E42AC"/>
    <w:rsid w:val="002E4E4C"/>
    <w:rsid w:val="002F3E4F"/>
    <w:rsid w:val="00302ADD"/>
    <w:rsid w:val="00304771"/>
    <w:rsid w:val="0030495D"/>
    <w:rsid w:val="003052D4"/>
    <w:rsid w:val="00306C5B"/>
    <w:rsid w:val="00307B34"/>
    <w:rsid w:val="003103E0"/>
    <w:rsid w:val="00314F9F"/>
    <w:rsid w:val="003209D6"/>
    <w:rsid w:val="00321205"/>
    <w:rsid w:val="00321924"/>
    <w:rsid w:val="0032656E"/>
    <w:rsid w:val="00327D4E"/>
    <w:rsid w:val="00332190"/>
    <w:rsid w:val="003421E1"/>
    <w:rsid w:val="00343182"/>
    <w:rsid w:val="0034335E"/>
    <w:rsid w:val="00344668"/>
    <w:rsid w:val="003462D9"/>
    <w:rsid w:val="00360C86"/>
    <w:rsid w:val="00360FBC"/>
    <w:rsid w:val="00362E90"/>
    <w:rsid w:val="00364FA0"/>
    <w:rsid w:val="003657F3"/>
    <w:rsid w:val="00366591"/>
    <w:rsid w:val="00371826"/>
    <w:rsid w:val="00373504"/>
    <w:rsid w:val="0038123E"/>
    <w:rsid w:val="003818DC"/>
    <w:rsid w:val="00382C5B"/>
    <w:rsid w:val="00384327"/>
    <w:rsid w:val="00385D98"/>
    <w:rsid w:val="003A2B4D"/>
    <w:rsid w:val="003A2B5E"/>
    <w:rsid w:val="003A2D12"/>
    <w:rsid w:val="003A478C"/>
    <w:rsid w:val="003A5525"/>
    <w:rsid w:val="003A6B38"/>
    <w:rsid w:val="003B461F"/>
    <w:rsid w:val="003B5A32"/>
    <w:rsid w:val="003B6B31"/>
    <w:rsid w:val="003B7AFA"/>
    <w:rsid w:val="003C3490"/>
    <w:rsid w:val="003C6550"/>
    <w:rsid w:val="003C7E62"/>
    <w:rsid w:val="003D6920"/>
    <w:rsid w:val="003E3F1E"/>
    <w:rsid w:val="003E48F2"/>
    <w:rsid w:val="003E4C91"/>
    <w:rsid w:val="003E5DB7"/>
    <w:rsid w:val="003E62A5"/>
    <w:rsid w:val="003F313C"/>
    <w:rsid w:val="003F37FC"/>
    <w:rsid w:val="003F4B2C"/>
    <w:rsid w:val="003F551C"/>
    <w:rsid w:val="003F62B0"/>
    <w:rsid w:val="003F72ED"/>
    <w:rsid w:val="003F7D23"/>
    <w:rsid w:val="00400DF4"/>
    <w:rsid w:val="0040550D"/>
    <w:rsid w:val="004069FF"/>
    <w:rsid w:val="00407510"/>
    <w:rsid w:val="00407C13"/>
    <w:rsid w:val="0041041D"/>
    <w:rsid w:val="00410638"/>
    <w:rsid w:val="00410694"/>
    <w:rsid w:val="0041501E"/>
    <w:rsid w:val="004159C3"/>
    <w:rsid w:val="00416EB7"/>
    <w:rsid w:val="00432A58"/>
    <w:rsid w:val="00434617"/>
    <w:rsid w:val="00440900"/>
    <w:rsid w:val="00441BF6"/>
    <w:rsid w:val="00443556"/>
    <w:rsid w:val="004441A0"/>
    <w:rsid w:val="004455BA"/>
    <w:rsid w:val="00446D77"/>
    <w:rsid w:val="0045078A"/>
    <w:rsid w:val="0045086D"/>
    <w:rsid w:val="00451504"/>
    <w:rsid w:val="004557A9"/>
    <w:rsid w:val="00456339"/>
    <w:rsid w:val="004607BF"/>
    <w:rsid w:val="00460FB3"/>
    <w:rsid w:val="0046627E"/>
    <w:rsid w:val="00476240"/>
    <w:rsid w:val="00476439"/>
    <w:rsid w:val="0047735C"/>
    <w:rsid w:val="004776BC"/>
    <w:rsid w:val="0048139F"/>
    <w:rsid w:val="00481E40"/>
    <w:rsid w:val="00484ECE"/>
    <w:rsid w:val="00485567"/>
    <w:rsid w:val="004915CB"/>
    <w:rsid w:val="004924DC"/>
    <w:rsid w:val="004963C7"/>
    <w:rsid w:val="004976EF"/>
    <w:rsid w:val="004A14E4"/>
    <w:rsid w:val="004A3212"/>
    <w:rsid w:val="004A5494"/>
    <w:rsid w:val="004A61C5"/>
    <w:rsid w:val="004A77DF"/>
    <w:rsid w:val="004B1417"/>
    <w:rsid w:val="004B55B7"/>
    <w:rsid w:val="004B5A60"/>
    <w:rsid w:val="004B6468"/>
    <w:rsid w:val="004B7125"/>
    <w:rsid w:val="004C384C"/>
    <w:rsid w:val="004C3867"/>
    <w:rsid w:val="004C456F"/>
    <w:rsid w:val="004C4CD0"/>
    <w:rsid w:val="004C5B81"/>
    <w:rsid w:val="004C6092"/>
    <w:rsid w:val="004C70DC"/>
    <w:rsid w:val="004D0211"/>
    <w:rsid w:val="004D0794"/>
    <w:rsid w:val="004D5C93"/>
    <w:rsid w:val="004E1288"/>
    <w:rsid w:val="004E7C6B"/>
    <w:rsid w:val="004F06F5"/>
    <w:rsid w:val="004F16B2"/>
    <w:rsid w:val="004F2C1B"/>
    <w:rsid w:val="004F33A0"/>
    <w:rsid w:val="005040A8"/>
    <w:rsid w:val="00504EE1"/>
    <w:rsid w:val="0050689D"/>
    <w:rsid w:val="005108C0"/>
    <w:rsid w:val="00511873"/>
    <w:rsid w:val="00511DE3"/>
    <w:rsid w:val="00512A2F"/>
    <w:rsid w:val="00513B7E"/>
    <w:rsid w:val="00515684"/>
    <w:rsid w:val="00515C74"/>
    <w:rsid w:val="00516086"/>
    <w:rsid w:val="0051713B"/>
    <w:rsid w:val="0052007E"/>
    <w:rsid w:val="0052337A"/>
    <w:rsid w:val="00525137"/>
    <w:rsid w:val="005251DD"/>
    <w:rsid w:val="00532CE7"/>
    <w:rsid w:val="00532E62"/>
    <w:rsid w:val="0053324C"/>
    <w:rsid w:val="00534A28"/>
    <w:rsid w:val="00541508"/>
    <w:rsid w:val="00543498"/>
    <w:rsid w:val="00545512"/>
    <w:rsid w:val="00553016"/>
    <w:rsid w:val="0055599F"/>
    <w:rsid w:val="00556995"/>
    <w:rsid w:val="00556D68"/>
    <w:rsid w:val="00563EB8"/>
    <w:rsid w:val="005647BF"/>
    <w:rsid w:val="0056486D"/>
    <w:rsid w:val="00564AF1"/>
    <w:rsid w:val="0057364B"/>
    <w:rsid w:val="00574773"/>
    <w:rsid w:val="0058308D"/>
    <w:rsid w:val="00583FFD"/>
    <w:rsid w:val="00591099"/>
    <w:rsid w:val="005911BE"/>
    <w:rsid w:val="00593152"/>
    <w:rsid w:val="00596010"/>
    <w:rsid w:val="005A10F2"/>
    <w:rsid w:val="005A21E0"/>
    <w:rsid w:val="005A28FF"/>
    <w:rsid w:val="005A3DF8"/>
    <w:rsid w:val="005A5113"/>
    <w:rsid w:val="005A5549"/>
    <w:rsid w:val="005A7038"/>
    <w:rsid w:val="005B121D"/>
    <w:rsid w:val="005B3361"/>
    <w:rsid w:val="005C06ED"/>
    <w:rsid w:val="005C2609"/>
    <w:rsid w:val="005C6CF0"/>
    <w:rsid w:val="005D0D46"/>
    <w:rsid w:val="005D5802"/>
    <w:rsid w:val="005D7119"/>
    <w:rsid w:val="005D7890"/>
    <w:rsid w:val="005E705E"/>
    <w:rsid w:val="005E7C78"/>
    <w:rsid w:val="005F18C5"/>
    <w:rsid w:val="005F3EB1"/>
    <w:rsid w:val="005F46D8"/>
    <w:rsid w:val="005F5469"/>
    <w:rsid w:val="00603FF5"/>
    <w:rsid w:val="00604307"/>
    <w:rsid w:val="0060487F"/>
    <w:rsid w:val="00604EAD"/>
    <w:rsid w:val="006104FB"/>
    <w:rsid w:val="00612A2F"/>
    <w:rsid w:val="006165E5"/>
    <w:rsid w:val="00616E05"/>
    <w:rsid w:val="00622275"/>
    <w:rsid w:val="00624093"/>
    <w:rsid w:val="00625F8F"/>
    <w:rsid w:val="006350D5"/>
    <w:rsid w:val="006404A7"/>
    <w:rsid w:val="006451E4"/>
    <w:rsid w:val="00645B33"/>
    <w:rsid w:val="006516CB"/>
    <w:rsid w:val="00656FC8"/>
    <w:rsid w:val="00657E87"/>
    <w:rsid w:val="00664803"/>
    <w:rsid w:val="0066504F"/>
    <w:rsid w:val="00665BA4"/>
    <w:rsid w:val="00667AF2"/>
    <w:rsid w:val="006710C9"/>
    <w:rsid w:val="006712EC"/>
    <w:rsid w:val="0067229E"/>
    <w:rsid w:val="006741AC"/>
    <w:rsid w:val="00674D89"/>
    <w:rsid w:val="00675E37"/>
    <w:rsid w:val="0068174E"/>
    <w:rsid w:val="00681DCE"/>
    <w:rsid w:val="0068260E"/>
    <w:rsid w:val="0068697A"/>
    <w:rsid w:val="00693FEC"/>
    <w:rsid w:val="00695BEF"/>
    <w:rsid w:val="006977F6"/>
    <w:rsid w:val="00697A13"/>
    <w:rsid w:val="006A109C"/>
    <w:rsid w:val="006A2056"/>
    <w:rsid w:val="006B0F92"/>
    <w:rsid w:val="006B173A"/>
    <w:rsid w:val="006B344A"/>
    <w:rsid w:val="006B759B"/>
    <w:rsid w:val="006B78D8"/>
    <w:rsid w:val="006C113F"/>
    <w:rsid w:val="006C123E"/>
    <w:rsid w:val="006C1752"/>
    <w:rsid w:val="006C4460"/>
    <w:rsid w:val="006C4ED6"/>
    <w:rsid w:val="006C56D4"/>
    <w:rsid w:val="006C6924"/>
    <w:rsid w:val="006C7CA6"/>
    <w:rsid w:val="006D3E8A"/>
    <w:rsid w:val="006D61F6"/>
    <w:rsid w:val="006E279A"/>
    <w:rsid w:val="006E313B"/>
    <w:rsid w:val="006E4254"/>
    <w:rsid w:val="006E7227"/>
    <w:rsid w:val="006F438E"/>
    <w:rsid w:val="006F5416"/>
    <w:rsid w:val="006F7076"/>
    <w:rsid w:val="00705242"/>
    <w:rsid w:val="00706AD4"/>
    <w:rsid w:val="00707150"/>
    <w:rsid w:val="00710078"/>
    <w:rsid w:val="007140BE"/>
    <w:rsid w:val="007143B4"/>
    <w:rsid w:val="007211F5"/>
    <w:rsid w:val="00723946"/>
    <w:rsid w:val="007240E2"/>
    <w:rsid w:val="00725BB5"/>
    <w:rsid w:val="00730517"/>
    <w:rsid w:val="00730AE8"/>
    <w:rsid w:val="00730F1B"/>
    <w:rsid w:val="00733628"/>
    <w:rsid w:val="007342AC"/>
    <w:rsid w:val="00741493"/>
    <w:rsid w:val="00743C34"/>
    <w:rsid w:val="007457F6"/>
    <w:rsid w:val="00752180"/>
    <w:rsid w:val="00753CAB"/>
    <w:rsid w:val="00755202"/>
    <w:rsid w:val="00755D3A"/>
    <w:rsid w:val="007578D3"/>
    <w:rsid w:val="007609C6"/>
    <w:rsid w:val="00760EA4"/>
    <w:rsid w:val="0076175D"/>
    <w:rsid w:val="00763B85"/>
    <w:rsid w:val="00764744"/>
    <w:rsid w:val="0076521E"/>
    <w:rsid w:val="00765C12"/>
    <w:rsid w:val="007661E9"/>
    <w:rsid w:val="00773220"/>
    <w:rsid w:val="00776169"/>
    <w:rsid w:val="00776527"/>
    <w:rsid w:val="00776EAB"/>
    <w:rsid w:val="00780EF1"/>
    <w:rsid w:val="00782AD8"/>
    <w:rsid w:val="00790711"/>
    <w:rsid w:val="00790764"/>
    <w:rsid w:val="0079124F"/>
    <w:rsid w:val="0079453C"/>
    <w:rsid w:val="00794677"/>
    <w:rsid w:val="00795928"/>
    <w:rsid w:val="00797445"/>
    <w:rsid w:val="007A3861"/>
    <w:rsid w:val="007A4577"/>
    <w:rsid w:val="007A516D"/>
    <w:rsid w:val="007B6689"/>
    <w:rsid w:val="007C6BBD"/>
    <w:rsid w:val="007D293C"/>
    <w:rsid w:val="007D40DF"/>
    <w:rsid w:val="007E29B4"/>
    <w:rsid w:val="007E435A"/>
    <w:rsid w:val="007E7E61"/>
    <w:rsid w:val="007E7FCE"/>
    <w:rsid w:val="007F0845"/>
    <w:rsid w:val="007F1744"/>
    <w:rsid w:val="007F708D"/>
    <w:rsid w:val="00800216"/>
    <w:rsid w:val="00801E13"/>
    <w:rsid w:val="00807365"/>
    <w:rsid w:val="00807C82"/>
    <w:rsid w:val="00810C82"/>
    <w:rsid w:val="00811E1D"/>
    <w:rsid w:val="00814B15"/>
    <w:rsid w:val="00816905"/>
    <w:rsid w:val="00821777"/>
    <w:rsid w:val="00821C44"/>
    <w:rsid w:val="00821FF6"/>
    <w:rsid w:val="00822574"/>
    <w:rsid w:val="00825C4D"/>
    <w:rsid w:val="008304D1"/>
    <w:rsid w:val="0083143E"/>
    <w:rsid w:val="00831CDE"/>
    <w:rsid w:val="00834304"/>
    <w:rsid w:val="00834FAA"/>
    <w:rsid w:val="0083516C"/>
    <w:rsid w:val="00836086"/>
    <w:rsid w:val="00846121"/>
    <w:rsid w:val="008462A8"/>
    <w:rsid w:val="0084708F"/>
    <w:rsid w:val="008477C8"/>
    <w:rsid w:val="00847963"/>
    <w:rsid w:val="00850815"/>
    <w:rsid w:val="0085114D"/>
    <w:rsid w:val="00852217"/>
    <w:rsid w:val="00853B8D"/>
    <w:rsid w:val="00854F24"/>
    <w:rsid w:val="00855408"/>
    <w:rsid w:val="00855712"/>
    <w:rsid w:val="00856D65"/>
    <w:rsid w:val="00861B41"/>
    <w:rsid w:val="00861BE3"/>
    <w:rsid w:val="00863434"/>
    <w:rsid w:val="00865E4C"/>
    <w:rsid w:val="008701E4"/>
    <w:rsid w:val="00871069"/>
    <w:rsid w:val="00875A32"/>
    <w:rsid w:val="00876086"/>
    <w:rsid w:val="008825B0"/>
    <w:rsid w:val="00884AD6"/>
    <w:rsid w:val="008873D4"/>
    <w:rsid w:val="0089126C"/>
    <w:rsid w:val="0089296D"/>
    <w:rsid w:val="00893E85"/>
    <w:rsid w:val="00894031"/>
    <w:rsid w:val="00895508"/>
    <w:rsid w:val="008A6CB4"/>
    <w:rsid w:val="008B542E"/>
    <w:rsid w:val="008B5CF6"/>
    <w:rsid w:val="008B76AB"/>
    <w:rsid w:val="008B7C02"/>
    <w:rsid w:val="008B7D2B"/>
    <w:rsid w:val="008C0049"/>
    <w:rsid w:val="008C0E88"/>
    <w:rsid w:val="008C1968"/>
    <w:rsid w:val="008C53CB"/>
    <w:rsid w:val="008C6FD4"/>
    <w:rsid w:val="008D1BA1"/>
    <w:rsid w:val="008D1E6A"/>
    <w:rsid w:val="008D2A16"/>
    <w:rsid w:val="008D6B35"/>
    <w:rsid w:val="008E163D"/>
    <w:rsid w:val="008E2C57"/>
    <w:rsid w:val="008E31FF"/>
    <w:rsid w:val="008E6F06"/>
    <w:rsid w:val="008E7FC9"/>
    <w:rsid w:val="008F029B"/>
    <w:rsid w:val="008F3FC9"/>
    <w:rsid w:val="008F585B"/>
    <w:rsid w:val="009003A8"/>
    <w:rsid w:val="00901518"/>
    <w:rsid w:val="00902500"/>
    <w:rsid w:val="00902EFF"/>
    <w:rsid w:val="00906401"/>
    <w:rsid w:val="0091155E"/>
    <w:rsid w:val="00912A92"/>
    <w:rsid w:val="0091728D"/>
    <w:rsid w:val="0092180B"/>
    <w:rsid w:val="00921F14"/>
    <w:rsid w:val="009231A3"/>
    <w:rsid w:val="00924AC8"/>
    <w:rsid w:val="0092597A"/>
    <w:rsid w:val="00925E75"/>
    <w:rsid w:val="00930FB1"/>
    <w:rsid w:val="0093139F"/>
    <w:rsid w:val="00932443"/>
    <w:rsid w:val="00937AE2"/>
    <w:rsid w:val="00943853"/>
    <w:rsid w:val="0094427A"/>
    <w:rsid w:val="00945245"/>
    <w:rsid w:val="009452D0"/>
    <w:rsid w:val="00956572"/>
    <w:rsid w:val="00957309"/>
    <w:rsid w:val="0095759C"/>
    <w:rsid w:val="00961532"/>
    <w:rsid w:val="0096774F"/>
    <w:rsid w:val="00967E76"/>
    <w:rsid w:val="009721DB"/>
    <w:rsid w:val="0097239B"/>
    <w:rsid w:val="00974923"/>
    <w:rsid w:val="009808F7"/>
    <w:rsid w:val="00980D3D"/>
    <w:rsid w:val="00981FFA"/>
    <w:rsid w:val="009855E1"/>
    <w:rsid w:val="00987A30"/>
    <w:rsid w:val="00992CF3"/>
    <w:rsid w:val="00994868"/>
    <w:rsid w:val="0099574A"/>
    <w:rsid w:val="009968D6"/>
    <w:rsid w:val="009A1CAB"/>
    <w:rsid w:val="009A60D1"/>
    <w:rsid w:val="009B6FD3"/>
    <w:rsid w:val="009C1750"/>
    <w:rsid w:val="009C2E29"/>
    <w:rsid w:val="009C554B"/>
    <w:rsid w:val="009C719E"/>
    <w:rsid w:val="009C7A10"/>
    <w:rsid w:val="009D1120"/>
    <w:rsid w:val="009D3ACD"/>
    <w:rsid w:val="009E5273"/>
    <w:rsid w:val="009E5DDB"/>
    <w:rsid w:val="009E7F05"/>
    <w:rsid w:val="009F46B7"/>
    <w:rsid w:val="009F4CA7"/>
    <w:rsid w:val="009F791A"/>
    <w:rsid w:val="00A04CEF"/>
    <w:rsid w:val="00A10D66"/>
    <w:rsid w:val="00A14114"/>
    <w:rsid w:val="00A1537C"/>
    <w:rsid w:val="00A16413"/>
    <w:rsid w:val="00A16E1D"/>
    <w:rsid w:val="00A17D5B"/>
    <w:rsid w:val="00A17EB2"/>
    <w:rsid w:val="00A206E5"/>
    <w:rsid w:val="00A20CC0"/>
    <w:rsid w:val="00A23447"/>
    <w:rsid w:val="00A23E43"/>
    <w:rsid w:val="00A25216"/>
    <w:rsid w:val="00A30F65"/>
    <w:rsid w:val="00A33549"/>
    <w:rsid w:val="00A33A89"/>
    <w:rsid w:val="00A40EAC"/>
    <w:rsid w:val="00A40EDD"/>
    <w:rsid w:val="00A418BC"/>
    <w:rsid w:val="00A4206C"/>
    <w:rsid w:val="00A46DE0"/>
    <w:rsid w:val="00A472EB"/>
    <w:rsid w:val="00A47FCA"/>
    <w:rsid w:val="00A50D73"/>
    <w:rsid w:val="00A52CAD"/>
    <w:rsid w:val="00A53FC7"/>
    <w:rsid w:val="00A62CE1"/>
    <w:rsid w:val="00A668A3"/>
    <w:rsid w:val="00A6741E"/>
    <w:rsid w:val="00A754EA"/>
    <w:rsid w:val="00A75E40"/>
    <w:rsid w:val="00A770F4"/>
    <w:rsid w:val="00A77D1D"/>
    <w:rsid w:val="00A84A6A"/>
    <w:rsid w:val="00A857C0"/>
    <w:rsid w:val="00A90FED"/>
    <w:rsid w:val="00AA2996"/>
    <w:rsid w:val="00AA2A70"/>
    <w:rsid w:val="00AA2DA1"/>
    <w:rsid w:val="00AA4B30"/>
    <w:rsid w:val="00AA52BF"/>
    <w:rsid w:val="00AA559A"/>
    <w:rsid w:val="00AB2AF1"/>
    <w:rsid w:val="00AB535B"/>
    <w:rsid w:val="00AC45BD"/>
    <w:rsid w:val="00AC5791"/>
    <w:rsid w:val="00AD168E"/>
    <w:rsid w:val="00AD306C"/>
    <w:rsid w:val="00AD4F16"/>
    <w:rsid w:val="00AD5323"/>
    <w:rsid w:val="00AD68C4"/>
    <w:rsid w:val="00AE09B3"/>
    <w:rsid w:val="00AE0ED3"/>
    <w:rsid w:val="00AE1A2E"/>
    <w:rsid w:val="00AE1A83"/>
    <w:rsid w:val="00AE31A7"/>
    <w:rsid w:val="00AF1DE9"/>
    <w:rsid w:val="00AF6128"/>
    <w:rsid w:val="00B00913"/>
    <w:rsid w:val="00B01593"/>
    <w:rsid w:val="00B01CF3"/>
    <w:rsid w:val="00B023F2"/>
    <w:rsid w:val="00B04705"/>
    <w:rsid w:val="00B04E70"/>
    <w:rsid w:val="00B07BBB"/>
    <w:rsid w:val="00B10A4D"/>
    <w:rsid w:val="00B14BC1"/>
    <w:rsid w:val="00B17E71"/>
    <w:rsid w:val="00B17FDE"/>
    <w:rsid w:val="00B2379C"/>
    <w:rsid w:val="00B25189"/>
    <w:rsid w:val="00B2687D"/>
    <w:rsid w:val="00B26897"/>
    <w:rsid w:val="00B32DDB"/>
    <w:rsid w:val="00B34528"/>
    <w:rsid w:val="00B34CC9"/>
    <w:rsid w:val="00B402FC"/>
    <w:rsid w:val="00B439DA"/>
    <w:rsid w:val="00B46604"/>
    <w:rsid w:val="00B50624"/>
    <w:rsid w:val="00B530CD"/>
    <w:rsid w:val="00B55F5E"/>
    <w:rsid w:val="00B5752E"/>
    <w:rsid w:val="00B63A11"/>
    <w:rsid w:val="00B63B6A"/>
    <w:rsid w:val="00B64C24"/>
    <w:rsid w:val="00B6608F"/>
    <w:rsid w:val="00B67768"/>
    <w:rsid w:val="00B679FB"/>
    <w:rsid w:val="00B71EF7"/>
    <w:rsid w:val="00B7665A"/>
    <w:rsid w:val="00B76D1E"/>
    <w:rsid w:val="00B8028A"/>
    <w:rsid w:val="00B80EC6"/>
    <w:rsid w:val="00B84CF6"/>
    <w:rsid w:val="00B92D1D"/>
    <w:rsid w:val="00B938C5"/>
    <w:rsid w:val="00B95940"/>
    <w:rsid w:val="00BA37EA"/>
    <w:rsid w:val="00BA5256"/>
    <w:rsid w:val="00BA6C2B"/>
    <w:rsid w:val="00BB22F6"/>
    <w:rsid w:val="00BB46F3"/>
    <w:rsid w:val="00BB4CB1"/>
    <w:rsid w:val="00BB4F98"/>
    <w:rsid w:val="00BB73ED"/>
    <w:rsid w:val="00BC5C12"/>
    <w:rsid w:val="00BC7154"/>
    <w:rsid w:val="00BC731E"/>
    <w:rsid w:val="00BD366B"/>
    <w:rsid w:val="00BD6D50"/>
    <w:rsid w:val="00BE18B9"/>
    <w:rsid w:val="00BE2495"/>
    <w:rsid w:val="00BF1578"/>
    <w:rsid w:val="00BF3B1D"/>
    <w:rsid w:val="00BF71A0"/>
    <w:rsid w:val="00BF723F"/>
    <w:rsid w:val="00C21F94"/>
    <w:rsid w:val="00C27913"/>
    <w:rsid w:val="00C27E4F"/>
    <w:rsid w:val="00C325AE"/>
    <w:rsid w:val="00C32964"/>
    <w:rsid w:val="00C33B68"/>
    <w:rsid w:val="00C36A79"/>
    <w:rsid w:val="00C401D2"/>
    <w:rsid w:val="00C405D4"/>
    <w:rsid w:val="00C4431F"/>
    <w:rsid w:val="00C4513B"/>
    <w:rsid w:val="00C5390B"/>
    <w:rsid w:val="00C53E5D"/>
    <w:rsid w:val="00C54141"/>
    <w:rsid w:val="00C5418A"/>
    <w:rsid w:val="00C54697"/>
    <w:rsid w:val="00C65535"/>
    <w:rsid w:val="00C66B0D"/>
    <w:rsid w:val="00C71E85"/>
    <w:rsid w:val="00C72884"/>
    <w:rsid w:val="00C73885"/>
    <w:rsid w:val="00C747B1"/>
    <w:rsid w:val="00C82191"/>
    <w:rsid w:val="00C83134"/>
    <w:rsid w:val="00C85545"/>
    <w:rsid w:val="00C9003C"/>
    <w:rsid w:val="00C90CF4"/>
    <w:rsid w:val="00C92EB6"/>
    <w:rsid w:val="00C93389"/>
    <w:rsid w:val="00C96040"/>
    <w:rsid w:val="00CA0914"/>
    <w:rsid w:val="00CA6AB4"/>
    <w:rsid w:val="00CA7BE7"/>
    <w:rsid w:val="00CB4930"/>
    <w:rsid w:val="00CC0E87"/>
    <w:rsid w:val="00CC2E7D"/>
    <w:rsid w:val="00CD10A5"/>
    <w:rsid w:val="00CD2076"/>
    <w:rsid w:val="00CD29B5"/>
    <w:rsid w:val="00CD6331"/>
    <w:rsid w:val="00CD7AFB"/>
    <w:rsid w:val="00CE670B"/>
    <w:rsid w:val="00CF322D"/>
    <w:rsid w:val="00CF39C9"/>
    <w:rsid w:val="00CF4908"/>
    <w:rsid w:val="00CF51EC"/>
    <w:rsid w:val="00CF59E5"/>
    <w:rsid w:val="00CF73AE"/>
    <w:rsid w:val="00D040DD"/>
    <w:rsid w:val="00D075BE"/>
    <w:rsid w:val="00D13986"/>
    <w:rsid w:val="00D20B26"/>
    <w:rsid w:val="00D21D83"/>
    <w:rsid w:val="00D235B7"/>
    <w:rsid w:val="00D23C02"/>
    <w:rsid w:val="00D25F28"/>
    <w:rsid w:val="00D26071"/>
    <w:rsid w:val="00D27973"/>
    <w:rsid w:val="00D35E1A"/>
    <w:rsid w:val="00D37C1E"/>
    <w:rsid w:val="00D40B2B"/>
    <w:rsid w:val="00D40F7C"/>
    <w:rsid w:val="00D417B7"/>
    <w:rsid w:val="00D42211"/>
    <w:rsid w:val="00D42756"/>
    <w:rsid w:val="00D50F46"/>
    <w:rsid w:val="00D567C6"/>
    <w:rsid w:val="00D57677"/>
    <w:rsid w:val="00D61DF8"/>
    <w:rsid w:val="00D66223"/>
    <w:rsid w:val="00D674D7"/>
    <w:rsid w:val="00D71625"/>
    <w:rsid w:val="00D751DA"/>
    <w:rsid w:val="00D8084C"/>
    <w:rsid w:val="00D915EA"/>
    <w:rsid w:val="00D96855"/>
    <w:rsid w:val="00DA47A8"/>
    <w:rsid w:val="00DA48C1"/>
    <w:rsid w:val="00DA7C0C"/>
    <w:rsid w:val="00DB08A9"/>
    <w:rsid w:val="00DB2EC8"/>
    <w:rsid w:val="00DB5AF8"/>
    <w:rsid w:val="00DB5FC0"/>
    <w:rsid w:val="00DB6566"/>
    <w:rsid w:val="00DC1B9B"/>
    <w:rsid w:val="00DC1E84"/>
    <w:rsid w:val="00DC40D2"/>
    <w:rsid w:val="00DC48F1"/>
    <w:rsid w:val="00DC5B3B"/>
    <w:rsid w:val="00DD129F"/>
    <w:rsid w:val="00DD4EFE"/>
    <w:rsid w:val="00DE02BD"/>
    <w:rsid w:val="00DE5DBA"/>
    <w:rsid w:val="00DF42FF"/>
    <w:rsid w:val="00DF5908"/>
    <w:rsid w:val="00E01C0E"/>
    <w:rsid w:val="00E03F9A"/>
    <w:rsid w:val="00E0465E"/>
    <w:rsid w:val="00E04694"/>
    <w:rsid w:val="00E063CE"/>
    <w:rsid w:val="00E12B1E"/>
    <w:rsid w:val="00E12D12"/>
    <w:rsid w:val="00E17262"/>
    <w:rsid w:val="00E253A2"/>
    <w:rsid w:val="00E31338"/>
    <w:rsid w:val="00E314B9"/>
    <w:rsid w:val="00E329EF"/>
    <w:rsid w:val="00E3309D"/>
    <w:rsid w:val="00E409C2"/>
    <w:rsid w:val="00E43C1C"/>
    <w:rsid w:val="00E45931"/>
    <w:rsid w:val="00E47EBA"/>
    <w:rsid w:val="00E50156"/>
    <w:rsid w:val="00E51643"/>
    <w:rsid w:val="00E53470"/>
    <w:rsid w:val="00E53874"/>
    <w:rsid w:val="00E539F6"/>
    <w:rsid w:val="00E54E39"/>
    <w:rsid w:val="00E55091"/>
    <w:rsid w:val="00E6519D"/>
    <w:rsid w:val="00E67696"/>
    <w:rsid w:val="00E71654"/>
    <w:rsid w:val="00E71A58"/>
    <w:rsid w:val="00E72A7A"/>
    <w:rsid w:val="00E75C94"/>
    <w:rsid w:val="00E849A6"/>
    <w:rsid w:val="00E91024"/>
    <w:rsid w:val="00E920F4"/>
    <w:rsid w:val="00E93820"/>
    <w:rsid w:val="00E94A86"/>
    <w:rsid w:val="00E96143"/>
    <w:rsid w:val="00EA038B"/>
    <w:rsid w:val="00EA0987"/>
    <w:rsid w:val="00EA0C68"/>
    <w:rsid w:val="00EA32BC"/>
    <w:rsid w:val="00EA4302"/>
    <w:rsid w:val="00EA6C97"/>
    <w:rsid w:val="00EA7407"/>
    <w:rsid w:val="00EB39C7"/>
    <w:rsid w:val="00EB3D8F"/>
    <w:rsid w:val="00EB4511"/>
    <w:rsid w:val="00EC03D7"/>
    <w:rsid w:val="00ED62C6"/>
    <w:rsid w:val="00ED64C1"/>
    <w:rsid w:val="00EE0E68"/>
    <w:rsid w:val="00EE3446"/>
    <w:rsid w:val="00EE3E78"/>
    <w:rsid w:val="00EE4B1B"/>
    <w:rsid w:val="00EE7F19"/>
    <w:rsid w:val="00EF150D"/>
    <w:rsid w:val="00EF1F5A"/>
    <w:rsid w:val="00EF47BF"/>
    <w:rsid w:val="00EF6DB3"/>
    <w:rsid w:val="00F04811"/>
    <w:rsid w:val="00F0488C"/>
    <w:rsid w:val="00F10F11"/>
    <w:rsid w:val="00F15AAA"/>
    <w:rsid w:val="00F15BEF"/>
    <w:rsid w:val="00F17E83"/>
    <w:rsid w:val="00F24407"/>
    <w:rsid w:val="00F24931"/>
    <w:rsid w:val="00F24FAA"/>
    <w:rsid w:val="00F252A0"/>
    <w:rsid w:val="00F3364D"/>
    <w:rsid w:val="00F437CC"/>
    <w:rsid w:val="00F43E29"/>
    <w:rsid w:val="00F44537"/>
    <w:rsid w:val="00F44B6A"/>
    <w:rsid w:val="00F47067"/>
    <w:rsid w:val="00F50FC3"/>
    <w:rsid w:val="00F5188A"/>
    <w:rsid w:val="00F52106"/>
    <w:rsid w:val="00F525EB"/>
    <w:rsid w:val="00F63DDE"/>
    <w:rsid w:val="00F63FB7"/>
    <w:rsid w:val="00F6421B"/>
    <w:rsid w:val="00F649D2"/>
    <w:rsid w:val="00F6602B"/>
    <w:rsid w:val="00F66643"/>
    <w:rsid w:val="00F66FD9"/>
    <w:rsid w:val="00F67C4E"/>
    <w:rsid w:val="00F70D20"/>
    <w:rsid w:val="00F73A0C"/>
    <w:rsid w:val="00F756DB"/>
    <w:rsid w:val="00F84E7D"/>
    <w:rsid w:val="00F85066"/>
    <w:rsid w:val="00F87A4D"/>
    <w:rsid w:val="00F90035"/>
    <w:rsid w:val="00F9785E"/>
    <w:rsid w:val="00FA5D4D"/>
    <w:rsid w:val="00FA60AD"/>
    <w:rsid w:val="00FA7115"/>
    <w:rsid w:val="00FB0EE2"/>
    <w:rsid w:val="00FB4423"/>
    <w:rsid w:val="00FB542E"/>
    <w:rsid w:val="00FB6631"/>
    <w:rsid w:val="00FC0E5F"/>
    <w:rsid w:val="00FC1A95"/>
    <w:rsid w:val="00FC56DE"/>
    <w:rsid w:val="00FC6700"/>
    <w:rsid w:val="00FC684B"/>
    <w:rsid w:val="00FD3265"/>
    <w:rsid w:val="00FD5F92"/>
    <w:rsid w:val="00FD66F9"/>
    <w:rsid w:val="00FD78F8"/>
    <w:rsid w:val="00FE2F78"/>
    <w:rsid w:val="00FF4082"/>
    <w:rsid w:val="00FF7090"/>
    <w:rsid w:val="00FF7B96"/>
    <w:rsid w:val="010E6CF6"/>
    <w:rsid w:val="0274CEEB"/>
    <w:rsid w:val="11D0C0D9"/>
    <w:rsid w:val="1C7F89FF"/>
    <w:rsid w:val="304DB734"/>
    <w:rsid w:val="30D0B3BE"/>
    <w:rsid w:val="52CC52E2"/>
    <w:rsid w:val="55C2456F"/>
    <w:rsid w:val="614CA75B"/>
    <w:rsid w:val="6B2670A5"/>
    <w:rsid w:val="6E1EAC99"/>
    <w:rsid w:val="7BDB84E4"/>
    <w:rsid w:val="7DB2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21432897"/>
  <w15:docId w15:val="{3A7C6927-7F52-4209-ABA9-A0ACA865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4FA0"/>
    <w:p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A0987"/>
    <w:pPr>
      <w:keepNext/>
      <w:keepLines/>
      <w:spacing w:after="100" w:line="276" w:lineRule="auto"/>
      <w:contextualSpacing/>
      <w:outlineLvl w:val="0"/>
    </w:pPr>
    <w:rPr>
      <w:rFonts w:ascii="Arial" w:eastAsia="MS Gothic" w:hAnsi="Arial"/>
      <w:b/>
      <w:bCs/>
      <w:color w:val="86BF5E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EA0987"/>
    <w:pPr>
      <w:keepNext/>
      <w:keepLines/>
      <w:spacing w:line="276" w:lineRule="auto"/>
      <w:outlineLvl w:val="1"/>
    </w:pPr>
    <w:rPr>
      <w:rFonts w:ascii="Arial" w:eastAsia="MS Gothic" w:hAnsi="Arial"/>
      <w:b/>
      <w:bCs/>
      <w:color w:val="86BF5E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EA0987"/>
    <w:pPr>
      <w:keepNext/>
      <w:keepLines/>
      <w:spacing w:line="276" w:lineRule="auto"/>
      <w:outlineLvl w:val="2"/>
    </w:pPr>
    <w:rPr>
      <w:rFonts w:ascii="Arial" w:eastAsia="MS Gothic" w:hAnsi="Arial"/>
      <w:b/>
      <w:bCs/>
      <w:color w:val="86BF5E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41041D"/>
    <w:pPr>
      <w:keepNext/>
      <w:keepLines/>
      <w:spacing w:line="276" w:lineRule="auto"/>
      <w:outlineLvl w:val="3"/>
    </w:pPr>
    <w:rPr>
      <w:rFonts w:ascii="Arial" w:eastAsia="MS Gothic" w:hAnsi="Arial"/>
      <w:b/>
      <w:bCs/>
      <w:iCs/>
      <w:color w:val="86BF5E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A516D"/>
    <w:pPr>
      <w:keepNext/>
      <w:keepLines/>
      <w:numPr>
        <w:ilvl w:val="4"/>
        <w:numId w:val="14"/>
      </w:numPr>
      <w:tabs>
        <w:tab w:val="num" w:pos="360"/>
      </w:tabs>
      <w:spacing w:before="200" w:after="0"/>
      <w:ind w:left="0" w:firstLine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516D"/>
    <w:pPr>
      <w:keepNext/>
      <w:keepLines/>
      <w:numPr>
        <w:ilvl w:val="5"/>
        <w:numId w:val="14"/>
      </w:numPr>
      <w:tabs>
        <w:tab w:val="num" w:pos="360"/>
      </w:tabs>
      <w:spacing w:before="200" w:after="0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516D"/>
    <w:pPr>
      <w:keepNext/>
      <w:keepLines/>
      <w:numPr>
        <w:ilvl w:val="6"/>
        <w:numId w:val="14"/>
      </w:numPr>
      <w:tabs>
        <w:tab w:val="num" w:pos="360"/>
      </w:tabs>
      <w:spacing w:before="20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516D"/>
    <w:pPr>
      <w:keepNext/>
      <w:keepLines/>
      <w:numPr>
        <w:ilvl w:val="7"/>
        <w:numId w:val="14"/>
      </w:numPr>
      <w:tabs>
        <w:tab w:val="num" w:pos="360"/>
      </w:tabs>
      <w:spacing w:before="200" w:after="0"/>
      <w:ind w:left="0"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516D"/>
    <w:pPr>
      <w:numPr>
        <w:ilvl w:val="8"/>
        <w:numId w:val="14"/>
      </w:numPr>
      <w:tabs>
        <w:tab w:val="num" w:pos="360"/>
      </w:tabs>
      <w:spacing w:before="240" w:after="60"/>
      <w:ind w:left="0" w:firstLine="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rsid w:val="00EA0987"/>
    <w:rPr>
      <w:rFonts w:ascii="Arial" w:eastAsia="MS Gothic" w:hAnsi="Arial"/>
      <w:b/>
      <w:bCs/>
      <w:color w:val="86BF5E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EA0987"/>
    <w:rPr>
      <w:rFonts w:ascii="Arial" w:eastAsia="MS Gothic" w:hAnsi="Arial"/>
      <w:b/>
      <w:bCs/>
      <w:color w:val="86BF5E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EA0987"/>
    <w:rPr>
      <w:rFonts w:ascii="Arial" w:eastAsia="MS Gothic" w:hAnsi="Arial"/>
      <w:b/>
      <w:bCs/>
      <w:color w:val="86BF5E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41041D"/>
    <w:rPr>
      <w:rFonts w:ascii="Arial" w:eastAsia="MS Gothic" w:hAnsi="Arial"/>
      <w:b/>
      <w:bCs/>
      <w:iCs/>
      <w:color w:val="86BF5E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7A516D"/>
    <w:rPr>
      <w:rFonts w:ascii="Cambria" w:eastAsia="Times New Roman" w:hAnsi="Cambria"/>
      <w:sz w:val="22"/>
      <w:szCs w:val="22"/>
      <w:lang w:eastAsia="cs-CZ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0A57D4"/>
    <w:pPr>
      <w:spacing w:after="80" w:line="288" w:lineRule="auto"/>
    </w:pPr>
    <w:rPr>
      <w:rFonts w:ascii="Arial" w:eastAsia="Times New Roman" w:hAnsi="Arial"/>
      <w:b/>
      <w:color w:val="86BF5E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A-Box1">
    <w:name w:val="A-Box 1"/>
    <w:next w:val="Normln"/>
    <w:qFormat/>
    <w:rsid w:val="00EA0987"/>
    <w:pPr>
      <w:shd w:val="clear" w:color="auto" w:fill="F0F6E9"/>
      <w:spacing w:before="240" w:after="240" w:line="276" w:lineRule="auto"/>
      <w:contextualSpacing/>
      <w:jc w:val="both"/>
    </w:pPr>
    <w:rPr>
      <w:rFonts w:ascii="Arial" w:hAnsi="Arial" w:cs="Arial"/>
      <w:lang w:eastAsia="cs-CZ"/>
    </w:rPr>
  </w:style>
  <w:style w:type="paragraph" w:customStyle="1" w:styleId="A-Box2">
    <w:name w:val="A-Box 2"/>
    <w:next w:val="Normln"/>
    <w:qFormat/>
    <w:rsid w:val="00EA0987"/>
    <w:pPr>
      <w:spacing w:before="240" w:after="240" w:line="276" w:lineRule="auto"/>
      <w:contextualSpacing/>
      <w:jc w:val="both"/>
    </w:pPr>
    <w:rPr>
      <w:rFonts w:ascii="Arial" w:hAnsi="Arial" w:cs="Arial"/>
      <w:color w:val="86BF5E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0A57D4"/>
    <w:pPr>
      <w:spacing w:after="40"/>
      <w:contextualSpacing/>
    </w:pPr>
    <w:rPr>
      <w:b/>
      <w:caps/>
      <w:sz w:val="24"/>
    </w:rPr>
  </w:style>
  <w:style w:type="paragraph" w:customStyle="1" w:styleId="TLKontakty">
    <w:name w:val="TL Kontakty"/>
    <w:qFormat/>
    <w:rsid w:val="000A57D4"/>
    <w:pPr>
      <w:spacing w:after="160" w:line="259" w:lineRule="auto"/>
      <w:contextualSpacing/>
    </w:pPr>
    <w:rPr>
      <w:rFonts w:ascii="Arial" w:eastAsia="Times New Roman" w:hAnsi="Arial"/>
      <w:b/>
      <w:color w:val="86BF5E"/>
      <w:lang w:eastAsia="cs-CZ"/>
    </w:rPr>
  </w:style>
  <w:style w:type="paragraph" w:styleId="Nzev">
    <w:name w:val="Title"/>
    <w:link w:val="NzevChar"/>
    <w:uiPriority w:val="10"/>
    <w:qFormat/>
    <w:rsid w:val="001E6062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1E6062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1E6062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1E6062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A516D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516D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516D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516D"/>
    <w:rPr>
      <w:rFonts w:asciiTheme="majorHAnsi" w:eastAsiaTheme="majorEastAsia" w:hAnsiTheme="majorHAnsi" w:cstheme="majorBidi"/>
      <w:color w:val="404040" w:themeColor="text1" w:themeTint="BF"/>
      <w:lang w:eastAsia="cs-CZ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8E7FC9"/>
    <w:pPr>
      <w:spacing w:after="0" w:line="240" w:lineRule="auto"/>
      <w:jc w:val="left"/>
    </w:pPr>
    <w:rPr>
      <w:rFonts w:eastAsia="Calibri"/>
      <w:szCs w:val="20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8E7FC9"/>
    <w:rPr>
      <w:rFonts w:ascii="Arial" w:hAnsi="Arial"/>
      <w:lang w:eastAsia="cs-CZ"/>
    </w:rPr>
  </w:style>
  <w:style w:type="paragraph" w:styleId="Bezmezer">
    <w:name w:val="No Spacing"/>
    <w:uiPriority w:val="1"/>
    <w:qFormat/>
    <w:rsid w:val="00AD68C4"/>
    <w:pPr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Marginlie">
    <w:name w:val="Marginálie"/>
    <w:basedOn w:val="Normln"/>
    <w:qFormat/>
    <w:rsid w:val="0089296D"/>
    <w:pPr>
      <w:spacing w:after="0"/>
      <w:jc w:val="left"/>
    </w:pPr>
    <w:rPr>
      <w:spacing w:val="-2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6B0F92"/>
    <w:pPr>
      <w:ind w:left="720"/>
      <w:contextualSpacing/>
    </w:pPr>
  </w:style>
  <w:style w:type="paragraph" w:customStyle="1" w:styleId="Normalodrka">
    <w:name w:val="Normal odrážka"/>
    <w:qFormat/>
    <w:rsid w:val="006B0F92"/>
    <w:pPr>
      <w:numPr>
        <w:numId w:val="20"/>
      </w:num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EA0987"/>
    <w:pPr>
      <w:shd w:val="clear" w:color="auto" w:fill="F0F6E9"/>
      <w:spacing w:before="240" w:after="240" w:line="276" w:lineRule="auto"/>
      <w:ind w:left="709"/>
      <w:contextualSpacing/>
      <w:jc w:val="both"/>
    </w:pPr>
    <w:rPr>
      <w:rFonts w:ascii="Arial" w:hAnsi="Arial" w:cs="Arial"/>
      <w:lang w:eastAsia="cs-CZ"/>
    </w:rPr>
  </w:style>
  <w:style w:type="paragraph" w:customStyle="1" w:styleId="Box2">
    <w:name w:val="Box 2"/>
    <w:next w:val="Normln"/>
    <w:qFormat/>
    <w:rsid w:val="00EA0987"/>
    <w:pPr>
      <w:spacing w:before="240" w:after="240" w:line="276" w:lineRule="auto"/>
      <w:ind w:left="709"/>
      <w:contextualSpacing/>
      <w:jc w:val="both"/>
    </w:pPr>
    <w:rPr>
      <w:rFonts w:ascii="Arial" w:hAnsi="Arial" w:cs="Arial"/>
      <w:b/>
      <w:color w:val="86BF5E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1E6062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32"/>
    <w:qFormat/>
    <w:rsid w:val="001E6062"/>
    <w:rPr>
      <w:b/>
      <w:bCs/>
      <w:smallCaps/>
      <w:color w:val="000000" w:themeColor="text1"/>
      <w:spacing w:val="5"/>
    </w:rPr>
  </w:style>
  <w:style w:type="character" w:styleId="Znakapoznpodarou">
    <w:name w:val="footnote reference"/>
    <w:basedOn w:val="Standardnpsmoodstavce"/>
    <w:rsid w:val="00E063CE"/>
    <w:rPr>
      <w:rFonts w:cs="Times New Roman"/>
      <w:vertAlign w:val="superscript"/>
    </w:rPr>
  </w:style>
  <w:style w:type="paragraph" w:customStyle="1" w:styleId="Nadpis11">
    <w:name w:val="Nadpis 11"/>
    <w:basedOn w:val="Normln"/>
    <w:uiPriority w:val="9"/>
    <w:qFormat/>
    <w:rsid w:val="008A6CB4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paragraph" w:customStyle="1" w:styleId="Textpoznpodarou1">
    <w:name w:val="Text pozn. pod čarou1"/>
    <w:basedOn w:val="Normln"/>
    <w:qFormat/>
    <w:rsid w:val="008A6CB4"/>
    <w:pPr>
      <w:spacing w:after="0" w:line="240" w:lineRule="auto"/>
      <w:jc w:val="left"/>
    </w:pPr>
    <w:rPr>
      <w:rFonts w:eastAsia="Calibri"/>
      <w:szCs w:val="20"/>
    </w:rPr>
  </w:style>
  <w:style w:type="character" w:styleId="Zdraznn">
    <w:name w:val="Emphasis"/>
    <w:basedOn w:val="Standardnpsmoodstavce"/>
    <w:uiPriority w:val="20"/>
    <w:qFormat/>
    <w:rsid w:val="00C4431F"/>
    <w:rPr>
      <w:i/>
      <w:iCs/>
    </w:rPr>
  </w:style>
  <w:style w:type="character" w:customStyle="1" w:styleId="normaltextrun">
    <w:name w:val="normaltextrun"/>
    <w:basedOn w:val="Standardnpsmoodstavce"/>
    <w:rsid w:val="00C4431F"/>
  </w:style>
  <w:style w:type="paragraph" w:customStyle="1" w:styleId="paragraph">
    <w:name w:val="paragraph"/>
    <w:basedOn w:val="Normln"/>
    <w:rsid w:val="00C4431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C4431F"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603FF5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455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551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5512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5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512"/>
    <w:rPr>
      <w:rFonts w:ascii="Arial" w:eastAsia="Times New Roman" w:hAnsi="Arial"/>
      <w:b/>
      <w:bCs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545512"/>
    <w:pPr>
      <w:spacing w:after="0" w:line="288" w:lineRule="auto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45512"/>
    <w:rPr>
      <w:rFonts w:ascii="Tahoma" w:hAnsi="Tahoma" w:cs="Tahoma"/>
      <w:sz w:val="16"/>
      <w:szCs w:val="16"/>
      <w:lang w:eastAsia="cs-CZ"/>
    </w:rPr>
  </w:style>
  <w:style w:type="paragraph" w:customStyle="1" w:styleId="Nadpis12">
    <w:name w:val="Nadpis 12"/>
    <w:basedOn w:val="Normln"/>
    <w:uiPriority w:val="9"/>
    <w:qFormat/>
    <w:rsid w:val="00545512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character" w:customStyle="1" w:styleId="spelle">
    <w:name w:val="spelle"/>
    <w:basedOn w:val="Standardnpsmoodstavce"/>
    <w:rsid w:val="00545512"/>
  </w:style>
  <w:style w:type="paragraph" w:styleId="Revize">
    <w:name w:val="Revision"/>
    <w:hidden/>
    <w:uiPriority w:val="99"/>
    <w:semiHidden/>
    <w:rsid w:val="00545512"/>
    <w:rPr>
      <w:rFonts w:ascii="Arial" w:eastAsia="Times New Roman" w:hAnsi="Arial"/>
      <w:szCs w:val="24"/>
      <w:lang w:eastAsia="cs-CZ"/>
    </w:rPr>
  </w:style>
  <w:style w:type="character" w:customStyle="1" w:styleId="odkaz-style-wrapper">
    <w:name w:val="odkaz-style-wrapper"/>
    <w:basedOn w:val="Standardnpsmoodstavce"/>
    <w:rsid w:val="00545512"/>
  </w:style>
  <w:style w:type="character" w:customStyle="1" w:styleId="tabulka">
    <w:name w:val="tabulka"/>
    <w:basedOn w:val="Standardnpsmoodstavce"/>
    <w:rsid w:val="00545512"/>
  </w:style>
  <w:style w:type="paragraph" w:customStyle="1" w:styleId="Default">
    <w:name w:val="Default"/>
    <w:rsid w:val="0054551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45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45512"/>
    <w:rPr>
      <w:rFonts w:ascii="Courier New" w:eastAsia="Times New Roman" w:hAnsi="Courier New" w:cs="Courier New"/>
      <w:lang w:eastAsia="cs-CZ"/>
    </w:rPr>
  </w:style>
  <w:style w:type="paragraph" w:customStyle="1" w:styleId="cay">
    <w:name w:val="c_ay"/>
    <w:basedOn w:val="Normln"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cew">
    <w:name w:val="c_ew"/>
    <w:basedOn w:val="Standardnpsmoodstavce"/>
    <w:rsid w:val="00545512"/>
  </w:style>
  <w:style w:type="character" w:styleId="Sledovanodkaz">
    <w:name w:val="FollowedHyperlink"/>
    <w:basedOn w:val="Standardnpsmoodstavce"/>
    <w:uiPriority w:val="99"/>
    <w:semiHidden/>
    <w:unhideWhenUsed/>
    <w:rsid w:val="00545512"/>
    <w:rPr>
      <w:color w:val="800080" w:themeColor="followedHyperlink"/>
      <w:u w:val="single"/>
    </w:rPr>
  </w:style>
  <w:style w:type="character" w:customStyle="1" w:styleId="cfu">
    <w:name w:val="c_fu"/>
    <w:basedOn w:val="Standardnpsmoodstavce"/>
    <w:rsid w:val="00BF3B1D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F59E5"/>
    <w:rPr>
      <w:rFonts w:ascii="Arial" w:eastAsia="Times New Roman" w:hAnsi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Qmakro-2025\1-3.kvar&#225;l%202025\Trh%20pr&#225;ce\Grafy-TRH%20PR&#193;CE%203q-202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Qmakro-2025\1-3.kvar&#225;l%202025\Trh%20pr&#225;ce\Grafy-TRH%20PR&#193;CE%203q-2025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F:\Qmakro-2025\1-3.kvar&#225;l%202025\Trh%20pr&#225;ce\Grafy-TRH%20PR&#193;CE%203q-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488731014312048E-2"/>
          <c:y val="1.4522051060224651E-2"/>
          <c:w val="0.84495121574960907"/>
          <c:h val="0.6755713073945954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'Trh práce 1-SNÚ'!$AC$7</c:f>
              <c:strCache>
                <c:ptCount val="1"/>
                <c:pt idx="0">
                  <c:v>Zemědělství, lesnictví a rybářství</c:v>
                </c:pt>
              </c:strCache>
            </c:strRef>
          </c:tx>
          <c:spPr>
            <a:solidFill>
              <a:srgbClr val="7DBB2D"/>
            </a:solidFill>
            <a:ln>
              <a:noFill/>
            </a:ln>
          </c:spPr>
          <c:invertIfNegative val="0"/>
          <c:cat>
            <c:multiLvlStrRef>
              <c:f>'Trh práce 1-SNÚ'!$AA$36:$AB$71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1-SNÚ'!$AC$36:$AC$71</c:f>
              <c:numCache>
                <c:formatCode>#\ ##0.0</c:formatCode>
                <c:ptCount val="36"/>
                <c:pt idx="0">
                  <c:v>0.11233090567681299</c:v>
                </c:pt>
                <c:pt idx="1">
                  <c:v>5.0729616313726009E-2</c:v>
                </c:pt>
                <c:pt idx="2">
                  <c:v>4.2943740830219922E-2</c:v>
                </c:pt>
                <c:pt idx="3">
                  <c:v>-6.9425529421968724E-2</c:v>
                </c:pt>
                <c:pt idx="4">
                  <c:v>6.9696535208619856E-3</c:v>
                </c:pt>
                <c:pt idx="5">
                  <c:v>9.479406509684412E-3</c:v>
                </c:pt>
                <c:pt idx="6">
                  <c:v>-3.0827114025735328E-3</c:v>
                </c:pt>
                <c:pt idx="7">
                  <c:v>6.4491191371409462E-2</c:v>
                </c:pt>
                <c:pt idx="8">
                  <c:v>-7.7187206717196741E-2</c:v>
                </c:pt>
                <c:pt idx="9">
                  <c:v>-0.12718590883712605</c:v>
                </c:pt>
                <c:pt idx="10">
                  <c:v>-0.15865097587800736</c:v>
                </c:pt>
                <c:pt idx="11">
                  <c:v>-0.17609829358037335</c:v>
                </c:pt>
                <c:pt idx="12">
                  <c:v>-0.2250948926699913</c:v>
                </c:pt>
                <c:pt idx="13">
                  <c:v>-0.16640126097373187</c:v>
                </c:pt>
                <c:pt idx="14">
                  <c:v>-7.0549043823175311E-2</c:v>
                </c:pt>
                <c:pt idx="15">
                  <c:v>-7.5093576708931548E-2</c:v>
                </c:pt>
                <c:pt idx="16">
                  <c:v>2.5997211931659263E-2</c:v>
                </c:pt>
                <c:pt idx="17">
                  <c:v>-4.2507410945245912E-2</c:v>
                </c:pt>
                <c:pt idx="18">
                  <c:v>-5.8046329677072947E-2</c:v>
                </c:pt>
                <c:pt idx="19">
                  <c:v>-8.5212682410797293E-3</c:v>
                </c:pt>
                <c:pt idx="20">
                  <c:v>0.10306235339118135</c:v>
                </c:pt>
                <c:pt idx="21">
                  <c:v>0.19517688868299057</c:v>
                </c:pt>
                <c:pt idx="22">
                  <c:v>0.16543408341936516</c:v>
                </c:pt>
                <c:pt idx="23">
                  <c:v>7.650834296747365E-2</c:v>
                </c:pt>
                <c:pt idx="24">
                  <c:v>1.021676732039499E-2</c:v>
                </c:pt>
                <c:pt idx="25">
                  <c:v>-1.5016960166060134E-2</c:v>
                </c:pt>
                <c:pt idx="26">
                  <c:v>-1.6656098487454283E-2</c:v>
                </c:pt>
                <c:pt idx="27">
                  <c:v>1.7912694758528712E-2</c:v>
                </c:pt>
                <c:pt idx="28">
                  <c:v>3.9459073530592912E-3</c:v>
                </c:pt>
                <c:pt idx="29">
                  <c:v>-1.3470732342822514E-3</c:v>
                </c:pt>
                <c:pt idx="30">
                  <c:v>-6.0025414937663474E-2</c:v>
                </c:pt>
                <c:pt idx="31">
                  <c:v>-2.1795046670668117E-2</c:v>
                </c:pt>
                <c:pt idx="32">
                  <c:v>4.6819939911952472E-3</c:v>
                </c:pt>
                <c:pt idx="33">
                  <c:v>-1.5063009006470091E-2</c:v>
                </c:pt>
                <c:pt idx="34">
                  <c:v>-1.7582517409897433E-3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D4-4407-ABAB-F6FE8F4964BB}"/>
            </c:ext>
          </c:extLst>
        </c:ser>
        <c:ser>
          <c:idx val="1"/>
          <c:order val="1"/>
          <c:tx>
            <c:strRef>
              <c:f>'Trh práce 1-SNÚ'!$AD$7</c:f>
              <c:strCache>
                <c:ptCount val="1"/>
                <c:pt idx="0">
                  <c:v>Zpracovatelský průmysl</c:v>
                </c:pt>
              </c:strCache>
            </c:strRef>
          </c:tx>
          <c:spPr>
            <a:solidFill>
              <a:srgbClr val="A6CDE8"/>
            </a:solidFill>
            <a:ln>
              <a:noFill/>
            </a:ln>
          </c:spPr>
          <c:invertIfNegative val="0"/>
          <c:cat>
            <c:multiLvlStrRef>
              <c:f>'Trh práce 1-SNÚ'!$AA$36:$AB$71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1-SNÚ'!$AD$36:$AD$71</c:f>
              <c:numCache>
                <c:formatCode>#\ ##0.0</c:formatCode>
                <c:ptCount val="36"/>
                <c:pt idx="0">
                  <c:v>0.3412385063505306</c:v>
                </c:pt>
                <c:pt idx="1">
                  <c:v>0.52262990754001282</c:v>
                </c:pt>
                <c:pt idx="2">
                  <c:v>0.60052374148058973</c:v>
                </c:pt>
                <c:pt idx="3">
                  <c:v>0.58608461317236227</c:v>
                </c:pt>
                <c:pt idx="4">
                  <c:v>0.1196805353909325</c:v>
                </c:pt>
                <c:pt idx="5">
                  <c:v>7.6175829556865152E-2</c:v>
                </c:pt>
                <c:pt idx="6">
                  <c:v>-0.12295131270874073</c:v>
                </c:pt>
                <c:pt idx="7">
                  <c:v>-0.10359555303921339</c:v>
                </c:pt>
                <c:pt idx="8">
                  <c:v>-4.3860627420650888E-2</c:v>
                </c:pt>
                <c:pt idx="9">
                  <c:v>-0.13093050641677487</c:v>
                </c:pt>
                <c:pt idx="10">
                  <c:v>-0.22271976780709798</c:v>
                </c:pt>
                <c:pt idx="11">
                  <c:v>-0.58749039840145689</c:v>
                </c:pt>
                <c:pt idx="12">
                  <c:v>-1.0289411191473512</c:v>
                </c:pt>
                <c:pt idx="13">
                  <c:v>-1.36021427307888</c:v>
                </c:pt>
                <c:pt idx="14">
                  <c:v>-1.3451400845056487</c:v>
                </c:pt>
                <c:pt idx="15">
                  <c:v>-1.0778269079948288</c:v>
                </c:pt>
                <c:pt idx="16">
                  <c:v>-0.3488211912900257</c:v>
                </c:pt>
                <c:pt idx="17">
                  <c:v>2.4010060407391501E-3</c:v>
                </c:pt>
                <c:pt idx="18">
                  <c:v>0.30789292015034142</c:v>
                </c:pt>
                <c:pt idx="19">
                  <c:v>0.30237067823921421</c:v>
                </c:pt>
                <c:pt idx="20">
                  <c:v>-2.6580743871842144E-2</c:v>
                </c:pt>
                <c:pt idx="21">
                  <c:v>0.16853333211620991</c:v>
                </c:pt>
                <c:pt idx="22">
                  <c:v>-2.6403068489182765E-2</c:v>
                </c:pt>
                <c:pt idx="23">
                  <c:v>-9.2811547940365419E-2</c:v>
                </c:pt>
                <c:pt idx="24">
                  <c:v>-5.2764598693500184E-2</c:v>
                </c:pt>
                <c:pt idx="25">
                  <c:v>-0.31110042071860405</c:v>
                </c:pt>
                <c:pt idx="26">
                  <c:v>-0.50542192458507462</c:v>
                </c:pt>
                <c:pt idx="27">
                  <c:v>-0.46124722040365801</c:v>
                </c:pt>
                <c:pt idx="28">
                  <c:v>-0.54433143546920737</c:v>
                </c:pt>
                <c:pt idx="29">
                  <c:v>-0.56115749389757896</c:v>
                </c:pt>
                <c:pt idx="30">
                  <c:v>-0.35449284515857832</c:v>
                </c:pt>
                <c:pt idx="31">
                  <c:v>-0.31216250121722122</c:v>
                </c:pt>
                <c:pt idx="32">
                  <c:v>-0.12986081759043511</c:v>
                </c:pt>
                <c:pt idx="33">
                  <c:v>-0.10161117389401052</c:v>
                </c:pt>
                <c:pt idx="34">
                  <c:v>-9.7912643826366344E-2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1D4-4407-ABAB-F6FE8F4964BB}"/>
            </c:ext>
          </c:extLst>
        </c:ser>
        <c:ser>
          <c:idx val="2"/>
          <c:order val="2"/>
          <c:tx>
            <c:strRef>
              <c:f>'Trh práce 1-SNÚ'!$AE$7</c:f>
              <c:strCache>
                <c:ptCount val="1"/>
                <c:pt idx="0">
                  <c:v>Stavebnictví</c:v>
                </c:pt>
              </c:strCache>
            </c:strRef>
          </c:tx>
          <c:spPr>
            <a:solidFill>
              <a:srgbClr val="48AEE7"/>
            </a:solidFill>
            <a:ln w="19050">
              <a:noFill/>
            </a:ln>
          </c:spPr>
          <c:invertIfNegative val="0"/>
          <c:cat>
            <c:multiLvlStrRef>
              <c:f>'Trh práce 1-SNÚ'!$AA$36:$AB$71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1-SNÚ'!$AE$36:$AE$71</c:f>
              <c:numCache>
                <c:formatCode>#\ ##0.0</c:formatCode>
                <c:ptCount val="36"/>
                <c:pt idx="0">
                  <c:v>-2.4917596145515041E-2</c:v>
                </c:pt>
                <c:pt idx="1">
                  <c:v>-5.0729616313726017E-3</c:v>
                </c:pt>
                <c:pt idx="2">
                  <c:v>4.3708885432985532E-2</c:v>
                </c:pt>
                <c:pt idx="3">
                  <c:v>-9.7823424059502784E-2</c:v>
                </c:pt>
                <c:pt idx="4">
                  <c:v>5.1256389244704353E-2</c:v>
                </c:pt>
                <c:pt idx="5">
                  <c:v>8.9117773773679798E-3</c:v>
                </c:pt>
                <c:pt idx="6">
                  <c:v>-5.6391062242198758E-3</c:v>
                </c:pt>
                <c:pt idx="7">
                  <c:v>5.0923988524626936E-2</c:v>
                </c:pt>
                <c:pt idx="8">
                  <c:v>-4.7272009553368181E-2</c:v>
                </c:pt>
                <c:pt idx="9">
                  <c:v>2.6435741121998226E-2</c:v>
                </c:pt>
                <c:pt idx="10">
                  <c:v>4.1039112569784514E-2</c:v>
                </c:pt>
                <c:pt idx="11">
                  <c:v>5.3949403273091355E-2</c:v>
                </c:pt>
                <c:pt idx="12">
                  <c:v>-5.1099289115963641E-2</c:v>
                </c:pt>
                <c:pt idx="13">
                  <c:v>-0.28554955941039528</c:v>
                </c:pt>
                <c:pt idx="14">
                  <c:v>-0.16527458730397476</c:v>
                </c:pt>
                <c:pt idx="15">
                  <c:v>-8.3857615087929036E-2</c:v>
                </c:pt>
                <c:pt idx="16">
                  <c:v>0.10143081302490671</c:v>
                </c:pt>
                <c:pt idx="17">
                  <c:v>0.31378267745211802</c:v>
                </c:pt>
                <c:pt idx="18">
                  <c:v>0.1716844366035131</c:v>
                </c:pt>
                <c:pt idx="19">
                  <c:v>0.23602377664143806</c:v>
                </c:pt>
                <c:pt idx="20">
                  <c:v>0.12253074614093086</c:v>
                </c:pt>
                <c:pt idx="21">
                  <c:v>0.14594050898891842</c:v>
                </c:pt>
                <c:pt idx="22">
                  <c:v>0.14253885117231668</c:v>
                </c:pt>
                <c:pt idx="23">
                  <c:v>0.12602038578353064</c:v>
                </c:pt>
                <c:pt idx="24">
                  <c:v>0.42623371242387226</c:v>
                </c:pt>
                <c:pt idx="25">
                  <c:v>0.38361677767530888</c:v>
                </c:pt>
                <c:pt idx="26">
                  <c:v>0.35275036864002512</c:v>
                </c:pt>
                <c:pt idx="27">
                  <c:v>0.24898458929216655</c:v>
                </c:pt>
                <c:pt idx="28">
                  <c:v>-0.12941835102569113</c:v>
                </c:pt>
                <c:pt idx="29">
                  <c:v>-8.2060748943194137E-2</c:v>
                </c:pt>
                <c:pt idx="30">
                  <c:v>-1.235166707869611E-3</c:v>
                </c:pt>
                <c:pt idx="31">
                  <c:v>6.030453791647699E-2</c:v>
                </c:pt>
                <c:pt idx="32">
                  <c:v>0.17295728196608265</c:v>
                </c:pt>
                <c:pt idx="33">
                  <c:v>8.1765384655559062E-2</c:v>
                </c:pt>
                <c:pt idx="34">
                  <c:v>0.21573382559498111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1D4-4407-ABAB-F6FE8F4964BB}"/>
            </c:ext>
          </c:extLst>
        </c:ser>
        <c:ser>
          <c:idx val="3"/>
          <c:order val="3"/>
          <c:tx>
            <c:strRef>
              <c:f>'Trh práce 1-SNÚ'!$AF$7</c:f>
              <c:strCache>
                <c:ptCount val="1"/>
                <c:pt idx="0">
                  <c:v>Obchod, doprava, ubytování a pohost.</c:v>
                </c:pt>
              </c:strCache>
            </c:strRef>
          </c:tx>
          <c:spPr>
            <a:solidFill>
              <a:srgbClr val="FDDEB3"/>
            </a:solidFill>
            <a:ln w="19050">
              <a:noFill/>
            </a:ln>
          </c:spPr>
          <c:invertIfNegative val="0"/>
          <c:cat>
            <c:multiLvlStrRef>
              <c:f>'Trh práce 1-SNÚ'!$AA$36:$AB$71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1-SNÚ'!$AF$36:$AF$71</c:f>
              <c:numCache>
                <c:formatCode>#\ ##0.0</c:formatCode>
                <c:ptCount val="36"/>
                <c:pt idx="0">
                  <c:v>0.16879414011911728</c:v>
                </c:pt>
                <c:pt idx="1">
                  <c:v>-1.9200681193459315E-2</c:v>
                </c:pt>
                <c:pt idx="2">
                  <c:v>0.34341602633627533</c:v>
                </c:pt>
                <c:pt idx="3">
                  <c:v>0.17810976918008636</c:v>
                </c:pt>
                <c:pt idx="4">
                  <c:v>0.13394268741863646</c:v>
                </c:pt>
                <c:pt idx="5">
                  <c:v>0.36277177846343162</c:v>
                </c:pt>
                <c:pt idx="6">
                  <c:v>0.13140997204507052</c:v>
                </c:pt>
                <c:pt idx="7">
                  <c:v>0.13129369292308796</c:v>
                </c:pt>
                <c:pt idx="8">
                  <c:v>5.4732064986453249E-2</c:v>
                </c:pt>
                <c:pt idx="9">
                  <c:v>-0.15364027979782902</c:v>
                </c:pt>
                <c:pt idx="10">
                  <c:v>-0.32178098177727366</c:v>
                </c:pt>
                <c:pt idx="11">
                  <c:v>-0.33729538991186869</c:v>
                </c:pt>
                <c:pt idx="12">
                  <c:v>-0.17031226657786785</c:v>
                </c:pt>
                <c:pt idx="13">
                  <c:v>-0.74764066051253641</c:v>
                </c:pt>
                <c:pt idx="14">
                  <c:v>-0.58389796545600492</c:v>
                </c:pt>
                <c:pt idx="15">
                  <c:v>-0.96116032871885804</c:v>
                </c:pt>
                <c:pt idx="16">
                  <c:v>-0.80036168715842226</c:v>
                </c:pt>
                <c:pt idx="17">
                  <c:v>-0.32784296882668651</c:v>
                </c:pt>
                <c:pt idx="18">
                  <c:v>0.14896065045639337</c:v>
                </c:pt>
                <c:pt idx="19">
                  <c:v>0.62556472594142731</c:v>
                </c:pt>
                <c:pt idx="20">
                  <c:v>0.11242472443929792</c:v>
                </c:pt>
                <c:pt idx="21">
                  <c:v>0.33360547415736347</c:v>
                </c:pt>
                <c:pt idx="22">
                  <c:v>-3.4097677020316033E-2</c:v>
                </c:pt>
                <c:pt idx="23">
                  <c:v>-0.17029883624108427</c:v>
                </c:pt>
                <c:pt idx="24">
                  <c:v>0.23343708104880306</c:v>
                </c:pt>
                <c:pt idx="25">
                  <c:v>0.20303830037257334</c:v>
                </c:pt>
                <c:pt idx="26">
                  <c:v>0.31586767243828845</c:v>
                </c:pt>
                <c:pt idx="27">
                  <c:v>0.401289191024224</c:v>
                </c:pt>
                <c:pt idx="28">
                  <c:v>0.42449070933333621</c:v>
                </c:pt>
                <c:pt idx="29">
                  <c:v>0.58470359591051257</c:v>
                </c:pt>
                <c:pt idx="30">
                  <c:v>0.28913962158547729</c:v>
                </c:pt>
                <c:pt idx="31">
                  <c:v>3.4901527438840167E-2</c:v>
                </c:pt>
                <c:pt idx="32">
                  <c:v>0.20335337681443294</c:v>
                </c:pt>
                <c:pt idx="33">
                  <c:v>0.27216035251106302</c:v>
                </c:pt>
                <c:pt idx="34">
                  <c:v>0.28223603467345776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1D4-4407-ABAB-F6FE8F4964BB}"/>
            </c:ext>
          </c:extLst>
        </c:ser>
        <c:ser>
          <c:idx val="4"/>
          <c:order val="4"/>
          <c:tx>
            <c:strRef>
              <c:f>'Trh práce 1-SNÚ'!$AG$7</c:f>
              <c:strCache>
                <c:ptCount val="1"/>
                <c:pt idx="0">
                  <c:v>Informační a komunikač. čin.</c:v>
                </c:pt>
              </c:strCache>
            </c:strRef>
          </c:tx>
          <c:spPr>
            <a:solidFill>
              <a:srgbClr val="F8A124"/>
            </a:solidFill>
            <a:ln w="19050">
              <a:noFill/>
            </a:ln>
          </c:spPr>
          <c:invertIfNegative val="0"/>
          <c:cat>
            <c:multiLvlStrRef>
              <c:f>'Trh práce 1-SNÚ'!$AA$36:$AB$71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1-SNÚ'!$AG$36:$AG$71</c:f>
              <c:numCache>
                <c:formatCode>#\ ##0.0</c:formatCode>
                <c:ptCount val="36"/>
                <c:pt idx="0">
                  <c:v>0.10297479979950704</c:v>
                </c:pt>
                <c:pt idx="1">
                  <c:v>0.11307918625101115</c:v>
                </c:pt>
                <c:pt idx="2">
                  <c:v>0.14195345242808999</c:v>
                </c:pt>
                <c:pt idx="3">
                  <c:v>0.14010642458143058</c:v>
                </c:pt>
                <c:pt idx="4">
                  <c:v>0.13192965397664363</c:v>
                </c:pt>
                <c:pt idx="5">
                  <c:v>0.14949459248107094</c:v>
                </c:pt>
                <c:pt idx="6">
                  <c:v>0.10537609830992209</c:v>
                </c:pt>
                <c:pt idx="7">
                  <c:v>0.12451009149969672</c:v>
                </c:pt>
                <c:pt idx="8">
                  <c:v>0.12599621261607491</c:v>
                </c:pt>
                <c:pt idx="9">
                  <c:v>7.6289189495829968E-2</c:v>
                </c:pt>
                <c:pt idx="10">
                  <c:v>0.11559629979865636</c:v>
                </c:pt>
                <c:pt idx="11">
                  <c:v>0.11960024608369116</c:v>
                </c:pt>
                <c:pt idx="12">
                  <c:v>9.8159995557559124E-2</c:v>
                </c:pt>
                <c:pt idx="13">
                  <c:v>5.3460156432470374E-2</c:v>
                </c:pt>
                <c:pt idx="14">
                  <c:v>7.6826712976932429E-2</c:v>
                </c:pt>
                <c:pt idx="15">
                  <c:v>6.039321318860455E-2</c:v>
                </c:pt>
                <c:pt idx="16">
                  <c:v>2.7532032752697451E-2</c:v>
                </c:pt>
                <c:pt idx="17">
                  <c:v>8.0385682243946738E-2</c:v>
                </c:pt>
                <c:pt idx="18">
                  <c:v>6.3128020250057523E-2</c:v>
                </c:pt>
                <c:pt idx="19">
                  <c:v>-1.7675873986564034E-2</c:v>
                </c:pt>
                <c:pt idx="20">
                  <c:v>0.18492112917440828</c:v>
                </c:pt>
                <c:pt idx="21">
                  <c:v>0.17372511722879458</c:v>
                </c:pt>
                <c:pt idx="22">
                  <c:v>0.17938999104936179</c:v>
                </c:pt>
                <c:pt idx="23">
                  <c:v>0.26610369779656495</c:v>
                </c:pt>
                <c:pt idx="24">
                  <c:v>0.27430415033038302</c:v>
                </c:pt>
                <c:pt idx="25">
                  <c:v>0.19353318326371879</c:v>
                </c:pt>
                <c:pt idx="26">
                  <c:v>0.15713935340689195</c:v>
                </c:pt>
                <c:pt idx="27">
                  <c:v>0.13924832056812467</c:v>
                </c:pt>
                <c:pt idx="28">
                  <c:v>9.9518376998284114E-2</c:v>
                </c:pt>
                <c:pt idx="29">
                  <c:v>7.0195432646707995E-2</c:v>
                </c:pt>
                <c:pt idx="30">
                  <c:v>4.0428665527732194E-2</c:v>
                </c:pt>
                <c:pt idx="31">
                  <c:v>-0.1006364190443772</c:v>
                </c:pt>
                <c:pt idx="32">
                  <c:v>-4.2948999997972151E-3</c:v>
                </c:pt>
                <c:pt idx="33">
                  <c:v>-4.0442896444378935E-2</c:v>
                </c:pt>
                <c:pt idx="34">
                  <c:v>5.053142243115314E-2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1D4-4407-ABAB-F6FE8F4964BB}"/>
            </c:ext>
          </c:extLst>
        </c:ser>
        <c:ser>
          <c:idx val="5"/>
          <c:order val="5"/>
          <c:tx>
            <c:strRef>
              <c:f>'Trh práce 1-SNÚ'!$AH$7</c:f>
              <c:strCache>
                <c:ptCount val="1"/>
                <c:pt idx="0">
                  <c:v>Profesní, vědec., techn. a admin. čin.</c:v>
                </c:pt>
              </c:strCache>
            </c:strRef>
          </c:tx>
          <c:spPr>
            <a:solidFill>
              <a:srgbClr val="E8C0BE"/>
            </a:solidFill>
            <a:ln w="19050">
              <a:noFill/>
            </a:ln>
          </c:spPr>
          <c:invertIfNegative val="0"/>
          <c:cat>
            <c:multiLvlStrRef>
              <c:f>'Trh práce 1-SNÚ'!$AA$36:$AB$71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1-SNÚ'!$AH$36:$AH$71</c:f>
              <c:numCache>
                <c:formatCode>#\ ##0.0</c:formatCode>
                <c:ptCount val="36"/>
                <c:pt idx="0">
                  <c:v>0.30218108694896378</c:v>
                </c:pt>
                <c:pt idx="1">
                  <c:v>0.24690965706205212</c:v>
                </c:pt>
                <c:pt idx="2">
                  <c:v>0.20140518806297794</c:v>
                </c:pt>
                <c:pt idx="3">
                  <c:v>4.4888835461875665E-2</c:v>
                </c:pt>
                <c:pt idx="4">
                  <c:v>0.11405923445857516</c:v>
                </c:pt>
                <c:pt idx="5">
                  <c:v>0.12026169216677469</c:v>
                </c:pt>
                <c:pt idx="6">
                  <c:v>8.2368544915104994E-2</c:v>
                </c:pt>
                <c:pt idx="7">
                  <c:v>0.21654909363756486</c:v>
                </c:pt>
                <c:pt idx="8">
                  <c:v>4.1892522344083222E-2</c:v>
                </c:pt>
                <c:pt idx="9">
                  <c:v>2.5895475799561337E-3</c:v>
                </c:pt>
                <c:pt idx="10">
                  <c:v>1.655374845356929E-2</c:v>
                </c:pt>
                <c:pt idx="11">
                  <c:v>-0.16305742058229164</c:v>
                </c:pt>
                <c:pt idx="12">
                  <c:v>-0.17106015225830634</c:v>
                </c:pt>
                <c:pt idx="13">
                  <c:v>-0.35509622734956792</c:v>
                </c:pt>
                <c:pt idx="14">
                  <c:v>-0.52248517227624403</c:v>
                </c:pt>
                <c:pt idx="15">
                  <c:v>-0.259700179999866</c:v>
                </c:pt>
                <c:pt idx="16">
                  <c:v>-0.13767911216868525</c:v>
                </c:pt>
                <c:pt idx="17">
                  <c:v>0.17127816692216799</c:v>
                </c:pt>
                <c:pt idx="18">
                  <c:v>0.30499731533328217</c:v>
                </c:pt>
                <c:pt idx="19">
                  <c:v>0.11023910985757197</c:v>
                </c:pt>
                <c:pt idx="20">
                  <c:v>0.14110294451336577</c:v>
                </c:pt>
                <c:pt idx="21">
                  <c:v>0.11855526883462565</c:v>
                </c:pt>
                <c:pt idx="22">
                  <c:v>0.16494374071885179</c:v>
                </c:pt>
                <c:pt idx="23">
                  <c:v>0.23562461136341045</c:v>
                </c:pt>
                <c:pt idx="24">
                  <c:v>0.45505217255496794</c:v>
                </c:pt>
                <c:pt idx="25">
                  <c:v>0.46143875226871167</c:v>
                </c:pt>
                <c:pt idx="26">
                  <c:v>0.51807756844142316</c:v>
                </c:pt>
                <c:pt idx="27">
                  <c:v>0.51726408336593921</c:v>
                </c:pt>
                <c:pt idx="28">
                  <c:v>0.23008530199528826</c:v>
                </c:pt>
                <c:pt idx="29">
                  <c:v>0.17028481925967967</c:v>
                </c:pt>
                <c:pt idx="30">
                  <c:v>0.14108553455710646</c:v>
                </c:pt>
                <c:pt idx="31">
                  <c:v>0.10637970836975597</c:v>
                </c:pt>
                <c:pt idx="32">
                  <c:v>0.16551033089347292</c:v>
                </c:pt>
                <c:pt idx="33">
                  <c:v>8.8032475994017423E-2</c:v>
                </c:pt>
                <c:pt idx="34">
                  <c:v>4.9817132661376065E-2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1D4-4407-ABAB-F6FE8F4964BB}"/>
            </c:ext>
          </c:extLst>
        </c:ser>
        <c:ser>
          <c:idx val="6"/>
          <c:order val="6"/>
          <c:tx>
            <c:strRef>
              <c:f>'Trh práce 1-SNÚ'!$AI$7</c:f>
              <c:strCache>
                <c:ptCount val="1"/>
                <c:pt idx="0">
                  <c:v>Veř.spr.,obrana, vzděl.,zdrav.a soc.péče</c:v>
                </c:pt>
              </c:strCache>
            </c:strRef>
          </c:tx>
          <c:spPr>
            <a:solidFill>
              <a:srgbClr val="D58D8B"/>
            </a:solidFill>
            <a:ln>
              <a:noFill/>
            </a:ln>
          </c:spPr>
          <c:invertIfNegative val="0"/>
          <c:cat>
            <c:multiLvlStrRef>
              <c:f>'Trh práce 1-SNÚ'!$AA$36:$AB$71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1-SNÚ'!$AI$36:$AI$71</c:f>
              <c:numCache>
                <c:formatCode>#\ ##0.0</c:formatCode>
                <c:ptCount val="36"/>
                <c:pt idx="0">
                  <c:v>0.25372913823733012</c:v>
                </c:pt>
                <c:pt idx="1">
                  <c:v>0.32300408153264115</c:v>
                </c:pt>
                <c:pt idx="2">
                  <c:v>0.40403460749038084</c:v>
                </c:pt>
                <c:pt idx="3">
                  <c:v>0.45280661737517469</c:v>
                </c:pt>
                <c:pt idx="4">
                  <c:v>0.60960729705632077</c:v>
                </c:pt>
                <c:pt idx="5">
                  <c:v>0.68223345413111947</c:v>
                </c:pt>
                <c:pt idx="6">
                  <c:v>0.5434782608695643</c:v>
                </c:pt>
                <c:pt idx="7">
                  <c:v>0.5340066073405344</c:v>
                </c:pt>
                <c:pt idx="8">
                  <c:v>0.30745550067561389</c:v>
                </c:pt>
                <c:pt idx="9">
                  <c:v>0.28160864186055334</c:v>
                </c:pt>
                <c:pt idx="10">
                  <c:v>0.3282382500579219</c:v>
                </c:pt>
                <c:pt idx="11">
                  <c:v>0.35876353176605752</c:v>
                </c:pt>
                <c:pt idx="12">
                  <c:v>0.41133712424120017</c:v>
                </c:pt>
                <c:pt idx="13">
                  <c:v>0.31561623734818278</c:v>
                </c:pt>
                <c:pt idx="14">
                  <c:v>0.43203815926035638</c:v>
                </c:pt>
                <c:pt idx="15">
                  <c:v>0.41513077518294128</c:v>
                </c:pt>
                <c:pt idx="16">
                  <c:v>0.48992996479954942</c:v>
                </c:pt>
                <c:pt idx="17">
                  <c:v>0.61125772187553584</c:v>
                </c:pt>
                <c:pt idx="18">
                  <c:v>0.59327299225281893</c:v>
                </c:pt>
                <c:pt idx="19">
                  <c:v>0.46696166120205151</c:v>
                </c:pt>
                <c:pt idx="20">
                  <c:v>0.25751287373689258</c:v>
                </c:pt>
                <c:pt idx="21">
                  <c:v>0.20481877532064779</c:v>
                </c:pt>
                <c:pt idx="22">
                  <c:v>0.21446835347070459</c:v>
                </c:pt>
                <c:pt idx="23">
                  <c:v>0.25725553805377149</c:v>
                </c:pt>
                <c:pt idx="24">
                  <c:v>0.3121685098080022</c:v>
                </c:pt>
                <c:pt idx="25">
                  <c:v>0.29209018650089497</c:v>
                </c:pt>
                <c:pt idx="26">
                  <c:v>0.13623978201634884</c:v>
                </c:pt>
                <c:pt idx="27">
                  <c:v>0.10560831716863539</c:v>
                </c:pt>
                <c:pt idx="28">
                  <c:v>9.5665096578395212E-2</c:v>
                </c:pt>
                <c:pt idx="29">
                  <c:v>0.11009094405106729</c:v>
                </c:pt>
                <c:pt idx="30">
                  <c:v>0.19281505369564569</c:v>
                </c:pt>
                <c:pt idx="31">
                  <c:v>0.30238786457691319</c:v>
                </c:pt>
                <c:pt idx="32">
                  <c:v>0.33968419397537797</c:v>
                </c:pt>
                <c:pt idx="33">
                  <c:v>0.45379605235550524</c:v>
                </c:pt>
                <c:pt idx="34">
                  <c:v>0.42666908914684437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1D4-4407-ABAB-F6FE8F4964BB}"/>
            </c:ext>
          </c:extLst>
        </c:ser>
        <c:ser>
          <c:idx val="7"/>
          <c:order val="7"/>
          <c:tx>
            <c:strRef>
              <c:f>'Trh práce 1-SNÚ'!$AJ$7</c:f>
              <c:strCache>
                <c:ptCount val="1"/>
                <c:pt idx="0">
                  <c:v>Ostatní odvětví*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noFill/>
            </a:ln>
          </c:spPr>
          <c:invertIfNegative val="0"/>
          <c:cat>
            <c:multiLvlStrRef>
              <c:f>'Trh práce 1-SNÚ'!$AA$36:$AB$71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1-SNÚ'!$AJ$36:$AJ$71</c:f>
              <c:numCache>
                <c:formatCode>#\ ##0.0</c:formatCode>
                <c:ptCount val="36"/>
                <c:pt idx="0">
                  <c:v>-9.3484211907537543E-2</c:v>
                </c:pt>
                <c:pt idx="1">
                  <c:v>-5.7295751557351692E-2</c:v>
                </c:pt>
                <c:pt idx="2">
                  <c:v>-1.3906503155264979E-2</c:v>
                </c:pt>
                <c:pt idx="3">
                  <c:v>-1.3143298857693261E-2</c:v>
                </c:pt>
                <c:pt idx="4">
                  <c:v>0.15044576346667207</c:v>
                </c:pt>
                <c:pt idx="5">
                  <c:v>0.15339231252297711</c:v>
                </c:pt>
                <c:pt idx="6">
                  <c:v>-1.0827083950502157E-2</c:v>
                </c:pt>
                <c:pt idx="7">
                  <c:v>-8.1553546198111036E-3</c:v>
                </c:pt>
                <c:pt idx="8">
                  <c:v>-0.11190083149627598</c:v>
                </c:pt>
                <c:pt idx="9">
                  <c:v>-3.0869642733721676E-2</c:v>
                </c:pt>
                <c:pt idx="10">
                  <c:v>8.9785889301152055E-2</c:v>
                </c:pt>
                <c:pt idx="11">
                  <c:v>7.3017726843752948E-2</c:v>
                </c:pt>
                <c:pt idx="12">
                  <c:v>-0.18902810573084244</c:v>
                </c:pt>
                <c:pt idx="13">
                  <c:v>-0.41036448530712522</c:v>
                </c:pt>
                <c:pt idx="14">
                  <c:v>-0.39059806942990016</c:v>
                </c:pt>
                <c:pt idx="15">
                  <c:v>-0.44320191520455926</c:v>
                </c:pt>
                <c:pt idx="16">
                  <c:v>1.4950291701223861E-2</c:v>
                </c:pt>
                <c:pt idx="17">
                  <c:v>0.1930600937237536</c:v>
                </c:pt>
                <c:pt idx="18">
                  <c:v>0.14821277901357677</c:v>
                </c:pt>
                <c:pt idx="19">
                  <c:v>0.23009343455474068</c:v>
                </c:pt>
                <c:pt idx="20">
                  <c:v>7.4040909938567476E-2</c:v>
                </c:pt>
                <c:pt idx="21">
                  <c:v>9.8548829499684021E-2</c:v>
                </c:pt>
                <c:pt idx="22">
                  <c:v>7.9699548168061685E-2</c:v>
                </c:pt>
                <c:pt idx="23">
                  <c:v>9.0514791581597767E-2</c:v>
                </c:pt>
                <c:pt idx="24">
                  <c:v>0.28236803137624006</c:v>
                </c:pt>
                <c:pt idx="25">
                  <c:v>0.38946608051152709</c:v>
                </c:pt>
                <c:pt idx="26">
                  <c:v>0.44360181493523027</c:v>
                </c:pt>
                <c:pt idx="27">
                  <c:v>0.50060284903371011</c:v>
                </c:pt>
                <c:pt idx="28">
                  <c:v>0.32098937420872459</c:v>
                </c:pt>
                <c:pt idx="29">
                  <c:v>0.40904893677170773</c:v>
                </c:pt>
                <c:pt idx="30">
                  <c:v>0.40858208576886845</c:v>
                </c:pt>
                <c:pt idx="31">
                  <c:v>0.46211389494970656</c:v>
                </c:pt>
                <c:pt idx="32">
                  <c:v>0.31339866865473065</c:v>
                </c:pt>
                <c:pt idx="33">
                  <c:v>0.21315440482148432</c:v>
                </c:pt>
                <c:pt idx="34">
                  <c:v>7.6099333164712318E-2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1D4-4407-ABAB-F6FE8F4964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7"/>
        <c:overlap val="100"/>
        <c:axId val="101898496"/>
        <c:axId val="101781504"/>
      </c:barChart>
      <c:lineChart>
        <c:grouping val="standard"/>
        <c:varyColors val="0"/>
        <c:ser>
          <c:idx val="8"/>
          <c:order val="8"/>
          <c:tx>
            <c:strRef>
              <c:f>'Trh práce 1-SNÚ'!$AK$7</c:f>
              <c:strCache>
                <c:ptCount val="1"/>
                <c:pt idx="0">
                  <c:v>Zaměstnanost celkem</c:v>
                </c:pt>
              </c:strCache>
            </c:strRef>
          </c:tx>
          <c:spPr>
            <a:ln w="19050">
              <a:solidFill>
                <a:schemeClr val="tx1">
                  <a:lumMod val="95000"/>
                  <a:lumOff val="5000"/>
                </a:schemeClr>
              </a:solidFill>
            </a:ln>
          </c:spPr>
          <c:marker>
            <c:symbol val="none"/>
          </c:marker>
          <c:cat>
            <c:multiLvlStrRef>
              <c:f>'Trh práce 1-SNÚ'!$AA$36:$AB$71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1-SNÚ'!$AK$36:$AK$71</c:f>
              <c:numCache>
                <c:formatCode>#\ ##0.0</c:formatCode>
                <c:ptCount val="36"/>
                <c:pt idx="0">
                  <c:v>1.1628467690792093</c:v>
                </c:pt>
                <c:pt idx="1">
                  <c:v>1.1747830543172597</c:v>
                </c:pt>
                <c:pt idx="2">
                  <c:v>1.7640791389062542</c:v>
                </c:pt>
                <c:pt idx="3">
                  <c:v>1.2216040074317647</c:v>
                </c:pt>
                <c:pt idx="4">
                  <c:v>1.317891214533347</c:v>
                </c:pt>
                <c:pt idx="5">
                  <c:v>1.5627208432092914</c:v>
                </c:pt>
                <c:pt idx="6">
                  <c:v>0.72013266185362568</c:v>
                </c:pt>
                <c:pt idx="7">
                  <c:v>1.0100237576378959</c:v>
                </c:pt>
                <c:pt idx="8">
                  <c:v>0.2498556254347335</c:v>
                </c:pt>
                <c:pt idx="9">
                  <c:v>-5.5703217727113952E-2</c:v>
                </c:pt>
                <c:pt idx="10">
                  <c:v>-0.11193842528129494</c:v>
                </c:pt>
                <c:pt idx="11">
                  <c:v>-0.65861059450939763</c:v>
                </c:pt>
                <c:pt idx="12">
                  <c:v>-1.3260387057015635</c:v>
                </c:pt>
                <c:pt idx="13">
                  <c:v>-2.9561900728515837</c:v>
                </c:pt>
                <c:pt idx="14">
                  <c:v>-2.569080050557659</c:v>
                </c:pt>
                <c:pt idx="15">
                  <c:v>-2.4253165353434269</c:v>
                </c:pt>
                <c:pt idx="16">
                  <c:v>-0.62702167640709661</c:v>
                </c:pt>
                <c:pt idx="17">
                  <c:v>1.0018149684863289</c:v>
                </c:pt>
                <c:pt idx="18">
                  <c:v>1.6801027843829104</c:v>
                </c:pt>
                <c:pt idx="19">
                  <c:v>1.9450562442088</c:v>
                </c:pt>
                <c:pt idx="20">
                  <c:v>0.9690149374628021</c:v>
                </c:pt>
                <c:pt idx="21">
                  <c:v>1.4389041948292345</c:v>
                </c:pt>
                <c:pt idx="22">
                  <c:v>0.8859738224891629</c:v>
                </c:pt>
                <c:pt idx="23">
                  <c:v>0.78891698336489924</c:v>
                </c:pt>
                <c:pt idx="24">
                  <c:v>1.9410158261691635</c:v>
                </c:pt>
                <c:pt idx="25">
                  <c:v>1.5970658997080704</c:v>
                </c:pt>
                <c:pt idx="26">
                  <c:v>1.4015985368056789</c:v>
                </c:pt>
                <c:pt idx="27">
                  <c:v>1.4696628248076706</c:v>
                </c:pt>
                <c:pt idx="28">
                  <c:v>0.50094497997218923</c:v>
                </c:pt>
                <c:pt idx="29">
                  <c:v>0.6997584125646199</c:v>
                </c:pt>
                <c:pt idx="30">
                  <c:v>0.65629753433071869</c:v>
                </c:pt>
                <c:pt idx="31">
                  <c:v>0.53149356631942624</c:v>
                </c:pt>
                <c:pt idx="32">
                  <c:v>1.06543012870506</c:v>
                </c:pt>
                <c:pt idx="33">
                  <c:v>0.95179159099276944</c:v>
                </c:pt>
                <c:pt idx="34">
                  <c:v>1.0014159421051687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11D4-4407-ABAB-F6FE8F4964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1898496"/>
        <c:axId val="101781504"/>
      </c:lineChart>
      <c:lineChart>
        <c:grouping val="standard"/>
        <c:varyColors val="0"/>
        <c:ser>
          <c:idx val="9"/>
          <c:order val="9"/>
          <c:tx>
            <c:strRef>
              <c:f>'Trh práce 1-SNÚ'!$AL$7</c:f>
              <c:strCache>
                <c:ptCount val="1"/>
              </c:strCache>
            </c:strRef>
          </c:tx>
          <c:spPr>
            <a:ln>
              <a:noFill/>
            </a:ln>
          </c:spPr>
          <c:marker>
            <c:symbol val="none"/>
          </c:marker>
          <c:cat>
            <c:multiLvlStrRef>
              <c:f>'Trh práce 1-SNÚ'!$AA$36:$AB$71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1-SNÚ'!$AL$36:$AL$71</c:f>
              <c:numCache>
                <c:formatCode>General</c:formatCode>
                <c:ptCount val="36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11D4-4407-ABAB-F6FE8F4964BB}"/>
            </c:ext>
          </c:extLst>
        </c:ser>
        <c:ser>
          <c:idx val="10"/>
          <c:order val="10"/>
          <c:tx>
            <c:strRef>
              <c:f>'Trh práce 1-SNÚ'!$AM$7</c:f>
              <c:strCache>
                <c:ptCount val="1"/>
                <c:pt idx="0">
                  <c:v>Očekávání zaměstnanosti (průmysl)</c:v>
                </c:pt>
              </c:strCache>
            </c:strRef>
          </c:tx>
          <c:spPr>
            <a:ln w="15875">
              <a:solidFill>
                <a:schemeClr val="tx1">
                  <a:lumMod val="95000"/>
                  <a:lumOff val="5000"/>
                </a:schemeClr>
              </a:solidFill>
              <a:prstDash val="sysDot"/>
            </a:ln>
          </c:spPr>
          <c:marker>
            <c:symbol val="none"/>
          </c:marker>
          <c:cat>
            <c:multiLvlStrRef>
              <c:f>'Trh práce 1-SNÚ'!$AA$36:$AB$71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1-SNÚ'!$AM$36:$AM$71</c:f>
              <c:numCache>
                <c:formatCode>#\ ##0.0</c:formatCode>
                <c:ptCount val="36"/>
                <c:pt idx="0">
                  <c:v>11.1</c:v>
                </c:pt>
                <c:pt idx="1">
                  <c:v>5.7</c:v>
                </c:pt>
                <c:pt idx="2">
                  <c:v>8.1999999999999993</c:v>
                </c:pt>
                <c:pt idx="3">
                  <c:v>7.3</c:v>
                </c:pt>
                <c:pt idx="4">
                  <c:v>9.8000000000000007</c:v>
                </c:pt>
                <c:pt idx="5">
                  <c:v>9.4</c:v>
                </c:pt>
                <c:pt idx="6">
                  <c:v>6.2</c:v>
                </c:pt>
                <c:pt idx="7">
                  <c:v>6.3</c:v>
                </c:pt>
                <c:pt idx="8">
                  <c:v>2.5</c:v>
                </c:pt>
                <c:pt idx="9">
                  <c:v>2.6</c:v>
                </c:pt>
                <c:pt idx="10">
                  <c:v>0.5</c:v>
                </c:pt>
                <c:pt idx="11">
                  <c:v>-2.8</c:v>
                </c:pt>
                <c:pt idx="12">
                  <c:v>2.9</c:v>
                </c:pt>
                <c:pt idx="13">
                  <c:v>-19</c:v>
                </c:pt>
                <c:pt idx="14">
                  <c:v>-10.9</c:v>
                </c:pt>
                <c:pt idx="15">
                  <c:v>-3.5</c:v>
                </c:pt>
                <c:pt idx="16">
                  <c:v>4.4000000000000004</c:v>
                </c:pt>
                <c:pt idx="17">
                  <c:v>8.6</c:v>
                </c:pt>
                <c:pt idx="18">
                  <c:v>4.7</c:v>
                </c:pt>
                <c:pt idx="19">
                  <c:v>1.8</c:v>
                </c:pt>
                <c:pt idx="20">
                  <c:v>11.2</c:v>
                </c:pt>
                <c:pt idx="21">
                  <c:v>2.2999999999999998</c:v>
                </c:pt>
                <c:pt idx="22">
                  <c:v>2.1</c:v>
                </c:pt>
                <c:pt idx="23">
                  <c:v>-9.9</c:v>
                </c:pt>
                <c:pt idx="24">
                  <c:v>-13.6</c:v>
                </c:pt>
                <c:pt idx="25">
                  <c:v>-5.8</c:v>
                </c:pt>
                <c:pt idx="26">
                  <c:v>-4.3</c:v>
                </c:pt>
                <c:pt idx="27">
                  <c:v>-8.3000000000000007</c:v>
                </c:pt>
                <c:pt idx="28">
                  <c:v>-6</c:v>
                </c:pt>
                <c:pt idx="29">
                  <c:v>-9.6</c:v>
                </c:pt>
                <c:pt idx="30">
                  <c:v>-10.7</c:v>
                </c:pt>
                <c:pt idx="31">
                  <c:v>-13.2</c:v>
                </c:pt>
                <c:pt idx="32">
                  <c:v>-13</c:v>
                </c:pt>
                <c:pt idx="33">
                  <c:v>-11.9</c:v>
                </c:pt>
                <c:pt idx="34">
                  <c:v>-9.5</c:v>
                </c:pt>
                <c:pt idx="35">
                  <c:v>-9.8000000000000007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11D4-4407-ABAB-F6FE8F4964BB}"/>
            </c:ext>
          </c:extLst>
        </c:ser>
        <c:ser>
          <c:idx val="11"/>
          <c:order val="11"/>
          <c:tx>
            <c:strRef>
              <c:f>'Trh práce 1-SNÚ'!$AN$7</c:f>
              <c:strCache>
                <c:ptCount val="1"/>
                <c:pt idx="0">
                  <c:v>Očekávání zaměstnanosti (stavebnictví)</c:v>
                </c:pt>
              </c:strCache>
            </c:strRef>
          </c:tx>
          <c:spPr>
            <a:ln w="15875">
              <a:solidFill>
                <a:srgbClr val="00B0F0"/>
              </a:solidFill>
              <a:prstDash val="sysDot"/>
            </a:ln>
          </c:spPr>
          <c:marker>
            <c:symbol val="none"/>
          </c:marker>
          <c:cat>
            <c:multiLvlStrRef>
              <c:f>'Trh práce 1-SNÚ'!$AA$36:$AB$71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1-SNÚ'!$AN$36:$AN$71</c:f>
              <c:numCache>
                <c:formatCode>#\ ##0.0</c:formatCode>
                <c:ptCount val="36"/>
                <c:pt idx="0">
                  <c:v>-7.4</c:v>
                </c:pt>
                <c:pt idx="1">
                  <c:v>-11.8</c:v>
                </c:pt>
                <c:pt idx="2">
                  <c:v>-6</c:v>
                </c:pt>
                <c:pt idx="3">
                  <c:v>-3.6</c:v>
                </c:pt>
                <c:pt idx="4">
                  <c:v>4.4000000000000004</c:v>
                </c:pt>
                <c:pt idx="5">
                  <c:v>6</c:v>
                </c:pt>
                <c:pt idx="6">
                  <c:v>9.1999999999999993</c:v>
                </c:pt>
                <c:pt idx="7">
                  <c:v>8.4</c:v>
                </c:pt>
                <c:pt idx="8">
                  <c:v>6.5</c:v>
                </c:pt>
                <c:pt idx="9">
                  <c:v>10.4</c:v>
                </c:pt>
                <c:pt idx="10">
                  <c:v>4.3</c:v>
                </c:pt>
                <c:pt idx="11">
                  <c:v>9.1</c:v>
                </c:pt>
                <c:pt idx="12">
                  <c:v>5.6</c:v>
                </c:pt>
                <c:pt idx="13">
                  <c:v>-3.1</c:v>
                </c:pt>
                <c:pt idx="14">
                  <c:v>1.9</c:v>
                </c:pt>
                <c:pt idx="15">
                  <c:v>-3.6</c:v>
                </c:pt>
                <c:pt idx="16">
                  <c:v>3.4</c:v>
                </c:pt>
                <c:pt idx="17">
                  <c:v>5.6</c:v>
                </c:pt>
                <c:pt idx="18">
                  <c:v>4.8</c:v>
                </c:pt>
                <c:pt idx="19">
                  <c:v>6</c:v>
                </c:pt>
                <c:pt idx="20">
                  <c:v>9.3000000000000007</c:v>
                </c:pt>
                <c:pt idx="21">
                  <c:v>9.1</c:v>
                </c:pt>
                <c:pt idx="22">
                  <c:v>2.2000000000000002</c:v>
                </c:pt>
                <c:pt idx="23">
                  <c:v>-3.4</c:v>
                </c:pt>
                <c:pt idx="24">
                  <c:v>-12.7</c:v>
                </c:pt>
                <c:pt idx="25">
                  <c:v>-11.8</c:v>
                </c:pt>
                <c:pt idx="26">
                  <c:v>-7.3</c:v>
                </c:pt>
                <c:pt idx="27">
                  <c:v>-2.5</c:v>
                </c:pt>
                <c:pt idx="28">
                  <c:v>0.3</c:v>
                </c:pt>
                <c:pt idx="29">
                  <c:v>-7.8</c:v>
                </c:pt>
                <c:pt idx="30">
                  <c:v>-7</c:v>
                </c:pt>
                <c:pt idx="31">
                  <c:v>8.6999999999999993</c:v>
                </c:pt>
                <c:pt idx="32">
                  <c:v>3.3</c:v>
                </c:pt>
                <c:pt idx="33">
                  <c:v>7.4</c:v>
                </c:pt>
                <c:pt idx="34">
                  <c:v>11.3</c:v>
                </c:pt>
                <c:pt idx="35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11D4-4407-ABAB-F6FE8F4964BB}"/>
            </c:ext>
          </c:extLst>
        </c:ser>
        <c:ser>
          <c:idx val="12"/>
          <c:order val="12"/>
          <c:tx>
            <c:strRef>
              <c:f>'Trh práce 1-SNÚ'!$AO$7</c:f>
              <c:strCache>
                <c:ptCount val="1"/>
                <c:pt idx="0">
                  <c:v>Očekávání zaměstnanosti (obchod)</c:v>
                </c:pt>
              </c:strCache>
            </c:strRef>
          </c:tx>
          <c:spPr>
            <a:ln w="15875">
              <a:solidFill>
                <a:schemeClr val="accent6">
                  <a:lumMod val="75000"/>
                </a:schemeClr>
              </a:solidFill>
              <a:prstDash val="sysDot"/>
            </a:ln>
          </c:spPr>
          <c:marker>
            <c:symbol val="none"/>
          </c:marker>
          <c:cat>
            <c:multiLvlStrRef>
              <c:f>'Trh práce 1-SNÚ'!$AA$36:$AB$71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1-SNÚ'!$AO$36:$AO$71</c:f>
              <c:numCache>
                <c:formatCode>#\ ##0.0</c:formatCode>
                <c:ptCount val="36"/>
                <c:pt idx="0">
                  <c:v>14.7</c:v>
                </c:pt>
                <c:pt idx="1">
                  <c:v>17</c:v>
                </c:pt>
                <c:pt idx="2">
                  <c:v>19</c:v>
                </c:pt>
                <c:pt idx="3">
                  <c:v>14.9</c:v>
                </c:pt>
                <c:pt idx="4">
                  <c:v>30.1</c:v>
                </c:pt>
                <c:pt idx="5">
                  <c:v>32.5</c:v>
                </c:pt>
                <c:pt idx="6">
                  <c:v>27.5</c:v>
                </c:pt>
                <c:pt idx="7">
                  <c:v>14.7</c:v>
                </c:pt>
                <c:pt idx="8">
                  <c:v>12.2</c:v>
                </c:pt>
                <c:pt idx="9">
                  <c:v>15.8</c:v>
                </c:pt>
                <c:pt idx="10">
                  <c:v>14.1</c:v>
                </c:pt>
                <c:pt idx="11">
                  <c:v>12.3</c:v>
                </c:pt>
                <c:pt idx="12">
                  <c:v>11.7</c:v>
                </c:pt>
                <c:pt idx="13">
                  <c:v>-5.9</c:v>
                </c:pt>
                <c:pt idx="14">
                  <c:v>-3.1</c:v>
                </c:pt>
                <c:pt idx="15">
                  <c:v>-0.2</c:v>
                </c:pt>
                <c:pt idx="16">
                  <c:v>6</c:v>
                </c:pt>
                <c:pt idx="17">
                  <c:v>13.2</c:v>
                </c:pt>
                <c:pt idx="18">
                  <c:v>11.4</c:v>
                </c:pt>
                <c:pt idx="19">
                  <c:v>8.5</c:v>
                </c:pt>
                <c:pt idx="20">
                  <c:v>10.5</c:v>
                </c:pt>
                <c:pt idx="21">
                  <c:v>3.2</c:v>
                </c:pt>
                <c:pt idx="22">
                  <c:v>5.9</c:v>
                </c:pt>
                <c:pt idx="23">
                  <c:v>12.5</c:v>
                </c:pt>
                <c:pt idx="24">
                  <c:v>11.3</c:v>
                </c:pt>
                <c:pt idx="25">
                  <c:v>9.1999999999999993</c:v>
                </c:pt>
                <c:pt idx="26">
                  <c:v>11.7</c:v>
                </c:pt>
                <c:pt idx="27">
                  <c:v>10.4</c:v>
                </c:pt>
                <c:pt idx="28">
                  <c:v>6.5</c:v>
                </c:pt>
                <c:pt idx="29">
                  <c:v>9.5</c:v>
                </c:pt>
                <c:pt idx="30">
                  <c:v>2.5</c:v>
                </c:pt>
                <c:pt idx="31">
                  <c:v>7.3</c:v>
                </c:pt>
                <c:pt idx="32">
                  <c:v>4.5999999999999996</c:v>
                </c:pt>
                <c:pt idx="33">
                  <c:v>8.4</c:v>
                </c:pt>
                <c:pt idx="34">
                  <c:v>13.4</c:v>
                </c:pt>
                <c:pt idx="35">
                  <c:v>6.3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11D4-4407-ABAB-F6FE8F4964BB}"/>
            </c:ext>
          </c:extLst>
        </c:ser>
        <c:ser>
          <c:idx val="13"/>
          <c:order val="13"/>
          <c:tx>
            <c:strRef>
              <c:f>'Trh práce 1-SNÚ'!$AP$7</c:f>
              <c:strCache>
                <c:ptCount val="1"/>
                <c:pt idx="0">
                  <c:v>Očekávání zaměstnanosti (vybr. služby)</c:v>
                </c:pt>
              </c:strCache>
            </c:strRef>
          </c:tx>
          <c:spPr>
            <a:ln w="15875">
              <a:solidFill>
                <a:srgbClr val="C00000"/>
              </a:solidFill>
              <a:prstDash val="sysDot"/>
            </a:ln>
          </c:spPr>
          <c:marker>
            <c:symbol val="none"/>
          </c:marker>
          <c:cat>
            <c:multiLvlStrRef>
              <c:f>'Trh práce 1-SNÚ'!$AA$36:$AB$71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1-SNÚ'!$AP$36:$AP$71</c:f>
              <c:numCache>
                <c:formatCode>#\ ##0.0</c:formatCode>
                <c:ptCount val="36"/>
                <c:pt idx="0">
                  <c:v>11.1</c:v>
                </c:pt>
                <c:pt idx="1">
                  <c:v>11</c:v>
                </c:pt>
                <c:pt idx="2">
                  <c:v>19.7</c:v>
                </c:pt>
                <c:pt idx="3">
                  <c:v>3.1</c:v>
                </c:pt>
                <c:pt idx="4">
                  <c:v>15.7</c:v>
                </c:pt>
                <c:pt idx="5">
                  <c:v>10.5</c:v>
                </c:pt>
                <c:pt idx="6">
                  <c:v>9.5</c:v>
                </c:pt>
                <c:pt idx="7">
                  <c:v>-7.6</c:v>
                </c:pt>
                <c:pt idx="8">
                  <c:v>-6.5</c:v>
                </c:pt>
                <c:pt idx="9">
                  <c:v>-1.1000000000000001</c:v>
                </c:pt>
                <c:pt idx="10">
                  <c:v>-4.5999999999999996</c:v>
                </c:pt>
                <c:pt idx="11">
                  <c:v>-15.4</c:v>
                </c:pt>
                <c:pt idx="12">
                  <c:v>-20.5</c:v>
                </c:pt>
                <c:pt idx="13">
                  <c:v>-32.299999999999997</c:v>
                </c:pt>
                <c:pt idx="14">
                  <c:v>-28.6</c:v>
                </c:pt>
                <c:pt idx="15">
                  <c:v>-30.1</c:v>
                </c:pt>
                <c:pt idx="16">
                  <c:v>-27</c:v>
                </c:pt>
                <c:pt idx="17">
                  <c:v>-27.7</c:v>
                </c:pt>
                <c:pt idx="18">
                  <c:v>-12.1</c:v>
                </c:pt>
                <c:pt idx="19">
                  <c:v>-15.8</c:v>
                </c:pt>
                <c:pt idx="20">
                  <c:v>-6.8</c:v>
                </c:pt>
                <c:pt idx="21">
                  <c:v>-3.5</c:v>
                </c:pt>
                <c:pt idx="22">
                  <c:v>-6.1</c:v>
                </c:pt>
                <c:pt idx="23">
                  <c:v>-6.4</c:v>
                </c:pt>
                <c:pt idx="24">
                  <c:v>-10.7</c:v>
                </c:pt>
                <c:pt idx="25">
                  <c:v>-16.7</c:v>
                </c:pt>
                <c:pt idx="26">
                  <c:v>-14.5</c:v>
                </c:pt>
                <c:pt idx="27">
                  <c:v>-15.2</c:v>
                </c:pt>
                <c:pt idx="28">
                  <c:v>-23.7</c:v>
                </c:pt>
                <c:pt idx="29">
                  <c:v>-16</c:v>
                </c:pt>
                <c:pt idx="30">
                  <c:v>-15.7</c:v>
                </c:pt>
                <c:pt idx="31">
                  <c:v>-6.6</c:v>
                </c:pt>
                <c:pt idx="32">
                  <c:v>-14.3</c:v>
                </c:pt>
                <c:pt idx="33">
                  <c:v>-4.5999999999999996</c:v>
                </c:pt>
                <c:pt idx="34">
                  <c:v>-12.7</c:v>
                </c:pt>
                <c:pt idx="35">
                  <c:v>-8.4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11D4-4407-ABAB-F6FE8F4964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2941824"/>
        <c:axId val="332936832"/>
      </c:lineChart>
      <c:catAx>
        <c:axId val="101898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crossAx val="101781504"/>
        <c:crosses val="autoZero"/>
        <c:auto val="1"/>
        <c:lblAlgn val="ctr"/>
        <c:lblOffset val="10"/>
        <c:noMultiLvlLbl val="0"/>
      </c:catAx>
      <c:valAx>
        <c:axId val="101781504"/>
        <c:scaling>
          <c:orientation val="minMax"/>
          <c:max val="2.5"/>
          <c:min val="-4.5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700" b="0" i="1"/>
                </a:pPr>
                <a:r>
                  <a:rPr lang="cs-CZ" sz="700" b="0" i="1"/>
                  <a:t>Příspěvek k růstu zaměstnanosti</a:t>
                </a:r>
              </a:p>
            </c:rich>
          </c:tx>
          <c:overlay val="0"/>
        </c:title>
        <c:numFmt formatCode="0.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101898496"/>
        <c:crosses val="autoZero"/>
        <c:crossBetween val="between"/>
        <c:majorUnit val="0.5"/>
      </c:valAx>
      <c:valAx>
        <c:axId val="332936832"/>
        <c:scaling>
          <c:orientation val="minMax"/>
          <c:max val="100"/>
          <c:min val="-40"/>
        </c:scaling>
        <c:delete val="0"/>
        <c:axPos val="r"/>
        <c:title>
          <c:tx>
            <c:rich>
              <a:bodyPr/>
              <a:lstStyle/>
              <a:p>
                <a:pPr>
                  <a:defRPr sz="700" b="0" i="1"/>
                </a:pPr>
                <a:r>
                  <a:rPr lang="cs-CZ" sz="700" b="0" i="1"/>
                  <a:t>Očekávání vývoje zaměstnanosti</a:t>
                </a:r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crossAx val="332941824"/>
        <c:crosses val="max"/>
        <c:crossBetween val="between"/>
        <c:majorUnit val="10"/>
      </c:valAx>
      <c:catAx>
        <c:axId val="332941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32936832"/>
        <c:crosses val="autoZero"/>
        <c:auto val="1"/>
        <c:lblAlgn val="ctr"/>
        <c:lblOffset val="100"/>
        <c:noMultiLvlLbl val="0"/>
      </c:cat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1.5472441370721637E-2"/>
          <c:y val="0.77992823117070742"/>
          <c:w val="0.96005692595618608"/>
          <c:h val="0.21194618315349945"/>
        </c:manualLayout>
      </c:layout>
      <c:overlay val="0"/>
      <c:spPr>
        <a:ln w="6350">
          <a:solidFill>
            <a:schemeClr val="tx1"/>
          </a:solidFill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036417007492182E-2"/>
          <c:y val="1.6081916099773243E-2"/>
          <c:w val="0.84389226838289211"/>
          <c:h val="0.7649408234913899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'Trh práce-2b'!$A$32</c:f>
              <c:strCache>
                <c:ptCount val="1"/>
                <c:pt idx="0">
                  <c:v>Míra nezaměstnanosti mužů</c:v>
                </c:pt>
              </c:strCache>
            </c:strRef>
          </c:tx>
          <c:spPr>
            <a:solidFill>
              <a:srgbClr val="BCBCBC"/>
            </a:solidFill>
          </c:spPr>
          <c:invertIfNegative val="0"/>
          <c:cat>
            <c:multiLvlStrRef>
              <c:f>'Trh práce-2b'!$J$30:$AS$31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práce-2b'!$J$32:$AS$32</c:f>
              <c:numCache>
                <c:formatCode>0.0</c:formatCode>
                <c:ptCount val="36"/>
                <c:pt idx="0">
                  <c:v>2.7666591328662071</c:v>
                </c:pt>
                <c:pt idx="1">
                  <c:v>2.4601917476705091</c:v>
                </c:pt>
                <c:pt idx="2">
                  <c:v>2.2521949824768464</c:v>
                </c:pt>
                <c:pt idx="3">
                  <c:v>2.0545968318001098</c:v>
                </c:pt>
                <c:pt idx="4">
                  <c:v>1.9120710452923664</c:v>
                </c:pt>
                <c:pt idx="5">
                  <c:v>1.8552446587272617</c:v>
                </c:pt>
                <c:pt idx="6">
                  <c:v>1.8428731984057933</c:v>
                </c:pt>
                <c:pt idx="7">
                  <c:v>1.704439256455837</c:v>
                </c:pt>
                <c:pt idx="8">
                  <c:v>1.7876701754792297</c:v>
                </c:pt>
                <c:pt idx="9">
                  <c:v>1.7137897432702822</c:v>
                </c:pt>
                <c:pt idx="10">
                  <c:v>1.7284429170552631</c:v>
                </c:pt>
                <c:pt idx="11">
                  <c:v>1.850767438617875</c:v>
                </c:pt>
                <c:pt idx="12">
                  <c:v>1.8629891562887153</c:v>
                </c:pt>
                <c:pt idx="13">
                  <c:v>2.2499439586705177</c:v>
                </c:pt>
                <c:pt idx="14">
                  <c:v>2.4964618799822249</c:v>
                </c:pt>
                <c:pt idx="15">
                  <c:v>2.5371659125712491</c:v>
                </c:pt>
                <c:pt idx="16">
                  <c:v>2.6740642945366346</c:v>
                </c:pt>
                <c:pt idx="17">
                  <c:v>2.5496115107874258</c:v>
                </c:pt>
                <c:pt idx="18">
                  <c:v>2.2624960706628037</c:v>
                </c:pt>
                <c:pt idx="19">
                  <c:v>1.9994413065078394</c:v>
                </c:pt>
                <c:pt idx="20">
                  <c:v>1.9729957188250584</c:v>
                </c:pt>
                <c:pt idx="21">
                  <c:v>1.9049114865702215</c:v>
                </c:pt>
                <c:pt idx="22">
                  <c:v>1.9367780567802793</c:v>
                </c:pt>
                <c:pt idx="23">
                  <c:v>2.0785470354452786</c:v>
                </c:pt>
                <c:pt idx="24">
                  <c:v>2.1952968400883739</c:v>
                </c:pt>
                <c:pt idx="25">
                  <c:v>2.2399508340209624</c:v>
                </c:pt>
                <c:pt idx="26">
                  <c:v>2.3278600396013931</c:v>
                </c:pt>
                <c:pt idx="27">
                  <c:v>2.4499092618367699</c:v>
                </c:pt>
                <c:pt idx="28">
                  <c:v>2.3961564872426577</c:v>
                </c:pt>
                <c:pt idx="29">
                  <c:v>2.3764679445866541</c:v>
                </c:pt>
                <c:pt idx="30">
                  <c:v>2.3279354429960359</c:v>
                </c:pt>
                <c:pt idx="31">
                  <c:v>2.3307606106077379</c:v>
                </c:pt>
                <c:pt idx="32">
                  <c:v>2.3049347115573977</c:v>
                </c:pt>
                <c:pt idx="33">
                  <c:v>2.540999516368704</c:v>
                </c:pt>
                <c:pt idx="34">
                  <c:v>2.7461849726123639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92-4C1E-9422-36E2AAEFE415}"/>
            </c:ext>
          </c:extLst>
        </c:ser>
        <c:ser>
          <c:idx val="1"/>
          <c:order val="1"/>
          <c:tx>
            <c:strRef>
              <c:f>'Trh práce-2b'!$A$33</c:f>
              <c:strCache>
                <c:ptCount val="1"/>
                <c:pt idx="0">
                  <c:v>Míra nezaměstnanosti žen</c:v>
                </c:pt>
              </c:strCache>
            </c:strRef>
          </c:tx>
          <c:spPr>
            <a:solidFill>
              <a:schemeClr val="bg1">
                <a:lumMod val="95000"/>
              </a:schemeClr>
            </a:solidFill>
            <a:ln>
              <a:solidFill>
                <a:schemeClr val="bg1">
                  <a:lumMod val="65000"/>
                </a:schemeClr>
              </a:solidFill>
            </a:ln>
          </c:spPr>
          <c:invertIfNegative val="0"/>
          <c:cat>
            <c:multiLvlStrRef>
              <c:f>'Trh práce-2b'!$J$30:$AS$31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práce-2b'!$J$33:$AS$33</c:f>
              <c:numCache>
                <c:formatCode>0.0</c:formatCode>
                <c:ptCount val="36"/>
                <c:pt idx="0">
                  <c:v>4.2643107196858665</c:v>
                </c:pt>
                <c:pt idx="1">
                  <c:v>3.8623367796938974</c:v>
                </c:pt>
                <c:pt idx="2">
                  <c:v>3.400515047571639</c:v>
                </c:pt>
                <c:pt idx="3">
                  <c:v>3.1295265689091996</c:v>
                </c:pt>
                <c:pt idx="4">
                  <c:v>2.9301318364814311</c:v>
                </c:pt>
                <c:pt idx="5">
                  <c:v>2.8147201615941007</c:v>
                </c:pt>
                <c:pt idx="6">
                  <c:v>2.8245375715300849</c:v>
                </c:pt>
                <c:pt idx="7">
                  <c:v>2.6587405283585208</c:v>
                </c:pt>
                <c:pt idx="8">
                  <c:v>2.3674176116231411</c:v>
                </c:pt>
                <c:pt idx="9">
                  <c:v>2.4242355044530286</c:v>
                </c:pt>
                <c:pt idx="10">
                  <c:v>2.5383149448004372</c:v>
                </c:pt>
                <c:pt idx="11">
                  <c:v>2.4007232046871576</c:v>
                </c:pt>
                <c:pt idx="12">
                  <c:v>2.1584087377558068</c:v>
                </c:pt>
                <c:pt idx="13">
                  <c:v>2.8457308025938954</c:v>
                </c:pt>
                <c:pt idx="14">
                  <c:v>3.3818758024084357</c:v>
                </c:pt>
                <c:pt idx="15">
                  <c:v>3.8598983649355767</c:v>
                </c:pt>
                <c:pt idx="16">
                  <c:v>4.0917452192694244</c:v>
                </c:pt>
                <c:pt idx="17">
                  <c:v>3.7925467423323282</c:v>
                </c:pt>
                <c:pt idx="18">
                  <c:v>3.253790639884921</c:v>
                </c:pt>
                <c:pt idx="19">
                  <c:v>2.8699607840019241</c:v>
                </c:pt>
                <c:pt idx="20">
                  <c:v>2.9771315017874671</c:v>
                </c:pt>
                <c:pt idx="21">
                  <c:v>3.1054604444442737</c:v>
                </c:pt>
                <c:pt idx="22">
                  <c:v>2.9260556788528653</c:v>
                </c:pt>
                <c:pt idx="23">
                  <c:v>2.8403107983013065</c:v>
                </c:pt>
                <c:pt idx="24">
                  <c:v>3.0304209338525188</c:v>
                </c:pt>
                <c:pt idx="25">
                  <c:v>3.1677875947358838</c:v>
                </c:pt>
                <c:pt idx="26">
                  <c:v>3.2172253151746388</c:v>
                </c:pt>
                <c:pt idx="27">
                  <c:v>3.3080524789674501</c:v>
                </c:pt>
                <c:pt idx="28">
                  <c:v>3.4386881118804795</c:v>
                </c:pt>
                <c:pt idx="29">
                  <c:v>3.2711583747206778</c:v>
                </c:pt>
                <c:pt idx="30">
                  <c:v>3.2535816750460445</c:v>
                </c:pt>
                <c:pt idx="31">
                  <c:v>3.2811091378404398</c:v>
                </c:pt>
                <c:pt idx="32">
                  <c:v>3.2128180549025807</c:v>
                </c:pt>
                <c:pt idx="33">
                  <c:v>3.2794255208560181</c:v>
                </c:pt>
                <c:pt idx="34">
                  <c:v>3.4342669708435793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D92-4C1E-9422-36E2AAEFE4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8"/>
        <c:axId val="100654464"/>
        <c:axId val="101647488"/>
      </c:barChart>
      <c:lineChart>
        <c:grouping val="standard"/>
        <c:varyColors val="0"/>
        <c:ser>
          <c:idx val="4"/>
          <c:order val="2"/>
          <c:tx>
            <c:strRef>
              <c:f>'Trh práce-2b'!$A$34</c:f>
              <c:strCache>
                <c:ptCount val="1"/>
                <c:pt idx="0">
                  <c:v>VPM pro vyučené a SŠ bez mat.</c:v>
                </c:pt>
              </c:strCache>
            </c:strRef>
          </c:tx>
          <c:spPr>
            <a:ln w="19050">
              <a:noFill/>
              <a:prstDash val="sysDash"/>
            </a:ln>
          </c:spPr>
          <c:marker>
            <c:symbol val="circle"/>
            <c:size val="4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solidFill>
                  <a:srgbClr val="0070C0"/>
                </a:solidFill>
              </a:ln>
            </c:spPr>
          </c:marker>
          <c:cat>
            <c:multiLvlStrRef>
              <c:f>'Trh práce-2b'!$J$30:$AS$31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práce-2b'!$J$34:$AS$34</c:f>
              <c:numCache>
                <c:formatCode>0.0</c:formatCode>
                <c:ptCount val="36"/>
                <c:pt idx="0">
                  <c:v>31.84</c:v>
                </c:pt>
                <c:pt idx="1">
                  <c:v>38.021999999999998</c:v>
                </c:pt>
                <c:pt idx="2">
                  <c:v>36.262</c:v>
                </c:pt>
                <c:pt idx="3">
                  <c:v>29.895</c:v>
                </c:pt>
                <c:pt idx="4">
                  <c:v>32.848999999999997</c:v>
                </c:pt>
                <c:pt idx="5">
                  <c:v>39.597999999999999</c:v>
                </c:pt>
                <c:pt idx="6">
                  <c:v>36.892000000000003</c:v>
                </c:pt>
                <c:pt idx="7">
                  <c:v>30.317</c:v>
                </c:pt>
                <c:pt idx="8">
                  <c:v>31.245000000000001</c:v>
                </c:pt>
                <c:pt idx="9">
                  <c:v>30.555</c:v>
                </c:pt>
                <c:pt idx="10">
                  <c:v>27.914999999999999</c:v>
                </c:pt>
                <c:pt idx="11">
                  <c:v>22.228000000000002</c:v>
                </c:pt>
                <c:pt idx="12">
                  <c:v>22.292000000000002</c:v>
                </c:pt>
                <c:pt idx="13">
                  <c:v>21.922000000000001</c:v>
                </c:pt>
                <c:pt idx="14">
                  <c:v>23.152999999999999</c:v>
                </c:pt>
                <c:pt idx="15">
                  <c:v>20.832999999999998</c:v>
                </c:pt>
                <c:pt idx="16">
                  <c:v>21.22</c:v>
                </c:pt>
                <c:pt idx="17">
                  <c:v>28</c:v>
                </c:pt>
                <c:pt idx="18">
                  <c:v>28.465</c:v>
                </c:pt>
                <c:pt idx="19">
                  <c:v>22.591000000000001</c:v>
                </c:pt>
                <c:pt idx="20">
                  <c:v>26.402999999999999</c:v>
                </c:pt>
                <c:pt idx="21">
                  <c:v>24.98</c:v>
                </c:pt>
                <c:pt idx="22">
                  <c:v>20.081</c:v>
                </c:pt>
                <c:pt idx="23">
                  <c:v>16.219000000000001</c:v>
                </c:pt>
                <c:pt idx="24">
                  <c:v>18.276</c:v>
                </c:pt>
                <c:pt idx="25">
                  <c:v>19.419</c:v>
                </c:pt>
                <c:pt idx="26">
                  <c:v>17.792000000000002</c:v>
                </c:pt>
                <c:pt idx="27">
                  <c:v>14.455</c:v>
                </c:pt>
                <c:pt idx="28">
                  <c:v>14.478</c:v>
                </c:pt>
                <c:pt idx="29">
                  <c:v>15.478</c:v>
                </c:pt>
                <c:pt idx="30">
                  <c:v>15.435</c:v>
                </c:pt>
                <c:pt idx="31">
                  <c:v>14.093</c:v>
                </c:pt>
                <c:pt idx="32">
                  <c:v>12.814</c:v>
                </c:pt>
                <c:pt idx="33">
                  <c:v>14.827999999999999</c:v>
                </c:pt>
                <c:pt idx="34">
                  <c:v>13.662000000000001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D92-4C1E-9422-36E2AAEFE415}"/>
            </c:ext>
          </c:extLst>
        </c:ser>
        <c:ser>
          <c:idx val="5"/>
          <c:order val="3"/>
          <c:tx>
            <c:strRef>
              <c:f>'Trh práce-2b'!$A$35</c:f>
              <c:strCache>
                <c:ptCount val="1"/>
                <c:pt idx="0">
                  <c:v>VPM pro SŠ s mat., VOŠ a VŠ</c:v>
                </c:pt>
              </c:strCache>
            </c:strRef>
          </c:tx>
          <c:spPr>
            <a:ln w="19050">
              <a:noFill/>
              <a:prstDash val="dash"/>
            </a:ln>
          </c:spPr>
          <c:marker>
            <c:symbol val="dash"/>
            <c:size val="7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marker>
          <c:cat>
            <c:multiLvlStrRef>
              <c:f>'Trh práce-2b'!$J$30:$AS$31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práce-2b'!$J$35:$AS$35</c:f>
              <c:numCache>
                <c:formatCode>0.0</c:formatCode>
                <c:ptCount val="36"/>
                <c:pt idx="0">
                  <c:v>15.456</c:v>
                </c:pt>
                <c:pt idx="1">
                  <c:v>18.981000000000002</c:v>
                </c:pt>
                <c:pt idx="2">
                  <c:v>17.684999999999999</c:v>
                </c:pt>
                <c:pt idx="3">
                  <c:v>16.105</c:v>
                </c:pt>
                <c:pt idx="4">
                  <c:v>18.106999999999999</c:v>
                </c:pt>
                <c:pt idx="5">
                  <c:v>20.411000000000001</c:v>
                </c:pt>
                <c:pt idx="6">
                  <c:v>18.263000000000002</c:v>
                </c:pt>
                <c:pt idx="7">
                  <c:v>16.600000000000001</c:v>
                </c:pt>
                <c:pt idx="8">
                  <c:v>17.779</c:v>
                </c:pt>
                <c:pt idx="9">
                  <c:v>19.105</c:v>
                </c:pt>
                <c:pt idx="10">
                  <c:v>18.321000000000002</c:v>
                </c:pt>
                <c:pt idx="11">
                  <c:v>16.137</c:v>
                </c:pt>
                <c:pt idx="12">
                  <c:v>17.05</c:v>
                </c:pt>
                <c:pt idx="13">
                  <c:v>17.387</c:v>
                </c:pt>
                <c:pt idx="14">
                  <c:v>15.683</c:v>
                </c:pt>
                <c:pt idx="15">
                  <c:v>14.997</c:v>
                </c:pt>
                <c:pt idx="16">
                  <c:v>16.512</c:v>
                </c:pt>
                <c:pt idx="17">
                  <c:v>19.815999999999999</c:v>
                </c:pt>
                <c:pt idx="18">
                  <c:v>19.486999999999998</c:v>
                </c:pt>
                <c:pt idx="19">
                  <c:v>18.061</c:v>
                </c:pt>
                <c:pt idx="20">
                  <c:v>21.087</c:v>
                </c:pt>
                <c:pt idx="21">
                  <c:v>21.347999999999999</c:v>
                </c:pt>
                <c:pt idx="22">
                  <c:v>18.567</c:v>
                </c:pt>
                <c:pt idx="23">
                  <c:v>16.672999999999998</c:v>
                </c:pt>
                <c:pt idx="24">
                  <c:v>18.158000000000001</c:v>
                </c:pt>
                <c:pt idx="25">
                  <c:v>18.765000000000001</c:v>
                </c:pt>
                <c:pt idx="26">
                  <c:v>17.125</c:v>
                </c:pt>
                <c:pt idx="27">
                  <c:v>15.332000000000001</c:v>
                </c:pt>
                <c:pt idx="28">
                  <c:v>16.600000000000001</c:v>
                </c:pt>
                <c:pt idx="29">
                  <c:v>15.853999999999999</c:v>
                </c:pt>
                <c:pt idx="30">
                  <c:v>14.837999999999999</c:v>
                </c:pt>
                <c:pt idx="31">
                  <c:v>13.59</c:v>
                </c:pt>
                <c:pt idx="32">
                  <c:v>10.319000000000001</c:v>
                </c:pt>
                <c:pt idx="33">
                  <c:v>11.635</c:v>
                </c:pt>
                <c:pt idx="34">
                  <c:v>11.321999999999999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D92-4C1E-9422-36E2AAEFE415}"/>
            </c:ext>
          </c:extLst>
        </c:ser>
        <c:ser>
          <c:idx val="6"/>
          <c:order val="4"/>
          <c:tx>
            <c:strRef>
              <c:f>'Trh práce-2b'!$A$36</c:f>
              <c:strCache>
                <c:ptCount val="1"/>
                <c:pt idx="0">
                  <c:v>Pracující cizinci (Ukrajinci)</c:v>
                </c:pt>
              </c:strCache>
            </c:strRef>
          </c:tx>
          <c:spPr>
            <a:ln w="15875">
              <a:solidFill>
                <a:srgbClr val="FFC000"/>
              </a:solidFill>
              <a:prstDash val="sysDash"/>
            </a:ln>
          </c:spPr>
          <c:marker>
            <c:symbol val="none"/>
          </c:marker>
          <c:cat>
            <c:multiLvlStrRef>
              <c:f>'Trh práce-2b'!$J$30:$AS$31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práce-2b'!$J$36:$AS$36</c:f>
              <c:numCache>
                <c:formatCode>#,##0</c:formatCode>
                <c:ptCount val="36"/>
                <c:pt idx="0">
                  <c:v>59.363</c:v>
                </c:pt>
                <c:pt idx="1">
                  <c:v>69.864000000000004</c:v>
                </c:pt>
                <c:pt idx="2">
                  <c:v>76.724000000000004</c:v>
                </c:pt>
                <c:pt idx="3">
                  <c:v>81.688999999999993</c:v>
                </c:pt>
                <c:pt idx="4">
                  <c:v>97.317999999999998</c:v>
                </c:pt>
                <c:pt idx="5">
                  <c:v>115.39100000000001</c:v>
                </c:pt>
                <c:pt idx="6">
                  <c:v>134.202</c:v>
                </c:pt>
                <c:pt idx="7">
                  <c:v>121.08499999999999</c:v>
                </c:pt>
                <c:pt idx="8">
                  <c:v>146.08500000000001</c:v>
                </c:pt>
                <c:pt idx="9">
                  <c:v>152.69800000000001</c:v>
                </c:pt>
                <c:pt idx="10">
                  <c:v>164.92400000000001</c:v>
                </c:pt>
                <c:pt idx="11">
                  <c:v>144.114</c:v>
                </c:pt>
                <c:pt idx="12">
                  <c:v>169.14699999999999</c:v>
                </c:pt>
                <c:pt idx="13">
                  <c:v>133.08600000000001</c:v>
                </c:pt>
                <c:pt idx="14">
                  <c:v>173.584</c:v>
                </c:pt>
                <c:pt idx="15">
                  <c:v>159.46799999999999</c:v>
                </c:pt>
                <c:pt idx="16">
                  <c:v>186.35599999999999</c:v>
                </c:pt>
                <c:pt idx="17">
                  <c:v>191.58500000000001</c:v>
                </c:pt>
                <c:pt idx="18">
                  <c:v>214.10599999999999</c:v>
                </c:pt>
                <c:pt idx="19">
                  <c:v>195.11600000000001</c:v>
                </c:pt>
                <c:pt idx="20">
                  <c:v>238.024</c:v>
                </c:pt>
                <c:pt idx="21">
                  <c:v>248.58799999999999</c:v>
                </c:pt>
                <c:pt idx="22">
                  <c:v>262.17899999999997</c:v>
                </c:pt>
                <c:pt idx="23">
                  <c:v>269.911</c:v>
                </c:pt>
                <c:pt idx="24">
                  <c:v>261.31299999999999</c:v>
                </c:pt>
                <c:pt idx="25">
                  <c:v>269.04500000000002</c:v>
                </c:pt>
                <c:pt idx="26">
                  <c:v>282.22300000000001</c:v>
                </c:pt>
                <c:pt idx="27">
                  <c:v>285.54500000000002</c:v>
                </c:pt>
                <c:pt idx="28">
                  <c:v>283.649</c:v>
                </c:pt>
                <c:pt idx="29" formatCode="#\ ##0.000">
                  <c:v>286.25599999999997</c:v>
                </c:pt>
                <c:pt idx="30" formatCode="#\ ##0.000">
                  <c:v>291.79199999999997</c:v>
                </c:pt>
                <c:pt idx="31" formatCode="#\ ##0.000">
                  <c:v>304.68200000000002</c:v>
                </c:pt>
                <c:pt idx="32" formatCode="#\ ##0.000">
                  <c:v>312.71899999999999</c:v>
                </c:pt>
                <c:pt idx="33" formatCode="#\ ##0.000">
                  <c:v>320.50299999999999</c:v>
                </c:pt>
                <c:pt idx="34" formatCode="#\ ##0.000">
                  <c:v>337.70100000000002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8D92-4C1E-9422-36E2AAEFE415}"/>
            </c:ext>
          </c:extLst>
        </c:ser>
        <c:ser>
          <c:idx val="7"/>
          <c:order val="5"/>
          <c:tx>
            <c:strRef>
              <c:f>'Trh práce-2b'!$A$37</c:f>
              <c:strCache>
                <c:ptCount val="1"/>
                <c:pt idx="0">
                  <c:v>Pracující cizinci (Slováci)</c:v>
                </c:pt>
              </c:strCache>
            </c:strRef>
          </c:tx>
          <c:spPr>
            <a:ln w="19050">
              <a:solidFill>
                <a:schemeClr val="accent2">
                  <a:lumMod val="60000"/>
                  <a:lumOff val="40000"/>
                </a:schemeClr>
              </a:solidFill>
              <a:prstDash val="sysDash"/>
            </a:ln>
          </c:spPr>
          <c:marker>
            <c:symbol val="none"/>
          </c:marker>
          <c:cat>
            <c:multiLvlStrRef>
              <c:f>'Trh práce-2b'!$J$30:$AS$31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práce-2b'!$J$37:$AS$37</c:f>
              <c:numCache>
                <c:formatCode>#,##0</c:formatCode>
                <c:ptCount val="36"/>
                <c:pt idx="0">
                  <c:v>159.88200000000001</c:v>
                </c:pt>
                <c:pt idx="1">
                  <c:v>165.69800000000001</c:v>
                </c:pt>
                <c:pt idx="2">
                  <c:v>170.643</c:v>
                </c:pt>
                <c:pt idx="3">
                  <c:v>177.059</c:v>
                </c:pt>
                <c:pt idx="4">
                  <c:v>180.01900000000001</c:v>
                </c:pt>
                <c:pt idx="5">
                  <c:v>187.33799999999999</c:v>
                </c:pt>
                <c:pt idx="6">
                  <c:v>192.66499999999999</c:v>
                </c:pt>
                <c:pt idx="7">
                  <c:v>191.81800000000001</c:v>
                </c:pt>
                <c:pt idx="8">
                  <c:v>187.18299999999999</c:v>
                </c:pt>
                <c:pt idx="9">
                  <c:v>191.41800000000001</c:v>
                </c:pt>
                <c:pt idx="10">
                  <c:v>199.02799999999999</c:v>
                </c:pt>
                <c:pt idx="11">
                  <c:v>201.952</c:v>
                </c:pt>
                <c:pt idx="12">
                  <c:v>198.05799999999999</c:v>
                </c:pt>
                <c:pt idx="13">
                  <c:v>199.249</c:v>
                </c:pt>
                <c:pt idx="14">
                  <c:v>202.91</c:v>
                </c:pt>
                <c:pt idx="15">
                  <c:v>204.29400000000001</c:v>
                </c:pt>
                <c:pt idx="16">
                  <c:v>201.91800000000001</c:v>
                </c:pt>
                <c:pt idx="17">
                  <c:v>204.476</c:v>
                </c:pt>
                <c:pt idx="18">
                  <c:v>208.249</c:v>
                </c:pt>
                <c:pt idx="19">
                  <c:v>209.273</c:v>
                </c:pt>
                <c:pt idx="20">
                  <c:v>207.86</c:v>
                </c:pt>
                <c:pt idx="21">
                  <c:v>211.31700000000001</c:v>
                </c:pt>
                <c:pt idx="22">
                  <c:v>212.55099999999999</c:v>
                </c:pt>
                <c:pt idx="23">
                  <c:v>213.447</c:v>
                </c:pt>
                <c:pt idx="24">
                  <c:v>209.79599999999999</c:v>
                </c:pt>
                <c:pt idx="25">
                  <c:v>212.12299999999999</c:v>
                </c:pt>
                <c:pt idx="26">
                  <c:v>215.20599999999999</c:v>
                </c:pt>
                <c:pt idx="27">
                  <c:v>216.239</c:v>
                </c:pt>
                <c:pt idx="28">
                  <c:v>213.9</c:v>
                </c:pt>
                <c:pt idx="29" formatCode="#\ ##0.000">
                  <c:v>216.68</c:v>
                </c:pt>
                <c:pt idx="30" formatCode="#\ ##0.000">
                  <c:v>212.44300000000001</c:v>
                </c:pt>
                <c:pt idx="31" formatCode="#\ ##0.000">
                  <c:v>215.61099999999999</c:v>
                </c:pt>
                <c:pt idx="32" formatCode="#\ ##0.000">
                  <c:v>216.32300000000001</c:v>
                </c:pt>
                <c:pt idx="33" formatCode="#\ ##0.000">
                  <c:v>220.511</c:v>
                </c:pt>
                <c:pt idx="34" formatCode="#\ ##0.000">
                  <c:v>225.22300000000001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8D92-4C1E-9422-36E2AAEFE415}"/>
            </c:ext>
          </c:extLst>
        </c:ser>
        <c:ser>
          <c:idx val="2"/>
          <c:order val="6"/>
          <c:tx>
            <c:strRef>
              <c:f>'Trh práce-2b'!$A$38</c:f>
              <c:strCache>
                <c:ptCount val="1"/>
                <c:pt idx="0">
                  <c:v>Pracující cizinci (občané ostat. zemí)</c:v>
                </c:pt>
              </c:strCache>
            </c:strRef>
          </c:tx>
          <c:spPr>
            <a:ln w="19050">
              <a:solidFill>
                <a:srgbClr val="D4A97E"/>
              </a:solidFill>
              <a:prstDash val="sysDash"/>
            </a:ln>
          </c:spPr>
          <c:marker>
            <c:symbol val="none"/>
          </c:marker>
          <c:cat>
            <c:multiLvlStrRef>
              <c:f>'Trh práce-2b'!$J$30:$AS$31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práce-2b'!$J$38:$AS$38</c:f>
              <c:numCache>
                <c:formatCode>#,##0</c:formatCode>
                <c:ptCount val="36"/>
                <c:pt idx="0">
                  <c:v>173.614</c:v>
                </c:pt>
                <c:pt idx="1">
                  <c:v>187.52799999999999</c:v>
                </c:pt>
                <c:pt idx="2">
                  <c:v>199.11799999999999</c:v>
                </c:pt>
                <c:pt idx="3">
                  <c:v>213.59899999999999</c:v>
                </c:pt>
                <c:pt idx="4">
                  <c:v>228.61600000000001</c:v>
                </c:pt>
                <c:pt idx="5">
                  <c:v>244.029</c:v>
                </c:pt>
                <c:pt idx="6">
                  <c:v>258.82100000000003</c:v>
                </c:pt>
                <c:pt idx="7">
                  <c:v>255.77199999999999</c:v>
                </c:pt>
                <c:pt idx="8">
                  <c:v>255.12200000000001</c:v>
                </c:pt>
                <c:pt idx="9">
                  <c:v>262.36599999999999</c:v>
                </c:pt>
                <c:pt idx="10">
                  <c:v>277.37400000000002</c:v>
                </c:pt>
                <c:pt idx="11">
                  <c:v>275.80399999999997</c:v>
                </c:pt>
                <c:pt idx="12">
                  <c:v>277.709</c:v>
                </c:pt>
                <c:pt idx="13">
                  <c:v>270.178</c:v>
                </c:pt>
                <c:pt idx="14">
                  <c:v>278.71699999999998</c:v>
                </c:pt>
                <c:pt idx="15">
                  <c:v>280.40199999999999</c:v>
                </c:pt>
                <c:pt idx="16">
                  <c:v>281.459</c:v>
                </c:pt>
                <c:pt idx="17">
                  <c:v>285.55</c:v>
                </c:pt>
                <c:pt idx="18">
                  <c:v>297.53500000000003</c:v>
                </c:pt>
                <c:pt idx="19">
                  <c:v>297.44099999999997</c:v>
                </c:pt>
                <c:pt idx="20">
                  <c:v>300.39299999999997</c:v>
                </c:pt>
                <c:pt idx="21">
                  <c:v>307.61</c:v>
                </c:pt>
                <c:pt idx="22">
                  <c:v>310.33499999999998</c:v>
                </c:pt>
                <c:pt idx="23">
                  <c:v>309.93200000000002</c:v>
                </c:pt>
                <c:pt idx="24">
                  <c:v>308.2</c:v>
                </c:pt>
                <c:pt idx="25">
                  <c:v>314.923</c:v>
                </c:pt>
                <c:pt idx="26">
                  <c:v>320.48399999999998</c:v>
                </c:pt>
                <c:pt idx="27">
                  <c:v>322.161</c:v>
                </c:pt>
                <c:pt idx="28">
                  <c:v>320.39100000000002</c:v>
                </c:pt>
                <c:pt idx="29" formatCode="#\ ##0.000">
                  <c:v>324.68299999999999</c:v>
                </c:pt>
                <c:pt idx="30" formatCode="#\ ##0.000">
                  <c:v>319.55900000000003</c:v>
                </c:pt>
                <c:pt idx="31" formatCode="#\ ##0.000">
                  <c:v>325.17500000000001</c:v>
                </c:pt>
                <c:pt idx="32" formatCode="#\ ##0.000">
                  <c:v>329.69</c:v>
                </c:pt>
                <c:pt idx="33" formatCode="#\ ##0.000">
                  <c:v>336.50700000000001</c:v>
                </c:pt>
                <c:pt idx="34" formatCode="#\ ##0.000">
                  <c:v>342.94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8D92-4C1E-9422-36E2AAEFE415}"/>
            </c:ext>
          </c:extLst>
        </c:ser>
        <c:ser>
          <c:idx val="3"/>
          <c:order val="7"/>
          <c:tx>
            <c:strRef>
              <c:f>'Trh práce-2b'!$A$39</c:f>
              <c:strCache>
                <c:ptCount val="1"/>
                <c:pt idx="0">
                  <c:v>Očekávání vývoje nezaměstnanosti</c:v>
                </c:pt>
              </c:strCache>
            </c:strRef>
          </c:tx>
          <c:spPr>
            <a:ln w="15875">
              <a:solidFill>
                <a:schemeClr val="bg2">
                  <a:lumMod val="50000"/>
                </a:schemeClr>
              </a:solidFill>
              <a:prstDash val="solid"/>
            </a:ln>
          </c:spPr>
          <c:marker>
            <c:symbol val="none"/>
          </c:marker>
          <c:cat>
            <c:multiLvlStrRef>
              <c:f>'Trh práce-2b'!$J$30:$AS$31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práce-2b'!$J$39:$AS$39</c:f>
              <c:numCache>
                <c:formatCode>0.0</c:formatCode>
                <c:ptCount val="36"/>
                <c:pt idx="0">
                  <c:v>1</c:v>
                </c:pt>
                <c:pt idx="1">
                  <c:v>-3</c:v>
                </c:pt>
                <c:pt idx="2">
                  <c:v>0</c:v>
                </c:pt>
                <c:pt idx="3">
                  <c:v>-1</c:v>
                </c:pt>
                <c:pt idx="4">
                  <c:v>-1</c:v>
                </c:pt>
                <c:pt idx="5">
                  <c:v>-2</c:v>
                </c:pt>
                <c:pt idx="6">
                  <c:v>-2</c:v>
                </c:pt>
                <c:pt idx="7">
                  <c:v>4</c:v>
                </c:pt>
                <c:pt idx="8">
                  <c:v>8</c:v>
                </c:pt>
                <c:pt idx="9">
                  <c:v>8</c:v>
                </c:pt>
                <c:pt idx="10">
                  <c:v>11</c:v>
                </c:pt>
                <c:pt idx="11">
                  <c:v>12</c:v>
                </c:pt>
                <c:pt idx="12">
                  <c:v>18</c:v>
                </c:pt>
                <c:pt idx="13">
                  <c:v>49</c:v>
                </c:pt>
                <c:pt idx="14">
                  <c:v>46</c:v>
                </c:pt>
                <c:pt idx="15">
                  <c:v>60</c:v>
                </c:pt>
                <c:pt idx="16">
                  <c:v>57</c:v>
                </c:pt>
                <c:pt idx="17">
                  <c:v>24</c:v>
                </c:pt>
                <c:pt idx="18">
                  <c:v>16</c:v>
                </c:pt>
                <c:pt idx="19">
                  <c:v>20</c:v>
                </c:pt>
                <c:pt idx="20">
                  <c:v>14</c:v>
                </c:pt>
                <c:pt idx="21">
                  <c:v>20</c:v>
                </c:pt>
                <c:pt idx="22">
                  <c:v>26</c:v>
                </c:pt>
                <c:pt idx="23">
                  <c:v>40</c:v>
                </c:pt>
                <c:pt idx="24">
                  <c:v>35</c:v>
                </c:pt>
                <c:pt idx="25">
                  <c:v>29</c:v>
                </c:pt>
                <c:pt idx="26">
                  <c:v>25</c:v>
                </c:pt>
                <c:pt idx="27">
                  <c:v>17</c:v>
                </c:pt>
                <c:pt idx="28">
                  <c:v>25</c:v>
                </c:pt>
                <c:pt idx="29">
                  <c:v>22</c:v>
                </c:pt>
                <c:pt idx="30">
                  <c:v>24</c:v>
                </c:pt>
                <c:pt idx="31">
                  <c:v>19</c:v>
                </c:pt>
                <c:pt idx="32">
                  <c:v>30</c:v>
                </c:pt>
                <c:pt idx="33">
                  <c:v>30</c:v>
                </c:pt>
                <c:pt idx="34">
                  <c:v>27</c:v>
                </c:pt>
                <c:pt idx="35">
                  <c:v>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8D92-4C1E-9422-36E2AAEFE4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1670576"/>
        <c:axId val="323971328"/>
      </c:lineChart>
      <c:catAx>
        <c:axId val="1006544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crossAx val="101647488"/>
        <c:crossesAt val="-50"/>
        <c:auto val="1"/>
        <c:lblAlgn val="ctr"/>
        <c:lblOffset val="0"/>
        <c:noMultiLvlLbl val="0"/>
      </c:catAx>
      <c:valAx>
        <c:axId val="101647488"/>
        <c:scaling>
          <c:orientation val="minMax"/>
          <c:max val="7.5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700" b="0" i="1"/>
                </a:pPr>
                <a:r>
                  <a:rPr lang="cs-CZ" sz="700" b="0" i="1"/>
                  <a:t>Míra nezaměstnanosti</a:t>
                </a:r>
              </a:p>
            </c:rich>
          </c:tx>
          <c:overlay val="0"/>
        </c:title>
        <c:numFmt formatCode="0.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100654464"/>
        <c:crosses val="autoZero"/>
        <c:crossBetween val="between"/>
        <c:majorUnit val="0.5"/>
      </c:valAx>
      <c:valAx>
        <c:axId val="323971328"/>
        <c:scaling>
          <c:orientation val="minMax"/>
          <c:max val="350"/>
          <c:min val="-25"/>
        </c:scaling>
        <c:delete val="0"/>
        <c:axPos val="r"/>
        <c:title>
          <c:tx>
            <c:rich>
              <a:bodyPr/>
              <a:lstStyle/>
              <a:p>
                <a:pPr>
                  <a:defRPr sz="700" b="0" i="1"/>
                </a:pPr>
                <a:r>
                  <a:rPr lang="cs-CZ" sz="700" b="0" i="1"/>
                  <a:t>Volná</a:t>
                </a:r>
                <a:r>
                  <a:rPr lang="cs-CZ" sz="700" b="0" i="1" baseline="0"/>
                  <a:t> pracovní místa, zaměstnaní cizinci</a:t>
                </a:r>
                <a:endParaRPr lang="cs-CZ" sz="700" b="0" i="1"/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crossAx val="331670576"/>
        <c:crosses val="max"/>
        <c:crossBetween val="between"/>
        <c:majorUnit val="25"/>
      </c:valAx>
      <c:catAx>
        <c:axId val="3316705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23971328"/>
        <c:crosses val="autoZero"/>
        <c:auto val="1"/>
        <c:lblAlgn val="ctr"/>
        <c:lblOffset val="100"/>
        <c:noMultiLvlLbl val="0"/>
      </c:cat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7.2346890231882358E-2"/>
          <c:y val="0.87065667466923102"/>
          <c:w val="0.85260043993190393"/>
          <c:h val="0.12573975955987693"/>
        </c:manualLayout>
      </c:layout>
      <c:overlay val="0"/>
      <c:spPr>
        <a:ln w="6350">
          <a:solidFill>
            <a:schemeClr val="tx1"/>
          </a:solidFill>
        </a:ln>
      </c:spPr>
      <c:txPr>
        <a:bodyPr/>
        <a:lstStyle/>
        <a:p>
          <a:pPr>
            <a:defRPr sz="770"/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43741363456051E-2"/>
          <c:y val="1.8995435054463699E-2"/>
          <c:w val="0.94042230618056066"/>
          <c:h val="0.76693033759263296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'Trh práce 3'!$AJ$11</c:f>
              <c:strCache>
                <c:ptCount val="1"/>
                <c:pt idx="0">
                  <c:v>Průměrná mzda celkem (reálně)</c:v>
                </c:pt>
              </c:strCache>
            </c:strRef>
          </c:tx>
          <c:spPr>
            <a:solidFill>
              <a:srgbClr val="DBDBDB"/>
            </a:solidFill>
            <a:ln>
              <a:noFill/>
            </a:ln>
            <a:effectLst/>
          </c:spPr>
          <c:invertIfNegative val="0"/>
          <c:cat>
            <c:multiLvlStrRef>
              <c:f>'Trh práce 3'!$AG$12:$AH$46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3'!$AJ$12:$AJ$46</c:f>
              <c:numCache>
                <c:formatCode>#\ ##0.0</c:formatCode>
                <c:ptCount val="35"/>
                <c:pt idx="0">
                  <c:v>2.5999999999999943</c:v>
                </c:pt>
                <c:pt idx="1">
                  <c:v>4.9000000000000057</c:v>
                </c:pt>
                <c:pt idx="2">
                  <c:v>4.0999999999999943</c:v>
                </c:pt>
                <c:pt idx="3">
                  <c:v>5.0999999999999943</c:v>
                </c:pt>
                <c:pt idx="4">
                  <c:v>6.5</c:v>
                </c:pt>
                <c:pt idx="5">
                  <c:v>6.2999999999999972</c:v>
                </c:pt>
                <c:pt idx="6">
                  <c:v>5.9000000000000057</c:v>
                </c:pt>
                <c:pt idx="7">
                  <c:v>4.9000000000000057</c:v>
                </c:pt>
                <c:pt idx="8">
                  <c:v>5.5</c:v>
                </c:pt>
                <c:pt idx="9">
                  <c:v>5.0999999999999943</c:v>
                </c:pt>
                <c:pt idx="10">
                  <c:v>4.7999999999999972</c:v>
                </c:pt>
                <c:pt idx="11">
                  <c:v>4.5</c:v>
                </c:pt>
                <c:pt idx="12">
                  <c:v>1.7999999999999972</c:v>
                </c:pt>
                <c:pt idx="13">
                  <c:v>-2.0999999999999943</c:v>
                </c:pt>
                <c:pt idx="14">
                  <c:v>2</c:v>
                </c:pt>
                <c:pt idx="15">
                  <c:v>4</c:v>
                </c:pt>
                <c:pt idx="16">
                  <c:v>0.79999999999999716</c:v>
                </c:pt>
                <c:pt idx="17">
                  <c:v>8.0999999999999943</c:v>
                </c:pt>
                <c:pt idx="18">
                  <c:v>1.2000000000000028</c:v>
                </c:pt>
                <c:pt idx="19">
                  <c:v>-2.0999999999999943</c:v>
                </c:pt>
                <c:pt idx="20">
                  <c:v>-5.2999999999999972</c:v>
                </c:pt>
                <c:pt idx="21">
                  <c:v>-11.5</c:v>
                </c:pt>
                <c:pt idx="22">
                  <c:v>-11.599999999999994</c:v>
                </c:pt>
                <c:pt idx="23">
                  <c:v>-8.7000000000000028</c:v>
                </c:pt>
                <c:pt idx="24">
                  <c:v>-7</c:v>
                </c:pt>
                <c:pt idx="25">
                  <c:v>-3.0999999999999943</c:v>
                </c:pt>
                <c:pt idx="26">
                  <c:v>-1.0999999999999943</c:v>
                </c:pt>
                <c:pt idx="27">
                  <c:v>-1.2999999999999972</c:v>
                </c:pt>
                <c:pt idx="28">
                  <c:v>5.5999999999999943</c:v>
                </c:pt>
                <c:pt idx="29">
                  <c:v>4.5</c:v>
                </c:pt>
                <c:pt idx="30">
                  <c:v>4.7999999999999972</c:v>
                </c:pt>
                <c:pt idx="31">
                  <c:v>3.9000000000000057</c:v>
                </c:pt>
                <c:pt idx="32">
                  <c:v>3.9000000000000057</c:v>
                </c:pt>
                <c:pt idx="33">
                  <c:v>5.0999999999999943</c:v>
                </c:pt>
                <c:pt idx="34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A5-4043-9464-B12BE35B02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7"/>
        <c:axId val="1638211360"/>
        <c:axId val="1638201280"/>
      </c:barChart>
      <c:lineChart>
        <c:grouping val="standard"/>
        <c:varyColors val="0"/>
        <c:ser>
          <c:idx val="0"/>
          <c:order val="0"/>
          <c:tx>
            <c:strRef>
              <c:f>'Trh práce 3'!$AI$11</c:f>
              <c:strCache>
                <c:ptCount val="1"/>
                <c:pt idx="0">
                  <c:v>Průměrná mzda celkem (nominálně)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multiLvlStrRef>
              <c:f>'Trh práce 3'!$AG$12:$AH$46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3'!$AI$12:$AI$46</c:f>
              <c:numCache>
                <c:formatCode>#\ ##0.0</c:formatCode>
                <c:ptCount val="35"/>
                <c:pt idx="0">
                  <c:v>5.0999999999999943</c:v>
                </c:pt>
                <c:pt idx="1">
                  <c:v>7.2000000000000028</c:v>
                </c:pt>
                <c:pt idx="2">
                  <c:v>6.7000000000000028</c:v>
                </c:pt>
                <c:pt idx="3">
                  <c:v>7.7999999999999972</c:v>
                </c:pt>
                <c:pt idx="4">
                  <c:v>8.5</c:v>
                </c:pt>
                <c:pt idx="5">
                  <c:v>8.7000000000000028</c:v>
                </c:pt>
                <c:pt idx="6">
                  <c:v>8.4000000000000057</c:v>
                </c:pt>
                <c:pt idx="7">
                  <c:v>7.0999999999999943</c:v>
                </c:pt>
                <c:pt idx="8">
                  <c:v>8.2999999999999972</c:v>
                </c:pt>
                <c:pt idx="9">
                  <c:v>8</c:v>
                </c:pt>
                <c:pt idx="10">
                  <c:v>7.7000000000000028</c:v>
                </c:pt>
                <c:pt idx="11">
                  <c:v>7.5999999999999943</c:v>
                </c:pt>
                <c:pt idx="12">
                  <c:v>5.5</c:v>
                </c:pt>
                <c:pt idx="13">
                  <c:v>0.90000000000000568</c:v>
                </c:pt>
                <c:pt idx="14">
                  <c:v>5.4000000000000057</c:v>
                </c:pt>
                <c:pt idx="15">
                  <c:v>6.7000000000000028</c:v>
                </c:pt>
                <c:pt idx="16">
                  <c:v>3</c:v>
                </c:pt>
                <c:pt idx="17">
                  <c:v>11.200000000000003</c:v>
                </c:pt>
                <c:pt idx="18">
                  <c:v>5.2999999999999972</c:v>
                </c:pt>
                <c:pt idx="19">
                  <c:v>3.9000000000000057</c:v>
                </c:pt>
                <c:pt idx="20">
                  <c:v>5.2999999999999972</c:v>
                </c:pt>
                <c:pt idx="21">
                  <c:v>2.5</c:v>
                </c:pt>
                <c:pt idx="22">
                  <c:v>3.9000000000000057</c:v>
                </c:pt>
                <c:pt idx="23">
                  <c:v>5.5999999999999943</c:v>
                </c:pt>
                <c:pt idx="24">
                  <c:v>8.2999999999999972</c:v>
                </c:pt>
                <c:pt idx="25">
                  <c:v>7.7000000000000028</c:v>
                </c:pt>
                <c:pt idx="26">
                  <c:v>6.7999999999999972</c:v>
                </c:pt>
                <c:pt idx="27">
                  <c:v>6.2000000000000028</c:v>
                </c:pt>
                <c:pt idx="28">
                  <c:v>7.7999999999999972</c:v>
                </c:pt>
                <c:pt idx="29">
                  <c:v>7.0999999999999943</c:v>
                </c:pt>
                <c:pt idx="30">
                  <c:v>7.2000000000000028</c:v>
                </c:pt>
                <c:pt idx="31">
                  <c:v>6.9000000000000057</c:v>
                </c:pt>
                <c:pt idx="32">
                  <c:v>6.7000000000000028</c:v>
                </c:pt>
                <c:pt idx="33">
                  <c:v>7.5999999999999943</c:v>
                </c:pt>
                <c:pt idx="34">
                  <c:v>7.0999999999999943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6A5-4043-9464-B12BE35B0252}"/>
            </c:ext>
          </c:extLst>
        </c:ser>
        <c:ser>
          <c:idx val="2"/>
          <c:order val="2"/>
          <c:tx>
            <c:strRef>
              <c:f>'Trh práce 3'!$AK$11</c:f>
              <c:strCache>
                <c:ptCount val="1"/>
                <c:pt idx="0">
                  <c:v>Prům. mzda v průmyslu (nominálně)</c:v>
                </c:pt>
              </c:strCache>
            </c:strRef>
          </c:tx>
          <c:spPr>
            <a:ln w="19050" cap="rnd">
              <a:solidFill>
                <a:srgbClr val="C00000"/>
              </a:solidFill>
              <a:prstDash val="sysDot"/>
              <a:round/>
            </a:ln>
            <a:effectLst/>
          </c:spPr>
          <c:marker>
            <c:symbol val="none"/>
          </c:marker>
          <c:cat>
            <c:multiLvlStrRef>
              <c:f>'Trh práce 3'!$AG$12:$AH$46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3'!$AK$12:$AK$46</c:f>
              <c:numCache>
                <c:formatCode>#\ ##0.0</c:formatCode>
                <c:ptCount val="35"/>
                <c:pt idx="0">
                  <c:v>5.1746586808526445</c:v>
                </c:pt>
                <c:pt idx="1">
                  <c:v>8.0728701553848907</c:v>
                </c:pt>
                <c:pt idx="2">
                  <c:v>6.8272945979441602</c:v>
                </c:pt>
                <c:pt idx="3">
                  <c:v>7.0884454631252538</c:v>
                </c:pt>
                <c:pt idx="4">
                  <c:v>7.9018109790605564</c:v>
                </c:pt>
                <c:pt idx="5">
                  <c:v>8.1936869938853221</c:v>
                </c:pt>
                <c:pt idx="6">
                  <c:v>7.3566042242467802</c:v>
                </c:pt>
                <c:pt idx="7">
                  <c:v>7.6170092222467076</c:v>
                </c:pt>
                <c:pt idx="8">
                  <c:v>7.1985838851373387</c:v>
                </c:pt>
                <c:pt idx="9">
                  <c:v>7.0904869554591556</c:v>
                </c:pt>
                <c:pt idx="10">
                  <c:v>6.753964974732213</c:v>
                </c:pt>
                <c:pt idx="11">
                  <c:v>5.6242870930946793</c:v>
                </c:pt>
                <c:pt idx="12">
                  <c:v>4.8529141948504844</c:v>
                </c:pt>
                <c:pt idx="13">
                  <c:v>-3.4830979888746327</c:v>
                </c:pt>
                <c:pt idx="14">
                  <c:v>2.956413004644503</c:v>
                </c:pt>
                <c:pt idx="15">
                  <c:v>4.0067563825663086</c:v>
                </c:pt>
                <c:pt idx="16">
                  <c:v>1.8985680538948344</c:v>
                </c:pt>
                <c:pt idx="17">
                  <c:v>10.170242950877807</c:v>
                </c:pt>
                <c:pt idx="18">
                  <c:v>4.7656227408114233</c:v>
                </c:pt>
                <c:pt idx="19">
                  <c:v>3.7112962913660397</c:v>
                </c:pt>
                <c:pt idx="20">
                  <c:v>4.9627933600457936</c:v>
                </c:pt>
                <c:pt idx="21">
                  <c:v>5.8242790073776121</c:v>
                </c:pt>
                <c:pt idx="22">
                  <c:v>5.6391288746584252</c:v>
                </c:pt>
                <c:pt idx="23">
                  <c:v>7.3649082274419158</c:v>
                </c:pt>
                <c:pt idx="24">
                  <c:v>10.053443856683202</c:v>
                </c:pt>
                <c:pt idx="25">
                  <c:v>9.2759722151802464</c:v>
                </c:pt>
                <c:pt idx="26">
                  <c:v>8.1338837792642096</c:v>
                </c:pt>
                <c:pt idx="27">
                  <c:v>6.9888102524866156</c:v>
                </c:pt>
                <c:pt idx="28">
                  <c:v>8.7064245187185634</c:v>
                </c:pt>
                <c:pt idx="29">
                  <c:v>8.1452267718362208</c:v>
                </c:pt>
                <c:pt idx="30">
                  <c:v>7.6404494382022534</c:v>
                </c:pt>
                <c:pt idx="31">
                  <c:v>7.3993787293002953</c:v>
                </c:pt>
                <c:pt idx="32">
                  <c:v>5.9031339031339058</c:v>
                </c:pt>
                <c:pt idx="33">
                  <c:v>7.2507293633087215</c:v>
                </c:pt>
                <c:pt idx="34">
                  <c:v>5.6861292567400739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6A5-4043-9464-B12BE35B0252}"/>
            </c:ext>
          </c:extLst>
        </c:ser>
        <c:ser>
          <c:idx val="3"/>
          <c:order val="3"/>
          <c:tx>
            <c:strRef>
              <c:f>'Trh práce 3'!$AL$11</c:f>
              <c:strCache>
                <c:ptCount val="1"/>
                <c:pt idx="0">
                  <c:v>Prům. mzda v obchodu (nominálně)</c:v>
                </c:pt>
              </c:strCache>
            </c:strRef>
          </c:tx>
          <c:spPr>
            <a:ln w="19050" cap="rnd">
              <a:solidFill>
                <a:srgbClr val="00B0F0"/>
              </a:solidFill>
              <a:prstDash val="sysDot"/>
              <a:round/>
            </a:ln>
            <a:effectLst/>
          </c:spPr>
          <c:marker>
            <c:symbol val="none"/>
          </c:marker>
          <c:cat>
            <c:multiLvlStrRef>
              <c:f>'Trh práce 3'!$AG$12:$AH$46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3'!$AL$12:$AL$46</c:f>
              <c:numCache>
                <c:formatCode>#\ ##0.0</c:formatCode>
                <c:ptCount val="35"/>
                <c:pt idx="0">
                  <c:v>5.6231243089559229</c:v>
                </c:pt>
                <c:pt idx="1">
                  <c:v>7.9284684614485457</c:v>
                </c:pt>
                <c:pt idx="2">
                  <c:v>7.693200727526019</c:v>
                </c:pt>
                <c:pt idx="3">
                  <c:v>8.3926754832146457</c:v>
                </c:pt>
                <c:pt idx="4">
                  <c:v>7.2416629280693883</c:v>
                </c:pt>
                <c:pt idx="5">
                  <c:v>7.0392029456356937</c:v>
                </c:pt>
                <c:pt idx="6">
                  <c:v>6.8381903769449082</c:v>
                </c:pt>
                <c:pt idx="7">
                  <c:v>6.6970570490044992</c:v>
                </c:pt>
                <c:pt idx="8">
                  <c:v>9.5345999651385682</c:v>
                </c:pt>
                <c:pt idx="9">
                  <c:v>7.4227708080399282</c:v>
                </c:pt>
                <c:pt idx="10">
                  <c:v>8.1629221041302316</c:v>
                </c:pt>
                <c:pt idx="11">
                  <c:v>6.3018346318170444</c:v>
                </c:pt>
                <c:pt idx="12">
                  <c:v>6.3685550604710528</c:v>
                </c:pt>
                <c:pt idx="13">
                  <c:v>0.91357172008916621</c:v>
                </c:pt>
                <c:pt idx="14">
                  <c:v>4.7389533256631182</c:v>
                </c:pt>
                <c:pt idx="15">
                  <c:v>2.446953129617583</c:v>
                </c:pt>
                <c:pt idx="16">
                  <c:v>2.2321294994165299</c:v>
                </c:pt>
                <c:pt idx="17">
                  <c:v>9.8898705823792881</c:v>
                </c:pt>
                <c:pt idx="18">
                  <c:v>6.6146127126443588</c:v>
                </c:pt>
                <c:pt idx="19">
                  <c:v>8.7059366526279263</c:v>
                </c:pt>
                <c:pt idx="20">
                  <c:v>6.7609096496619543</c:v>
                </c:pt>
                <c:pt idx="21">
                  <c:v>5.6167369702460093</c:v>
                </c:pt>
                <c:pt idx="22">
                  <c:v>3.4585503049205073</c:v>
                </c:pt>
                <c:pt idx="23">
                  <c:v>5.3444432650461664</c:v>
                </c:pt>
                <c:pt idx="24">
                  <c:v>8.2325849165227396</c:v>
                </c:pt>
                <c:pt idx="25">
                  <c:v>6.9557991797785945</c:v>
                </c:pt>
                <c:pt idx="26">
                  <c:v>6.314429521169231</c:v>
                </c:pt>
                <c:pt idx="27">
                  <c:v>5.6073353821351191</c:v>
                </c:pt>
                <c:pt idx="28">
                  <c:v>7.0010131712259493</c:v>
                </c:pt>
                <c:pt idx="29">
                  <c:v>5.8117387599618979</c:v>
                </c:pt>
                <c:pt idx="30">
                  <c:v>6.4735816096610108</c:v>
                </c:pt>
                <c:pt idx="31">
                  <c:v>5.5982253601755616</c:v>
                </c:pt>
                <c:pt idx="32">
                  <c:v>5.3238329703626448</c:v>
                </c:pt>
                <c:pt idx="33">
                  <c:v>7.0770469671490588</c:v>
                </c:pt>
                <c:pt idx="34">
                  <c:v>6.7005896899372317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6A5-4043-9464-B12BE35B0252}"/>
            </c:ext>
          </c:extLst>
        </c:ser>
        <c:ser>
          <c:idx val="4"/>
          <c:order val="4"/>
          <c:tx>
            <c:strRef>
              <c:f>'Trh práce 3'!$AM$11</c:f>
              <c:strCache>
                <c:ptCount val="1"/>
                <c:pt idx="0">
                  <c:v>Prům. mzda ve veř. službách (nominálně)*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ot"/>
              <a:round/>
            </a:ln>
            <a:effectLst/>
          </c:spPr>
          <c:marker>
            <c:symbol val="none"/>
          </c:marker>
          <c:cat>
            <c:multiLvlStrRef>
              <c:f>'Trh práce 3'!$AG$12:$AH$46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3'!$AM$12:$AM$46</c:f>
              <c:numCache>
                <c:formatCode>#\ ##0.0</c:formatCode>
                <c:ptCount val="35"/>
                <c:pt idx="0">
                  <c:v>5.4566112929362163</c:v>
                </c:pt>
                <c:pt idx="1">
                  <c:v>7.3192456135909225</c:v>
                </c:pt>
                <c:pt idx="2">
                  <c:v>7.9981713137873953</c:v>
                </c:pt>
                <c:pt idx="3">
                  <c:v>10.484072576559427</c:v>
                </c:pt>
                <c:pt idx="4">
                  <c:v>12.179699393983398</c:v>
                </c:pt>
                <c:pt idx="5">
                  <c:v>11.89217733254111</c:v>
                </c:pt>
                <c:pt idx="6">
                  <c:v>11.361326321628667</c:v>
                </c:pt>
                <c:pt idx="7">
                  <c:v>6.1282038917470629</c:v>
                </c:pt>
                <c:pt idx="8">
                  <c:v>9.4162908795776019</c:v>
                </c:pt>
                <c:pt idx="9">
                  <c:v>9.3022383570098555</c:v>
                </c:pt>
                <c:pt idx="10">
                  <c:v>8.3925247282538464</c:v>
                </c:pt>
                <c:pt idx="11">
                  <c:v>11.041060141001239</c:v>
                </c:pt>
                <c:pt idx="12">
                  <c:v>5.2296117021426483</c:v>
                </c:pt>
                <c:pt idx="13">
                  <c:v>4.9937922145909539</c:v>
                </c:pt>
                <c:pt idx="14">
                  <c:v>8.8109946466096574</c:v>
                </c:pt>
                <c:pt idx="15">
                  <c:v>13.948630451066606</c:v>
                </c:pt>
                <c:pt idx="16">
                  <c:v>4.5485385483402752</c:v>
                </c:pt>
                <c:pt idx="17">
                  <c:v>17.785684079315018</c:v>
                </c:pt>
                <c:pt idx="18">
                  <c:v>5.4643357321226631</c:v>
                </c:pt>
                <c:pt idx="19">
                  <c:v>-0.40508430459891542</c:v>
                </c:pt>
                <c:pt idx="20">
                  <c:v>2.3050985414715655</c:v>
                </c:pt>
                <c:pt idx="21">
                  <c:v>-7.0315803873919265</c:v>
                </c:pt>
                <c:pt idx="22">
                  <c:v>0.30518367768182486</c:v>
                </c:pt>
                <c:pt idx="23">
                  <c:v>3.4014494016982155</c:v>
                </c:pt>
                <c:pt idx="24">
                  <c:v>7.9558858004871666</c:v>
                </c:pt>
                <c:pt idx="25">
                  <c:v>6.6185978338731104</c:v>
                </c:pt>
                <c:pt idx="26">
                  <c:v>6.1956460416074748</c:v>
                </c:pt>
                <c:pt idx="27">
                  <c:v>5.4315381637976827</c:v>
                </c:pt>
                <c:pt idx="28">
                  <c:v>4.6593074333078732</c:v>
                </c:pt>
                <c:pt idx="29">
                  <c:v>4.8234690107000802</c:v>
                </c:pt>
                <c:pt idx="30">
                  <c:v>4.8790367578330489</c:v>
                </c:pt>
                <c:pt idx="31">
                  <c:v>3.8213604185032324</c:v>
                </c:pt>
                <c:pt idx="32">
                  <c:v>5.6630337069691024</c:v>
                </c:pt>
                <c:pt idx="33">
                  <c:v>6.5798318103738325</c:v>
                </c:pt>
                <c:pt idx="34">
                  <c:v>6.5941954371422611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06A5-4043-9464-B12BE35B0252}"/>
            </c:ext>
          </c:extLst>
        </c:ser>
        <c:ser>
          <c:idx val="5"/>
          <c:order val="5"/>
          <c:tx>
            <c:strRef>
              <c:f>'Trh práce 3'!$AN$11</c:f>
              <c:strCache>
                <c:ptCount val="1"/>
                <c:pt idx="0">
                  <c:v>Mediánová mzda celkem (nominálně)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rgbClr val="FFFF00"/>
              </a:solidFill>
              <a:ln w="9525">
                <a:solidFill>
                  <a:schemeClr val="bg1">
                    <a:lumMod val="50000"/>
                  </a:schemeClr>
                </a:solidFill>
              </a:ln>
              <a:effectLst/>
            </c:spPr>
          </c:marker>
          <c:cat>
            <c:multiLvlStrRef>
              <c:f>'Trh práce 3'!$AG$12:$AH$46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3'!$AN$12:$AN$46</c:f>
              <c:numCache>
                <c:formatCode>#\ ##0.0</c:formatCode>
                <c:ptCount val="35"/>
                <c:pt idx="0">
                  <c:v>4.9000000000000057</c:v>
                </c:pt>
                <c:pt idx="1">
                  <c:v>7.7000000000000028</c:v>
                </c:pt>
                <c:pt idx="2">
                  <c:v>7</c:v>
                </c:pt>
                <c:pt idx="3">
                  <c:v>8.9000000000000057</c:v>
                </c:pt>
                <c:pt idx="4">
                  <c:v>8.7000000000000028</c:v>
                </c:pt>
                <c:pt idx="5">
                  <c:v>9.7000000000000028</c:v>
                </c:pt>
                <c:pt idx="6">
                  <c:v>9.2999999999999972</c:v>
                </c:pt>
                <c:pt idx="7">
                  <c:v>6.7000000000000028</c:v>
                </c:pt>
                <c:pt idx="8">
                  <c:v>7.2000000000000028</c:v>
                </c:pt>
                <c:pt idx="9">
                  <c:v>6.4000000000000057</c:v>
                </c:pt>
                <c:pt idx="10">
                  <c:v>7.2999999999999972</c:v>
                </c:pt>
                <c:pt idx="11">
                  <c:v>6.4000000000000057</c:v>
                </c:pt>
                <c:pt idx="12">
                  <c:v>7</c:v>
                </c:pt>
                <c:pt idx="13">
                  <c:v>1.4000000000000057</c:v>
                </c:pt>
                <c:pt idx="14">
                  <c:v>6.7000000000000028</c:v>
                </c:pt>
                <c:pt idx="15">
                  <c:v>6.7000000000000028</c:v>
                </c:pt>
                <c:pt idx="16">
                  <c:v>2.2999999999999972</c:v>
                </c:pt>
                <c:pt idx="17">
                  <c:v>11.099999999999994</c:v>
                </c:pt>
                <c:pt idx="18">
                  <c:v>4.7000000000000028</c:v>
                </c:pt>
                <c:pt idx="19">
                  <c:v>4.5999999999999943</c:v>
                </c:pt>
                <c:pt idx="20">
                  <c:v>4.2999999999999972</c:v>
                </c:pt>
                <c:pt idx="21">
                  <c:v>3.2000000000000028</c:v>
                </c:pt>
                <c:pt idx="22">
                  <c:v>4.2000000000000028</c:v>
                </c:pt>
                <c:pt idx="23">
                  <c:v>6.2999999999999972</c:v>
                </c:pt>
                <c:pt idx="24">
                  <c:v>8.4000000000000057</c:v>
                </c:pt>
                <c:pt idx="25">
                  <c:v>6.5999999999999943</c:v>
                </c:pt>
                <c:pt idx="26">
                  <c:v>8.2000000000000028</c:v>
                </c:pt>
                <c:pt idx="27">
                  <c:v>7.2000000000000028</c:v>
                </c:pt>
                <c:pt idx="28">
                  <c:v>6.0999999999999943</c:v>
                </c:pt>
                <c:pt idx="29">
                  <c:v>6.2999999999999972</c:v>
                </c:pt>
                <c:pt idx="30">
                  <c:v>7.7999999999999972</c:v>
                </c:pt>
                <c:pt idx="31">
                  <c:v>4.0999999999999943</c:v>
                </c:pt>
                <c:pt idx="32">
                  <c:v>5.2999999999999972</c:v>
                </c:pt>
                <c:pt idx="33">
                  <c:v>7</c:v>
                </c:pt>
                <c:pt idx="34">
                  <c:v>6.2000000000000028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06A5-4043-9464-B12BE35B02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38211360"/>
        <c:axId val="1638201280"/>
      </c:lineChart>
      <c:catAx>
        <c:axId val="1638211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638201280"/>
        <c:crossesAt val="0"/>
        <c:auto val="1"/>
        <c:lblAlgn val="ctr"/>
        <c:lblOffset val="0"/>
        <c:noMultiLvlLbl val="0"/>
      </c:catAx>
      <c:valAx>
        <c:axId val="1638201280"/>
        <c:scaling>
          <c:orientation val="minMax"/>
          <c:max val="18"/>
          <c:min val="-1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638211360"/>
        <c:crosses val="autoZero"/>
        <c:crossBetween val="between"/>
        <c:majorUnit val="2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layout>
        <c:manualLayout>
          <c:xMode val="edge"/>
          <c:yMode val="edge"/>
          <c:x val="0"/>
          <c:y val="0.87910390316056386"/>
          <c:w val="0.99299400278107164"/>
          <c:h val="0.11467961682816637"/>
        </c:manualLayout>
      </c:layout>
      <c:overlay val="0"/>
      <c:spPr>
        <a:noFill/>
        <a:ln w="6350"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04C7C21F48A488F44995C5F8FB06D" ma:contentTypeVersion="11" ma:contentTypeDescription="Vytvoří nový dokument" ma:contentTypeScope="" ma:versionID="1df8c39b067b5d25b5f5e865a8e6deb3">
  <xsd:schema xmlns:xsd="http://www.w3.org/2001/XMLSchema" xmlns:xs="http://www.w3.org/2001/XMLSchema" xmlns:p="http://schemas.microsoft.com/office/2006/metadata/properties" xmlns:ns3="b8c0c86d-151e-4fca-b0d5-747e6692fa1d" targetNamespace="http://schemas.microsoft.com/office/2006/metadata/properties" ma:root="true" ma:fieldsID="0a1e36cc980726b26aea9439dfb6e5b7" ns3:_="">
    <xsd:import namespace="b8c0c86d-151e-4fca-b0d5-747e6692fa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0c86d-151e-4fca-b0d5-747e6692f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A8A1E1-1E99-4B4F-B9B5-70567730AA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508513-78FC-4939-82F8-E0A4971F10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BC6B78-CD4F-4CCE-9179-CFFE2F383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0c86d-151e-4fca-b0d5-747e6692f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7681AD-41B0-431A-9D34-CF6700A12F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8</Pages>
  <Words>3509</Words>
  <Characters>20707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24168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Jana</dc:creator>
  <cp:keywords/>
  <cp:lastModifiedBy>Dohnal Martin</cp:lastModifiedBy>
  <cp:revision>120</cp:revision>
  <cp:lastPrinted>2025-12-16T12:13:00Z</cp:lastPrinted>
  <dcterms:created xsi:type="dcterms:W3CDTF">2025-09-16T11:02:00Z</dcterms:created>
  <dcterms:modified xsi:type="dcterms:W3CDTF">2025-12-16T12:13:00Z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0x01010070204C7C21F48A488F44995C5F8FB06D</vt:lpwstr>
  </property>
  <property fmtid="{D5CDD505-2E9C-101B-9397-08002B2CF9AE}" pid="3" name="Názevformuláře">
    <vt:lpwstr>Publikace CZ barevné - vícetematické analýzy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2018-04-17T07:00:00Z</vt:filetime>
  </property>
  <property fmtid="{D5CDD505-2E9C-101B-9397-08002B2CF9AE}" pid="8" name="Označení">
    <vt:lpwstr>Form_c444</vt:lpwstr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